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A84F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0B487E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77202D1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86FF03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95FC58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A2A7BF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AE20F4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D7166F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2871C7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45BF73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728E29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68975E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27CD77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A63B59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14D96395">
                <wp:simplePos x="0" y="0"/>
                <wp:positionH relativeFrom="column">
                  <wp:posOffset>1355271</wp:posOffset>
                </wp:positionH>
                <wp:positionV relativeFrom="paragraph">
                  <wp:posOffset>107859</wp:posOffset>
                </wp:positionV>
                <wp:extent cx="4947558"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947558"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230D61C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61F5E">
                              <w:rPr>
                                <w:rFonts w:asciiTheme="majorHAnsi" w:hAnsiTheme="majorHAnsi" w:cs="Arial"/>
                                <w:b/>
                                <w:bCs/>
                                <w:color w:val="0D0D0D" w:themeColor="text1" w:themeTint="F2"/>
                                <w:sz w:val="36"/>
                                <w:szCs w:val="22"/>
                                <w:lang w:val="es-ES_tradnl"/>
                              </w:rPr>
                              <w:t>367</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D265D">
                              <w:rPr>
                                <w:rFonts w:asciiTheme="majorHAnsi" w:hAnsiTheme="majorHAnsi" w:cs="Arial"/>
                                <w:b/>
                                <w:bCs/>
                                <w:color w:val="0D0D0D" w:themeColor="text1" w:themeTint="F2"/>
                                <w:sz w:val="36"/>
                                <w:szCs w:val="22"/>
                                <w:lang w:val="es-ES_tradnl"/>
                              </w:rPr>
                              <w:t>1</w:t>
                            </w:r>
                          </w:p>
                          <w:p w14:paraId="5EA9C1DE" w14:textId="37FF9A9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85D1B">
                              <w:rPr>
                                <w:rFonts w:asciiTheme="majorHAnsi" w:hAnsiTheme="majorHAnsi" w:cs="Arial"/>
                                <w:b/>
                                <w:color w:val="0D0D0D" w:themeColor="text1" w:themeTint="F2"/>
                                <w:sz w:val="36"/>
                                <w:szCs w:val="22"/>
                                <w:lang w:val="es-ES_tradnl"/>
                              </w:rPr>
                              <w:t>1490-12</w:t>
                            </w:r>
                            <w:r w:rsidR="00246D1F" w:rsidRPr="004E2649">
                              <w:rPr>
                                <w:rFonts w:asciiTheme="majorHAnsi" w:hAnsiTheme="majorHAnsi" w:cs="Arial"/>
                                <w:b/>
                                <w:color w:val="0D0D0D" w:themeColor="text1" w:themeTint="F2"/>
                                <w:sz w:val="36"/>
                                <w:szCs w:val="22"/>
                                <w:lang w:val="es-ES_tradnl"/>
                              </w:rPr>
                              <w:t xml:space="preserve"> </w:t>
                            </w:r>
                          </w:p>
                          <w:p w14:paraId="317F581C" w14:textId="63DB689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2E30E6EF" w:rsidR="005B52B0" w:rsidRPr="0010736F" w:rsidRDefault="00C85D1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ANÍBAL GARCERANT MEJÍA Y OTROS (MASACRE DE VILLANUEVA)</w:t>
                            </w:r>
                          </w:p>
                          <w:bookmarkEnd w:id="0"/>
                          <w:p w14:paraId="0409BA94" w14:textId="3CE91A56" w:rsidR="005B52B0" w:rsidRPr="0010736F" w:rsidRDefault="00C85D1B"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4476995" w14:textId="77777777" w:rsidR="005B52B0" w:rsidRPr="007C01BB" w:rsidRDefault="005B52B0" w:rsidP="007A5817">
                            <w:pPr>
                              <w:rPr>
                                <w:color w:val="0D0D0D" w:themeColor="text1" w:themeTint="F2"/>
                                <w:lang w:val="es-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EEA9" id="Text Box 5" o:spid="_x0000_s1027" type="#_x0000_t202" style="position:absolute;left:0;text-align:left;margin-left:106.7pt;margin-top:8.5pt;width:389.55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" filled="f" stroked="f" strokeweight=".5pt">
                <v:textbox>
                  <w:txbxContent>
                    <w:p w14:paraId="4E10340D" w14:textId="230D61C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61F5E">
                        <w:rPr>
                          <w:rFonts w:asciiTheme="majorHAnsi" w:hAnsiTheme="majorHAnsi" w:cs="Arial"/>
                          <w:b/>
                          <w:bCs/>
                          <w:color w:val="0D0D0D" w:themeColor="text1" w:themeTint="F2"/>
                          <w:sz w:val="36"/>
                          <w:szCs w:val="22"/>
                          <w:lang w:val="es-ES_tradnl"/>
                        </w:rPr>
                        <w:t>367</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D265D">
                        <w:rPr>
                          <w:rFonts w:asciiTheme="majorHAnsi" w:hAnsiTheme="majorHAnsi" w:cs="Arial"/>
                          <w:b/>
                          <w:bCs/>
                          <w:color w:val="0D0D0D" w:themeColor="text1" w:themeTint="F2"/>
                          <w:sz w:val="36"/>
                          <w:szCs w:val="22"/>
                          <w:lang w:val="es-ES_tradnl"/>
                        </w:rPr>
                        <w:t>1</w:t>
                      </w:r>
                    </w:p>
                    <w:p w14:paraId="5EA9C1DE" w14:textId="37FF9A9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85D1B">
                        <w:rPr>
                          <w:rFonts w:asciiTheme="majorHAnsi" w:hAnsiTheme="majorHAnsi" w:cs="Arial"/>
                          <w:b/>
                          <w:color w:val="0D0D0D" w:themeColor="text1" w:themeTint="F2"/>
                          <w:sz w:val="36"/>
                          <w:szCs w:val="22"/>
                          <w:lang w:val="es-ES_tradnl"/>
                        </w:rPr>
                        <w:t>1490-12</w:t>
                      </w:r>
                      <w:r w:rsidR="00246D1F" w:rsidRPr="004E2649">
                        <w:rPr>
                          <w:rFonts w:asciiTheme="majorHAnsi" w:hAnsiTheme="majorHAnsi" w:cs="Arial"/>
                          <w:b/>
                          <w:color w:val="0D0D0D" w:themeColor="text1" w:themeTint="F2"/>
                          <w:sz w:val="36"/>
                          <w:szCs w:val="22"/>
                          <w:lang w:val="es-ES_tradnl"/>
                        </w:rPr>
                        <w:t xml:space="preserve"> </w:t>
                      </w:r>
                    </w:p>
                    <w:p w14:paraId="317F581C" w14:textId="63DB689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2E30E6EF" w:rsidR="005B52B0" w:rsidRPr="0010736F" w:rsidRDefault="00C85D1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ANÍBAL GARCERANT MEJÍA Y OTROS (MASACRE DE VILLANUEVA)</w:t>
                      </w:r>
                    </w:p>
                    <w:bookmarkEnd w:id="1"/>
                    <w:p w14:paraId="0409BA94" w14:textId="3CE91A56" w:rsidR="005B52B0" w:rsidRPr="0010736F" w:rsidRDefault="00C85D1B"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4476995" w14:textId="77777777" w:rsidR="005B52B0" w:rsidRPr="007C01BB" w:rsidRDefault="005B52B0" w:rsidP="007A5817">
                      <w:pPr>
                        <w:rPr>
                          <w:color w:val="0D0D0D" w:themeColor="text1" w:themeTint="F2"/>
                          <w:lang w:val="es-US"/>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6317D8B4" w:rsidR="00627C9F" w:rsidRPr="00361F5E"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w:t>
                            </w:r>
                            <w:r w:rsidRPr="00361F5E">
                              <w:rPr>
                                <w:rFonts w:asciiTheme="minorHAnsi" w:hAnsiTheme="minorHAnsi"/>
                                <w:color w:val="FFFFFF" w:themeColor="background1"/>
                                <w:sz w:val="22"/>
                                <w:lang w:val="pt-BR"/>
                              </w:rPr>
                              <w:t>V/II</w:t>
                            </w:r>
                          </w:p>
                          <w:p w14:paraId="28E8B0DD" w14:textId="18635BF6" w:rsidR="00627C9F" w:rsidRPr="00361F5E" w:rsidRDefault="00627C9F" w:rsidP="007A5817">
                            <w:pPr>
                              <w:spacing w:line="276" w:lineRule="auto"/>
                              <w:jc w:val="right"/>
                              <w:rPr>
                                <w:rFonts w:asciiTheme="minorHAnsi" w:hAnsiTheme="minorHAnsi"/>
                                <w:color w:val="FFFFFF" w:themeColor="background1"/>
                                <w:sz w:val="22"/>
                                <w:lang w:val="pt-BR"/>
                              </w:rPr>
                            </w:pPr>
                            <w:r w:rsidRPr="00361F5E">
                              <w:rPr>
                                <w:rFonts w:asciiTheme="minorHAnsi" w:hAnsiTheme="minorHAnsi"/>
                                <w:color w:val="FFFFFF" w:themeColor="background1"/>
                                <w:sz w:val="22"/>
                                <w:lang w:val="pt-BR"/>
                              </w:rPr>
                              <w:t xml:space="preserve">Doc. </w:t>
                            </w:r>
                            <w:r w:rsidR="00361F5E">
                              <w:rPr>
                                <w:rFonts w:asciiTheme="minorHAnsi" w:hAnsiTheme="minorHAnsi"/>
                                <w:color w:val="FFFFFF" w:themeColor="background1"/>
                                <w:sz w:val="22"/>
                                <w:lang w:val="pt-BR"/>
                              </w:rPr>
                              <w:t>377</w:t>
                            </w:r>
                          </w:p>
                          <w:p w14:paraId="01D5CFED" w14:textId="2DD7FD3C" w:rsidR="00627C9F" w:rsidRPr="00C25ADB" w:rsidRDefault="00361F5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 diciembre</w:t>
                            </w:r>
                            <w:r w:rsidR="00627C9F" w:rsidRPr="00361F5E">
                              <w:rPr>
                                <w:rFonts w:asciiTheme="minorHAnsi" w:hAnsiTheme="minorHAnsi"/>
                                <w:color w:val="FFFFFF" w:themeColor="background1"/>
                                <w:sz w:val="22"/>
                                <w:lang w:val="es-PA"/>
                              </w:rPr>
                              <w:t xml:space="preserve"> 20</w:t>
                            </w:r>
                            <w:r w:rsidR="00C23BA4" w:rsidRPr="00361F5E">
                              <w:rPr>
                                <w:rFonts w:asciiTheme="minorHAnsi" w:hAnsiTheme="minorHAnsi"/>
                                <w:color w:val="FFFFFF" w:themeColor="background1"/>
                                <w:sz w:val="22"/>
                                <w:lang w:val="es-PA"/>
                              </w:rPr>
                              <w:t>2</w:t>
                            </w:r>
                            <w:r w:rsidR="00AD265D" w:rsidRPr="00361F5E">
                              <w:rPr>
                                <w:rFonts w:asciiTheme="minorHAnsi" w:hAnsiTheme="minorHAnsi"/>
                                <w:color w:val="FFFFFF" w:themeColor="background1"/>
                                <w:sz w:val="22"/>
                                <w:lang w:val="es-PA"/>
                              </w:rPr>
                              <w:t>1</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53B8EF9" w14:textId="6317D8B4" w:rsidR="00627C9F" w:rsidRPr="00361F5E"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w:t>
                      </w:r>
                      <w:r w:rsidRPr="00361F5E">
                        <w:rPr>
                          <w:rFonts w:asciiTheme="minorHAnsi" w:hAnsiTheme="minorHAnsi"/>
                          <w:color w:val="FFFFFF" w:themeColor="background1"/>
                          <w:sz w:val="22"/>
                          <w:lang w:val="pt-BR"/>
                        </w:rPr>
                        <w:t>V/II</w:t>
                      </w:r>
                    </w:p>
                    <w:p w14:paraId="28E8B0DD" w14:textId="18635BF6" w:rsidR="00627C9F" w:rsidRPr="00361F5E" w:rsidRDefault="00627C9F" w:rsidP="007A5817">
                      <w:pPr>
                        <w:spacing w:line="276" w:lineRule="auto"/>
                        <w:jc w:val="right"/>
                        <w:rPr>
                          <w:rFonts w:asciiTheme="minorHAnsi" w:hAnsiTheme="minorHAnsi"/>
                          <w:color w:val="FFFFFF" w:themeColor="background1"/>
                          <w:sz w:val="22"/>
                          <w:lang w:val="pt-BR"/>
                        </w:rPr>
                      </w:pPr>
                      <w:r w:rsidRPr="00361F5E">
                        <w:rPr>
                          <w:rFonts w:asciiTheme="minorHAnsi" w:hAnsiTheme="minorHAnsi"/>
                          <w:color w:val="FFFFFF" w:themeColor="background1"/>
                          <w:sz w:val="22"/>
                          <w:lang w:val="pt-BR"/>
                        </w:rPr>
                        <w:t xml:space="preserve">Doc. </w:t>
                      </w:r>
                      <w:r w:rsidR="00361F5E">
                        <w:rPr>
                          <w:rFonts w:asciiTheme="minorHAnsi" w:hAnsiTheme="minorHAnsi"/>
                          <w:color w:val="FFFFFF" w:themeColor="background1"/>
                          <w:sz w:val="22"/>
                          <w:lang w:val="pt-BR"/>
                        </w:rPr>
                        <w:t>377</w:t>
                      </w:r>
                    </w:p>
                    <w:p w14:paraId="01D5CFED" w14:textId="2DD7FD3C" w:rsidR="00627C9F" w:rsidRPr="00C25ADB" w:rsidRDefault="00361F5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 diciembre</w:t>
                      </w:r>
                      <w:r w:rsidR="00627C9F" w:rsidRPr="00361F5E">
                        <w:rPr>
                          <w:rFonts w:asciiTheme="minorHAnsi" w:hAnsiTheme="minorHAnsi"/>
                          <w:color w:val="FFFFFF" w:themeColor="background1"/>
                          <w:sz w:val="22"/>
                          <w:lang w:val="es-PA"/>
                        </w:rPr>
                        <w:t xml:space="preserve"> 20</w:t>
                      </w:r>
                      <w:r w:rsidR="00C23BA4" w:rsidRPr="00361F5E">
                        <w:rPr>
                          <w:rFonts w:asciiTheme="minorHAnsi" w:hAnsiTheme="minorHAnsi"/>
                          <w:color w:val="FFFFFF" w:themeColor="background1"/>
                          <w:sz w:val="22"/>
                          <w:lang w:val="es-PA"/>
                        </w:rPr>
                        <w:t>2</w:t>
                      </w:r>
                      <w:r w:rsidR="00AD265D" w:rsidRPr="00361F5E">
                        <w:rPr>
                          <w:rFonts w:asciiTheme="minorHAnsi" w:hAnsiTheme="minorHAnsi"/>
                          <w:color w:val="FFFFFF" w:themeColor="background1"/>
                          <w:sz w:val="22"/>
                          <w:lang w:val="es-PA"/>
                        </w:rPr>
                        <w:t>1</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C808D5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ABBEB3F"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763CAE2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0F1AE9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2C4898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8DD381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BCC23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97369E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BB1DBE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14D9D0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98E28A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DB9717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E42EAC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8360FA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D04B7A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905ED3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36A1A4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7E80E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236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1BFF2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CD6E1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04B49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907E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48AAC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CC775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0B701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D900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9E95B1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3DBEC4A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w:t>
                            </w:r>
                            <w:r w:rsidR="00361F5E">
                              <w:rPr>
                                <w:rFonts w:asciiTheme="majorHAnsi" w:hAnsiTheme="majorHAnsi"/>
                                <w:color w:val="0D0D0D" w:themeColor="text1" w:themeTint="F2"/>
                                <w:sz w:val="18"/>
                                <w:szCs w:val="22"/>
                                <w:lang w:val="es-ES"/>
                              </w:rPr>
                              <w:t xml:space="preserve"> el 1º de 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AD265D">
                              <w:rPr>
                                <w:rFonts w:asciiTheme="majorHAnsi" w:hAnsiTheme="majorHAnsi"/>
                                <w:color w:val="0D0D0D" w:themeColor="text1" w:themeTint="F2"/>
                                <w:sz w:val="18"/>
                                <w:szCs w:val="22"/>
                                <w:lang w:val="es-ES"/>
                              </w:rPr>
                              <w:t>1</w:t>
                            </w:r>
                            <w:r w:rsidR="006436A8">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0A28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ADE3EED" w14:textId="3DBEC4A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w:t>
                      </w:r>
                      <w:r w:rsidR="00361F5E">
                        <w:rPr>
                          <w:rFonts w:asciiTheme="majorHAnsi" w:hAnsiTheme="majorHAnsi"/>
                          <w:color w:val="0D0D0D" w:themeColor="text1" w:themeTint="F2"/>
                          <w:sz w:val="18"/>
                          <w:szCs w:val="22"/>
                          <w:lang w:val="es-ES"/>
                        </w:rPr>
                        <w:t xml:space="preserve"> el 1º de 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AD265D">
                        <w:rPr>
                          <w:rFonts w:asciiTheme="majorHAnsi" w:hAnsiTheme="majorHAnsi"/>
                          <w:color w:val="0D0D0D" w:themeColor="text1" w:themeTint="F2"/>
                          <w:sz w:val="18"/>
                          <w:szCs w:val="22"/>
                          <w:lang w:val="es-ES"/>
                        </w:rPr>
                        <w:t>1</w:t>
                      </w:r>
                      <w:r w:rsidR="006436A8">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857CA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09582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088941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2A5CC62" w14:textId="5288760C" w:rsidR="00A50FCF" w:rsidRPr="0090270B" w:rsidRDefault="00A50FCF" w:rsidP="00040C3A">
      <w:pPr>
        <w:tabs>
          <w:tab w:val="center" w:pos="5400"/>
        </w:tabs>
        <w:suppressAutoHyphens/>
        <w:jc w:val="center"/>
        <w:rPr>
          <w:rFonts w:asciiTheme="majorHAnsi" w:hAnsiTheme="majorHAnsi"/>
          <w:sz w:val="18"/>
          <w:szCs w:val="22"/>
          <w:lang w:val="es-ES_tradnl"/>
        </w:rPr>
      </w:pPr>
    </w:p>
    <w:p w14:paraId="0D9EB4E1" w14:textId="55344D5B"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0A1DD98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4F49EA32"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61F5E" w:rsidRPr="00361F5E">
                              <w:rPr>
                                <w:rFonts w:asciiTheme="majorHAnsi" w:hAnsiTheme="majorHAnsi"/>
                                <w:color w:val="595959" w:themeColor="text1" w:themeTint="A6"/>
                                <w:sz w:val="18"/>
                                <w:szCs w:val="18"/>
                                <w:lang w:val="pt-BR"/>
                              </w:rPr>
                              <w:t>367</w:t>
                            </w:r>
                            <w:r w:rsidR="007B05C4" w:rsidRPr="00361F5E">
                              <w:rPr>
                                <w:rFonts w:asciiTheme="majorHAnsi" w:hAnsiTheme="majorHAnsi"/>
                                <w:color w:val="595959" w:themeColor="text1" w:themeTint="A6"/>
                                <w:sz w:val="18"/>
                                <w:szCs w:val="18"/>
                                <w:lang w:val="pt-BR"/>
                              </w:rPr>
                              <w:t>/</w:t>
                            </w:r>
                            <w:r w:rsidR="00361F5E" w:rsidRPr="00361F5E">
                              <w:rPr>
                                <w:rFonts w:asciiTheme="majorHAnsi" w:hAnsiTheme="majorHAnsi"/>
                                <w:color w:val="595959" w:themeColor="text1" w:themeTint="A6"/>
                                <w:sz w:val="18"/>
                                <w:szCs w:val="18"/>
                                <w:lang w:val="pt-BR"/>
                              </w:rPr>
                              <w:t>21</w:t>
                            </w:r>
                            <w:r w:rsidRPr="00361F5E">
                              <w:rPr>
                                <w:rFonts w:asciiTheme="majorHAnsi" w:hAnsiTheme="majorHAnsi"/>
                                <w:color w:val="595959" w:themeColor="text1" w:themeTint="A6"/>
                                <w:sz w:val="18"/>
                                <w:szCs w:val="18"/>
                                <w:lang w:val="pt-BR"/>
                              </w:rPr>
                              <w:t xml:space="preserve">. </w:t>
                            </w:r>
                            <w:proofErr w:type="spellStart"/>
                            <w:r w:rsidR="000433C9" w:rsidRPr="00361F5E">
                              <w:rPr>
                                <w:rFonts w:asciiTheme="majorHAnsi" w:hAnsiTheme="majorHAnsi"/>
                                <w:color w:val="595959" w:themeColor="text1" w:themeTint="A6"/>
                                <w:sz w:val="18"/>
                                <w:szCs w:val="18"/>
                                <w:lang w:val="es-ES_tradnl"/>
                              </w:rPr>
                              <w:t>Petici</w:t>
                            </w:r>
                            <w:r w:rsidR="000433C9" w:rsidRPr="00361F5E">
                              <w:rPr>
                                <w:rFonts w:asciiTheme="majorHAnsi" w:hAnsiTheme="majorHAnsi"/>
                                <w:color w:val="595959" w:themeColor="text1" w:themeTint="A6"/>
                                <w:sz w:val="18"/>
                                <w:szCs w:val="18"/>
                                <w:lang w:val="es-ES"/>
                              </w:rPr>
                              <w:t>ón</w:t>
                            </w:r>
                            <w:proofErr w:type="spellEnd"/>
                            <w:r w:rsidR="000433C9" w:rsidRPr="00361F5E">
                              <w:rPr>
                                <w:rFonts w:asciiTheme="majorHAnsi" w:hAnsiTheme="majorHAnsi"/>
                                <w:color w:val="595959" w:themeColor="text1" w:themeTint="A6"/>
                                <w:sz w:val="18"/>
                                <w:szCs w:val="18"/>
                                <w:lang w:val="es-ES"/>
                              </w:rPr>
                              <w:t xml:space="preserve"> </w:t>
                            </w:r>
                            <w:r w:rsidR="00C85D1B" w:rsidRPr="00361F5E">
                              <w:rPr>
                                <w:rFonts w:asciiTheme="majorHAnsi" w:hAnsiTheme="majorHAnsi"/>
                                <w:color w:val="595959" w:themeColor="text1" w:themeTint="A6"/>
                                <w:sz w:val="18"/>
                                <w:szCs w:val="18"/>
                                <w:lang w:val="es-ES"/>
                              </w:rPr>
                              <w:t>1490-12</w:t>
                            </w:r>
                            <w:r w:rsidR="000433C9" w:rsidRPr="00361F5E">
                              <w:rPr>
                                <w:rFonts w:asciiTheme="majorHAnsi" w:hAnsiTheme="majorHAnsi"/>
                                <w:color w:val="595959" w:themeColor="text1" w:themeTint="A6"/>
                                <w:sz w:val="18"/>
                                <w:szCs w:val="18"/>
                                <w:lang w:val="es-ES"/>
                              </w:rPr>
                              <w:t xml:space="preserve">. </w:t>
                            </w:r>
                            <w:r w:rsidRPr="00361F5E">
                              <w:rPr>
                                <w:rFonts w:asciiTheme="majorHAnsi" w:hAnsiTheme="majorHAnsi"/>
                                <w:color w:val="595959" w:themeColor="text1" w:themeTint="A6"/>
                                <w:sz w:val="18"/>
                                <w:szCs w:val="18"/>
                                <w:lang w:val="es-ES_tradnl"/>
                              </w:rPr>
                              <w:t xml:space="preserve">Admisibilidad. </w:t>
                            </w:r>
                            <w:r w:rsidR="00C85D1B" w:rsidRPr="00361F5E">
                              <w:rPr>
                                <w:rFonts w:asciiTheme="majorHAnsi" w:hAnsiTheme="majorHAnsi"/>
                                <w:color w:val="595959" w:themeColor="text1" w:themeTint="A6"/>
                                <w:sz w:val="18"/>
                                <w:szCs w:val="18"/>
                                <w:lang w:val="es-ES_tradnl"/>
                              </w:rPr>
                              <w:t>José Aníbal Garcerant Mejía y otros (Masacre de Villanueva)</w:t>
                            </w:r>
                            <w:r w:rsidRPr="00361F5E">
                              <w:rPr>
                                <w:rFonts w:asciiTheme="majorHAnsi" w:hAnsiTheme="majorHAnsi"/>
                                <w:color w:val="595959" w:themeColor="text1" w:themeTint="A6"/>
                                <w:sz w:val="18"/>
                                <w:szCs w:val="18"/>
                                <w:lang w:val="es-ES_tradnl"/>
                              </w:rPr>
                              <w:t xml:space="preserve">. </w:t>
                            </w:r>
                            <w:r w:rsidR="00C85D1B" w:rsidRPr="00361F5E">
                              <w:rPr>
                                <w:rFonts w:asciiTheme="majorHAnsi" w:hAnsiTheme="majorHAnsi"/>
                                <w:color w:val="595959" w:themeColor="text1" w:themeTint="A6"/>
                                <w:sz w:val="18"/>
                                <w:szCs w:val="18"/>
                                <w:lang w:val="es-ES_tradnl"/>
                              </w:rPr>
                              <w:t>Colombia</w:t>
                            </w:r>
                            <w:r w:rsidRPr="00361F5E">
                              <w:rPr>
                                <w:rFonts w:asciiTheme="majorHAnsi" w:hAnsiTheme="majorHAnsi"/>
                                <w:color w:val="595959" w:themeColor="text1" w:themeTint="A6"/>
                                <w:sz w:val="18"/>
                                <w:szCs w:val="18"/>
                                <w:lang w:val="es-ES_tradnl"/>
                              </w:rPr>
                              <w:t xml:space="preserve">. </w:t>
                            </w:r>
                            <w:r w:rsidR="00361F5E">
                              <w:rPr>
                                <w:rFonts w:asciiTheme="majorHAnsi" w:hAnsiTheme="majorHAnsi"/>
                                <w:color w:val="595959" w:themeColor="text1" w:themeTint="A6"/>
                                <w:sz w:val="18"/>
                                <w:szCs w:val="18"/>
                                <w:lang w:val="es-ES"/>
                              </w:rPr>
                              <w:t>1º de diciembre de 2021</w:t>
                            </w:r>
                            <w:r w:rsidRPr="00361F5E">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4375F82" w14:textId="4F49EA32"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61F5E" w:rsidRPr="00361F5E">
                        <w:rPr>
                          <w:rFonts w:asciiTheme="majorHAnsi" w:hAnsiTheme="majorHAnsi"/>
                          <w:color w:val="595959" w:themeColor="text1" w:themeTint="A6"/>
                          <w:sz w:val="18"/>
                          <w:szCs w:val="18"/>
                          <w:lang w:val="pt-BR"/>
                        </w:rPr>
                        <w:t>367</w:t>
                      </w:r>
                      <w:r w:rsidR="007B05C4" w:rsidRPr="00361F5E">
                        <w:rPr>
                          <w:rFonts w:asciiTheme="majorHAnsi" w:hAnsiTheme="majorHAnsi"/>
                          <w:color w:val="595959" w:themeColor="text1" w:themeTint="A6"/>
                          <w:sz w:val="18"/>
                          <w:szCs w:val="18"/>
                          <w:lang w:val="pt-BR"/>
                        </w:rPr>
                        <w:t>/</w:t>
                      </w:r>
                      <w:r w:rsidR="00361F5E" w:rsidRPr="00361F5E">
                        <w:rPr>
                          <w:rFonts w:asciiTheme="majorHAnsi" w:hAnsiTheme="majorHAnsi"/>
                          <w:color w:val="595959" w:themeColor="text1" w:themeTint="A6"/>
                          <w:sz w:val="18"/>
                          <w:szCs w:val="18"/>
                          <w:lang w:val="pt-BR"/>
                        </w:rPr>
                        <w:t>21</w:t>
                      </w:r>
                      <w:r w:rsidRPr="00361F5E">
                        <w:rPr>
                          <w:rFonts w:asciiTheme="majorHAnsi" w:hAnsiTheme="majorHAnsi"/>
                          <w:color w:val="595959" w:themeColor="text1" w:themeTint="A6"/>
                          <w:sz w:val="18"/>
                          <w:szCs w:val="18"/>
                          <w:lang w:val="pt-BR"/>
                        </w:rPr>
                        <w:t xml:space="preserve">. </w:t>
                      </w:r>
                      <w:proofErr w:type="spellStart"/>
                      <w:r w:rsidR="000433C9" w:rsidRPr="00361F5E">
                        <w:rPr>
                          <w:rFonts w:asciiTheme="majorHAnsi" w:hAnsiTheme="majorHAnsi"/>
                          <w:color w:val="595959" w:themeColor="text1" w:themeTint="A6"/>
                          <w:sz w:val="18"/>
                          <w:szCs w:val="18"/>
                          <w:lang w:val="es-ES_tradnl"/>
                        </w:rPr>
                        <w:t>Petici</w:t>
                      </w:r>
                      <w:r w:rsidR="000433C9" w:rsidRPr="00361F5E">
                        <w:rPr>
                          <w:rFonts w:asciiTheme="majorHAnsi" w:hAnsiTheme="majorHAnsi"/>
                          <w:color w:val="595959" w:themeColor="text1" w:themeTint="A6"/>
                          <w:sz w:val="18"/>
                          <w:szCs w:val="18"/>
                          <w:lang w:val="es-ES"/>
                        </w:rPr>
                        <w:t>ón</w:t>
                      </w:r>
                      <w:proofErr w:type="spellEnd"/>
                      <w:r w:rsidR="000433C9" w:rsidRPr="00361F5E">
                        <w:rPr>
                          <w:rFonts w:asciiTheme="majorHAnsi" w:hAnsiTheme="majorHAnsi"/>
                          <w:color w:val="595959" w:themeColor="text1" w:themeTint="A6"/>
                          <w:sz w:val="18"/>
                          <w:szCs w:val="18"/>
                          <w:lang w:val="es-ES"/>
                        </w:rPr>
                        <w:t xml:space="preserve"> </w:t>
                      </w:r>
                      <w:r w:rsidR="00C85D1B" w:rsidRPr="00361F5E">
                        <w:rPr>
                          <w:rFonts w:asciiTheme="majorHAnsi" w:hAnsiTheme="majorHAnsi"/>
                          <w:color w:val="595959" w:themeColor="text1" w:themeTint="A6"/>
                          <w:sz w:val="18"/>
                          <w:szCs w:val="18"/>
                          <w:lang w:val="es-ES"/>
                        </w:rPr>
                        <w:t>1490-12</w:t>
                      </w:r>
                      <w:r w:rsidR="000433C9" w:rsidRPr="00361F5E">
                        <w:rPr>
                          <w:rFonts w:asciiTheme="majorHAnsi" w:hAnsiTheme="majorHAnsi"/>
                          <w:color w:val="595959" w:themeColor="text1" w:themeTint="A6"/>
                          <w:sz w:val="18"/>
                          <w:szCs w:val="18"/>
                          <w:lang w:val="es-ES"/>
                        </w:rPr>
                        <w:t xml:space="preserve">. </w:t>
                      </w:r>
                      <w:r w:rsidRPr="00361F5E">
                        <w:rPr>
                          <w:rFonts w:asciiTheme="majorHAnsi" w:hAnsiTheme="majorHAnsi"/>
                          <w:color w:val="595959" w:themeColor="text1" w:themeTint="A6"/>
                          <w:sz w:val="18"/>
                          <w:szCs w:val="18"/>
                          <w:lang w:val="es-ES_tradnl"/>
                        </w:rPr>
                        <w:t xml:space="preserve">Admisibilidad. </w:t>
                      </w:r>
                      <w:r w:rsidR="00C85D1B" w:rsidRPr="00361F5E">
                        <w:rPr>
                          <w:rFonts w:asciiTheme="majorHAnsi" w:hAnsiTheme="majorHAnsi"/>
                          <w:color w:val="595959" w:themeColor="text1" w:themeTint="A6"/>
                          <w:sz w:val="18"/>
                          <w:szCs w:val="18"/>
                          <w:lang w:val="es-ES_tradnl"/>
                        </w:rPr>
                        <w:t>José Aníbal Garcerant Mejía y otros (Masacre de Villanueva)</w:t>
                      </w:r>
                      <w:r w:rsidRPr="00361F5E">
                        <w:rPr>
                          <w:rFonts w:asciiTheme="majorHAnsi" w:hAnsiTheme="majorHAnsi"/>
                          <w:color w:val="595959" w:themeColor="text1" w:themeTint="A6"/>
                          <w:sz w:val="18"/>
                          <w:szCs w:val="18"/>
                          <w:lang w:val="es-ES_tradnl"/>
                        </w:rPr>
                        <w:t xml:space="preserve">. </w:t>
                      </w:r>
                      <w:r w:rsidR="00C85D1B" w:rsidRPr="00361F5E">
                        <w:rPr>
                          <w:rFonts w:asciiTheme="majorHAnsi" w:hAnsiTheme="majorHAnsi"/>
                          <w:color w:val="595959" w:themeColor="text1" w:themeTint="A6"/>
                          <w:sz w:val="18"/>
                          <w:szCs w:val="18"/>
                          <w:lang w:val="es-ES_tradnl"/>
                        </w:rPr>
                        <w:t>Colombia</w:t>
                      </w:r>
                      <w:r w:rsidRPr="00361F5E">
                        <w:rPr>
                          <w:rFonts w:asciiTheme="majorHAnsi" w:hAnsiTheme="majorHAnsi"/>
                          <w:color w:val="595959" w:themeColor="text1" w:themeTint="A6"/>
                          <w:sz w:val="18"/>
                          <w:szCs w:val="18"/>
                          <w:lang w:val="es-ES_tradnl"/>
                        </w:rPr>
                        <w:t xml:space="preserve">. </w:t>
                      </w:r>
                      <w:r w:rsidR="00361F5E">
                        <w:rPr>
                          <w:rFonts w:asciiTheme="majorHAnsi" w:hAnsiTheme="majorHAnsi"/>
                          <w:color w:val="595959" w:themeColor="text1" w:themeTint="A6"/>
                          <w:sz w:val="18"/>
                          <w:szCs w:val="18"/>
                          <w:lang w:val="es-ES"/>
                        </w:rPr>
                        <w:t>1º de diciembre de 2021</w:t>
                      </w:r>
                      <w:r w:rsidRPr="00361F5E">
                        <w:rPr>
                          <w:rFonts w:asciiTheme="majorHAnsi" w:hAnsiTheme="majorHAnsi"/>
                          <w:color w:val="595959" w:themeColor="text1" w:themeTint="A6"/>
                          <w:sz w:val="18"/>
                          <w:szCs w:val="18"/>
                          <w:lang w:val="es-ES"/>
                        </w:rPr>
                        <w:t>.</w:t>
                      </w:r>
                    </w:p>
                  </w:txbxContent>
                </v:textbox>
              </v:shape>
            </w:pict>
          </mc:Fallback>
        </mc:AlternateContent>
      </w:r>
    </w:p>
    <w:p w14:paraId="1C8DD71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811514" w14:textId="708420F5"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1C950D1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17F13BEF" w:rsidR="0070697F" w:rsidRDefault="00361F5E"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21BBCDB4">
                <wp:simplePos x="0" y="0"/>
                <wp:positionH relativeFrom="column">
                  <wp:posOffset>1329690</wp:posOffset>
                </wp:positionH>
                <wp:positionV relativeFrom="paragraph">
                  <wp:posOffset>587647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79BE692E" w:rsidR="00D72DC6" w:rsidRPr="00D72DC6" w:rsidRDefault="00361F5E" w:rsidP="00F02AD1">
                            <w:pPr>
                              <w:rPr>
                                <w:color w:val="FFFFFF" w:themeColor="background1"/>
                                <w14:textFill>
                                  <w14:noFill/>
                                </w14:textFill>
                              </w:rPr>
                            </w:pPr>
                            <w:r>
                              <w:rPr>
                                <w:noProof/>
                                <w:color w:val="FFFFFF" w:themeColor="background1"/>
                              </w:rPr>
                              <w:drawing>
                                <wp:inline distT="0" distB="0" distL="0" distR="0" wp14:anchorId="18D5F9E2" wp14:editId="63E00EF8">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2" type="#_x0000_t202" style="position:absolute;left:0;text-align:left;margin-left:104.7pt;margin-top:46.2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" fillcolor="white [3201]" stroked="f" strokeweight=".5pt">
                <v:textbox>
                  <w:txbxContent>
                    <w:p w14:paraId="2786CDA1" w14:textId="79BE692E" w:rsidR="00D72DC6" w:rsidRPr="00D72DC6" w:rsidRDefault="00361F5E" w:rsidP="00F02AD1">
                      <w:pPr>
                        <w:rPr>
                          <w:color w:val="FFFFFF" w:themeColor="background1"/>
                          <w14:textFill>
                            <w14:noFill/>
                          </w14:textFill>
                        </w:rPr>
                      </w:pPr>
                      <w:r>
                        <w:rPr>
                          <w:noProof/>
                          <w:color w:val="FFFFFF" w:themeColor="background1"/>
                        </w:rPr>
                        <w:drawing>
                          <wp:inline distT="0" distB="0" distL="0" distR="0" wp14:anchorId="18D5F9E2" wp14:editId="63E00EF8">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677724F6"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jc w:val="center"/>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251EC4D6" w14:textId="77777777" w:rsidTr="007C01BB">
        <w:trPr>
          <w:jc w:val="center"/>
        </w:trPr>
        <w:tc>
          <w:tcPr>
            <w:tcW w:w="3600" w:type="dxa"/>
            <w:tcBorders>
              <w:top w:val="single" w:sz="4" w:space="0" w:color="auto"/>
              <w:bottom w:val="single" w:sz="6" w:space="0" w:color="auto"/>
            </w:tcBorders>
            <w:shd w:val="clear" w:color="auto" w:fill="386294"/>
            <w:vAlign w:val="center"/>
          </w:tcPr>
          <w:p w14:paraId="60D1F158" w14:textId="77777777" w:rsidR="003239B8" w:rsidRPr="000D05CB" w:rsidRDefault="003239B8" w:rsidP="008D2290">
            <w:pPr>
              <w:jc w:val="center"/>
              <w:rPr>
                <w:rFonts w:ascii="Cambria" w:hAnsi="Cambria"/>
                <w:b/>
                <w:bCs/>
                <w:color w:val="FFFFFF" w:themeColor="background1"/>
                <w:sz w:val="20"/>
                <w:szCs w:val="20"/>
              </w:rPr>
            </w:pPr>
            <w:proofErr w:type="spellStart"/>
            <w:r w:rsidRPr="000D05CB">
              <w:rPr>
                <w:rFonts w:ascii="Cambria" w:hAnsi="Cambria"/>
                <w:b/>
                <w:bCs/>
                <w:color w:val="FFFFFF" w:themeColor="background1"/>
                <w:sz w:val="20"/>
                <w:szCs w:val="20"/>
              </w:rPr>
              <w:t>Parte</w:t>
            </w:r>
            <w:proofErr w:type="spellEnd"/>
            <w:r w:rsidRPr="000D05CB">
              <w:rPr>
                <w:rFonts w:ascii="Cambria" w:hAnsi="Cambria"/>
                <w:b/>
                <w:bCs/>
                <w:color w:val="FFFFFF" w:themeColor="background1"/>
                <w:sz w:val="20"/>
                <w:szCs w:val="20"/>
              </w:rPr>
              <w:t xml:space="preserv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7124A019" w14:textId="627F4016" w:rsidR="003239B8" w:rsidRPr="000D05CB" w:rsidRDefault="00E028DC" w:rsidP="008D2290">
            <w:pPr>
              <w:jc w:val="both"/>
              <w:rPr>
                <w:rFonts w:ascii="Cambria" w:hAnsi="Cambria"/>
                <w:bCs/>
                <w:sz w:val="20"/>
                <w:szCs w:val="20"/>
              </w:rPr>
            </w:pPr>
            <w:r>
              <w:rPr>
                <w:rFonts w:ascii="Cambria" w:hAnsi="Cambria"/>
                <w:bCs/>
                <w:sz w:val="20"/>
                <w:szCs w:val="20"/>
              </w:rPr>
              <w:t>Patricia Elena Fernández Acosta</w:t>
            </w:r>
          </w:p>
        </w:tc>
      </w:tr>
      <w:tr w:rsidR="003239B8" w:rsidRPr="006436A8" w14:paraId="73B5DC3A" w14:textId="77777777" w:rsidTr="007C01BB">
        <w:trPr>
          <w:jc w:val="center"/>
        </w:trPr>
        <w:tc>
          <w:tcPr>
            <w:tcW w:w="3600" w:type="dxa"/>
            <w:tcBorders>
              <w:top w:val="single" w:sz="6" w:space="0" w:color="auto"/>
              <w:bottom w:val="single" w:sz="6" w:space="0" w:color="auto"/>
            </w:tcBorders>
            <w:shd w:val="clear" w:color="auto" w:fill="386294"/>
            <w:vAlign w:val="center"/>
          </w:tcPr>
          <w:p w14:paraId="287212FF" w14:textId="77777777" w:rsidR="003239B8" w:rsidRPr="000D05CB" w:rsidRDefault="000F489F"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3B4F7E87" w14:textId="147CBD1C" w:rsidR="003239B8" w:rsidRPr="006436A8" w:rsidRDefault="0073009D" w:rsidP="008D2290">
            <w:pPr>
              <w:jc w:val="both"/>
              <w:rPr>
                <w:rFonts w:ascii="Cambria" w:hAnsi="Cambria"/>
                <w:bCs/>
                <w:sz w:val="20"/>
                <w:szCs w:val="20"/>
                <w:lang w:val="es-US"/>
              </w:rPr>
            </w:pPr>
            <w:r w:rsidRPr="006436A8">
              <w:rPr>
                <w:rFonts w:ascii="Cambria" w:hAnsi="Cambria"/>
                <w:sz w:val="20"/>
                <w:szCs w:val="20"/>
                <w:lang w:val="es-US"/>
              </w:rPr>
              <w:t xml:space="preserve">José Aníbal </w:t>
            </w:r>
            <w:proofErr w:type="spellStart"/>
            <w:r w:rsidRPr="006436A8">
              <w:rPr>
                <w:rFonts w:ascii="Cambria" w:hAnsi="Cambria"/>
                <w:sz w:val="20"/>
                <w:szCs w:val="20"/>
                <w:lang w:val="es-US"/>
              </w:rPr>
              <w:t>Garcerant</w:t>
            </w:r>
            <w:proofErr w:type="spellEnd"/>
            <w:r w:rsidRPr="006436A8">
              <w:rPr>
                <w:rFonts w:ascii="Cambria" w:hAnsi="Cambria"/>
                <w:sz w:val="20"/>
                <w:szCs w:val="20"/>
                <w:lang w:val="es-US"/>
              </w:rPr>
              <w:t xml:space="preserve"> Mejía, Julio Contreras Rincones, </w:t>
            </w:r>
            <w:proofErr w:type="spellStart"/>
            <w:r w:rsidRPr="006436A8">
              <w:rPr>
                <w:rFonts w:ascii="Cambria" w:hAnsi="Cambria"/>
                <w:sz w:val="20"/>
                <w:szCs w:val="20"/>
                <w:lang w:val="es-US"/>
              </w:rPr>
              <w:t>Nefer</w:t>
            </w:r>
            <w:proofErr w:type="spellEnd"/>
            <w:r w:rsidRPr="006436A8">
              <w:rPr>
                <w:rFonts w:ascii="Cambria" w:hAnsi="Cambria"/>
                <w:sz w:val="20"/>
                <w:szCs w:val="20"/>
                <w:lang w:val="es-US"/>
              </w:rPr>
              <w:t xml:space="preserve"> Augusto David López, Alexander Enrique David López, Bartolomé Contreras Molina, José Luis Rosado Quintero, Javier Enrique Olmedo Campo, Ramiro Moisés Campo Peñaloza, </w:t>
            </w:r>
            <w:proofErr w:type="spellStart"/>
            <w:r w:rsidRPr="006436A8">
              <w:rPr>
                <w:rFonts w:ascii="Cambria" w:hAnsi="Cambria"/>
                <w:sz w:val="20"/>
                <w:szCs w:val="20"/>
                <w:lang w:val="es-US"/>
              </w:rPr>
              <w:t>Erinson</w:t>
            </w:r>
            <w:proofErr w:type="spellEnd"/>
            <w:r w:rsidRPr="006436A8">
              <w:rPr>
                <w:rFonts w:ascii="Cambria" w:hAnsi="Cambria"/>
                <w:sz w:val="20"/>
                <w:szCs w:val="20"/>
                <w:lang w:val="es-US"/>
              </w:rPr>
              <w:t xml:space="preserve"> José Damián Rojas, José Luis </w:t>
            </w:r>
            <w:proofErr w:type="spellStart"/>
            <w:r w:rsidRPr="006436A8">
              <w:rPr>
                <w:rFonts w:ascii="Cambria" w:hAnsi="Cambria"/>
                <w:sz w:val="20"/>
                <w:szCs w:val="20"/>
                <w:lang w:val="es-US"/>
              </w:rPr>
              <w:t>Dangond</w:t>
            </w:r>
            <w:proofErr w:type="spellEnd"/>
            <w:r w:rsidRPr="006436A8">
              <w:rPr>
                <w:rFonts w:ascii="Cambria" w:hAnsi="Cambria"/>
                <w:sz w:val="20"/>
                <w:szCs w:val="20"/>
                <w:lang w:val="es-US"/>
              </w:rPr>
              <w:t xml:space="preserve"> Quintero, Geison Torres y Elis Fabián Montero </w:t>
            </w:r>
            <w:proofErr w:type="spellStart"/>
            <w:r w:rsidRPr="006436A8">
              <w:rPr>
                <w:rFonts w:ascii="Cambria" w:hAnsi="Cambria"/>
                <w:sz w:val="20"/>
                <w:szCs w:val="20"/>
                <w:lang w:val="es-US"/>
              </w:rPr>
              <w:t>Chinchia</w:t>
            </w:r>
            <w:proofErr w:type="spellEnd"/>
            <w:r w:rsidRPr="006436A8">
              <w:rPr>
                <w:rFonts w:ascii="Cambria" w:hAnsi="Cambria"/>
                <w:sz w:val="20"/>
                <w:szCs w:val="20"/>
                <w:lang w:val="es-US"/>
              </w:rPr>
              <w:t xml:space="preserve">, y sus respectivos </w:t>
            </w:r>
            <w:r w:rsidR="00036564" w:rsidRPr="006436A8">
              <w:rPr>
                <w:rFonts w:ascii="Cambria" w:hAnsi="Cambria"/>
                <w:sz w:val="20"/>
                <w:szCs w:val="20"/>
                <w:lang w:val="es-US"/>
              </w:rPr>
              <w:t>familiares (ver anexo)</w:t>
            </w:r>
            <w:r w:rsidR="00036564" w:rsidRPr="006436A8">
              <w:rPr>
                <w:lang w:val="es-US"/>
              </w:rPr>
              <w:t xml:space="preserve"> </w:t>
            </w:r>
          </w:p>
        </w:tc>
      </w:tr>
      <w:tr w:rsidR="003239B8" w14:paraId="675EB5A9" w14:textId="77777777" w:rsidTr="007C01BB">
        <w:trPr>
          <w:jc w:val="center"/>
        </w:trPr>
        <w:tc>
          <w:tcPr>
            <w:tcW w:w="3600" w:type="dxa"/>
            <w:tcBorders>
              <w:top w:val="single" w:sz="6" w:space="0" w:color="auto"/>
              <w:bottom w:val="single" w:sz="6" w:space="0" w:color="auto"/>
            </w:tcBorders>
            <w:shd w:val="clear" w:color="auto" w:fill="386294"/>
            <w:vAlign w:val="center"/>
          </w:tcPr>
          <w:p w14:paraId="22CE9F73"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6BC7B459" w14:textId="01B63A96" w:rsidR="003239B8" w:rsidRPr="000D05CB" w:rsidRDefault="00C060AA" w:rsidP="008D2290">
            <w:pPr>
              <w:jc w:val="both"/>
              <w:rPr>
                <w:rFonts w:ascii="Cambria" w:hAnsi="Cambria"/>
                <w:bCs/>
                <w:sz w:val="20"/>
                <w:szCs w:val="20"/>
              </w:rPr>
            </w:pPr>
            <w:r>
              <w:rPr>
                <w:rFonts w:ascii="Cambria" w:hAnsi="Cambria"/>
                <w:bCs/>
                <w:sz w:val="20"/>
                <w:szCs w:val="20"/>
              </w:rPr>
              <w:t>Colombia</w:t>
            </w:r>
          </w:p>
        </w:tc>
      </w:tr>
      <w:tr w:rsidR="00223A29" w:rsidRPr="006436A8" w14:paraId="0DD95EE1" w14:textId="77777777" w:rsidTr="007C01BB">
        <w:trPr>
          <w:jc w:val="center"/>
        </w:trPr>
        <w:tc>
          <w:tcPr>
            <w:tcW w:w="3600" w:type="dxa"/>
            <w:tcBorders>
              <w:top w:val="single" w:sz="6" w:space="0" w:color="auto"/>
              <w:bottom w:val="single" w:sz="6" w:space="0" w:color="auto"/>
            </w:tcBorders>
            <w:shd w:val="clear" w:color="auto" w:fill="386294"/>
            <w:vAlign w:val="center"/>
          </w:tcPr>
          <w:p w14:paraId="376C1400"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4848044A" w14:textId="5C21B6B4" w:rsidR="00223A29" w:rsidRPr="00271BA6" w:rsidRDefault="00271BA6" w:rsidP="008D2290">
            <w:pPr>
              <w:jc w:val="both"/>
              <w:rPr>
                <w:rFonts w:ascii="Cambria" w:hAnsi="Cambria"/>
                <w:bCs/>
                <w:sz w:val="20"/>
                <w:szCs w:val="20"/>
                <w:lang w:val="es-CO"/>
              </w:rPr>
            </w:pPr>
            <w:r w:rsidRPr="00271BA6">
              <w:rPr>
                <w:rFonts w:ascii="Cambria" w:hAnsi="Cambria"/>
                <w:bCs/>
                <w:sz w:val="20"/>
                <w:szCs w:val="20"/>
                <w:lang w:val="es-CO"/>
              </w:rPr>
              <w:t>Artículos 4 (vida), 5 (integridad personal), 7 (l</w:t>
            </w:r>
            <w:r>
              <w:rPr>
                <w:rFonts w:ascii="Cambria" w:hAnsi="Cambria"/>
                <w:bCs/>
                <w:sz w:val="20"/>
                <w:szCs w:val="20"/>
                <w:lang w:val="es-CO"/>
              </w:rPr>
              <w:t>ibertad personal), 8 (garantías judiciales), 11 (honra y dignidad), 12 (libertad de conciencia y de religión), 19 (derechos del niño), 22 (circulación y residencia) y 25 (protección judicial) de la Convención Americana sobre Derechos Humanos</w:t>
            </w:r>
            <w:r>
              <w:rPr>
                <w:rStyle w:val="FootnoteReference"/>
                <w:rFonts w:ascii="Cambria" w:hAnsi="Cambria"/>
                <w:bCs/>
                <w:sz w:val="20"/>
                <w:szCs w:val="20"/>
                <w:lang w:val="es-CO"/>
              </w:rPr>
              <w:footnoteReference w:id="2"/>
            </w:r>
            <w:r>
              <w:rPr>
                <w:rFonts w:ascii="Cambria" w:hAnsi="Cambria"/>
                <w:bCs/>
                <w:sz w:val="20"/>
                <w:szCs w:val="20"/>
                <w:lang w:val="es-CO"/>
              </w:rPr>
              <w:t>, en relación con sus artículos 1.1 (obligación de respetar los derechos) y 2 (deber de adoptar disposiciones de derecho interno)</w:t>
            </w:r>
          </w:p>
        </w:tc>
      </w:tr>
    </w:tbl>
    <w:p w14:paraId="6719A8F7" w14:textId="77777777" w:rsidR="003239B8" w:rsidRPr="00E4118C" w:rsidRDefault="003239B8" w:rsidP="007C01BB">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445" w:type="dxa"/>
        <w:jc w:val="center"/>
        <w:tblBorders>
          <w:insideH w:val="single" w:sz="6" w:space="0" w:color="auto"/>
          <w:insideV w:val="single" w:sz="6" w:space="0" w:color="auto"/>
        </w:tblBorders>
        <w:tblLook w:val="04A0" w:firstRow="1" w:lastRow="0" w:firstColumn="1" w:lastColumn="0" w:noHBand="0" w:noVBand="1"/>
      </w:tblPr>
      <w:tblGrid>
        <w:gridCol w:w="3600"/>
        <w:gridCol w:w="5845"/>
      </w:tblGrid>
      <w:tr w:rsidR="004C2312" w:rsidRPr="004A6A54" w14:paraId="2CF459F4" w14:textId="77777777" w:rsidTr="00036564">
        <w:trPr>
          <w:jc w:val="center"/>
        </w:trPr>
        <w:tc>
          <w:tcPr>
            <w:tcW w:w="3600" w:type="dxa"/>
            <w:tcBorders>
              <w:top w:val="single" w:sz="6" w:space="0" w:color="auto"/>
              <w:bottom w:val="single" w:sz="6" w:space="0" w:color="auto"/>
            </w:tcBorders>
            <w:shd w:val="clear" w:color="auto" w:fill="386294"/>
            <w:vAlign w:val="center"/>
          </w:tcPr>
          <w:p w14:paraId="5E73F3A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845" w:type="dxa"/>
            <w:vAlign w:val="center"/>
          </w:tcPr>
          <w:p w14:paraId="21574B66" w14:textId="09B98AB7" w:rsidR="004C2312" w:rsidRPr="003239B8" w:rsidRDefault="00C060AA" w:rsidP="002625EA">
            <w:pPr>
              <w:jc w:val="both"/>
              <w:rPr>
                <w:rFonts w:ascii="Cambria" w:hAnsi="Cambria"/>
                <w:bCs/>
                <w:sz w:val="20"/>
                <w:szCs w:val="20"/>
                <w:lang w:val="es-ES"/>
              </w:rPr>
            </w:pPr>
            <w:r>
              <w:rPr>
                <w:rFonts w:ascii="Cambria" w:hAnsi="Cambria"/>
                <w:bCs/>
                <w:sz w:val="20"/>
                <w:szCs w:val="20"/>
                <w:lang w:val="es-ES"/>
              </w:rPr>
              <w:t>8 de agosto de 2012</w:t>
            </w:r>
          </w:p>
        </w:tc>
      </w:tr>
      <w:tr w:rsidR="004C2312" w:rsidRPr="00C060AA" w14:paraId="009C173E" w14:textId="77777777" w:rsidTr="00036564">
        <w:trPr>
          <w:jc w:val="center"/>
        </w:trPr>
        <w:tc>
          <w:tcPr>
            <w:tcW w:w="3600" w:type="dxa"/>
            <w:tcBorders>
              <w:top w:val="single" w:sz="6" w:space="0" w:color="auto"/>
              <w:bottom w:val="single" w:sz="6" w:space="0" w:color="auto"/>
            </w:tcBorders>
            <w:shd w:val="clear" w:color="auto" w:fill="386294"/>
            <w:vAlign w:val="center"/>
          </w:tcPr>
          <w:p w14:paraId="0FC2308B"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845" w:type="dxa"/>
            <w:vAlign w:val="center"/>
          </w:tcPr>
          <w:p w14:paraId="27CD0DED" w14:textId="1D37A0C3" w:rsidR="004C2312" w:rsidRPr="003239B8" w:rsidRDefault="008A7CB6" w:rsidP="008D2290">
            <w:pPr>
              <w:jc w:val="both"/>
              <w:rPr>
                <w:rFonts w:ascii="Cambria" w:hAnsi="Cambria"/>
                <w:bCs/>
                <w:sz w:val="20"/>
                <w:szCs w:val="20"/>
                <w:lang w:val="es-ES"/>
              </w:rPr>
            </w:pPr>
            <w:r>
              <w:rPr>
                <w:rFonts w:ascii="Cambria" w:hAnsi="Cambria"/>
                <w:bCs/>
                <w:sz w:val="20"/>
                <w:szCs w:val="20"/>
                <w:lang w:val="es-ES"/>
              </w:rPr>
              <w:t>3 de agosto de 2017</w:t>
            </w:r>
          </w:p>
        </w:tc>
      </w:tr>
      <w:tr w:rsidR="004C2312" w:rsidRPr="004A6A54" w14:paraId="00267AB8" w14:textId="77777777" w:rsidTr="00036564">
        <w:trPr>
          <w:jc w:val="center"/>
        </w:trPr>
        <w:tc>
          <w:tcPr>
            <w:tcW w:w="3600" w:type="dxa"/>
            <w:tcBorders>
              <w:top w:val="single" w:sz="6" w:space="0" w:color="auto"/>
              <w:bottom w:val="single" w:sz="6" w:space="0" w:color="auto"/>
            </w:tcBorders>
            <w:shd w:val="clear" w:color="auto" w:fill="386294"/>
            <w:vAlign w:val="center"/>
          </w:tcPr>
          <w:p w14:paraId="7F34465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845" w:type="dxa"/>
            <w:vAlign w:val="center"/>
          </w:tcPr>
          <w:p w14:paraId="137B66E1" w14:textId="5F0B786E" w:rsidR="004C2312" w:rsidRPr="003239B8" w:rsidRDefault="008329D5" w:rsidP="008D2290">
            <w:pPr>
              <w:jc w:val="both"/>
              <w:rPr>
                <w:rFonts w:ascii="Cambria" w:hAnsi="Cambria"/>
                <w:bCs/>
                <w:sz w:val="20"/>
                <w:szCs w:val="20"/>
                <w:lang w:val="es-ES"/>
              </w:rPr>
            </w:pPr>
            <w:r>
              <w:rPr>
                <w:rFonts w:ascii="Cambria" w:hAnsi="Cambria"/>
                <w:bCs/>
                <w:sz w:val="20"/>
                <w:szCs w:val="20"/>
                <w:lang w:val="es-ES"/>
              </w:rPr>
              <w:t>28 de noviembre de 2017</w:t>
            </w:r>
          </w:p>
        </w:tc>
      </w:tr>
      <w:tr w:rsidR="004C2312" w:rsidRPr="006436A8" w14:paraId="23EBE41E" w14:textId="77777777" w:rsidTr="00036564">
        <w:trPr>
          <w:jc w:val="center"/>
        </w:trPr>
        <w:tc>
          <w:tcPr>
            <w:tcW w:w="3600" w:type="dxa"/>
            <w:tcBorders>
              <w:top w:val="single" w:sz="6" w:space="0" w:color="auto"/>
              <w:bottom w:val="single" w:sz="6" w:space="0" w:color="auto"/>
            </w:tcBorders>
            <w:shd w:val="clear" w:color="auto" w:fill="386294"/>
            <w:vAlign w:val="center"/>
          </w:tcPr>
          <w:p w14:paraId="5F3E8210"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845" w:type="dxa"/>
            <w:vAlign w:val="center"/>
          </w:tcPr>
          <w:p w14:paraId="7C1099DE" w14:textId="648277BB" w:rsidR="004C2312" w:rsidRPr="003239B8" w:rsidRDefault="00334054" w:rsidP="008D2290">
            <w:pPr>
              <w:jc w:val="both"/>
              <w:rPr>
                <w:rFonts w:ascii="Cambria" w:hAnsi="Cambria"/>
                <w:bCs/>
                <w:sz w:val="20"/>
                <w:szCs w:val="20"/>
                <w:lang w:val="es-ES"/>
              </w:rPr>
            </w:pPr>
            <w:r>
              <w:rPr>
                <w:rFonts w:ascii="Cambria" w:hAnsi="Cambria"/>
                <w:bCs/>
                <w:sz w:val="20"/>
                <w:szCs w:val="20"/>
                <w:lang w:val="es-ES"/>
              </w:rPr>
              <w:t>19 de marzo de 2018</w:t>
            </w:r>
            <w:r w:rsidR="004312FD">
              <w:rPr>
                <w:rFonts w:ascii="Cambria" w:hAnsi="Cambria"/>
                <w:bCs/>
                <w:sz w:val="20"/>
                <w:szCs w:val="20"/>
                <w:lang w:val="es-ES"/>
              </w:rPr>
              <w:t xml:space="preserve"> y 9 de abril de 2021</w:t>
            </w:r>
          </w:p>
        </w:tc>
      </w:tr>
      <w:tr w:rsidR="004C2312" w:rsidRPr="009111EC" w14:paraId="567FB8A3" w14:textId="77777777" w:rsidTr="00036564">
        <w:trPr>
          <w:jc w:val="center"/>
        </w:trPr>
        <w:tc>
          <w:tcPr>
            <w:tcW w:w="3600" w:type="dxa"/>
            <w:tcBorders>
              <w:top w:val="single" w:sz="6" w:space="0" w:color="auto"/>
              <w:bottom w:val="single" w:sz="6" w:space="0" w:color="auto"/>
            </w:tcBorders>
            <w:shd w:val="clear" w:color="auto" w:fill="386294"/>
            <w:vAlign w:val="center"/>
          </w:tcPr>
          <w:p w14:paraId="2B9B2027" w14:textId="77777777" w:rsidR="004C2312" w:rsidRPr="00706824" w:rsidRDefault="004C2312" w:rsidP="008E3BFE">
            <w:pPr>
              <w:jc w:val="center"/>
              <w:rPr>
                <w:rFonts w:ascii="Cambria" w:hAnsi="Cambria"/>
                <w:b/>
                <w:bCs/>
                <w:color w:val="FFFFFF" w:themeColor="background1"/>
                <w:sz w:val="20"/>
                <w:szCs w:val="20"/>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845" w:type="dxa"/>
            <w:vAlign w:val="center"/>
          </w:tcPr>
          <w:p w14:paraId="792D360E" w14:textId="3C4EDD6F" w:rsidR="004C2312" w:rsidRPr="009111EC" w:rsidRDefault="00334054" w:rsidP="008D2290">
            <w:pPr>
              <w:jc w:val="both"/>
              <w:rPr>
                <w:rFonts w:ascii="Cambria" w:hAnsi="Cambria"/>
                <w:bCs/>
                <w:sz w:val="20"/>
                <w:szCs w:val="20"/>
              </w:rPr>
            </w:pPr>
            <w:r>
              <w:rPr>
                <w:rFonts w:ascii="Cambria" w:hAnsi="Cambria"/>
                <w:bCs/>
                <w:sz w:val="20"/>
                <w:szCs w:val="20"/>
              </w:rPr>
              <w:t xml:space="preserve">27 de </w:t>
            </w:r>
            <w:r w:rsidRPr="00036564">
              <w:rPr>
                <w:rFonts w:ascii="Cambria" w:hAnsi="Cambria"/>
                <w:bCs/>
                <w:sz w:val="20"/>
                <w:szCs w:val="20"/>
                <w:lang w:val="es-ES_tradnl"/>
              </w:rPr>
              <w:t>julio</w:t>
            </w:r>
            <w:r>
              <w:rPr>
                <w:rFonts w:ascii="Cambria" w:hAnsi="Cambria"/>
                <w:bCs/>
                <w:sz w:val="20"/>
                <w:szCs w:val="20"/>
              </w:rPr>
              <w:t xml:space="preserve"> de 2018</w:t>
            </w:r>
          </w:p>
        </w:tc>
      </w:tr>
      <w:tr w:rsidR="001E49E7" w:rsidRPr="006436A8" w14:paraId="017FAD97" w14:textId="77777777" w:rsidTr="00036564">
        <w:trPr>
          <w:jc w:val="center"/>
        </w:trPr>
        <w:tc>
          <w:tcPr>
            <w:tcW w:w="3600" w:type="dxa"/>
            <w:tcBorders>
              <w:top w:val="single" w:sz="6" w:space="0" w:color="auto"/>
              <w:bottom w:val="single" w:sz="6" w:space="0" w:color="auto"/>
            </w:tcBorders>
            <w:shd w:val="clear" w:color="auto" w:fill="386294"/>
            <w:vAlign w:val="center"/>
          </w:tcPr>
          <w:p w14:paraId="7CDB214C" w14:textId="77777777"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845" w:type="dxa"/>
            <w:vAlign w:val="center"/>
          </w:tcPr>
          <w:p w14:paraId="7D9969E0" w14:textId="47683AE8" w:rsidR="001E49E7" w:rsidRPr="003239B8" w:rsidRDefault="008329D5" w:rsidP="002625EA">
            <w:pPr>
              <w:jc w:val="both"/>
              <w:rPr>
                <w:rFonts w:ascii="Cambria" w:hAnsi="Cambria"/>
                <w:bCs/>
                <w:sz w:val="20"/>
                <w:szCs w:val="20"/>
                <w:lang w:val="es-ES"/>
              </w:rPr>
            </w:pPr>
            <w:r>
              <w:rPr>
                <w:rFonts w:ascii="Cambria" w:hAnsi="Cambria"/>
                <w:bCs/>
                <w:sz w:val="20"/>
                <w:szCs w:val="20"/>
                <w:lang w:val="es-ES"/>
              </w:rPr>
              <w:t>25 de abril de 2017</w:t>
            </w:r>
            <w:r w:rsidR="004312FD">
              <w:rPr>
                <w:rFonts w:ascii="Cambria" w:hAnsi="Cambria"/>
                <w:bCs/>
                <w:sz w:val="20"/>
                <w:szCs w:val="20"/>
                <w:lang w:val="es-ES"/>
              </w:rPr>
              <w:t xml:space="preserve"> y 16 de marzo de 2021</w:t>
            </w:r>
          </w:p>
        </w:tc>
      </w:tr>
      <w:tr w:rsidR="001E49E7" w:rsidRPr="006436A8" w14:paraId="72CC498C" w14:textId="77777777" w:rsidTr="00036564">
        <w:trPr>
          <w:jc w:val="center"/>
        </w:trPr>
        <w:tc>
          <w:tcPr>
            <w:tcW w:w="3600" w:type="dxa"/>
            <w:tcBorders>
              <w:top w:val="single" w:sz="6" w:space="0" w:color="auto"/>
              <w:bottom w:val="single" w:sz="6" w:space="0" w:color="auto"/>
            </w:tcBorders>
            <w:shd w:val="clear" w:color="auto" w:fill="386294"/>
            <w:vAlign w:val="center"/>
          </w:tcPr>
          <w:p w14:paraId="1A332D09" w14:textId="77777777"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845" w:type="dxa"/>
            <w:vAlign w:val="center"/>
          </w:tcPr>
          <w:p w14:paraId="38536812" w14:textId="568970CE" w:rsidR="001E49E7" w:rsidRPr="003239B8" w:rsidRDefault="008329D5" w:rsidP="002625EA">
            <w:pPr>
              <w:jc w:val="both"/>
              <w:rPr>
                <w:rFonts w:ascii="Cambria" w:hAnsi="Cambria"/>
                <w:bCs/>
                <w:sz w:val="20"/>
                <w:szCs w:val="20"/>
                <w:lang w:val="es-ES"/>
              </w:rPr>
            </w:pPr>
            <w:r>
              <w:rPr>
                <w:rFonts w:ascii="Cambria" w:hAnsi="Cambria"/>
                <w:bCs/>
                <w:sz w:val="20"/>
                <w:szCs w:val="20"/>
                <w:lang w:val="es-ES"/>
              </w:rPr>
              <w:t>26 de abril de 2017</w:t>
            </w:r>
            <w:r w:rsidR="004312FD">
              <w:rPr>
                <w:rFonts w:ascii="Cambria" w:hAnsi="Cambria"/>
                <w:bCs/>
                <w:sz w:val="20"/>
                <w:szCs w:val="20"/>
                <w:lang w:val="es-ES"/>
              </w:rPr>
              <w:t xml:space="preserve"> y 9 de abril de 2021</w:t>
            </w:r>
          </w:p>
        </w:tc>
      </w:tr>
    </w:tbl>
    <w:p w14:paraId="3206ED75"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445" w:type="dxa"/>
        <w:jc w:val="center"/>
        <w:tblBorders>
          <w:insideH w:val="single" w:sz="6" w:space="0" w:color="auto"/>
          <w:insideV w:val="single" w:sz="6" w:space="0" w:color="auto"/>
        </w:tblBorders>
        <w:tblLook w:val="04A0" w:firstRow="1" w:lastRow="0" w:firstColumn="1" w:lastColumn="0" w:noHBand="0" w:noVBand="1"/>
      </w:tblPr>
      <w:tblGrid>
        <w:gridCol w:w="3561"/>
        <w:gridCol w:w="5884"/>
      </w:tblGrid>
      <w:tr w:rsidR="003239B8" w:rsidRPr="00540F17" w14:paraId="7EBDA2C7" w14:textId="77777777" w:rsidTr="00036564">
        <w:trPr>
          <w:cantSplit/>
          <w:jc w:val="center"/>
        </w:trPr>
        <w:tc>
          <w:tcPr>
            <w:tcW w:w="3561" w:type="dxa"/>
            <w:tcBorders>
              <w:top w:val="single" w:sz="4" w:space="0" w:color="auto"/>
              <w:bottom w:val="single" w:sz="6" w:space="0" w:color="auto"/>
            </w:tcBorders>
            <w:shd w:val="clear" w:color="auto" w:fill="386294"/>
            <w:vAlign w:val="center"/>
          </w:tcPr>
          <w:p w14:paraId="4ED07CD7" w14:textId="77777777"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884" w:type="dxa"/>
            <w:vAlign w:val="center"/>
          </w:tcPr>
          <w:p w14:paraId="2F522E0E" w14:textId="0AAB98B0" w:rsidR="003239B8" w:rsidRPr="00B3745F" w:rsidRDefault="00C060AA"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4BFFF9A" w14:textId="77777777" w:rsidTr="00036564">
        <w:trPr>
          <w:cantSplit/>
          <w:jc w:val="center"/>
        </w:trPr>
        <w:tc>
          <w:tcPr>
            <w:tcW w:w="3561" w:type="dxa"/>
            <w:tcBorders>
              <w:top w:val="single" w:sz="6" w:space="0" w:color="auto"/>
              <w:bottom w:val="single" w:sz="6" w:space="0" w:color="auto"/>
            </w:tcBorders>
            <w:shd w:val="clear" w:color="auto" w:fill="386294"/>
            <w:vAlign w:val="center"/>
          </w:tcPr>
          <w:p w14:paraId="4C1AA860"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884" w:type="dxa"/>
            <w:vAlign w:val="center"/>
          </w:tcPr>
          <w:p w14:paraId="35BA3CEC" w14:textId="3DBC8B8D" w:rsidR="003239B8" w:rsidRPr="00B3745F" w:rsidRDefault="00C060AA"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58148AB9" w14:textId="77777777" w:rsidTr="00036564">
        <w:trPr>
          <w:cantSplit/>
          <w:jc w:val="center"/>
        </w:trPr>
        <w:tc>
          <w:tcPr>
            <w:tcW w:w="3561" w:type="dxa"/>
            <w:tcBorders>
              <w:top w:val="single" w:sz="6" w:space="0" w:color="auto"/>
              <w:bottom w:val="single" w:sz="6" w:space="0" w:color="auto"/>
            </w:tcBorders>
            <w:shd w:val="clear" w:color="auto" w:fill="386294"/>
            <w:vAlign w:val="center"/>
          </w:tcPr>
          <w:p w14:paraId="14BD96EE"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884" w:type="dxa"/>
            <w:vAlign w:val="center"/>
          </w:tcPr>
          <w:p w14:paraId="4853F616" w14:textId="6051E081" w:rsidR="003239B8" w:rsidRPr="00B3745F" w:rsidRDefault="00C060AA"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6436A8" w14:paraId="698E096A" w14:textId="77777777" w:rsidTr="00036564">
        <w:trPr>
          <w:cantSplit/>
          <w:jc w:val="center"/>
        </w:trPr>
        <w:tc>
          <w:tcPr>
            <w:tcW w:w="3561" w:type="dxa"/>
            <w:tcBorders>
              <w:top w:val="single" w:sz="6" w:space="0" w:color="auto"/>
              <w:bottom w:val="single" w:sz="6" w:space="0" w:color="auto"/>
            </w:tcBorders>
            <w:shd w:val="clear" w:color="auto" w:fill="386294"/>
            <w:vAlign w:val="center"/>
          </w:tcPr>
          <w:p w14:paraId="271AC828"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884" w:type="dxa"/>
            <w:vAlign w:val="center"/>
          </w:tcPr>
          <w:p w14:paraId="497D5E0E" w14:textId="309BB034" w:rsidR="003239B8" w:rsidRPr="00B3745F" w:rsidRDefault="00C060AA" w:rsidP="008D2290">
            <w:pPr>
              <w:jc w:val="both"/>
              <w:rPr>
                <w:rFonts w:ascii="Cambria" w:hAnsi="Cambria"/>
                <w:bCs/>
                <w:sz w:val="20"/>
                <w:szCs w:val="20"/>
                <w:lang w:val="es-ES"/>
              </w:rPr>
            </w:pPr>
            <w:r w:rsidRPr="007403B5">
              <w:rPr>
                <w:rFonts w:asciiTheme="majorHAnsi" w:hAnsiTheme="majorHAnsi"/>
                <w:bCs/>
                <w:sz w:val="20"/>
                <w:szCs w:val="20"/>
                <w:lang w:val="es-ES"/>
              </w:rPr>
              <w:t>Sí, Convención Americana (depósito del instrumento de ratificación realizado el 31 de julio de 1973)</w:t>
            </w:r>
          </w:p>
        </w:tc>
      </w:tr>
    </w:tbl>
    <w:p w14:paraId="090C088B" w14:textId="2144C21C"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9337" w:type="dxa"/>
        <w:jc w:val="center"/>
        <w:tblBorders>
          <w:insideH w:val="single" w:sz="6" w:space="0" w:color="auto"/>
          <w:insideV w:val="single" w:sz="6" w:space="0" w:color="auto"/>
        </w:tblBorders>
        <w:tblLook w:val="04A0" w:firstRow="1" w:lastRow="0" w:firstColumn="1" w:lastColumn="0" w:noHBand="0" w:noVBand="1"/>
      </w:tblPr>
      <w:tblGrid>
        <w:gridCol w:w="3565"/>
        <w:gridCol w:w="5772"/>
      </w:tblGrid>
      <w:tr w:rsidR="00EE00E9" w:rsidRPr="00C060AA" w14:paraId="696FDDCD" w14:textId="77777777" w:rsidTr="007C01BB">
        <w:trPr>
          <w:cantSplit/>
          <w:jc w:val="center"/>
        </w:trPr>
        <w:tc>
          <w:tcPr>
            <w:tcW w:w="3565" w:type="dxa"/>
            <w:tcBorders>
              <w:top w:val="single" w:sz="4" w:space="0" w:color="auto"/>
              <w:bottom w:val="single" w:sz="6" w:space="0" w:color="auto"/>
            </w:tcBorders>
            <w:shd w:val="clear" w:color="auto" w:fill="386294"/>
            <w:vAlign w:val="center"/>
          </w:tcPr>
          <w:p w14:paraId="2DB07897"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72" w:type="dxa"/>
            <w:vAlign w:val="center"/>
          </w:tcPr>
          <w:p w14:paraId="660F0641" w14:textId="00AC08A8" w:rsidR="00EE00E9" w:rsidRPr="00DC24E3" w:rsidRDefault="00C060AA" w:rsidP="008D2290">
            <w:pPr>
              <w:jc w:val="both"/>
              <w:rPr>
                <w:rFonts w:ascii="Cambria" w:hAnsi="Cambria"/>
                <w:bCs/>
                <w:sz w:val="20"/>
                <w:szCs w:val="20"/>
                <w:lang w:val="es-ES"/>
              </w:rPr>
            </w:pPr>
            <w:r>
              <w:rPr>
                <w:rFonts w:ascii="Cambria" w:hAnsi="Cambria"/>
                <w:bCs/>
                <w:sz w:val="20"/>
                <w:szCs w:val="20"/>
                <w:lang w:val="es-ES"/>
              </w:rPr>
              <w:t>No</w:t>
            </w:r>
          </w:p>
        </w:tc>
      </w:tr>
      <w:tr w:rsidR="003239B8" w:rsidRPr="006436A8" w14:paraId="161C88C5" w14:textId="77777777" w:rsidTr="007C01BB">
        <w:trPr>
          <w:cantSplit/>
          <w:jc w:val="center"/>
        </w:trPr>
        <w:tc>
          <w:tcPr>
            <w:tcW w:w="3565" w:type="dxa"/>
            <w:tcBorders>
              <w:top w:val="single" w:sz="4" w:space="0" w:color="auto"/>
              <w:bottom w:val="single" w:sz="6" w:space="0" w:color="auto"/>
            </w:tcBorders>
            <w:shd w:val="clear" w:color="auto" w:fill="386294"/>
            <w:vAlign w:val="center"/>
          </w:tcPr>
          <w:p w14:paraId="039CFAC9"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72" w:type="dxa"/>
            <w:vAlign w:val="center"/>
          </w:tcPr>
          <w:p w14:paraId="384DA76B" w14:textId="2DA4949C" w:rsidR="003239B8" w:rsidRPr="00E075BE" w:rsidRDefault="002E6F87" w:rsidP="008D2290">
            <w:pPr>
              <w:jc w:val="both"/>
              <w:rPr>
                <w:rFonts w:ascii="Cambria" w:hAnsi="Cambria"/>
                <w:bCs/>
                <w:sz w:val="20"/>
                <w:szCs w:val="20"/>
                <w:lang w:val="es-CO"/>
              </w:rPr>
            </w:pPr>
            <w:r w:rsidRPr="00E075BE">
              <w:rPr>
                <w:rFonts w:ascii="Cambria" w:hAnsi="Cambria"/>
                <w:bCs/>
                <w:sz w:val="20"/>
                <w:szCs w:val="20"/>
                <w:lang w:val="es-CO"/>
              </w:rPr>
              <w:t xml:space="preserve">Artículos 4 (vida), 5 (integridad personal), </w:t>
            </w:r>
            <w:r w:rsidR="00E075BE" w:rsidRPr="00E075BE">
              <w:rPr>
                <w:rFonts w:ascii="Cambria" w:hAnsi="Cambria"/>
                <w:bCs/>
                <w:sz w:val="20"/>
                <w:szCs w:val="20"/>
                <w:lang w:val="es-CO"/>
              </w:rPr>
              <w:t>7 (l</w:t>
            </w:r>
            <w:r w:rsidR="00E075BE">
              <w:rPr>
                <w:rFonts w:ascii="Cambria" w:hAnsi="Cambria"/>
                <w:bCs/>
                <w:sz w:val="20"/>
                <w:szCs w:val="20"/>
                <w:lang w:val="es-CO"/>
              </w:rPr>
              <w:t xml:space="preserve">ibertad personal), 8 (garantías judiciales), 11 (honra y dignidad), 12 (libertad de conciencia y de religión), 19 (derechos del niño), 22 (circulación y residencia) y 25 (protección judicial) de la Convención Americana, en relación con </w:t>
            </w:r>
            <w:r w:rsidR="0075023B">
              <w:rPr>
                <w:rFonts w:ascii="Cambria" w:hAnsi="Cambria"/>
                <w:bCs/>
                <w:sz w:val="20"/>
                <w:szCs w:val="20"/>
                <w:lang w:val="es-CO"/>
              </w:rPr>
              <w:t>su</w:t>
            </w:r>
            <w:r w:rsidR="00E075BE">
              <w:rPr>
                <w:rFonts w:ascii="Cambria" w:hAnsi="Cambria"/>
                <w:bCs/>
                <w:sz w:val="20"/>
                <w:szCs w:val="20"/>
                <w:lang w:val="es-CO"/>
              </w:rPr>
              <w:t xml:space="preserve"> artículo 1.1 (obligación de respetar los derechos)</w:t>
            </w:r>
          </w:p>
        </w:tc>
      </w:tr>
      <w:tr w:rsidR="003239B8" w:rsidRPr="006436A8" w14:paraId="0EC782C7" w14:textId="77777777" w:rsidTr="007C01BB">
        <w:trPr>
          <w:cantSplit/>
          <w:jc w:val="center"/>
        </w:trPr>
        <w:tc>
          <w:tcPr>
            <w:tcW w:w="3565" w:type="dxa"/>
            <w:tcBorders>
              <w:top w:val="single" w:sz="6" w:space="0" w:color="auto"/>
              <w:bottom w:val="single" w:sz="6" w:space="0" w:color="auto"/>
            </w:tcBorders>
            <w:shd w:val="clear" w:color="auto" w:fill="386294"/>
            <w:vAlign w:val="center"/>
          </w:tcPr>
          <w:p w14:paraId="5FB79953"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lastRenderedPageBreak/>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72" w:type="dxa"/>
            <w:vAlign w:val="center"/>
          </w:tcPr>
          <w:p w14:paraId="2181E1FE" w14:textId="553E61DD" w:rsidR="003239B8" w:rsidRPr="00DC24E3" w:rsidRDefault="00C060AA" w:rsidP="008D2290">
            <w:pPr>
              <w:rPr>
                <w:rFonts w:ascii="Cambria" w:hAnsi="Cambria"/>
                <w:bCs/>
                <w:sz w:val="20"/>
                <w:szCs w:val="20"/>
                <w:lang w:val="es-ES"/>
              </w:rPr>
            </w:pPr>
            <w:r>
              <w:rPr>
                <w:rFonts w:ascii="Cambria" w:hAnsi="Cambria"/>
                <w:bCs/>
                <w:sz w:val="20"/>
                <w:szCs w:val="20"/>
                <w:lang w:val="es-ES"/>
              </w:rPr>
              <w:t>Sí, aplica la excepción del artículo 46.2.c) de la Convención Americana, en los términos de la Sección VI</w:t>
            </w:r>
          </w:p>
        </w:tc>
      </w:tr>
      <w:tr w:rsidR="003239B8" w:rsidRPr="006436A8" w14:paraId="73F534D2" w14:textId="77777777" w:rsidTr="007C01BB">
        <w:trPr>
          <w:cantSplit/>
          <w:jc w:val="center"/>
        </w:trPr>
        <w:tc>
          <w:tcPr>
            <w:tcW w:w="3565" w:type="dxa"/>
            <w:tcBorders>
              <w:top w:val="single" w:sz="6" w:space="0" w:color="auto"/>
              <w:bottom w:val="single" w:sz="6" w:space="0" w:color="auto"/>
            </w:tcBorders>
            <w:shd w:val="clear" w:color="auto" w:fill="386294"/>
            <w:vAlign w:val="center"/>
          </w:tcPr>
          <w:p w14:paraId="16F0B3EF"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dentro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72" w:type="dxa"/>
            <w:vAlign w:val="center"/>
          </w:tcPr>
          <w:p w14:paraId="2B338EAC" w14:textId="12927C63" w:rsidR="003239B8" w:rsidRPr="00C060AA" w:rsidRDefault="00C060AA" w:rsidP="008D2290">
            <w:pPr>
              <w:rPr>
                <w:rFonts w:ascii="Cambria" w:hAnsi="Cambria"/>
                <w:bCs/>
                <w:sz w:val="20"/>
                <w:szCs w:val="20"/>
                <w:lang w:val="es-CO"/>
              </w:rPr>
            </w:pPr>
            <w:r w:rsidRPr="00C060AA">
              <w:rPr>
                <w:rFonts w:ascii="Cambria" w:hAnsi="Cambria"/>
                <w:bCs/>
                <w:sz w:val="20"/>
                <w:szCs w:val="20"/>
                <w:lang w:val="es-CO"/>
              </w:rPr>
              <w:t>Sí, en los términos d</w:t>
            </w:r>
            <w:r>
              <w:rPr>
                <w:rFonts w:ascii="Cambria" w:hAnsi="Cambria"/>
                <w:bCs/>
                <w:sz w:val="20"/>
                <w:szCs w:val="20"/>
                <w:lang w:val="es-CO"/>
              </w:rPr>
              <w:t>e la Sección VI</w:t>
            </w:r>
          </w:p>
        </w:tc>
      </w:tr>
    </w:tbl>
    <w:p w14:paraId="20F8626A" w14:textId="77777777" w:rsidR="003239B8" w:rsidRPr="007D2C56" w:rsidRDefault="00223A29" w:rsidP="003239B8">
      <w:pPr>
        <w:spacing w:before="240" w:after="240"/>
        <w:ind w:firstLine="720"/>
        <w:jc w:val="both"/>
        <w:rPr>
          <w:rFonts w:asciiTheme="majorHAnsi" w:hAnsiTheme="majorHAnsi"/>
          <w:b/>
          <w:sz w:val="20"/>
          <w:szCs w:val="20"/>
          <w:lang w:val="es-ES_tradnl"/>
        </w:rPr>
      </w:pPr>
      <w:r w:rsidRPr="007D2C56">
        <w:rPr>
          <w:rFonts w:asciiTheme="majorHAnsi" w:hAnsiTheme="majorHAnsi"/>
          <w:b/>
          <w:sz w:val="20"/>
          <w:szCs w:val="20"/>
          <w:lang w:val="es-ES_tradnl"/>
        </w:rPr>
        <w:t xml:space="preserve">V. </w:t>
      </w:r>
      <w:r w:rsidRPr="007D2C56">
        <w:rPr>
          <w:rFonts w:asciiTheme="majorHAnsi" w:hAnsiTheme="majorHAnsi"/>
          <w:b/>
          <w:sz w:val="20"/>
          <w:szCs w:val="20"/>
          <w:lang w:val="es-ES_tradnl"/>
        </w:rPr>
        <w:tab/>
      </w:r>
      <w:r w:rsidR="003239B8" w:rsidRPr="007D2C56">
        <w:rPr>
          <w:rFonts w:asciiTheme="majorHAnsi" w:hAnsiTheme="majorHAnsi"/>
          <w:b/>
          <w:sz w:val="20"/>
          <w:szCs w:val="20"/>
          <w:lang w:val="es-ES_tradnl"/>
        </w:rPr>
        <w:t xml:space="preserve">HECHOS ALEGADOS </w:t>
      </w:r>
    </w:p>
    <w:p w14:paraId="294F59DD" w14:textId="5FAC09FA" w:rsidR="00A11E44" w:rsidRPr="007D2C56" w:rsidRDefault="00E2306E" w:rsidP="00E2306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D2C56">
        <w:rPr>
          <w:rFonts w:ascii="Cambria" w:hAnsi="Cambria"/>
          <w:sz w:val="20"/>
          <w:szCs w:val="20"/>
          <w:lang w:val="es-ES_tradnl"/>
        </w:rPr>
        <w:t xml:space="preserve">1. </w:t>
      </w:r>
      <w:r w:rsidR="00330B9E" w:rsidRPr="007D2C56">
        <w:rPr>
          <w:rFonts w:ascii="Cambria" w:hAnsi="Cambria"/>
          <w:sz w:val="20"/>
          <w:szCs w:val="20"/>
          <w:lang w:val="es-ES_tradnl"/>
        </w:rPr>
        <w:tab/>
      </w:r>
      <w:r w:rsidR="00C060AA" w:rsidRPr="007D2C56">
        <w:rPr>
          <w:rFonts w:ascii="Cambria" w:hAnsi="Cambria"/>
          <w:sz w:val="20"/>
          <w:szCs w:val="20"/>
          <w:lang w:val="es-ES_tradnl"/>
        </w:rPr>
        <w:t xml:space="preserve">La parte peticionaria solicita que se declare internacionalmente responsable al Estado colombiano por la participación </w:t>
      </w:r>
      <w:r w:rsidR="005D18FB" w:rsidRPr="007D2C56">
        <w:rPr>
          <w:rFonts w:ascii="Cambria" w:hAnsi="Cambria"/>
          <w:sz w:val="20"/>
          <w:szCs w:val="20"/>
          <w:lang w:val="es-ES_tradnl"/>
        </w:rPr>
        <w:t>de agentes estatales</w:t>
      </w:r>
      <w:r w:rsidR="006F3E06" w:rsidRPr="007D2C56">
        <w:rPr>
          <w:rFonts w:ascii="Cambria" w:hAnsi="Cambria"/>
          <w:sz w:val="20"/>
          <w:szCs w:val="20"/>
          <w:lang w:val="es-ES_tradnl"/>
        </w:rPr>
        <w:t xml:space="preserve"> </w:t>
      </w:r>
      <w:r w:rsidR="00C060AA" w:rsidRPr="007D2C56">
        <w:rPr>
          <w:rFonts w:ascii="Cambria" w:hAnsi="Cambria"/>
          <w:sz w:val="20"/>
          <w:szCs w:val="20"/>
          <w:lang w:val="es-ES_tradnl"/>
        </w:rPr>
        <w:t xml:space="preserve">en la masacre cometida por grupos paramilitares en el municipio de Villanueva (Guajira), y por la impunidad en la que permanecen estos hechos </w:t>
      </w:r>
      <w:r w:rsidR="00371D67" w:rsidRPr="007D2C56">
        <w:rPr>
          <w:rFonts w:ascii="Cambria" w:hAnsi="Cambria"/>
          <w:sz w:val="20"/>
          <w:szCs w:val="20"/>
          <w:lang w:val="es-ES_tradnl"/>
        </w:rPr>
        <w:t>en la actualidad</w:t>
      </w:r>
      <w:r w:rsidR="00C060AA" w:rsidRPr="007D2C56">
        <w:rPr>
          <w:rFonts w:ascii="Cambria" w:hAnsi="Cambria"/>
          <w:sz w:val="20"/>
          <w:szCs w:val="20"/>
          <w:lang w:val="es-ES_tradnl"/>
        </w:rPr>
        <w:t>.</w:t>
      </w:r>
    </w:p>
    <w:p w14:paraId="14385BE8" w14:textId="614B91FC" w:rsidR="00C060AA" w:rsidRPr="007D2C56" w:rsidRDefault="00E2306E" w:rsidP="00E2306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D2C56">
        <w:rPr>
          <w:rFonts w:ascii="Cambria" w:hAnsi="Cambria"/>
          <w:sz w:val="20"/>
          <w:szCs w:val="20"/>
          <w:lang w:val="es-ES_tradnl"/>
        </w:rPr>
        <w:t xml:space="preserve">2. </w:t>
      </w:r>
      <w:r w:rsidR="00371D67" w:rsidRPr="007D2C56">
        <w:rPr>
          <w:rFonts w:ascii="Cambria" w:hAnsi="Cambria"/>
          <w:sz w:val="20"/>
          <w:szCs w:val="20"/>
          <w:lang w:val="es-ES_tradnl"/>
        </w:rPr>
        <w:tab/>
      </w:r>
      <w:r w:rsidR="00C060AA" w:rsidRPr="007D2C56">
        <w:rPr>
          <w:rFonts w:ascii="Cambria" w:hAnsi="Cambria"/>
          <w:sz w:val="20"/>
          <w:szCs w:val="20"/>
          <w:lang w:val="es-ES_tradnl"/>
        </w:rPr>
        <w:t>La petición narra que en horas de la noche del 7 de diciembre de 1998, mientras se celebraba la f</w:t>
      </w:r>
      <w:r w:rsidR="0006317B" w:rsidRPr="007D2C56">
        <w:rPr>
          <w:rFonts w:ascii="Cambria" w:hAnsi="Cambria"/>
          <w:sz w:val="20"/>
          <w:szCs w:val="20"/>
          <w:lang w:val="es-ES_tradnl"/>
        </w:rPr>
        <w:t>estividad religiosa</w:t>
      </w:r>
      <w:r w:rsidR="00C060AA" w:rsidRPr="007D2C56">
        <w:rPr>
          <w:rFonts w:ascii="Cambria" w:hAnsi="Cambria"/>
          <w:sz w:val="20"/>
          <w:szCs w:val="20"/>
          <w:lang w:val="es-ES_tradnl"/>
        </w:rPr>
        <w:t xml:space="preserve"> de la </w:t>
      </w:r>
      <w:r w:rsidR="0006317B" w:rsidRPr="007D2C56">
        <w:rPr>
          <w:rFonts w:ascii="Cambria" w:hAnsi="Cambria"/>
          <w:sz w:val="20"/>
          <w:szCs w:val="20"/>
          <w:lang w:val="es-ES_tradnl"/>
        </w:rPr>
        <w:t xml:space="preserve">víspera de la </w:t>
      </w:r>
      <w:r w:rsidR="00C060AA" w:rsidRPr="007D2C56">
        <w:rPr>
          <w:rFonts w:ascii="Cambria" w:hAnsi="Cambria"/>
          <w:sz w:val="20"/>
          <w:szCs w:val="20"/>
          <w:lang w:val="es-ES_tradnl"/>
        </w:rPr>
        <w:t>Inmaculada Concepción</w:t>
      </w:r>
      <w:r w:rsidR="00A663FB" w:rsidRPr="007D2C56">
        <w:rPr>
          <w:rFonts w:ascii="Cambria" w:hAnsi="Cambria"/>
          <w:sz w:val="20"/>
          <w:szCs w:val="20"/>
          <w:lang w:val="es-ES_tradnl"/>
        </w:rPr>
        <w:t>,</w:t>
      </w:r>
      <w:r w:rsidR="00C060AA" w:rsidRPr="007D2C56">
        <w:rPr>
          <w:rFonts w:ascii="Cambria" w:hAnsi="Cambria"/>
          <w:sz w:val="20"/>
          <w:szCs w:val="20"/>
          <w:lang w:val="es-ES_tradnl"/>
        </w:rPr>
        <w:t xml:space="preserve"> conocida en Colombia como la “noche de las velitas”, un escuadrón de cerca de </w:t>
      </w:r>
      <w:r w:rsidR="00A663FB" w:rsidRPr="007D2C56">
        <w:rPr>
          <w:rFonts w:ascii="Cambria" w:hAnsi="Cambria"/>
          <w:sz w:val="20"/>
          <w:szCs w:val="20"/>
          <w:lang w:val="es-ES_tradnl"/>
        </w:rPr>
        <w:t>ciento cincuenta</w:t>
      </w:r>
      <w:r w:rsidR="00C060AA" w:rsidRPr="007D2C56">
        <w:rPr>
          <w:rFonts w:ascii="Cambria" w:hAnsi="Cambria"/>
          <w:sz w:val="20"/>
          <w:szCs w:val="20"/>
          <w:lang w:val="es-ES_tradnl"/>
        </w:rPr>
        <w:t xml:space="preserve"> hombres armados, tanto paramilitares </w:t>
      </w:r>
      <w:r w:rsidR="00271BA6" w:rsidRPr="007D2C56">
        <w:rPr>
          <w:rFonts w:ascii="Cambria" w:hAnsi="Cambria"/>
          <w:sz w:val="20"/>
          <w:szCs w:val="20"/>
          <w:lang w:val="es-ES_tradnl"/>
        </w:rPr>
        <w:t xml:space="preserve">provenientes de distintas zonas de la región Caribe </w:t>
      </w:r>
      <w:r w:rsidR="00C060AA" w:rsidRPr="007D2C56">
        <w:rPr>
          <w:rFonts w:ascii="Cambria" w:hAnsi="Cambria"/>
          <w:sz w:val="20"/>
          <w:szCs w:val="20"/>
          <w:lang w:val="es-ES_tradnl"/>
        </w:rPr>
        <w:t xml:space="preserve">como miembros de la Fuerza Pública, irrumpió </w:t>
      </w:r>
      <w:r w:rsidR="0073009D" w:rsidRPr="007D2C56">
        <w:rPr>
          <w:rFonts w:ascii="Cambria" w:hAnsi="Cambria"/>
          <w:sz w:val="20"/>
          <w:szCs w:val="20"/>
          <w:lang w:val="es-ES_tradnl"/>
        </w:rPr>
        <w:t xml:space="preserve">por dos puntos distintos </w:t>
      </w:r>
      <w:r w:rsidRPr="007D2C56">
        <w:rPr>
          <w:rFonts w:ascii="Cambria" w:hAnsi="Cambria"/>
          <w:sz w:val="20"/>
          <w:szCs w:val="20"/>
          <w:lang w:val="es-ES_tradnl"/>
        </w:rPr>
        <w:t>a</w:t>
      </w:r>
      <w:r w:rsidR="00C060AA" w:rsidRPr="007D2C56">
        <w:rPr>
          <w:rFonts w:ascii="Cambria" w:hAnsi="Cambria"/>
          <w:sz w:val="20"/>
          <w:szCs w:val="20"/>
          <w:lang w:val="es-ES_tradnl"/>
        </w:rPr>
        <w:t xml:space="preserve">l municipio de Villanueva, y en el curso de las siguientes horas asesinó a </w:t>
      </w:r>
      <w:r w:rsidR="0073009D" w:rsidRPr="007D2C56">
        <w:rPr>
          <w:rFonts w:ascii="Cambria" w:hAnsi="Cambria"/>
          <w:sz w:val="20"/>
          <w:szCs w:val="20"/>
          <w:lang w:val="es-ES_tradnl"/>
        </w:rPr>
        <w:t xml:space="preserve">doce </w:t>
      </w:r>
      <w:r w:rsidR="00C060AA" w:rsidRPr="007D2C56">
        <w:rPr>
          <w:rFonts w:ascii="Cambria" w:hAnsi="Cambria"/>
          <w:sz w:val="20"/>
          <w:szCs w:val="20"/>
          <w:lang w:val="es-ES_tradnl"/>
        </w:rPr>
        <w:t>personas, habitantes de los barrios El Cafetal y San Luis</w:t>
      </w:r>
      <w:r w:rsidR="0073009D" w:rsidRPr="007D2C56">
        <w:rPr>
          <w:rFonts w:ascii="Cambria" w:hAnsi="Cambria"/>
          <w:sz w:val="20"/>
          <w:szCs w:val="20"/>
          <w:lang w:val="es-ES_tradnl"/>
        </w:rPr>
        <w:t>, cuyos nombres portaban en una lista para ser eliminados</w:t>
      </w:r>
      <w:r w:rsidR="005D18FB" w:rsidRPr="007D2C56">
        <w:rPr>
          <w:rFonts w:ascii="Cambria" w:hAnsi="Cambria"/>
          <w:sz w:val="20"/>
          <w:szCs w:val="20"/>
          <w:lang w:val="es-ES_tradnl"/>
        </w:rPr>
        <w:t>, o bien fueron confrontados en sus casas o en la vía pública por los asaltantes en el curso de la toma paramilitar</w:t>
      </w:r>
      <w:r w:rsidR="00C060AA" w:rsidRPr="007D2C56">
        <w:rPr>
          <w:rFonts w:ascii="Cambria" w:hAnsi="Cambria"/>
          <w:sz w:val="20"/>
          <w:szCs w:val="20"/>
          <w:lang w:val="es-ES_tradnl"/>
        </w:rPr>
        <w:t xml:space="preserve">. </w:t>
      </w:r>
      <w:r w:rsidR="00637E95" w:rsidRPr="007D2C56">
        <w:rPr>
          <w:rFonts w:ascii="Cambria" w:hAnsi="Cambria"/>
          <w:sz w:val="20"/>
          <w:szCs w:val="20"/>
          <w:lang w:val="es-ES_tradnl"/>
        </w:rPr>
        <w:t>Algunos de los habitantes del pueblo se enfrentaron a los atacantes con armas de fuego, pero en su mayoría las víctimas fueron asesinadas mientras se encontraban en estado de indefensión en sus hogares o en la</w:t>
      </w:r>
      <w:r w:rsidR="005D18FB" w:rsidRPr="007D2C56">
        <w:rPr>
          <w:rFonts w:ascii="Cambria" w:hAnsi="Cambria"/>
          <w:sz w:val="20"/>
          <w:szCs w:val="20"/>
          <w:lang w:val="es-ES_tradnl"/>
        </w:rPr>
        <w:t>s</w:t>
      </w:r>
      <w:r w:rsidR="00637E95" w:rsidRPr="007D2C56">
        <w:rPr>
          <w:rFonts w:ascii="Cambria" w:hAnsi="Cambria"/>
          <w:sz w:val="20"/>
          <w:szCs w:val="20"/>
          <w:lang w:val="es-ES_tradnl"/>
        </w:rPr>
        <w:t xml:space="preserve"> </w:t>
      </w:r>
      <w:r w:rsidR="005D18FB" w:rsidRPr="007D2C56">
        <w:rPr>
          <w:rFonts w:ascii="Cambria" w:hAnsi="Cambria"/>
          <w:sz w:val="20"/>
          <w:szCs w:val="20"/>
          <w:lang w:val="es-ES_tradnl"/>
        </w:rPr>
        <w:t>calles</w:t>
      </w:r>
      <w:r w:rsidR="0073009D" w:rsidRPr="007D2C56">
        <w:rPr>
          <w:rFonts w:ascii="Cambria" w:hAnsi="Cambria"/>
          <w:sz w:val="20"/>
          <w:szCs w:val="20"/>
          <w:lang w:val="es-ES_tradnl"/>
        </w:rPr>
        <w:t>, en medio de la confusión y el pánico que se extendió hasta la mañana del día siguiente</w:t>
      </w:r>
      <w:r w:rsidR="00637E95" w:rsidRPr="007D2C56">
        <w:rPr>
          <w:rFonts w:ascii="Cambria" w:hAnsi="Cambria"/>
          <w:sz w:val="20"/>
          <w:szCs w:val="20"/>
          <w:lang w:val="es-ES_tradnl"/>
        </w:rPr>
        <w:t xml:space="preserve">. Varias de estas personas fueron asesinadas frente a sus familiares, incluyendo </w:t>
      </w:r>
      <w:r w:rsidRPr="007D2C56">
        <w:rPr>
          <w:rFonts w:ascii="Cambria" w:hAnsi="Cambria"/>
          <w:sz w:val="20"/>
          <w:szCs w:val="20"/>
          <w:lang w:val="es-ES_tradnl"/>
        </w:rPr>
        <w:t xml:space="preserve">niños </w:t>
      </w:r>
      <w:r w:rsidR="00637E95" w:rsidRPr="007D2C56">
        <w:rPr>
          <w:rFonts w:ascii="Cambria" w:hAnsi="Cambria"/>
          <w:sz w:val="20"/>
          <w:szCs w:val="20"/>
          <w:lang w:val="es-ES_tradnl"/>
        </w:rPr>
        <w:t xml:space="preserve">pequeños. </w:t>
      </w:r>
    </w:p>
    <w:p w14:paraId="7E7046FE" w14:textId="2B2C51CE" w:rsidR="0073009D" w:rsidRPr="007D2C56" w:rsidRDefault="00E2306E" w:rsidP="00E2306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D2C56">
        <w:rPr>
          <w:rFonts w:ascii="Cambria" w:hAnsi="Cambria"/>
          <w:sz w:val="20"/>
          <w:szCs w:val="20"/>
          <w:lang w:val="es-ES_tradnl"/>
        </w:rPr>
        <w:t xml:space="preserve">3. </w:t>
      </w:r>
      <w:r w:rsidR="00A663FB" w:rsidRPr="007D2C56">
        <w:rPr>
          <w:rFonts w:ascii="Cambria" w:hAnsi="Cambria"/>
          <w:sz w:val="20"/>
          <w:szCs w:val="20"/>
          <w:lang w:val="es-ES_tradnl"/>
        </w:rPr>
        <w:tab/>
      </w:r>
      <w:r w:rsidR="0073009D" w:rsidRPr="007D2C56">
        <w:rPr>
          <w:rFonts w:ascii="Cambria" w:hAnsi="Cambria"/>
          <w:sz w:val="20"/>
          <w:szCs w:val="20"/>
          <w:lang w:val="es-ES_tradnl"/>
        </w:rPr>
        <w:t>Las víctimas mortales de esta masacre fueron: José Aníbal Garcerant Mejía, Julio Contreras Rincones, Nefer Augusto David López, Alexander Enrique David López, Bartolomé Contreras Molina, José Luis Rosado Quintero, Javier Enrique Olmedo Campo, Ramiro Moisés Campo Peñaloza, Erinson José Damián Rojas, José Luis Dangond Quintero, Geison Torres y Elis Fabián Montero Chinchia.</w:t>
      </w:r>
      <w:r w:rsidR="00685875" w:rsidRPr="007D2C56">
        <w:rPr>
          <w:rFonts w:ascii="Cambria" w:hAnsi="Cambria"/>
          <w:sz w:val="20"/>
          <w:szCs w:val="20"/>
          <w:lang w:val="es-ES_tradnl"/>
        </w:rPr>
        <w:t xml:space="preserve"> Según afirma la petición, se trataba de particulares civiles que no formaban parte de ningún grupo armado o ilegal: </w:t>
      </w:r>
      <w:r w:rsidR="00685875" w:rsidRPr="007D2C56">
        <w:rPr>
          <w:rFonts w:ascii="Cambria" w:hAnsi="Cambria"/>
          <w:i/>
          <w:iCs/>
          <w:sz w:val="20"/>
          <w:szCs w:val="20"/>
          <w:lang w:val="es-ES_tradnl"/>
        </w:rPr>
        <w:t>“a ninguna de las víctimas se les encontró armas, uniformes o elementos que pudieran indicar su pertenencia a alguno de los grupos armados. La Fiscalía 8 Delegada y la Fiscalía Local 002 realizaron una inspección a los cadáveres, estableciendo que los muertos no habían caído en combate y que se les había quitado la vida en estado de indefensión.”</w:t>
      </w:r>
    </w:p>
    <w:p w14:paraId="5FC417BC" w14:textId="35DAD8F4" w:rsidR="00A5194B" w:rsidRPr="007D2C56" w:rsidRDefault="00E2306E" w:rsidP="00E2306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D2C56">
        <w:rPr>
          <w:rFonts w:ascii="Cambria" w:hAnsi="Cambria"/>
          <w:sz w:val="20"/>
          <w:szCs w:val="20"/>
          <w:lang w:val="es-ES_tradnl"/>
        </w:rPr>
        <w:t xml:space="preserve">4. </w:t>
      </w:r>
      <w:r w:rsidR="007532D1" w:rsidRPr="007D2C56">
        <w:rPr>
          <w:rFonts w:ascii="Cambria" w:hAnsi="Cambria"/>
          <w:sz w:val="20"/>
          <w:szCs w:val="20"/>
          <w:lang w:val="es-ES_tradnl"/>
        </w:rPr>
        <w:tab/>
      </w:r>
      <w:r w:rsidR="00A5194B" w:rsidRPr="007D2C56">
        <w:rPr>
          <w:rFonts w:ascii="Cambria" w:hAnsi="Cambria"/>
          <w:sz w:val="20"/>
          <w:szCs w:val="20"/>
          <w:lang w:val="es-ES_tradnl"/>
        </w:rPr>
        <w:t>Para la parte peticionaria, el Estado es responsable a título de participación de algunos de sus agentes en la masacre</w:t>
      </w:r>
      <w:r w:rsidR="007532D1" w:rsidRPr="007D2C56">
        <w:rPr>
          <w:rFonts w:ascii="Cambria" w:hAnsi="Cambria"/>
          <w:sz w:val="20"/>
          <w:szCs w:val="20"/>
          <w:lang w:val="es-ES_tradnl"/>
        </w:rPr>
        <w:t>;</w:t>
      </w:r>
      <w:r w:rsidR="00A5194B" w:rsidRPr="007D2C56">
        <w:rPr>
          <w:rFonts w:ascii="Cambria" w:hAnsi="Cambria"/>
          <w:sz w:val="20"/>
          <w:szCs w:val="20"/>
          <w:lang w:val="es-ES_tradnl"/>
        </w:rPr>
        <w:t xml:space="preserve"> así como por su aquiescencia, permisividad</w:t>
      </w:r>
      <w:r w:rsidR="005D18FB" w:rsidRPr="007D2C56">
        <w:rPr>
          <w:rFonts w:ascii="Cambria" w:hAnsi="Cambria"/>
          <w:sz w:val="20"/>
          <w:szCs w:val="20"/>
          <w:lang w:val="es-ES_tradnl"/>
        </w:rPr>
        <w:t>, omisión</w:t>
      </w:r>
      <w:r w:rsidR="00A5194B" w:rsidRPr="007D2C56">
        <w:rPr>
          <w:rFonts w:ascii="Cambria" w:hAnsi="Cambria"/>
          <w:sz w:val="20"/>
          <w:szCs w:val="20"/>
          <w:lang w:val="es-ES_tradnl"/>
        </w:rPr>
        <w:t xml:space="preserve"> y apoyo a la acción de los paramilitares, especialmente por no haber prevenido la matanza aunque estaba en condiciones de hacerlo, y por haber </w:t>
      </w:r>
      <w:r w:rsidR="005D18FB" w:rsidRPr="007D2C56">
        <w:rPr>
          <w:rFonts w:ascii="Cambria" w:hAnsi="Cambria"/>
          <w:sz w:val="20"/>
          <w:szCs w:val="20"/>
          <w:lang w:val="es-ES_tradnl"/>
        </w:rPr>
        <w:t xml:space="preserve">facilitado </w:t>
      </w:r>
      <w:r w:rsidR="00A5194B" w:rsidRPr="007D2C56">
        <w:rPr>
          <w:rFonts w:ascii="Cambria" w:hAnsi="Cambria"/>
          <w:sz w:val="20"/>
          <w:szCs w:val="20"/>
          <w:lang w:val="es-ES_tradnl"/>
        </w:rPr>
        <w:t>la huida de los homicidas con su accionar lento</w:t>
      </w:r>
      <w:r w:rsidR="005D18FB" w:rsidRPr="007D2C56">
        <w:rPr>
          <w:rFonts w:ascii="Cambria" w:hAnsi="Cambria"/>
          <w:sz w:val="20"/>
          <w:szCs w:val="20"/>
          <w:lang w:val="es-ES_tradnl"/>
        </w:rPr>
        <w:t xml:space="preserve"> </w:t>
      </w:r>
      <w:r w:rsidR="00A5194B" w:rsidRPr="007D2C56">
        <w:rPr>
          <w:rFonts w:ascii="Cambria" w:hAnsi="Cambria"/>
          <w:sz w:val="20"/>
          <w:szCs w:val="20"/>
          <w:lang w:val="es-ES_tradnl"/>
        </w:rPr>
        <w:t xml:space="preserve">e ineficaz tras la perpetración del crimen. </w:t>
      </w:r>
    </w:p>
    <w:p w14:paraId="0ADCC6CF" w14:textId="3FF2774B" w:rsidR="00271BA6" w:rsidRPr="007D2C56" w:rsidRDefault="00E2306E" w:rsidP="00E2306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D2C56">
        <w:rPr>
          <w:rFonts w:ascii="Cambria" w:hAnsi="Cambria"/>
          <w:sz w:val="20"/>
          <w:szCs w:val="20"/>
          <w:lang w:val="es-ES_tradnl"/>
        </w:rPr>
        <w:t xml:space="preserve">5. </w:t>
      </w:r>
      <w:r w:rsidR="002F169C" w:rsidRPr="007D2C56">
        <w:rPr>
          <w:rFonts w:ascii="Cambria" w:hAnsi="Cambria"/>
          <w:sz w:val="20"/>
          <w:szCs w:val="20"/>
          <w:lang w:val="es-ES_tradnl"/>
        </w:rPr>
        <w:tab/>
      </w:r>
      <w:r w:rsidR="00271BA6" w:rsidRPr="007D2C56">
        <w:rPr>
          <w:rFonts w:ascii="Cambria" w:hAnsi="Cambria"/>
          <w:sz w:val="20"/>
          <w:szCs w:val="20"/>
          <w:lang w:val="es-ES_tradnl"/>
        </w:rPr>
        <w:t xml:space="preserve">Los peticionarios indican que el grupo </w:t>
      </w:r>
      <w:r w:rsidR="00685875" w:rsidRPr="007D2C56">
        <w:rPr>
          <w:rFonts w:ascii="Cambria" w:hAnsi="Cambria"/>
          <w:sz w:val="20"/>
          <w:szCs w:val="20"/>
          <w:lang w:val="es-ES_tradnl"/>
        </w:rPr>
        <w:t xml:space="preserve">de hombres que perpetró la masacre </w:t>
      </w:r>
      <w:r w:rsidR="00271BA6" w:rsidRPr="007D2C56">
        <w:rPr>
          <w:rFonts w:ascii="Cambria" w:hAnsi="Cambria"/>
          <w:sz w:val="20"/>
          <w:szCs w:val="20"/>
          <w:lang w:val="es-ES_tradnl"/>
        </w:rPr>
        <w:t>se presentó al municipio usando prendas de uso privativo de las fuerzas militares colombianas, portando armas de fuego de corto y largo alcance</w:t>
      </w:r>
      <w:r w:rsidR="004D0D8E" w:rsidRPr="007D2C56">
        <w:rPr>
          <w:rFonts w:ascii="Cambria" w:hAnsi="Cambria"/>
          <w:sz w:val="20"/>
          <w:szCs w:val="20"/>
          <w:lang w:val="es-ES_tradnl"/>
        </w:rPr>
        <w:t>;</w:t>
      </w:r>
      <w:r w:rsidR="00271BA6" w:rsidRPr="007D2C56">
        <w:rPr>
          <w:rFonts w:ascii="Cambria" w:hAnsi="Cambria"/>
          <w:sz w:val="20"/>
          <w:szCs w:val="20"/>
          <w:lang w:val="es-ES_tradnl"/>
        </w:rPr>
        <w:t xml:space="preserve"> y que </w:t>
      </w:r>
      <w:r w:rsidR="00271BA6" w:rsidRPr="007D2C56">
        <w:rPr>
          <w:rFonts w:ascii="Cambria" w:hAnsi="Cambria"/>
          <w:i/>
          <w:iCs/>
          <w:sz w:val="20"/>
          <w:szCs w:val="20"/>
          <w:lang w:val="es-ES_tradnl"/>
        </w:rPr>
        <w:t>“utilizó varias vías terrestres (camiones) para efectos de concentrar sus efectivos, ingresar y movilizarse en la región durante los días previos y posteriores al hecho”</w:t>
      </w:r>
      <w:r w:rsidR="00271BA6" w:rsidRPr="007D2C56">
        <w:rPr>
          <w:rFonts w:ascii="Cambria" w:hAnsi="Cambria"/>
          <w:sz w:val="20"/>
          <w:szCs w:val="20"/>
          <w:lang w:val="es-ES_tradnl"/>
        </w:rPr>
        <w:t xml:space="preserve">. </w:t>
      </w:r>
      <w:r w:rsidR="00685875" w:rsidRPr="007D2C56">
        <w:rPr>
          <w:rFonts w:ascii="Cambria" w:hAnsi="Cambria"/>
          <w:sz w:val="20"/>
          <w:szCs w:val="20"/>
          <w:lang w:val="es-ES_tradnl"/>
        </w:rPr>
        <w:t>Según se indica, u</w:t>
      </w:r>
      <w:r w:rsidR="00271BA6" w:rsidRPr="007D2C56">
        <w:rPr>
          <w:rFonts w:ascii="Cambria" w:hAnsi="Cambria"/>
          <w:sz w:val="20"/>
          <w:szCs w:val="20"/>
          <w:lang w:val="es-ES_tradnl"/>
        </w:rPr>
        <w:t>no de los grupos paramilitares que se concentraron en Villanueva, proveniente de</w:t>
      </w:r>
      <w:r w:rsidR="00685875" w:rsidRPr="007D2C56">
        <w:rPr>
          <w:rFonts w:ascii="Cambria" w:hAnsi="Cambria"/>
          <w:sz w:val="20"/>
          <w:szCs w:val="20"/>
          <w:lang w:val="es-ES_tradnl"/>
        </w:rPr>
        <w:t xml:space="preserve"> </w:t>
      </w:r>
      <w:r w:rsidR="00271BA6" w:rsidRPr="007D2C56">
        <w:rPr>
          <w:rFonts w:ascii="Cambria" w:hAnsi="Cambria"/>
          <w:sz w:val="20"/>
          <w:szCs w:val="20"/>
          <w:lang w:val="es-ES_tradnl"/>
        </w:rPr>
        <w:t>l</w:t>
      </w:r>
      <w:r w:rsidR="00685875" w:rsidRPr="007D2C56">
        <w:rPr>
          <w:rFonts w:ascii="Cambria" w:hAnsi="Cambria"/>
          <w:sz w:val="20"/>
          <w:szCs w:val="20"/>
          <w:lang w:val="es-ES_tradnl"/>
        </w:rPr>
        <w:t>a zona de Bonda en el</w:t>
      </w:r>
      <w:r w:rsidR="00271BA6" w:rsidRPr="007D2C56">
        <w:rPr>
          <w:rFonts w:ascii="Cambria" w:hAnsi="Cambria"/>
          <w:sz w:val="20"/>
          <w:szCs w:val="20"/>
          <w:lang w:val="es-ES_tradnl"/>
        </w:rPr>
        <w:t xml:space="preserve"> departamento del Magdalena, llegó a bordo de un camión del Ejército conducido por un sargento, que les </w:t>
      </w:r>
      <w:r w:rsidR="0073009D" w:rsidRPr="007D2C56">
        <w:rPr>
          <w:rFonts w:ascii="Cambria" w:hAnsi="Cambria"/>
          <w:sz w:val="20"/>
          <w:szCs w:val="20"/>
          <w:lang w:val="es-ES_tradnl"/>
        </w:rPr>
        <w:t xml:space="preserve">transportó hacia su destino a través del municipio de San </w:t>
      </w:r>
      <w:r w:rsidRPr="007D2C56">
        <w:rPr>
          <w:rFonts w:ascii="Cambria" w:hAnsi="Cambria"/>
          <w:sz w:val="20"/>
          <w:szCs w:val="20"/>
          <w:lang w:val="es-ES_tradnl"/>
        </w:rPr>
        <w:t>Á</w:t>
      </w:r>
      <w:r w:rsidR="0073009D" w:rsidRPr="007D2C56">
        <w:rPr>
          <w:rFonts w:ascii="Cambria" w:hAnsi="Cambria"/>
          <w:sz w:val="20"/>
          <w:szCs w:val="20"/>
          <w:lang w:val="es-ES_tradnl"/>
        </w:rPr>
        <w:t xml:space="preserve">ngel, en donde pernoctaron y se entrevistaron con los comandantes paramilitares alias “Jorge 40” y “Daniel”, quienes desde allí coordinaron el ataque. </w:t>
      </w:r>
    </w:p>
    <w:p w14:paraId="44C28753" w14:textId="262EC5E9" w:rsidR="00685875" w:rsidRPr="007D2C56" w:rsidRDefault="00E2306E" w:rsidP="004D0D8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D2C56">
        <w:rPr>
          <w:rFonts w:ascii="Cambria" w:hAnsi="Cambria"/>
          <w:sz w:val="20"/>
          <w:szCs w:val="20"/>
          <w:lang w:val="es-ES_tradnl"/>
        </w:rPr>
        <w:t xml:space="preserve">6. </w:t>
      </w:r>
      <w:r w:rsidR="004D0D8E" w:rsidRPr="007D2C56">
        <w:rPr>
          <w:rFonts w:ascii="Cambria" w:hAnsi="Cambria"/>
          <w:sz w:val="20"/>
          <w:szCs w:val="20"/>
          <w:lang w:val="es-ES_tradnl"/>
        </w:rPr>
        <w:tab/>
      </w:r>
      <w:r w:rsidR="00685875" w:rsidRPr="007D2C56">
        <w:rPr>
          <w:rFonts w:ascii="Cambria" w:hAnsi="Cambria"/>
          <w:sz w:val="20"/>
          <w:szCs w:val="20"/>
          <w:lang w:val="es-ES_tradnl"/>
        </w:rPr>
        <w:t xml:space="preserve">La petición describe la presencia de distintas unidades del </w:t>
      </w:r>
      <w:r w:rsidR="00683C6B" w:rsidRPr="007D2C56">
        <w:rPr>
          <w:rFonts w:ascii="Cambria" w:hAnsi="Cambria"/>
          <w:sz w:val="20"/>
          <w:szCs w:val="20"/>
          <w:lang w:val="es-ES_tradnl"/>
        </w:rPr>
        <w:t>e</w:t>
      </w:r>
      <w:r w:rsidR="00685875" w:rsidRPr="007D2C56">
        <w:rPr>
          <w:rFonts w:ascii="Cambria" w:hAnsi="Cambria"/>
          <w:sz w:val="20"/>
          <w:szCs w:val="20"/>
          <w:lang w:val="es-ES_tradnl"/>
        </w:rPr>
        <w:t xml:space="preserve">jército y de la </w:t>
      </w:r>
      <w:r w:rsidR="00683C6B" w:rsidRPr="007D2C56">
        <w:rPr>
          <w:rFonts w:ascii="Cambria" w:hAnsi="Cambria"/>
          <w:sz w:val="20"/>
          <w:szCs w:val="20"/>
          <w:lang w:val="es-ES_tradnl"/>
        </w:rPr>
        <w:t>p</w:t>
      </w:r>
      <w:r w:rsidR="00685875" w:rsidRPr="007D2C56">
        <w:rPr>
          <w:rFonts w:ascii="Cambria" w:hAnsi="Cambria"/>
          <w:sz w:val="20"/>
          <w:szCs w:val="20"/>
          <w:lang w:val="es-ES_tradnl"/>
        </w:rPr>
        <w:t xml:space="preserve">olicía en la zona geográfica extensa de la Región Caribe colombiana, en la que se ubica el municipio de Villanueva. También precisa que para la época de los hechos había una estación de policía de contraguerrilla en </w:t>
      </w:r>
      <w:r w:rsidRPr="007D2C56">
        <w:rPr>
          <w:rFonts w:ascii="Cambria" w:hAnsi="Cambria"/>
          <w:sz w:val="20"/>
          <w:szCs w:val="20"/>
          <w:lang w:val="es-ES_tradnl"/>
        </w:rPr>
        <w:t xml:space="preserve">el poblado de </w:t>
      </w:r>
      <w:r w:rsidR="00685875" w:rsidRPr="007D2C56">
        <w:rPr>
          <w:rFonts w:ascii="Cambria" w:hAnsi="Cambria"/>
          <w:sz w:val="20"/>
          <w:szCs w:val="20"/>
          <w:lang w:val="es-ES_tradnl"/>
        </w:rPr>
        <w:t xml:space="preserve">Villanueva, compuesta por </w:t>
      </w:r>
      <w:r w:rsidR="00683C6B" w:rsidRPr="007D2C56">
        <w:rPr>
          <w:rFonts w:ascii="Cambria" w:hAnsi="Cambria"/>
          <w:sz w:val="20"/>
          <w:szCs w:val="20"/>
          <w:lang w:val="es-ES_tradnl"/>
        </w:rPr>
        <w:t>más de treinta</w:t>
      </w:r>
      <w:r w:rsidR="00685875" w:rsidRPr="007D2C56">
        <w:rPr>
          <w:rFonts w:ascii="Cambria" w:hAnsi="Cambria"/>
          <w:sz w:val="20"/>
          <w:szCs w:val="20"/>
          <w:lang w:val="es-ES_tradnl"/>
        </w:rPr>
        <w:t xml:space="preserve"> hombres</w:t>
      </w:r>
      <w:r w:rsidR="00683C6B" w:rsidRPr="007D2C56">
        <w:rPr>
          <w:rFonts w:ascii="Cambria" w:hAnsi="Cambria"/>
          <w:sz w:val="20"/>
          <w:szCs w:val="20"/>
          <w:lang w:val="es-ES_tradnl"/>
        </w:rPr>
        <w:t>.</w:t>
      </w:r>
      <w:r w:rsidR="00685875" w:rsidRPr="007D2C56">
        <w:rPr>
          <w:rFonts w:ascii="Cambria" w:hAnsi="Cambria"/>
          <w:sz w:val="20"/>
          <w:szCs w:val="20"/>
          <w:lang w:val="es-ES_tradnl"/>
        </w:rPr>
        <w:t xml:space="preserve"> </w:t>
      </w:r>
      <w:r w:rsidR="00683C6B" w:rsidRPr="007D2C56">
        <w:rPr>
          <w:rFonts w:ascii="Cambria" w:hAnsi="Cambria"/>
          <w:sz w:val="20"/>
          <w:szCs w:val="20"/>
          <w:lang w:val="es-ES_tradnl"/>
        </w:rPr>
        <w:t xml:space="preserve">A </w:t>
      </w:r>
      <w:r w:rsidR="00685875" w:rsidRPr="007D2C56">
        <w:rPr>
          <w:rFonts w:ascii="Cambria" w:hAnsi="Cambria"/>
          <w:sz w:val="20"/>
          <w:szCs w:val="20"/>
          <w:lang w:val="es-ES_tradnl"/>
        </w:rPr>
        <w:t xml:space="preserve">aproximadamente treinta minutos de distancia, en Valledupar, estaba la sede del Departamento de Policía del Cesar, así como el batallón </w:t>
      </w:r>
      <w:r w:rsidRPr="007D2C56">
        <w:rPr>
          <w:rFonts w:ascii="Cambria" w:hAnsi="Cambria"/>
          <w:sz w:val="20"/>
          <w:szCs w:val="20"/>
          <w:lang w:val="es-ES_tradnl"/>
        </w:rPr>
        <w:t>“</w:t>
      </w:r>
      <w:r w:rsidR="00685875" w:rsidRPr="007D2C56">
        <w:rPr>
          <w:rFonts w:ascii="Cambria" w:hAnsi="Cambria"/>
          <w:sz w:val="20"/>
          <w:szCs w:val="20"/>
          <w:lang w:val="es-ES_tradnl"/>
        </w:rPr>
        <w:t>La Popa</w:t>
      </w:r>
      <w:r w:rsidRPr="007D2C56">
        <w:rPr>
          <w:rFonts w:ascii="Cambria" w:hAnsi="Cambria"/>
          <w:sz w:val="20"/>
          <w:szCs w:val="20"/>
          <w:lang w:val="es-ES_tradnl"/>
        </w:rPr>
        <w:t>”</w:t>
      </w:r>
      <w:r w:rsidR="00685875" w:rsidRPr="007D2C56">
        <w:rPr>
          <w:rFonts w:ascii="Cambria" w:hAnsi="Cambria"/>
          <w:sz w:val="20"/>
          <w:szCs w:val="20"/>
          <w:lang w:val="es-ES_tradnl"/>
        </w:rPr>
        <w:t xml:space="preserve"> del </w:t>
      </w:r>
      <w:r w:rsidR="00683C6B" w:rsidRPr="007D2C56">
        <w:rPr>
          <w:rFonts w:ascii="Cambria" w:hAnsi="Cambria"/>
          <w:sz w:val="20"/>
          <w:szCs w:val="20"/>
          <w:lang w:val="es-ES_tradnl"/>
        </w:rPr>
        <w:t>e</w:t>
      </w:r>
      <w:r w:rsidR="00685875" w:rsidRPr="007D2C56">
        <w:rPr>
          <w:rFonts w:ascii="Cambria" w:hAnsi="Cambria"/>
          <w:sz w:val="20"/>
          <w:szCs w:val="20"/>
          <w:lang w:val="es-ES_tradnl"/>
        </w:rPr>
        <w:t xml:space="preserve">jército. </w:t>
      </w:r>
      <w:r w:rsidR="00DD2F85" w:rsidRPr="007D2C56">
        <w:rPr>
          <w:rFonts w:ascii="Cambria" w:hAnsi="Cambria"/>
          <w:sz w:val="20"/>
          <w:szCs w:val="20"/>
          <w:lang w:val="es-ES_tradnl"/>
        </w:rPr>
        <w:t>Asimismo</w:t>
      </w:r>
      <w:r w:rsidR="00683C6B" w:rsidRPr="007D2C56">
        <w:rPr>
          <w:rFonts w:ascii="Cambria" w:hAnsi="Cambria"/>
          <w:sz w:val="20"/>
          <w:szCs w:val="20"/>
          <w:lang w:val="es-ES_tradnl"/>
        </w:rPr>
        <w:t>,</w:t>
      </w:r>
      <w:r w:rsidR="00DD2F85" w:rsidRPr="007D2C56">
        <w:rPr>
          <w:rFonts w:ascii="Cambria" w:hAnsi="Cambria"/>
          <w:sz w:val="20"/>
          <w:szCs w:val="20"/>
          <w:lang w:val="es-ES_tradnl"/>
        </w:rPr>
        <w:t xml:space="preserve"> </w:t>
      </w:r>
      <w:r w:rsidR="00685875" w:rsidRPr="007D2C56">
        <w:rPr>
          <w:rFonts w:ascii="Cambria" w:hAnsi="Cambria"/>
          <w:sz w:val="20"/>
          <w:szCs w:val="20"/>
          <w:lang w:val="es-ES_tradnl"/>
        </w:rPr>
        <w:t xml:space="preserve">había otro puesto de policía en San Juan del Cesar, a </w:t>
      </w:r>
      <w:r w:rsidR="005D18FB" w:rsidRPr="007D2C56">
        <w:rPr>
          <w:rFonts w:ascii="Cambria" w:hAnsi="Cambria"/>
          <w:sz w:val="20"/>
          <w:szCs w:val="20"/>
          <w:lang w:val="es-ES_tradnl"/>
        </w:rPr>
        <w:t xml:space="preserve">otros </w:t>
      </w:r>
      <w:r w:rsidR="00685875" w:rsidRPr="007D2C56">
        <w:rPr>
          <w:rFonts w:ascii="Cambria" w:hAnsi="Cambria"/>
          <w:sz w:val="20"/>
          <w:szCs w:val="20"/>
          <w:lang w:val="es-ES_tradnl"/>
        </w:rPr>
        <w:t>treinta minutos de distancia. Según afirman</w:t>
      </w:r>
      <w:r w:rsidRPr="007D2C56">
        <w:rPr>
          <w:rFonts w:ascii="Cambria" w:hAnsi="Cambria"/>
          <w:sz w:val="20"/>
          <w:szCs w:val="20"/>
          <w:lang w:val="es-ES_tradnl"/>
        </w:rPr>
        <w:t xml:space="preserve"> los peticionarios</w:t>
      </w:r>
      <w:r w:rsidR="00685875" w:rsidRPr="007D2C56">
        <w:rPr>
          <w:rFonts w:ascii="Cambria" w:hAnsi="Cambria"/>
          <w:sz w:val="20"/>
          <w:szCs w:val="20"/>
          <w:lang w:val="es-ES_tradnl"/>
        </w:rPr>
        <w:t>,</w:t>
      </w:r>
      <w:r w:rsidR="00DD2F85" w:rsidRPr="007D2C56">
        <w:rPr>
          <w:rFonts w:ascii="Cambria" w:hAnsi="Cambria"/>
          <w:sz w:val="20"/>
          <w:szCs w:val="20"/>
          <w:lang w:val="es-ES_tradnl"/>
        </w:rPr>
        <w:t xml:space="preserve"> la Fuerza Pública colombiana pudo haber contenido a los paramilitares que participaron en la matanza, </w:t>
      </w:r>
      <w:r w:rsidRPr="007D2C56">
        <w:rPr>
          <w:rFonts w:ascii="Cambria" w:hAnsi="Cambria"/>
          <w:sz w:val="20"/>
          <w:szCs w:val="20"/>
          <w:lang w:val="es-ES_tradnl"/>
        </w:rPr>
        <w:t xml:space="preserve">pero se abstuvo de </w:t>
      </w:r>
      <w:r w:rsidR="00DD2F85" w:rsidRPr="007D2C56">
        <w:rPr>
          <w:rFonts w:ascii="Cambria" w:hAnsi="Cambria"/>
          <w:sz w:val="20"/>
          <w:szCs w:val="20"/>
          <w:lang w:val="es-ES_tradnl"/>
        </w:rPr>
        <w:t>hacerlo</w:t>
      </w:r>
      <w:r w:rsidR="00AB6F74" w:rsidRPr="007D2C56">
        <w:rPr>
          <w:rFonts w:ascii="Cambria" w:hAnsi="Cambria"/>
          <w:sz w:val="20"/>
          <w:szCs w:val="20"/>
          <w:lang w:val="es-ES_tradnl"/>
        </w:rPr>
        <w:t>. A este respecto señala la parte peticionaria</w:t>
      </w:r>
      <w:r w:rsidR="00DD2F85" w:rsidRPr="007D2C56">
        <w:rPr>
          <w:rFonts w:ascii="Cambria" w:hAnsi="Cambria"/>
          <w:sz w:val="20"/>
          <w:szCs w:val="20"/>
          <w:lang w:val="es-ES_tradnl"/>
        </w:rPr>
        <w:t>:</w:t>
      </w:r>
      <w:r w:rsidR="00685875" w:rsidRPr="007D2C56">
        <w:rPr>
          <w:rFonts w:ascii="Cambria" w:hAnsi="Cambria"/>
          <w:sz w:val="20"/>
          <w:szCs w:val="20"/>
          <w:lang w:val="es-ES_tradnl"/>
        </w:rPr>
        <w:t xml:space="preserve"> </w:t>
      </w:r>
    </w:p>
    <w:p w14:paraId="33543BE7" w14:textId="5232942F" w:rsidR="00DD2F85" w:rsidRPr="006436A8" w:rsidRDefault="00AB6F74" w:rsidP="00F973F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ES_tradnl"/>
        </w:rPr>
      </w:pPr>
      <w:r w:rsidRPr="006436A8">
        <w:rPr>
          <w:rFonts w:ascii="Cambria" w:hAnsi="Cambria"/>
          <w:sz w:val="20"/>
          <w:szCs w:val="20"/>
          <w:lang w:val="es-ES_tradnl"/>
        </w:rPr>
        <w:lastRenderedPageBreak/>
        <w:t>[E]</w:t>
      </w:r>
      <w:r w:rsidR="00685875" w:rsidRPr="006436A8">
        <w:rPr>
          <w:rFonts w:ascii="Cambria" w:hAnsi="Cambria"/>
          <w:sz w:val="20"/>
          <w:szCs w:val="20"/>
          <w:lang w:val="es-ES_tradnl"/>
        </w:rPr>
        <w:t xml:space="preserve">l dispositivo policial-militar [en la zona] contempla diversos puestos fijos donde se ejerce un estricto control poblacional (retenes y puestos fijos de control – horarios limitados de tránsito de vehículos) sobre las vías principales que conectan a esta zona del país con las ciudades de Valledupar y Riohacha. Estos puestos fijos funcionaban </w:t>
      </w:r>
      <w:r w:rsidR="00DD2F85" w:rsidRPr="006436A8">
        <w:rPr>
          <w:rFonts w:ascii="Cambria" w:hAnsi="Cambria"/>
          <w:sz w:val="20"/>
          <w:szCs w:val="20"/>
          <w:lang w:val="es-ES_tradnl"/>
        </w:rPr>
        <w:t xml:space="preserve">plenamente para los días en que el grueso grupo paramilitar ingresó a la zona. || Antes de desplegar su acción homicida varios comandos de los grupos paramilitares que participaron en la acción reunidos previamente a los hechos se movilizaron en vehículos pesados (camiones) y cruzaron por diversos sitios donde existían puestos de control de la fuerza pública. || Las autoridades militares y de policía contaron con información previa relevante para contener la acción del grupo paramilitar. El movimiento, la presencia y el designio criminal del numeroso grupo de paramilitares que se concentró en la zona para desplegar su acción violenta (aproximadamente 200) fue advertida a las autoridades. </w:t>
      </w:r>
    </w:p>
    <w:p w14:paraId="5E531D10" w14:textId="77777777" w:rsidR="00DE228E" w:rsidRPr="007D2C56" w:rsidRDefault="00E2306E" w:rsidP="00F973F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D2C56">
        <w:rPr>
          <w:rFonts w:ascii="Cambria" w:hAnsi="Cambria"/>
          <w:sz w:val="20"/>
          <w:szCs w:val="20"/>
          <w:lang w:val="es-ES_tradnl"/>
        </w:rPr>
        <w:t xml:space="preserve">7. </w:t>
      </w:r>
      <w:r w:rsidR="00F973F6" w:rsidRPr="007D2C56">
        <w:rPr>
          <w:rFonts w:ascii="Cambria" w:hAnsi="Cambria"/>
          <w:sz w:val="20"/>
          <w:szCs w:val="20"/>
          <w:lang w:val="es-ES_tradnl"/>
        </w:rPr>
        <w:tab/>
      </w:r>
      <w:r w:rsidR="00DD2F85" w:rsidRPr="007D2C56">
        <w:rPr>
          <w:rFonts w:ascii="Cambria" w:hAnsi="Cambria"/>
          <w:sz w:val="20"/>
          <w:szCs w:val="20"/>
          <w:lang w:val="es-ES_tradnl"/>
        </w:rPr>
        <w:t xml:space="preserve">También afirma </w:t>
      </w:r>
      <w:r w:rsidRPr="007D2C56">
        <w:rPr>
          <w:rFonts w:ascii="Cambria" w:hAnsi="Cambria"/>
          <w:sz w:val="20"/>
          <w:szCs w:val="20"/>
          <w:lang w:val="es-ES_tradnl"/>
        </w:rPr>
        <w:t xml:space="preserve">la parte peticionaria </w:t>
      </w:r>
      <w:r w:rsidR="00DD2F85" w:rsidRPr="007D2C56">
        <w:rPr>
          <w:rFonts w:ascii="Cambria" w:hAnsi="Cambria"/>
          <w:sz w:val="20"/>
          <w:szCs w:val="20"/>
          <w:lang w:val="es-ES_tradnl"/>
        </w:rPr>
        <w:t>que</w:t>
      </w:r>
      <w:r w:rsidRPr="007D2C56">
        <w:rPr>
          <w:rFonts w:ascii="Cambria" w:hAnsi="Cambria"/>
          <w:sz w:val="20"/>
          <w:szCs w:val="20"/>
          <w:lang w:val="es-ES_tradnl"/>
        </w:rPr>
        <w:t>,</w:t>
      </w:r>
      <w:r w:rsidR="00DD2F85" w:rsidRPr="007D2C56">
        <w:rPr>
          <w:rFonts w:ascii="Cambria" w:hAnsi="Cambria"/>
          <w:sz w:val="20"/>
          <w:szCs w:val="20"/>
          <w:lang w:val="es-ES_tradnl"/>
        </w:rPr>
        <w:t xml:space="preserve"> según la versión libre dada por un comandante paramilitar ante la jurisdicción de “Justicia y Paz”</w:t>
      </w:r>
      <w:r w:rsidR="00F973F6" w:rsidRPr="007D2C56">
        <w:rPr>
          <w:rFonts w:ascii="Cambria" w:hAnsi="Cambria"/>
          <w:sz w:val="20"/>
          <w:szCs w:val="20"/>
          <w:lang w:val="es-ES_tradnl"/>
        </w:rPr>
        <w:t>:</w:t>
      </w:r>
      <w:r w:rsidR="00DD2F85" w:rsidRPr="007D2C56">
        <w:rPr>
          <w:rFonts w:ascii="Cambria" w:hAnsi="Cambria"/>
          <w:sz w:val="20"/>
          <w:szCs w:val="20"/>
          <w:lang w:val="es-ES_tradnl"/>
        </w:rPr>
        <w:t xml:space="preserve"> </w:t>
      </w:r>
    </w:p>
    <w:p w14:paraId="4443E2DB" w14:textId="2CEB34D3" w:rsidR="00DE228E" w:rsidRPr="006436A8" w:rsidRDefault="00DE228E" w:rsidP="00DE228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ES_tradnl"/>
        </w:rPr>
      </w:pPr>
      <w:r w:rsidRPr="006436A8">
        <w:rPr>
          <w:rFonts w:ascii="Cambria" w:hAnsi="Cambria"/>
          <w:sz w:val="20"/>
          <w:szCs w:val="20"/>
          <w:lang w:val="es-ES_tradnl"/>
        </w:rPr>
        <w:t>[U]</w:t>
      </w:r>
      <w:r w:rsidR="00DD2F85" w:rsidRPr="006436A8">
        <w:rPr>
          <w:rFonts w:ascii="Cambria" w:hAnsi="Cambria"/>
          <w:sz w:val="20"/>
          <w:szCs w:val="20"/>
          <w:lang w:val="es-ES_tradnl"/>
        </w:rPr>
        <w:t xml:space="preserve">no de estos grupos el de procedencia del Magdalena se acantonó 24 horas en la base militar de Bosconia-Cesar. </w:t>
      </w:r>
      <w:r w:rsidR="00F973F6" w:rsidRPr="006436A8">
        <w:rPr>
          <w:rFonts w:ascii="Cambria" w:hAnsi="Cambria"/>
          <w:sz w:val="20"/>
          <w:szCs w:val="20"/>
          <w:lang w:val="es-ES_tradnl"/>
        </w:rPr>
        <w:t>[</w:t>
      </w:r>
      <w:r w:rsidR="00DD2F85" w:rsidRPr="006436A8">
        <w:rPr>
          <w:rFonts w:ascii="Cambria" w:hAnsi="Cambria"/>
          <w:sz w:val="20"/>
          <w:szCs w:val="20"/>
          <w:lang w:val="es-ES_tradnl"/>
        </w:rPr>
        <w:t>…</w:t>
      </w:r>
      <w:r w:rsidR="00F973F6" w:rsidRPr="006436A8">
        <w:rPr>
          <w:rFonts w:ascii="Cambria" w:hAnsi="Cambria"/>
          <w:sz w:val="20"/>
          <w:szCs w:val="20"/>
          <w:lang w:val="es-ES_tradnl"/>
        </w:rPr>
        <w:t>]</w:t>
      </w:r>
      <w:r w:rsidR="00DD2F85" w:rsidRPr="006436A8">
        <w:rPr>
          <w:rFonts w:ascii="Cambria" w:hAnsi="Cambria"/>
          <w:sz w:val="20"/>
          <w:szCs w:val="20"/>
          <w:lang w:val="es-ES_tradnl"/>
        </w:rPr>
        <w:t xml:space="preserve"> El mismo día que inicia el recorrido paramilitar desde la población de San Ángel – Magdalena, en donde sale el gran número de paramilitares en camiones, pasaron por diversos puestos de Policía y Ejército y no fueron detenidos, antes por el contrario tuvieron tiempo de descansar en diversas poblaciones en presencia de unidades militares como fue el caso de la base militar de Bosconia- Cesar hasta llegar el 7 de diciembre a Villanueva – Guajira. </w:t>
      </w:r>
    </w:p>
    <w:p w14:paraId="4C9C9B9C" w14:textId="4607961C" w:rsidR="00685875" w:rsidRPr="007D2C56" w:rsidRDefault="00DD2F85" w:rsidP="00DE228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D2C56">
        <w:rPr>
          <w:rFonts w:ascii="Cambria" w:hAnsi="Cambria"/>
          <w:sz w:val="20"/>
          <w:szCs w:val="20"/>
          <w:lang w:val="es-ES_tradnl"/>
        </w:rPr>
        <w:t xml:space="preserve">Por su parte, los agentes de la </w:t>
      </w:r>
      <w:r w:rsidR="00BC2368" w:rsidRPr="007D2C56">
        <w:rPr>
          <w:rFonts w:ascii="Cambria" w:hAnsi="Cambria"/>
          <w:sz w:val="20"/>
          <w:szCs w:val="20"/>
          <w:lang w:val="es-ES_tradnl"/>
        </w:rPr>
        <w:t>p</w:t>
      </w:r>
      <w:r w:rsidRPr="007D2C56">
        <w:rPr>
          <w:rFonts w:ascii="Cambria" w:hAnsi="Cambria"/>
          <w:sz w:val="20"/>
          <w:szCs w:val="20"/>
          <w:lang w:val="es-ES_tradnl"/>
        </w:rPr>
        <w:t xml:space="preserve">olicía que estaban en la estación de </w:t>
      </w:r>
      <w:r w:rsidR="00E2306E" w:rsidRPr="007D2C56">
        <w:rPr>
          <w:rFonts w:ascii="Cambria" w:hAnsi="Cambria"/>
          <w:sz w:val="20"/>
          <w:szCs w:val="20"/>
          <w:lang w:val="es-ES_tradnl"/>
        </w:rPr>
        <w:t xml:space="preserve">Villanueva </w:t>
      </w:r>
      <w:r w:rsidRPr="007D2C56">
        <w:rPr>
          <w:rFonts w:ascii="Cambria" w:hAnsi="Cambria"/>
          <w:sz w:val="20"/>
          <w:szCs w:val="20"/>
          <w:lang w:val="es-ES_tradnl"/>
        </w:rPr>
        <w:t xml:space="preserve">se limitaron, ante el ataque, a lanzar algunas luces de bengala en llamamiento a refuerzos, pero no enfrentaron a los paramilitares durante las </w:t>
      </w:r>
      <w:r w:rsidR="00A23166" w:rsidRPr="007D2C56">
        <w:rPr>
          <w:rFonts w:ascii="Cambria" w:hAnsi="Cambria"/>
          <w:sz w:val="20"/>
          <w:szCs w:val="20"/>
          <w:lang w:val="es-ES_tradnl"/>
        </w:rPr>
        <w:t>cinco</w:t>
      </w:r>
      <w:r w:rsidRPr="007D2C56">
        <w:rPr>
          <w:rFonts w:ascii="Cambria" w:hAnsi="Cambria"/>
          <w:sz w:val="20"/>
          <w:szCs w:val="20"/>
          <w:lang w:val="es-ES_tradnl"/>
        </w:rPr>
        <w:t xml:space="preserve"> a </w:t>
      </w:r>
      <w:r w:rsidR="00A23166" w:rsidRPr="007D2C56">
        <w:rPr>
          <w:rFonts w:ascii="Cambria" w:hAnsi="Cambria"/>
          <w:sz w:val="20"/>
          <w:szCs w:val="20"/>
          <w:lang w:val="es-ES_tradnl"/>
        </w:rPr>
        <w:t>seis</w:t>
      </w:r>
      <w:r w:rsidRPr="007D2C56">
        <w:rPr>
          <w:rFonts w:ascii="Cambria" w:hAnsi="Cambria"/>
          <w:sz w:val="20"/>
          <w:szCs w:val="20"/>
          <w:lang w:val="es-ES_tradnl"/>
        </w:rPr>
        <w:t xml:space="preserve"> horas en que éstos se tomaron el poblado y asesinaron a las víctimas. </w:t>
      </w:r>
      <w:r w:rsidR="00A23166" w:rsidRPr="007D2C56">
        <w:rPr>
          <w:rFonts w:ascii="Cambria" w:hAnsi="Cambria"/>
          <w:sz w:val="20"/>
          <w:szCs w:val="20"/>
          <w:lang w:val="es-ES_tradnl"/>
        </w:rPr>
        <w:t xml:space="preserve">En este sentido, la parte peticionaria concluye que </w:t>
      </w:r>
      <w:r w:rsidRPr="007D2C56">
        <w:rPr>
          <w:rFonts w:ascii="Cambria" w:hAnsi="Cambria"/>
          <w:sz w:val="20"/>
          <w:szCs w:val="20"/>
          <w:lang w:val="es-ES_tradnl"/>
        </w:rPr>
        <w:t xml:space="preserve">hubo apoyo de estructuras de la fuerza pública en su realización, así como para asegurar la retirada de los victimarios sin contratiempos, incluida la concertación de acciones para asegurar la llegada y huida, la facilitación de transporte en camiones de la Fuerza Pública y la entrega de comida, municiones y pertrechos. </w:t>
      </w:r>
    </w:p>
    <w:p w14:paraId="3220E1DE" w14:textId="12A5F021" w:rsidR="00637E95" w:rsidRPr="007D2C56" w:rsidRDefault="004C0D35" w:rsidP="004C0D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D2C56">
        <w:rPr>
          <w:rFonts w:ascii="Cambria" w:hAnsi="Cambria"/>
          <w:sz w:val="20"/>
          <w:szCs w:val="20"/>
          <w:lang w:val="es-ES_tradnl"/>
        </w:rPr>
        <w:t>8</w:t>
      </w:r>
      <w:r w:rsidR="00E2306E" w:rsidRPr="007D2C56">
        <w:rPr>
          <w:rFonts w:ascii="Cambria" w:hAnsi="Cambria"/>
          <w:sz w:val="20"/>
          <w:szCs w:val="20"/>
          <w:lang w:val="es-ES_tradnl"/>
        </w:rPr>
        <w:t xml:space="preserve">. </w:t>
      </w:r>
      <w:r w:rsidRPr="007D2C56">
        <w:rPr>
          <w:rFonts w:ascii="Cambria" w:hAnsi="Cambria"/>
          <w:sz w:val="20"/>
          <w:szCs w:val="20"/>
          <w:lang w:val="es-ES_tradnl"/>
        </w:rPr>
        <w:tab/>
      </w:r>
      <w:r w:rsidR="00637E95" w:rsidRPr="007D2C56">
        <w:rPr>
          <w:rFonts w:ascii="Cambria" w:hAnsi="Cambria"/>
          <w:sz w:val="20"/>
          <w:szCs w:val="20"/>
          <w:lang w:val="es-ES_tradnl"/>
        </w:rPr>
        <w:t>Con ocasión de la masacre, se iniciaron distintas actuaciones ante la justicia penal doméstica, y posteriormente ante la justicia transicional de la Ley 975/05 (sistema de “Justicia y Paz”), así:</w:t>
      </w:r>
    </w:p>
    <w:p w14:paraId="27B052A8" w14:textId="61A1A625" w:rsidR="00BB5F8C" w:rsidRPr="007D2C56" w:rsidRDefault="008329D5" w:rsidP="004C0D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D2C56">
        <w:rPr>
          <w:rFonts w:ascii="Cambria" w:hAnsi="Cambria"/>
          <w:sz w:val="20"/>
          <w:szCs w:val="20"/>
          <w:lang w:val="es-ES_tradnl"/>
        </w:rPr>
        <w:t xml:space="preserve">- </w:t>
      </w:r>
      <w:r w:rsidR="004C0D35" w:rsidRPr="007D2C56">
        <w:rPr>
          <w:rFonts w:ascii="Cambria" w:hAnsi="Cambria"/>
          <w:sz w:val="20"/>
          <w:szCs w:val="20"/>
          <w:lang w:val="es-ES_tradnl"/>
        </w:rPr>
        <w:t>L</w:t>
      </w:r>
      <w:r w:rsidR="00BB5F8C" w:rsidRPr="007D2C56">
        <w:rPr>
          <w:rFonts w:ascii="Cambria" w:hAnsi="Cambria"/>
          <w:sz w:val="20"/>
          <w:szCs w:val="20"/>
          <w:lang w:val="es-ES_tradnl"/>
        </w:rPr>
        <w:t xml:space="preserve">a </w:t>
      </w:r>
      <w:r w:rsidR="00A65207" w:rsidRPr="007D2C56">
        <w:rPr>
          <w:rFonts w:ascii="Cambria" w:hAnsi="Cambria"/>
          <w:sz w:val="20"/>
          <w:szCs w:val="20"/>
          <w:lang w:val="es-ES_tradnl"/>
        </w:rPr>
        <w:t xml:space="preserve">parte peticionaria informa que la </w:t>
      </w:r>
      <w:r w:rsidR="00BB5F8C" w:rsidRPr="007D2C56">
        <w:rPr>
          <w:rFonts w:ascii="Cambria" w:hAnsi="Cambria"/>
          <w:sz w:val="20"/>
          <w:szCs w:val="20"/>
          <w:lang w:val="es-ES_tradnl"/>
        </w:rPr>
        <w:t xml:space="preserve">Fiscalía General de la Nación, a través de la Fiscalía Segunda Delegada ante los Juzgados Especializados de Riohacha (Guajira), adelantó investigación previa con el número de radicación 441-6301, por el homicidio de Elis Fabián Montero Chinchia y otros. Esta investigación fue archivada, y permanecía archivada a la fecha de presentación de la petición. La misma </w:t>
      </w:r>
      <w:r w:rsidR="004C0D35" w:rsidRPr="007D2C56">
        <w:rPr>
          <w:rFonts w:ascii="Cambria" w:hAnsi="Cambria"/>
          <w:sz w:val="20"/>
          <w:szCs w:val="20"/>
          <w:lang w:val="es-ES_tradnl"/>
        </w:rPr>
        <w:t>f</w:t>
      </w:r>
      <w:r w:rsidR="00BB5F8C" w:rsidRPr="007D2C56">
        <w:rPr>
          <w:rFonts w:ascii="Cambria" w:hAnsi="Cambria"/>
          <w:sz w:val="20"/>
          <w:szCs w:val="20"/>
          <w:lang w:val="es-ES_tradnl"/>
        </w:rPr>
        <w:t xml:space="preserve">iscalía resolvió posteriormente cambiar el número de radicación a 6301, pero sin reactivar la investigación permaneciendo aún archivada pese a las diversas confesiones de autores materiales que participaron en ella. </w:t>
      </w:r>
      <w:r w:rsidR="00D4467D" w:rsidRPr="007D2C56">
        <w:rPr>
          <w:rFonts w:ascii="Cambria" w:hAnsi="Cambria"/>
          <w:sz w:val="20"/>
          <w:szCs w:val="20"/>
          <w:lang w:val="es-ES_tradnl"/>
        </w:rPr>
        <w:t xml:space="preserve">A la petición se adjuntó una constancia expedida por la Fiscalía 002 Delegada ante los Jueces Penales del Circuito Especializado de Riohacha el día 25 de agosto de 2011, en el sentido de que la investigación No. 6301 se </w:t>
      </w:r>
      <w:r w:rsidR="00E2306E" w:rsidRPr="007D2C56">
        <w:rPr>
          <w:rFonts w:ascii="Cambria" w:hAnsi="Cambria"/>
          <w:sz w:val="20"/>
          <w:szCs w:val="20"/>
          <w:lang w:val="es-ES_tradnl"/>
        </w:rPr>
        <w:t xml:space="preserve">encontraba </w:t>
      </w:r>
      <w:r w:rsidR="00D4467D" w:rsidRPr="007D2C56">
        <w:rPr>
          <w:rFonts w:ascii="Cambria" w:hAnsi="Cambria"/>
          <w:sz w:val="20"/>
          <w:szCs w:val="20"/>
          <w:lang w:val="es-ES_tradnl"/>
        </w:rPr>
        <w:t xml:space="preserve">con resolución inhibitoria ejecutoriada. </w:t>
      </w:r>
    </w:p>
    <w:p w14:paraId="193A4CAC" w14:textId="213E817F" w:rsidR="008329D5" w:rsidRPr="007D2C56" w:rsidRDefault="008329D5" w:rsidP="004C0D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D2C56">
        <w:rPr>
          <w:rFonts w:ascii="Cambria" w:hAnsi="Cambria"/>
          <w:sz w:val="20"/>
          <w:szCs w:val="20"/>
          <w:lang w:val="es-ES_tradnl"/>
        </w:rPr>
        <w:t xml:space="preserve">- Según informó el Estado, sobre los hechos materia de la petición la Fiscalía General de la Nación </w:t>
      </w:r>
      <w:r w:rsidR="00E2306E" w:rsidRPr="007D2C56">
        <w:rPr>
          <w:rFonts w:ascii="Cambria" w:hAnsi="Cambria"/>
          <w:sz w:val="20"/>
          <w:szCs w:val="20"/>
          <w:lang w:val="es-ES_tradnl"/>
        </w:rPr>
        <w:t xml:space="preserve">reportó </w:t>
      </w:r>
      <w:r w:rsidRPr="007D2C56">
        <w:rPr>
          <w:rFonts w:ascii="Cambria" w:hAnsi="Cambria"/>
          <w:sz w:val="20"/>
          <w:szCs w:val="20"/>
          <w:lang w:val="es-ES_tradnl"/>
        </w:rPr>
        <w:t>que el Despacho 12 adscrito a la Dirección de Justicia Transicional ha venido adelantando labores de documentación de los hechos ocurridos en Villanueva; y que ciertos paramilitares desmovilizados y postulados al sistema de “Justicia y Paz”</w:t>
      </w:r>
      <w:r w:rsidR="00A65207" w:rsidRPr="007D2C56">
        <w:rPr>
          <w:rFonts w:ascii="Cambria" w:hAnsi="Cambria"/>
          <w:sz w:val="20"/>
          <w:szCs w:val="20"/>
          <w:lang w:val="es-ES_tradnl"/>
        </w:rPr>
        <w:t>,</w:t>
      </w:r>
      <w:r w:rsidRPr="007D2C56">
        <w:rPr>
          <w:rFonts w:ascii="Cambria" w:hAnsi="Cambria"/>
          <w:sz w:val="20"/>
          <w:szCs w:val="20"/>
          <w:lang w:val="es-ES_tradnl"/>
        </w:rPr>
        <w:t xml:space="preserve"> específicamente Amaury Gómez Ramos, alias “Bigotes” o “Bin Laden; Luis Alberto Enciso Mariscal, alias “Fuego Verde”; </w:t>
      </w:r>
      <w:r w:rsidR="00E2306E" w:rsidRPr="007D2C56">
        <w:rPr>
          <w:rFonts w:ascii="Cambria" w:hAnsi="Cambria"/>
          <w:sz w:val="20"/>
          <w:szCs w:val="20"/>
          <w:lang w:val="es-ES_tradnl"/>
        </w:rPr>
        <w:t xml:space="preserve">y </w:t>
      </w:r>
      <w:r w:rsidRPr="007D2C56">
        <w:rPr>
          <w:rFonts w:ascii="Cambria" w:hAnsi="Cambria"/>
          <w:sz w:val="20"/>
          <w:szCs w:val="20"/>
          <w:lang w:val="es-ES_tradnl"/>
        </w:rPr>
        <w:t>Rodrigo Tovar Pupo, alias “Jorge Cuarenta” (expulsado del sistema)</w:t>
      </w:r>
      <w:r w:rsidR="00A65207" w:rsidRPr="007D2C56">
        <w:rPr>
          <w:rFonts w:ascii="Cambria" w:hAnsi="Cambria"/>
          <w:sz w:val="20"/>
          <w:szCs w:val="20"/>
          <w:lang w:val="es-ES_tradnl"/>
        </w:rPr>
        <w:t>,</w:t>
      </w:r>
      <w:r w:rsidRPr="007D2C56">
        <w:rPr>
          <w:rFonts w:ascii="Cambria" w:hAnsi="Cambria"/>
          <w:sz w:val="20"/>
          <w:szCs w:val="20"/>
          <w:lang w:val="es-ES_tradnl"/>
        </w:rPr>
        <w:t xml:space="preserve"> en sus diligencias de versión libre hicieron referencia a los hechos y confesaron su participación en la masacre, aceptando su responsabilidad. El Estado también reporta que la masacre de Villanueva forma parte de los hechos </w:t>
      </w:r>
      <w:r w:rsidR="00E2306E" w:rsidRPr="007D2C56">
        <w:rPr>
          <w:rFonts w:ascii="Cambria" w:hAnsi="Cambria"/>
          <w:sz w:val="20"/>
          <w:szCs w:val="20"/>
          <w:lang w:val="es-ES_tradnl"/>
        </w:rPr>
        <w:t>tratados en</w:t>
      </w:r>
      <w:r w:rsidRPr="007D2C56">
        <w:rPr>
          <w:rFonts w:ascii="Cambria" w:hAnsi="Cambria"/>
          <w:sz w:val="20"/>
          <w:szCs w:val="20"/>
          <w:lang w:val="es-ES_tradnl"/>
        </w:rPr>
        <w:t xml:space="preserve"> la audiencia concentrada de formulación de cargos que se adelanta contra los postulados al sistema de “Justicia y Paz” provenientes del frente </w:t>
      </w:r>
      <w:r w:rsidR="00E2306E" w:rsidRPr="007D2C56">
        <w:rPr>
          <w:rFonts w:ascii="Cambria" w:hAnsi="Cambria"/>
          <w:sz w:val="20"/>
          <w:szCs w:val="20"/>
          <w:lang w:val="es-ES_tradnl"/>
        </w:rPr>
        <w:t>“</w:t>
      </w:r>
      <w:r w:rsidRPr="007D2C56">
        <w:rPr>
          <w:rFonts w:ascii="Cambria" w:hAnsi="Cambria"/>
          <w:sz w:val="20"/>
          <w:szCs w:val="20"/>
          <w:lang w:val="es-ES_tradnl"/>
        </w:rPr>
        <w:t xml:space="preserve">Juan Andrés </w:t>
      </w:r>
      <w:r w:rsidR="00E2306E" w:rsidRPr="007D2C56">
        <w:rPr>
          <w:rFonts w:ascii="Cambria" w:hAnsi="Cambria"/>
          <w:sz w:val="20"/>
          <w:szCs w:val="20"/>
          <w:lang w:val="es-ES_tradnl"/>
        </w:rPr>
        <w:t>Á</w:t>
      </w:r>
      <w:r w:rsidRPr="007D2C56">
        <w:rPr>
          <w:rFonts w:ascii="Cambria" w:hAnsi="Cambria"/>
          <w:sz w:val="20"/>
          <w:szCs w:val="20"/>
          <w:lang w:val="es-ES_tradnl"/>
        </w:rPr>
        <w:t>lvarez</w:t>
      </w:r>
      <w:r w:rsidR="00E2306E" w:rsidRPr="007D2C56">
        <w:rPr>
          <w:rFonts w:ascii="Cambria" w:hAnsi="Cambria"/>
          <w:sz w:val="20"/>
          <w:szCs w:val="20"/>
          <w:lang w:val="es-ES_tradnl"/>
        </w:rPr>
        <w:t>”</w:t>
      </w:r>
      <w:r w:rsidRPr="007D2C56">
        <w:rPr>
          <w:rFonts w:ascii="Cambria" w:hAnsi="Cambria"/>
          <w:sz w:val="20"/>
          <w:szCs w:val="20"/>
          <w:lang w:val="es-ES_tradnl"/>
        </w:rPr>
        <w:t xml:space="preserve"> de las Autodefensas Unidas de Colombia – AUC-, señores Jhon Jairo Esquivel Cuadrado y otros, diligencia que se encuentra suspendida y </w:t>
      </w:r>
      <w:r w:rsidRPr="007D2C56">
        <w:rPr>
          <w:rFonts w:ascii="Cambria" w:hAnsi="Cambria"/>
          <w:sz w:val="20"/>
          <w:szCs w:val="20"/>
          <w:lang w:val="es-ES_tradnl"/>
        </w:rPr>
        <w:lastRenderedPageBreak/>
        <w:t xml:space="preserve">pendiente de fijar fecha de continuación. </w:t>
      </w:r>
      <w:r w:rsidR="00E075BE" w:rsidRPr="007D2C56">
        <w:rPr>
          <w:rFonts w:ascii="Cambria" w:hAnsi="Cambria"/>
          <w:sz w:val="20"/>
          <w:szCs w:val="20"/>
          <w:lang w:val="es-ES_tradnl"/>
        </w:rPr>
        <w:t xml:space="preserve">De igual manera, el Estado informa que en la Fiscalía se tramita la investigación por el desplazamiento forzado de dos personas como consecuencia de la masacre; y precisa que en el Registro Único de Víctimas se ha reconocido a algunas de las personas relacionadas con los fallecidos en esta masacre como víctimas de desplazamiento interno. </w:t>
      </w:r>
    </w:p>
    <w:p w14:paraId="0D78E26E" w14:textId="57941FCE" w:rsidR="00AA0277" w:rsidRPr="007D2C56" w:rsidRDefault="00AA0277" w:rsidP="00A6520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D2C56">
        <w:rPr>
          <w:rFonts w:ascii="Cambria" w:hAnsi="Cambria"/>
          <w:sz w:val="20"/>
          <w:szCs w:val="20"/>
          <w:lang w:val="es-ES_tradnl"/>
        </w:rPr>
        <w:t xml:space="preserve">- La parte peticionaria en sus observaciones adicionales indica que la información provista por el Estado es incompleta, ya que miembros de otros frentes de las AUC distintos al “Juan Andrés </w:t>
      </w:r>
      <w:r w:rsidR="00E2306E" w:rsidRPr="007D2C56">
        <w:rPr>
          <w:rFonts w:ascii="Cambria" w:hAnsi="Cambria"/>
          <w:sz w:val="20"/>
          <w:szCs w:val="20"/>
          <w:lang w:val="es-ES_tradnl"/>
        </w:rPr>
        <w:t>Á</w:t>
      </w:r>
      <w:r w:rsidRPr="007D2C56">
        <w:rPr>
          <w:rFonts w:ascii="Cambria" w:hAnsi="Cambria"/>
          <w:sz w:val="20"/>
          <w:szCs w:val="20"/>
          <w:lang w:val="es-ES_tradnl"/>
        </w:rPr>
        <w:t xml:space="preserve">lvarez” declararon sobre su responsabilidad en la masacre, también ante el sistema de “Justicia y Paz”; y provee al respecto las citaciones que se hicieron a </w:t>
      </w:r>
      <w:r w:rsidR="00E2306E" w:rsidRPr="007D2C56">
        <w:rPr>
          <w:rFonts w:ascii="Cambria" w:hAnsi="Cambria"/>
          <w:sz w:val="20"/>
          <w:szCs w:val="20"/>
          <w:lang w:val="es-ES_tradnl"/>
        </w:rPr>
        <w:t>tales diligencias declaratorias</w:t>
      </w:r>
      <w:r w:rsidRPr="007D2C56">
        <w:rPr>
          <w:rFonts w:ascii="Cambria" w:hAnsi="Cambria"/>
          <w:sz w:val="20"/>
          <w:szCs w:val="20"/>
          <w:lang w:val="es-ES_tradnl"/>
        </w:rPr>
        <w:t>, entre los años 2010 y 2014.</w:t>
      </w:r>
    </w:p>
    <w:p w14:paraId="4D50D664" w14:textId="37E82AFA" w:rsidR="00334054" w:rsidRPr="007D2C56" w:rsidRDefault="00334054" w:rsidP="00A6520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D2C56">
        <w:rPr>
          <w:rFonts w:ascii="Cambria" w:hAnsi="Cambria"/>
          <w:sz w:val="20"/>
          <w:szCs w:val="20"/>
          <w:lang w:val="es-ES_tradnl"/>
        </w:rPr>
        <w:t xml:space="preserve">- El Estado en sus observaciones adicionales también informó que con base en la información vertida en las audiencias de versiones libres rendidas dentro del marco del sistema de “Justicia y Paz”, se ha iniciado una nueva investigación por los hechos de Villanueva, a cargo de la Fiscalía Delegada para la Seguridad Ciudadana, bajo el radicado No. 40805. El Estado informa </w:t>
      </w:r>
      <w:r w:rsidR="00A65207" w:rsidRPr="007D2C56">
        <w:rPr>
          <w:rFonts w:ascii="Cambria" w:hAnsi="Cambria"/>
          <w:sz w:val="20"/>
          <w:szCs w:val="20"/>
          <w:lang w:val="es-ES_tradnl"/>
        </w:rPr>
        <w:t>también</w:t>
      </w:r>
      <w:r w:rsidRPr="007D2C56">
        <w:rPr>
          <w:rFonts w:ascii="Cambria" w:hAnsi="Cambria"/>
          <w:sz w:val="20"/>
          <w:szCs w:val="20"/>
          <w:lang w:val="es-ES_tradnl"/>
        </w:rPr>
        <w:t xml:space="preserve"> que el 10 de marzo de 2014, la Fiscalía 4 Especializada de Riohacha, al avocar conocimiento de la investigación previamente mencionada, revocó la resolución inhibitoria y ordenó continuar con la fase de indagación preliminar. En consecuencia, se procedió al impulso de la actuación mediante la práctica de pruebas. </w:t>
      </w:r>
      <w:r w:rsidR="00A65207" w:rsidRPr="007D2C56">
        <w:rPr>
          <w:rFonts w:ascii="Cambria" w:hAnsi="Cambria"/>
          <w:sz w:val="20"/>
          <w:szCs w:val="20"/>
          <w:lang w:val="es-ES_tradnl"/>
        </w:rPr>
        <w:t>–Aunque n</w:t>
      </w:r>
      <w:r w:rsidRPr="007D2C56">
        <w:rPr>
          <w:rFonts w:ascii="Cambria" w:hAnsi="Cambria"/>
          <w:sz w:val="20"/>
          <w:szCs w:val="20"/>
          <w:lang w:val="es-ES_tradnl"/>
        </w:rPr>
        <w:t>o se informa sobre el desarrollo ulterior de esta investigación</w:t>
      </w:r>
      <w:r w:rsidR="00A65207" w:rsidRPr="007D2C56">
        <w:rPr>
          <w:rFonts w:ascii="Cambria" w:hAnsi="Cambria"/>
          <w:sz w:val="20"/>
          <w:szCs w:val="20"/>
          <w:lang w:val="es-ES_tradnl"/>
        </w:rPr>
        <w:t>–</w:t>
      </w:r>
      <w:r w:rsidRPr="007D2C56">
        <w:rPr>
          <w:rFonts w:ascii="Cambria" w:hAnsi="Cambria"/>
          <w:sz w:val="20"/>
          <w:szCs w:val="20"/>
          <w:lang w:val="es-ES_tradnl"/>
        </w:rPr>
        <w:t xml:space="preserve">. </w:t>
      </w:r>
    </w:p>
    <w:p w14:paraId="5B13664E" w14:textId="020D7DB2" w:rsidR="00637E95" w:rsidRPr="007D2C56" w:rsidRDefault="00C06BAB" w:rsidP="00C06BA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D2C56">
        <w:rPr>
          <w:rFonts w:ascii="Cambria" w:hAnsi="Cambria"/>
          <w:sz w:val="20"/>
          <w:szCs w:val="20"/>
          <w:lang w:val="es-ES_tradnl"/>
        </w:rPr>
        <w:t>9.</w:t>
      </w:r>
      <w:r w:rsidRPr="007D2C56">
        <w:rPr>
          <w:rFonts w:ascii="Cambria" w:hAnsi="Cambria"/>
          <w:sz w:val="20"/>
          <w:szCs w:val="20"/>
          <w:lang w:val="es-ES_tradnl"/>
        </w:rPr>
        <w:tab/>
      </w:r>
      <w:r w:rsidR="00637E95" w:rsidRPr="007D2C56">
        <w:rPr>
          <w:rFonts w:ascii="Cambria" w:hAnsi="Cambria"/>
          <w:sz w:val="20"/>
          <w:szCs w:val="20"/>
          <w:lang w:val="es-ES_tradnl"/>
        </w:rPr>
        <w:t xml:space="preserve">Por las anteriores razones la parte peticionaria afirma que la masacre de Villanueva permanece en la impunidad </w:t>
      </w:r>
      <w:r w:rsidR="00BB5F8C" w:rsidRPr="007D2C56">
        <w:rPr>
          <w:rFonts w:ascii="Cambria" w:hAnsi="Cambria"/>
          <w:sz w:val="20"/>
          <w:szCs w:val="20"/>
          <w:lang w:val="es-ES_tradnl"/>
        </w:rPr>
        <w:t xml:space="preserve">total </w:t>
      </w:r>
      <w:r w:rsidR="00637E95" w:rsidRPr="007D2C56">
        <w:rPr>
          <w:rFonts w:ascii="Cambria" w:hAnsi="Cambria"/>
          <w:sz w:val="20"/>
          <w:szCs w:val="20"/>
          <w:lang w:val="es-ES_tradnl"/>
        </w:rPr>
        <w:t xml:space="preserve">a la fecha. </w:t>
      </w:r>
      <w:r w:rsidR="00CC7041" w:rsidRPr="007D2C56">
        <w:rPr>
          <w:rFonts w:ascii="Cambria" w:hAnsi="Cambria"/>
          <w:sz w:val="20"/>
          <w:szCs w:val="20"/>
          <w:lang w:val="es-ES_tradnl"/>
        </w:rPr>
        <w:t xml:space="preserve">Al </w:t>
      </w:r>
      <w:r w:rsidR="00BB5F8C" w:rsidRPr="007D2C56">
        <w:rPr>
          <w:rFonts w:ascii="Cambria" w:hAnsi="Cambria"/>
          <w:sz w:val="20"/>
          <w:szCs w:val="20"/>
          <w:lang w:val="es-ES_tradnl"/>
        </w:rPr>
        <w:t xml:space="preserve">momento de </w:t>
      </w:r>
      <w:r w:rsidR="00CC7041" w:rsidRPr="007D2C56">
        <w:rPr>
          <w:rFonts w:ascii="Cambria" w:hAnsi="Cambria"/>
          <w:sz w:val="20"/>
          <w:szCs w:val="20"/>
          <w:lang w:val="es-ES_tradnl"/>
        </w:rPr>
        <w:t xml:space="preserve">presentar </w:t>
      </w:r>
      <w:r w:rsidR="00BB5F8C" w:rsidRPr="007D2C56">
        <w:rPr>
          <w:rFonts w:ascii="Cambria" w:hAnsi="Cambria"/>
          <w:sz w:val="20"/>
          <w:szCs w:val="20"/>
          <w:lang w:val="es-ES_tradnl"/>
        </w:rPr>
        <w:t>la petición</w:t>
      </w:r>
      <w:r w:rsidR="00CC7041" w:rsidRPr="007D2C56">
        <w:rPr>
          <w:rFonts w:ascii="Cambria" w:hAnsi="Cambria"/>
          <w:sz w:val="20"/>
          <w:szCs w:val="20"/>
          <w:lang w:val="es-ES_tradnl"/>
        </w:rPr>
        <w:t xml:space="preserve"> ya</w:t>
      </w:r>
      <w:r w:rsidR="00BB5F8C" w:rsidRPr="007D2C56">
        <w:rPr>
          <w:rFonts w:ascii="Cambria" w:hAnsi="Cambria"/>
          <w:sz w:val="20"/>
          <w:szCs w:val="20"/>
          <w:lang w:val="es-ES_tradnl"/>
        </w:rPr>
        <w:t xml:space="preserve"> habían transcurrido </w:t>
      </w:r>
      <w:r w:rsidR="00CC7041" w:rsidRPr="007D2C56">
        <w:rPr>
          <w:rFonts w:ascii="Cambria" w:hAnsi="Cambria"/>
          <w:sz w:val="20"/>
          <w:szCs w:val="20"/>
          <w:lang w:val="es-ES_tradnl"/>
        </w:rPr>
        <w:t>catorce</w:t>
      </w:r>
      <w:r w:rsidR="00BB5F8C" w:rsidRPr="007D2C56">
        <w:rPr>
          <w:rFonts w:ascii="Cambria" w:hAnsi="Cambria"/>
          <w:sz w:val="20"/>
          <w:szCs w:val="20"/>
          <w:lang w:val="es-ES_tradnl"/>
        </w:rPr>
        <w:t xml:space="preserve"> años sin </w:t>
      </w:r>
      <w:r w:rsidR="000148B1" w:rsidRPr="007D2C56">
        <w:rPr>
          <w:rFonts w:ascii="Cambria" w:hAnsi="Cambria"/>
          <w:sz w:val="20"/>
          <w:szCs w:val="20"/>
          <w:lang w:val="es-ES_tradnl"/>
        </w:rPr>
        <w:t>haber</w:t>
      </w:r>
      <w:r w:rsidR="00CC7041" w:rsidRPr="007D2C56">
        <w:rPr>
          <w:rFonts w:ascii="Cambria" w:hAnsi="Cambria"/>
          <w:sz w:val="20"/>
          <w:szCs w:val="20"/>
          <w:lang w:val="es-ES_tradnl"/>
        </w:rPr>
        <w:t>se</w:t>
      </w:r>
      <w:r w:rsidR="000148B1" w:rsidRPr="007D2C56">
        <w:rPr>
          <w:rFonts w:ascii="Cambria" w:hAnsi="Cambria"/>
          <w:sz w:val="20"/>
          <w:szCs w:val="20"/>
          <w:lang w:val="es-ES_tradnl"/>
        </w:rPr>
        <w:t xml:space="preserve"> </w:t>
      </w:r>
      <w:r w:rsidR="00BB5F8C" w:rsidRPr="007D2C56">
        <w:rPr>
          <w:rFonts w:ascii="Cambria" w:hAnsi="Cambria"/>
          <w:sz w:val="20"/>
          <w:szCs w:val="20"/>
          <w:lang w:val="es-ES_tradnl"/>
        </w:rPr>
        <w:t xml:space="preserve">realizado </w:t>
      </w:r>
      <w:r w:rsidR="00CC7041" w:rsidRPr="007D2C56">
        <w:rPr>
          <w:rFonts w:ascii="Cambria" w:hAnsi="Cambria"/>
          <w:sz w:val="20"/>
          <w:szCs w:val="20"/>
          <w:lang w:val="es-ES_tradnl"/>
        </w:rPr>
        <w:t xml:space="preserve">las </w:t>
      </w:r>
      <w:r w:rsidR="00BB5F8C" w:rsidRPr="007D2C56">
        <w:rPr>
          <w:rFonts w:ascii="Cambria" w:hAnsi="Cambria"/>
          <w:sz w:val="20"/>
          <w:szCs w:val="20"/>
          <w:lang w:val="es-ES_tradnl"/>
        </w:rPr>
        <w:t xml:space="preserve">capturas de los responsables, ni </w:t>
      </w:r>
      <w:r w:rsidR="000148B1" w:rsidRPr="007D2C56">
        <w:rPr>
          <w:rFonts w:ascii="Cambria" w:hAnsi="Cambria"/>
          <w:sz w:val="20"/>
          <w:szCs w:val="20"/>
          <w:lang w:val="es-ES_tradnl"/>
        </w:rPr>
        <w:t xml:space="preserve">de </w:t>
      </w:r>
      <w:r w:rsidR="00BB5F8C" w:rsidRPr="007D2C56">
        <w:rPr>
          <w:rFonts w:ascii="Cambria" w:hAnsi="Cambria"/>
          <w:sz w:val="20"/>
          <w:szCs w:val="20"/>
          <w:lang w:val="es-ES_tradnl"/>
        </w:rPr>
        <w:t xml:space="preserve">paramilitares ni </w:t>
      </w:r>
      <w:r w:rsidR="000148B1" w:rsidRPr="007D2C56">
        <w:rPr>
          <w:rFonts w:ascii="Cambria" w:hAnsi="Cambria"/>
          <w:sz w:val="20"/>
          <w:szCs w:val="20"/>
          <w:lang w:val="es-ES_tradnl"/>
        </w:rPr>
        <w:t xml:space="preserve">de </w:t>
      </w:r>
      <w:r w:rsidR="00BB5F8C" w:rsidRPr="007D2C56">
        <w:rPr>
          <w:rFonts w:ascii="Cambria" w:hAnsi="Cambria"/>
          <w:sz w:val="20"/>
          <w:szCs w:val="20"/>
          <w:lang w:val="es-ES_tradnl"/>
        </w:rPr>
        <w:t xml:space="preserve">agentes de la Fuerza Pública. Por ello, en la petición se invoca la excepción de retardo injustificado al deber de agotamiento de los recursos internos. </w:t>
      </w:r>
      <w:r w:rsidR="00A5194B" w:rsidRPr="007D2C56">
        <w:rPr>
          <w:rFonts w:ascii="Cambria" w:hAnsi="Cambria"/>
          <w:sz w:val="20"/>
          <w:szCs w:val="20"/>
          <w:lang w:val="es-ES_tradnl"/>
        </w:rPr>
        <w:t>En forma conexa, afirman que el propio sistema de “Justicia y Paz” constituye una afrenta a los derechos de las víctimas de esta masacre, en la medida en que</w:t>
      </w:r>
      <w:r w:rsidR="00CC7041" w:rsidRPr="007D2C56">
        <w:rPr>
          <w:rFonts w:ascii="Cambria" w:hAnsi="Cambria"/>
          <w:sz w:val="20"/>
          <w:szCs w:val="20"/>
          <w:lang w:val="es-ES_tradnl"/>
        </w:rPr>
        <w:t xml:space="preserve">, según alegan, </w:t>
      </w:r>
      <w:r w:rsidR="00A5194B" w:rsidRPr="007D2C56">
        <w:rPr>
          <w:rFonts w:ascii="Cambria" w:hAnsi="Cambria"/>
          <w:sz w:val="20"/>
          <w:szCs w:val="20"/>
          <w:lang w:val="es-ES_tradnl"/>
        </w:rPr>
        <w:t>dificulta establecer la verdad, desaparece o minimiza la sanción penal y pone en peligro la reparación de las víctimas.</w:t>
      </w:r>
    </w:p>
    <w:p w14:paraId="42B58BE9" w14:textId="57520166" w:rsidR="00B83768" w:rsidRPr="007D2C56" w:rsidRDefault="000148B1" w:rsidP="000148B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D2C56">
        <w:rPr>
          <w:rFonts w:ascii="Cambria" w:hAnsi="Cambria"/>
          <w:sz w:val="20"/>
          <w:szCs w:val="20"/>
          <w:lang w:val="es-ES_tradnl"/>
        </w:rPr>
        <w:t xml:space="preserve">10. </w:t>
      </w:r>
      <w:r w:rsidR="00CC7041" w:rsidRPr="007D2C56">
        <w:rPr>
          <w:rFonts w:ascii="Cambria" w:hAnsi="Cambria"/>
          <w:sz w:val="20"/>
          <w:szCs w:val="20"/>
          <w:lang w:val="es-ES_tradnl"/>
        </w:rPr>
        <w:tab/>
      </w:r>
      <w:r w:rsidR="00BB5F8C" w:rsidRPr="007D2C56">
        <w:rPr>
          <w:rFonts w:ascii="Cambria" w:hAnsi="Cambria"/>
          <w:sz w:val="20"/>
          <w:szCs w:val="20"/>
          <w:lang w:val="es-ES_tradnl"/>
        </w:rPr>
        <w:t xml:space="preserve">En febrero de 2001 nueve de las familias de las víctimas mortales resolvieron demandar al Estado colombiano por su participación en la masacre, mediante la acción de reparación directa ante la jurisdicción de lo </w:t>
      </w:r>
      <w:r w:rsidRPr="007D2C56">
        <w:rPr>
          <w:rFonts w:ascii="Cambria" w:hAnsi="Cambria"/>
          <w:sz w:val="20"/>
          <w:szCs w:val="20"/>
          <w:lang w:val="es-ES_tradnl"/>
        </w:rPr>
        <w:t>c</w:t>
      </w:r>
      <w:r w:rsidR="00BB5F8C" w:rsidRPr="007D2C56">
        <w:rPr>
          <w:rFonts w:ascii="Cambria" w:hAnsi="Cambria"/>
          <w:sz w:val="20"/>
          <w:szCs w:val="20"/>
          <w:lang w:val="es-ES_tradnl"/>
        </w:rPr>
        <w:t>ontencioso</w:t>
      </w:r>
      <w:r w:rsidRPr="007D2C56">
        <w:rPr>
          <w:rFonts w:ascii="Cambria" w:hAnsi="Cambria"/>
          <w:sz w:val="20"/>
          <w:szCs w:val="20"/>
          <w:lang w:val="es-ES_tradnl"/>
        </w:rPr>
        <w:t>-a</w:t>
      </w:r>
      <w:r w:rsidR="00BB5F8C" w:rsidRPr="007D2C56">
        <w:rPr>
          <w:rFonts w:ascii="Cambria" w:hAnsi="Cambria"/>
          <w:sz w:val="20"/>
          <w:szCs w:val="20"/>
          <w:lang w:val="es-ES_tradnl"/>
        </w:rPr>
        <w:t xml:space="preserve">dministrativo. </w:t>
      </w:r>
      <w:r w:rsidR="00350BF1" w:rsidRPr="007D2C56">
        <w:rPr>
          <w:rFonts w:ascii="Cambria" w:hAnsi="Cambria"/>
          <w:sz w:val="20"/>
          <w:szCs w:val="20"/>
          <w:lang w:val="es-ES_tradnl"/>
        </w:rPr>
        <w:t xml:space="preserve">Así, </w:t>
      </w:r>
      <w:r w:rsidR="003A0EE6" w:rsidRPr="007D2C56">
        <w:rPr>
          <w:rFonts w:ascii="Cambria" w:hAnsi="Cambria"/>
          <w:sz w:val="20"/>
          <w:szCs w:val="20"/>
          <w:lang w:val="es-ES_tradnl"/>
        </w:rPr>
        <w:t>por medio de</w:t>
      </w:r>
      <w:r w:rsidR="00BB5F8C" w:rsidRPr="007D2C56">
        <w:rPr>
          <w:rFonts w:ascii="Cambria" w:hAnsi="Cambria"/>
          <w:sz w:val="20"/>
          <w:szCs w:val="20"/>
          <w:lang w:val="es-ES_tradnl"/>
        </w:rPr>
        <w:t xml:space="preserve"> sentencia del 12 de febrero de 2003 el Tribunal Administrativo de la Guajira declaró administrativamente responsable a la Nación por los perjuicios ocasionados como consecuencia de la muerte de José Aníbal Garcerant, Elis Fabián Montero Chinchia, Erinson José Damián Rojas, Javier Enrique Olmedo Campo y Julio Alberto Contreras Campo. Mediante sentencia de complementación del 17 de marzo de 2005 </w:t>
      </w:r>
      <w:r w:rsidRPr="007D2C56">
        <w:rPr>
          <w:rFonts w:ascii="Cambria" w:hAnsi="Cambria"/>
          <w:sz w:val="20"/>
          <w:szCs w:val="20"/>
          <w:lang w:val="es-ES_tradnl"/>
        </w:rPr>
        <w:t xml:space="preserve">el </w:t>
      </w:r>
      <w:r w:rsidR="005F08AF" w:rsidRPr="007D2C56">
        <w:rPr>
          <w:rFonts w:ascii="Cambria" w:hAnsi="Cambria"/>
          <w:sz w:val="20"/>
          <w:szCs w:val="20"/>
          <w:lang w:val="es-ES_tradnl"/>
        </w:rPr>
        <w:t>t</w:t>
      </w:r>
      <w:r w:rsidRPr="007D2C56">
        <w:rPr>
          <w:rFonts w:ascii="Cambria" w:hAnsi="Cambria"/>
          <w:sz w:val="20"/>
          <w:szCs w:val="20"/>
          <w:lang w:val="es-ES_tradnl"/>
        </w:rPr>
        <w:t xml:space="preserve">ribunal </w:t>
      </w:r>
      <w:r w:rsidR="00BB5F8C" w:rsidRPr="007D2C56">
        <w:rPr>
          <w:rFonts w:ascii="Cambria" w:hAnsi="Cambria"/>
          <w:sz w:val="20"/>
          <w:szCs w:val="20"/>
          <w:lang w:val="es-ES_tradnl"/>
        </w:rPr>
        <w:t xml:space="preserve">añadió a los familiares de José Luis Rosado Quintero a los beneficiarios de este fallo. </w:t>
      </w:r>
      <w:r w:rsidR="00B83768" w:rsidRPr="007D2C56">
        <w:rPr>
          <w:rFonts w:ascii="Cambria" w:hAnsi="Cambria"/>
          <w:sz w:val="20"/>
          <w:szCs w:val="20"/>
          <w:lang w:val="es-ES_tradnl"/>
        </w:rPr>
        <w:t xml:space="preserve">La parte peticionaria aportó una copia de esta sentencia, en la cual el Tribunal Administrativo consideró responsable a la Nación por no haberse tomado medidas de prevención de la masacre, pese a que la situación de orden público en Villanueva con anterioridad al 7 de diciembre de 1998 exigía la implementación de refuerzos de la Fuerza Pública y </w:t>
      </w:r>
      <w:r w:rsidRPr="007D2C56">
        <w:rPr>
          <w:rFonts w:ascii="Cambria" w:hAnsi="Cambria"/>
          <w:sz w:val="20"/>
          <w:szCs w:val="20"/>
          <w:lang w:val="es-ES_tradnl"/>
        </w:rPr>
        <w:t xml:space="preserve">de </w:t>
      </w:r>
      <w:r w:rsidR="00B83768" w:rsidRPr="007D2C56">
        <w:rPr>
          <w:rFonts w:ascii="Cambria" w:hAnsi="Cambria"/>
          <w:sz w:val="20"/>
          <w:szCs w:val="20"/>
          <w:lang w:val="es-ES_tradnl"/>
        </w:rPr>
        <w:t xml:space="preserve">nuevas tácticas y </w:t>
      </w:r>
      <w:r w:rsidRPr="007D2C56">
        <w:rPr>
          <w:rFonts w:ascii="Cambria" w:hAnsi="Cambria"/>
          <w:sz w:val="20"/>
          <w:szCs w:val="20"/>
          <w:lang w:val="es-ES_tradnl"/>
        </w:rPr>
        <w:t xml:space="preserve">estrategias </w:t>
      </w:r>
      <w:r w:rsidR="00B83768" w:rsidRPr="007D2C56">
        <w:rPr>
          <w:rFonts w:ascii="Cambria" w:hAnsi="Cambria"/>
          <w:sz w:val="20"/>
          <w:szCs w:val="20"/>
          <w:lang w:val="es-ES_tradnl"/>
        </w:rPr>
        <w:t xml:space="preserve">para hacer frente al riesgo </w:t>
      </w:r>
      <w:r w:rsidRPr="007D2C56">
        <w:rPr>
          <w:rFonts w:ascii="Cambria" w:hAnsi="Cambria"/>
          <w:sz w:val="20"/>
          <w:szCs w:val="20"/>
          <w:lang w:val="es-ES_tradnl"/>
        </w:rPr>
        <w:t xml:space="preserve">presente </w:t>
      </w:r>
      <w:r w:rsidR="00B83768" w:rsidRPr="007D2C56">
        <w:rPr>
          <w:rFonts w:ascii="Cambria" w:hAnsi="Cambria"/>
          <w:sz w:val="20"/>
          <w:szCs w:val="20"/>
          <w:lang w:val="es-ES_tradnl"/>
        </w:rPr>
        <w:t xml:space="preserve">de más violencia. </w:t>
      </w:r>
      <w:r w:rsidR="005F08AF" w:rsidRPr="007D2C56">
        <w:rPr>
          <w:rFonts w:ascii="Cambria" w:hAnsi="Cambria"/>
          <w:sz w:val="20"/>
          <w:szCs w:val="20"/>
          <w:lang w:val="es-ES_tradnl"/>
        </w:rPr>
        <w:t>El</w:t>
      </w:r>
      <w:r w:rsidR="00B83768" w:rsidRPr="007D2C56">
        <w:rPr>
          <w:rFonts w:ascii="Cambria" w:hAnsi="Cambria"/>
          <w:sz w:val="20"/>
          <w:szCs w:val="20"/>
          <w:lang w:val="es-ES_tradnl"/>
        </w:rPr>
        <w:t xml:space="preserve"> </w:t>
      </w:r>
      <w:r w:rsidR="005F08AF" w:rsidRPr="007D2C56">
        <w:rPr>
          <w:rFonts w:ascii="Cambria" w:hAnsi="Cambria"/>
          <w:sz w:val="20"/>
          <w:szCs w:val="20"/>
          <w:lang w:val="es-ES_tradnl"/>
        </w:rPr>
        <w:t>t</w:t>
      </w:r>
      <w:r w:rsidR="00B83768" w:rsidRPr="007D2C56">
        <w:rPr>
          <w:rFonts w:ascii="Cambria" w:hAnsi="Cambria"/>
          <w:sz w:val="20"/>
          <w:szCs w:val="20"/>
          <w:lang w:val="es-ES_tradnl"/>
        </w:rPr>
        <w:t xml:space="preserve">ribunal limitó la reparación </w:t>
      </w:r>
      <w:r w:rsidRPr="007D2C56">
        <w:rPr>
          <w:rFonts w:ascii="Cambria" w:hAnsi="Cambria"/>
          <w:sz w:val="20"/>
          <w:szCs w:val="20"/>
          <w:lang w:val="es-ES_tradnl"/>
        </w:rPr>
        <w:t xml:space="preserve">por él decretada </w:t>
      </w:r>
      <w:r w:rsidR="00B83768" w:rsidRPr="007D2C56">
        <w:rPr>
          <w:rFonts w:ascii="Cambria" w:hAnsi="Cambria"/>
          <w:sz w:val="20"/>
          <w:szCs w:val="20"/>
          <w:lang w:val="es-ES_tradnl"/>
        </w:rPr>
        <w:t xml:space="preserve">a la indemnización de los perjuicios morales, por cuanto en la demanda únicamente se había pedido dicha modalidad de compensación. </w:t>
      </w:r>
    </w:p>
    <w:p w14:paraId="103431F3" w14:textId="659D126D" w:rsidR="00BB5F8C" w:rsidRPr="007D2C56" w:rsidRDefault="000148B1" w:rsidP="000148B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D2C56">
        <w:rPr>
          <w:rFonts w:ascii="Cambria" w:hAnsi="Cambria"/>
          <w:sz w:val="20"/>
          <w:szCs w:val="20"/>
          <w:lang w:val="es-ES_tradnl"/>
        </w:rPr>
        <w:t xml:space="preserve">11. </w:t>
      </w:r>
      <w:r w:rsidR="005F08AF" w:rsidRPr="007D2C56">
        <w:rPr>
          <w:rFonts w:ascii="Cambria" w:hAnsi="Cambria"/>
          <w:sz w:val="20"/>
          <w:szCs w:val="20"/>
          <w:lang w:val="es-ES_tradnl"/>
        </w:rPr>
        <w:tab/>
      </w:r>
      <w:r w:rsidR="00BB5F8C" w:rsidRPr="007D2C56">
        <w:rPr>
          <w:rFonts w:ascii="Cambria" w:hAnsi="Cambria"/>
          <w:sz w:val="20"/>
          <w:szCs w:val="20"/>
          <w:lang w:val="es-ES_tradnl"/>
        </w:rPr>
        <w:t xml:space="preserve">Sin embargo, según afirma la peticionaria, las familias de las restantes víctimas aún no han recibido reparaciones de parte del Estado colombiano, por no haber sido incluidas en este fallo; ello a pesar de que dichas familias también demandaron al Estado ante la jurisdicción contencioso-administrativa. </w:t>
      </w:r>
      <w:r w:rsidR="005F08AF" w:rsidRPr="007D2C56">
        <w:rPr>
          <w:rFonts w:ascii="Cambria" w:hAnsi="Cambria"/>
          <w:sz w:val="20"/>
          <w:szCs w:val="20"/>
          <w:lang w:val="es-ES_tradnl"/>
        </w:rPr>
        <w:t>–</w:t>
      </w:r>
      <w:r w:rsidR="00BB5F8C" w:rsidRPr="007D2C56">
        <w:rPr>
          <w:rFonts w:ascii="Cambria" w:hAnsi="Cambria"/>
          <w:sz w:val="20"/>
          <w:szCs w:val="20"/>
          <w:lang w:val="es-ES_tradnl"/>
        </w:rPr>
        <w:t>Pero no se indica en la petición si esta demanda fue parte del mismo proceso de reparación directa, o si se trató de una actuación independiente, sobre cuyo desenlace no hay información</w:t>
      </w:r>
      <w:r w:rsidR="005F08AF" w:rsidRPr="007D2C56">
        <w:rPr>
          <w:rFonts w:ascii="Cambria" w:hAnsi="Cambria"/>
          <w:sz w:val="20"/>
          <w:szCs w:val="20"/>
          <w:lang w:val="es-ES_tradnl"/>
        </w:rPr>
        <w:t>–</w:t>
      </w:r>
      <w:r w:rsidR="00BB5F8C" w:rsidRPr="007D2C56">
        <w:rPr>
          <w:rFonts w:ascii="Cambria" w:hAnsi="Cambria"/>
          <w:sz w:val="20"/>
          <w:szCs w:val="20"/>
          <w:lang w:val="es-ES_tradnl"/>
        </w:rPr>
        <w:t xml:space="preserve">. La peticionaria también cuestiona el fallo del 12 de febrero de 2003 porque en él no se reconocieron perjuicios materiales, únicamente perjuicios morales. </w:t>
      </w:r>
    </w:p>
    <w:p w14:paraId="5E24D89A" w14:textId="444CC436" w:rsidR="0073009D" w:rsidRPr="007D2C56" w:rsidRDefault="000148B1" w:rsidP="000148B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D2C56">
        <w:rPr>
          <w:rFonts w:ascii="Cambria" w:hAnsi="Cambria"/>
          <w:sz w:val="20"/>
          <w:szCs w:val="20"/>
          <w:lang w:val="es-ES_tradnl"/>
        </w:rPr>
        <w:t xml:space="preserve">12. </w:t>
      </w:r>
      <w:r w:rsidR="005F08AF" w:rsidRPr="007D2C56">
        <w:rPr>
          <w:rFonts w:ascii="Cambria" w:hAnsi="Cambria"/>
          <w:sz w:val="20"/>
          <w:szCs w:val="20"/>
          <w:lang w:val="es-ES_tradnl"/>
        </w:rPr>
        <w:tab/>
      </w:r>
      <w:r w:rsidR="00CF4AA9" w:rsidRPr="007D2C56">
        <w:rPr>
          <w:rFonts w:ascii="Cambria" w:hAnsi="Cambria"/>
          <w:sz w:val="20"/>
          <w:szCs w:val="20"/>
          <w:lang w:val="es-ES_tradnl"/>
        </w:rPr>
        <w:t>En suma, l</w:t>
      </w:r>
      <w:r w:rsidR="0073009D" w:rsidRPr="007D2C56">
        <w:rPr>
          <w:rFonts w:ascii="Cambria" w:hAnsi="Cambria"/>
          <w:sz w:val="20"/>
          <w:szCs w:val="20"/>
          <w:lang w:val="es-ES_tradnl"/>
        </w:rPr>
        <w:t>a parte peticionaria afirma que se violaron los siguientes derechos humanos protegidos por la Convención Americana:</w:t>
      </w:r>
    </w:p>
    <w:p w14:paraId="242DE2E7" w14:textId="501024B5" w:rsidR="00A5194B" w:rsidRPr="007D2C56" w:rsidRDefault="00A5194B" w:rsidP="000148B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D2C56">
        <w:rPr>
          <w:rFonts w:ascii="Cambria" w:hAnsi="Cambria"/>
          <w:sz w:val="20"/>
          <w:szCs w:val="20"/>
          <w:lang w:val="es-ES_tradnl"/>
        </w:rPr>
        <w:t xml:space="preserve">(i) </w:t>
      </w:r>
      <w:r w:rsidR="00CF4AA9" w:rsidRPr="007D2C56">
        <w:rPr>
          <w:rFonts w:ascii="Cambria" w:hAnsi="Cambria"/>
          <w:sz w:val="20"/>
          <w:szCs w:val="20"/>
          <w:lang w:val="es-ES_tradnl"/>
        </w:rPr>
        <w:tab/>
      </w:r>
      <w:r w:rsidRPr="007D2C56">
        <w:rPr>
          <w:rFonts w:ascii="Cambria" w:hAnsi="Cambria"/>
          <w:sz w:val="20"/>
          <w:szCs w:val="20"/>
          <w:lang w:val="es-ES_tradnl"/>
        </w:rPr>
        <w:t xml:space="preserve">El derecho a la vida, por el asesinato de las doce víctimas mortales de la masacre, en cuya realización cabría responsabilidad al </w:t>
      </w:r>
      <w:r w:rsidR="000148B1" w:rsidRPr="007D2C56">
        <w:rPr>
          <w:rFonts w:ascii="Cambria" w:hAnsi="Cambria"/>
          <w:sz w:val="20"/>
          <w:szCs w:val="20"/>
          <w:lang w:val="es-ES_tradnl"/>
        </w:rPr>
        <w:t>E</w:t>
      </w:r>
      <w:r w:rsidRPr="007D2C56">
        <w:rPr>
          <w:rFonts w:ascii="Cambria" w:hAnsi="Cambria"/>
          <w:sz w:val="20"/>
          <w:szCs w:val="20"/>
          <w:lang w:val="es-ES_tradnl"/>
        </w:rPr>
        <w:t xml:space="preserve">stado colombiano por la acción y omisión de los miembros de la Fuerza </w:t>
      </w:r>
      <w:r w:rsidRPr="007D2C56">
        <w:rPr>
          <w:rFonts w:ascii="Cambria" w:hAnsi="Cambria"/>
          <w:sz w:val="20"/>
          <w:szCs w:val="20"/>
          <w:lang w:val="es-ES_tradnl"/>
        </w:rPr>
        <w:lastRenderedPageBreak/>
        <w:t>Pública; así como el derecho a la vida digna de los familiares de los fallecidos, cuyos proyectos de vida se vieron mermados por la pérdida de quienes en gran parte de los casos eran los proveedores principales de sus familias.</w:t>
      </w:r>
    </w:p>
    <w:p w14:paraId="3B97D2E3" w14:textId="24D9112E" w:rsidR="00A5194B" w:rsidRPr="007D2C56" w:rsidRDefault="00A5194B" w:rsidP="000148B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D2C56">
        <w:rPr>
          <w:rFonts w:ascii="Cambria" w:hAnsi="Cambria"/>
          <w:sz w:val="20"/>
          <w:szCs w:val="20"/>
          <w:lang w:val="es-ES_tradnl"/>
        </w:rPr>
        <w:t xml:space="preserve">(ii) </w:t>
      </w:r>
      <w:r w:rsidR="00CF4AA9" w:rsidRPr="007D2C56">
        <w:rPr>
          <w:rFonts w:ascii="Cambria" w:hAnsi="Cambria"/>
          <w:sz w:val="20"/>
          <w:szCs w:val="20"/>
          <w:lang w:val="es-ES_tradnl"/>
        </w:rPr>
        <w:tab/>
      </w:r>
      <w:r w:rsidRPr="007D2C56">
        <w:rPr>
          <w:rFonts w:ascii="Cambria" w:hAnsi="Cambria"/>
          <w:sz w:val="20"/>
          <w:szCs w:val="20"/>
          <w:lang w:val="es-ES_tradnl"/>
        </w:rPr>
        <w:t xml:space="preserve">El derecho a la integridad personal, </w:t>
      </w:r>
      <w:r w:rsidR="00B83768" w:rsidRPr="007D2C56">
        <w:rPr>
          <w:rFonts w:ascii="Cambria" w:hAnsi="Cambria"/>
          <w:sz w:val="20"/>
          <w:szCs w:val="20"/>
          <w:lang w:val="es-ES_tradnl"/>
        </w:rPr>
        <w:t xml:space="preserve">por los vejámenes y torturas que se infringieron a muchas de las víctimas, antes de asesinarlas, el hecho de que familiares y amigos vieron cómo masacraban a sus seres queridos y la retención arbitraria y violenta a que fueron sometidos los pobladores de los barrios San Luis y Villanueva, retención ésta última que se prolongó durante las casi </w:t>
      </w:r>
      <w:r w:rsidR="00CF4AA9" w:rsidRPr="007D2C56">
        <w:rPr>
          <w:rFonts w:ascii="Cambria" w:hAnsi="Cambria"/>
          <w:sz w:val="20"/>
          <w:szCs w:val="20"/>
          <w:lang w:val="es-ES_tradnl"/>
        </w:rPr>
        <w:t>seis</w:t>
      </w:r>
      <w:r w:rsidR="00B83768" w:rsidRPr="007D2C56">
        <w:rPr>
          <w:rFonts w:ascii="Cambria" w:hAnsi="Cambria"/>
          <w:sz w:val="20"/>
          <w:szCs w:val="20"/>
          <w:lang w:val="es-ES_tradnl"/>
        </w:rPr>
        <w:t xml:space="preserve"> horas que duró la toma paramilitar, sin que las autoridades estatales hicieran algo para impedirlo o para rescatarlos. </w:t>
      </w:r>
    </w:p>
    <w:p w14:paraId="1EEBE397" w14:textId="3FD1F962" w:rsidR="00B83768" w:rsidRPr="007D2C56" w:rsidRDefault="00B83768" w:rsidP="000148B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D2C56">
        <w:rPr>
          <w:rFonts w:ascii="Cambria" w:hAnsi="Cambria"/>
          <w:sz w:val="20"/>
          <w:szCs w:val="20"/>
          <w:lang w:val="es-ES_tradnl"/>
        </w:rPr>
        <w:t xml:space="preserve">(iii) </w:t>
      </w:r>
      <w:r w:rsidR="00CF4AA9" w:rsidRPr="007D2C56">
        <w:rPr>
          <w:rFonts w:ascii="Cambria" w:hAnsi="Cambria"/>
          <w:sz w:val="20"/>
          <w:szCs w:val="20"/>
          <w:lang w:val="es-ES_tradnl"/>
        </w:rPr>
        <w:tab/>
      </w:r>
      <w:r w:rsidRPr="007D2C56">
        <w:rPr>
          <w:rFonts w:ascii="Cambria" w:hAnsi="Cambria"/>
          <w:sz w:val="20"/>
          <w:szCs w:val="20"/>
          <w:lang w:val="es-ES_tradnl"/>
        </w:rPr>
        <w:t>El derecho a la honra y dignidad, en su componente de protección del domicilio, puesto que los paramilitares que perpetraron la masacre en varios casos irrumpieron en las viviendas familiares de las víctimas</w:t>
      </w:r>
      <w:r w:rsidR="000148B1" w:rsidRPr="007D2C56">
        <w:rPr>
          <w:rFonts w:ascii="Cambria" w:hAnsi="Cambria"/>
          <w:sz w:val="20"/>
          <w:szCs w:val="20"/>
          <w:lang w:val="es-ES_tradnl"/>
        </w:rPr>
        <w:t>,</w:t>
      </w:r>
      <w:r w:rsidRPr="007D2C56">
        <w:rPr>
          <w:rFonts w:ascii="Cambria" w:hAnsi="Cambria"/>
          <w:sz w:val="20"/>
          <w:szCs w:val="20"/>
          <w:lang w:val="es-ES_tradnl"/>
        </w:rPr>
        <w:t xml:space="preserve"> con violencia, y cometieron ataques ilegales a su honra y reputación mediante la utilización de términos peyorativos. </w:t>
      </w:r>
    </w:p>
    <w:p w14:paraId="3E049830" w14:textId="4D25E4B2" w:rsidR="00B83768" w:rsidRPr="007D2C56" w:rsidRDefault="00B83768" w:rsidP="000148B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D2C56">
        <w:rPr>
          <w:rFonts w:ascii="Cambria" w:hAnsi="Cambria"/>
          <w:sz w:val="20"/>
          <w:szCs w:val="20"/>
          <w:lang w:val="es-ES_tradnl"/>
        </w:rPr>
        <w:t xml:space="preserve">(iv) </w:t>
      </w:r>
      <w:r w:rsidR="00CF4AA9" w:rsidRPr="007D2C56">
        <w:rPr>
          <w:rFonts w:ascii="Cambria" w:hAnsi="Cambria"/>
          <w:sz w:val="20"/>
          <w:szCs w:val="20"/>
          <w:lang w:val="es-ES_tradnl"/>
        </w:rPr>
        <w:tab/>
      </w:r>
      <w:r w:rsidRPr="007D2C56">
        <w:rPr>
          <w:rFonts w:ascii="Cambria" w:hAnsi="Cambria"/>
          <w:sz w:val="20"/>
          <w:szCs w:val="20"/>
          <w:lang w:val="es-ES_tradnl"/>
        </w:rPr>
        <w:t xml:space="preserve">El derecho a la libertad de circulación y residencia, y a la libertad personal, por cuanto el grupo paramilitar retuvo y mantuvo secuestrados a diversos pobladores de los barrios San Luis y El Cafetal de Villanueva – Guajira durante todas las horas que duró su permanencia en la zona. En estos barrios la táctica militar consistió en la retención y el secuestro colectivo de la población. Las víctimas de los atentados contra la libertad fueron obligadas a encerrarse en sus viviendas. </w:t>
      </w:r>
    </w:p>
    <w:p w14:paraId="519A1C35" w14:textId="7B0C7D76" w:rsidR="00B83768" w:rsidRPr="007D2C56" w:rsidRDefault="00B83768" w:rsidP="000148B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D2C56">
        <w:rPr>
          <w:rFonts w:ascii="Cambria" w:hAnsi="Cambria"/>
          <w:sz w:val="20"/>
          <w:szCs w:val="20"/>
          <w:lang w:val="es-ES_tradnl"/>
        </w:rPr>
        <w:t xml:space="preserve">(v) </w:t>
      </w:r>
      <w:r w:rsidR="007517F3" w:rsidRPr="007D2C56">
        <w:rPr>
          <w:rFonts w:ascii="Cambria" w:hAnsi="Cambria"/>
          <w:sz w:val="20"/>
          <w:szCs w:val="20"/>
          <w:lang w:val="es-ES_tradnl"/>
        </w:rPr>
        <w:tab/>
      </w:r>
      <w:r w:rsidRPr="007D2C56">
        <w:rPr>
          <w:rFonts w:ascii="Cambria" w:hAnsi="Cambria"/>
          <w:sz w:val="20"/>
          <w:szCs w:val="20"/>
          <w:lang w:val="es-ES_tradnl"/>
        </w:rPr>
        <w:t xml:space="preserve">Los derechos de los niños, puesto que los asesinatos y vejámenes fueron cometidos en frente a personas menores de </w:t>
      </w:r>
      <w:r w:rsidR="00F725DD" w:rsidRPr="007D2C56">
        <w:rPr>
          <w:rFonts w:ascii="Cambria" w:hAnsi="Cambria"/>
          <w:sz w:val="20"/>
          <w:szCs w:val="20"/>
          <w:lang w:val="es-ES_tradnl"/>
        </w:rPr>
        <w:t>dieciocho</w:t>
      </w:r>
      <w:r w:rsidRPr="007D2C56">
        <w:rPr>
          <w:rFonts w:ascii="Cambria" w:hAnsi="Cambria"/>
          <w:sz w:val="20"/>
          <w:szCs w:val="20"/>
          <w:lang w:val="es-ES_tradnl"/>
        </w:rPr>
        <w:t xml:space="preserve"> años, en muchos casos los hijos y parientes de las víctimas; además porque tras la masacre el Estado no ha adoptado medidas especiales para prevenir o remediar los daños físicos y psicológicos sufridos por los niños de Villanueva.</w:t>
      </w:r>
    </w:p>
    <w:p w14:paraId="4B48B0CE" w14:textId="2935FFB8" w:rsidR="0073009D" w:rsidRPr="007D2C56" w:rsidRDefault="00B83768" w:rsidP="000148B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D2C56">
        <w:rPr>
          <w:rFonts w:ascii="Cambria" w:hAnsi="Cambria"/>
          <w:sz w:val="20"/>
          <w:szCs w:val="20"/>
          <w:lang w:val="es-ES_tradnl"/>
        </w:rPr>
        <w:t xml:space="preserve">(vi) </w:t>
      </w:r>
      <w:r w:rsidR="00F725DD" w:rsidRPr="007D2C56">
        <w:rPr>
          <w:rFonts w:ascii="Cambria" w:hAnsi="Cambria"/>
          <w:sz w:val="20"/>
          <w:szCs w:val="20"/>
          <w:lang w:val="es-ES_tradnl"/>
        </w:rPr>
        <w:tab/>
      </w:r>
      <w:r w:rsidR="0073009D" w:rsidRPr="007D2C56">
        <w:rPr>
          <w:rFonts w:ascii="Cambria" w:hAnsi="Cambria"/>
          <w:sz w:val="20"/>
          <w:szCs w:val="20"/>
          <w:lang w:val="es-ES_tradnl"/>
        </w:rPr>
        <w:t xml:space="preserve">El derecho a la libertad religiosa, ya que los perpetradores de la masacre escogieron el “día de las velitas”, de algo significado para los habitantes de la región Caribe, quienes son en su absoluta mayoría católicos; la masacre ocurrió mientras los pobladores de Villanueva estaban celebrando esta festividad en compañía de sus familias. Como consecuencia de ello, desde entonces la fiesta de la Inmaculada Concepción en Villanueva no ha sido celebrada con la misma libertad o fervor con la que se solía guardarla antes del crimen.  </w:t>
      </w:r>
    </w:p>
    <w:p w14:paraId="15264DC9" w14:textId="5A826E17" w:rsidR="00637E95" w:rsidRPr="007D2C56" w:rsidRDefault="000148B1" w:rsidP="000148B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D2C56">
        <w:rPr>
          <w:rFonts w:ascii="Cambria" w:hAnsi="Cambria"/>
          <w:sz w:val="20"/>
          <w:szCs w:val="20"/>
          <w:lang w:val="es-ES_tradnl"/>
        </w:rPr>
        <w:t xml:space="preserve">13. </w:t>
      </w:r>
      <w:r w:rsidR="00F725DD" w:rsidRPr="007D2C56">
        <w:rPr>
          <w:rFonts w:ascii="Cambria" w:hAnsi="Cambria"/>
          <w:sz w:val="20"/>
          <w:szCs w:val="20"/>
          <w:lang w:val="es-ES_tradnl"/>
        </w:rPr>
        <w:tab/>
      </w:r>
      <w:r w:rsidR="00637E95" w:rsidRPr="007D2C56">
        <w:rPr>
          <w:rFonts w:ascii="Cambria" w:hAnsi="Cambria"/>
          <w:sz w:val="20"/>
          <w:szCs w:val="20"/>
          <w:lang w:val="es-ES_tradnl"/>
        </w:rPr>
        <w:t>El Estado, en su contestación, solicita que la petición sea declarada inadmisible por falta de agotamiento de los recursos domésticos</w:t>
      </w:r>
      <w:r w:rsidR="00F725DD" w:rsidRPr="007D2C56">
        <w:rPr>
          <w:rFonts w:ascii="Cambria" w:hAnsi="Cambria"/>
          <w:sz w:val="20"/>
          <w:szCs w:val="20"/>
          <w:lang w:val="es-ES_tradnl"/>
        </w:rPr>
        <w:t>;</w:t>
      </w:r>
      <w:r w:rsidR="00637E95" w:rsidRPr="007D2C56">
        <w:rPr>
          <w:rFonts w:ascii="Cambria" w:hAnsi="Cambria"/>
          <w:sz w:val="20"/>
          <w:szCs w:val="20"/>
          <w:lang w:val="es-ES_tradnl"/>
        </w:rPr>
        <w:t xml:space="preserve"> </w:t>
      </w:r>
      <w:r w:rsidR="00F725DD" w:rsidRPr="007D2C56">
        <w:rPr>
          <w:rFonts w:ascii="Cambria" w:hAnsi="Cambria"/>
          <w:sz w:val="20"/>
          <w:szCs w:val="20"/>
          <w:lang w:val="es-ES_tradnl"/>
        </w:rPr>
        <w:t>por</w:t>
      </w:r>
      <w:r w:rsidR="00637E95" w:rsidRPr="007D2C56">
        <w:rPr>
          <w:rFonts w:ascii="Cambria" w:hAnsi="Cambria"/>
          <w:sz w:val="20"/>
          <w:szCs w:val="20"/>
          <w:lang w:val="es-ES_tradnl"/>
        </w:rPr>
        <w:t xml:space="preserve"> haberse recurrido al Sistema Interamericano en tanto tribunal de alzada internacional o “cuarta instancia”</w:t>
      </w:r>
      <w:r w:rsidR="00F725DD" w:rsidRPr="007D2C56">
        <w:rPr>
          <w:rFonts w:ascii="Cambria" w:hAnsi="Cambria"/>
          <w:sz w:val="20"/>
          <w:szCs w:val="20"/>
          <w:lang w:val="es-ES_tradnl"/>
        </w:rPr>
        <w:t>;</w:t>
      </w:r>
      <w:r w:rsidR="00637E95" w:rsidRPr="007D2C56">
        <w:rPr>
          <w:rFonts w:ascii="Cambria" w:hAnsi="Cambria"/>
          <w:sz w:val="20"/>
          <w:szCs w:val="20"/>
          <w:lang w:val="es-ES_tradnl"/>
        </w:rPr>
        <w:t xml:space="preserve"> y </w:t>
      </w:r>
      <w:r w:rsidR="00F725DD" w:rsidRPr="007D2C56">
        <w:rPr>
          <w:rFonts w:ascii="Cambria" w:hAnsi="Cambria"/>
          <w:sz w:val="20"/>
          <w:szCs w:val="20"/>
          <w:lang w:val="es-ES_tradnl"/>
        </w:rPr>
        <w:t>por</w:t>
      </w:r>
      <w:r w:rsidR="00637E95" w:rsidRPr="007D2C56">
        <w:rPr>
          <w:rFonts w:ascii="Cambria" w:hAnsi="Cambria"/>
          <w:sz w:val="20"/>
          <w:szCs w:val="20"/>
          <w:lang w:val="es-ES_tradnl"/>
        </w:rPr>
        <w:t xml:space="preserve"> no haberse caracterizado en la petición las violaciones de la Convención Americana invocadas por los peticionarios. </w:t>
      </w:r>
    </w:p>
    <w:p w14:paraId="60177A7D" w14:textId="0F2FDDA1" w:rsidR="008329D5" w:rsidRPr="007D2C56" w:rsidRDefault="000148B1" w:rsidP="000148B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D2C56">
        <w:rPr>
          <w:rFonts w:ascii="Cambria" w:hAnsi="Cambria"/>
          <w:sz w:val="20"/>
          <w:szCs w:val="20"/>
          <w:lang w:val="es-ES_tradnl"/>
        </w:rPr>
        <w:t xml:space="preserve">14. </w:t>
      </w:r>
      <w:r w:rsidR="00F725DD" w:rsidRPr="007D2C56">
        <w:rPr>
          <w:rFonts w:ascii="Cambria" w:hAnsi="Cambria"/>
          <w:sz w:val="20"/>
          <w:szCs w:val="20"/>
          <w:lang w:val="es-ES_tradnl"/>
        </w:rPr>
        <w:tab/>
      </w:r>
      <w:r w:rsidR="008329D5" w:rsidRPr="007D2C56">
        <w:rPr>
          <w:rFonts w:ascii="Cambria" w:hAnsi="Cambria"/>
          <w:sz w:val="20"/>
          <w:szCs w:val="20"/>
          <w:lang w:val="es-ES_tradnl"/>
        </w:rPr>
        <w:t>En primer lugar</w:t>
      </w:r>
      <w:r w:rsidRPr="007D2C56">
        <w:rPr>
          <w:rFonts w:ascii="Cambria" w:hAnsi="Cambria"/>
          <w:sz w:val="20"/>
          <w:szCs w:val="20"/>
          <w:lang w:val="es-ES_tradnl"/>
        </w:rPr>
        <w:t>,</w:t>
      </w:r>
      <w:r w:rsidR="008329D5" w:rsidRPr="007D2C56">
        <w:rPr>
          <w:rFonts w:ascii="Cambria" w:hAnsi="Cambria"/>
          <w:sz w:val="20"/>
          <w:szCs w:val="20"/>
          <w:lang w:val="es-ES_tradnl"/>
        </w:rPr>
        <w:t xml:space="preserve"> el Estado provee la información sobre las versiones y diligencias llevadas a cabo ante el sistema de “Justicia y Paz”, descritas arriba; y afirma que según reportó la Fiscalía General de la Nación, no existe dentro de las versiones libres rendidas por los postulados, señalamiento alguno en contra de militares por estos hechos. El Estado también enumera a las víctimas de la masacre y a </w:t>
      </w:r>
      <w:r w:rsidR="00AA5834" w:rsidRPr="007D2C56">
        <w:rPr>
          <w:rFonts w:ascii="Cambria" w:hAnsi="Cambria"/>
          <w:sz w:val="20"/>
          <w:szCs w:val="20"/>
          <w:lang w:val="es-ES_tradnl"/>
        </w:rPr>
        <w:t>sus</w:t>
      </w:r>
      <w:r w:rsidR="008329D5" w:rsidRPr="007D2C56">
        <w:rPr>
          <w:rFonts w:ascii="Cambria" w:hAnsi="Cambria"/>
          <w:sz w:val="20"/>
          <w:szCs w:val="20"/>
          <w:lang w:val="es-ES_tradnl"/>
        </w:rPr>
        <w:t xml:space="preserve"> familiares que se encuentran inscritos ante el Registro Único de Víctimas, entre los cuales cinco personas ya recibieron indemnización administrativa.</w:t>
      </w:r>
      <w:r w:rsidR="00FD3682" w:rsidRPr="007D2C56">
        <w:rPr>
          <w:rFonts w:ascii="Cambria" w:hAnsi="Cambria"/>
          <w:sz w:val="20"/>
          <w:szCs w:val="20"/>
          <w:lang w:val="es-ES_tradnl"/>
        </w:rPr>
        <w:t xml:space="preserve"> </w:t>
      </w:r>
    </w:p>
    <w:p w14:paraId="0C12D970" w14:textId="7708A025" w:rsidR="00134D90" w:rsidRPr="007D2C56" w:rsidRDefault="000148B1" w:rsidP="00BE4DA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18"/>
          <w:szCs w:val="18"/>
          <w:lang w:val="es-ES_tradnl"/>
        </w:rPr>
      </w:pPr>
      <w:r w:rsidRPr="007D2C56">
        <w:rPr>
          <w:rFonts w:ascii="Cambria" w:hAnsi="Cambria"/>
          <w:sz w:val="20"/>
          <w:szCs w:val="20"/>
          <w:lang w:val="es-ES_tradnl"/>
        </w:rPr>
        <w:t xml:space="preserve">15. </w:t>
      </w:r>
      <w:r w:rsidR="00AA5834" w:rsidRPr="007D2C56">
        <w:rPr>
          <w:rFonts w:ascii="Cambria" w:hAnsi="Cambria"/>
          <w:sz w:val="20"/>
          <w:szCs w:val="20"/>
          <w:lang w:val="es-ES_tradnl"/>
        </w:rPr>
        <w:tab/>
      </w:r>
      <w:r w:rsidR="00FD3682" w:rsidRPr="007D2C56">
        <w:rPr>
          <w:rFonts w:ascii="Cambria" w:hAnsi="Cambria"/>
          <w:sz w:val="20"/>
          <w:szCs w:val="20"/>
          <w:lang w:val="es-ES_tradnl"/>
        </w:rPr>
        <w:t xml:space="preserve">Con respecto </w:t>
      </w:r>
      <w:r w:rsidR="00AA5834" w:rsidRPr="007D2C56">
        <w:rPr>
          <w:rFonts w:ascii="Cambria" w:hAnsi="Cambria"/>
          <w:sz w:val="20"/>
          <w:szCs w:val="20"/>
          <w:lang w:val="es-ES_tradnl"/>
        </w:rPr>
        <w:t>a la falta de agotamiento de los recursos internos</w:t>
      </w:r>
      <w:r w:rsidR="00FD3682" w:rsidRPr="007D2C56">
        <w:rPr>
          <w:rFonts w:ascii="Cambria" w:hAnsi="Cambria"/>
          <w:sz w:val="20"/>
          <w:szCs w:val="20"/>
          <w:lang w:val="es-ES_tradnl"/>
        </w:rPr>
        <w:t xml:space="preserve">, el Estado divide su alegato en dos partes, una referente al proceso penal, y la otra al proceso contencioso-administrativo de reparación directa. </w:t>
      </w:r>
      <w:r w:rsidR="00F64863" w:rsidRPr="007D2C56">
        <w:rPr>
          <w:rFonts w:ascii="Cambria" w:hAnsi="Cambria"/>
          <w:sz w:val="20"/>
          <w:szCs w:val="20"/>
          <w:lang w:val="es-ES_tradnl"/>
        </w:rPr>
        <w:t xml:space="preserve">En cuanto al proceso investigativo penal, el Estado recuerda los criterios jurisprudenciales para determinar cuándo un plazo </w:t>
      </w:r>
      <w:r w:rsidRPr="007D2C56">
        <w:rPr>
          <w:rFonts w:ascii="Cambria" w:hAnsi="Cambria"/>
          <w:sz w:val="20"/>
          <w:szCs w:val="20"/>
          <w:lang w:val="es-ES_tradnl"/>
        </w:rPr>
        <w:t xml:space="preserve">judicial </w:t>
      </w:r>
      <w:r w:rsidR="00F64863" w:rsidRPr="007D2C56">
        <w:rPr>
          <w:rFonts w:ascii="Cambria" w:hAnsi="Cambria"/>
          <w:sz w:val="20"/>
          <w:szCs w:val="20"/>
          <w:lang w:val="es-ES_tradnl"/>
        </w:rPr>
        <w:t>es razonable, y afirma que la jurisdicción doméstica no ha incurrido en una demora injustificada, por cuanto (</w:t>
      </w:r>
      <w:r w:rsidR="00EA30AF" w:rsidRPr="007D2C56">
        <w:rPr>
          <w:rFonts w:ascii="Cambria" w:hAnsi="Cambria"/>
          <w:sz w:val="20"/>
          <w:szCs w:val="20"/>
          <w:lang w:val="es-ES_tradnl"/>
        </w:rPr>
        <w:t>a</w:t>
      </w:r>
      <w:r w:rsidR="00F64863" w:rsidRPr="007D2C56">
        <w:rPr>
          <w:rFonts w:ascii="Cambria" w:hAnsi="Cambria"/>
          <w:sz w:val="20"/>
          <w:szCs w:val="20"/>
          <w:lang w:val="es-ES_tradnl"/>
        </w:rPr>
        <w:t>) se trata de un caso complejo dada la dinámica del conflicto armado en la región y el número de víctimas e implicados</w:t>
      </w:r>
      <w:r w:rsidRPr="007D2C56">
        <w:rPr>
          <w:rFonts w:ascii="Cambria" w:hAnsi="Cambria"/>
          <w:sz w:val="20"/>
          <w:szCs w:val="20"/>
          <w:lang w:val="es-ES_tradnl"/>
        </w:rPr>
        <w:t xml:space="preserve"> en el crimen</w:t>
      </w:r>
      <w:r w:rsidR="00F64863" w:rsidRPr="007D2C56">
        <w:rPr>
          <w:rFonts w:ascii="Cambria" w:hAnsi="Cambria"/>
          <w:sz w:val="20"/>
          <w:szCs w:val="20"/>
          <w:lang w:val="es-ES_tradnl"/>
        </w:rPr>
        <w:t>; (</w:t>
      </w:r>
      <w:r w:rsidR="00EA30AF" w:rsidRPr="007D2C56">
        <w:rPr>
          <w:rFonts w:ascii="Cambria" w:hAnsi="Cambria"/>
          <w:sz w:val="20"/>
          <w:szCs w:val="20"/>
          <w:lang w:val="es-ES_tradnl"/>
        </w:rPr>
        <w:t>b</w:t>
      </w:r>
      <w:r w:rsidR="00F64863" w:rsidRPr="007D2C56">
        <w:rPr>
          <w:rFonts w:ascii="Cambria" w:hAnsi="Cambria"/>
          <w:sz w:val="20"/>
          <w:szCs w:val="20"/>
          <w:lang w:val="es-ES_tradnl"/>
        </w:rPr>
        <w:t>) la actividad investigativa de las autoridades judiciales, con respecto a la cual se afirma que las autoridades colombianas han logrado hasta la fecha avances significativos (habiendo claridad sobre los hechos y siendo varios los postulados en el marco de Justicia y Paz que han admitido su responsabilidad en la comisión de los hechos), no pudiéndose hablar de impunidad en el caso particular</w:t>
      </w:r>
      <w:r w:rsidR="00EA30AF" w:rsidRPr="007D2C56">
        <w:rPr>
          <w:rFonts w:ascii="Cambria" w:hAnsi="Cambria"/>
          <w:sz w:val="20"/>
          <w:szCs w:val="20"/>
          <w:lang w:val="es-ES_tradnl"/>
        </w:rPr>
        <w:t>;</w:t>
      </w:r>
      <w:r w:rsidR="00F64863" w:rsidRPr="007D2C56">
        <w:rPr>
          <w:rFonts w:ascii="Cambria" w:hAnsi="Cambria"/>
          <w:sz w:val="20"/>
          <w:szCs w:val="20"/>
          <w:lang w:val="es-ES_tradnl"/>
        </w:rPr>
        <w:t xml:space="preserve"> y que la Fiscalía General de la Nación inició en forma oficiosa la investigación, realizando el acta de necropsia de los cadáveres, así como la documentación de la masacre, por todo lo cual la CIDH no puede suplir al Estado en la determinación de los responsables dado su rol subsidiario, complementario y </w:t>
      </w:r>
      <w:r w:rsidR="00F64863" w:rsidRPr="007D2C56">
        <w:rPr>
          <w:rFonts w:ascii="Cambria" w:hAnsi="Cambria"/>
          <w:sz w:val="20"/>
          <w:szCs w:val="20"/>
          <w:lang w:val="es-ES_tradnl"/>
        </w:rPr>
        <w:lastRenderedPageBreak/>
        <w:t>coadyuvante; y (</w:t>
      </w:r>
      <w:r w:rsidR="00BE4DA2" w:rsidRPr="007D2C56">
        <w:rPr>
          <w:rFonts w:ascii="Cambria" w:hAnsi="Cambria"/>
          <w:sz w:val="20"/>
          <w:szCs w:val="20"/>
          <w:lang w:val="es-ES_tradnl"/>
        </w:rPr>
        <w:t>c</w:t>
      </w:r>
      <w:r w:rsidR="00F64863" w:rsidRPr="007D2C56">
        <w:rPr>
          <w:rFonts w:ascii="Cambria" w:hAnsi="Cambria"/>
          <w:sz w:val="20"/>
          <w:szCs w:val="20"/>
          <w:lang w:val="es-ES_tradnl"/>
        </w:rPr>
        <w:t xml:space="preserve">) la actividad procesal del interesado, en relación con la cual el Estado recuerda que la apoderada de los familiares de los muertos en la masacre pidió a la </w:t>
      </w:r>
      <w:r w:rsidR="00BE4DA2" w:rsidRPr="007D2C56">
        <w:rPr>
          <w:rFonts w:ascii="Cambria" w:hAnsi="Cambria"/>
          <w:sz w:val="20"/>
          <w:szCs w:val="20"/>
          <w:lang w:val="es-ES_tradnl"/>
        </w:rPr>
        <w:t>f</w:t>
      </w:r>
      <w:r w:rsidR="00F64863" w:rsidRPr="007D2C56">
        <w:rPr>
          <w:rFonts w:ascii="Cambria" w:hAnsi="Cambria"/>
          <w:sz w:val="20"/>
          <w:szCs w:val="20"/>
          <w:lang w:val="es-ES_tradnl"/>
        </w:rPr>
        <w:t xml:space="preserve">iscalía que se les constituyera en parte civil dentro del proceso, pero la </w:t>
      </w:r>
      <w:r w:rsidR="00BE4DA2" w:rsidRPr="007D2C56">
        <w:rPr>
          <w:rFonts w:ascii="Cambria" w:hAnsi="Cambria"/>
          <w:sz w:val="20"/>
          <w:szCs w:val="20"/>
          <w:lang w:val="es-ES_tradnl"/>
        </w:rPr>
        <w:t>f</w:t>
      </w:r>
      <w:r w:rsidR="00F64863" w:rsidRPr="007D2C56">
        <w:rPr>
          <w:rFonts w:ascii="Cambria" w:hAnsi="Cambria"/>
          <w:sz w:val="20"/>
          <w:szCs w:val="20"/>
          <w:lang w:val="es-ES_tradnl"/>
        </w:rPr>
        <w:t>iscalía respondió que la investigación tenía resolución inhibitoria y era necesario desarchivarla formalmente para acceder a la petición</w:t>
      </w:r>
      <w:r w:rsidR="00BE4DA2" w:rsidRPr="007D2C56">
        <w:rPr>
          <w:rFonts w:ascii="Cambria" w:hAnsi="Cambria"/>
          <w:sz w:val="20"/>
          <w:szCs w:val="20"/>
          <w:lang w:val="es-ES_tradnl"/>
        </w:rPr>
        <w:t>,</w:t>
      </w:r>
      <w:r w:rsidR="00F64863" w:rsidRPr="007D2C56">
        <w:rPr>
          <w:rFonts w:ascii="Cambria" w:hAnsi="Cambria"/>
          <w:sz w:val="20"/>
          <w:szCs w:val="20"/>
          <w:lang w:val="es-ES_tradnl"/>
        </w:rPr>
        <w:t xml:space="preserve"> frente a lo cual la apoderada de las víctimas se abstuvo de promover tal desarchivo y reactivación formales. </w:t>
      </w:r>
    </w:p>
    <w:p w14:paraId="23C65583" w14:textId="20F4ACC5" w:rsidR="00134D90" w:rsidRPr="007D2C56" w:rsidRDefault="000148B1" w:rsidP="00BE4DA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D2C56">
        <w:rPr>
          <w:rFonts w:ascii="Cambria" w:hAnsi="Cambria"/>
          <w:sz w:val="20"/>
          <w:szCs w:val="20"/>
          <w:lang w:val="es-ES_tradnl"/>
        </w:rPr>
        <w:t xml:space="preserve">16. </w:t>
      </w:r>
      <w:r w:rsidR="00BE4DA2" w:rsidRPr="007D2C56">
        <w:rPr>
          <w:rFonts w:ascii="Cambria" w:hAnsi="Cambria"/>
          <w:sz w:val="20"/>
          <w:szCs w:val="20"/>
          <w:lang w:val="es-ES_tradnl"/>
        </w:rPr>
        <w:tab/>
      </w:r>
      <w:r w:rsidR="00134D90" w:rsidRPr="007D2C56">
        <w:rPr>
          <w:rFonts w:ascii="Cambria" w:hAnsi="Cambria"/>
          <w:sz w:val="20"/>
          <w:szCs w:val="20"/>
          <w:lang w:val="es-ES_tradnl"/>
        </w:rPr>
        <w:t>Por otra parte, con respecto al proceso contencioso-administrativo de reparación directa, el Estado argumenta que éste es un recurso idóneo para tramitar en sede interna el reclamo de la petición, ya que la jurisprudencia del Consejo de Estado ha evolucionado en el sentido de proveer reparaciones que son consistentes con los criterios trazados al respecto por el Sistema Interamericano. El Estado toma nota de la sentencia del Tribunal Administrativo de la Guajira del 12 de febrero de 2003 dentro de la acción de reparación directa promovida por algunas de las víctimas, pero observa que no todas las familias de los fallecidos en la masacre participaron de tal proceso, por lo cual aún quedan</w:t>
      </w:r>
      <w:r w:rsidRPr="007D2C56">
        <w:rPr>
          <w:rFonts w:ascii="Cambria" w:hAnsi="Cambria"/>
          <w:sz w:val="20"/>
          <w:szCs w:val="20"/>
          <w:lang w:val="es-ES_tradnl"/>
        </w:rPr>
        <w:t>, en su concepto,</w:t>
      </w:r>
      <w:r w:rsidR="00134D90" w:rsidRPr="007D2C56">
        <w:rPr>
          <w:rFonts w:ascii="Cambria" w:hAnsi="Cambria"/>
          <w:sz w:val="20"/>
          <w:szCs w:val="20"/>
          <w:lang w:val="es-ES_tradnl"/>
        </w:rPr>
        <w:t xml:space="preserve"> recursos por agotar en sede interna.</w:t>
      </w:r>
    </w:p>
    <w:p w14:paraId="2313159D" w14:textId="5C844144" w:rsidR="00134D90" w:rsidRPr="007D2C56" w:rsidRDefault="000148B1" w:rsidP="00EB302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D2C56">
        <w:rPr>
          <w:rFonts w:ascii="Cambria" w:hAnsi="Cambria"/>
          <w:sz w:val="20"/>
          <w:szCs w:val="20"/>
          <w:lang w:val="es-ES_tradnl"/>
        </w:rPr>
        <w:t xml:space="preserve">17. </w:t>
      </w:r>
      <w:r w:rsidR="00BE4DA2" w:rsidRPr="007D2C56">
        <w:rPr>
          <w:rFonts w:ascii="Cambria" w:hAnsi="Cambria"/>
          <w:sz w:val="20"/>
          <w:szCs w:val="20"/>
          <w:lang w:val="es-ES_tradnl"/>
        </w:rPr>
        <w:tab/>
        <w:t xml:space="preserve">Con relación al alegato de que la parte peticionaria pretende acudir a la CIDH como a una “cuarta instancia”, </w:t>
      </w:r>
      <w:r w:rsidR="00134D90" w:rsidRPr="007D2C56">
        <w:rPr>
          <w:rFonts w:ascii="Cambria" w:hAnsi="Cambria"/>
          <w:sz w:val="20"/>
          <w:szCs w:val="20"/>
          <w:lang w:val="es-ES_tradnl"/>
        </w:rPr>
        <w:t xml:space="preserve">Colombia </w:t>
      </w:r>
      <w:r w:rsidR="00BE4DA2" w:rsidRPr="007D2C56">
        <w:rPr>
          <w:rFonts w:ascii="Cambria" w:hAnsi="Cambria"/>
          <w:sz w:val="20"/>
          <w:szCs w:val="20"/>
          <w:lang w:val="es-ES_tradnl"/>
        </w:rPr>
        <w:t xml:space="preserve">destaca </w:t>
      </w:r>
      <w:r w:rsidR="00134D90" w:rsidRPr="007D2C56">
        <w:rPr>
          <w:rFonts w:ascii="Cambria" w:hAnsi="Cambria"/>
          <w:sz w:val="20"/>
          <w:szCs w:val="20"/>
          <w:lang w:val="es-ES_tradnl"/>
        </w:rPr>
        <w:t xml:space="preserve">que una parte de las presuntas víctimas ya fueron reparadas a nivel doméstico en virtud de la sentencia del Tribunal Administrativo de La Guajira; e indica que varias de ellas también han sido incluidas dentro del Registro Único de Víctimas. Al respecto alega que teniendo en cuenta que no consta en los hechos del caso indicio o evidencia de que hubiera existido error o vulneración grave de los derechos de las presuntas víctimas en la expedición de la sentencia o en la inclusión en el sistema de reparación integral a cargo de la UARIV, el Estado considera que, si la CIDH decidiera entrar a revisar las decisiones tomadas al interior de su jurisdicción, estaría actuando como un tribunal de instancia. Lo anterior, más aún, cuando dichas decisiones le son favorables a los peticionarios y garantizan su derecho a la reparación integral. </w:t>
      </w:r>
      <w:r w:rsidR="00334054" w:rsidRPr="007D2C56">
        <w:rPr>
          <w:rFonts w:ascii="Cambria" w:hAnsi="Cambria"/>
          <w:sz w:val="20"/>
          <w:szCs w:val="20"/>
          <w:lang w:val="es-ES_tradnl"/>
        </w:rPr>
        <w:t xml:space="preserve">Más adelante, en sus observaciones adicionales, el Estado indica que la parte peticionaria ha controvertido el contenido de la sentencia del Tribunal Administrativo de Riohacha en cuanto ésta denegó algunas de sus pretensiones, decisión con la que </w:t>
      </w:r>
      <w:r w:rsidRPr="007D2C56">
        <w:rPr>
          <w:rFonts w:ascii="Cambria" w:hAnsi="Cambria"/>
          <w:sz w:val="20"/>
          <w:szCs w:val="20"/>
          <w:lang w:val="es-ES_tradnl"/>
        </w:rPr>
        <w:t xml:space="preserve">la peticionaria </w:t>
      </w:r>
      <w:r w:rsidR="00334054" w:rsidRPr="007D2C56">
        <w:rPr>
          <w:rFonts w:ascii="Cambria" w:hAnsi="Cambria"/>
          <w:sz w:val="20"/>
          <w:szCs w:val="20"/>
          <w:lang w:val="es-ES_tradnl"/>
        </w:rPr>
        <w:t xml:space="preserve">está en desacuerdo; al respecto, afirma </w:t>
      </w:r>
      <w:r w:rsidRPr="007D2C56">
        <w:rPr>
          <w:rFonts w:ascii="Cambria" w:hAnsi="Cambria"/>
          <w:sz w:val="20"/>
          <w:szCs w:val="20"/>
          <w:lang w:val="es-ES_tradnl"/>
        </w:rPr>
        <w:t xml:space="preserve">Colombia </w:t>
      </w:r>
      <w:r w:rsidR="00334054" w:rsidRPr="007D2C56">
        <w:rPr>
          <w:rFonts w:ascii="Cambria" w:hAnsi="Cambria"/>
          <w:sz w:val="20"/>
          <w:szCs w:val="20"/>
          <w:lang w:val="es-ES_tradnl"/>
        </w:rPr>
        <w:t xml:space="preserve">que la CIDH no puede entrar a valorar el contenido de esta providencia judicial en firme, que fue adoptada en forma consistente con las garantías convencionales. </w:t>
      </w:r>
    </w:p>
    <w:p w14:paraId="496CC1F3" w14:textId="742F5770" w:rsidR="00134D90" w:rsidRPr="007D2C56" w:rsidRDefault="000148B1" w:rsidP="005C5A6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D2C56">
        <w:rPr>
          <w:rFonts w:ascii="Cambria" w:hAnsi="Cambria"/>
          <w:sz w:val="20"/>
          <w:szCs w:val="20"/>
          <w:lang w:val="es-ES_tradnl"/>
        </w:rPr>
        <w:t xml:space="preserve">18. </w:t>
      </w:r>
      <w:r w:rsidR="005C5A6C" w:rsidRPr="007D2C56">
        <w:rPr>
          <w:rFonts w:ascii="Cambria" w:hAnsi="Cambria"/>
          <w:sz w:val="20"/>
          <w:szCs w:val="20"/>
          <w:lang w:val="es-ES_tradnl"/>
        </w:rPr>
        <w:tab/>
      </w:r>
      <w:r w:rsidR="00782415" w:rsidRPr="007D2C56">
        <w:rPr>
          <w:rFonts w:ascii="Cambria" w:hAnsi="Cambria"/>
          <w:sz w:val="20"/>
          <w:szCs w:val="20"/>
          <w:lang w:val="es-ES_tradnl"/>
        </w:rPr>
        <w:t>Además</w:t>
      </w:r>
      <w:r w:rsidR="00134D90" w:rsidRPr="007D2C56">
        <w:rPr>
          <w:rFonts w:ascii="Cambria" w:hAnsi="Cambria"/>
          <w:sz w:val="20"/>
          <w:szCs w:val="20"/>
          <w:lang w:val="es-ES_tradnl"/>
        </w:rPr>
        <w:t xml:space="preserve">, el Estado </w:t>
      </w:r>
      <w:r w:rsidR="005C5A6C" w:rsidRPr="007D2C56">
        <w:rPr>
          <w:rFonts w:ascii="Cambria" w:hAnsi="Cambria"/>
          <w:sz w:val="20"/>
          <w:szCs w:val="20"/>
          <w:lang w:val="es-ES_tradnl"/>
        </w:rPr>
        <w:t>argumenta</w:t>
      </w:r>
      <w:r w:rsidR="00134D90" w:rsidRPr="007D2C56">
        <w:rPr>
          <w:rFonts w:ascii="Cambria" w:hAnsi="Cambria"/>
          <w:sz w:val="20"/>
          <w:szCs w:val="20"/>
          <w:lang w:val="es-ES_tradnl"/>
        </w:rPr>
        <w:t xml:space="preserve"> </w:t>
      </w:r>
      <w:r w:rsidR="005C5A6C" w:rsidRPr="007D2C56">
        <w:rPr>
          <w:rFonts w:ascii="Cambria" w:hAnsi="Cambria"/>
          <w:sz w:val="20"/>
          <w:szCs w:val="20"/>
          <w:lang w:val="es-ES_tradnl"/>
        </w:rPr>
        <w:t>falta de caracterización, sustentando</w:t>
      </w:r>
      <w:r w:rsidR="00134D90" w:rsidRPr="007D2C56">
        <w:rPr>
          <w:rFonts w:ascii="Cambria" w:hAnsi="Cambria"/>
          <w:sz w:val="20"/>
          <w:szCs w:val="20"/>
          <w:lang w:val="es-ES_tradnl"/>
        </w:rPr>
        <w:t xml:space="preserve"> este alegato en las mismas razones que fundamentan su excepción de falta de agotamiento de los recursos domésticos</w:t>
      </w:r>
      <w:r w:rsidR="00782415" w:rsidRPr="007D2C56">
        <w:rPr>
          <w:rFonts w:ascii="Cambria" w:hAnsi="Cambria"/>
          <w:sz w:val="20"/>
          <w:szCs w:val="20"/>
          <w:lang w:val="es-ES_tradnl"/>
        </w:rPr>
        <w:t>;</w:t>
      </w:r>
      <w:r w:rsidR="00E075BE" w:rsidRPr="007D2C56">
        <w:rPr>
          <w:rFonts w:ascii="Cambria" w:hAnsi="Cambria"/>
          <w:sz w:val="20"/>
          <w:szCs w:val="20"/>
          <w:lang w:val="es-ES_tradnl"/>
        </w:rPr>
        <w:t xml:space="preserve"> y </w:t>
      </w:r>
      <w:r w:rsidR="00782415" w:rsidRPr="007D2C56">
        <w:rPr>
          <w:rFonts w:ascii="Cambria" w:hAnsi="Cambria"/>
          <w:sz w:val="20"/>
          <w:szCs w:val="20"/>
          <w:lang w:val="es-ES_tradnl"/>
        </w:rPr>
        <w:t>aduce</w:t>
      </w:r>
      <w:r w:rsidR="00E075BE" w:rsidRPr="007D2C56">
        <w:rPr>
          <w:rFonts w:ascii="Cambria" w:hAnsi="Cambria"/>
          <w:sz w:val="20"/>
          <w:szCs w:val="20"/>
          <w:lang w:val="es-ES_tradnl"/>
        </w:rPr>
        <w:t xml:space="preserve"> que las víctimas que ya han recibido indemnizaciones, sea por orden judicial o de tipo administrativo, han sido efectivamente reparadas a nivel interno</w:t>
      </w:r>
      <w:r w:rsidR="00134D90" w:rsidRPr="007D2C56">
        <w:rPr>
          <w:rFonts w:ascii="Cambria" w:hAnsi="Cambria"/>
          <w:sz w:val="20"/>
          <w:szCs w:val="20"/>
          <w:lang w:val="es-ES_tradnl"/>
        </w:rPr>
        <w:t xml:space="preserve">. </w:t>
      </w:r>
      <w:r w:rsidRPr="007D2C56">
        <w:rPr>
          <w:rFonts w:ascii="Cambria" w:hAnsi="Cambria"/>
          <w:sz w:val="20"/>
          <w:szCs w:val="20"/>
          <w:lang w:val="es-ES_tradnl"/>
        </w:rPr>
        <w:t xml:space="preserve">También argumenta </w:t>
      </w:r>
      <w:r w:rsidR="002A5966" w:rsidRPr="007D2C56">
        <w:rPr>
          <w:rFonts w:ascii="Cambria" w:hAnsi="Cambria"/>
          <w:sz w:val="20"/>
          <w:szCs w:val="20"/>
          <w:lang w:val="es-ES_tradnl"/>
        </w:rPr>
        <w:t xml:space="preserve">el Estado que no se ha demostrado un vínculo causal entre los hechos del caso y la violación de los derechos a la libertad religiosa o al derecho de circulación o residencia; y afirma que tales alegatos no encuadran dentro del contenido que la jurisprudencia interamericana ha atribuido a los derechos invocados. </w:t>
      </w:r>
    </w:p>
    <w:p w14:paraId="42D7AAE7" w14:textId="00AB3390" w:rsidR="00782415" w:rsidRPr="007D2C56" w:rsidRDefault="00782415" w:rsidP="0078241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D2C56">
        <w:rPr>
          <w:rFonts w:ascii="Cambria" w:hAnsi="Cambria"/>
          <w:sz w:val="20"/>
          <w:szCs w:val="20"/>
          <w:lang w:val="es-ES_tradnl"/>
        </w:rPr>
        <w:t>19.</w:t>
      </w:r>
      <w:r w:rsidRPr="007D2C56">
        <w:rPr>
          <w:rFonts w:ascii="Cambria" w:hAnsi="Cambria"/>
          <w:sz w:val="20"/>
          <w:szCs w:val="20"/>
          <w:lang w:val="es-ES_tradnl"/>
        </w:rPr>
        <w:tab/>
        <w:t>Finalmente, Colombia solicita a la CIDH delimitar el marco fáctico de la presente petición a lo efectivamente probado en las diversas instancias domésticas relacionadas con los hechos acaecidos en los barrios de San Luis y El Cafetal, excluyendo las afirmaciones que no tengan ningún soporte probatorio</w:t>
      </w:r>
      <w:r w:rsidRPr="007D2C56">
        <w:rPr>
          <w:rFonts w:ascii="Cambria" w:hAnsi="Cambria"/>
          <w:i/>
          <w:iCs/>
          <w:sz w:val="20"/>
          <w:szCs w:val="20"/>
          <w:lang w:val="es-ES_tradnl"/>
        </w:rPr>
        <w:t xml:space="preserve">. </w:t>
      </w:r>
      <w:r w:rsidRPr="007D2C56">
        <w:rPr>
          <w:rFonts w:ascii="Cambria" w:hAnsi="Cambria"/>
          <w:sz w:val="20"/>
          <w:szCs w:val="20"/>
          <w:lang w:val="es-ES_tradnl"/>
        </w:rPr>
        <w:t xml:space="preserve"> </w:t>
      </w:r>
    </w:p>
    <w:p w14:paraId="74A916D4" w14:textId="6466C77D" w:rsidR="00AA0277" w:rsidRPr="007D2C56" w:rsidRDefault="00782415" w:rsidP="009A45C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7D2C56">
        <w:rPr>
          <w:rFonts w:ascii="Cambria" w:hAnsi="Cambria"/>
          <w:sz w:val="20"/>
          <w:szCs w:val="20"/>
          <w:lang w:val="es-ES_tradnl"/>
        </w:rPr>
        <w:t>20</w:t>
      </w:r>
      <w:r w:rsidR="000148B1" w:rsidRPr="007D2C56">
        <w:rPr>
          <w:rFonts w:ascii="Cambria" w:hAnsi="Cambria"/>
          <w:sz w:val="20"/>
          <w:szCs w:val="20"/>
          <w:lang w:val="es-ES_tradnl"/>
        </w:rPr>
        <w:t xml:space="preserve">. </w:t>
      </w:r>
      <w:r w:rsidRPr="007D2C56">
        <w:rPr>
          <w:rFonts w:ascii="Cambria" w:hAnsi="Cambria"/>
          <w:sz w:val="20"/>
          <w:szCs w:val="20"/>
          <w:lang w:val="es-ES_tradnl"/>
        </w:rPr>
        <w:tab/>
      </w:r>
      <w:r w:rsidR="00AA0277" w:rsidRPr="007D2C56">
        <w:rPr>
          <w:rFonts w:ascii="Cambria" w:hAnsi="Cambria"/>
          <w:sz w:val="20"/>
          <w:szCs w:val="20"/>
          <w:lang w:val="es-ES_tradnl"/>
        </w:rPr>
        <w:t>Posteriormente, la parte peticionaria aportó a la CIDH copia de una sentencia proferida por el Tribunal Contencioso Administrativo de la Guajira el 20 de junio de 2002, en la cual se denegó la acción de reparación directa interpuesta por otro grupo de familiares de las víctimas de la masacre</w:t>
      </w:r>
      <w:r w:rsidR="009E696E" w:rsidRPr="007D2C56">
        <w:rPr>
          <w:rFonts w:ascii="Cambria" w:hAnsi="Cambria"/>
          <w:sz w:val="20"/>
          <w:szCs w:val="20"/>
          <w:lang w:val="es-ES_tradnl"/>
        </w:rPr>
        <w:t>,</w:t>
      </w:r>
      <w:r w:rsidR="00AA0277" w:rsidRPr="007D2C56">
        <w:rPr>
          <w:rFonts w:ascii="Cambria" w:hAnsi="Cambria"/>
          <w:sz w:val="20"/>
          <w:szCs w:val="20"/>
          <w:lang w:val="es-ES_tradnl"/>
        </w:rPr>
        <w:t xml:space="preserve"> los parientes de José Luis Dangond Quintero</w:t>
      </w:r>
      <w:r w:rsidR="009E696E" w:rsidRPr="007D2C56">
        <w:rPr>
          <w:rFonts w:ascii="Cambria" w:hAnsi="Cambria"/>
          <w:sz w:val="20"/>
          <w:szCs w:val="20"/>
          <w:lang w:val="es-ES_tradnl"/>
        </w:rPr>
        <w:t>,</w:t>
      </w:r>
      <w:r w:rsidR="00AA0277" w:rsidRPr="007D2C56">
        <w:rPr>
          <w:rFonts w:ascii="Cambria" w:hAnsi="Cambria"/>
          <w:sz w:val="20"/>
          <w:szCs w:val="20"/>
          <w:lang w:val="es-ES_tradnl"/>
        </w:rPr>
        <w:t xml:space="preserve"> por considerarse que no había</w:t>
      </w:r>
      <w:r w:rsidR="009A45C7" w:rsidRPr="007D2C56">
        <w:rPr>
          <w:rFonts w:ascii="Cambria" w:hAnsi="Cambria"/>
          <w:sz w:val="20"/>
          <w:szCs w:val="20"/>
          <w:lang w:val="es-ES_tradnl"/>
        </w:rPr>
        <w:t>n</w:t>
      </w:r>
      <w:r w:rsidR="00AA0277" w:rsidRPr="007D2C56">
        <w:rPr>
          <w:rFonts w:ascii="Cambria" w:hAnsi="Cambria"/>
          <w:sz w:val="20"/>
          <w:szCs w:val="20"/>
          <w:lang w:val="es-ES_tradnl"/>
        </w:rPr>
        <w:t xml:space="preserve"> demostrado la ocurrencia de una falla en el servicio que comprometiera la responsabilidad de la Nación</w:t>
      </w:r>
      <w:r w:rsidR="009A45C7" w:rsidRPr="007D2C56">
        <w:rPr>
          <w:rFonts w:ascii="Cambria" w:hAnsi="Cambria"/>
          <w:sz w:val="20"/>
          <w:szCs w:val="20"/>
          <w:lang w:val="es-ES_tradnl"/>
        </w:rPr>
        <w:t>;</w:t>
      </w:r>
      <w:r w:rsidR="00AA0277" w:rsidRPr="007D2C56">
        <w:rPr>
          <w:rFonts w:ascii="Cambria" w:hAnsi="Cambria"/>
          <w:sz w:val="20"/>
          <w:szCs w:val="20"/>
          <w:lang w:val="es-ES_tradnl"/>
        </w:rPr>
        <w:t xml:space="preserve"> y que el crimen había sido perpetrado por terceros.</w:t>
      </w:r>
      <w:r w:rsidR="00334054" w:rsidRPr="007D2C56">
        <w:rPr>
          <w:rFonts w:ascii="Cambria" w:hAnsi="Cambria"/>
          <w:sz w:val="20"/>
          <w:szCs w:val="20"/>
          <w:lang w:val="es-ES_tradnl"/>
        </w:rPr>
        <w:t xml:space="preserve"> </w:t>
      </w:r>
      <w:r w:rsidR="009A45C7" w:rsidRPr="007D2C56">
        <w:rPr>
          <w:rFonts w:ascii="Cambria" w:hAnsi="Cambria"/>
          <w:sz w:val="20"/>
          <w:szCs w:val="20"/>
          <w:lang w:val="es-ES_tradnl"/>
        </w:rPr>
        <w:t>Luego, e</w:t>
      </w:r>
      <w:r w:rsidR="00334054" w:rsidRPr="007D2C56">
        <w:rPr>
          <w:rFonts w:ascii="Cambria" w:hAnsi="Cambria"/>
          <w:sz w:val="20"/>
          <w:szCs w:val="20"/>
          <w:lang w:val="es-ES_tradnl"/>
        </w:rPr>
        <w:t>n sus observaciones adicionales, el Estado afirma que la CIDH no puede constituirse en cuarta instancia internacional para valorar el desacuerdo que la parte peticionaria expresó con respecto a esta sentencia denegatoria, puesto que se trata de una providencia proferida en consonancia con las garantías procesales convencionales y en forma motivada, con respecto a la cual la petición pretende que se rehaga el análisis probatorio y jurídico, para lo cual e</w:t>
      </w:r>
      <w:r w:rsidR="009A45C7" w:rsidRPr="007D2C56">
        <w:rPr>
          <w:rFonts w:ascii="Cambria" w:hAnsi="Cambria"/>
          <w:sz w:val="20"/>
          <w:szCs w:val="20"/>
          <w:lang w:val="es-ES_tradnl"/>
        </w:rPr>
        <w:t xml:space="preserve">l Sistema Interamericano </w:t>
      </w:r>
      <w:r w:rsidR="00334054" w:rsidRPr="007D2C56">
        <w:rPr>
          <w:rFonts w:ascii="Cambria" w:hAnsi="Cambria"/>
          <w:sz w:val="20"/>
          <w:szCs w:val="20"/>
          <w:lang w:val="es-ES_tradnl"/>
        </w:rPr>
        <w:t>carece</w:t>
      </w:r>
      <w:r w:rsidR="009A45C7" w:rsidRPr="007D2C56">
        <w:rPr>
          <w:rFonts w:ascii="Cambria" w:hAnsi="Cambria"/>
          <w:sz w:val="20"/>
          <w:szCs w:val="20"/>
          <w:lang w:val="es-ES_tradnl"/>
        </w:rPr>
        <w:t>ría</w:t>
      </w:r>
      <w:r w:rsidR="00334054" w:rsidRPr="007D2C56">
        <w:rPr>
          <w:rFonts w:ascii="Cambria" w:hAnsi="Cambria"/>
          <w:sz w:val="20"/>
          <w:szCs w:val="20"/>
          <w:lang w:val="es-ES_tradnl"/>
        </w:rPr>
        <w:t xml:space="preserve"> de competencia. </w:t>
      </w:r>
    </w:p>
    <w:p w14:paraId="408B6F44" w14:textId="77777777" w:rsidR="006436A8" w:rsidRDefault="006436A8">
      <w:pPr>
        <w:rPr>
          <w:rFonts w:asciiTheme="majorHAnsi" w:eastAsia="Cambria" w:hAnsiTheme="majorHAnsi" w:cs="Cambria"/>
          <w:b/>
          <w:bCs/>
          <w:color w:val="000000"/>
          <w:sz w:val="20"/>
          <w:szCs w:val="20"/>
          <w:u w:color="000000"/>
          <w:lang w:val="es-ES_tradnl" w:eastAsia="es-ES"/>
        </w:rPr>
      </w:pPr>
      <w:r>
        <w:rPr>
          <w:rFonts w:asciiTheme="majorHAnsi" w:eastAsia="Cambria" w:hAnsiTheme="majorHAnsi" w:cs="Cambria"/>
          <w:b/>
          <w:bCs/>
          <w:color w:val="000000"/>
          <w:sz w:val="20"/>
          <w:szCs w:val="20"/>
          <w:u w:color="000000"/>
          <w:lang w:val="es-ES_tradnl" w:eastAsia="es-ES"/>
        </w:rPr>
        <w:br w:type="page"/>
      </w:r>
    </w:p>
    <w:p w14:paraId="643745C8" w14:textId="5A8BCEDA" w:rsidR="003239B8" w:rsidRPr="007D2C56" w:rsidRDefault="003239B8" w:rsidP="003239B8">
      <w:pPr>
        <w:spacing w:before="240" w:after="240"/>
        <w:ind w:firstLine="720"/>
        <w:jc w:val="both"/>
        <w:rPr>
          <w:rFonts w:ascii="Cambria" w:hAnsi="Cambria"/>
          <w:sz w:val="20"/>
          <w:szCs w:val="20"/>
          <w:lang w:val="es-ES_tradnl"/>
        </w:rPr>
      </w:pPr>
      <w:r w:rsidRPr="007D2C56">
        <w:rPr>
          <w:rFonts w:asciiTheme="majorHAnsi" w:eastAsia="Cambria" w:hAnsiTheme="majorHAnsi" w:cs="Cambria"/>
          <w:b/>
          <w:bCs/>
          <w:color w:val="000000"/>
          <w:sz w:val="20"/>
          <w:szCs w:val="20"/>
          <w:u w:color="000000"/>
          <w:lang w:val="es-ES_tradnl" w:eastAsia="es-ES"/>
        </w:rPr>
        <w:lastRenderedPageBreak/>
        <w:t>VI.</w:t>
      </w:r>
      <w:r w:rsidRPr="007D2C56">
        <w:rPr>
          <w:rFonts w:asciiTheme="majorHAnsi" w:eastAsia="Cambria" w:hAnsiTheme="majorHAnsi" w:cs="Cambria"/>
          <w:b/>
          <w:bCs/>
          <w:color w:val="000000"/>
          <w:sz w:val="20"/>
          <w:szCs w:val="20"/>
          <w:u w:color="000000"/>
          <w:lang w:val="es-ES_tradnl" w:eastAsia="es-ES"/>
        </w:rPr>
        <w:tab/>
      </w:r>
      <w:r w:rsidR="004A6A54" w:rsidRPr="007D2C56">
        <w:rPr>
          <w:rFonts w:asciiTheme="majorHAnsi" w:hAnsiTheme="majorHAnsi"/>
          <w:b/>
          <w:bCs/>
          <w:sz w:val="20"/>
          <w:szCs w:val="20"/>
          <w:lang w:val="es-ES_tradnl"/>
        </w:rPr>
        <w:t xml:space="preserve">ANÁLISIS DE </w:t>
      </w:r>
      <w:r w:rsidR="00C21FEF" w:rsidRPr="007D2C56">
        <w:rPr>
          <w:rFonts w:asciiTheme="majorHAnsi" w:hAnsiTheme="majorHAnsi"/>
          <w:b/>
          <w:sz w:val="20"/>
          <w:szCs w:val="20"/>
          <w:lang w:val="es-ES_tradnl"/>
        </w:rPr>
        <w:t>AGOTAMIENTO DE LOS RECURSOS INTERNOS Y PLAZO DE PRESENTACIÓN</w:t>
      </w:r>
      <w:r w:rsidR="00C21FEF" w:rsidRPr="007D2C56">
        <w:rPr>
          <w:rFonts w:asciiTheme="majorHAnsi" w:eastAsia="Cambria" w:hAnsiTheme="majorHAnsi" w:cs="Cambria"/>
          <w:b/>
          <w:bCs/>
          <w:color w:val="000000"/>
          <w:sz w:val="20"/>
          <w:szCs w:val="20"/>
          <w:u w:color="000000"/>
          <w:lang w:val="es-ES_tradnl" w:eastAsia="es-ES"/>
        </w:rPr>
        <w:t xml:space="preserve"> </w:t>
      </w:r>
    </w:p>
    <w:p w14:paraId="4F0A9F02" w14:textId="662CE7CB" w:rsidR="00C345BB" w:rsidRPr="007D2C56" w:rsidRDefault="000148B1" w:rsidP="00C060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D2C56">
        <w:rPr>
          <w:rFonts w:asciiTheme="majorHAnsi" w:hAnsiTheme="majorHAnsi"/>
          <w:sz w:val="20"/>
          <w:szCs w:val="20"/>
          <w:lang w:val="es-ES_tradnl"/>
        </w:rPr>
        <w:t>2</w:t>
      </w:r>
      <w:r w:rsidR="00512D4B" w:rsidRPr="007D2C56">
        <w:rPr>
          <w:rFonts w:asciiTheme="majorHAnsi" w:hAnsiTheme="majorHAnsi"/>
          <w:sz w:val="20"/>
          <w:szCs w:val="20"/>
          <w:lang w:val="es-ES_tradnl"/>
        </w:rPr>
        <w:t>1</w:t>
      </w:r>
      <w:r w:rsidRPr="007D2C56">
        <w:rPr>
          <w:rFonts w:asciiTheme="majorHAnsi" w:hAnsiTheme="majorHAnsi"/>
          <w:sz w:val="20"/>
          <w:szCs w:val="20"/>
          <w:lang w:val="es-ES_tradnl"/>
        </w:rPr>
        <w:t xml:space="preserve">. </w:t>
      </w:r>
      <w:r w:rsidR="00512D4B" w:rsidRPr="007D2C56">
        <w:rPr>
          <w:rFonts w:asciiTheme="majorHAnsi" w:hAnsiTheme="majorHAnsi"/>
          <w:sz w:val="20"/>
          <w:szCs w:val="20"/>
          <w:lang w:val="es-ES_tradnl"/>
        </w:rPr>
        <w:tab/>
      </w:r>
      <w:r w:rsidR="00C345BB" w:rsidRPr="007D2C56">
        <w:rPr>
          <w:rFonts w:asciiTheme="majorHAnsi" w:hAnsiTheme="majorHAnsi"/>
          <w:sz w:val="20"/>
          <w:szCs w:val="20"/>
          <w:lang w:val="es-ES_tradnl"/>
        </w:rPr>
        <w:t xml:space="preserve">Para el análisis del agotamiento de los recursos domésticos en el presente asunto, la CIDH recuerda que, según su práctica consolidada y reiterada, a efectos de identificar los recursos idóneos que debieron haber sido agotados por un peticionario antes de recurrir al Sistema Interamericano, el primer paso metodológico del análisis consiste en deslindar los distintos reclamos formulados en la correspondiente petición para proceder a su examen individualizado. En el caso presente, se observa que los reclamos de la parte peticionaria son en lo principal </w:t>
      </w:r>
      <w:r w:rsidRPr="007D2C56">
        <w:rPr>
          <w:rFonts w:asciiTheme="majorHAnsi" w:hAnsiTheme="majorHAnsi"/>
          <w:sz w:val="20"/>
          <w:szCs w:val="20"/>
          <w:lang w:val="es-ES_tradnl"/>
        </w:rPr>
        <w:t>tres</w:t>
      </w:r>
      <w:r w:rsidR="00C345BB" w:rsidRPr="007D2C56">
        <w:rPr>
          <w:rFonts w:asciiTheme="majorHAnsi" w:hAnsiTheme="majorHAnsi"/>
          <w:sz w:val="20"/>
          <w:szCs w:val="20"/>
          <w:lang w:val="es-ES_tradnl"/>
        </w:rPr>
        <w:t>: (</w:t>
      </w:r>
      <w:r w:rsidR="008C5300" w:rsidRPr="007D2C56">
        <w:rPr>
          <w:rFonts w:asciiTheme="majorHAnsi" w:hAnsiTheme="majorHAnsi"/>
          <w:sz w:val="20"/>
          <w:szCs w:val="20"/>
          <w:lang w:val="es-ES_tradnl"/>
        </w:rPr>
        <w:t>a</w:t>
      </w:r>
      <w:r w:rsidR="00C345BB" w:rsidRPr="007D2C56">
        <w:rPr>
          <w:rFonts w:asciiTheme="majorHAnsi" w:hAnsiTheme="majorHAnsi"/>
          <w:sz w:val="20"/>
          <w:szCs w:val="20"/>
          <w:lang w:val="es-ES_tradnl"/>
        </w:rPr>
        <w:t xml:space="preserve">) </w:t>
      </w:r>
      <w:r w:rsidR="008C5300" w:rsidRPr="007D2C56">
        <w:rPr>
          <w:rFonts w:asciiTheme="majorHAnsi" w:hAnsiTheme="majorHAnsi"/>
          <w:sz w:val="20"/>
          <w:szCs w:val="20"/>
          <w:lang w:val="es-ES_tradnl"/>
        </w:rPr>
        <w:t xml:space="preserve">la </w:t>
      </w:r>
      <w:r w:rsidRPr="007D2C56">
        <w:rPr>
          <w:rFonts w:asciiTheme="majorHAnsi" w:hAnsiTheme="majorHAnsi"/>
          <w:sz w:val="20"/>
          <w:szCs w:val="20"/>
          <w:lang w:val="es-ES_tradnl"/>
        </w:rPr>
        <w:t>responsabilidad del Estado por participación de sus agentes, a título de acción, omisión y tolerancia o aquiescencia, en la perpetración de la masacre de Villanueva; (</w:t>
      </w:r>
      <w:r w:rsidR="008C5300" w:rsidRPr="007D2C56">
        <w:rPr>
          <w:rFonts w:asciiTheme="majorHAnsi" w:hAnsiTheme="majorHAnsi"/>
          <w:sz w:val="20"/>
          <w:szCs w:val="20"/>
          <w:lang w:val="es-ES_tradnl"/>
        </w:rPr>
        <w:t>b</w:t>
      </w:r>
      <w:r w:rsidRPr="007D2C56">
        <w:rPr>
          <w:rFonts w:asciiTheme="majorHAnsi" w:hAnsiTheme="majorHAnsi"/>
          <w:sz w:val="20"/>
          <w:szCs w:val="20"/>
          <w:lang w:val="es-ES_tradnl"/>
        </w:rPr>
        <w:t>)</w:t>
      </w:r>
      <w:r w:rsidR="008C5300" w:rsidRPr="007D2C56">
        <w:rPr>
          <w:rFonts w:asciiTheme="majorHAnsi" w:hAnsiTheme="majorHAnsi"/>
          <w:sz w:val="20"/>
          <w:szCs w:val="20"/>
          <w:lang w:val="es-ES_tradnl"/>
        </w:rPr>
        <w:t xml:space="preserve"> la</w:t>
      </w:r>
      <w:r w:rsidRPr="007D2C56">
        <w:rPr>
          <w:rFonts w:asciiTheme="majorHAnsi" w:hAnsiTheme="majorHAnsi"/>
          <w:sz w:val="20"/>
          <w:szCs w:val="20"/>
          <w:lang w:val="es-ES_tradnl"/>
        </w:rPr>
        <w:t xml:space="preserve"> </w:t>
      </w:r>
      <w:r w:rsidR="00C345BB" w:rsidRPr="007D2C56">
        <w:rPr>
          <w:rFonts w:asciiTheme="majorHAnsi" w:hAnsiTheme="majorHAnsi"/>
          <w:sz w:val="20"/>
          <w:szCs w:val="20"/>
          <w:lang w:val="es-ES_tradnl"/>
        </w:rPr>
        <w:t xml:space="preserve">falta de investigación, juzgamiento y sanción de los responsables de la </w:t>
      </w:r>
      <w:r w:rsidRPr="007D2C56">
        <w:rPr>
          <w:rFonts w:asciiTheme="majorHAnsi" w:hAnsiTheme="majorHAnsi"/>
          <w:sz w:val="20"/>
          <w:szCs w:val="20"/>
          <w:lang w:val="es-ES_tradnl"/>
        </w:rPr>
        <w:t xml:space="preserve">masacre </w:t>
      </w:r>
      <w:r w:rsidR="00C345BB" w:rsidRPr="007D2C56">
        <w:rPr>
          <w:rFonts w:asciiTheme="majorHAnsi" w:hAnsiTheme="majorHAnsi"/>
          <w:sz w:val="20"/>
          <w:szCs w:val="20"/>
          <w:lang w:val="es-ES_tradnl"/>
        </w:rPr>
        <w:t>por parte de la justicia penal,</w:t>
      </w:r>
      <w:r w:rsidRPr="007D2C56">
        <w:rPr>
          <w:rFonts w:asciiTheme="majorHAnsi" w:hAnsiTheme="majorHAnsi"/>
          <w:sz w:val="20"/>
          <w:szCs w:val="20"/>
          <w:lang w:val="es-ES_tradnl"/>
        </w:rPr>
        <w:t xml:space="preserve"> tanto ordinaria como transicional;</w:t>
      </w:r>
      <w:r w:rsidR="00C345BB" w:rsidRPr="007D2C56">
        <w:rPr>
          <w:rFonts w:asciiTheme="majorHAnsi" w:hAnsiTheme="majorHAnsi"/>
          <w:sz w:val="20"/>
          <w:szCs w:val="20"/>
          <w:lang w:val="es-ES_tradnl"/>
        </w:rPr>
        <w:t xml:space="preserve"> y (</w:t>
      </w:r>
      <w:r w:rsidR="008C5300" w:rsidRPr="007D2C56">
        <w:rPr>
          <w:rFonts w:asciiTheme="majorHAnsi" w:hAnsiTheme="majorHAnsi"/>
          <w:sz w:val="20"/>
          <w:szCs w:val="20"/>
          <w:lang w:val="es-ES_tradnl"/>
        </w:rPr>
        <w:t>c</w:t>
      </w:r>
      <w:r w:rsidR="00C345BB" w:rsidRPr="007D2C56">
        <w:rPr>
          <w:rFonts w:asciiTheme="majorHAnsi" w:hAnsiTheme="majorHAnsi"/>
          <w:sz w:val="20"/>
          <w:szCs w:val="20"/>
          <w:lang w:val="es-ES_tradnl"/>
        </w:rPr>
        <w:t xml:space="preserve">) </w:t>
      </w:r>
      <w:r w:rsidR="008C5300" w:rsidRPr="007D2C56">
        <w:rPr>
          <w:rFonts w:asciiTheme="majorHAnsi" w:hAnsiTheme="majorHAnsi"/>
          <w:sz w:val="20"/>
          <w:szCs w:val="20"/>
          <w:lang w:val="es-ES_tradnl"/>
        </w:rPr>
        <w:t xml:space="preserve">la </w:t>
      </w:r>
      <w:r w:rsidR="00C345BB" w:rsidRPr="007D2C56">
        <w:rPr>
          <w:rFonts w:asciiTheme="majorHAnsi" w:hAnsiTheme="majorHAnsi"/>
          <w:sz w:val="20"/>
          <w:szCs w:val="20"/>
          <w:lang w:val="es-ES_tradnl"/>
        </w:rPr>
        <w:t>denegación de</w:t>
      </w:r>
      <w:r w:rsidR="00555E68" w:rsidRPr="007D2C56">
        <w:rPr>
          <w:rFonts w:asciiTheme="majorHAnsi" w:hAnsiTheme="majorHAnsi"/>
          <w:sz w:val="20"/>
          <w:szCs w:val="20"/>
          <w:lang w:val="es-ES_tradnl"/>
        </w:rPr>
        <w:t xml:space="preserve"> la indemnización de perjuicios materiales para las víctimas en la sentencia de </w:t>
      </w:r>
      <w:r w:rsidR="00C345BB" w:rsidRPr="007D2C56">
        <w:rPr>
          <w:rFonts w:asciiTheme="majorHAnsi" w:hAnsiTheme="majorHAnsi"/>
          <w:sz w:val="20"/>
          <w:szCs w:val="20"/>
          <w:lang w:val="es-ES_tradnl"/>
        </w:rPr>
        <w:t xml:space="preserve">reparación directa </w:t>
      </w:r>
      <w:r w:rsidR="00555E68" w:rsidRPr="007D2C56">
        <w:rPr>
          <w:rFonts w:asciiTheme="majorHAnsi" w:hAnsiTheme="majorHAnsi"/>
          <w:sz w:val="20"/>
          <w:szCs w:val="20"/>
          <w:lang w:val="es-ES_tradnl"/>
        </w:rPr>
        <w:t xml:space="preserve">que fue concedida, y denegación de justicia en la sentencia de reparación directa que rechazó las pretensiones de la demanda, </w:t>
      </w:r>
      <w:r w:rsidR="00C345BB" w:rsidRPr="007D2C56">
        <w:rPr>
          <w:rFonts w:asciiTheme="majorHAnsi" w:hAnsiTheme="majorHAnsi"/>
          <w:sz w:val="20"/>
          <w:szCs w:val="20"/>
          <w:lang w:val="es-ES_tradnl"/>
        </w:rPr>
        <w:t>por parte de la jurisdicción contencioso-administrativa, en forma supuestamente injustificada</w:t>
      </w:r>
      <w:r w:rsidR="00555E68" w:rsidRPr="007D2C56">
        <w:rPr>
          <w:rFonts w:asciiTheme="majorHAnsi" w:hAnsiTheme="majorHAnsi"/>
          <w:sz w:val="20"/>
          <w:szCs w:val="20"/>
          <w:lang w:val="es-ES_tradnl"/>
        </w:rPr>
        <w:t>, así como falta de inclusión de la totalidad de las víctimas dentro del amparo judicial.</w:t>
      </w:r>
    </w:p>
    <w:p w14:paraId="3FD66F27" w14:textId="6B396221" w:rsidR="00C060AA" w:rsidRPr="007D2C56" w:rsidRDefault="00555E68" w:rsidP="008C530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D2C56">
        <w:rPr>
          <w:rFonts w:asciiTheme="majorHAnsi" w:hAnsiTheme="majorHAnsi"/>
          <w:sz w:val="20"/>
          <w:szCs w:val="20"/>
          <w:lang w:val="es-ES_tradnl"/>
        </w:rPr>
        <w:t>2</w:t>
      </w:r>
      <w:r w:rsidR="008C5300" w:rsidRPr="007D2C56">
        <w:rPr>
          <w:rFonts w:asciiTheme="majorHAnsi" w:hAnsiTheme="majorHAnsi"/>
          <w:sz w:val="20"/>
          <w:szCs w:val="20"/>
          <w:lang w:val="es-ES_tradnl"/>
        </w:rPr>
        <w:t>2</w:t>
      </w:r>
      <w:r w:rsidR="00C060AA" w:rsidRPr="007D2C56">
        <w:rPr>
          <w:rFonts w:asciiTheme="majorHAnsi" w:hAnsiTheme="majorHAnsi"/>
          <w:sz w:val="20"/>
          <w:szCs w:val="20"/>
          <w:lang w:val="es-ES_tradnl"/>
        </w:rPr>
        <w:t xml:space="preserve">. </w:t>
      </w:r>
      <w:r w:rsidR="008C5300" w:rsidRPr="007D2C56">
        <w:rPr>
          <w:rFonts w:asciiTheme="majorHAnsi" w:hAnsiTheme="majorHAnsi"/>
          <w:sz w:val="20"/>
          <w:szCs w:val="20"/>
          <w:lang w:val="es-ES_tradnl"/>
        </w:rPr>
        <w:tab/>
      </w:r>
      <w:r w:rsidRPr="007D2C56">
        <w:rPr>
          <w:rFonts w:asciiTheme="majorHAnsi" w:hAnsiTheme="majorHAnsi"/>
          <w:sz w:val="20"/>
          <w:szCs w:val="20"/>
          <w:lang w:val="es-ES_tradnl"/>
        </w:rPr>
        <w:t xml:space="preserve">Sobre </w:t>
      </w:r>
      <w:r w:rsidR="007D623C" w:rsidRPr="007D2C56">
        <w:rPr>
          <w:rFonts w:asciiTheme="majorHAnsi" w:hAnsiTheme="majorHAnsi"/>
          <w:sz w:val="20"/>
          <w:szCs w:val="20"/>
          <w:lang w:val="es-ES_tradnl"/>
        </w:rPr>
        <w:t xml:space="preserve">los </w:t>
      </w:r>
      <w:r w:rsidRPr="007D2C56">
        <w:rPr>
          <w:rFonts w:asciiTheme="majorHAnsi" w:hAnsiTheme="majorHAnsi"/>
          <w:sz w:val="20"/>
          <w:szCs w:val="20"/>
          <w:lang w:val="es-ES_tradnl"/>
        </w:rPr>
        <w:t>punto</w:t>
      </w:r>
      <w:r w:rsidR="007D623C" w:rsidRPr="007D2C56">
        <w:rPr>
          <w:rFonts w:asciiTheme="majorHAnsi" w:hAnsiTheme="majorHAnsi"/>
          <w:sz w:val="20"/>
          <w:szCs w:val="20"/>
          <w:lang w:val="es-ES_tradnl"/>
        </w:rPr>
        <w:t>s</w:t>
      </w:r>
      <w:r w:rsidRPr="007D2C56">
        <w:rPr>
          <w:rFonts w:asciiTheme="majorHAnsi" w:hAnsiTheme="majorHAnsi"/>
          <w:sz w:val="20"/>
          <w:szCs w:val="20"/>
          <w:lang w:val="es-ES_tradnl"/>
        </w:rPr>
        <w:t xml:space="preserve"> (</w:t>
      </w:r>
      <w:r w:rsidR="008C5300" w:rsidRPr="007D2C56">
        <w:rPr>
          <w:rFonts w:asciiTheme="majorHAnsi" w:hAnsiTheme="majorHAnsi"/>
          <w:sz w:val="20"/>
          <w:szCs w:val="20"/>
          <w:lang w:val="es-ES_tradnl"/>
        </w:rPr>
        <w:t>a</w:t>
      </w:r>
      <w:r w:rsidRPr="007D2C56">
        <w:rPr>
          <w:rFonts w:asciiTheme="majorHAnsi" w:hAnsiTheme="majorHAnsi"/>
          <w:sz w:val="20"/>
          <w:szCs w:val="20"/>
          <w:lang w:val="es-ES_tradnl"/>
        </w:rPr>
        <w:t>)</w:t>
      </w:r>
      <w:r w:rsidR="007D623C" w:rsidRPr="007D2C56">
        <w:rPr>
          <w:rFonts w:asciiTheme="majorHAnsi" w:hAnsiTheme="majorHAnsi"/>
          <w:sz w:val="20"/>
          <w:szCs w:val="20"/>
          <w:lang w:val="es-ES_tradnl"/>
        </w:rPr>
        <w:t xml:space="preserve"> y (</w:t>
      </w:r>
      <w:r w:rsidR="008C5300" w:rsidRPr="007D2C56">
        <w:rPr>
          <w:rFonts w:asciiTheme="majorHAnsi" w:hAnsiTheme="majorHAnsi"/>
          <w:sz w:val="20"/>
          <w:szCs w:val="20"/>
          <w:lang w:val="es-ES_tradnl"/>
        </w:rPr>
        <w:t>b</w:t>
      </w:r>
      <w:r w:rsidR="007D623C" w:rsidRPr="007D2C56">
        <w:rPr>
          <w:rFonts w:asciiTheme="majorHAnsi" w:hAnsiTheme="majorHAnsi"/>
          <w:sz w:val="20"/>
          <w:szCs w:val="20"/>
          <w:lang w:val="es-ES_tradnl"/>
        </w:rPr>
        <w:t>)</w:t>
      </w:r>
      <w:r w:rsidRPr="007D2C56">
        <w:rPr>
          <w:rFonts w:asciiTheme="majorHAnsi" w:hAnsiTheme="majorHAnsi"/>
          <w:sz w:val="20"/>
          <w:szCs w:val="20"/>
          <w:lang w:val="es-ES_tradnl"/>
        </w:rPr>
        <w:t>, l</w:t>
      </w:r>
      <w:r w:rsidR="00C060AA" w:rsidRPr="007D2C56">
        <w:rPr>
          <w:rFonts w:asciiTheme="majorHAnsi" w:hAnsiTheme="majorHAnsi"/>
          <w:sz w:val="20"/>
          <w:szCs w:val="20"/>
          <w:lang w:val="es-ES_tradnl"/>
        </w:rPr>
        <w:t xml:space="preserve">a </w:t>
      </w:r>
      <w:r w:rsidRPr="007D2C56">
        <w:rPr>
          <w:rFonts w:asciiTheme="majorHAnsi" w:hAnsiTheme="majorHAnsi"/>
          <w:sz w:val="20"/>
          <w:szCs w:val="20"/>
          <w:lang w:val="es-ES_tradnl"/>
        </w:rPr>
        <w:t xml:space="preserve">posición </w:t>
      </w:r>
      <w:r w:rsidR="00C060AA" w:rsidRPr="007D2C56">
        <w:rPr>
          <w:rFonts w:asciiTheme="majorHAnsi" w:hAnsiTheme="majorHAnsi"/>
          <w:sz w:val="20"/>
          <w:szCs w:val="20"/>
          <w:lang w:val="es-ES_tradnl"/>
        </w:rPr>
        <w:t>uniforme de la Comisión Interamericana indica que en los casos en que se reclama por la muerte de personas y la impunidad resultante, el recurso idóneo que se debe agotar a nivel doméstico es la vía penal, mediante la realización oficiosa y diligente de investigaciones que determinen los responsables de la violación del derecho a la vida y les sometan a juzgamiento y sanción de conformidad con la Convención Americana</w:t>
      </w:r>
      <w:r w:rsidR="00C060AA" w:rsidRPr="007D2C56">
        <w:rPr>
          <w:rStyle w:val="FootnoteReference"/>
          <w:rFonts w:asciiTheme="majorHAnsi" w:hAnsiTheme="majorHAnsi"/>
          <w:sz w:val="20"/>
          <w:szCs w:val="20"/>
          <w:lang w:val="es-ES_tradnl"/>
        </w:rPr>
        <w:footnoteReference w:id="4"/>
      </w:r>
      <w:r w:rsidR="00394E2A" w:rsidRPr="007D2C56">
        <w:rPr>
          <w:rFonts w:asciiTheme="majorHAnsi" w:hAnsiTheme="majorHAnsi"/>
          <w:sz w:val="20"/>
          <w:szCs w:val="20"/>
          <w:lang w:val="es-ES_tradnl"/>
        </w:rPr>
        <w:t xml:space="preserve">. </w:t>
      </w:r>
      <w:r w:rsidR="00C060AA" w:rsidRPr="007D2C56">
        <w:rPr>
          <w:rFonts w:asciiTheme="majorHAnsi" w:hAnsiTheme="majorHAnsi" w:cstheme="minorHAnsi"/>
          <w:sz w:val="20"/>
          <w:szCs w:val="20"/>
          <w:lang w:val="es-ES_tradnl"/>
        </w:rPr>
        <w:t xml:space="preserve">Lo que resulta especialmente importante para el caso bajo </w:t>
      </w:r>
      <w:r w:rsidR="00394E2A" w:rsidRPr="007D2C56">
        <w:rPr>
          <w:rFonts w:asciiTheme="majorHAnsi" w:hAnsiTheme="majorHAnsi" w:cstheme="minorHAnsi"/>
          <w:sz w:val="20"/>
          <w:szCs w:val="20"/>
          <w:lang w:val="es-ES_tradnl"/>
        </w:rPr>
        <w:t>análisis</w:t>
      </w:r>
      <w:r w:rsidR="00C060AA" w:rsidRPr="007D2C56">
        <w:rPr>
          <w:rFonts w:asciiTheme="majorHAnsi" w:hAnsiTheme="majorHAnsi" w:cstheme="minorHAnsi"/>
          <w:sz w:val="20"/>
          <w:szCs w:val="20"/>
          <w:lang w:val="es-ES_tradnl"/>
        </w:rPr>
        <w:t>, es que la obligación de investigar incluye a la totalidad de los autores materiales e intelectuales, así como a eventuales encubridores</w:t>
      </w:r>
      <w:r w:rsidR="00C060AA" w:rsidRPr="007D2C56">
        <w:rPr>
          <w:rStyle w:val="Reference"/>
          <w:rFonts w:asciiTheme="majorHAnsi" w:eastAsia="Symbol" w:hAnsiTheme="majorHAnsi" w:cstheme="minorHAnsi"/>
          <w:lang w:val="es-ES_tradnl"/>
        </w:rPr>
        <w:footnoteReference w:id="5"/>
      </w:r>
      <w:r w:rsidR="00C060AA" w:rsidRPr="007D2C56">
        <w:rPr>
          <w:rFonts w:asciiTheme="majorHAnsi" w:hAnsiTheme="majorHAnsi" w:cstheme="minorHAnsi"/>
          <w:sz w:val="20"/>
          <w:szCs w:val="20"/>
          <w:lang w:val="es-ES_tradnl"/>
        </w:rPr>
        <w:t>.</w:t>
      </w:r>
      <w:r w:rsidR="00C060AA" w:rsidRPr="007D2C56">
        <w:rPr>
          <w:rFonts w:asciiTheme="majorHAnsi" w:hAnsiTheme="majorHAnsi"/>
          <w:sz w:val="20"/>
          <w:szCs w:val="20"/>
          <w:lang w:val="es-ES_tradnl"/>
        </w:rPr>
        <w:t xml:space="preserve"> La Comisión también ha observado que como regla general, una investigación penal debe realizarse prontamente para proteger los intereses de las víctimas, preservar la prueba e incluso salvaguardar los derechos de toda persona que en el contexto de la investigación sea considerada sospechosa; según ha señalado la Corte Interamericana, si bien toda investigación penal debe cumplir con una serie de requisitos legales, la regla del previo agotamiento de los recursos internos no debe conducir a que la actuación internacional en auxilio de las víctimas se detenga o se demore hasta la inutilidad</w:t>
      </w:r>
      <w:r w:rsidR="00C060AA" w:rsidRPr="007D2C56">
        <w:rPr>
          <w:rStyle w:val="FootnoteReference"/>
          <w:rFonts w:asciiTheme="majorHAnsi" w:hAnsiTheme="majorHAnsi"/>
          <w:sz w:val="20"/>
          <w:szCs w:val="20"/>
          <w:lang w:val="es-ES_tradnl"/>
        </w:rPr>
        <w:footnoteReference w:id="6"/>
      </w:r>
      <w:r w:rsidR="00394E2A" w:rsidRPr="007D2C56">
        <w:rPr>
          <w:rFonts w:asciiTheme="majorHAnsi" w:hAnsiTheme="majorHAnsi"/>
          <w:sz w:val="20"/>
          <w:szCs w:val="20"/>
          <w:lang w:val="es-ES_tradnl"/>
        </w:rPr>
        <w:t>.</w:t>
      </w:r>
    </w:p>
    <w:p w14:paraId="0EF7E781" w14:textId="61E653B9" w:rsidR="00A50540" w:rsidRPr="007D2C56" w:rsidRDefault="00555E68" w:rsidP="00555E6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D2C56">
        <w:rPr>
          <w:rFonts w:asciiTheme="majorHAnsi" w:hAnsiTheme="majorHAnsi"/>
          <w:sz w:val="20"/>
          <w:szCs w:val="20"/>
          <w:lang w:val="es-ES_tradnl"/>
        </w:rPr>
        <w:t xml:space="preserve">23. </w:t>
      </w:r>
      <w:r w:rsidR="00394E2A" w:rsidRPr="007D2C56">
        <w:rPr>
          <w:rFonts w:asciiTheme="majorHAnsi" w:hAnsiTheme="majorHAnsi"/>
          <w:sz w:val="20"/>
          <w:szCs w:val="20"/>
          <w:lang w:val="es-ES_tradnl"/>
        </w:rPr>
        <w:tab/>
      </w:r>
      <w:r w:rsidR="00A60828" w:rsidRPr="007D2C56">
        <w:rPr>
          <w:rFonts w:asciiTheme="majorHAnsi" w:hAnsiTheme="majorHAnsi"/>
          <w:sz w:val="20"/>
          <w:szCs w:val="20"/>
          <w:lang w:val="es-ES_tradnl"/>
        </w:rPr>
        <w:t xml:space="preserve">En este sentido, al considerar los hechos planteados en la petición a la luz de estos estándares, la CIDH observa que </w:t>
      </w:r>
      <w:r w:rsidRPr="007D2C56">
        <w:rPr>
          <w:rFonts w:asciiTheme="majorHAnsi" w:hAnsiTheme="majorHAnsi"/>
          <w:sz w:val="20"/>
          <w:szCs w:val="20"/>
          <w:lang w:val="es-ES_tradnl"/>
        </w:rPr>
        <w:t>en ninguno de los procesos penales referidos por las partes se ha avanzado más allá de la etapa investigativa</w:t>
      </w:r>
      <w:r w:rsidR="00A60828" w:rsidRPr="007D2C56">
        <w:rPr>
          <w:rFonts w:asciiTheme="majorHAnsi" w:hAnsiTheme="majorHAnsi"/>
          <w:sz w:val="20"/>
          <w:szCs w:val="20"/>
          <w:lang w:val="es-ES_tradnl"/>
        </w:rPr>
        <w:t>,</w:t>
      </w:r>
      <w:r w:rsidRPr="007D2C56">
        <w:rPr>
          <w:rFonts w:asciiTheme="majorHAnsi" w:hAnsiTheme="majorHAnsi"/>
          <w:sz w:val="20"/>
          <w:szCs w:val="20"/>
          <w:lang w:val="es-ES_tradnl"/>
        </w:rPr>
        <w:t xml:space="preserve"> en la justicia penal ordinaria</w:t>
      </w:r>
      <w:r w:rsidR="00A60828" w:rsidRPr="007D2C56">
        <w:rPr>
          <w:rFonts w:asciiTheme="majorHAnsi" w:hAnsiTheme="majorHAnsi"/>
          <w:sz w:val="20"/>
          <w:szCs w:val="20"/>
          <w:lang w:val="es-ES_tradnl"/>
        </w:rPr>
        <w:t>,</w:t>
      </w:r>
      <w:r w:rsidRPr="007D2C56">
        <w:rPr>
          <w:rFonts w:asciiTheme="majorHAnsi" w:hAnsiTheme="majorHAnsi"/>
          <w:sz w:val="20"/>
          <w:szCs w:val="20"/>
          <w:lang w:val="es-ES_tradnl"/>
        </w:rPr>
        <w:t xml:space="preserve"> y de las versiones libres de los paramilitares desmovilizados</w:t>
      </w:r>
      <w:r w:rsidR="00A60828" w:rsidRPr="007D2C56">
        <w:rPr>
          <w:rFonts w:asciiTheme="majorHAnsi" w:hAnsiTheme="majorHAnsi"/>
          <w:sz w:val="20"/>
          <w:szCs w:val="20"/>
          <w:lang w:val="es-ES_tradnl"/>
        </w:rPr>
        <w:t>,</w:t>
      </w:r>
      <w:r w:rsidRPr="007D2C56">
        <w:rPr>
          <w:rFonts w:asciiTheme="majorHAnsi" w:hAnsiTheme="majorHAnsi"/>
          <w:sz w:val="20"/>
          <w:szCs w:val="20"/>
          <w:lang w:val="es-ES_tradnl"/>
        </w:rPr>
        <w:t xml:space="preserve"> en la justicia penal transicional; y que en el caso de estos últimos se trata </w:t>
      </w:r>
      <w:r w:rsidR="00A50540" w:rsidRPr="007D2C56">
        <w:rPr>
          <w:rFonts w:asciiTheme="majorHAnsi" w:hAnsiTheme="majorHAnsi"/>
          <w:sz w:val="20"/>
          <w:szCs w:val="20"/>
          <w:lang w:val="es-ES_tradnl"/>
        </w:rPr>
        <w:t xml:space="preserve">hasta ahora </w:t>
      </w:r>
      <w:r w:rsidRPr="007D2C56">
        <w:rPr>
          <w:rFonts w:asciiTheme="majorHAnsi" w:hAnsiTheme="majorHAnsi"/>
          <w:sz w:val="20"/>
          <w:szCs w:val="20"/>
          <w:lang w:val="es-ES_tradnl"/>
        </w:rPr>
        <w:t xml:space="preserve">de la fase inicial de los respectivos procesos, en los cuales los procesados voluntariamente, sin que medie actividad probatoria o investigativa adicional de parte del Estado, han relatado su participación en los hechos, estando pendiente la fase de imputación y judicialización de estos graves crímenes. Lo que es más, durante más de </w:t>
      </w:r>
      <w:r w:rsidR="00A50540" w:rsidRPr="007D2C56">
        <w:rPr>
          <w:rFonts w:asciiTheme="majorHAnsi" w:hAnsiTheme="majorHAnsi"/>
          <w:sz w:val="20"/>
          <w:szCs w:val="20"/>
          <w:lang w:val="es-ES_tradnl"/>
        </w:rPr>
        <w:t xml:space="preserve">una década </w:t>
      </w:r>
      <w:r w:rsidRPr="007D2C56">
        <w:rPr>
          <w:rFonts w:asciiTheme="majorHAnsi" w:hAnsiTheme="majorHAnsi"/>
          <w:sz w:val="20"/>
          <w:szCs w:val="20"/>
          <w:lang w:val="es-ES_tradnl"/>
        </w:rPr>
        <w:t xml:space="preserve">la investigación ante la justicia penal permaneció archivada y con resolución inhibitoria, hasta que tras una remisión de información desde el sistema de “Justicia y Paz”, se resolvió reanudar la investigación preliminar de los hechos. También se observa que ningún agente estatal ha sido vinculado a investigación alguna, aunque </w:t>
      </w:r>
      <w:r w:rsidR="00A60828" w:rsidRPr="007D2C56">
        <w:rPr>
          <w:rFonts w:asciiTheme="majorHAnsi" w:hAnsiTheme="majorHAnsi"/>
          <w:sz w:val="20"/>
          <w:szCs w:val="20"/>
          <w:lang w:val="es-ES_tradnl"/>
        </w:rPr>
        <w:t>–</w:t>
      </w:r>
      <w:r w:rsidRPr="007D2C56">
        <w:rPr>
          <w:rFonts w:asciiTheme="majorHAnsi" w:hAnsiTheme="majorHAnsi"/>
          <w:sz w:val="20"/>
          <w:szCs w:val="20"/>
          <w:lang w:val="es-ES_tradnl"/>
        </w:rPr>
        <w:t>contrario a lo afirmado por el Estado</w:t>
      </w:r>
      <w:r w:rsidR="00A60828" w:rsidRPr="007D2C56">
        <w:rPr>
          <w:rFonts w:asciiTheme="majorHAnsi" w:hAnsiTheme="majorHAnsi"/>
          <w:sz w:val="20"/>
          <w:szCs w:val="20"/>
          <w:lang w:val="es-ES_tradnl"/>
        </w:rPr>
        <w:t>–</w:t>
      </w:r>
      <w:r w:rsidRPr="007D2C56">
        <w:rPr>
          <w:rFonts w:asciiTheme="majorHAnsi" w:hAnsiTheme="majorHAnsi"/>
          <w:sz w:val="20"/>
          <w:szCs w:val="20"/>
          <w:lang w:val="es-ES_tradnl"/>
        </w:rPr>
        <w:t xml:space="preserve"> un paramilitar que declaró ante la justicia transicional expresamente admitió que hubo participación de agentes de la Fuerza Pública en la planificación y ejecución de la masacre de Villanueva. </w:t>
      </w:r>
    </w:p>
    <w:p w14:paraId="4DAC095B" w14:textId="4939C9FE" w:rsidR="008C5E2D" w:rsidRPr="007D2C56" w:rsidRDefault="00A50540" w:rsidP="00A6082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D2C56">
        <w:rPr>
          <w:rFonts w:asciiTheme="majorHAnsi" w:hAnsiTheme="majorHAnsi"/>
          <w:sz w:val="20"/>
          <w:szCs w:val="20"/>
          <w:lang w:val="es-ES_tradnl"/>
        </w:rPr>
        <w:t xml:space="preserve">24. </w:t>
      </w:r>
      <w:r w:rsidR="00A60828" w:rsidRPr="007D2C56">
        <w:rPr>
          <w:rFonts w:asciiTheme="majorHAnsi" w:hAnsiTheme="majorHAnsi"/>
          <w:sz w:val="20"/>
          <w:szCs w:val="20"/>
          <w:lang w:val="es-ES_tradnl"/>
        </w:rPr>
        <w:tab/>
        <w:t xml:space="preserve">En atención a estas consideraciones, la CIDH concluye que resulta aplicable a los anteriores extremos de la petición </w:t>
      </w:r>
      <w:r w:rsidR="00C060AA" w:rsidRPr="007D2C56">
        <w:rPr>
          <w:rFonts w:asciiTheme="majorHAnsi" w:hAnsiTheme="majorHAnsi"/>
          <w:sz w:val="20"/>
          <w:szCs w:val="20"/>
          <w:lang w:val="es-ES_tradnl"/>
        </w:rPr>
        <w:t xml:space="preserve">la excepción al deber de agotamiento </w:t>
      </w:r>
      <w:r w:rsidR="00A60828" w:rsidRPr="007D2C56">
        <w:rPr>
          <w:rFonts w:asciiTheme="majorHAnsi" w:hAnsiTheme="majorHAnsi"/>
          <w:sz w:val="20"/>
          <w:szCs w:val="20"/>
          <w:lang w:val="es-ES_tradnl"/>
        </w:rPr>
        <w:t xml:space="preserve">de recursos internos </w:t>
      </w:r>
      <w:r w:rsidR="00C060AA" w:rsidRPr="007D2C56">
        <w:rPr>
          <w:rFonts w:asciiTheme="majorHAnsi" w:hAnsiTheme="majorHAnsi"/>
          <w:sz w:val="20"/>
          <w:szCs w:val="20"/>
          <w:lang w:val="es-ES_tradnl"/>
        </w:rPr>
        <w:t>establecid</w:t>
      </w:r>
      <w:r w:rsidR="00A60828" w:rsidRPr="007D2C56">
        <w:rPr>
          <w:rFonts w:asciiTheme="majorHAnsi" w:hAnsiTheme="majorHAnsi"/>
          <w:sz w:val="20"/>
          <w:szCs w:val="20"/>
          <w:lang w:val="es-ES_tradnl"/>
        </w:rPr>
        <w:t>a</w:t>
      </w:r>
      <w:r w:rsidR="00C060AA" w:rsidRPr="007D2C56">
        <w:rPr>
          <w:rFonts w:asciiTheme="majorHAnsi" w:hAnsiTheme="majorHAnsi"/>
          <w:sz w:val="20"/>
          <w:szCs w:val="20"/>
          <w:lang w:val="es-ES_tradnl"/>
        </w:rPr>
        <w:t xml:space="preserve"> en el </w:t>
      </w:r>
      <w:r w:rsidR="00A60828" w:rsidRPr="007D2C56">
        <w:rPr>
          <w:rFonts w:asciiTheme="majorHAnsi" w:hAnsiTheme="majorHAnsi"/>
          <w:sz w:val="20"/>
          <w:szCs w:val="20"/>
          <w:lang w:val="es-ES_tradnl"/>
        </w:rPr>
        <w:t>a</w:t>
      </w:r>
      <w:r w:rsidR="00C060AA" w:rsidRPr="007D2C56">
        <w:rPr>
          <w:rFonts w:asciiTheme="majorHAnsi" w:hAnsiTheme="majorHAnsi"/>
          <w:sz w:val="20"/>
          <w:szCs w:val="20"/>
          <w:lang w:val="es-ES_tradnl"/>
        </w:rPr>
        <w:t xml:space="preserve">rtículo 46.2.c) de la Convención Americana. </w:t>
      </w:r>
      <w:r w:rsidR="00A60828" w:rsidRPr="007D2C56">
        <w:rPr>
          <w:rFonts w:asciiTheme="majorHAnsi" w:hAnsiTheme="majorHAnsi"/>
          <w:sz w:val="20"/>
          <w:szCs w:val="20"/>
          <w:lang w:val="es-ES_tradnl"/>
        </w:rPr>
        <w:t>Además,</w:t>
      </w:r>
      <w:r w:rsidR="00C060AA" w:rsidRPr="007D2C56">
        <w:rPr>
          <w:rFonts w:asciiTheme="majorHAnsi" w:hAnsiTheme="majorHAnsi"/>
          <w:sz w:val="20"/>
          <w:szCs w:val="20"/>
          <w:lang w:val="es-ES_tradnl"/>
        </w:rPr>
        <w:t xml:space="preserve"> </w:t>
      </w:r>
      <w:r w:rsidR="00A60828" w:rsidRPr="007D2C56">
        <w:rPr>
          <w:rFonts w:asciiTheme="majorHAnsi" w:hAnsiTheme="majorHAnsi"/>
          <w:sz w:val="20"/>
          <w:szCs w:val="20"/>
          <w:lang w:val="es-ES_tradnl"/>
        </w:rPr>
        <w:t>t</w:t>
      </w:r>
      <w:r w:rsidR="00C060AA" w:rsidRPr="007D2C56">
        <w:rPr>
          <w:rFonts w:asciiTheme="majorHAnsi" w:hAnsiTheme="majorHAnsi"/>
          <w:sz w:val="20"/>
          <w:szCs w:val="20"/>
          <w:lang w:val="es-ES_tradnl"/>
        </w:rPr>
        <w:t xml:space="preserve">eniendo en cuenta que los hechos ocurrieron en </w:t>
      </w:r>
      <w:r w:rsidR="00555E68" w:rsidRPr="007D2C56">
        <w:rPr>
          <w:rFonts w:asciiTheme="majorHAnsi" w:hAnsiTheme="majorHAnsi"/>
          <w:sz w:val="20"/>
          <w:szCs w:val="20"/>
          <w:lang w:val="es-ES_tradnl"/>
        </w:rPr>
        <w:t xml:space="preserve">diciembre </w:t>
      </w:r>
      <w:r w:rsidR="00C060AA" w:rsidRPr="007D2C56">
        <w:rPr>
          <w:rFonts w:asciiTheme="majorHAnsi" w:hAnsiTheme="majorHAnsi"/>
          <w:sz w:val="20"/>
          <w:szCs w:val="20"/>
          <w:lang w:val="es-ES_tradnl"/>
        </w:rPr>
        <w:t>de 199</w:t>
      </w:r>
      <w:r w:rsidR="00555E68" w:rsidRPr="007D2C56">
        <w:rPr>
          <w:rFonts w:asciiTheme="majorHAnsi" w:hAnsiTheme="majorHAnsi"/>
          <w:sz w:val="20"/>
          <w:szCs w:val="20"/>
          <w:lang w:val="es-ES_tradnl"/>
        </w:rPr>
        <w:t>8</w:t>
      </w:r>
      <w:r w:rsidR="00A60828" w:rsidRPr="007D2C56">
        <w:rPr>
          <w:rFonts w:asciiTheme="majorHAnsi" w:hAnsiTheme="majorHAnsi"/>
          <w:sz w:val="20"/>
          <w:szCs w:val="20"/>
          <w:lang w:val="es-ES_tradnl"/>
        </w:rPr>
        <w:t>; que</w:t>
      </w:r>
      <w:r w:rsidR="00C060AA" w:rsidRPr="007D2C56">
        <w:rPr>
          <w:rFonts w:asciiTheme="majorHAnsi" w:hAnsiTheme="majorHAnsi"/>
          <w:sz w:val="20"/>
          <w:szCs w:val="20"/>
          <w:lang w:val="es-ES_tradnl"/>
        </w:rPr>
        <w:t xml:space="preserve"> desde entonces y hasta la actualidad las actuaciones de la justicia penal </w:t>
      </w:r>
      <w:r w:rsidR="00555E68" w:rsidRPr="007D2C56">
        <w:rPr>
          <w:rFonts w:asciiTheme="majorHAnsi" w:hAnsiTheme="majorHAnsi"/>
          <w:sz w:val="20"/>
          <w:szCs w:val="20"/>
          <w:lang w:val="es-ES_tradnl"/>
        </w:rPr>
        <w:t xml:space="preserve">y la justicia transicional </w:t>
      </w:r>
      <w:r w:rsidR="00C060AA" w:rsidRPr="007D2C56">
        <w:rPr>
          <w:rFonts w:asciiTheme="majorHAnsi" w:hAnsiTheme="majorHAnsi"/>
          <w:sz w:val="20"/>
          <w:szCs w:val="20"/>
          <w:lang w:val="es-ES_tradnl"/>
        </w:rPr>
        <w:t xml:space="preserve">han </w:t>
      </w:r>
      <w:r w:rsidR="00555E68" w:rsidRPr="007D2C56">
        <w:rPr>
          <w:rFonts w:asciiTheme="majorHAnsi" w:hAnsiTheme="majorHAnsi"/>
          <w:sz w:val="20"/>
          <w:szCs w:val="20"/>
          <w:lang w:val="es-ES_tradnl"/>
        </w:rPr>
        <w:t xml:space="preserve">permanecido archivadas o han </w:t>
      </w:r>
      <w:r w:rsidR="00C060AA" w:rsidRPr="007D2C56">
        <w:rPr>
          <w:rFonts w:asciiTheme="majorHAnsi" w:hAnsiTheme="majorHAnsi"/>
          <w:sz w:val="20"/>
          <w:szCs w:val="20"/>
          <w:lang w:val="es-ES_tradnl"/>
        </w:rPr>
        <w:t xml:space="preserve">sido </w:t>
      </w:r>
      <w:r w:rsidRPr="007D2C56">
        <w:rPr>
          <w:rFonts w:asciiTheme="majorHAnsi" w:hAnsiTheme="majorHAnsi"/>
          <w:sz w:val="20"/>
          <w:szCs w:val="20"/>
          <w:lang w:val="es-ES_tradnl"/>
        </w:rPr>
        <w:t xml:space="preserve">notoriamente </w:t>
      </w:r>
      <w:r w:rsidR="00C060AA" w:rsidRPr="007D2C56">
        <w:rPr>
          <w:rFonts w:asciiTheme="majorHAnsi" w:hAnsiTheme="majorHAnsi"/>
          <w:sz w:val="20"/>
          <w:szCs w:val="20"/>
          <w:lang w:val="es-ES_tradnl"/>
        </w:rPr>
        <w:t>lentas</w:t>
      </w:r>
      <w:r w:rsidR="007D623C" w:rsidRPr="007D2C56">
        <w:rPr>
          <w:rFonts w:asciiTheme="majorHAnsi" w:hAnsiTheme="majorHAnsi"/>
          <w:sz w:val="20"/>
          <w:szCs w:val="20"/>
          <w:lang w:val="es-ES_tradnl"/>
        </w:rPr>
        <w:t xml:space="preserve">, dependiendo para su avance de las declaraciones </w:t>
      </w:r>
      <w:r w:rsidR="007D623C" w:rsidRPr="007D2C56">
        <w:rPr>
          <w:rFonts w:asciiTheme="majorHAnsi" w:hAnsiTheme="majorHAnsi"/>
          <w:sz w:val="20"/>
          <w:szCs w:val="20"/>
          <w:lang w:val="es-ES_tradnl"/>
        </w:rPr>
        <w:lastRenderedPageBreak/>
        <w:t>voluntarias de paramilitares desmovilizados en sus diligencias de versión libre</w:t>
      </w:r>
      <w:r w:rsidR="00A60828" w:rsidRPr="007D2C56">
        <w:rPr>
          <w:rFonts w:asciiTheme="majorHAnsi" w:hAnsiTheme="majorHAnsi"/>
          <w:sz w:val="20"/>
          <w:szCs w:val="20"/>
          <w:lang w:val="es-ES_tradnl"/>
        </w:rPr>
        <w:t>;</w:t>
      </w:r>
      <w:r w:rsidR="00C060AA" w:rsidRPr="007D2C56">
        <w:rPr>
          <w:rFonts w:asciiTheme="majorHAnsi" w:hAnsiTheme="majorHAnsi"/>
          <w:sz w:val="20"/>
          <w:szCs w:val="20"/>
          <w:lang w:val="es-ES_tradnl"/>
        </w:rPr>
        <w:t xml:space="preserve"> </w:t>
      </w:r>
      <w:r w:rsidR="00A60828" w:rsidRPr="007D2C56">
        <w:rPr>
          <w:rFonts w:asciiTheme="majorHAnsi" w:hAnsiTheme="majorHAnsi"/>
          <w:sz w:val="20"/>
          <w:szCs w:val="20"/>
          <w:lang w:val="es-ES_tradnl"/>
        </w:rPr>
        <w:t xml:space="preserve">y que </w:t>
      </w:r>
      <w:r w:rsidR="00C060AA" w:rsidRPr="007D2C56">
        <w:rPr>
          <w:rFonts w:asciiTheme="majorHAnsi" w:hAnsiTheme="majorHAnsi"/>
          <w:sz w:val="20"/>
          <w:szCs w:val="20"/>
          <w:lang w:val="es-ES_tradnl"/>
        </w:rPr>
        <w:t>los efectos de la impunidad del caso se prolonga</w:t>
      </w:r>
      <w:r w:rsidR="00A60828" w:rsidRPr="007D2C56">
        <w:rPr>
          <w:rFonts w:asciiTheme="majorHAnsi" w:hAnsiTheme="majorHAnsi"/>
          <w:sz w:val="20"/>
          <w:szCs w:val="20"/>
          <w:lang w:val="es-ES_tradnl"/>
        </w:rPr>
        <w:t>ría</w:t>
      </w:r>
      <w:r w:rsidR="00C060AA" w:rsidRPr="007D2C56">
        <w:rPr>
          <w:rFonts w:asciiTheme="majorHAnsi" w:hAnsiTheme="majorHAnsi"/>
          <w:sz w:val="20"/>
          <w:szCs w:val="20"/>
          <w:lang w:val="es-ES_tradnl"/>
        </w:rPr>
        <w:t xml:space="preserve">n hasta </w:t>
      </w:r>
      <w:r w:rsidR="00A60828" w:rsidRPr="007D2C56">
        <w:rPr>
          <w:rFonts w:asciiTheme="majorHAnsi" w:hAnsiTheme="majorHAnsi"/>
          <w:sz w:val="20"/>
          <w:szCs w:val="20"/>
          <w:lang w:val="es-ES_tradnl"/>
        </w:rPr>
        <w:t>la actualidad</w:t>
      </w:r>
      <w:r w:rsidR="00C060AA" w:rsidRPr="007D2C56">
        <w:rPr>
          <w:rFonts w:asciiTheme="majorHAnsi" w:hAnsiTheme="majorHAnsi"/>
          <w:sz w:val="20"/>
          <w:szCs w:val="20"/>
          <w:lang w:val="es-ES_tradnl"/>
        </w:rPr>
        <w:t>, la CIDH concluye que la petición fue recibida dentro de un término razonable, en los términos del artículo 32.2 de</w:t>
      </w:r>
      <w:r w:rsidR="00A60828" w:rsidRPr="007D2C56">
        <w:rPr>
          <w:rFonts w:asciiTheme="majorHAnsi" w:hAnsiTheme="majorHAnsi"/>
          <w:sz w:val="20"/>
          <w:szCs w:val="20"/>
          <w:lang w:val="es-ES_tradnl"/>
        </w:rPr>
        <w:t xml:space="preserve"> su</w:t>
      </w:r>
      <w:r w:rsidR="00C060AA" w:rsidRPr="007D2C56">
        <w:rPr>
          <w:rFonts w:asciiTheme="majorHAnsi" w:hAnsiTheme="majorHAnsi"/>
          <w:sz w:val="20"/>
          <w:szCs w:val="20"/>
          <w:lang w:val="es-ES_tradnl"/>
        </w:rPr>
        <w:t xml:space="preserve"> Reglamento. </w:t>
      </w:r>
      <w:r w:rsidR="008C5E2D" w:rsidRPr="007D2C56">
        <w:rPr>
          <w:sz w:val="20"/>
          <w:szCs w:val="20"/>
          <w:lang w:val="es-ES_tradnl"/>
        </w:rPr>
        <w:t xml:space="preserve"> </w:t>
      </w:r>
    </w:p>
    <w:p w14:paraId="516A608F" w14:textId="77777777" w:rsidR="00F45787" w:rsidRPr="007D2C56" w:rsidRDefault="007D623C" w:rsidP="00F4578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Cs/>
          <w:sz w:val="20"/>
          <w:szCs w:val="20"/>
          <w:lang w:val="es-ES_tradnl"/>
        </w:rPr>
      </w:pPr>
      <w:r w:rsidRPr="007D2C56">
        <w:rPr>
          <w:rFonts w:asciiTheme="majorHAnsi" w:hAnsiTheme="majorHAnsi"/>
          <w:bCs/>
          <w:sz w:val="20"/>
          <w:szCs w:val="20"/>
          <w:lang w:val="es-ES_tradnl"/>
        </w:rPr>
        <w:t>2</w:t>
      </w:r>
      <w:r w:rsidR="00D839AF" w:rsidRPr="007D2C56">
        <w:rPr>
          <w:rFonts w:asciiTheme="majorHAnsi" w:hAnsiTheme="majorHAnsi"/>
          <w:bCs/>
          <w:sz w:val="20"/>
          <w:szCs w:val="20"/>
          <w:lang w:val="es-ES_tradnl"/>
        </w:rPr>
        <w:t>5</w:t>
      </w:r>
      <w:r w:rsidRPr="007D2C56">
        <w:rPr>
          <w:rFonts w:asciiTheme="majorHAnsi" w:hAnsiTheme="majorHAnsi"/>
          <w:bCs/>
          <w:sz w:val="20"/>
          <w:szCs w:val="20"/>
          <w:lang w:val="es-ES_tradnl"/>
        </w:rPr>
        <w:t xml:space="preserve">. </w:t>
      </w:r>
      <w:r w:rsidR="00D839AF" w:rsidRPr="007D2C56">
        <w:rPr>
          <w:rFonts w:asciiTheme="majorHAnsi" w:hAnsiTheme="majorHAnsi"/>
          <w:bCs/>
          <w:sz w:val="20"/>
          <w:szCs w:val="20"/>
          <w:lang w:val="es-ES_tradnl"/>
        </w:rPr>
        <w:tab/>
      </w:r>
      <w:r w:rsidRPr="007D2C56">
        <w:rPr>
          <w:rFonts w:asciiTheme="majorHAnsi" w:hAnsiTheme="majorHAnsi"/>
          <w:bCs/>
          <w:sz w:val="20"/>
          <w:szCs w:val="20"/>
          <w:lang w:val="es-ES_tradnl"/>
        </w:rPr>
        <w:t xml:space="preserve">En relación con el punto </w:t>
      </w:r>
      <w:r w:rsidR="00C345BB" w:rsidRPr="007D2C56">
        <w:rPr>
          <w:rFonts w:asciiTheme="majorHAnsi" w:hAnsiTheme="majorHAnsi"/>
          <w:bCs/>
          <w:sz w:val="20"/>
          <w:szCs w:val="20"/>
          <w:lang w:val="es-ES_tradnl"/>
        </w:rPr>
        <w:t>(</w:t>
      </w:r>
      <w:r w:rsidR="00D839AF" w:rsidRPr="007D2C56">
        <w:rPr>
          <w:rFonts w:asciiTheme="majorHAnsi" w:hAnsiTheme="majorHAnsi"/>
          <w:bCs/>
          <w:sz w:val="20"/>
          <w:szCs w:val="20"/>
          <w:lang w:val="es-ES_tradnl"/>
        </w:rPr>
        <w:t>c</w:t>
      </w:r>
      <w:r w:rsidR="00C345BB" w:rsidRPr="007D2C56">
        <w:rPr>
          <w:rFonts w:asciiTheme="majorHAnsi" w:hAnsiTheme="majorHAnsi"/>
          <w:bCs/>
          <w:sz w:val="20"/>
          <w:szCs w:val="20"/>
          <w:lang w:val="es-ES_tradnl"/>
        </w:rPr>
        <w:t xml:space="preserve">), </w:t>
      </w:r>
      <w:r w:rsidR="00D839AF" w:rsidRPr="007D2C56">
        <w:rPr>
          <w:rFonts w:asciiTheme="majorHAnsi" w:hAnsiTheme="majorHAnsi"/>
          <w:bCs/>
          <w:sz w:val="20"/>
          <w:szCs w:val="20"/>
          <w:lang w:val="es-ES_tradnl"/>
        </w:rPr>
        <w:t xml:space="preserve">las reparaciones administrativas, </w:t>
      </w:r>
      <w:r w:rsidR="00C345BB" w:rsidRPr="007D2C56">
        <w:rPr>
          <w:rFonts w:asciiTheme="majorHAnsi" w:hAnsiTheme="majorHAnsi"/>
          <w:bCs/>
          <w:sz w:val="20"/>
          <w:szCs w:val="20"/>
          <w:lang w:val="es-ES_tradnl"/>
        </w:rPr>
        <w:t xml:space="preserve">los pronunciamientos precedentes de la CIDH han establecido pacíficamente que, por regla general, en Colombia la acción de reparación directa no es un recurso </w:t>
      </w:r>
      <w:r w:rsidR="00D839AF" w:rsidRPr="007D2C56">
        <w:rPr>
          <w:rFonts w:asciiTheme="majorHAnsi" w:hAnsiTheme="majorHAnsi"/>
          <w:bCs/>
          <w:sz w:val="20"/>
          <w:szCs w:val="20"/>
          <w:lang w:val="es-ES_tradnl"/>
        </w:rPr>
        <w:t xml:space="preserve">que sea exigible </w:t>
      </w:r>
      <w:r w:rsidR="00C345BB" w:rsidRPr="007D2C56">
        <w:rPr>
          <w:rFonts w:asciiTheme="majorHAnsi" w:hAnsiTheme="majorHAnsi"/>
          <w:bCs/>
          <w:sz w:val="20"/>
          <w:szCs w:val="20"/>
          <w:lang w:val="es-ES_tradnl"/>
        </w:rPr>
        <w:t>agotar en casos en que se alegue la violación del derecho a la vida o la integridad personal; pero también han señalado que si el peticionario alega, en esos casos, que no ha habido una reparación integral ordenada judicialmente por vía de reparación directa, o que se han presentado irregularidades procesales durante el respectivo proceso contencioso-administrativo que sean lesivas de los derechos plasmados en la Convención Americana, entonces la acción reparación directa sí adquiere el carácter de recurso idóneo, y se agota con la última decisión judicial definitiva, así esta sea denegatoria de las pretensiones de las presuntas víctimas</w:t>
      </w:r>
      <w:r w:rsidR="00C345BB" w:rsidRPr="007D2C56">
        <w:rPr>
          <w:rStyle w:val="FootnoteReference"/>
          <w:rFonts w:asciiTheme="majorHAnsi" w:hAnsiTheme="majorHAnsi"/>
          <w:bCs/>
          <w:sz w:val="20"/>
          <w:szCs w:val="20"/>
          <w:lang w:val="es-ES_tradnl"/>
        </w:rPr>
        <w:footnoteReference w:id="7"/>
      </w:r>
      <w:r w:rsidR="00C345BB" w:rsidRPr="007D2C56">
        <w:rPr>
          <w:rFonts w:asciiTheme="majorHAnsi" w:hAnsiTheme="majorHAnsi"/>
          <w:bCs/>
          <w:sz w:val="20"/>
          <w:szCs w:val="20"/>
          <w:lang w:val="es-ES_tradnl"/>
        </w:rPr>
        <w:t xml:space="preserve">. Para los efectos del Artículo 46.1.b de la Convención, el plazo de presentación de estas pretensiones se calcula en forma autónoma frente al proceso penal respectivo. </w:t>
      </w:r>
    </w:p>
    <w:p w14:paraId="6C56DCFE" w14:textId="224AAB98" w:rsidR="00C345BB" w:rsidRPr="007D2C56" w:rsidRDefault="00F45787" w:rsidP="00F4578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Cs/>
          <w:sz w:val="20"/>
          <w:szCs w:val="20"/>
          <w:lang w:val="es-ES_tradnl"/>
        </w:rPr>
      </w:pPr>
      <w:r w:rsidRPr="007D2C56">
        <w:rPr>
          <w:rFonts w:asciiTheme="majorHAnsi" w:hAnsiTheme="majorHAnsi"/>
          <w:bCs/>
          <w:sz w:val="20"/>
          <w:szCs w:val="20"/>
          <w:lang w:val="es-ES_tradnl"/>
        </w:rPr>
        <w:t>26.</w:t>
      </w:r>
      <w:r w:rsidRPr="007D2C56">
        <w:rPr>
          <w:rFonts w:asciiTheme="majorHAnsi" w:hAnsiTheme="majorHAnsi"/>
          <w:bCs/>
          <w:sz w:val="20"/>
          <w:szCs w:val="20"/>
          <w:lang w:val="es-ES_tradnl"/>
        </w:rPr>
        <w:tab/>
      </w:r>
      <w:r w:rsidR="00C345BB" w:rsidRPr="007D2C56">
        <w:rPr>
          <w:rFonts w:asciiTheme="majorHAnsi" w:hAnsiTheme="majorHAnsi"/>
          <w:bCs/>
          <w:sz w:val="20"/>
          <w:szCs w:val="20"/>
          <w:lang w:val="es-ES_tradnl"/>
        </w:rPr>
        <w:t>En</w:t>
      </w:r>
      <w:r w:rsidR="007D623C" w:rsidRPr="007D2C56">
        <w:rPr>
          <w:rFonts w:asciiTheme="majorHAnsi" w:hAnsiTheme="majorHAnsi"/>
          <w:bCs/>
          <w:sz w:val="20"/>
          <w:szCs w:val="20"/>
          <w:lang w:val="es-ES_tradnl"/>
        </w:rPr>
        <w:t xml:space="preserve"> el caso bajo revisión, se tiene que la parte peticionaria ha planteado reclamos específicos en relación con l</w:t>
      </w:r>
      <w:r w:rsidR="005D18FB" w:rsidRPr="007D2C56">
        <w:rPr>
          <w:rFonts w:asciiTheme="majorHAnsi" w:hAnsiTheme="majorHAnsi"/>
          <w:bCs/>
          <w:sz w:val="20"/>
          <w:szCs w:val="20"/>
          <w:lang w:val="es-ES_tradnl"/>
        </w:rPr>
        <w:t xml:space="preserve">as sentencias </w:t>
      </w:r>
      <w:r w:rsidR="007D623C" w:rsidRPr="007D2C56">
        <w:rPr>
          <w:rFonts w:asciiTheme="majorHAnsi" w:hAnsiTheme="majorHAnsi"/>
          <w:bCs/>
          <w:sz w:val="20"/>
          <w:szCs w:val="20"/>
          <w:lang w:val="es-ES_tradnl"/>
        </w:rPr>
        <w:t xml:space="preserve">de reparación directa </w:t>
      </w:r>
      <w:r w:rsidR="005D18FB" w:rsidRPr="007D2C56">
        <w:rPr>
          <w:rFonts w:asciiTheme="majorHAnsi" w:hAnsiTheme="majorHAnsi"/>
          <w:bCs/>
          <w:sz w:val="20"/>
          <w:szCs w:val="20"/>
          <w:lang w:val="es-ES_tradnl"/>
        </w:rPr>
        <w:t xml:space="preserve">adoptadas en primera instancia tras la presentación de demandas </w:t>
      </w:r>
      <w:r w:rsidR="007D623C" w:rsidRPr="007D2C56">
        <w:rPr>
          <w:rFonts w:asciiTheme="majorHAnsi" w:hAnsiTheme="majorHAnsi"/>
          <w:bCs/>
          <w:sz w:val="20"/>
          <w:szCs w:val="20"/>
          <w:lang w:val="es-ES_tradnl"/>
        </w:rPr>
        <w:t>por los familiares de las víctimas de la masacre de Villanueva. Se han presentado ante la CIDH dos fallos adoptados por el Tribunal Administrativo de la Guajira, uno en el cual se concedió la protección judicial y se declaró responsable a la Nación colombiana por falla en el servicio de protección de la población civil; y otro en el cual la protección se denegó frente a idénticos eventos criminales</w:t>
      </w:r>
      <w:r w:rsidR="005D18FB" w:rsidRPr="007D2C56">
        <w:rPr>
          <w:rFonts w:asciiTheme="majorHAnsi" w:hAnsiTheme="majorHAnsi"/>
          <w:bCs/>
          <w:sz w:val="20"/>
          <w:szCs w:val="20"/>
          <w:lang w:val="es-ES_tradnl"/>
        </w:rPr>
        <w:t>, por no haberse encontrado una falla en el servicio</w:t>
      </w:r>
      <w:r w:rsidR="007D623C" w:rsidRPr="007D2C56">
        <w:rPr>
          <w:rFonts w:asciiTheme="majorHAnsi" w:hAnsiTheme="majorHAnsi"/>
          <w:bCs/>
          <w:sz w:val="20"/>
          <w:szCs w:val="20"/>
          <w:lang w:val="es-ES_tradnl"/>
        </w:rPr>
        <w:t xml:space="preserve">. Sin embargo, la parte peticionaria no ha indicado que estos fallos hayan sido materia del recurso de apelación, que </w:t>
      </w:r>
      <w:r w:rsidR="002A2AB9" w:rsidRPr="007D2C56">
        <w:rPr>
          <w:rFonts w:asciiTheme="majorHAnsi" w:hAnsiTheme="majorHAnsi"/>
          <w:bCs/>
          <w:sz w:val="20"/>
          <w:szCs w:val="20"/>
          <w:lang w:val="es-ES_tradnl"/>
        </w:rPr>
        <w:t xml:space="preserve">en virtud de lo dispuesto en los artículos 132-6 y 129 del Código Contencioso Administrativo entonces vigente (Decreto 01 de 1984), </w:t>
      </w:r>
      <w:r w:rsidR="007D623C" w:rsidRPr="007D2C56">
        <w:rPr>
          <w:rFonts w:asciiTheme="majorHAnsi" w:hAnsiTheme="majorHAnsi"/>
          <w:bCs/>
          <w:sz w:val="20"/>
          <w:szCs w:val="20"/>
          <w:lang w:val="es-ES_tradnl"/>
        </w:rPr>
        <w:t xml:space="preserve">procedía en contra de </w:t>
      </w:r>
      <w:r w:rsidR="00BD39BD" w:rsidRPr="007D2C56">
        <w:rPr>
          <w:rFonts w:asciiTheme="majorHAnsi" w:hAnsiTheme="majorHAnsi"/>
          <w:bCs/>
          <w:sz w:val="20"/>
          <w:szCs w:val="20"/>
          <w:lang w:val="es-ES_tradnl"/>
        </w:rPr>
        <w:t>aquellos</w:t>
      </w:r>
      <w:r w:rsidR="007D623C" w:rsidRPr="007D2C56">
        <w:rPr>
          <w:rFonts w:asciiTheme="majorHAnsi" w:hAnsiTheme="majorHAnsi"/>
          <w:bCs/>
          <w:sz w:val="20"/>
          <w:szCs w:val="20"/>
          <w:lang w:val="es-ES_tradnl"/>
        </w:rPr>
        <w:t xml:space="preserve"> por ser</w:t>
      </w:r>
      <w:r w:rsidR="00CE4801" w:rsidRPr="007D2C56">
        <w:rPr>
          <w:rFonts w:asciiTheme="majorHAnsi" w:hAnsiTheme="majorHAnsi"/>
          <w:bCs/>
          <w:sz w:val="20"/>
          <w:szCs w:val="20"/>
          <w:lang w:val="es-ES_tradnl"/>
        </w:rPr>
        <w:t xml:space="preserve">, </w:t>
      </w:r>
      <w:r w:rsidR="007D2C56" w:rsidRPr="007D2C56">
        <w:rPr>
          <w:rFonts w:asciiTheme="majorHAnsi" w:hAnsiTheme="majorHAnsi"/>
          <w:bCs/>
          <w:sz w:val="20"/>
          <w:szCs w:val="20"/>
          <w:lang w:val="es-ES_tradnl"/>
        </w:rPr>
        <w:t>debido a</w:t>
      </w:r>
      <w:r w:rsidR="00CE4801" w:rsidRPr="007D2C56">
        <w:rPr>
          <w:rFonts w:asciiTheme="majorHAnsi" w:hAnsiTheme="majorHAnsi"/>
          <w:bCs/>
          <w:sz w:val="20"/>
          <w:szCs w:val="20"/>
          <w:lang w:val="es-ES_tradnl"/>
        </w:rPr>
        <w:t xml:space="preserve"> su cuantía,</w:t>
      </w:r>
      <w:r w:rsidR="007D623C" w:rsidRPr="007D2C56">
        <w:rPr>
          <w:rFonts w:asciiTheme="majorHAnsi" w:hAnsiTheme="majorHAnsi"/>
          <w:bCs/>
          <w:sz w:val="20"/>
          <w:szCs w:val="20"/>
          <w:lang w:val="es-ES_tradnl"/>
        </w:rPr>
        <w:t xml:space="preserve"> decisiones de primera instancia apelables ante el Consejo de Estado.</w:t>
      </w:r>
      <w:r w:rsidR="002A2AB9" w:rsidRPr="007D2C56">
        <w:rPr>
          <w:rFonts w:asciiTheme="majorHAnsi" w:hAnsiTheme="majorHAnsi"/>
          <w:bCs/>
          <w:sz w:val="20"/>
          <w:szCs w:val="20"/>
          <w:lang w:val="es-ES_tradnl"/>
        </w:rPr>
        <w:t xml:space="preserve"> Ante esta omisión en la presentación de información </w:t>
      </w:r>
      <w:r w:rsidR="00CE4801" w:rsidRPr="007D2C56">
        <w:rPr>
          <w:rFonts w:asciiTheme="majorHAnsi" w:hAnsiTheme="majorHAnsi"/>
          <w:bCs/>
          <w:sz w:val="20"/>
          <w:szCs w:val="20"/>
          <w:lang w:val="es-ES_tradnl"/>
        </w:rPr>
        <w:t xml:space="preserve">procesal </w:t>
      </w:r>
      <w:r w:rsidR="002A2AB9" w:rsidRPr="007D2C56">
        <w:rPr>
          <w:rFonts w:asciiTheme="majorHAnsi" w:hAnsiTheme="majorHAnsi"/>
          <w:bCs/>
          <w:sz w:val="20"/>
          <w:szCs w:val="20"/>
          <w:lang w:val="es-ES_tradnl"/>
        </w:rPr>
        <w:t xml:space="preserve">completa en la petición, o bien en el ejercicio de los recursos que estaban disponibles bajo el ordenamiento doméstico a los peticionarios, la CIDH no está en condiciones de concluir que </w:t>
      </w:r>
      <w:r w:rsidR="00BD39BD" w:rsidRPr="007D2C56">
        <w:rPr>
          <w:rFonts w:asciiTheme="majorHAnsi" w:hAnsiTheme="majorHAnsi"/>
          <w:bCs/>
          <w:sz w:val="20"/>
          <w:szCs w:val="20"/>
          <w:lang w:val="es-ES_tradnl"/>
        </w:rPr>
        <w:t>en estos procesos</w:t>
      </w:r>
      <w:r w:rsidR="002A2AB9" w:rsidRPr="007D2C56">
        <w:rPr>
          <w:rFonts w:asciiTheme="majorHAnsi" w:hAnsiTheme="majorHAnsi"/>
          <w:bCs/>
          <w:sz w:val="20"/>
          <w:szCs w:val="20"/>
          <w:lang w:val="es-ES_tradnl"/>
        </w:rPr>
        <w:t xml:space="preserve"> se haya dado cumplimiento al deber consagrado en el artículo 46.1.a) de la Convención Americana; por esta razón, </w:t>
      </w:r>
      <w:r w:rsidR="00BD39BD" w:rsidRPr="007D2C56">
        <w:rPr>
          <w:rFonts w:asciiTheme="majorHAnsi" w:hAnsiTheme="majorHAnsi"/>
          <w:bCs/>
          <w:sz w:val="20"/>
          <w:szCs w:val="20"/>
          <w:lang w:val="es-ES_tradnl"/>
        </w:rPr>
        <w:t>estos reclamos quedan fuera del marco fáctico de la presente petición</w:t>
      </w:r>
      <w:r w:rsidR="002A2AB9" w:rsidRPr="007D2C56">
        <w:rPr>
          <w:rFonts w:asciiTheme="majorHAnsi" w:hAnsiTheme="majorHAnsi"/>
          <w:bCs/>
          <w:sz w:val="20"/>
          <w:szCs w:val="20"/>
          <w:lang w:val="es-ES_tradnl"/>
        </w:rPr>
        <w:t>.</w:t>
      </w:r>
      <w:r w:rsidR="00BD39BD" w:rsidRPr="007D2C56">
        <w:rPr>
          <w:rFonts w:asciiTheme="majorHAnsi" w:hAnsiTheme="majorHAnsi"/>
          <w:bCs/>
          <w:sz w:val="20"/>
          <w:szCs w:val="20"/>
          <w:lang w:val="es-ES_tradnl"/>
        </w:rPr>
        <w:t xml:space="preserve"> Sin perjuicio de las reparaciones que la Comisión estime pertinente disponer en atención a los hechos que sí han sido declarados admisibles. </w:t>
      </w:r>
      <w:r w:rsidR="002A2AB9" w:rsidRPr="007D2C56">
        <w:rPr>
          <w:rFonts w:asciiTheme="majorHAnsi" w:hAnsiTheme="majorHAnsi"/>
          <w:bCs/>
          <w:sz w:val="20"/>
          <w:szCs w:val="20"/>
          <w:lang w:val="es-ES_tradnl"/>
        </w:rPr>
        <w:t xml:space="preserve"> </w:t>
      </w:r>
    </w:p>
    <w:p w14:paraId="5BEFB3A9" w14:textId="77777777" w:rsidR="003239B8" w:rsidRPr="007D2C56" w:rsidRDefault="003239B8" w:rsidP="003239B8">
      <w:pPr>
        <w:pStyle w:val="ListParagraph"/>
        <w:spacing w:before="240" w:after="240"/>
        <w:jc w:val="both"/>
        <w:rPr>
          <w:rFonts w:asciiTheme="majorHAnsi" w:hAnsiTheme="majorHAnsi"/>
          <w:b/>
          <w:sz w:val="20"/>
          <w:szCs w:val="20"/>
          <w:lang w:val="es-ES_tradnl"/>
        </w:rPr>
      </w:pPr>
      <w:r w:rsidRPr="007D2C56">
        <w:rPr>
          <w:rFonts w:asciiTheme="majorHAnsi" w:hAnsiTheme="majorHAnsi"/>
          <w:b/>
          <w:bCs/>
          <w:sz w:val="20"/>
          <w:szCs w:val="20"/>
          <w:lang w:val="es-ES_tradnl"/>
        </w:rPr>
        <w:t>VII.</w:t>
      </w:r>
      <w:r w:rsidRPr="007D2C56">
        <w:rPr>
          <w:rFonts w:asciiTheme="majorHAnsi" w:hAnsiTheme="majorHAnsi"/>
          <w:b/>
          <w:bCs/>
          <w:sz w:val="20"/>
          <w:szCs w:val="20"/>
          <w:lang w:val="es-ES_tradnl"/>
        </w:rPr>
        <w:tab/>
      </w:r>
      <w:r w:rsidR="004A6A54" w:rsidRPr="007D2C56">
        <w:rPr>
          <w:rFonts w:asciiTheme="majorHAnsi" w:hAnsiTheme="majorHAnsi"/>
          <w:b/>
          <w:bCs/>
          <w:sz w:val="20"/>
          <w:szCs w:val="20"/>
          <w:lang w:val="es-ES_tradnl"/>
        </w:rPr>
        <w:t xml:space="preserve">ANÁLISIS DE </w:t>
      </w:r>
      <w:r w:rsidR="00C21FEF" w:rsidRPr="007D2C56">
        <w:rPr>
          <w:rFonts w:asciiTheme="majorHAnsi" w:hAnsiTheme="majorHAnsi"/>
          <w:b/>
          <w:bCs/>
          <w:sz w:val="20"/>
          <w:szCs w:val="20"/>
          <w:lang w:val="es-ES_tradnl"/>
        </w:rPr>
        <w:t>CARACTERIZACIÓN DE LOS HECHOS ALEGADOS</w:t>
      </w:r>
    </w:p>
    <w:p w14:paraId="5D3F2C12" w14:textId="2D97233A" w:rsidR="00C060AA" w:rsidRPr="007D2C56" w:rsidRDefault="002A2AB9" w:rsidP="00C060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_tradnl"/>
        </w:rPr>
      </w:pPr>
      <w:r w:rsidRPr="007D2C56">
        <w:rPr>
          <w:rFonts w:asciiTheme="majorHAnsi" w:hAnsiTheme="majorHAnsi"/>
          <w:sz w:val="20"/>
          <w:szCs w:val="20"/>
          <w:lang w:val="es-ES_tradnl"/>
        </w:rPr>
        <w:t>2</w:t>
      </w:r>
      <w:r w:rsidR="00BD39BD" w:rsidRPr="007D2C56">
        <w:rPr>
          <w:rFonts w:asciiTheme="majorHAnsi" w:hAnsiTheme="majorHAnsi"/>
          <w:sz w:val="20"/>
          <w:szCs w:val="20"/>
          <w:lang w:val="es-ES_tradnl"/>
        </w:rPr>
        <w:t>7</w:t>
      </w:r>
      <w:r w:rsidR="00C060AA" w:rsidRPr="007D2C56">
        <w:rPr>
          <w:rFonts w:asciiTheme="majorHAnsi" w:hAnsiTheme="majorHAnsi"/>
          <w:sz w:val="20"/>
          <w:szCs w:val="20"/>
          <w:lang w:val="es-ES_tradnl"/>
        </w:rPr>
        <w:t xml:space="preserve">. </w:t>
      </w:r>
      <w:r w:rsidR="00BD39BD" w:rsidRPr="007D2C56">
        <w:rPr>
          <w:rFonts w:asciiTheme="majorHAnsi" w:hAnsiTheme="majorHAnsi"/>
          <w:sz w:val="20"/>
          <w:szCs w:val="20"/>
          <w:lang w:val="es-ES_tradnl"/>
        </w:rPr>
        <w:tab/>
      </w:r>
      <w:r w:rsidR="00C060AA" w:rsidRPr="007D2C56">
        <w:rPr>
          <w:rFonts w:asciiTheme="majorHAnsi" w:hAnsiTheme="majorHAnsi"/>
          <w:sz w:val="20"/>
          <w:szCs w:val="20"/>
          <w:lang w:val="es-ES_tradnl"/>
        </w:rPr>
        <w:t xml:space="preserve">La Comisión recuerda que </w:t>
      </w:r>
      <w:r w:rsidR="00C060AA" w:rsidRPr="007D2C56">
        <w:rPr>
          <w:rFonts w:asciiTheme="majorHAnsi" w:hAnsiTheme="majorHAnsi" w:cs="Calibri"/>
          <w:sz w:val="20"/>
          <w:szCs w:val="20"/>
          <w:lang w:val="es-ES_tradnl"/>
        </w:rPr>
        <w:t xml:space="preserve">el criterio de evaluación de la fase de admisibilidad difiere del que se utiliza para pronunciarse sobre el fondo de una petición; la Comisión debe realizar una evaluación </w:t>
      </w:r>
      <w:r w:rsidR="00C060AA" w:rsidRPr="007D2C56">
        <w:rPr>
          <w:rFonts w:asciiTheme="majorHAnsi" w:hAnsiTheme="majorHAnsi" w:cs="Calibri"/>
          <w:i/>
          <w:iCs/>
          <w:sz w:val="20"/>
          <w:szCs w:val="20"/>
          <w:lang w:val="es-ES_tradnl"/>
        </w:rPr>
        <w:t>prima facie</w:t>
      </w:r>
      <w:r w:rsidR="00C060AA" w:rsidRPr="007D2C56">
        <w:rPr>
          <w:rFonts w:asciiTheme="majorHAnsi" w:hAnsiTheme="majorHAnsi" w:cs="Calibri"/>
          <w:sz w:val="20"/>
          <w:szCs w:val="20"/>
          <w:lang w:val="es-ES_tradnl"/>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w:t>
      </w:r>
      <w:r w:rsidR="00C060AA" w:rsidRPr="007D2C56">
        <w:rPr>
          <w:rStyle w:val="FootnoteReference"/>
          <w:rFonts w:asciiTheme="majorHAnsi" w:hAnsiTheme="majorHAnsi" w:cs="Calibri"/>
          <w:sz w:val="20"/>
          <w:szCs w:val="20"/>
          <w:lang w:val="es-ES_tradnl"/>
        </w:rPr>
        <w:footnoteReference w:id="8"/>
      </w:r>
      <w:r w:rsidR="00C060AA" w:rsidRPr="007D2C56">
        <w:rPr>
          <w:rFonts w:asciiTheme="majorHAnsi" w:hAnsiTheme="majorHAnsi" w:cs="Calibri"/>
          <w:sz w:val="20"/>
          <w:szCs w:val="20"/>
          <w:lang w:val="es-ES_tradnl"/>
        </w:rPr>
        <w:t>.</w:t>
      </w:r>
    </w:p>
    <w:p w14:paraId="0125B6B7" w14:textId="35EBF056" w:rsidR="001A520D" w:rsidRPr="007D2C56" w:rsidRDefault="002A2AB9" w:rsidP="00C1365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_tradnl"/>
        </w:rPr>
      </w:pPr>
      <w:r w:rsidRPr="007D2C56">
        <w:rPr>
          <w:rFonts w:asciiTheme="majorHAnsi" w:hAnsiTheme="majorHAnsi" w:cs="Calibri"/>
          <w:sz w:val="20"/>
          <w:szCs w:val="20"/>
          <w:lang w:val="es-ES_tradnl"/>
        </w:rPr>
        <w:t>2</w:t>
      </w:r>
      <w:r w:rsidR="00EB73F7" w:rsidRPr="007D2C56">
        <w:rPr>
          <w:rFonts w:asciiTheme="majorHAnsi" w:hAnsiTheme="majorHAnsi" w:cs="Calibri"/>
          <w:sz w:val="20"/>
          <w:szCs w:val="20"/>
          <w:lang w:val="es-ES_tradnl"/>
        </w:rPr>
        <w:t>8</w:t>
      </w:r>
      <w:r w:rsidR="00C060AA" w:rsidRPr="007D2C56">
        <w:rPr>
          <w:rFonts w:asciiTheme="majorHAnsi" w:hAnsiTheme="majorHAnsi" w:cs="Calibri"/>
          <w:sz w:val="20"/>
          <w:szCs w:val="20"/>
          <w:lang w:val="es-ES_tradnl"/>
        </w:rPr>
        <w:t xml:space="preserve">. </w:t>
      </w:r>
      <w:r w:rsidR="00EB73F7" w:rsidRPr="007D2C56">
        <w:rPr>
          <w:rFonts w:asciiTheme="majorHAnsi" w:hAnsiTheme="majorHAnsi" w:cs="Calibri"/>
          <w:sz w:val="20"/>
          <w:szCs w:val="20"/>
          <w:lang w:val="es-ES_tradnl"/>
        </w:rPr>
        <w:tab/>
      </w:r>
      <w:r w:rsidR="00183B73" w:rsidRPr="007D2C56">
        <w:rPr>
          <w:rFonts w:asciiTheme="majorHAnsi" w:hAnsiTheme="majorHAnsi" w:cs="Calibri"/>
          <w:sz w:val="20"/>
          <w:szCs w:val="20"/>
          <w:lang w:val="es-ES_tradnl"/>
        </w:rPr>
        <w:t>Contrario a lo que argumenta Colombia, la CIDH considera que e</w:t>
      </w:r>
      <w:r w:rsidR="00C060AA" w:rsidRPr="007D2C56">
        <w:rPr>
          <w:rFonts w:asciiTheme="majorHAnsi" w:hAnsiTheme="majorHAnsi" w:cs="Calibri"/>
          <w:sz w:val="20"/>
          <w:szCs w:val="20"/>
          <w:lang w:val="es-ES_tradnl"/>
        </w:rPr>
        <w:t xml:space="preserve">n la petición </w:t>
      </w:r>
      <w:r w:rsidR="00183B73" w:rsidRPr="007D2C56">
        <w:rPr>
          <w:rFonts w:asciiTheme="majorHAnsi" w:hAnsiTheme="majorHAnsi" w:cs="Calibri"/>
          <w:sz w:val="20"/>
          <w:szCs w:val="20"/>
          <w:lang w:val="es-ES_tradnl"/>
        </w:rPr>
        <w:t xml:space="preserve">sí </w:t>
      </w:r>
      <w:r w:rsidR="00C060AA" w:rsidRPr="007D2C56">
        <w:rPr>
          <w:rFonts w:asciiTheme="majorHAnsi" w:hAnsiTheme="majorHAnsi" w:cs="Calibri"/>
          <w:sz w:val="20"/>
          <w:szCs w:val="20"/>
          <w:lang w:val="es-ES_tradnl"/>
        </w:rPr>
        <w:t xml:space="preserve">se han caracterizado con total claridad varias posibles violaciones de los derechos consagrados en la Convención Americana </w:t>
      </w:r>
      <w:r w:rsidR="00C1365D" w:rsidRPr="007D2C56">
        <w:rPr>
          <w:rFonts w:asciiTheme="majorHAnsi" w:hAnsiTheme="majorHAnsi" w:cs="Calibri"/>
          <w:sz w:val="20"/>
          <w:szCs w:val="20"/>
          <w:lang w:val="es-ES_tradnl"/>
        </w:rPr>
        <w:t>debido a</w:t>
      </w:r>
      <w:r w:rsidR="00C060AA" w:rsidRPr="007D2C56">
        <w:rPr>
          <w:rFonts w:asciiTheme="majorHAnsi" w:hAnsiTheme="majorHAnsi" w:cs="Calibri"/>
          <w:sz w:val="20"/>
          <w:szCs w:val="20"/>
          <w:lang w:val="es-ES_tradnl"/>
        </w:rPr>
        <w:t xml:space="preserve"> la comisión de los crímenes constitutivos de la masacre de </w:t>
      </w:r>
      <w:r w:rsidRPr="007D2C56">
        <w:rPr>
          <w:rFonts w:asciiTheme="majorHAnsi" w:hAnsiTheme="majorHAnsi" w:cs="Calibri"/>
          <w:sz w:val="20"/>
          <w:szCs w:val="20"/>
          <w:lang w:val="es-ES_tradnl"/>
        </w:rPr>
        <w:t>Villanueva</w:t>
      </w:r>
      <w:r w:rsidR="00C1365D" w:rsidRPr="007D2C56">
        <w:rPr>
          <w:rFonts w:asciiTheme="majorHAnsi" w:hAnsiTheme="majorHAnsi" w:cs="Calibri"/>
          <w:sz w:val="20"/>
          <w:szCs w:val="20"/>
          <w:lang w:val="es-ES_tradnl"/>
        </w:rPr>
        <w:t xml:space="preserve">. </w:t>
      </w:r>
      <w:r w:rsidR="00C060AA" w:rsidRPr="007D2C56">
        <w:rPr>
          <w:rFonts w:asciiTheme="majorHAnsi" w:hAnsiTheme="majorHAnsi" w:cs="Calibri"/>
          <w:sz w:val="20"/>
          <w:szCs w:val="20"/>
          <w:lang w:val="es-ES_tradnl"/>
        </w:rPr>
        <w:t xml:space="preserve">La posible atribución jurídica internacional de estos hechos a Colombia también se ha caracterizado de manera satisfactoria para los efectos del presente examen de admisibilidad. Dado que se han provisto en la petición </w:t>
      </w:r>
      <w:r w:rsidR="00183B73" w:rsidRPr="007D2C56">
        <w:rPr>
          <w:rFonts w:asciiTheme="majorHAnsi" w:hAnsiTheme="majorHAnsi" w:cs="Calibri"/>
          <w:sz w:val="20"/>
          <w:szCs w:val="20"/>
          <w:lang w:val="es-ES_tradnl"/>
        </w:rPr>
        <w:t xml:space="preserve">extractos </w:t>
      </w:r>
      <w:r w:rsidR="00C060AA" w:rsidRPr="007D2C56">
        <w:rPr>
          <w:rFonts w:asciiTheme="majorHAnsi" w:hAnsiTheme="majorHAnsi" w:cs="Calibri"/>
          <w:sz w:val="20"/>
          <w:szCs w:val="20"/>
          <w:lang w:val="es-ES_tradnl"/>
        </w:rPr>
        <w:t>testimoni</w:t>
      </w:r>
      <w:r w:rsidR="00183B73" w:rsidRPr="007D2C56">
        <w:rPr>
          <w:rFonts w:asciiTheme="majorHAnsi" w:hAnsiTheme="majorHAnsi" w:cs="Calibri"/>
          <w:sz w:val="20"/>
          <w:szCs w:val="20"/>
          <w:lang w:val="es-ES_tradnl"/>
        </w:rPr>
        <w:t>ales</w:t>
      </w:r>
      <w:r w:rsidR="00C060AA" w:rsidRPr="007D2C56">
        <w:rPr>
          <w:rFonts w:asciiTheme="majorHAnsi" w:hAnsiTheme="majorHAnsi" w:cs="Calibri"/>
          <w:sz w:val="20"/>
          <w:szCs w:val="20"/>
          <w:lang w:val="es-ES_tradnl"/>
        </w:rPr>
        <w:t xml:space="preserve"> y otras pruebas sobre la posible participación de agentes de la Fuerza Pública, por acción, por colaboración, por aquiescencia y/o por omisión en la masacre denunciada, se cuenta con elementos para concluir en forma preliminar que sí puede verse comprometida la responsabilidad del Estado colombiano en la violación de estos </w:t>
      </w:r>
      <w:r w:rsidR="00C060AA" w:rsidRPr="007D2C56">
        <w:rPr>
          <w:rFonts w:asciiTheme="majorHAnsi" w:hAnsiTheme="majorHAnsi" w:cs="Calibri"/>
          <w:sz w:val="20"/>
          <w:szCs w:val="20"/>
          <w:lang w:val="es-ES_tradnl"/>
        </w:rPr>
        <w:lastRenderedPageBreak/>
        <w:t xml:space="preserve">derechos. Esta conclusión, de tipo </w:t>
      </w:r>
      <w:r w:rsidR="00C060AA" w:rsidRPr="007D2C56">
        <w:rPr>
          <w:rFonts w:asciiTheme="majorHAnsi" w:hAnsiTheme="majorHAnsi" w:cs="Calibri"/>
          <w:i/>
          <w:iCs/>
          <w:sz w:val="20"/>
          <w:szCs w:val="20"/>
          <w:lang w:val="es-ES_tradnl"/>
        </w:rPr>
        <w:t>prima facie,</w:t>
      </w:r>
      <w:r w:rsidR="00C060AA" w:rsidRPr="007D2C56">
        <w:rPr>
          <w:rFonts w:asciiTheme="majorHAnsi" w:hAnsiTheme="majorHAnsi" w:cs="Calibri"/>
          <w:sz w:val="20"/>
          <w:szCs w:val="20"/>
          <w:lang w:val="es-ES_tradnl"/>
        </w:rPr>
        <w:t xml:space="preserve"> se ve reforzada por las afirmaciones de</w:t>
      </w:r>
      <w:r w:rsidR="00183B73" w:rsidRPr="007D2C56">
        <w:rPr>
          <w:rFonts w:asciiTheme="majorHAnsi" w:hAnsiTheme="majorHAnsi" w:cs="Calibri"/>
          <w:sz w:val="20"/>
          <w:szCs w:val="20"/>
          <w:lang w:val="es-ES_tradnl"/>
        </w:rPr>
        <w:t xml:space="preserve">l Tribunal Administrativo de La Guajira en la </w:t>
      </w:r>
      <w:r w:rsidR="00C060AA" w:rsidRPr="007D2C56">
        <w:rPr>
          <w:rFonts w:asciiTheme="majorHAnsi" w:hAnsiTheme="majorHAnsi" w:cs="Calibri"/>
          <w:sz w:val="20"/>
          <w:szCs w:val="20"/>
          <w:lang w:val="es-ES_tradnl"/>
        </w:rPr>
        <w:t xml:space="preserve">sentencia </w:t>
      </w:r>
      <w:r w:rsidR="00183B73" w:rsidRPr="007D2C56">
        <w:rPr>
          <w:rFonts w:asciiTheme="majorHAnsi" w:hAnsiTheme="majorHAnsi" w:cs="Calibri"/>
          <w:sz w:val="20"/>
          <w:szCs w:val="20"/>
          <w:lang w:val="es-ES_tradnl"/>
        </w:rPr>
        <w:t>en la que declaró administrativamente responsable a la Nación por la masacre, cuando menos a título de omisión de protección y falla en el servicio</w:t>
      </w:r>
      <w:r w:rsidR="00C060AA" w:rsidRPr="007D2C56">
        <w:rPr>
          <w:rFonts w:asciiTheme="majorHAnsi" w:hAnsiTheme="majorHAnsi" w:cs="Calibri"/>
          <w:sz w:val="20"/>
          <w:szCs w:val="20"/>
          <w:lang w:val="es-ES_tradnl"/>
        </w:rPr>
        <w:t>.</w:t>
      </w:r>
    </w:p>
    <w:p w14:paraId="549AB5EB" w14:textId="44A9155D" w:rsidR="00183B73" w:rsidRPr="007D2C56" w:rsidRDefault="00C1365D" w:rsidP="00183B7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7D2C56">
        <w:rPr>
          <w:rFonts w:asciiTheme="majorHAnsi" w:hAnsiTheme="majorHAnsi"/>
          <w:sz w:val="20"/>
          <w:szCs w:val="20"/>
          <w:lang w:val="es-ES_tradnl"/>
        </w:rPr>
        <w:t>29</w:t>
      </w:r>
      <w:r w:rsidR="00183B73" w:rsidRPr="007D2C56">
        <w:rPr>
          <w:rFonts w:asciiTheme="majorHAnsi" w:hAnsiTheme="majorHAnsi"/>
          <w:sz w:val="20"/>
          <w:szCs w:val="20"/>
          <w:lang w:val="es-ES_tradnl"/>
        </w:rPr>
        <w:t xml:space="preserve">. </w:t>
      </w:r>
      <w:r w:rsidRPr="007D2C56">
        <w:rPr>
          <w:rFonts w:asciiTheme="majorHAnsi" w:hAnsiTheme="majorHAnsi"/>
          <w:sz w:val="20"/>
          <w:szCs w:val="20"/>
          <w:lang w:val="es-ES_tradnl"/>
        </w:rPr>
        <w:tab/>
      </w:r>
      <w:r w:rsidR="00183B73" w:rsidRPr="007D2C56">
        <w:rPr>
          <w:rFonts w:asciiTheme="majorHAnsi" w:hAnsiTheme="majorHAnsi"/>
          <w:sz w:val="20"/>
          <w:szCs w:val="20"/>
          <w:lang w:val="es-ES_tradnl"/>
        </w:rPr>
        <w:t>Por último, aunque la petición invoca la obligación consagrada en el artículo 2 de la Convención Americana y afirma que el sistema de justicia transicional de la Ley 975/05, o sistema de “Justicia y Paz”, no está acorde con los derechos de las víctimas a la justicia, verdad y reparación, en la petición no se han provisto argumentos o razones de hecho o de derecho suficientes para fundamenta</w:t>
      </w:r>
      <w:r w:rsidRPr="007D2C56">
        <w:rPr>
          <w:rFonts w:asciiTheme="majorHAnsi" w:hAnsiTheme="majorHAnsi"/>
          <w:sz w:val="20"/>
          <w:szCs w:val="20"/>
          <w:lang w:val="es-ES_tradnl"/>
        </w:rPr>
        <w:t>r</w:t>
      </w:r>
      <w:r w:rsidR="00183B73" w:rsidRPr="007D2C56">
        <w:rPr>
          <w:rFonts w:asciiTheme="majorHAnsi" w:hAnsiTheme="majorHAnsi"/>
          <w:sz w:val="20"/>
          <w:szCs w:val="20"/>
          <w:lang w:val="es-ES_tradnl"/>
        </w:rPr>
        <w:t xml:space="preserve"> </w:t>
      </w:r>
      <w:r w:rsidRPr="007D2C56">
        <w:rPr>
          <w:rFonts w:asciiTheme="majorHAnsi" w:hAnsiTheme="majorHAnsi"/>
          <w:sz w:val="20"/>
          <w:szCs w:val="20"/>
          <w:lang w:val="es-ES_tradnl"/>
        </w:rPr>
        <w:t>este</w:t>
      </w:r>
      <w:r w:rsidR="00183B73" w:rsidRPr="007D2C56">
        <w:rPr>
          <w:rFonts w:asciiTheme="majorHAnsi" w:hAnsiTheme="majorHAnsi"/>
          <w:sz w:val="20"/>
          <w:szCs w:val="20"/>
          <w:lang w:val="es-ES_tradnl"/>
        </w:rPr>
        <w:t xml:space="preserve"> reclamo, que por lo mismo resulta manifiestamente infundado en los términos del artículo 47(c) de la Convención.  </w:t>
      </w:r>
    </w:p>
    <w:p w14:paraId="4CBA2EC6" w14:textId="1435BDA1" w:rsidR="00C060AA" w:rsidRPr="007D2C56" w:rsidRDefault="00C1365D" w:rsidP="00183B7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lang w:val="es-ES_tradnl"/>
        </w:rPr>
      </w:pPr>
      <w:r w:rsidRPr="007D2C56">
        <w:rPr>
          <w:rFonts w:asciiTheme="majorHAnsi" w:hAnsiTheme="majorHAnsi"/>
          <w:sz w:val="20"/>
          <w:szCs w:val="20"/>
          <w:lang w:val="es-ES_tradnl"/>
        </w:rPr>
        <w:t>30</w:t>
      </w:r>
      <w:r w:rsidR="00183B73" w:rsidRPr="007D2C56">
        <w:rPr>
          <w:rFonts w:asciiTheme="majorHAnsi" w:hAnsiTheme="majorHAnsi"/>
          <w:sz w:val="20"/>
          <w:szCs w:val="20"/>
          <w:lang w:val="es-ES_tradnl"/>
        </w:rPr>
        <w:t xml:space="preserve">. </w:t>
      </w:r>
      <w:r w:rsidRPr="007D2C56">
        <w:rPr>
          <w:rFonts w:asciiTheme="majorHAnsi" w:hAnsiTheme="majorHAnsi"/>
          <w:sz w:val="20"/>
          <w:szCs w:val="20"/>
          <w:lang w:val="es-ES_tradnl"/>
        </w:rPr>
        <w:tab/>
      </w:r>
      <w:r w:rsidR="00C060AA" w:rsidRPr="007D2C56">
        <w:rPr>
          <w:rFonts w:asciiTheme="majorHAnsi" w:hAnsiTheme="majorHAnsi"/>
          <w:sz w:val="20"/>
          <w:szCs w:val="20"/>
          <w:lang w:val="es-ES_tradnl"/>
        </w:rPr>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podrían caracterizar violaciones de los artículos </w:t>
      </w:r>
      <w:r w:rsidR="00183B73" w:rsidRPr="007D2C56">
        <w:rPr>
          <w:rFonts w:ascii="Cambria" w:hAnsi="Cambria"/>
          <w:bCs/>
          <w:sz w:val="20"/>
          <w:szCs w:val="20"/>
          <w:lang w:val="es-ES_tradnl"/>
        </w:rPr>
        <w:t>4 (vida), 5 (integridad personal), 7 (libertad personal), 8 (garantías judiciales), 11 (honra y dignidad), 12 (libertad de conciencia y de religión), 19 (derechos del niño), 22 (circulación y residencia) y 25 (protección judicial) de la Convención Americana, en relación con su artículo 1.1 (obligación de respetar los derechos)</w:t>
      </w:r>
      <w:r w:rsidRPr="007D2C56">
        <w:rPr>
          <w:rFonts w:ascii="Cambria" w:hAnsi="Cambria"/>
          <w:bCs/>
          <w:sz w:val="20"/>
          <w:szCs w:val="20"/>
          <w:lang w:val="es-ES_tradnl"/>
        </w:rPr>
        <w:t>, en perjuicio de las presuntas víctimas establecidas en el presente informe y de sus familiares individualizados en el trámite ante la CIDH</w:t>
      </w:r>
      <w:r w:rsidR="00183B73" w:rsidRPr="007D2C56">
        <w:rPr>
          <w:rFonts w:ascii="Cambria" w:hAnsi="Cambria"/>
          <w:bCs/>
          <w:sz w:val="20"/>
          <w:szCs w:val="20"/>
          <w:lang w:val="es-ES_tradnl"/>
        </w:rPr>
        <w:t>.</w:t>
      </w:r>
    </w:p>
    <w:p w14:paraId="1EDF3A5D" w14:textId="77777777" w:rsidR="003239B8" w:rsidRPr="007D2C56" w:rsidRDefault="003239B8" w:rsidP="003239B8">
      <w:pPr>
        <w:pStyle w:val="ListParagraph"/>
        <w:spacing w:before="240" w:after="240"/>
        <w:jc w:val="both"/>
        <w:rPr>
          <w:rFonts w:asciiTheme="majorHAnsi" w:hAnsiTheme="majorHAnsi"/>
          <w:b/>
          <w:bCs/>
          <w:sz w:val="20"/>
          <w:szCs w:val="20"/>
          <w:lang w:val="es-ES_tradnl"/>
        </w:rPr>
      </w:pPr>
      <w:r w:rsidRPr="007D2C56">
        <w:rPr>
          <w:rFonts w:asciiTheme="majorHAnsi" w:hAnsiTheme="majorHAnsi"/>
          <w:b/>
          <w:bCs/>
          <w:sz w:val="20"/>
          <w:szCs w:val="20"/>
          <w:lang w:val="es-ES_tradnl"/>
        </w:rPr>
        <w:t xml:space="preserve">VIII. </w:t>
      </w:r>
      <w:r w:rsidRPr="007D2C56">
        <w:rPr>
          <w:rFonts w:asciiTheme="majorHAnsi" w:hAnsiTheme="majorHAnsi"/>
          <w:b/>
          <w:bCs/>
          <w:sz w:val="20"/>
          <w:szCs w:val="20"/>
          <w:lang w:val="es-ES_tradnl"/>
        </w:rPr>
        <w:tab/>
        <w:t>DECISIÓN</w:t>
      </w:r>
    </w:p>
    <w:p w14:paraId="494A0BEA" w14:textId="74F0BEFF" w:rsidR="000419AD" w:rsidRPr="007D2C56"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D2C56">
        <w:rPr>
          <w:rFonts w:asciiTheme="majorHAnsi" w:hAnsiTheme="majorHAnsi"/>
          <w:sz w:val="20"/>
          <w:szCs w:val="20"/>
          <w:lang w:val="es-ES_tradnl"/>
        </w:rPr>
        <w:t xml:space="preserve">Declarar admisible la presente petición en relación con </w:t>
      </w:r>
      <w:r w:rsidR="00183B73" w:rsidRPr="007D2C56">
        <w:rPr>
          <w:rFonts w:asciiTheme="majorHAnsi" w:hAnsiTheme="majorHAnsi"/>
          <w:sz w:val="20"/>
          <w:szCs w:val="20"/>
          <w:lang w:val="es-ES_tradnl"/>
        </w:rPr>
        <w:t>los artículos 4, 5, 7, 8, 11, 12, 19, 22 y 25 de la Convención Americana, en conexión con su artículo 1.1</w:t>
      </w:r>
      <w:r w:rsidR="0015042F">
        <w:rPr>
          <w:rFonts w:asciiTheme="majorHAnsi" w:hAnsiTheme="majorHAnsi"/>
          <w:sz w:val="20"/>
          <w:szCs w:val="20"/>
          <w:lang w:val="es-ES_tradnl"/>
        </w:rPr>
        <w:t>,</w:t>
      </w:r>
      <w:r w:rsidR="007B76D3" w:rsidRPr="007D2C56">
        <w:rPr>
          <w:rFonts w:asciiTheme="majorHAnsi" w:hAnsiTheme="majorHAnsi"/>
          <w:sz w:val="20"/>
          <w:szCs w:val="20"/>
          <w:lang w:val="es-ES_tradnl"/>
        </w:rPr>
        <w:t xml:space="preserve"> y</w:t>
      </w:r>
      <w:r w:rsidR="0015042F">
        <w:rPr>
          <w:rFonts w:asciiTheme="majorHAnsi" w:hAnsiTheme="majorHAnsi"/>
          <w:sz w:val="20"/>
          <w:szCs w:val="20"/>
          <w:lang w:val="es-ES_tradnl"/>
        </w:rPr>
        <w:t>;</w:t>
      </w:r>
    </w:p>
    <w:p w14:paraId="38B7E307" w14:textId="3CCF26D7" w:rsidR="008D76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D2C56">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0124C4B2" w14:textId="77777777" w:rsidR="00361F5E" w:rsidRPr="00A37B82" w:rsidRDefault="00361F5E" w:rsidP="00361F5E">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al</w:t>
      </w:r>
      <w:r>
        <w:rPr>
          <w:rFonts w:asciiTheme="majorHAnsi" w:hAnsiTheme="majorHAnsi" w:cs="Arial"/>
          <w:noProof/>
          <w:spacing w:val="-2"/>
          <w:sz w:val="20"/>
          <w:szCs w:val="20"/>
          <w:lang w:val="es-CL"/>
        </w:rPr>
        <w:t xml:space="preserve"> primer </w:t>
      </w:r>
      <w:r w:rsidRPr="00A37B82">
        <w:rPr>
          <w:rFonts w:asciiTheme="majorHAnsi" w:hAnsiTheme="majorHAnsi" w:cs="Arial"/>
          <w:noProof/>
          <w:spacing w:val="-2"/>
          <w:sz w:val="20"/>
          <w:szCs w:val="20"/>
          <w:lang w:val="es-CL"/>
        </w:rPr>
        <w:t xml:space="preserve">día del mes de </w:t>
      </w:r>
      <w:r>
        <w:rPr>
          <w:rFonts w:asciiTheme="majorHAnsi" w:hAnsiTheme="majorHAnsi" w:cs="Arial"/>
          <w:noProof/>
          <w:spacing w:val="-2"/>
          <w:sz w:val="20"/>
          <w:szCs w:val="20"/>
          <w:lang w:val="es-CL"/>
        </w:rPr>
        <w:t>diciembre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26D2780D" w14:textId="77777777" w:rsidR="00361F5E" w:rsidRDefault="00361F5E" w:rsidP="00361F5E">
      <w:pPr>
        <w:ind w:firstLine="720"/>
        <w:jc w:val="both"/>
        <w:rPr>
          <w:rFonts w:ascii="Cambria" w:hAnsi="Cambria" w:cs="Arial"/>
          <w:noProof/>
          <w:sz w:val="20"/>
          <w:szCs w:val="20"/>
          <w:lang w:val="es-CL"/>
        </w:rPr>
      </w:pPr>
    </w:p>
    <w:p w14:paraId="7211E5A3" w14:textId="6E9F3A7A" w:rsidR="00361F5E" w:rsidRDefault="00361F5E">
      <w:pPr>
        <w:rPr>
          <w:rFonts w:asciiTheme="majorHAnsi" w:hAnsiTheme="majorHAnsi"/>
          <w:sz w:val="20"/>
          <w:szCs w:val="20"/>
          <w:lang w:val="es-ES_tradnl"/>
        </w:rPr>
      </w:pPr>
      <w:r>
        <w:rPr>
          <w:rFonts w:asciiTheme="majorHAnsi" w:hAnsiTheme="majorHAnsi"/>
          <w:sz w:val="20"/>
          <w:szCs w:val="20"/>
          <w:lang w:val="es-ES_tradnl"/>
        </w:rPr>
        <w:br w:type="page"/>
      </w:r>
    </w:p>
    <w:p w14:paraId="7D5F0CDD" w14:textId="77777777" w:rsidR="00361F5E" w:rsidRDefault="00361F5E" w:rsidP="00361F5E">
      <w:pPr>
        <w:pStyle w:val="FootnoteText"/>
        <w:jc w:val="center"/>
        <w:rPr>
          <w:rFonts w:asciiTheme="majorHAnsi" w:hAnsiTheme="majorHAnsi"/>
          <w:b/>
          <w:bCs/>
          <w:u w:val="single"/>
          <w:lang w:val="es-ES_tradnl"/>
        </w:rPr>
      </w:pPr>
    </w:p>
    <w:p w14:paraId="2B8AF773" w14:textId="67E5FE70" w:rsidR="00036564" w:rsidRDefault="0075023B" w:rsidP="00361F5E">
      <w:pPr>
        <w:pStyle w:val="FootnoteText"/>
        <w:jc w:val="center"/>
        <w:rPr>
          <w:rFonts w:asciiTheme="majorHAnsi" w:hAnsiTheme="majorHAnsi"/>
          <w:b/>
          <w:bCs/>
          <w:u w:val="single"/>
          <w:lang w:val="es-ES_tradnl"/>
        </w:rPr>
      </w:pPr>
      <w:r w:rsidRPr="00361F5E">
        <w:rPr>
          <w:rFonts w:asciiTheme="majorHAnsi" w:hAnsiTheme="majorHAnsi"/>
          <w:b/>
          <w:bCs/>
          <w:u w:val="single"/>
          <w:lang w:val="es-ES_tradnl"/>
        </w:rPr>
        <w:t>ANEXO</w:t>
      </w:r>
    </w:p>
    <w:p w14:paraId="44F0C56A" w14:textId="77777777" w:rsidR="00361F5E" w:rsidRPr="00361F5E" w:rsidRDefault="00361F5E" w:rsidP="00361F5E">
      <w:pPr>
        <w:pStyle w:val="FootnoteText"/>
        <w:jc w:val="center"/>
        <w:rPr>
          <w:rFonts w:asciiTheme="majorHAnsi" w:hAnsiTheme="majorHAnsi"/>
          <w:u w:val="single"/>
          <w:lang w:val="es-ES_tradnl"/>
        </w:rPr>
      </w:pPr>
    </w:p>
    <w:p w14:paraId="524E4CBB" w14:textId="77777777" w:rsidR="00036564" w:rsidRPr="007D2C56" w:rsidRDefault="00036564" w:rsidP="00036564">
      <w:pPr>
        <w:pStyle w:val="FootnoteText"/>
        <w:ind w:firstLine="720"/>
        <w:jc w:val="both"/>
        <w:rPr>
          <w:rFonts w:asciiTheme="majorHAnsi" w:hAnsiTheme="majorHAnsi"/>
          <w:lang w:val="es-ES_tradnl"/>
        </w:rPr>
      </w:pPr>
    </w:p>
    <w:p w14:paraId="2F032674" w14:textId="77777777" w:rsidR="00036564" w:rsidRPr="00FF3490" w:rsidRDefault="00036564" w:rsidP="00036564">
      <w:pPr>
        <w:pStyle w:val="FootnoteText"/>
        <w:ind w:firstLine="720"/>
        <w:jc w:val="both"/>
        <w:rPr>
          <w:rFonts w:asciiTheme="majorHAnsi" w:hAnsiTheme="majorHAnsi"/>
          <w:lang w:val="es-ES_tradnl"/>
        </w:rPr>
      </w:pPr>
      <w:r w:rsidRPr="00FF3490">
        <w:rPr>
          <w:rFonts w:asciiTheme="majorHAnsi" w:hAnsiTheme="majorHAnsi"/>
          <w:lang w:val="es-ES_tradnl"/>
        </w:rPr>
        <w:t xml:space="preserve">En la petición se identifica como familiares de las víctimas mortales de la masacre a las personas que se enuncian a continuación, aunque sin especificar con cuál de las víctimas mortales se relacionaba cada una de ellas: </w:t>
      </w:r>
    </w:p>
    <w:p w14:paraId="046EC24A" w14:textId="77777777" w:rsidR="00036564" w:rsidRPr="00FF3490" w:rsidRDefault="00036564" w:rsidP="00036564">
      <w:pPr>
        <w:pStyle w:val="FootnoteText"/>
        <w:ind w:firstLine="720"/>
        <w:jc w:val="both"/>
        <w:rPr>
          <w:rFonts w:asciiTheme="majorHAnsi" w:hAnsiTheme="majorHAnsi"/>
          <w:lang w:val="es-ES_tradnl"/>
        </w:rPr>
      </w:pPr>
    </w:p>
    <w:p w14:paraId="76590CB5" w14:textId="77777777" w:rsidR="00036564" w:rsidRPr="00FF3490" w:rsidRDefault="00036564" w:rsidP="00036564">
      <w:pPr>
        <w:pStyle w:val="FootnoteText"/>
        <w:ind w:firstLine="720"/>
        <w:jc w:val="both"/>
        <w:rPr>
          <w:rFonts w:asciiTheme="majorHAnsi" w:hAnsiTheme="majorHAnsi"/>
          <w:lang w:val="es-ES_tradnl"/>
        </w:rPr>
      </w:pPr>
      <w:r w:rsidRPr="00FF3490">
        <w:rPr>
          <w:rFonts w:asciiTheme="majorHAnsi" w:hAnsiTheme="majorHAnsi"/>
          <w:lang w:val="es-ES_tradnl"/>
        </w:rPr>
        <w:t xml:space="preserve">(1) Jefferson Ramiro Campo Díaz, </w:t>
      </w:r>
    </w:p>
    <w:p w14:paraId="08C6B2F8" w14:textId="77777777" w:rsidR="00036564" w:rsidRPr="00FF3490" w:rsidRDefault="00036564" w:rsidP="00036564">
      <w:pPr>
        <w:pStyle w:val="FootnoteText"/>
        <w:ind w:firstLine="720"/>
        <w:jc w:val="both"/>
        <w:rPr>
          <w:rFonts w:asciiTheme="majorHAnsi" w:hAnsiTheme="majorHAnsi"/>
          <w:lang w:val="es-ES_tradnl"/>
        </w:rPr>
      </w:pPr>
      <w:r w:rsidRPr="00FF3490">
        <w:rPr>
          <w:rFonts w:asciiTheme="majorHAnsi" w:hAnsiTheme="majorHAnsi"/>
          <w:lang w:val="es-ES_tradnl"/>
        </w:rPr>
        <w:t xml:space="preserve">(2) Moiselina Campo Díaz, </w:t>
      </w:r>
    </w:p>
    <w:p w14:paraId="447CF49A" w14:textId="77777777" w:rsidR="00036564" w:rsidRPr="00FF3490" w:rsidRDefault="00036564" w:rsidP="00036564">
      <w:pPr>
        <w:pStyle w:val="FootnoteText"/>
        <w:ind w:firstLine="720"/>
        <w:jc w:val="both"/>
        <w:rPr>
          <w:rFonts w:asciiTheme="majorHAnsi" w:hAnsiTheme="majorHAnsi"/>
          <w:lang w:val="es-ES_tradnl"/>
        </w:rPr>
      </w:pPr>
      <w:r w:rsidRPr="00FF3490">
        <w:rPr>
          <w:rFonts w:asciiTheme="majorHAnsi" w:hAnsiTheme="majorHAnsi"/>
          <w:lang w:val="es-ES_tradnl"/>
        </w:rPr>
        <w:t xml:space="preserve">(3) Gielys Moiselina Campo Díaz, </w:t>
      </w:r>
    </w:p>
    <w:p w14:paraId="5EA87D8F" w14:textId="77777777" w:rsidR="00036564" w:rsidRPr="00FF3490" w:rsidRDefault="00036564" w:rsidP="00036564">
      <w:pPr>
        <w:pStyle w:val="FootnoteText"/>
        <w:ind w:firstLine="720"/>
        <w:jc w:val="both"/>
        <w:rPr>
          <w:rFonts w:asciiTheme="majorHAnsi" w:hAnsiTheme="majorHAnsi"/>
          <w:lang w:val="es-ES_tradnl"/>
        </w:rPr>
      </w:pPr>
      <w:r w:rsidRPr="00FF3490">
        <w:rPr>
          <w:rFonts w:asciiTheme="majorHAnsi" w:hAnsiTheme="majorHAnsi"/>
          <w:lang w:val="es-ES_tradnl"/>
        </w:rPr>
        <w:t xml:space="preserve">(4) Ana Elina Campo Peñaloza, </w:t>
      </w:r>
    </w:p>
    <w:p w14:paraId="0BCC6CBB" w14:textId="77777777" w:rsidR="00036564" w:rsidRPr="00FF3490" w:rsidRDefault="00036564" w:rsidP="00036564">
      <w:pPr>
        <w:pStyle w:val="FootnoteText"/>
        <w:ind w:firstLine="720"/>
        <w:jc w:val="both"/>
        <w:rPr>
          <w:rFonts w:asciiTheme="majorHAnsi" w:hAnsiTheme="majorHAnsi"/>
          <w:lang w:val="es-ES_tradnl"/>
        </w:rPr>
      </w:pPr>
      <w:r w:rsidRPr="00FF3490">
        <w:rPr>
          <w:rFonts w:asciiTheme="majorHAnsi" w:hAnsiTheme="majorHAnsi"/>
          <w:lang w:val="es-ES_tradnl"/>
        </w:rPr>
        <w:t xml:space="preserve">(5) Ciro Silvestre Campo Peñaloza, </w:t>
      </w:r>
    </w:p>
    <w:p w14:paraId="4AB6D67F" w14:textId="77777777" w:rsidR="00036564" w:rsidRPr="00FF3490" w:rsidRDefault="00036564" w:rsidP="00036564">
      <w:pPr>
        <w:pStyle w:val="FootnoteText"/>
        <w:ind w:firstLine="720"/>
        <w:jc w:val="both"/>
        <w:rPr>
          <w:rFonts w:asciiTheme="majorHAnsi" w:hAnsiTheme="majorHAnsi"/>
          <w:lang w:val="es-ES_tradnl"/>
        </w:rPr>
      </w:pPr>
      <w:r w:rsidRPr="00FF3490">
        <w:rPr>
          <w:rFonts w:asciiTheme="majorHAnsi" w:hAnsiTheme="majorHAnsi"/>
          <w:lang w:val="es-ES_tradnl"/>
        </w:rPr>
        <w:t xml:space="preserve">(6) Carlos Alberto Campo Peñaloza, </w:t>
      </w:r>
    </w:p>
    <w:p w14:paraId="7E82C4F7" w14:textId="77777777" w:rsidR="00036564" w:rsidRPr="00FF3490" w:rsidRDefault="00036564" w:rsidP="00036564">
      <w:pPr>
        <w:pStyle w:val="FootnoteText"/>
        <w:ind w:firstLine="720"/>
        <w:jc w:val="both"/>
        <w:rPr>
          <w:rFonts w:asciiTheme="majorHAnsi" w:hAnsiTheme="majorHAnsi"/>
          <w:lang w:val="es-ES_tradnl"/>
        </w:rPr>
      </w:pPr>
      <w:r w:rsidRPr="00FF3490">
        <w:rPr>
          <w:rFonts w:asciiTheme="majorHAnsi" w:hAnsiTheme="majorHAnsi"/>
          <w:lang w:val="es-ES_tradnl"/>
        </w:rPr>
        <w:t xml:space="preserve">(7) Deya Emma Campo Peñaloza, </w:t>
      </w:r>
    </w:p>
    <w:p w14:paraId="050AF38B" w14:textId="77777777" w:rsidR="00036564" w:rsidRPr="00FF3490" w:rsidRDefault="00036564" w:rsidP="00036564">
      <w:pPr>
        <w:pStyle w:val="FootnoteText"/>
        <w:ind w:firstLine="720"/>
        <w:jc w:val="both"/>
        <w:rPr>
          <w:rFonts w:asciiTheme="majorHAnsi" w:hAnsiTheme="majorHAnsi"/>
          <w:lang w:val="es-ES_tradnl"/>
        </w:rPr>
      </w:pPr>
      <w:r w:rsidRPr="00FF3490">
        <w:rPr>
          <w:rFonts w:asciiTheme="majorHAnsi" w:hAnsiTheme="majorHAnsi"/>
          <w:lang w:val="es-ES_tradnl"/>
        </w:rPr>
        <w:t xml:space="preserve">(8) Moiselina Campo Peñaloza, </w:t>
      </w:r>
    </w:p>
    <w:p w14:paraId="46CC0AC0" w14:textId="77777777" w:rsidR="00036564" w:rsidRPr="00FF3490" w:rsidRDefault="00036564" w:rsidP="00036564">
      <w:pPr>
        <w:pStyle w:val="FootnoteText"/>
        <w:ind w:firstLine="720"/>
        <w:jc w:val="both"/>
        <w:rPr>
          <w:rFonts w:asciiTheme="majorHAnsi" w:hAnsiTheme="majorHAnsi"/>
          <w:lang w:val="es-ES_tradnl"/>
        </w:rPr>
      </w:pPr>
      <w:r w:rsidRPr="00FF3490">
        <w:rPr>
          <w:rFonts w:asciiTheme="majorHAnsi" w:hAnsiTheme="majorHAnsi"/>
          <w:lang w:val="es-ES_tradnl"/>
        </w:rPr>
        <w:t xml:space="preserve">(9) Julio Manuel Campo Peñaloza, </w:t>
      </w:r>
    </w:p>
    <w:p w14:paraId="5912B144" w14:textId="77777777" w:rsidR="00036564" w:rsidRPr="00FF3490" w:rsidRDefault="00036564" w:rsidP="00036564">
      <w:pPr>
        <w:pStyle w:val="FootnoteText"/>
        <w:ind w:firstLine="720"/>
        <w:jc w:val="both"/>
        <w:rPr>
          <w:rFonts w:asciiTheme="majorHAnsi" w:hAnsiTheme="majorHAnsi"/>
          <w:lang w:val="es-ES_tradnl"/>
        </w:rPr>
      </w:pPr>
      <w:r w:rsidRPr="00FF3490">
        <w:rPr>
          <w:rFonts w:asciiTheme="majorHAnsi" w:hAnsiTheme="majorHAnsi"/>
          <w:lang w:val="es-ES_tradnl"/>
        </w:rPr>
        <w:t xml:space="preserve">(10) María Deyanira Campo Peñaloza, </w:t>
      </w:r>
    </w:p>
    <w:p w14:paraId="287BCB00" w14:textId="77777777" w:rsidR="00036564" w:rsidRPr="00FF3490" w:rsidRDefault="00036564" w:rsidP="00036564">
      <w:pPr>
        <w:pStyle w:val="FootnoteText"/>
        <w:ind w:firstLine="720"/>
        <w:jc w:val="both"/>
        <w:rPr>
          <w:rFonts w:asciiTheme="majorHAnsi" w:hAnsiTheme="majorHAnsi"/>
          <w:lang w:val="es-ES_tradnl"/>
        </w:rPr>
      </w:pPr>
      <w:r w:rsidRPr="00FF3490">
        <w:rPr>
          <w:rFonts w:asciiTheme="majorHAnsi" w:hAnsiTheme="majorHAnsi"/>
          <w:lang w:val="es-ES_tradnl"/>
        </w:rPr>
        <w:t xml:space="preserve">(11) Eduard Moisés Campo Guerra, </w:t>
      </w:r>
    </w:p>
    <w:p w14:paraId="753FB9E7" w14:textId="77777777" w:rsidR="00036564" w:rsidRPr="00FF3490" w:rsidRDefault="00036564" w:rsidP="00036564">
      <w:pPr>
        <w:pStyle w:val="FootnoteText"/>
        <w:ind w:firstLine="720"/>
        <w:jc w:val="both"/>
        <w:rPr>
          <w:rFonts w:asciiTheme="majorHAnsi" w:hAnsiTheme="majorHAnsi"/>
          <w:lang w:val="es-ES_tradnl"/>
        </w:rPr>
      </w:pPr>
      <w:r w:rsidRPr="00FF3490">
        <w:rPr>
          <w:rFonts w:asciiTheme="majorHAnsi" w:hAnsiTheme="majorHAnsi"/>
          <w:lang w:val="es-ES_tradnl"/>
        </w:rPr>
        <w:t xml:space="preserve">(12) Julio Dangond Quintero, </w:t>
      </w:r>
    </w:p>
    <w:p w14:paraId="2C3037E0" w14:textId="77777777" w:rsidR="00036564" w:rsidRPr="00FF3490" w:rsidRDefault="00036564" w:rsidP="00036564">
      <w:pPr>
        <w:pStyle w:val="FootnoteText"/>
        <w:ind w:firstLine="720"/>
        <w:jc w:val="both"/>
        <w:rPr>
          <w:rFonts w:asciiTheme="majorHAnsi" w:hAnsiTheme="majorHAnsi"/>
          <w:lang w:val="es-ES_tradnl"/>
        </w:rPr>
      </w:pPr>
      <w:r w:rsidRPr="00FF3490">
        <w:rPr>
          <w:rFonts w:asciiTheme="majorHAnsi" w:hAnsiTheme="majorHAnsi"/>
          <w:lang w:val="es-ES_tradnl"/>
        </w:rPr>
        <w:t xml:space="preserve">(13) Sandra Milena Dangond Quintero, </w:t>
      </w:r>
    </w:p>
    <w:p w14:paraId="304D548B" w14:textId="77777777" w:rsidR="00036564" w:rsidRPr="00FF3490" w:rsidRDefault="00036564" w:rsidP="00036564">
      <w:pPr>
        <w:pStyle w:val="FootnoteText"/>
        <w:ind w:firstLine="720"/>
        <w:jc w:val="both"/>
        <w:rPr>
          <w:rFonts w:asciiTheme="majorHAnsi" w:hAnsiTheme="majorHAnsi"/>
          <w:lang w:val="es-ES_tradnl"/>
        </w:rPr>
      </w:pPr>
      <w:r w:rsidRPr="00FF3490">
        <w:rPr>
          <w:rFonts w:asciiTheme="majorHAnsi" w:hAnsiTheme="majorHAnsi"/>
          <w:lang w:val="es-ES_tradnl"/>
        </w:rPr>
        <w:t xml:space="preserve">(14) Elizabeth Dangond Quintero, </w:t>
      </w:r>
    </w:p>
    <w:p w14:paraId="25E7BEC9" w14:textId="77777777" w:rsidR="00036564" w:rsidRPr="00FF3490" w:rsidRDefault="00036564" w:rsidP="00036564">
      <w:pPr>
        <w:pStyle w:val="FootnoteText"/>
        <w:ind w:firstLine="720"/>
        <w:jc w:val="both"/>
        <w:rPr>
          <w:rFonts w:asciiTheme="majorHAnsi" w:hAnsiTheme="majorHAnsi"/>
          <w:lang w:val="es-ES_tradnl"/>
        </w:rPr>
      </w:pPr>
      <w:r w:rsidRPr="00FF3490">
        <w:rPr>
          <w:rFonts w:asciiTheme="majorHAnsi" w:hAnsiTheme="majorHAnsi"/>
          <w:lang w:val="es-ES_tradnl"/>
        </w:rPr>
        <w:t xml:space="preserve">(15) María Celina Dangond Quintero, </w:t>
      </w:r>
    </w:p>
    <w:p w14:paraId="7624B77B" w14:textId="77777777" w:rsidR="00036564" w:rsidRPr="00FF3490" w:rsidRDefault="00036564" w:rsidP="00036564">
      <w:pPr>
        <w:pStyle w:val="FootnoteText"/>
        <w:ind w:firstLine="720"/>
        <w:jc w:val="both"/>
        <w:rPr>
          <w:rFonts w:asciiTheme="majorHAnsi" w:hAnsiTheme="majorHAnsi"/>
          <w:lang w:val="es-ES_tradnl"/>
        </w:rPr>
      </w:pPr>
      <w:r w:rsidRPr="00FF3490">
        <w:rPr>
          <w:rFonts w:asciiTheme="majorHAnsi" w:hAnsiTheme="majorHAnsi"/>
          <w:lang w:val="es-ES_tradnl"/>
        </w:rPr>
        <w:t xml:space="preserve">(16) Fenix Laudith Dangond Quintero, </w:t>
      </w:r>
    </w:p>
    <w:p w14:paraId="0438F988" w14:textId="77777777" w:rsidR="00036564" w:rsidRPr="00FF3490" w:rsidRDefault="00036564" w:rsidP="00036564">
      <w:pPr>
        <w:pStyle w:val="FootnoteText"/>
        <w:ind w:firstLine="720"/>
        <w:jc w:val="both"/>
        <w:rPr>
          <w:rFonts w:asciiTheme="majorHAnsi" w:hAnsiTheme="majorHAnsi"/>
          <w:lang w:val="es-ES_tradnl"/>
        </w:rPr>
      </w:pPr>
      <w:r w:rsidRPr="00FF3490">
        <w:rPr>
          <w:rFonts w:asciiTheme="majorHAnsi" w:hAnsiTheme="majorHAnsi"/>
          <w:lang w:val="es-ES_tradnl"/>
        </w:rPr>
        <w:t xml:space="preserve">(17) Tirso José Rosado Jiménez, </w:t>
      </w:r>
    </w:p>
    <w:p w14:paraId="08146542" w14:textId="77777777" w:rsidR="00036564" w:rsidRPr="00FF3490" w:rsidRDefault="00036564" w:rsidP="00036564">
      <w:pPr>
        <w:pStyle w:val="FootnoteText"/>
        <w:ind w:firstLine="720"/>
        <w:jc w:val="both"/>
        <w:rPr>
          <w:rFonts w:asciiTheme="majorHAnsi" w:hAnsiTheme="majorHAnsi"/>
          <w:lang w:val="es-ES_tradnl"/>
        </w:rPr>
      </w:pPr>
      <w:r w:rsidRPr="00FF3490">
        <w:rPr>
          <w:rFonts w:asciiTheme="majorHAnsi" w:hAnsiTheme="majorHAnsi"/>
          <w:lang w:val="es-ES_tradnl"/>
        </w:rPr>
        <w:t xml:space="preserve">(18) Eneida Luz Rosado Castañeda, </w:t>
      </w:r>
    </w:p>
    <w:p w14:paraId="0EE11559" w14:textId="77777777" w:rsidR="00036564" w:rsidRPr="00FF3490" w:rsidRDefault="00036564" w:rsidP="00036564">
      <w:pPr>
        <w:pStyle w:val="FootnoteText"/>
        <w:ind w:firstLine="720"/>
        <w:jc w:val="both"/>
        <w:rPr>
          <w:rFonts w:asciiTheme="majorHAnsi" w:hAnsiTheme="majorHAnsi"/>
          <w:lang w:val="es-ES_tradnl"/>
        </w:rPr>
      </w:pPr>
      <w:r w:rsidRPr="00FF3490">
        <w:rPr>
          <w:rFonts w:asciiTheme="majorHAnsi" w:hAnsiTheme="majorHAnsi"/>
          <w:lang w:val="es-ES_tradnl"/>
        </w:rPr>
        <w:t xml:space="preserve">(19) Tirso Tulio Rosado Quintero, </w:t>
      </w:r>
    </w:p>
    <w:p w14:paraId="5ABDF001" w14:textId="77777777" w:rsidR="00036564" w:rsidRPr="00FF3490" w:rsidRDefault="00036564" w:rsidP="00036564">
      <w:pPr>
        <w:pStyle w:val="FootnoteText"/>
        <w:ind w:firstLine="720"/>
        <w:jc w:val="both"/>
        <w:rPr>
          <w:rFonts w:asciiTheme="majorHAnsi" w:hAnsiTheme="majorHAnsi"/>
          <w:lang w:val="es-ES_tradnl"/>
        </w:rPr>
      </w:pPr>
      <w:r w:rsidRPr="00FF3490">
        <w:rPr>
          <w:rFonts w:asciiTheme="majorHAnsi" w:hAnsiTheme="majorHAnsi"/>
          <w:lang w:val="es-ES_tradnl"/>
        </w:rPr>
        <w:t xml:space="preserve">(20) Prudencia Astrid Rosado Quintero, </w:t>
      </w:r>
    </w:p>
    <w:p w14:paraId="66640975" w14:textId="77777777" w:rsidR="00036564" w:rsidRPr="00FF3490" w:rsidRDefault="00036564" w:rsidP="00036564">
      <w:pPr>
        <w:pStyle w:val="FootnoteText"/>
        <w:ind w:firstLine="720"/>
        <w:jc w:val="both"/>
        <w:rPr>
          <w:rFonts w:asciiTheme="majorHAnsi" w:hAnsiTheme="majorHAnsi"/>
          <w:lang w:val="es-ES_tradnl"/>
        </w:rPr>
      </w:pPr>
      <w:r w:rsidRPr="00FF3490">
        <w:rPr>
          <w:rFonts w:asciiTheme="majorHAnsi" w:hAnsiTheme="majorHAnsi"/>
          <w:lang w:val="es-ES_tradnl"/>
        </w:rPr>
        <w:t xml:space="preserve">(21) Arnoldo Moisés Rosado Quintero, </w:t>
      </w:r>
    </w:p>
    <w:p w14:paraId="703B517B" w14:textId="77777777" w:rsidR="00036564" w:rsidRPr="00FF3490" w:rsidRDefault="00036564" w:rsidP="00036564">
      <w:pPr>
        <w:pStyle w:val="FootnoteText"/>
        <w:ind w:firstLine="720"/>
        <w:jc w:val="both"/>
        <w:rPr>
          <w:rFonts w:asciiTheme="majorHAnsi" w:hAnsiTheme="majorHAnsi"/>
          <w:lang w:val="es-ES_tradnl"/>
        </w:rPr>
      </w:pPr>
      <w:r w:rsidRPr="00FF3490">
        <w:rPr>
          <w:rFonts w:asciiTheme="majorHAnsi" w:hAnsiTheme="majorHAnsi"/>
          <w:lang w:val="es-ES_tradnl"/>
        </w:rPr>
        <w:t xml:space="preserve">(22) Aroldo Moisés Rosado Quintero, </w:t>
      </w:r>
    </w:p>
    <w:p w14:paraId="75060AF9" w14:textId="77777777" w:rsidR="00036564" w:rsidRPr="00FF3490" w:rsidRDefault="00036564" w:rsidP="00036564">
      <w:pPr>
        <w:pStyle w:val="FootnoteText"/>
        <w:ind w:firstLine="720"/>
        <w:jc w:val="both"/>
        <w:rPr>
          <w:rFonts w:asciiTheme="majorHAnsi" w:hAnsiTheme="majorHAnsi"/>
          <w:lang w:val="es-ES_tradnl"/>
        </w:rPr>
      </w:pPr>
      <w:r w:rsidRPr="00FF3490">
        <w:rPr>
          <w:rFonts w:asciiTheme="majorHAnsi" w:hAnsiTheme="majorHAnsi"/>
          <w:lang w:val="es-ES_tradnl"/>
        </w:rPr>
        <w:t xml:space="preserve">(23) Yolanda Mercedes Rosado Quintero, </w:t>
      </w:r>
    </w:p>
    <w:p w14:paraId="3EC3CDDE" w14:textId="77777777" w:rsidR="00036564" w:rsidRPr="00FF3490" w:rsidRDefault="00036564" w:rsidP="00036564">
      <w:pPr>
        <w:pStyle w:val="FootnoteText"/>
        <w:ind w:firstLine="720"/>
        <w:jc w:val="both"/>
        <w:rPr>
          <w:rFonts w:asciiTheme="majorHAnsi" w:hAnsiTheme="majorHAnsi"/>
          <w:lang w:val="es-ES_tradnl"/>
        </w:rPr>
      </w:pPr>
      <w:r w:rsidRPr="00FF3490">
        <w:rPr>
          <w:rFonts w:asciiTheme="majorHAnsi" w:hAnsiTheme="majorHAnsi"/>
          <w:lang w:val="es-ES_tradnl"/>
        </w:rPr>
        <w:t xml:space="preserve">(24) Gustavo Enrique Rosado Botello, </w:t>
      </w:r>
    </w:p>
    <w:p w14:paraId="1B5294A1" w14:textId="77777777" w:rsidR="00036564" w:rsidRPr="00FF3490" w:rsidRDefault="00036564" w:rsidP="00036564">
      <w:pPr>
        <w:pStyle w:val="FootnoteText"/>
        <w:ind w:firstLine="720"/>
        <w:jc w:val="both"/>
        <w:rPr>
          <w:rFonts w:asciiTheme="majorHAnsi" w:hAnsiTheme="majorHAnsi"/>
          <w:lang w:val="es-ES_tradnl"/>
        </w:rPr>
      </w:pPr>
      <w:r w:rsidRPr="00FF3490">
        <w:rPr>
          <w:rFonts w:asciiTheme="majorHAnsi" w:hAnsiTheme="majorHAnsi"/>
          <w:lang w:val="es-ES_tradnl"/>
        </w:rPr>
        <w:t xml:space="preserve">(25) Elexo Manuel Rosado Quintero, </w:t>
      </w:r>
    </w:p>
    <w:p w14:paraId="485A553E" w14:textId="77777777" w:rsidR="00036564" w:rsidRPr="00FF3490" w:rsidRDefault="00036564" w:rsidP="00036564">
      <w:pPr>
        <w:pStyle w:val="FootnoteText"/>
        <w:ind w:firstLine="720"/>
        <w:jc w:val="both"/>
        <w:rPr>
          <w:rFonts w:asciiTheme="majorHAnsi" w:hAnsiTheme="majorHAnsi"/>
          <w:lang w:val="es-ES_tradnl"/>
        </w:rPr>
      </w:pPr>
      <w:r w:rsidRPr="00FF3490">
        <w:rPr>
          <w:rFonts w:asciiTheme="majorHAnsi" w:hAnsiTheme="majorHAnsi"/>
          <w:lang w:val="es-ES_tradnl"/>
        </w:rPr>
        <w:t xml:space="preserve">(26) Vielka Yelitza Rosado Oviedo, </w:t>
      </w:r>
    </w:p>
    <w:p w14:paraId="28A3F602" w14:textId="77777777" w:rsidR="00036564" w:rsidRPr="00FF3490" w:rsidRDefault="00036564" w:rsidP="00036564">
      <w:pPr>
        <w:pStyle w:val="FootnoteText"/>
        <w:ind w:firstLine="720"/>
        <w:jc w:val="both"/>
        <w:rPr>
          <w:rFonts w:asciiTheme="majorHAnsi" w:hAnsiTheme="majorHAnsi"/>
          <w:lang w:val="pt-BR"/>
        </w:rPr>
      </w:pPr>
      <w:r w:rsidRPr="00FF3490">
        <w:rPr>
          <w:rFonts w:asciiTheme="majorHAnsi" w:hAnsiTheme="majorHAnsi"/>
          <w:lang w:val="pt-BR"/>
        </w:rPr>
        <w:t xml:space="preserve">(27) Adalberto David López, </w:t>
      </w:r>
    </w:p>
    <w:p w14:paraId="5E32EB06" w14:textId="77777777" w:rsidR="00036564" w:rsidRPr="00FF3490" w:rsidRDefault="00036564" w:rsidP="00036564">
      <w:pPr>
        <w:pStyle w:val="FootnoteText"/>
        <w:ind w:firstLine="720"/>
        <w:jc w:val="both"/>
        <w:rPr>
          <w:rFonts w:asciiTheme="majorHAnsi" w:hAnsiTheme="majorHAnsi"/>
          <w:lang w:val="pt-BR"/>
        </w:rPr>
      </w:pPr>
      <w:r w:rsidRPr="00FF3490">
        <w:rPr>
          <w:rFonts w:asciiTheme="majorHAnsi" w:hAnsiTheme="majorHAnsi"/>
          <w:lang w:val="pt-BR"/>
        </w:rPr>
        <w:t xml:space="preserve">(28) Tomás Guillermo David López, </w:t>
      </w:r>
    </w:p>
    <w:p w14:paraId="5E89B785" w14:textId="77777777" w:rsidR="00036564" w:rsidRPr="00FF3490" w:rsidRDefault="00036564" w:rsidP="00036564">
      <w:pPr>
        <w:pStyle w:val="FootnoteText"/>
        <w:ind w:firstLine="720"/>
        <w:jc w:val="both"/>
        <w:rPr>
          <w:rFonts w:asciiTheme="majorHAnsi" w:hAnsiTheme="majorHAnsi"/>
          <w:lang w:val="pt-BR"/>
        </w:rPr>
      </w:pPr>
      <w:r w:rsidRPr="00FF3490">
        <w:rPr>
          <w:rFonts w:asciiTheme="majorHAnsi" w:hAnsiTheme="majorHAnsi"/>
          <w:lang w:val="pt-BR"/>
        </w:rPr>
        <w:t xml:space="preserve">(29) Gerdis Paola David López, </w:t>
      </w:r>
    </w:p>
    <w:p w14:paraId="4279EC1E" w14:textId="77777777" w:rsidR="00036564" w:rsidRPr="00FF3490" w:rsidRDefault="00036564" w:rsidP="00036564">
      <w:pPr>
        <w:pStyle w:val="FootnoteText"/>
        <w:ind w:firstLine="720"/>
        <w:jc w:val="both"/>
        <w:rPr>
          <w:rFonts w:asciiTheme="majorHAnsi" w:hAnsiTheme="majorHAnsi"/>
          <w:lang w:val="pt-BR"/>
        </w:rPr>
      </w:pPr>
      <w:r w:rsidRPr="00FF3490">
        <w:rPr>
          <w:rFonts w:asciiTheme="majorHAnsi" w:hAnsiTheme="majorHAnsi"/>
          <w:lang w:val="pt-BR"/>
        </w:rPr>
        <w:t xml:space="preserve">(30) Leopoldo Bautista David López, </w:t>
      </w:r>
    </w:p>
    <w:p w14:paraId="4CE3E3AD" w14:textId="77777777" w:rsidR="00036564" w:rsidRPr="00FF3490" w:rsidRDefault="00036564" w:rsidP="00036564">
      <w:pPr>
        <w:pStyle w:val="FootnoteText"/>
        <w:ind w:firstLine="720"/>
        <w:jc w:val="both"/>
        <w:rPr>
          <w:rFonts w:asciiTheme="majorHAnsi" w:hAnsiTheme="majorHAnsi"/>
          <w:lang w:val="pt-BR"/>
        </w:rPr>
      </w:pPr>
      <w:r w:rsidRPr="00FF3490">
        <w:rPr>
          <w:rFonts w:asciiTheme="majorHAnsi" w:hAnsiTheme="majorHAnsi"/>
          <w:lang w:val="pt-BR"/>
        </w:rPr>
        <w:t xml:space="preserve">(31) Juana María David López, </w:t>
      </w:r>
    </w:p>
    <w:p w14:paraId="34D79298" w14:textId="77777777" w:rsidR="00036564" w:rsidRPr="00FF3490" w:rsidRDefault="00036564" w:rsidP="00036564">
      <w:pPr>
        <w:pStyle w:val="FootnoteText"/>
        <w:ind w:firstLine="720"/>
        <w:jc w:val="both"/>
        <w:rPr>
          <w:rFonts w:asciiTheme="majorHAnsi" w:hAnsiTheme="majorHAnsi"/>
          <w:lang w:val="pt-BR"/>
        </w:rPr>
      </w:pPr>
      <w:r w:rsidRPr="00FF3490">
        <w:rPr>
          <w:rFonts w:asciiTheme="majorHAnsi" w:hAnsiTheme="majorHAnsi"/>
          <w:lang w:val="pt-BR"/>
        </w:rPr>
        <w:t xml:space="preserve">(32) Eduardo David López, </w:t>
      </w:r>
    </w:p>
    <w:p w14:paraId="4F155C9C" w14:textId="77777777" w:rsidR="00036564" w:rsidRPr="00FF3490" w:rsidRDefault="00036564" w:rsidP="00036564">
      <w:pPr>
        <w:pStyle w:val="FootnoteText"/>
        <w:ind w:firstLine="720"/>
        <w:jc w:val="both"/>
        <w:rPr>
          <w:rFonts w:asciiTheme="majorHAnsi" w:hAnsiTheme="majorHAnsi"/>
          <w:lang w:val="pt-BR"/>
        </w:rPr>
      </w:pPr>
      <w:r w:rsidRPr="00FF3490">
        <w:rPr>
          <w:rFonts w:asciiTheme="majorHAnsi" w:hAnsiTheme="majorHAnsi"/>
          <w:lang w:val="pt-BR"/>
        </w:rPr>
        <w:t xml:space="preserve">(33) José Alfonso David López, </w:t>
      </w:r>
    </w:p>
    <w:p w14:paraId="58408524" w14:textId="77777777" w:rsidR="00036564" w:rsidRPr="00FF3490" w:rsidRDefault="00036564" w:rsidP="00036564">
      <w:pPr>
        <w:pStyle w:val="FootnoteText"/>
        <w:ind w:firstLine="720"/>
        <w:jc w:val="both"/>
        <w:rPr>
          <w:rFonts w:asciiTheme="majorHAnsi" w:hAnsiTheme="majorHAnsi"/>
          <w:lang w:val="pt-BR"/>
        </w:rPr>
      </w:pPr>
      <w:r w:rsidRPr="00FF3490">
        <w:rPr>
          <w:rFonts w:asciiTheme="majorHAnsi" w:hAnsiTheme="majorHAnsi"/>
          <w:lang w:val="pt-BR"/>
        </w:rPr>
        <w:t xml:space="preserve">(34) María Victoria David López, </w:t>
      </w:r>
    </w:p>
    <w:p w14:paraId="4F14798A" w14:textId="77777777" w:rsidR="00036564" w:rsidRPr="00FF3490" w:rsidRDefault="00036564" w:rsidP="00036564">
      <w:pPr>
        <w:pStyle w:val="FootnoteText"/>
        <w:ind w:firstLine="720"/>
        <w:jc w:val="both"/>
        <w:rPr>
          <w:rFonts w:asciiTheme="majorHAnsi" w:hAnsiTheme="majorHAnsi"/>
          <w:lang w:val="pt-BR"/>
        </w:rPr>
      </w:pPr>
      <w:r w:rsidRPr="00FF3490">
        <w:rPr>
          <w:rFonts w:asciiTheme="majorHAnsi" w:hAnsiTheme="majorHAnsi"/>
          <w:lang w:val="pt-BR"/>
        </w:rPr>
        <w:t xml:space="preserve">(34) José Eduardo Montero Chinchia, </w:t>
      </w:r>
    </w:p>
    <w:p w14:paraId="6CD7C25C" w14:textId="77777777" w:rsidR="00036564" w:rsidRPr="00FF3490" w:rsidRDefault="00036564" w:rsidP="00036564">
      <w:pPr>
        <w:pStyle w:val="FootnoteText"/>
        <w:ind w:firstLine="720"/>
        <w:jc w:val="both"/>
        <w:rPr>
          <w:rFonts w:asciiTheme="majorHAnsi" w:hAnsiTheme="majorHAnsi"/>
          <w:lang w:val="pt-BR"/>
        </w:rPr>
      </w:pPr>
      <w:r w:rsidRPr="00FF3490">
        <w:rPr>
          <w:rFonts w:asciiTheme="majorHAnsi" w:hAnsiTheme="majorHAnsi"/>
          <w:lang w:val="pt-BR"/>
        </w:rPr>
        <w:t xml:space="preserve">(35) Alis Yuleidis Montero Chinchia, </w:t>
      </w:r>
    </w:p>
    <w:p w14:paraId="66D0B6EA" w14:textId="77777777" w:rsidR="00036564" w:rsidRPr="00FF3490" w:rsidRDefault="00036564" w:rsidP="00036564">
      <w:pPr>
        <w:pStyle w:val="FootnoteText"/>
        <w:ind w:firstLine="720"/>
        <w:jc w:val="both"/>
        <w:rPr>
          <w:rFonts w:asciiTheme="majorHAnsi" w:hAnsiTheme="majorHAnsi"/>
          <w:lang w:val="pt-BR"/>
        </w:rPr>
      </w:pPr>
      <w:r w:rsidRPr="00FF3490">
        <w:rPr>
          <w:rFonts w:asciiTheme="majorHAnsi" w:hAnsiTheme="majorHAnsi"/>
          <w:lang w:val="pt-BR"/>
        </w:rPr>
        <w:t xml:space="preserve">(36) Ricardo Alberto Montero Chinchia, </w:t>
      </w:r>
    </w:p>
    <w:p w14:paraId="34294C03" w14:textId="77777777" w:rsidR="00036564" w:rsidRPr="00FF3490" w:rsidRDefault="00036564" w:rsidP="00036564">
      <w:pPr>
        <w:pStyle w:val="FootnoteText"/>
        <w:ind w:firstLine="720"/>
        <w:jc w:val="both"/>
        <w:rPr>
          <w:rFonts w:asciiTheme="majorHAnsi" w:hAnsiTheme="majorHAnsi"/>
          <w:lang w:val="pt-BR"/>
        </w:rPr>
      </w:pPr>
      <w:r w:rsidRPr="00FF3490">
        <w:rPr>
          <w:rFonts w:asciiTheme="majorHAnsi" w:hAnsiTheme="majorHAnsi"/>
          <w:lang w:val="pt-BR"/>
        </w:rPr>
        <w:t xml:space="preserve">(37) Sandra Vanesa Garcerant González, </w:t>
      </w:r>
    </w:p>
    <w:p w14:paraId="0BB39CB5" w14:textId="77777777" w:rsidR="00036564" w:rsidRPr="00FF3490" w:rsidRDefault="00036564" w:rsidP="00036564">
      <w:pPr>
        <w:pStyle w:val="FootnoteText"/>
        <w:ind w:firstLine="720"/>
        <w:jc w:val="both"/>
        <w:rPr>
          <w:rFonts w:asciiTheme="majorHAnsi" w:hAnsiTheme="majorHAnsi"/>
          <w:lang w:val="pt-BR"/>
        </w:rPr>
      </w:pPr>
      <w:r w:rsidRPr="00FF3490">
        <w:rPr>
          <w:rFonts w:asciiTheme="majorHAnsi" w:hAnsiTheme="majorHAnsi"/>
          <w:lang w:val="pt-BR"/>
        </w:rPr>
        <w:t xml:space="preserve">(38) Javier Eduardo Garcerant Mejía, </w:t>
      </w:r>
    </w:p>
    <w:p w14:paraId="125B31BA" w14:textId="77777777" w:rsidR="00036564" w:rsidRPr="00FF3490" w:rsidRDefault="00036564" w:rsidP="00036564">
      <w:pPr>
        <w:pStyle w:val="FootnoteText"/>
        <w:ind w:firstLine="720"/>
        <w:jc w:val="both"/>
        <w:rPr>
          <w:rFonts w:asciiTheme="majorHAnsi" w:hAnsiTheme="majorHAnsi"/>
          <w:lang w:val="pt-BR"/>
        </w:rPr>
      </w:pPr>
      <w:r w:rsidRPr="00FF3490">
        <w:rPr>
          <w:rFonts w:asciiTheme="majorHAnsi" w:hAnsiTheme="majorHAnsi"/>
          <w:lang w:val="pt-BR"/>
        </w:rPr>
        <w:t xml:space="preserve">(39) Luis Alberto Olmedo Campo, </w:t>
      </w:r>
    </w:p>
    <w:p w14:paraId="4AD1B91E" w14:textId="77777777" w:rsidR="00036564" w:rsidRPr="00FF3490" w:rsidRDefault="00036564" w:rsidP="00036564">
      <w:pPr>
        <w:pStyle w:val="FootnoteText"/>
        <w:ind w:firstLine="720"/>
        <w:jc w:val="both"/>
        <w:rPr>
          <w:rFonts w:asciiTheme="majorHAnsi" w:hAnsiTheme="majorHAnsi"/>
          <w:lang w:val="pt-BR"/>
        </w:rPr>
      </w:pPr>
      <w:r w:rsidRPr="00FF3490">
        <w:rPr>
          <w:rFonts w:asciiTheme="majorHAnsi" w:hAnsiTheme="majorHAnsi"/>
          <w:lang w:val="pt-BR"/>
        </w:rPr>
        <w:t xml:space="preserve">(40) José Alfonso Olmedo Campo, </w:t>
      </w:r>
    </w:p>
    <w:p w14:paraId="1E3B638B" w14:textId="77777777" w:rsidR="00036564" w:rsidRPr="00FF3490" w:rsidRDefault="00036564" w:rsidP="00036564">
      <w:pPr>
        <w:pStyle w:val="FootnoteText"/>
        <w:ind w:firstLine="720"/>
        <w:jc w:val="both"/>
        <w:rPr>
          <w:rFonts w:asciiTheme="majorHAnsi" w:hAnsiTheme="majorHAnsi"/>
          <w:lang w:val="pt-BR"/>
        </w:rPr>
      </w:pPr>
      <w:r w:rsidRPr="00FF3490">
        <w:rPr>
          <w:rFonts w:asciiTheme="majorHAnsi" w:hAnsiTheme="majorHAnsi"/>
          <w:lang w:val="pt-BR"/>
        </w:rPr>
        <w:t xml:space="preserve">(41) Libia Esther Olmedo Campo, </w:t>
      </w:r>
    </w:p>
    <w:p w14:paraId="62F69E8F" w14:textId="77777777" w:rsidR="00036564" w:rsidRPr="00FF3490" w:rsidRDefault="00036564" w:rsidP="00036564">
      <w:pPr>
        <w:pStyle w:val="FootnoteText"/>
        <w:ind w:firstLine="720"/>
        <w:jc w:val="both"/>
        <w:rPr>
          <w:rFonts w:asciiTheme="majorHAnsi" w:hAnsiTheme="majorHAnsi"/>
          <w:lang w:val="pt-BR"/>
        </w:rPr>
      </w:pPr>
      <w:r w:rsidRPr="00FF3490">
        <w:rPr>
          <w:rFonts w:asciiTheme="majorHAnsi" w:hAnsiTheme="majorHAnsi"/>
          <w:lang w:val="pt-BR"/>
        </w:rPr>
        <w:t xml:space="preserve">(42) Boris de Jesús Olmedo Campo, </w:t>
      </w:r>
    </w:p>
    <w:p w14:paraId="035C49FF" w14:textId="77777777" w:rsidR="00036564" w:rsidRPr="00FF3490" w:rsidRDefault="00036564" w:rsidP="00036564">
      <w:pPr>
        <w:pStyle w:val="FootnoteText"/>
        <w:ind w:firstLine="720"/>
        <w:jc w:val="both"/>
        <w:rPr>
          <w:rFonts w:asciiTheme="majorHAnsi" w:hAnsiTheme="majorHAnsi"/>
          <w:lang w:val="pt-BR"/>
        </w:rPr>
      </w:pPr>
      <w:r w:rsidRPr="00FF3490">
        <w:rPr>
          <w:rFonts w:asciiTheme="majorHAnsi" w:hAnsiTheme="majorHAnsi"/>
          <w:lang w:val="pt-BR"/>
        </w:rPr>
        <w:t xml:space="preserve">(43) Jorge Elías Olmedo Campo, </w:t>
      </w:r>
    </w:p>
    <w:p w14:paraId="470E2410" w14:textId="77777777" w:rsidR="00036564" w:rsidRPr="00FF3490" w:rsidRDefault="00036564" w:rsidP="00036564">
      <w:pPr>
        <w:pStyle w:val="FootnoteText"/>
        <w:ind w:firstLine="720"/>
        <w:jc w:val="both"/>
        <w:rPr>
          <w:rFonts w:asciiTheme="majorHAnsi" w:hAnsiTheme="majorHAnsi"/>
          <w:lang w:val="pt-BR"/>
        </w:rPr>
      </w:pPr>
      <w:r w:rsidRPr="00FF3490">
        <w:rPr>
          <w:rFonts w:asciiTheme="majorHAnsi" w:hAnsiTheme="majorHAnsi"/>
          <w:lang w:val="pt-BR"/>
        </w:rPr>
        <w:t xml:space="preserve">(44) Miriam Cecilia Olmedo Campo, </w:t>
      </w:r>
    </w:p>
    <w:p w14:paraId="47E3746B" w14:textId="77777777" w:rsidR="00036564" w:rsidRPr="00FF3490" w:rsidRDefault="00036564" w:rsidP="00036564">
      <w:pPr>
        <w:pStyle w:val="FootnoteText"/>
        <w:ind w:firstLine="720"/>
        <w:jc w:val="both"/>
        <w:rPr>
          <w:rFonts w:asciiTheme="majorHAnsi" w:hAnsiTheme="majorHAnsi"/>
          <w:lang w:val="pt-BR"/>
        </w:rPr>
      </w:pPr>
      <w:r w:rsidRPr="00FF3490">
        <w:rPr>
          <w:rFonts w:asciiTheme="majorHAnsi" w:hAnsiTheme="majorHAnsi"/>
          <w:lang w:val="pt-BR"/>
        </w:rPr>
        <w:t xml:space="preserve">(45) Hernán Gregorio Olmedo Campo, </w:t>
      </w:r>
    </w:p>
    <w:p w14:paraId="2B4944D0" w14:textId="77777777" w:rsidR="00036564" w:rsidRPr="00FF3490" w:rsidRDefault="00036564" w:rsidP="00036564">
      <w:pPr>
        <w:pStyle w:val="FootnoteText"/>
        <w:ind w:firstLine="720"/>
        <w:jc w:val="both"/>
        <w:rPr>
          <w:rFonts w:asciiTheme="majorHAnsi" w:hAnsiTheme="majorHAnsi"/>
          <w:lang w:val="pt-BR"/>
        </w:rPr>
      </w:pPr>
      <w:r w:rsidRPr="00FF3490">
        <w:rPr>
          <w:rFonts w:asciiTheme="majorHAnsi" w:hAnsiTheme="majorHAnsi"/>
          <w:lang w:val="pt-BR"/>
        </w:rPr>
        <w:t xml:space="preserve">(46) Ever de Jesús Olmedo Campo, </w:t>
      </w:r>
    </w:p>
    <w:p w14:paraId="504250BB" w14:textId="77777777" w:rsidR="00036564" w:rsidRPr="00FF3490" w:rsidRDefault="00036564" w:rsidP="00036564">
      <w:pPr>
        <w:pStyle w:val="FootnoteText"/>
        <w:ind w:firstLine="720"/>
        <w:jc w:val="both"/>
        <w:rPr>
          <w:rFonts w:asciiTheme="majorHAnsi" w:hAnsiTheme="majorHAnsi"/>
          <w:lang w:val="es-ES_tradnl"/>
        </w:rPr>
      </w:pPr>
      <w:r w:rsidRPr="00FF3490">
        <w:rPr>
          <w:rFonts w:asciiTheme="majorHAnsi" w:hAnsiTheme="majorHAnsi"/>
          <w:lang w:val="es-ES_tradnl"/>
        </w:rPr>
        <w:lastRenderedPageBreak/>
        <w:t xml:space="preserve">(47) Moisés Ramiro Campo, </w:t>
      </w:r>
    </w:p>
    <w:p w14:paraId="33EAC8D8" w14:textId="77777777" w:rsidR="00036564" w:rsidRPr="00FF3490" w:rsidRDefault="00036564" w:rsidP="00036564">
      <w:pPr>
        <w:pStyle w:val="FootnoteText"/>
        <w:ind w:firstLine="720"/>
        <w:jc w:val="both"/>
        <w:rPr>
          <w:rFonts w:asciiTheme="majorHAnsi" w:hAnsiTheme="majorHAnsi"/>
          <w:lang w:val="es-ES_tradnl"/>
        </w:rPr>
      </w:pPr>
      <w:r w:rsidRPr="00FF3490">
        <w:rPr>
          <w:rFonts w:asciiTheme="majorHAnsi" w:hAnsiTheme="majorHAnsi"/>
          <w:lang w:val="es-ES_tradnl"/>
        </w:rPr>
        <w:t xml:space="preserve">(48) Elina Asunción Peñaloza de Campo, </w:t>
      </w:r>
    </w:p>
    <w:p w14:paraId="7F3466A1" w14:textId="77777777" w:rsidR="00036564" w:rsidRPr="00FF3490" w:rsidRDefault="00036564" w:rsidP="00036564">
      <w:pPr>
        <w:pStyle w:val="FootnoteText"/>
        <w:ind w:firstLine="720"/>
        <w:jc w:val="both"/>
        <w:rPr>
          <w:rFonts w:asciiTheme="majorHAnsi" w:hAnsiTheme="majorHAnsi"/>
          <w:lang w:val="es-ES_tradnl"/>
        </w:rPr>
      </w:pPr>
      <w:r w:rsidRPr="00FF3490">
        <w:rPr>
          <w:rFonts w:asciiTheme="majorHAnsi" w:hAnsiTheme="majorHAnsi"/>
          <w:lang w:val="es-ES_tradnl"/>
        </w:rPr>
        <w:t xml:space="preserve">(49) Idalmis María Díaz Martínez, </w:t>
      </w:r>
    </w:p>
    <w:p w14:paraId="248E05C6" w14:textId="77777777" w:rsidR="00036564" w:rsidRPr="00FF3490" w:rsidRDefault="00036564" w:rsidP="00036564">
      <w:pPr>
        <w:pStyle w:val="FootnoteText"/>
        <w:ind w:firstLine="720"/>
        <w:jc w:val="both"/>
        <w:rPr>
          <w:rFonts w:asciiTheme="majorHAnsi" w:hAnsiTheme="majorHAnsi"/>
          <w:lang w:val="es-ES_tradnl"/>
        </w:rPr>
      </w:pPr>
      <w:r w:rsidRPr="00FF3490">
        <w:rPr>
          <w:rFonts w:asciiTheme="majorHAnsi" w:hAnsiTheme="majorHAnsi"/>
          <w:lang w:val="es-ES_tradnl"/>
        </w:rPr>
        <w:t xml:space="preserve">(50) Julio César Dangond Flórez, </w:t>
      </w:r>
    </w:p>
    <w:p w14:paraId="0D7FE3EE" w14:textId="77777777" w:rsidR="00036564" w:rsidRPr="00FF3490" w:rsidRDefault="00036564" w:rsidP="00036564">
      <w:pPr>
        <w:pStyle w:val="FootnoteText"/>
        <w:ind w:firstLine="720"/>
        <w:jc w:val="both"/>
        <w:rPr>
          <w:rFonts w:asciiTheme="majorHAnsi" w:hAnsiTheme="majorHAnsi"/>
          <w:lang w:val="es-ES_tradnl"/>
        </w:rPr>
      </w:pPr>
      <w:r w:rsidRPr="00FF3490">
        <w:rPr>
          <w:rFonts w:asciiTheme="majorHAnsi" w:hAnsiTheme="majorHAnsi"/>
          <w:lang w:val="es-ES_tradnl"/>
        </w:rPr>
        <w:t xml:space="preserve">(51) Josefina Dolores Quintero de Dangond, </w:t>
      </w:r>
    </w:p>
    <w:p w14:paraId="093D9C20" w14:textId="77777777" w:rsidR="00036564" w:rsidRPr="00FF3490" w:rsidRDefault="00036564" w:rsidP="00036564">
      <w:pPr>
        <w:pStyle w:val="FootnoteText"/>
        <w:ind w:firstLine="720"/>
        <w:jc w:val="both"/>
        <w:rPr>
          <w:rFonts w:asciiTheme="majorHAnsi" w:hAnsiTheme="majorHAnsi"/>
          <w:lang w:val="es-ES_tradnl"/>
        </w:rPr>
      </w:pPr>
      <w:r w:rsidRPr="00FF3490">
        <w:rPr>
          <w:rFonts w:asciiTheme="majorHAnsi" w:hAnsiTheme="majorHAnsi"/>
          <w:lang w:val="es-ES_tradnl"/>
        </w:rPr>
        <w:t xml:space="preserve">(52) Elis Alberto Montero Churio, </w:t>
      </w:r>
    </w:p>
    <w:p w14:paraId="28E2EC5D" w14:textId="64AE030A" w:rsidR="00036564" w:rsidRPr="00FF3490" w:rsidRDefault="00036564" w:rsidP="00036564">
      <w:pPr>
        <w:pStyle w:val="FootnoteText"/>
        <w:ind w:firstLine="720"/>
        <w:jc w:val="both"/>
        <w:rPr>
          <w:rFonts w:asciiTheme="majorHAnsi" w:hAnsiTheme="majorHAnsi"/>
          <w:lang w:val="es-ES_tradnl"/>
        </w:rPr>
      </w:pPr>
      <w:r w:rsidRPr="00FF3490">
        <w:rPr>
          <w:rFonts w:asciiTheme="majorHAnsi" w:hAnsiTheme="majorHAnsi"/>
          <w:lang w:val="es-ES_tradnl"/>
        </w:rPr>
        <w:t>(</w:t>
      </w:r>
      <w:r w:rsidR="007D2C56" w:rsidRPr="00FF3490">
        <w:rPr>
          <w:rFonts w:asciiTheme="majorHAnsi" w:hAnsiTheme="majorHAnsi"/>
          <w:lang w:val="es-ES_tradnl"/>
        </w:rPr>
        <w:t>53) Edilsa</w:t>
      </w:r>
      <w:r w:rsidRPr="00FF3490">
        <w:rPr>
          <w:rFonts w:asciiTheme="majorHAnsi" w:hAnsiTheme="majorHAnsi"/>
          <w:lang w:val="es-ES_tradnl"/>
        </w:rPr>
        <w:t xml:space="preserve"> Magola Chinchia López, </w:t>
      </w:r>
    </w:p>
    <w:p w14:paraId="2109803C" w14:textId="77777777" w:rsidR="00036564" w:rsidRPr="00FF3490" w:rsidRDefault="00036564" w:rsidP="00036564">
      <w:pPr>
        <w:pStyle w:val="FootnoteText"/>
        <w:ind w:firstLine="720"/>
        <w:jc w:val="both"/>
        <w:rPr>
          <w:rFonts w:asciiTheme="majorHAnsi" w:hAnsiTheme="majorHAnsi"/>
          <w:lang w:val="es-ES_tradnl"/>
        </w:rPr>
      </w:pPr>
      <w:r w:rsidRPr="00FF3490">
        <w:rPr>
          <w:rFonts w:asciiTheme="majorHAnsi" w:hAnsiTheme="majorHAnsi"/>
          <w:lang w:val="es-ES_tradnl"/>
        </w:rPr>
        <w:t xml:space="preserve">(54) Elina Asunción Peñaloza, </w:t>
      </w:r>
    </w:p>
    <w:p w14:paraId="20A1002B" w14:textId="77777777" w:rsidR="00036564" w:rsidRPr="00FF3490" w:rsidRDefault="00036564" w:rsidP="00036564">
      <w:pPr>
        <w:pStyle w:val="FootnoteText"/>
        <w:ind w:firstLine="720"/>
        <w:jc w:val="both"/>
        <w:rPr>
          <w:rFonts w:asciiTheme="majorHAnsi" w:hAnsiTheme="majorHAnsi"/>
          <w:lang w:val="es-ES_tradnl"/>
        </w:rPr>
      </w:pPr>
      <w:r w:rsidRPr="00FF3490">
        <w:rPr>
          <w:rFonts w:asciiTheme="majorHAnsi" w:hAnsiTheme="majorHAnsi"/>
          <w:lang w:val="es-ES_tradnl"/>
        </w:rPr>
        <w:t xml:space="preserve">(55) Ruth Leonor Roja Barreto, </w:t>
      </w:r>
    </w:p>
    <w:p w14:paraId="486F8DC4" w14:textId="77777777" w:rsidR="00036564" w:rsidRPr="00FF3490" w:rsidRDefault="00036564" w:rsidP="00036564">
      <w:pPr>
        <w:pStyle w:val="FootnoteText"/>
        <w:ind w:firstLine="720"/>
        <w:jc w:val="both"/>
        <w:rPr>
          <w:rFonts w:asciiTheme="majorHAnsi" w:hAnsiTheme="majorHAnsi"/>
          <w:lang w:val="es-ES_tradnl"/>
        </w:rPr>
      </w:pPr>
      <w:r w:rsidRPr="00FF3490">
        <w:rPr>
          <w:rFonts w:asciiTheme="majorHAnsi" w:hAnsiTheme="majorHAnsi"/>
          <w:lang w:val="es-ES_tradnl"/>
        </w:rPr>
        <w:t xml:space="preserve">(56) </w:t>
      </w:r>
      <w:proofErr w:type="spellStart"/>
      <w:r w:rsidRPr="00FF3490">
        <w:rPr>
          <w:rFonts w:asciiTheme="majorHAnsi" w:hAnsiTheme="majorHAnsi"/>
          <w:lang w:val="es-ES_tradnl"/>
        </w:rPr>
        <w:t>Fabricia</w:t>
      </w:r>
      <w:proofErr w:type="spellEnd"/>
      <w:r w:rsidRPr="00FF3490">
        <w:rPr>
          <w:rFonts w:asciiTheme="majorHAnsi" w:hAnsiTheme="majorHAnsi"/>
          <w:lang w:val="es-ES_tradnl"/>
        </w:rPr>
        <w:t xml:space="preserve"> Elena Rosado Quintero, </w:t>
      </w:r>
    </w:p>
    <w:p w14:paraId="2A6A6E9A" w14:textId="77777777" w:rsidR="00036564" w:rsidRPr="00FF3490" w:rsidRDefault="00036564" w:rsidP="00036564">
      <w:pPr>
        <w:pStyle w:val="FootnoteText"/>
        <w:ind w:firstLine="720"/>
        <w:jc w:val="both"/>
        <w:rPr>
          <w:rFonts w:asciiTheme="majorHAnsi" w:hAnsiTheme="majorHAnsi"/>
          <w:lang w:val="es-ES_tradnl"/>
        </w:rPr>
      </w:pPr>
      <w:r w:rsidRPr="00FF3490">
        <w:rPr>
          <w:rFonts w:asciiTheme="majorHAnsi" w:hAnsiTheme="majorHAnsi"/>
          <w:lang w:val="es-ES_tradnl"/>
        </w:rPr>
        <w:t xml:space="preserve">(57) Yolanda Mercedes Quintero Zapata, </w:t>
      </w:r>
    </w:p>
    <w:p w14:paraId="3DA57948" w14:textId="77777777" w:rsidR="00036564" w:rsidRPr="00FF3490" w:rsidRDefault="00036564" w:rsidP="00036564">
      <w:pPr>
        <w:pStyle w:val="FootnoteText"/>
        <w:ind w:firstLine="720"/>
        <w:jc w:val="both"/>
        <w:rPr>
          <w:rFonts w:asciiTheme="majorHAnsi" w:hAnsiTheme="majorHAnsi"/>
          <w:lang w:val="es-ES_tradnl"/>
        </w:rPr>
      </w:pPr>
      <w:r w:rsidRPr="00FF3490">
        <w:rPr>
          <w:rFonts w:asciiTheme="majorHAnsi" w:hAnsiTheme="majorHAnsi"/>
          <w:lang w:val="es-ES_tradnl"/>
        </w:rPr>
        <w:t xml:space="preserve">(58) Tirso José Rosado Amaya, </w:t>
      </w:r>
    </w:p>
    <w:p w14:paraId="4AEC1AF3" w14:textId="77777777" w:rsidR="00036564" w:rsidRPr="00FF3490" w:rsidRDefault="00036564" w:rsidP="00036564">
      <w:pPr>
        <w:pStyle w:val="FootnoteText"/>
        <w:ind w:firstLine="720"/>
        <w:jc w:val="both"/>
        <w:rPr>
          <w:rFonts w:asciiTheme="majorHAnsi" w:hAnsiTheme="majorHAnsi"/>
          <w:lang w:val="es-ES_tradnl"/>
        </w:rPr>
      </w:pPr>
      <w:r w:rsidRPr="00FF3490">
        <w:rPr>
          <w:rFonts w:asciiTheme="majorHAnsi" w:hAnsiTheme="majorHAnsi"/>
          <w:lang w:val="es-ES_tradnl"/>
        </w:rPr>
        <w:t xml:space="preserve">(59) Paula López, </w:t>
      </w:r>
    </w:p>
    <w:p w14:paraId="554DE6CF" w14:textId="77777777" w:rsidR="00036564" w:rsidRPr="00FF3490" w:rsidRDefault="00036564" w:rsidP="00036564">
      <w:pPr>
        <w:pStyle w:val="FootnoteText"/>
        <w:ind w:firstLine="720"/>
        <w:jc w:val="both"/>
        <w:rPr>
          <w:rFonts w:asciiTheme="majorHAnsi" w:hAnsiTheme="majorHAnsi"/>
          <w:lang w:val="es-ES_tradnl"/>
        </w:rPr>
      </w:pPr>
      <w:r w:rsidRPr="00FF3490">
        <w:rPr>
          <w:rFonts w:asciiTheme="majorHAnsi" w:hAnsiTheme="majorHAnsi"/>
          <w:lang w:val="es-ES_tradnl"/>
        </w:rPr>
        <w:t xml:space="preserve">(60) Eduardo Enrique Garcerant Escobar, </w:t>
      </w:r>
    </w:p>
    <w:p w14:paraId="172F065B" w14:textId="77777777" w:rsidR="00036564" w:rsidRPr="00FF3490" w:rsidRDefault="00036564" w:rsidP="00036564">
      <w:pPr>
        <w:pStyle w:val="FootnoteText"/>
        <w:ind w:firstLine="720"/>
        <w:jc w:val="both"/>
        <w:rPr>
          <w:rFonts w:asciiTheme="majorHAnsi" w:hAnsiTheme="majorHAnsi"/>
          <w:lang w:val="es-ES_tradnl"/>
        </w:rPr>
      </w:pPr>
      <w:r w:rsidRPr="00FF3490">
        <w:rPr>
          <w:rFonts w:asciiTheme="majorHAnsi" w:hAnsiTheme="majorHAnsi"/>
          <w:lang w:val="es-ES_tradnl"/>
        </w:rPr>
        <w:t xml:space="preserve">(61) Sandra Marcela Garcerant González, </w:t>
      </w:r>
    </w:p>
    <w:p w14:paraId="4288452A" w14:textId="77777777" w:rsidR="00036564" w:rsidRPr="00FF3490" w:rsidRDefault="00036564" w:rsidP="00036564">
      <w:pPr>
        <w:pStyle w:val="FootnoteText"/>
        <w:ind w:firstLine="720"/>
        <w:jc w:val="both"/>
        <w:rPr>
          <w:rFonts w:asciiTheme="majorHAnsi" w:hAnsiTheme="majorHAnsi"/>
          <w:lang w:val="es-ES_tradnl"/>
        </w:rPr>
      </w:pPr>
      <w:r w:rsidRPr="00FF3490">
        <w:rPr>
          <w:rFonts w:asciiTheme="majorHAnsi" w:hAnsiTheme="majorHAnsi"/>
          <w:lang w:val="es-ES_tradnl"/>
        </w:rPr>
        <w:t xml:space="preserve">(62) Javier Enrique Garcerant Mejía, </w:t>
      </w:r>
    </w:p>
    <w:p w14:paraId="1C18FE42" w14:textId="77777777" w:rsidR="00036564" w:rsidRPr="00FF3490" w:rsidRDefault="00036564" w:rsidP="00036564">
      <w:pPr>
        <w:pStyle w:val="FootnoteText"/>
        <w:ind w:firstLine="720"/>
        <w:jc w:val="both"/>
        <w:rPr>
          <w:rFonts w:asciiTheme="majorHAnsi" w:hAnsiTheme="majorHAnsi"/>
          <w:lang w:val="es-ES_tradnl"/>
        </w:rPr>
      </w:pPr>
      <w:r w:rsidRPr="00FF3490">
        <w:rPr>
          <w:rFonts w:asciiTheme="majorHAnsi" w:hAnsiTheme="majorHAnsi"/>
          <w:lang w:val="es-ES_tradnl"/>
        </w:rPr>
        <w:t xml:space="preserve">(63) Alfonso Olmedo, y </w:t>
      </w:r>
    </w:p>
    <w:p w14:paraId="5E1EA657" w14:textId="00D23A73" w:rsidR="00036564" w:rsidRPr="00FF3490" w:rsidRDefault="00036564" w:rsidP="00036564">
      <w:pPr>
        <w:pStyle w:val="FootnoteText"/>
        <w:ind w:firstLine="720"/>
        <w:jc w:val="both"/>
        <w:rPr>
          <w:rFonts w:asciiTheme="majorHAnsi" w:hAnsiTheme="majorHAnsi"/>
          <w:lang w:val="es-ES_tradnl"/>
        </w:rPr>
      </w:pPr>
      <w:r w:rsidRPr="00FF3490">
        <w:rPr>
          <w:rFonts w:asciiTheme="majorHAnsi" w:hAnsiTheme="majorHAnsi"/>
          <w:lang w:val="es-ES_tradnl"/>
        </w:rPr>
        <w:t>(64) Rosa Felicia Campo de Olmedo.</w:t>
      </w:r>
    </w:p>
    <w:p w14:paraId="30AC53FC" w14:textId="77777777" w:rsidR="00036564" w:rsidRPr="00FF3490" w:rsidRDefault="00036564" w:rsidP="00BD0FF5">
      <w:pPr>
        <w:jc w:val="both"/>
        <w:rPr>
          <w:rFonts w:asciiTheme="majorHAnsi" w:hAnsiTheme="majorHAnsi" w:cs="Calibri"/>
          <w:sz w:val="20"/>
          <w:szCs w:val="20"/>
          <w:lang w:val="es-ES_tradnl"/>
        </w:rPr>
      </w:pPr>
    </w:p>
    <w:sectPr w:rsidR="00036564" w:rsidRPr="00FF349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70303" w14:textId="77777777" w:rsidR="000F489F" w:rsidRDefault="000F489F">
      <w:r>
        <w:separator/>
      </w:r>
    </w:p>
  </w:endnote>
  <w:endnote w:type="continuationSeparator" w:id="0">
    <w:p w14:paraId="524C37EF" w14:textId="77777777" w:rsidR="000F489F" w:rsidRDefault="000F4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CC02A33"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31FBE7F"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86B3D" w14:textId="77777777" w:rsidR="000F489F" w:rsidRPr="000F35ED" w:rsidRDefault="000F489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A802A31" w14:textId="77777777" w:rsidR="000F489F" w:rsidRPr="000F35ED" w:rsidRDefault="000F489F" w:rsidP="000F35ED">
      <w:pPr>
        <w:rPr>
          <w:rFonts w:asciiTheme="majorHAnsi" w:hAnsiTheme="majorHAnsi"/>
          <w:sz w:val="16"/>
          <w:szCs w:val="16"/>
        </w:rPr>
      </w:pPr>
      <w:r w:rsidRPr="000F35ED">
        <w:rPr>
          <w:rFonts w:asciiTheme="majorHAnsi" w:hAnsiTheme="majorHAnsi"/>
          <w:sz w:val="16"/>
          <w:szCs w:val="16"/>
        </w:rPr>
        <w:separator/>
      </w:r>
    </w:p>
    <w:p w14:paraId="01DF6F00" w14:textId="77777777" w:rsidR="000F489F" w:rsidRPr="000F35ED" w:rsidRDefault="000F489F"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0CF4C76D" w14:textId="77777777" w:rsidR="000F489F" w:rsidRPr="000F35ED" w:rsidRDefault="000F489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46B11AD" w14:textId="25148E04" w:rsidR="00271BA6" w:rsidRPr="00A60828" w:rsidRDefault="00271BA6" w:rsidP="00A60828">
      <w:pPr>
        <w:pStyle w:val="FootnoteText"/>
        <w:ind w:firstLine="720"/>
        <w:rPr>
          <w:rFonts w:asciiTheme="majorHAnsi" w:hAnsiTheme="majorHAnsi"/>
          <w:color w:val="auto"/>
          <w:sz w:val="16"/>
          <w:szCs w:val="16"/>
          <w:lang w:val="es-CO"/>
        </w:rPr>
      </w:pPr>
      <w:r w:rsidRPr="00A60828">
        <w:rPr>
          <w:rStyle w:val="FootnoteReference"/>
          <w:rFonts w:asciiTheme="majorHAnsi" w:hAnsiTheme="majorHAnsi"/>
          <w:color w:val="auto"/>
          <w:sz w:val="16"/>
          <w:szCs w:val="16"/>
        </w:rPr>
        <w:footnoteRef/>
      </w:r>
      <w:r w:rsidRPr="00A60828">
        <w:rPr>
          <w:rFonts w:asciiTheme="majorHAnsi" w:hAnsiTheme="majorHAnsi"/>
          <w:color w:val="auto"/>
          <w:sz w:val="16"/>
          <w:szCs w:val="16"/>
          <w:lang w:val="es-CO"/>
        </w:rPr>
        <w:t xml:space="preserve"> En adelante, “la Convención Americana” o “la Convención”.</w:t>
      </w:r>
    </w:p>
  </w:footnote>
  <w:footnote w:id="3">
    <w:p w14:paraId="60B3D662" w14:textId="77777777" w:rsidR="008E3BFE" w:rsidRPr="00A60828" w:rsidRDefault="008E3BFE" w:rsidP="00A60828">
      <w:pPr>
        <w:pStyle w:val="FootnoteText"/>
        <w:ind w:firstLine="720"/>
        <w:jc w:val="both"/>
        <w:rPr>
          <w:rFonts w:asciiTheme="majorHAnsi" w:hAnsiTheme="majorHAnsi"/>
          <w:color w:val="auto"/>
          <w:sz w:val="16"/>
          <w:szCs w:val="16"/>
          <w:lang w:val="es-ES"/>
        </w:rPr>
      </w:pPr>
      <w:r w:rsidRPr="00A60828">
        <w:rPr>
          <w:rStyle w:val="FootnoteReference"/>
          <w:rFonts w:asciiTheme="majorHAnsi" w:hAnsiTheme="majorHAnsi"/>
          <w:color w:val="auto"/>
          <w:sz w:val="16"/>
          <w:szCs w:val="16"/>
        </w:rPr>
        <w:footnoteRef/>
      </w:r>
      <w:r w:rsidRPr="00A60828">
        <w:rPr>
          <w:rFonts w:asciiTheme="majorHAnsi" w:hAnsiTheme="majorHAnsi"/>
          <w:color w:val="auto"/>
          <w:sz w:val="16"/>
          <w:szCs w:val="16"/>
          <w:lang w:val="es-ES"/>
        </w:rPr>
        <w:t xml:space="preserve"> Las observaciones de cada parte fueron debidamente trasladadas a la parte contraria.</w:t>
      </w:r>
    </w:p>
  </w:footnote>
  <w:footnote w:id="4">
    <w:p w14:paraId="1B696082" w14:textId="77777777" w:rsidR="00C060AA" w:rsidRPr="00A60828" w:rsidRDefault="00C060AA" w:rsidP="00A60828">
      <w:pPr>
        <w:pStyle w:val="FootnoteText"/>
        <w:ind w:firstLine="720"/>
        <w:jc w:val="both"/>
        <w:rPr>
          <w:rFonts w:asciiTheme="majorHAnsi" w:hAnsiTheme="majorHAnsi"/>
          <w:color w:val="auto"/>
          <w:sz w:val="16"/>
          <w:szCs w:val="16"/>
          <w:lang w:val="es-CO"/>
        </w:rPr>
      </w:pPr>
      <w:r w:rsidRPr="00A60828">
        <w:rPr>
          <w:rStyle w:val="FootnoteReference"/>
          <w:rFonts w:asciiTheme="majorHAnsi" w:hAnsiTheme="majorHAnsi"/>
          <w:color w:val="auto"/>
          <w:sz w:val="16"/>
          <w:szCs w:val="16"/>
        </w:rPr>
        <w:footnoteRef/>
      </w:r>
      <w:r w:rsidRPr="00A60828">
        <w:rPr>
          <w:rFonts w:asciiTheme="majorHAnsi" w:hAnsiTheme="majorHAnsi"/>
          <w:color w:val="auto"/>
          <w:sz w:val="16"/>
          <w:szCs w:val="16"/>
          <w:lang w:val="es-CO"/>
        </w:rPr>
        <w:t xml:space="preserve"> </w:t>
      </w:r>
      <w:r w:rsidRPr="00A60828">
        <w:rPr>
          <w:rFonts w:asciiTheme="majorHAnsi" w:hAnsiTheme="majorHAnsi" w:cstheme="minorHAnsi"/>
          <w:color w:val="auto"/>
          <w:sz w:val="16"/>
          <w:szCs w:val="16"/>
          <w:lang w:val="es-ES"/>
        </w:rPr>
        <w:t xml:space="preserve">CIDH, Informe No. 72/18, Petición 1131-08. Admisibilidad. Moisés de Jesús Hernández Pinto y familia. Guatemala. 20 de junio de 2018, párr. 10. </w:t>
      </w:r>
      <w:r w:rsidRPr="00A60828">
        <w:rPr>
          <w:rFonts w:asciiTheme="majorHAnsi" w:hAnsiTheme="majorHAnsi" w:cstheme="minorHAnsi"/>
          <w:color w:val="auto"/>
          <w:sz w:val="16"/>
          <w:szCs w:val="16"/>
          <w:lang w:val="es-US"/>
        </w:rPr>
        <w:t xml:space="preserve">CIDH, Informe </w:t>
      </w:r>
      <w:proofErr w:type="spellStart"/>
      <w:r w:rsidRPr="00A60828">
        <w:rPr>
          <w:rFonts w:asciiTheme="majorHAnsi" w:hAnsiTheme="majorHAnsi" w:cstheme="minorHAnsi"/>
          <w:color w:val="auto"/>
          <w:sz w:val="16"/>
          <w:szCs w:val="16"/>
          <w:lang w:val="es-US"/>
        </w:rPr>
        <w:t>Nº</w:t>
      </w:r>
      <w:proofErr w:type="spellEnd"/>
      <w:r w:rsidRPr="00A60828">
        <w:rPr>
          <w:rFonts w:asciiTheme="majorHAnsi" w:hAnsiTheme="majorHAnsi" w:cstheme="minorHAnsi"/>
          <w:color w:val="auto"/>
          <w:sz w:val="16"/>
          <w:szCs w:val="16"/>
          <w:lang w:val="es-US"/>
        </w:rPr>
        <w:t xml:space="preserve"> 70/14. Petición 1453-06. Admisibilidad. </w:t>
      </w:r>
      <w:proofErr w:type="spellStart"/>
      <w:r w:rsidRPr="00A60828">
        <w:rPr>
          <w:rFonts w:asciiTheme="majorHAnsi" w:hAnsiTheme="majorHAnsi" w:cstheme="minorHAnsi"/>
          <w:color w:val="auto"/>
          <w:sz w:val="16"/>
          <w:szCs w:val="16"/>
          <w:lang w:val="es-US"/>
        </w:rPr>
        <w:t>Maicon</w:t>
      </w:r>
      <w:proofErr w:type="spellEnd"/>
      <w:r w:rsidRPr="00A60828">
        <w:rPr>
          <w:rFonts w:asciiTheme="majorHAnsi" w:hAnsiTheme="majorHAnsi" w:cstheme="minorHAnsi"/>
          <w:color w:val="auto"/>
          <w:sz w:val="16"/>
          <w:szCs w:val="16"/>
          <w:lang w:val="es-US"/>
        </w:rPr>
        <w:t xml:space="preserve"> de Souza Silva. Renato da Silva </w:t>
      </w:r>
      <w:proofErr w:type="spellStart"/>
      <w:r w:rsidRPr="00A60828">
        <w:rPr>
          <w:rFonts w:asciiTheme="majorHAnsi" w:hAnsiTheme="majorHAnsi" w:cstheme="minorHAnsi"/>
          <w:color w:val="auto"/>
          <w:sz w:val="16"/>
          <w:szCs w:val="16"/>
          <w:lang w:val="es-US"/>
        </w:rPr>
        <w:t>Paixão</w:t>
      </w:r>
      <w:proofErr w:type="spellEnd"/>
      <w:r w:rsidRPr="00A60828">
        <w:rPr>
          <w:rFonts w:asciiTheme="majorHAnsi" w:hAnsiTheme="majorHAnsi" w:cstheme="minorHAnsi"/>
          <w:color w:val="auto"/>
          <w:sz w:val="16"/>
          <w:szCs w:val="16"/>
          <w:lang w:val="es-US"/>
        </w:rPr>
        <w:t xml:space="preserve"> y otros. 25 de julio de 2014, párr. 18; </w:t>
      </w:r>
      <w:r w:rsidRPr="00A60828">
        <w:rPr>
          <w:rFonts w:asciiTheme="majorHAnsi" w:hAnsiTheme="majorHAnsi"/>
          <w:color w:val="auto"/>
          <w:sz w:val="16"/>
          <w:szCs w:val="16"/>
          <w:lang w:val="es-CO"/>
        </w:rPr>
        <w:t xml:space="preserve">Informe No. 3/12, Petición 12.224, Admisibilidad, Santiago Antezana Cueto y otros, Perú, 27 de enero de 2012, pár. 24; Informe No. 124/17, Petición 21-08, Admisibilidad, Fernanda López Medina y otros, Perú, 7 de septiembre de 2017, </w:t>
      </w:r>
      <w:proofErr w:type="spellStart"/>
      <w:r w:rsidRPr="00A60828">
        <w:rPr>
          <w:rFonts w:asciiTheme="majorHAnsi" w:hAnsiTheme="majorHAnsi"/>
          <w:color w:val="auto"/>
          <w:sz w:val="16"/>
          <w:szCs w:val="16"/>
          <w:lang w:val="es-CO"/>
        </w:rPr>
        <w:t>párs</w:t>
      </w:r>
      <w:proofErr w:type="spellEnd"/>
      <w:r w:rsidRPr="00A60828">
        <w:rPr>
          <w:rFonts w:asciiTheme="majorHAnsi" w:hAnsiTheme="majorHAnsi"/>
          <w:color w:val="auto"/>
          <w:sz w:val="16"/>
          <w:szCs w:val="16"/>
          <w:lang w:val="es-CO"/>
        </w:rPr>
        <w:t xml:space="preserve">. </w:t>
      </w:r>
      <w:r w:rsidRPr="00A60828">
        <w:rPr>
          <w:rFonts w:asciiTheme="majorHAnsi" w:hAnsiTheme="majorHAnsi" w:cstheme="minorHAnsi"/>
          <w:color w:val="auto"/>
          <w:sz w:val="16"/>
          <w:szCs w:val="16"/>
          <w:lang w:val="es-US"/>
        </w:rPr>
        <w:t>3, 9-11.</w:t>
      </w:r>
    </w:p>
  </w:footnote>
  <w:footnote w:id="5">
    <w:p w14:paraId="42465113" w14:textId="77777777" w:rsidR="00C060AA" w:rsidRPr="00A60828" w:rsidRDefault="00C060AA" w:rsidP="00A60828">
      <w:pPr>
        <w:pStyle w:val="Referencetext"/>
        <w:tabs>
          <w:tab w:val="left" w:pos="0"/>
        </w:tabs>
        <w:spacing w:after="0"/>
        <w:ind w:right="0" w:firstLine="720"/>
        <w:rPr>
          <w:rFonts w:ascii="Cambria" w:hAnsi="Cambria" w:cstheme="minorHAnsi"/>
          <w:sz w:val="16"/>
          <w:lang w:val="es-US"/>
        </w:rPr>
      </w:pPr>
      <w:r w:rsidRPr="00A60828">
        <w:rPr>
          <w:rStyle w:val="FootnoteReference"/>
          <w:rFonts w:ascii="Cambria" w:eastAsia="Symbol" w:hAnsi="Cambria" w:cstheme="minorHAnsi"/>
          <w:sz w:val="16"/>
        </w:rPr>
        <w:footnoteRef/>
      </w:r>
      <w:r w:rsidRPr="0020496F">
        <w:rPr>
          <w:rFonts w:ascii="Cambria" w:hAnsi="Cambria" w:cstheme="minorHAnsi"/>
          <w:sz w:val="16"/>
          <w:lang w:val="es-US"/>
        </w:rPr>
        <w:t xml:space="preserve">Corte IDH, </w:t>
      </w:r>
      <w:r w:rsidRPr="0020496F">
        <w:rPr>
          <w:rFonts w:ascii="Cambria" w:hAnsi="Cambria" w:cstheme="minorHAnsi"/>
          <w:i/>
          <w:sz w:val="16"/>
          <w:lang w:val="es-US"/>
        </w:rPr>
        <w:t>Caso Juan Humberto Sánchez</w:t>
      </w:r>
      <w:r w:rsidRPr="0020496F">
        <w:rPr>
          <w:rFonts w:ascii="Cambria" w:hAnsi="Cambria" w:cstheme="minorHAnsi"/>
          <w:sz w:val="16"/>
          <w:lang w:val="es-US"/>
        </w:rPr>
        <w:t xml:space="preserve">. </w:t>
      </w:r>
      <w:r w:rsidRPr="00A60828">
        <w:rPr>
          <w:rFonts w:ascii="Cambria" w:hAnsi="Cambria" w:cstheme="minorHAnsi"/>
          <w:sz w:val="16"/>
          <w:lang w:val="es-US"/>
        </w:rPr>
        <w:t>Serie C No. 99, párr. 186.</w:t>
      </w:r>
    </w:p>
  </w:footnote>
  <w:footnote w:id="6">
    <w:p w14:paraId="1EA1128E" w14:textId="5300BC84" w:rsidR="00C060AA" w:rsidRPr="00A60828" w:rsidRDefault="00C060AA" w:rsidP="00A60828">
      <w:pPr>
        <w:pStyle w:val="FootnoteText"/>
        <w:ind w:firstLine="720"/>
        <w:rPr>
          <w:rFonts w:asciiTheme="majorHAnsi" w:hAnsiTheme="majorHAnsi"/>
          <w:color w:val="auto"/>
          <w:sz w:val="16"/>
          <w:szCs w:val="16"/>
          <w:lang w:val="es-CO"/>
        </w:rPr>
      </w:pPr>
      <w:r w:rsidRPr="00A60828">
        <w:rPr>
          <w:rStyle w:val="FootnoteReference"/>
          <w:rFonts w:asciiTheme="majorHAnsi" w:hAnsiTheme="majorHAnsi"/>
          <w:color w:val="auto"/>
          <w:sz w:val="16"/>
          <w:szCs w:val="16"/>
        </w:rPr>
        <w:footnoteRef/>
      </w:r>
      <w:r w:rsidRPr="00A60828">
        <w:rPr>
          <w:rFonts w:asciiTheme="majorHAnsi" w:hAnsiTheme="majorHAnsi"/>
          <w:color w:val="auto"/>
          <w:sz w:val="16"/>
          <w:szCs w:val="16"/>
          <w:lang w:val="es-CO"/>
        </w:rPr>
        <w:t xml:space="preserve"> CIDH, Informe No. 34/15, Petición 191-07 y otras. Admisibilidad. Álvaro Enrique </w:t>
      </w:r>
      <w:r w:rsidR="007D2C56" w:rsidRPr="00A60828">
        <w:rPr>
          <w:rFonts w:asciiTheme="majorHAnsi" w:hAnsiTheme="majorHAnsi"/>
          <w:color w:val="auto"/>
          <w:sz w:val="16"/>
          <w:szCs w:val="16"/>
          <w:lang w:val="es-CO"/>
        </w:rPr>
        <w:t>Rodríguez</w:t>
      </w:r>
      <w:r w:rsidRPr="00A60828">
        <w:rPr>
          <w:rFonts w:asciiTheme="majorHAnsi" w:hAnsiTheme="majorHAnsi"/>
          <w:color w:val="auto"/>
          <w:sz w:val="16"/>
          <w:szCs w:val="16"/>
          <w:lang w:val="es-CO"/>
        </w:rPr>
        <w:t xml:space="preserve"> Buitrago y otros. Colombia. 22 de julio de 2015, párr. 245.</w:t>
      </w:r>
    </w:p>
  </w:footnote>
  <w:footnote w:id="7">
    <w:p w14:paraId="645D3511" w14:textId="77777777" w:rsidR="00C345BB" w:rsidRPr="00A60828" w:rsidRDefault="00C345BB" w:rsidP="00A60828">
      <w:pPr>
        <w:pStyle w:val="FootnoteText"/>
        <w:ind w:firstLine="720"/>
        <w:jc w:val="both"/>
        <w:rPr>
          <w:rFonts w:asciiTheme="majorHAnsi" w:hAnsiTheme="majorHAnsi"/>
          <w:color w:val="auto"/>
          <w:sz w:val="16"/>
          <w:szCs w:val="16"/>
          <w:lang w:val="es-CO"/>
        </w:rPr>
      </w:pPr>
      <w:r w:rsidRPr="00A60828">
        <w:rPr>
          <w:rStyle w:val="FootnoteReference"/>
          <w:rFonts w:asciiTheme="majorHAnsi" w:hAnsiTheme="majorHAnsi"/>
          <w:color w:val="auto"/>
          <w:sz w:val="16"/>
          <w:szCs w:val="16"/>
        </w:rPr>
        <w:footnoteRef/>
      </w:r>
      <w:r w:rsidRPr="00A60828">
        <w:rPr>
          <w:rFonts w:asciiTheme="majorHAnsi" w:hAnsiTheme="majorHAnsi"/>
          <w:color w:val="auto"/>
          <w:sz w:val="16"/>
          <w:szCs w:val="16"/>
          <w:lang w:val="es-CO"/>
        </w:rPr>
        <w:t xml:space="preserve"> </w:t>
      </w:r>
      <w:r w:rsidRPr="00A60828">
        <w:rPr>
          <w:rFonts w:asciiTheme="majorHAnsi" w:hAnsiTheme="majorHAnsi" w:cstheme="minorHAnsi"/>
          <w:color w:val="auto"/>
          <w:sz w:val="16"/>
          <w:szCs w:val="16"/>
          <w:lang w:val="es-ES"/>
        </w:rPr>
        <w:t xml:space="preserve">CIDH, Informe No. 44/18, Petición 840-07. Admisibilidad. Masacre de </w:t>
      </w:r>
      <w:proofErr w:type="spellStart"/>
      <w:r w:rsidRPr="00A60828">
        <w:rPr>
          <w:rFonts w:asciiTheme="majorHAnsi" w:hAnsiTheme="majorHAnsi" w:cstheme="minorHAnsi"/>
          <w:color w:val="auto"/>
          <w:sz w:val="16"/>
          <w:szCs w:val="16"/>
          <w:lang w:val="es-ES"/>
        </w:rPr>
        <w:t>Pijiguay</w:t>
      </w:r>
      <w:proofErr w:type="spellEnd"/>
      <w:r w:rsidRPr="00A60828">
        <w:rPr>
          <w:rFonts w:asciiTheme="majorHAnsi" w:hAnsiTheme="majorHAnsi" w:cstheme="minorHAnsi"/>
          <w:color w:val="auto"/>
          <w:sz w:val="16"/>
          <w:szCs w:val="16"/>
          <w:lang w:val="es-ES"/>
        </w:rPr>
        <w:t xml:space="preserve">. Colombia. 4 de mayo de 2018, párr. 11; </w:t>
      </w:r>
      <w:r w:rsidRPr="00A60828">
        <w:rPr>
          <w:rFonts w:asciiTheme="majorHAnsi" w:hAnsiTheme="majorHAnsi"/>
          <w:color w:val="auto"/>
          <w:sz w:val="16"/>
          <w:szCs w:val="16"/>
          <w:lang w:val="es-CO"/>
        </w:rPr>
        <w:t xml:space="preserve">Informe No. 110/17. Petición 802-07. Admisibilidad. Leonardo Vanegas Y Familia. Colombia. 7 de septiembre de 2017, </w:t>
      </w:r>
      <w:proofErr w:type="spellStart"/>
      <w:r w:rsidRPr="00A60828">
        <w:rPr>
          <w:rFonts w:asciiTheme="majorHAnsi" w:hAnsiTheme="majorHAnsi"/>
          <w:color w:val="auto"/>
          <w:sz w:val="16"/>
          <w:szCs w:val="16"/>
          <w:lang w:val="es-CO"/>
        </w:rPr>
        <w:t>párrs</w:t>
      </w:r>
      <w:proofErr w:type="spellEnd"/>
      <w:r w:rsidRPr="00A60828">
        <w:rPr>
          <w:rFonts w:asciiTheme="majorHAnsi" w:hAnsiTheme="majorHAnsi"/>
          <w:color w:val="auto"/>
          <w:sz w:val="16"/>
          <w:szCs w:val="16"/>
          <w:lang w:val="es-CO"/>
        </w:rPr>
        <w:t xml:space="preserve">. 8-10; Informe No. 122/19. Petición 1442-09. Admisibilidad. Luis Fernando Hernández Carvajal y otros. Colombia. 14 de julio de 2019, párr. 9; Informe No. 80/19. Petición 1601-09. Admisibilidad. Julio Alberto Márquez y familia. Colombia. 23 de mayo de 2019, párr. 6; Informe No. 79/19. Admisibilidad. Carlos Hernando Casablanca Perdomo y familia. </w:t>
      </w:r>
      <w:r w:rsidRPr="00A60828">
        <w:rPr>
          <w:rFonts w:asciiTheme="majorHAnsi" w:hAnsiTheme="majorHAnsi"/>
          <w:color w:val="auto"/>
          <w:sz w:val="16"/>
          <w:szCs w:val="16"/>
          <w:lang w:val="es-US"/>
        </w:rPr>
        <w:t>Colombia. 23 de mayo de 2019, párr. 14.</w:t>
      </w:r>
    </w:p>
  </w:footnote>
  <w:footnote w:id="8">
    <w:p w14:paraId="1990395B" w14:textId="77777777" w:rsidR="00C060AA" w:rsidRPr="00A60828" w:rsidRDefault="00C060AA" w:rsidP="00A60828">
      <w:pPr>
        <w:pStyle w:val="FootnoteText"/>
        <w:ind w:firstLine="720"/>
        <w:jc w:val="both"/>
        <w:rPr>
          <w:rFonts w:ascii="Cambria" w:hAnsi="Cambria"/>
          <w:color w:val="auto"/>
          <w:sz w:val="16"/>
          <w:szCs w:val="16"/>
          <w:lang w:val="es-ES"/>
        </w:rPr>
      </w:pPr>
      <w:r w:rsidRPr="00A60828">
        <w:rPr>
          <w:rStyle w:val="FootnoteReference"/>
          <w:rFonts w:ascii="Cambria" w:hAnsi="Cambria"/>
          <w:color w:val="auto"/>
          <w:sz w:val="16"/>
          <w:szCs w:val="16"/>
        </w:rPr>
        <w:footnoteRef/>
      </w:r>
      <w:r w:rsidRPr="00A60828">
        <w:rPr>
          <w:rFonts w:ascii="Cambria" w:hAnsi="Cambria"/>
          <w:color w:val="auto"/>
          <w:sz w:val="16"/>
          <w:szCs w:val="16"/>
          <w:lang w:val="es-ES"/>
        </w:rPr>
        <w:t xml:space="preserve"> </w:t>
      </w:r>
      <w:r w:rsidRPr="00A60828">
        <w:rPr>
          <w:rFonts w:ascii="Cambria" w:hAnsi="Cambria"/>
          <w:color w:val="auto"/>
          <w:sz w:val="16"/>
          <w:szCs w:val="16"/>
          <w:lang w:val="es-ES_tradnl"/>
        </w:rPr>
        <w:t>CIDH, Informe No. 69/08, Petición 681-00. Admisibilidad. Guillermo Patricio Lynn. Argentina. 16 de octubre de 2008, párr. 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0F489F" w:rsidP="00A50FCF">
    <w:pPr>
      <w:pStyle w:val="Header"/>
      <w:tabs>
        <w:tab w:val="clear" w:pos="4320"/>
        <w:tab w:val="clear" w:pos="8640"/>
      </w:tabs>
      <w:jc w:val="center"/>
      <w:rPr>
        <w:sz w:val="22"/>
        <w:szCs w:val="22"/>
      </w:rPr>
    </w:pPr>
    <w:r>
      <w:rPr>
        <w:sz w:val="22"/>
        <w:szCs w:val="22"/>
      </w:rPr>
      <w:pict w14:anchorId="3571CCD9">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5834A4C"/>
    <w:multiLevelType w:val="hybridMultilevel"/>
    <w:tmpl w:val="EE9EBA92"/>
    <w:styleLink w:val="EstiloImportado20"/>
    <w:lvl w:ilvl="0" w:tplc="F492286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5AE2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7814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DE53A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F8A4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7E1E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16C8A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66B5B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103AA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3"/>
  </w:num>
  <w:num w:numId="4">
    <w:abstractNumId w:val="19"/>
  </w:num>
  <w:num w:numId="5">
    <w:abstractNumId w:val="47"/>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4"/>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6"/>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18"/>
  </w:num>
  <w:num w:numId="52">
    <w:abstractNumId w:val="40"/>
  </w:num>
  <w:num w:numId="53">
    <w:abstractNumId w:val="50"/>
  </w:num>
  <w:num w:numId="54">
    <w:abstractNumId w:val="45"/>
  </w:num>
  <w:num w:numId="55">
    <w:abstractNumId w:val="43"/>
  </w:num>
  <w:num w:numId="56">
    <w:abstractNumId w:val="25"/>
  </w:num>
  <w:num w:numId="57">
    <w:abstractNumId w:val="23"/>
  </w:num>
  <w:num w:numId="58">
    <w:abstractNumId w:val="35"/>
  </w:num>
  <w:num w:numId="59">
    <w:abstractNumId w:val="4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48B1"/>
    <w:rsid w:val="0001788C"/>
    <w:rsid w:val="000337EF"/>
    <w:rsid w:val="00036564"/>
    <w:rsid w:val="00040C3A"/>
    <w:rsid w:val="000419AD"/>
    <w:rsid w:val="000433C9"/>
    <w:rsid w:val="00043AD6"/>
    <w:rsid w:val="0006317B"/>
    <w:rsid w:val="00071174"/>
    <w:rsid w:val="000716C5"/>
    <w:rsid w:val="00075E23"/>
    <w:rsid w:val="0009344A"/>
    <w:rsid w:val="000A392E"/>
    <w:rsid w:val="000A575F"/>
    <w:rsid w:val="000B72A1"/>
    <w:rsid w:val="000D05CB"/>
    <w:rsid w:val="000D10DB"/>
    <w:rsid w:val="000E5EB5"/>
    <w:rsid w:val="000F35ED"/>
    <w:rsid w:val="000F489F"/>
    <w:rsid w:val="000F4984"/>
    <w:rsid w:val="001010CB"/>
    <w:rsid w:val="00107131"/>
    <w:rsid w:val="0010736F"/>
    <w:rsid w:val="00113F73"/>
    <w:rsid w:val="00121CC2"/>
    <w:rsid w:val="00131425"/>
    <w:rsid w:val="00133EE5"/>
    <w:rsid w:val="00134D90"/>
    <w:rsid w:val="0015042F"/>
    <w:rsid w:val="00167A34"/>
    <w:rsid w:val="00183B73"/>
    <w:rsid w:val="001A520D"/>
    <w:rsid w:val="001A7870"/>
    <w:rsid w:val="001B3A00"/>
    <w:rsid w:val="001C1B41"/>
    <w:rsid w:val="001D65EF"/>
    <w:rsid w:val="001E49E7"/>
    <w:rsid w:val="001F7201"/>
    <w:rsid w:val="0020496F"/>
    <w:rsid w:val="00223A29"/>
    <w:rsid w:val="002250A3"/>
    <w:rsid w:val="00235217"/>
    <w:rsid w:val="00246D1F"/>
    <w:rsid w:val="00247403"/>
    <w:rsid w:val="00247542"/>
    <w:rsid w:val="00266B61"/>
    <w:rsid w:val="0026712A"/>
    <w:rsid w:val="002704DB"/>
    <w:rsid w:val="00271BA6"/>
    <w:rsid w:val="00284F7D"/>
    <w:rsid w:val="002A0AAE"/>
    <w:rsid w:val="002A2AB9"/>
    <w:rsid w:val="002A5820"/>
    <w:rsid w:val="002A5966"/>
    <w:rsid w:val="002C1ABF"/>
    <w:rsid w:val="002D2B26"/>
    <w:rsid w:val="002D7EA2"/>
    <w:rsid w:val="002E187C"/>
    <w:rsid w:val="002E6F87"/>
    <w:rsid w:val="002F169C"/>
    <w:rsid w:val="00302733"/>
    <w:rsid w:val="00305835"/>
    <w:rsid w:val="00306F33"/>
    <w:rsid w:val="00314078"/>
    <w:rsid w:val="0031535D"/>
    <w:rsid w:val="00317E5E"/>
    <w:rsid w:val="003239B8"/>
    <w:rsid w:val="00330B9E"/>
    <w:rsid w:val="0033169F"/>
    <w:rsid w:val="00334054"/>
    <w:rsid w:val="00335F7F"/>
    <w:rsid w:val="00344977"/>
    <w:rsid w:val="00346C95"/>
    <w:rsid w:val="00350BF1"/>
    <w:rsid w:val="00356185"/>
    <w:rsid w:val="00360380"/>
    <w:rsid w:val="00361F5E"/>
    <w:rsid w:val="003659C1"/>
    <w:rsid w:val="00371D67"/>
    <w:rsid w:val="0037519E"/>
    <w:rsid w:val="00386CF0"/>
    <w:rsid w:val="00394E2A"/>
    <w:rsid w:val="003A0EE6"/>
    <w:rsid w:val="003B63ED"/>
    <w:rsid w:val="003B70FB"/>
    <w:rsid w:val="003C676B"/>
    <w:rsid w:val="003D3BC2"/>
    <w:rsid w:val="003E6CA1"/>
    <w:rsid w:val="003F5154"/>
    <w:rsid w:val="00405F9C"/>
    <w:rsid w:val="004065A8"/>
    <w:rsid w:val="004165C2"/>
    <w:rsid w:val="004312FD"/>
    <w:rsid w:val="00441ECB"/>
    <w:rsid w:val="00445193"/>
    <w:rsid w:val="00462C1B"/>
    <w:rsid w:val="00467B7E"/>
    <w:rsid w:val="00473BB4"/>
    <w:rsid w:val="00477592"/>
    <w:rsid w:val="00485E30"/>
    <w:rsid w:val="00486F1C"/>
    <w:rsid w:val="0049419D"/>
    <w:rsid w:val="00496C34"/>
    <w:rsid w:val="004A6A54"/>
    <w:rsid w:val="004B421C"/>
    <w:rsid w:val="004C0D35"/>
    <w:rsid w:val="004C20D2"/>
    <w:rsid w:val="004C2312"/>
    <w:rsid w:val="004C4B62"/>
    <w:rsid w:val="004C54C9"/>
    <w:rsid w:val="004D0D8E"/>
    <w:rsid w:val="004D4ABA"/>
    <w:rsid w:val="004D6025"/>
    <w:rsid w:val="004E2649"/>
    <w:rsid w:val="004E4277"/>
    <w:rsid w:val="004F626F"/>
    <w:rsid w:val="00501399"/>
    <w:rsid w:val="005047ED"/>
    <w:rsid w:val="0050633D"/>
    <w:rsid w:val="00507BC4"/>
    <w:rsid w:val="005128E4"/>
    <w:rsid w:val="00512D4B"/>
    <w:rsid w:val="005133DB"/>
    <w:rsid w:val="00514504"/>
    <w:rsid w:val="00521E1F"/>
    <w:rsid w:val="00523096"/>
    <w:rsid w:val="00525560"/>
    <w:rsid w:val="00544C49"/>
    <w:rsid w:val="005516A1"/>
    <w:rsid w:val="005559EF"/>
    <w:rsid w:val="00555E68"/>
    <w:rsid w:val="00563557"/>
    <w:rsid w:val="0057402A"/>
    <w:rsid w:val="005771D0"/>
    <w:rsid w:val="0059191A"/>
    <w:rsid w:val="005921FF"/>
    <w:rsid w:val="005A24ED"/>
    <w:rsid w:val="005A6D0E"/>
    <w:rsid w:val="005B52B0"/>
    <w:rsid w:val="005B6806"/>
    <w:rsid w:val="005C4225"/>
    <w:rsid w:val="005C5A6C"/>
    <w:rsid w:val="005D18FB"/>
    <w:rsid w:val="005F08AF"/>
    <w:rsid w:val="005F0DAD"/>
    <w:rsid w:val="005F0F33"/>
    <w:rsid w:val="00600DEB"/>
    <w:rsid w:val="00627C9F"/>
    <w:rsid w:val="00627DF6"/>
    <w:rsid w:val="006311E9"/>
    <w:rsid w:val="00632354"/>
    <w:rsid w:val="00635421"/>
    <w:rsid w:val="00637E95"/>
    <w:rsid w:val="00642810"/>
    <w:rsid w:val="006436A8"/>
    <w:rsid w:val="00652333"/>
    <w:rsid w:val="0068009E"/>
    <w:rsid w:val="00683C6B"/>
    <w:rsid w:val="00685875"/>
    <w:rsid w:val="00692219"/>
    <w:rsid w:val="006A17D2"/>
    <w:rsid w:val="006A73E6"/>
    <w:rsid w:val="006B2D5C"/>
    <w:rsid w:val="006C0ECF"/>
    <w:rsid w:val="006C4EB1"/>
    <w:rsid w:val="006E0166"/>
    <w:rsid w:val="006E2FFB"/>
    <w:rsid w:val="006E7B34"/>
    <w:rsid w:val="006F3E06"/>
    <w:rsid w:val="0070697F"/>
    <w:rsid w:val="007103C4"/>
    <w:rsid w:val="00714FA0"/>
    <w:rsid w:val="0072199C"/>
    <w:rsid w:val="00722C9F"/>
    <w:rsid w:val="007253B8"/>
    <w:rsid w:val="0073009D"/>
    <w:rsid w:val="0073741F"/>
    <w:rsid w:val="0075023B"/>
    <w:rsid w:val="007517F3"/>
    <w:rsid w:val="007532D1"/>
    <w:rsid w:val="0076643F"/>
    <w:rsid w:val="00777F63"/>
    <w:rsid w:val="00782415"/>
    <w:rsid w:val="007A5817"/>
    <w:rsid w:val="007B05C4"/>
    <w:rsid w:val="007B60E9"/>
    <w:rsid w:val="007B6CC3"/>
    <w:rsid w:val="007B76D3"/>
    <w:rsid w:val="007C01BB"/>
    <w:rsid w:val="007C3334"/>
    <w:rsid w:val="007D2B98"/>
    <w:rsid w:val="007D2C56"/>
    <w:rsid w:val="007D623C"/>
    <w:rsid w:val="007E21BC"/>
    <w:rsid w:val="007E7C82"/>
    <w:rsid w:val="007F2AA1"/>
    <w:rsid w:val="007F588D"/>
    <w:rsid w:val="00803F1C"/>
    <w:rsid w:val="0080600E"/>
    <w:rsid w:val="00814688"/>
    <w:rsid w:val="00817612"/>
    <w:rsid w:val="008329D5"/>
    <w:rsid w:val="008338A4"/>
    <w:rsid w:val="00834D49"/>
    <w:rsid w:val="00837C45"/>
    <w:rsid w:val="00844730"/>
    <w:rsid w:val="008457C2"/>
    <w:rsid w:val="00857A82"/>
    <w:rsid w:val="00873836"/>
    <w:rsid w:val="00885737"/>
    <w:rsid w:val="00890650"/>
    <w:rsid w:val="008944DC"/>
    <w:rsid w:val="00897E12"/>
    <w:rsid w:val="008A7CB6"/>
    <w:rsid w:val="008A7E0F"/>
    <w:rsid w:val="008B12F5"/>
    <w:rsid w:val="008C5300"/>
    <w:rsid w:val="008C5E2D"/>
    <w:rsid w:val="008D768D"/>
    <w:rsid w:val="008E3759"/>
    <w:rsid w:val="008E3BFE"/>
    <w:rsid w:val="008F1912"/>
    <w:rsid w:val="0090270B"/>
    <w:rsid w:val="009041DC"/>
    <w:rsid w:val="00917B5A"/>
    <w:rsid w:val="00920A58"/>
    <w:rsid w:val="00920A8C"/>
    <w:rsid w:val="00934A2C"/>
    <w:rsid w:val="0096706E"/>
    <w:rsid w:val="00974491"/>
    <w:rsid w:val="00975C4E"/>
    <w:rsid w:val="00981FBA"/>
    <w:rsid w:val="009929A4"/>
    <w:rsid w:val="00997BC5"/>
    <w:rsid w:val="009A220E"/>
    <w:rsid w:val="009A45C7"/>
    <w:rsid w:val="009A4F41"/>
    <w:rsid w:val="009B381B"/>
    <w:rsid w:val="009D1753"/>
    <w:rsid w:val="009D7611"/>
    <w:rsid w:val="009E0B61"/>
    <w:rsid w:val="009E53DE"/>
    <w:rsid w:val="009E696E"/>
    <w:rsid w:val="00A11212"/>
    <w:rsid w:val="00A11E44"/>
    <w:rsid w:val="00A23166"/>
    <w:rsid w:val="00A30100"/>
    <w:rsid w:val="00A328B3"/>
    <w:rsid w:val="00A50540"/>
    <w:rsid w:val="00A50FCF"/>
    <w:rsid w:val="00A5194B"/>
    <w:rsid w:val="00A528D1"/>
    <w:rsid w:val="00A60828"/>
    <w:rsid w:val="00A610CD"/>
    <w:rsid w:val="00A65207"/>
    <w:rsid w:val="00A663FB"/>
    <w:rsid w:val="00A758AA"/>
    <w:rsid w:val="00A96AAD"/>
    <w:rsid w:val="00AA0277"/>
    <w:rsid w:val="00AA09A2"/>
    <w:rsid w:val="00AA5834"/>
    <w:rsid w:val="00AA7996"/>
    <w:rsid w:val="00AB2293"/>
    <w:rsid w:val="00AB6F74"/>
    <w:rsid w:val="00AC19CB"/>
    <w:rsid w:val="00AD265D"/>
    <w:rsid w:val="00AE5488"/>
    <w:rsid w:val="00AE6F91"/>
    <w:rsid w:val="00AF3AEE"/>
    <w:rsid w:val="00AF5571"/>
    <w:rsid w:val="00B07341"/>
    <w:rsid w:val="00B30539"/>
    <w:rsid w:val="00B314DB"/>
    <w:rsid w:val="00B361F2"/>
    <w:rsid w:val="00B3718B"/>
    <w:rsid w:val="00B3745F"/>
    <w:rsid w:val="00B4632A"/>
    <w:rsid w:val="00B530F1"/>
    <w:rsid w:val="00B83768"/>
    <w:rsid w:val="00B93D7F"/>
    <w:rsid w:val="00BA20DB"/>
    <w:rsid w:val="00BA276C"/>
    <w:rsid w:val="00BB019D"/>
    <w:rsid w:val="00BB306F"/>
    <w:rsid w:val="00BB5F8C"/>
    <w:rsid w:val="00BC2368"/>
    <w:rsid w:val="00BD0FF5"/>
    <w:rsid w:val="00BD39BD"/>
    <w:rsid w:val="00BD4B89"/>
    <w:rsid w:val="00BD5922"/>
    <w:rsid w:val="00BD7DF0"/>
    <w:rsid w:val="00BE4DA2"/>
    <w:rsid w:val="00BF02CB"/>
    <w:rsid w:val="00BF6FD8"/>
    <w:rsid w:val="00C03680"/>
    <w:rsid w:val="00C054DF"/>
    <w:rsid w:val="00C060AA"/>
    <w:rsid w:val="00C06BAB"/>
    <w:rsid w:val="00C1365D"/>
    <w:rsid w:val="00C1683F"/>
    <w:rsid w:val="00C21762"/>
    <w:rsid w:val="00C21FEF"/>
    <w:rsid w:val="00C23BA4"/>
    <w:rsid w:val="00C24468"/>
    <w:rsid w:val="00C24543"/>
    <w:rsid w:val="00C256A2"/>
    <w:rsid w:val="00C25ADB"/>
    <w:rsid w:val="00C345BB"/>
    <w:rsid w:val="00C44127"/>
    <w:rsid w:val="00C51515"/>
    <w:rsid w:val="00C5660B"/>
    <w:rsid w:val="00C66B72"/>
    <w:rsid w:val="00C85D1B"/>
    <w:rsid w:val="00C87AC4"/>
    <w:rsid w:val="00C9567A"/>
    <w:rsid w:val="00CB212D"/>
    <w:rsid w:val="00CB2660"/>
    <w:rsid w:val="00CC5E90"/>
    <w:rsid w:val="00CC7041"/>
    <w:rsid w:val="00CC78AA"/>
    <w:rsid w:val="00CD046C"/>
    <w:rsid w:val="00CE076C"/>
    <w:rsid w:val="00CE4801"/>
    <w:rsid w:val="00CE5199"/>
    <w:rsid w:val="00CE66D5"/>
    <w:rsid w:val="00CF4AA9"/>
    <w:rsid w:val="00CF637A"/>
    <w:rsid w:val="00CF66BF"/>
    <w:rsid w:val="00D059DE"/>
    <w:rsid w:val="00D05ABD"/>
    <w:rsid w:val="00D13FCE"/>
    <w:rsid w:val="00D306D1"/>
    <w:rsid w:val="00D30800"/>
    <w:rsid w:val="00D34786"/>
    <w:rsid w:val="00D37BFC"/>
    <w:rsid w:val="00D4467D"/>
    <w:rsid w:val="00D47A8E"/>
    <w:rsid w:val="00D52D14"/>
    <w:rsid w:val="00D712D3"/>
    <w:rsid w:val="00D71422"/>
    <w:rsid w:val="00D72DC6"/>
    <w:rsid w:val="00D7558D"/>
    <w:rsid w:val="00D81D92"/>
    <w:rsid w:val="00D839AF"/>
    <w:rsid w:val="00D876F9"/>
    <w:rsid w:val="00D908C8"/>
    <w:rsid w:val="00DA7B5F"/>
    <w:rsid w:val="00DC11E7"/>
    <w:rsid w:val="00DC24E3"/>
    <w:rsid w:val="00DC7023"/>
    <w:rsid w:val="00DC769A"/>
    <w:rsid w:val="00DD2F85"/>
    <w:rsid w:val="00DD3D86"/>
    <w:rsid w:val="00DD4AD2"/>
    <w:rsid w:val="00DE228E"/>
    <w:rsid w:val="00DE2862"/>
    <w:rsid w:val="00DF1EC4"/>
    <w:rsid w:val="00E028DC"/>
    <w:rsid w:val="00E0340B"/>
    <w:rsid w:val="00E04A90"/>
    <w:rsid w:val="00E0551F"/>
    <w:rsid w:val="00E075BE"/>
    <w:rsid w:val="00E219C7"/>
    <w:rsid w:val="00E2306E"/>
    <w:rsid w:val="00E4118C"/>
    <w:rsid w:val="00E43157"/>
    <w:rsid w:val="00E461CE"/>
    <w:rsid w:val="00E573E4"/>
    <w:rsid w:val="00E64C3D"/>
    <w:rsid w:val="00E720CA"/>
    <w:rsid w:val="00E84EB5"/>
    <w:rsid w:val="00E85662"/>
    <w:rsid w:val="00E8789F"/>
    <w:rsid w:val="00E97B71"/>
    <w:rsid w:val="00EA30AF"/>
    <w:rsid w:val="00EA3D34"/>
    <w:rsid w:val="00EB302E"/>
    <w:rsid w:val="00EB454D"/>
    <w:rsid w:val="00EB73F7"/>
    <w:rsid w:val="00ED549D"/>
    <w:rsid w:val="00ED5E10"/>
    <w:rsid w:val="00ED76BE"/>
    <w:rsid w:val="00EE00E9"/>
    <w:rsid w:val="00EF1AAA"/>
    <w:rsid w:val="00EF619B"/>
    <w:rsid w:val="00F00B55"/>
    <w:rsid w:val="00F02AD1"/>
    <w:rsid w:val="00F253CC"/>
    <w:rsid w:val="00F37106"/>
    <w:rsid w:val="00F44E25"/>
    <w:rsid w:val="00F45787"/>
    <w:rsid w:val="00F519CF"/>
    <w:rsid w:val="00F56BA5"/>
    <w:rsid w:val="00F60E22"/>
    <w:rsid w:val="00F64863"/>
    <w:rsid w:val="00F725DD"/>
    <w:rsid w:val="00F7542E"/>
    <w:rsid w:val="00F81395"/>
    <w:rsid w:val="00F81BB8"/>
    <w:rsid w:val="00F90C64"/>
    <w:rsid w:val="00F917D1"/>
    <w:rsid w:val="00F92BEF"/>
    <w:rsid w:val="00F9653B"/>
    <w:rsid w:val="00F973F6"/>
    <w:rsid w:val="00FB62CF"/>
    <w:rsid w:val="00FD3682"/>
    <w:rsid w:val="00FD3C3B"/>
    <w:rsid w:val="00FE07DD"/>
    <w:rsid w:val="00FE6B45"/>
    <w:rsid w:val="00FF3490"/>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0"/>
    <w:pPr>
      <w:numPr>
        <w:numId w:val="13"/>
      </w:numPr>
    </w:pPr>
  </w:style>
  <w:style w:type="numbering" w:customStyle="1" w:styleId="Estiloimportado20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n"/>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n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C060AA"/>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C060AA"/>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C060AA"/>
    <w:rPr>
      <w:rFonts w:ascii="Univers" w:hAnsi="Univers"/>
      <w:dstrike w:val="0"/>
      <w:sz w:val="20"/>
      <w:szCs w:val="20"/>
      <w:vertAlign w:val="superscript"/>
      <w:lang w:val="es-CR"/>
    </w:rPr>
  </w:style>
  <w:style w:type="numbering" w:customStyle="1" w:styleId="EstiloImportado20">
    <w:name w:val="Estilo Importado 20"/>
    <w:rsid w:val="00CE4801"/>
    <w:pPr>
      <w:numPr>
        <w:numId w:val="5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5245B"/>
    <w:rsid w:val="002529DA"/>
    <w:rsid w:val="002A3923"/>
    <w:rsid w:val="00394049"/>
    <w:rsid w:val="003B0C71"/>
    <w:rsid w:val="00452D9D"/>
    <w:rsid w:val="004B5BBB"/>
    <w:rsid w:val="004D2B88"/>
    <w:rsid w:val="004F2DF8"/>
    <w:rsid w:val="00517E2A"/>
    <w:rsid w:val="005D0772"/>
    <w:rsid w:val="006F24A1"/>
    <w:rsid w:val="00794422"/>
    <w:rsid w:val="009526CA"/>
    <w:rsid w:val="009A261B"/>
    <w:rsid w:val="00AA2E17"/>
    <w:rsid w:val="00AC15A4"/>
    <w:rsid w:val="00B0336C"/>
    <w:rsid w:val="00B82626"/>
    <w:rsid w:val="00BA7A93"/>
    <w:rsid w:val="00C60AA1"/>
    <w:rsid w:val="00D241E9"/>
    <w:rsid w:val="00D7750D"/>
    <w:rsid w:val="00D77B5F"/>
    <w:rsid w:val="00E4713A"/>
    <w:rsid w:val="00F00D2F"/>
    <w:rsid w:val="00F128DF"/>
    <w:rsid w:val="00F42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C6501-46E4-4EE0-BEDB-CA3E4518A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5902</Words>
  <Characters>33642</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367/21</dc:title>
  <dc:creator/>
  <cp:lastModifiedBy/>
  <cp:revision>1</cp:revision>
  <dcterms:created xsi:type="dcterms:W3CDTF">2022-02-25T19:36:00Z</dcterms:created>
  <dcterms:modified xsi:type="dcterms:W3CDTF">2022-02-25T19:36:00Z</dcterms:modified>
</cp:coreProperties>
</file>