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04C8" w14:textId="77777777" w:rsidR="00040C3A" w:rsidRPr="002E7F70" w:rsidRDefault="00D306D1" w:rsidP="00627C9F">
      <w:pPr>
        <w:jc w:val="both"/>
        <w:rPr>
          <w:rFonts w:asciiTheme="majorHAnsi" w:hAnsiTheme="majorHAnsi" w:cs="Univers"/>
          <w:b/>
          <w:bCs/>
          <w:sz w:val="22"/>
          <w:szCs w:val="22"/>
          <w:lang w:val="es-MX"/>
        </w:rPr>
      </w:pPr>
      <w:r w:rsidRPr="002E7F7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97AB02D" wp14:editId="72C5A5B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21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E7F7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372F83B" wp14:editId="0CA9C36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3D0B7" w14:textId="77777777" w:rsidR="00C83849" w:rsidRDefault="00C83849" w:rsidP="00AE5488">
                            <w:r>
                              <w:rPr>
                                <w:noProof/>
                              </w:rPr>
                              <w:drawing>
                                <wp:inline distT="0" distB="0" distL="0" distR="0" wp14:anchorId="118D75BF" wp14:editId="7AEAD56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F83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7C3D0B7" w14:textId="77777777" w:rsidR="00C83849" w:rsidRDefault="00C83849" w:rsidP="00AE5488">
                      <w:r>
                        <w:rPr>
                          <w:noProof/>
                        </w:rPr>
                        <w:drawing>
                          <wp:inline distT="0" distB="0" distL="0" distR="0" wp14:anchorId="118D75BF" wp14:editId="7AEAD56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E7F70">
        <w:rPr>
          <w:rFonts w:asciiTheme="majorHAnsi" w:hAnsiTheme="majorHAnsi" w:cs="Univers"/>
          <w:b/>
          <w:bCs/>
          <w:sz w:val="22"/>
          <w:szCs w:val="22"/>
          <w:lang w:val="es-MX"/>
        </w:rPr>
        <w:t xml:space="preserve"> </w:t>
      </w:r>
    </w:p>
    <w:p w14:paraId="79176583" w14:textId="77777777" w:rsidR="00040C3A" w:rsidRPr="002E7F70" w:rsidRDefault="00040C3A" w:rsidP="00040C3A">
      <w:pPr>
        <w:tabs>
          <w:tab w:val="center" w:pos="5400"/>
        </w:tabs>
        <w:suppressAutoHyphens/>
        <w:jc w:val="both"/>
        <w:rPr>
          <w:rFonts w:asciiTheme="majorHAnsi" w:hAnsiTheme="majorHAnsi"/>
          <w:sz w:val="22"/>
          <w:szCs w:val="22"/>
          <w:lang w:val="es-MX"/>
        </w:rPr>
      </w:pPr>
    </w:p>
    <w:p w14:paraId="119E5259" w14:textId="77777777" w:rsidR="00040C3A" w:rsidRPr="002E7F70" w:rsidRDefault="00040C3A" w:rsidP="00040C3A">
      <w:pPr>
        <w:tabs>
          <w:tab w:val="center" w:pos="5400"/>
        </w:tabs>
        <w:suppressAutoHyphens/>
        <w:jc w:val="both"/>
        <w:rPr>
          <w:rFonts w:asciiTheme="majorHAnsi" w:hAnsiTheme="majorHAnsi"/>
          <w:sz w:val="22"/>
          <w:szCs w:val="22"/>
          <w:lang w:val="es-MX"/>
        </w:rPr>
      </w:pPr>
    </w:p>
    <w:p w14:paraId="01C9C846" w14:textId="77777777" w:rsidR="005128E4" w:rsidRPr="002E7F70" w:rsidRDefault="005128E4" w:rsidP="00040C3A">
      <w:pPr>
        <w:tabs>
          <w:tab w:val="center" w:pos="5400"/>
        </w:tabs>
        <w:suppressAutoHyphens/>
        <w:rPr>
          <w:rFonts w:asciiTheme="majorHAnsi" w:hAnsiTheme="majorHAnsi"/>
          <w:sz w:val="22"/>
          <w:szCs w:val="22"/>
          <w:lang w:val="es-MX"/>
        </w:rPr>
      </w:pPr>
    </w:p>
    <w:p w14:paraId="3514D1CA" w14:textId="77777777" w:rsidR="005128E4" w:rsidRPr="002E7F70" w:rsidRDefault="005128E4" w:rsidP="00040C3A">
      <w:pPr>
        <w:tabs>
          <w:tab w:val="center" w:pos="5400"/>
        </w:tabs>
        <w:suppressAutoHyphens/>
        <w:rPr>
          <w:rFonts w:asciiTheme="majorHAnsi" w:hAnsiTheme="majorHAnsi"/>
          <w:sz w:val="22"/>
          <w:szCs w:val="22"/>
          <w:lang w:val="es-MX"/>
        </w:rPr>
      </w:pPr>
    </w:p>
    <w:p w14:paraId="7AC0FA3D" w14:textId="77777777" w:rsidR="005128E4" w:rsidRPr="002E7F70" w:rsidRDefault="005128E4" w:rsidP="00040C3A">
      <w:pPr>
        <w:tabs>
          <w:tab w:val="center" w:pos="5400"/>
        </w:tabs>
        <w:suppressAutoHyphens/>
        <w:rPr>
          <w:rFonts w:asciiTheme="majorHAnsi" w:hAnsiTheme="majorHAnsi"/>
          <w:sz w:val="22"/>
          <w:szCs w:val="22"/>
          <w:lang w:val="es-MX"/>
        </w:rPr>
      </w:pPr>
    </w:p>
    <w:p w14:paraId="584CEE6B" w14:textId="77777777" w:rsidR="00040C3A" w:rsidRPr="002E7F70" w:rsidRDefault="00040C3A" w:rsidP="005128E4">
      <w:pPr>
        <w:tabs>
          <w:tab w:val="center" w:pos="5400"/>
        </w:tabs>
        <w:suppressAutoHyphens/>
        <w:jc w:val="center"/>
        <w:rPr>
          <w:rFonts w:asciiTheme="majorHAnsi" w:hAnsiTheme="majorHAnsi"/>
          <w:sz w:val="22"/>
          <w:szCs w:val="22"/>
          <w:lang w:val="es-MX"/>
        </w:rPr>
      </w:pPr>
    </w:p>
    <w:p w14:paraId="1A636D3E" w14:textId="77777777" w:rsidR="00040C3A" w:rsidRPr="002E7F70" w:rsidRDefault="00040C3A" w:rsidP="005128E4">
      <w:pPr>
        <w:tabs>
          <w:tab w:val="center" w:pos="5400"/>
        </w:tabs>
        <w:suppressAutoHyphens/>
        <w:jc w:val="center"/>
        <w:rPr>
          <w:rFonts w:asciiTheme="majorHAnsi" w:hAnsiTheme="majorHAnsi"/>
          <w:sz w:val="22"/>
          <w:szCs w:val="22"/>
          <w:lang w:val="es-MX"/>
        </w:rPr>
      </w:pPr>
    </w:p>
    <w:p w14:paraId="7362AC5A" w14:textId="77777777" w:rsidR="005B52B0" w:rsidRPr="002E7F70" w:rsidRDefault="005B52B0" w:rsidP="005128E4">
      <w:pPr>
        <w:tabs>
          <w:tab w:val="center" w:pos="5400"/>
        </w:tabs>
        <w:suppressAutoHyphens/>
        <w:jc w:val="center"/>
        <w:rPr>
          <w:rFonts w:asciiTheme="majorHAnsi" w:hAnsiTheme="majorHAnsi"/>
          <w:sz w:val="22"/>
          <w:szCs w:val="22"/>
          <w:lang w:val="es-MX"/>
        </w:rPr>
      </w:pPr>
    </w:p>
    <w:p w14:paraId="2B7AE7D1" w14:textId="77777777" w:rsidR="005B52B0" w:rsidRPr="002E7F70" w:rsidRDefault="005B52B0" w:rsidP="005128E4">
      <w:pPr>
        <w:tabs>
          <w:tab w:val="center" w:pos="5400"/>
        </w:tabs>
        <w:suppressAutoHyphens/>
        <w:jc w:val="center"/>
        <w:rPr>
          <w:rFonts w:asciiTheme="majorHAnsi" w:hAnsiTheme="majorHAnsi"/>
          <w:sz w:val="22"/>
          <w:szCs w:val="22"/>
          <w:lang w:val="es-MX"/>
        </w:rPr>
      </w:pPr>
    </w:p>
    <w:p w14:paraId="251BFECA" w14:textId="77777777" w:rsidR="005B52B0" w:rsidRPr="002E7F70" w:rsidRDefault="005B52B0" w:rsidP="005128E4">
      <w:pPr>
        <w:tabs>
          <w:tab w:val="center" w:pos="5400"/>
        </w:tabs>
        <w:suppressAutoHyphens/>
        <w:jc w:val="center"/>
        <w:rPr>
          <w:rFonts w:asciiTheme="majorHAnsi" w:hAnsiTheme="majorHAnsi"/>
          <w:sz w:val="22"/>
          <w:szCs w:val="22"/>
          <w:lang w:val="es-MX"/>
        </w:rPr>
      </w:pPr>
    </w:p>
    <w:p w14:paraId="3E0A5842"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2DE8C3C1"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55AA8C8B" w14:textId="77777777" w:rsidR="00040C3A" w:rsidRPr="002E7F70" w:rsidRDefault="003D3BC2" w:rsidP="00040C3A">
      <w:pPr>
        <w:tabs>
          <w:tab w:val="center" w:pos="5400"/>
        </w:tabs>
        <w:suppressAutoHyphens/>
        <w:jc w:val="center"/>
        <w:rPr>
          <w:rFonts w:asciiTheme="majorHAnsi" w:hAnsiTheme="majorHAnsi"/>
          <w:sz w:val="22"/>
          <w:szCs w:val="22"/>
          <w:lang w:val="es-MX"/>
        </w:rPr>
      </w:pPr>
      <w:r w:rsidRPr="002E7F7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7BB1E30" wp14:editId="1081FF5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0BC91" w14:textId="3E853CFB" w:rsidR="00C83849" w:rsidRPr="004E2649" w:rsidRDefault="00C8384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F32F3">
                              <w:rPr>
                                <w:rFonts w:asciiTheme="majorHAnsi" w:hAnsiTheme="majorHAnsi" w:cs="Arial"/>
                                <w:b/>
                                <w:bCs/>
                                <w:color w:val="0D0D0D" w:themeColor="text1" w:themeTint="F2"/>
                                <w:sz w:val="36"/>
                                <w:szCs w:val="22"/>
                                <w:lang w:val="es-ES_tradnl"/>
                              </w:rPr>
                              <w:t>192</w:t>
                            </w:r>
                            <w:r>
                              <w:rPr>
                                <w:rFonts w:asciiTheme="majorHAnsi" w:hAnsiTheme="majorHAnsi" w:cs="Arial"/>
                                <w:b/>
                                <w:bCs/>
                                <w:color w:val="0D0D0D" w:themeColor="text1" w:themeTint="F2"/>
                                <w:sz w:val="36"/>
                                <w:szCs w:val="22"/>
                                <w:lang w:val="es-ES_tradnl"/>
                              </w:rPr>
                              <w:t>/2</w:t>
                            </w:r>
                            <w:r w:rsidR="00BF32F3">
                              <w:rPr>
                                <w:rFonts w:asciiTheme="majorHAnsi" w:hAnsiTheme="majorHAnsi" w:cs="Arial"/>
                                <w:b/>
                                <w:bCs/>
                                <w:color w:val="0D0D0D" w:themeColor="text1" w:themeTint="F2"/>
                                <w:sz w:val="36"/>
                                <w:szCs w:val="22"/>
                                <w:lang w:val="es-ES_tradnl"/>
                              </w:rPr>
                              <w:t>1</w:t>
                            </w:r>
                          </w:p>
                          <w:p w14:paraId="347EE4A3" w14:textId="29517F3F" w:rsidR="00C83849" w:rsidRDefault="00C8384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618CC">
                              <w:rPr>
                                <w:rFonts w:asciiTheme="majorHAnsi" w:hAnsiTheme="majorHAnsi" w:cs="Arial"/>
                                <w:b/>
                                <w:color w:val="0D0D0D" w:themeColor="text1" w:themeTint="F2"/>
                                <w:sz w:val="36"/>
                                <w:szCs w:val="22"/>
                                <w:lang w:val="es-ES_tradnl"/>
                              </w:rPr>
                              <w:t>1522</w:t>
                            </w:r>
                            <w:r w:rsidRPr="004E2649">
                              <w:rPr>
                                <w:rFonts w:asciiTheme="majorHAnsi" w:hAnsiTheme="majorHAnsi" w:cs="Arial"/>
                                <w:b/>
                                <w:color w:val="0D0D0D" w:themeColor="text1" w:themeTint="F2"/>
                                <w:sz w:val="36"/>
                                <w:szCs w:val="22"/>
                                <w:lang w:val="es-ES_tradnl"/>
                              </w:rPr>
                              <w:t>-</w:t>
                            </w:r>
                            <w:r w:rsidR="005618CC">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3161284" w14:textId="29C77692" w:rsidR="00C83849" w:rsidRPr="0010736F" w:rsidRDefault="0095570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00D10881" w14:textId="77777777" w:rsidR="00C83849" w:rsidRPr="0010736F" w:rsidRDefault="00C83849" w:rsidP="00997BC5">
                            <w:pPr>
                              <w:spacing w:line="276" w:lineRule="auto"/>
                              <w:rPr>
                                <w:rFonts w:asciiTheme="majorHAnsi" w:hAnsiTheme="majorHAnsi" w:cs="Arial"/>
                                <w:color w:val="0D0D0D" w:themeColor="text1" w:themeTint="F2"/>
                                <w:szCs w:val="22"/>
                                <w:lang w:val="es-ES_tradnl"/>
                              </w:rPr>
                            </w:pPr>
                            <w:bookmarkStart w:id="0" w:name="_ftnref1"/>
                          </w:p>
                          <w:p w14:paraId="6E3FF955" w14:textId="3943C80A" w:rsidR="00C83849" w:rsidRPr="0010736F" w:rsidRDefault="0095570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URIBE CHACÓN Y FAMILIA</w:t>
                            </w:r>
                          </w:p>
                          <w:bookmarkEnd w:id="0"/>
                          <w:p w14:paraId="274D12C2" w14:textId="3B692C73" w:rsidR="00C83849" w:rsidRPr="0010736F" w:rsidRDefault="0095570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2D55DE3" w14:textId="77777777" w:rsidR="00C83849" w:rsidRPr="00AE5488" w:rsidRDefault="00C8384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B1E30"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EF0BC91" w14:textId="3E853CFB" w:rsidR="00C83849" w:rsidRPr="004E2649" w:rsidRDefault="00C8384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F32F3">
                        <w:rPr>
                          <w:rFonts w:asciiTheme="majorHAnsi" w:hAnsiTheme="majorHAnsi" w:cs="Arial"/>
                          <w:b/>
                          <w:bCs/>
                          <w:color w:val="0D0D0D" w:themeColor="text1" w:themeTint="F2"/>
                          <w:sz w:val="36"/>
                          <w:szCs w:val="22"/>
                          <w:lang w:val="es-ES_tradnl"/>
                        </w:rPr>
                        <w:t>192</w:t>
                      </w:r>
                      <w:r>
                        <w:rPr>
                          <w:rFonts w:asciiTheme="majorHAnsi" w:hAnsiTheme="majorHAnsi" w:cs="Arial"/>
                          <w:b/>
                          <w:bCs/>
                          <w:color w:val="0D0D0D" w:themeColor="text1" w:themeTint="F2"/>
                          <w:sz w:val="36"/>
                          <w:szCs w:val="22"/>
                          <w:lang w:val="es-ES_tradnl"/>
                        </w:rPr>
                        <w:t>/2</w:t>
                      </w:r>
                      <w:r w:rsidR="00BF32F3">
                        <w:rPr>
                          <w:rFonts w:asciiTheme="majorHAnsi" w:hAnsiTheme="majorHAnsi" w:cs="Arial"/>
                          <w:b/>
                          <w:bCs/>
                          <w:color w:val="0D0D0D" w:themeColor="text1" w:themeTint="F2"/>
                          <w:sz w:val="36"/>
                          <w:szCs w:val="22"/>
                          <w:lang w:val="es-ES_tradnl"/>
                        </w:rPr>
                        <w:t>1</w:t>
                      </w:r>
                    </w:p>
                    <w:p w14:paraId="347EE4A3" w14:textId="29517F3F" w:rsidR="00C83849" w:rsidRDefault="00C8384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618CC">
                        <w:rPr>
                          <w:rFonts w:asciiTheme="majorHAnsi" w:hAnsiTheme="majorHAnsi" w:cs="Arial"/>
                          <w:b/>
                          <w:color w:val="0D0D0D" w:themeColor="text1" w:themeTint="F2"/>
                          <w:sz w:val="36"/>
                          <w:szCs w:val="22"/>
                          <w:lang w:val="es-ES_tradnl"/>
                        </w:rPr>
                        <w:t>1522</w:t>
                      </w:r>
                      <w:r w:rsidRPr="004E2649">
                        <w:rPr>
                          <w:rFonts w:asciiTheme="majorHAnsi" w:hAnsiTheme="majorHAnsi" w:cs="Arial"/>
                          <w:b/>
                          <w:color w:val="0D0D0D" w:themeColor="text1" w:themeTint="F2"/>
                          <w:sz w:val="36"/>
                          <w:szCs w:val="22"/>
                          <w:lang w:val="es-ES_tradnl"/>
                        </w:rPr>
                        <w:t>-</w:t>
                      </w:r>
                      <w:r w:rsidR="005618CC">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3161284" w14:textId="29C77692" w:rsidR="00C83849" w:rsidRPr="0010736F" w:rsidRDefault="0095570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00D10881" w14:textId="77777777" w:rsidR="00C83849" w:rsidRPr="0010736F" w:rsidRDefault="00C83849" w:rsidP="00997BC5">
                      <w:pPr>
                        <w:spacing w:line="276" w:lineRule="auto"/>
                        <w:rPr>
                          <w:rFonts w:asciiTheme="majorHAnsi" w:hAnsiTheme="majorHAnsi" w:cs="Arial"/>
                          <w:color w:val="0D0D0D" w:themeColor="text1" w:themeTint="F2"/>
                          <w:szCs w:val="22"/>
                          <w:lang w:val="es-ES_tradnl"/>
                        </w:rPr>
                      </w:pPr>
                      <w:bookmarkStart w:id="1" w:name="_ftnref1"/>
                    </w:p>
                    <w:p w14:paraId="6E3FF955" w14:textId="3943C80A" w:rsidR="00C83849" w:rsidRPr="0010736F" w:rsidRDefault="0095570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URIBE CHACÓN Y FAMILIA</w:t>
                      </w:r>
                    </w:p>
                    <w:bookmarkEnd w:id="1"/>
                    <w:p w14:paraId="274D12C2" w14:textId="3B692C73" w:rsidR="00C83849" w:rsidRPr="0010736F" w:rsidRDefault="0095570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2D55DE3" w14:textId="77777777" w:rsidR="00C83849" w:rsidRPr="00AE5488" w:rsidRDefault="00C83849" w:rsidP="007A5817">
                      <w:pPr>
                        <w:rPr>
                          <w:color w:val="0D0D0D" w:themeColor="text1" w:themeTint="F2"/>
                          <w:lang w:val="es-ES_tradnl"/>
                        </w:rPr>
                      </w:pPr>
                    </w:p>
                  </w:txbxContent>
                </v:textbox>
              </v:shape>
            </w:pict>
          </mc:Fallback>
        </mc:AlternateContent>
      </w:r>
      <w:r w:rsidR="004E2649" w:rsidRPr="002E7F7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2E6A26" wp14:editId="1DAB2C1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C671D" w14:textId="2F238F50" w:rsidR="00C83849" w:rsidRPr="00143376" w:rsidRDefault="00C83849" w:rsidP="007A5817">
                            <w:pPr>
                              <w:spacing w:line="276" w:lineRule="auto"/>
                              <w:jc w:val="right"/>
                              <w:rPr>
                                <w:rFonts w:asciiTheme="minorHAnsi" w:hAnsiTheme="minorHAnsi"/>
                                <w:color w:val="FFFFFF" w:themeColor="background1"/>
                                <w:sz w:val="22"/>
                                <w:lang w:val="es-419"/>
                              </w:rPr>
                            </w:pPr>
                            <w:r w:rsidRPr="00143376">
                              <w:rPr>
                                <w:rFonts w:asciiTheme="minorHAnsi" w:hAnsiTheme="minorHAnsi"/>
                                <w:color w:val="FFFFFF" w:themeColor="background1"/>
                                <w:sz w:val="22"/>
                                <w:lang w:val="es-419"/>
                              </w:rPr>
                              <w:t>OEA/Ser.L/V/II</w:t>
                            </w:r>
                          </w:p>
                          <w:p w14:paraId="565CB114" w14:textId="071F855D" w:rsidR="00C83849" w:rsidRPr="00143376" w:rsidRDefault="00C83849" w:rsidP="007A5817">
                            <w:pPr>
                              <w:spacing w:line="276" w:lineRule="auto"/>
                              <w:jc w:val="right"/>
                              <w:rPr>
                                <w:rFonts w:asciiTheme="minorHAnsi" w:hAnsiTheme="minorHAnsi"/>
                                <w:color w:val="FFFFFF" w:themeColor="background1"/>
                                <w:sz w:val="22"/>
                                <w:lang w:val="es-419"/>
                              </w:rPr>
                            </w:pPr>
                            <w:r w:rsidRPr="00143376">
                              <w:rPr>
                                <w:rFonts w:asciiTheme="minorHAnsi" w:hAnsiTheme="minorHAnsi"/>
                                <w:color w:val="FFFFFF" w:themeColor="background1"/>
                                <w:sz w:val="22"/>
                                <w:lang w:val="es-419"/>
                              </w:rPr>
                              <w:t xml:space="preserve">Doc. </w:t>
                            </w:r>
                            <w:r w:rsidR="00BF32F3" w:rsidRPr="00143376">
                              <w:rPr>
                                <w:rFonts w:asciiTheme="minorHAnsi" w:hAnsiTheme="minorHAnsi"/>
                                <w:color w:val="FFFFFF" w:themeColor="background1"/>
                                <w:sz w:val="22"/>
                                <w:lang w:val="es-419"/>
                              </w:rPr>
                              <w:t>200</w:t>
                            </w:r>
                          </w:p>
                          <w:p w14:paraId="3D023B89" w14:textId="59FD67EF" w:rsidR="00C83849" w:rsidRPr="00C25ADB" w:rsidRDefault="00BF32F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C83849"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19B2C67F" w14:textId="77777777" w:rsidR="00C83849" w:rsidRPr="00C25ADB" w:rsidRDefault="00C8384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E6A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58C671D" w14:textId="2F238F50" w:rsidR="00C83849" w:rsidRPr="00143376" w:rsidRDefault="00C83849" w:rsidP="007A5817">
                      <w:pPr>
                        <w:spacing w:line="276" w:lineRule="auto"/>
                        <w:jc w:val="right"/>
                        <w:rPr>
                          <w:rFonts w:asciiTheme="minorHAnsi" w:hAnsiTheme="minorHAnsi"/>
                          <w:color w:val="FFFFFF" w:themeColor="background1"/>
                          <w:sz w:val="22"/>
                          <w:lang w:val="es-419"/>
                        </w:rPr>
                      </w:pPr>
                      <w:r w:rsidRPr="00143376">
                        <w:rPr>
                          <w:rFonts w:asciiTheme="minorHAnsi" w:hAnsiTheme="minorHAnsi"/>
                          <w:color w:val="FFFFFF" w:themeColor="background1"/>
                          <w:sz w:val="22"/>
                          <w:lang w:val="es-419"/>
                        </w:rPr>
                        <w:t>OEA/Ser.L/V/II</w:t>
                      </w:r>
                    </w:p>
                    <w:p w14:paraId="565CB114" w14:textId="071F855D" w:rsidR="00C83849" w:rsidRPr="00143376" w:rsidRDefault="00C83849" w:rsidP="007A5817">
                      <w:pPr>
                        <w:spacing w:line="276" w:lineRule="auto"/>
                        <w:jc w:val="right"/>
                        <w:rPr>
                          <w:rFonts w:asciiTheme="minorHAnsi" w:hAnsiTheme="minorHAnsi"/>
                          <w:color w:val="FFFFFF" w:themeColor="background1"/>
                          <w:sz w:val="22"/>
                          <w:lang w:val="es-419"/>
                        </w:rPr>
                      </w:pPr>
                      <w:r w:rsidRPr="00143376">
                        <w:rPr>
                          <w:rFonts w:asciiTheme="minorHAnsi" w:hAnsiTheme="minorHAnsi"/>
                          <w:color w:val="FFFFFF" w:themeColor="background1"/>
                          <w:sz w:val="22"/>
                          <w:lang w:val="es-419"/>
                        </w:rPr>
                        <w:t xml:space="preserve">Doc. </w:t>
                      </w:r>
                      <w:r w:rsidR="00BF32F3" w:rsidRPr="00143376">
                        <w:rPr>
                          <w:rFonts w:asciiTheme="minorHAnsi" w:hAnsiTheme="minorHAnsi"/>
                          <w:color w:val="FFFFFF" w:themeColor="background1"/>
                          <w:sz w:val="22"/>
                          <w:lang w:val="es-419"/>
                        </w:rPr>
                        <w:t>200</w:t>
                      </w:r>
                    </w:p>
                    <w:p w14:paraId="3D023B89" w14:textId="59FD67EF" w:rsidR="00C83849" w:rsidRPr="00C25ADB" w:rsidRDefault="00BF32F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C83849"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19B2C67F" w14:textId="77777777" w:rsidR="00C83849" w:rsidRPr="00C25ADB" w:rsidRDefault="00C8384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ADE8AA3"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16795666"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47F44FF6" w14:textId="77777777" w:rsidR="00040C3A" w:rsidRPr="002E7F70" w:rsidRDefault="00040C3A" w:rsidP="00040C3A">
      <w:pPr>
        <w:tabs>
          <w:tab w:val="center" w:pos="5400"/>
        </w:tabs>
        <w:suppressAutoHyphens/>
        <w:jc w:val="center"/>
        <w:rPr>
          <w:rFonts w:asciiTheme="majorHAnsi" w:hAnsiTheme="majorHAnsi" w:cs="Arial"/>
          <w:sz w:val="22"/>
          <w:szCs w:val="22"/>
          <w:lang w:val="es-MX"/>
        </w:rPr>
      </w:pPr>
    </w:p>
    <w:p w14:paraId="02AC6018"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29EF3663"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59063A40"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5EF58243"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0B933C74" w14:textId="77777777" w:rsidR="005128E4" w:rsidRPr="002E7F70" w:rsidRDefault="005128E4" w:rsidP="00040C3A">
      <w:pPr>
        <w:tabs>
          <w:tab w:val="center" w:pos="5400"/>
        </w:tabs>
        <w:suppressAutoHyphens/>
        <w:jc w:val="center"/>
        <w:rPr>
          <w:rFonts w:asciiTheme="majorHAnsi" w:hAnsiTheme="majorHAnsi"/>
          <w:sz w:val="22"/>
          <w:szCs w:val="22"/>
          <w:lang w:val="es-MX"/>
        </w:rPr>
      </w:pPr>
    </w:p>
    <w:p w14:paraId="2A82E823"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7B1050D1" w14:textId="77777777" w:rsidR="005128E4" w:rsidRPr="002E7F70" w:rsidRDefault="005128E4" w:rsidP="00040C3A">
      <w:pPr>
        <w:tabs>
          <w:tab w:val="center" w:pos="5400"/>
        </w:tabs>
        <w:suppressAutoHyphens/>
        <w:jc w:val="center"/>
        <w:rPr>
          <w:rFonts w:asciiTheme="majorHAnsi" w:hAnsiTheme="majorHAnsi"/>
          <w:sz w:val="22"/>
          <w:szCs w:val="22"/>
          <w:lang w:val="es-MX"/>
        </w:rPr>
      </w:pPr>
    </w:p>
    <w:p w14:paraId="3BF9546B" w14:textId="77777777" w:rsidR="005128E4" w:rsidRPr="002E7F70" w:rsidRDefault="005128E4" w:rsidP="00040C3A">
      <w:pPr>
        <w:tabs>
          <w:tab w:val="center" w:pos="5400"/>
        </w:tabs>
        <w:suppressAutoHyphens/>
        <w:jc w:val="center"/>
        <w:rPr>
          <w:rFonts w:asciiTheme="majorHAnsi" w:hAnsiTheme="majorHAnsi"/>
          <w:sz w:val="22"/>
          <w:szCs w:val="22"/>
          <w:lang w:val="es-MX"/>
        </w:rPr>
      </w:pPr>
    </w:p>
    <w:p w14:paraId="67285553" w14:textId="77777777" w:rsidR="005128E4" w:rsidRPr="002E7F70" w:rsidRDefault="005128E4" w:rsidP="00040C3A">
      <w:pPr>
        <w:tabs>
          <w:tab w:val="center" w:pos="5400"/>
        </w:tabs>
        <w:suppressAutoHyphens/>
        <w:jc w:val="center"/>
        <w:rPr>
          <w:rFonts w:asciiTheme="majorHAnsi" w:hAnsiTheme="majorHAnsi"/>
          <w:sz w:val="22"/>
          <w:szCs w:val="22"/>
          <w:lang w:val="es-MX"/>
        </w:rPr>
      </w:pPr>
    </w:p>
    <w:p w14:paraId="115E43CC"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685B9923" w14:textId="77777777" w:rsidR="00040C3A" w:rsidRPr="002E7F70" w:rsidRDefault="00040C3A" w:rsidP="00040C3A">
      <w:pPr>
        <w:tabs>
          <w:tab w:val="center" w:pos="5400"/>
        </w:tabs>
        <w:suppressAutoHyphens/>
        <w:jc w:val="center"/>
        <w:rPr>
          <w:rFonts w:asciiTheme="majorHAnsi" w:hAnsiTheme="majorHAnsi"/>
          <w:sz w:val="22"/>
          <w:szCs w:val="22"/>
          <w:lang w:val="es-MX"/>
        </w:rPr>
      </w:pPr>
    </w:p>
    <w:p w14:paraId="1D0EBE1E"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59A035AD"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72381133"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6BF8CC2F"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42BE0E40"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10358BBD"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713E8702"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06CE3E28"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313343B2"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16B8E23A"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4DCB8763"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1415C346"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21F113E5"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38950C43"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49043889" w14:textId="77777777" w:rsidR="00A50FCF" w:rsidRPr="002E7F70" w:rsidRDefault="0090270B" w:rsidP="00040C3A">
      <w:pPr>
        <w:tabs>
          <w:tab w:val="center" w:pos="5400"/>
        </w:tabs>
        <w:suppressAutoHyphens/>
        <w:jc w:val="center"/>
        <w:rPr>
          <w:rFonts w:asciiTheme="majorHAnsi" w:hAnsiTheme="majorHAnsi"/>
          <w:sz w:val="18"/>
          <w:szCs w:val="22"/>
          <w:lang w:val="es-MX"/>
        </w:rPr>
      </w:pPr>
      <w:r w:rsidRPr="002E7F7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C6501B" wp14:editId="34FC040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AE36D" w14:textId="19C2B2CD" w:rsidR="00C83849" w:rsidRPr="00890650" w:rsidRDefault="00C8384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32F3">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F32F3">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F32F3">
                              <w:rPr>
                                <w:rFonts w:asciiTheme="majorHAnsi" w:hAnsiTheme="majorHAnsi"/>
                                <w:color w:val="0D0D0D" w:themeColor="text1" w:themeTint="F2"/>
                                <w:sz w:val="18"/>
                                <w:szCs w:val="22"/>
                                <w:lang w:val="es-ES"/>
                              </w:rPr>
                              <w:t>1</w:t>
                            </w:r>
                            <w:r w:rsidR="00627B14">
                              <w:rPr>
                                <w:rFonts w:asciiTheme="majorHAnsi" w:hAnsiTheme="majorHAnsi"/>
                                <w:color w:val="0D0D0D" w:themeColor="text1" w:themeTint="F2"/>
                                <w:sz w:val="18"/>
                                <w:szCs w:val="22"/>
                                <w:lang w:val="es-ES"/>
                              </w:rPr>
                              <w:t>.</w:t>
                            </w:r>
                          </w:p>
                          <w:p w14:paraId="0FF38EFD" w14:textId="77777777" w:rsidR="00C83849" w:rsidRPr="007A5817" w:rsidRDefault="00C83849" w:rsidP="00247403">
                            <w:pPr>
                              <w:tabs>
                                <w:tab w:val="center" w:pos="5400"/>
                              </w:tabs>
                              <w:suppressAutoHyphens/>
                              <w:spacing w:before="60"/>
                              <w:rPr>
                                <w:rFonts w:asciiTheme="minorHAnsi" w:hAnsiTheme="minorHAnsi" w:cs="Univers"/>
                                <w:color w:val="0D0D0D" w:themeColor="text1" w:themeTint="F2"/>
                                <w:sz w:val="20"/>
                                <w:szCs w:val="20"/>
                                <w:lang w:val="es-ES"/>
                              </w:rPr>
                            </w:pPr>
                          </w:p>
                          <w:p w14:paraId="0DC130D7" w14:textId="77777777" w:rsidR="00C83849" w:rsidRPr="00167A34" w:rsidRDefault="00C8384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6501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CFAE36D" w14:textId="19C2B2CD" w:rsidR="00C83849" w:rsidRPr="00890650" w:rsidRDefault="00C8384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F32F3">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F32F3">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F32F3">
                        <w:rPr>
                          <w:rFonts w:asciiTheme="majorHAnsi" w:hAnsiTheme="majorHAnsi"/>
                          <w:color w:val="0D0D0D" w:themeColor="text1" w:themeTint="F2"/>
                          <w:sz w:val="18"/>
                          <w:szCs w:val="22"/>
                          <w:lang w:val="es-ES"/>
                        </w:rPr>
                        <w:t>1</w:t>
                      </w:r>
                      <w:r w:rsidR="00627B14">
                        <w:rPr>
                          <w:rFonts w:asciiTheme="majorHAnsi" w:hAnsiTheme="majorHAnsi"/>
                          <w:color w:val="0D0D0D" w:themeColor="text1" w:themeTint="F2"/>
                          <w:sz w:val="18"/>
                          <w:szCs w:val="22"/>
                          <w:lang w:val="es-ES"/>
                        </w:rPr>
                        <w:t>.</w:t>
                      </w:r>
                    </w:p>
                    <w:p w14:paraId="0FF38EFD" w14:textId="77777777" w:rsidR="00C83849" w:rsidRPr="007A5817" w:rsidRDefault="00C83849" w:rsidP="00247403">
                      <w:pPr>
                        <w:tabs>
                          <w:tab w:val="center" w:pos="5400"/>
                        </w:tabs>
                        <w:suppressAutoHyphens/>
                        <w:spacing w:before="60"/>
                        <w:rPr>
                          <w:rFonts w:asciiTheme="minorHAnsi" w:hAnsiTheme="minorHAnsi" w:cs="Univers"/>
                          <w:color w:val="0D0D0D" w:themeColor="text1" w:themeTint="F2"/>
                          <w:sz w:val="20"/>
                          <w:szCs w:val="20"/>
                          <w:lang w:val="es-ES"/>
                        </w:rPr>
                      </w:pPr>
                    </w:p>
                    <w:p w14:paraId="0DC130D7" w14:textId="77777777" w:rsidR="00C83849" w:rsidRPr="00167A34" w:rsidRDefault="00C8384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1F9C393"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25D0B625"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52E877D1"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3B49669E"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09F27F23" w14:textId="77777777" w:rsidR="00A50FCF" w:rsidRPr="002E7F70" w:rsidRDefault="0090270B" w:rsidP="00040C3A">
      <w:pPr>
        <w:tabs>
          <w:tab w:val="center" w:pos="5400"/>
        </w:tabs>
        <w:suppressAutoHyphens/>
        <w:jc w:val="center"/>
        <w:rPr>
          <w:rFonts w:asciiTheme="majorHAnsi" w:hAnsiTheme="majorHAnsi"/>
          <w:sz w:val="18"/>
          <w:szCs w:val="22"/>
          <w:lang w:val="es-MX"/>
        </w:rPr>
      </w:pPr>
      <w:r w:rsidRPr="002E7F7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3339A25" wp14:editId="2DAD653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8EC52" w14:textId="12EBBF8E" w:rsidR="00C83849" w:rsidRPr="007B05C4" w:rsidRDefault="00C8384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32F3" w:rsidRPr="00BF32F3">
                              <w:rPr>
                                <w:rFonts w:asciiTheme="majorHAnsi" w:hAnsiTheme="majorHAnsi"/>
                                <w:color w:val="595959" w:themeColor="text1" w:themeTint="A6"/>
                                <w:sz w:val="18"/>
                                <w:szCs w:val="18"/>
                                <w:lang w:val="pt-BR"/>
                              </w:rPr>
                              <w:t>192</w:t>
                            </w:r>
                            <w:r w:rsidRPr="00BF32F3">
                              <w:rPr>
                                <w:rFonts w:asciiTheme="majorHAnsi" w:hAnsiTheme="majorHAnsi"/>
                                <w:color w:val="595959" w:themeColor="text1" w:themeTint="A6"/>
                                <w:sz w:val="18"/>
                                <w:szCs w:val="18"/>
                                <w:lang w:val="pt-BR"/>
                              </w:rPr>
                              <w:t>/</w:t>
                            </w:r>
                            <w:r w:rsidR="00BF32F3" w:rsidRPr="00BF32F3">
                              <w:rPr>
                                <w:rFonts w:asciiTheme="majorHAnsi" w:hAnsiTheme="majorHAnsi"/>
                                <w:color w:val="595959" w:themeColor="text1" w:themeTint="A6"/>
                                <w:sz w:val="18"/>
                                <w:szCs w:val="18"/>
                                <w:lang w:val="pt-BR"/>
                              </w:rPr>
                              <w:t>21</w:t>
                            </w:r>
                            <w:r w:rsidRPr="00BF32F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5618CC">
                              <w:rPr>
                                <w:rFonts w:asciiTheme="majorHAnsi" w:hAnsiTheme="majorHAnsi"/>
                                <w:color w:val="595959" w:themeColor="text1" w:themeTint="A6"/>
                                <w:sz w:val="18"/>
                                <w:szCs w:val="18"/>
                                <w:lang w:val="es-ES"/>
                              </w:rPr>
                              <w:t>1522</w:t>
                            </w:r>
                            <w:r>
                              <w:rPr>
                                <w:rFonts w:asciiTheme="majorHAnsi" w:hAnsiTheme="majorHAnsi"/>
                                <w:color w:val="595959" w:themeColor="text1" w:themeTint="A6"/>
                                <w:sz w:val="18"/>
                                <w:szCs w:val="18"/>
                                <w:lang w:val="es-ES"/>
                              </w:rPr>
                              <w:t>-</w:t>
                            </w:r>
                            <w:r w:rsidR="005618CC">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5618CC">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5618CC" w:rsidRPr="005618CC">
                              <w:rPr>
                                <w:rFonts w:asciiTheme="majorHAnsi" w:hAnsiTheme="majorHAnsi"/>
                                <w:bCs/>
                                <w:color w:val="595959" w:themeColor="text1" w:themeTint="A6"/>
                                <w:sz w:val="18"/>
                                <w:szCs w:val="18"/>
                                <w:lang w:val="es-MX"/>
                              </w:rPr>
                              <w:t>Alejandro Uribe Chacón y familia</w:t>
                            </w:r>
                            <w:r w:rsidRPr="00890650">
                              <w:rPr>
                                <w:rFonts w:asciiTheme="majorHAnsi" w:hAnsiTheme="majorHAnsi"/>
                                <w:color w:val="595959" w:themeColor="text1" w:themeTint="A6"/>
                                <w:sz w:val="18"/>
                                <w:szCs w:val="18"/>
                                <w:lang w:val="es-ES_tradnl"/>
                              </w:rPr>
                              <w:t xml:space="preserve">. </w:t>
                            </w:r>
                            <w:r w:rsidR="005618C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F32F3">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9A2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5F8EC52" w14:textId="12EBBF8E" w:rsidR="00C83849" w:rsidRPr="007B05C4" w:rsidRDefault="00C8384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32F3" w:rsidRPr="00BF32F3">
                        <w:rPr>
                          <w:rFonts w:asciiTheme="majorHAnsi" w:hAnsiTheme="majorHAnsi"/>
                          <w:color w:val="595959" w:themeColor="text1" w:themeTint="A6"/>
                          <w:sz w:val="18"/>
                          <w:szCs w:val="18"/>
                          <w:lang w:val="pt-BR"/>
                        </w:rPr>
                        <w:t>192</w:t>
                      </w:r>
                      <w:r w:rsidRPr="00BF32F3">
                        <w:rPr>
                          <w:rFonts w:asciiTheme="majorHAnsi" w:hAnsiTheme="majorHAnsi"/>
                          <w:color w:val="595959" w:themeColor="text1" w:themeTint="A6"/>
                          <w:sz w:val="18"/>
                          <w:szCs w:val="18"/>
                          <w:lang w:val="pt-BR"/>
                        </w:rPr>
                        <w:t>/</w:t>
                      </w:r>
                      <w:r w:rsidR="00BF32F3" w:rsidRPr="00BF32F3">
                        <w:rPr>
                          <w:rFonts w:asciiTheme="majorHAnsi" w:hAnsiTheme="majorHAnsi"/>
                          <w:color w:val="595959" w:themeColor="text1" w:themeTint="A6"/>
                          <w:sz w:val="18"/>
                          <w:szCs w:val="18"/>
                          <w:lang w:val="pt-BR"/>
                        </w:rPr>
                        <w:t>21</w:t>
                      </w:r>
                      <w:r w:rsidRPr="00BF32F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5618CC">
                        <w:rPr>
                          <w:rFonts w:asciiTheme="majorHAnsi" w:hAnsiTheme="majorHAnsi"/>
                          <w:color w:val="595959" w:themeColor="text1" w:themeTint="A6"/>
                          <w:sz w:val="18"/>
                          <w:szCs w:val="18"/>
                          <w:lang w:val="es-ES"/>
                        </w:rPr>
                        <w:t>1522</w:t>
                      </w:r>
                      <w:r>
                        <w:rPr>
                          <w:rFonts w:asciiTheme="majorHAnsi" w:hAnsiTheme="majorHAnsi"/>
                          <w:color w:val="595959" w:themeColor="text1" w:themeTint="A6"/>
                          <w:sz w:val="18"/>
                          <w:szCs w:val="18"/>
                          <w:lang w:val="es-ES"/>
                        </w:rPr>
                        <w:t>-</w:t>
                      </w:r>
                      <w:r w:rsidR="005618CC">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5618CC">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5618CC" w:rsidRPr="005618CC">
                        <w:rPr>
                          <w:rFonts w:asciiTheme="majorHAnsi" w:hAnsiTheme="majorHAnsi"/>
                          <w:bCs/>
                          <w:color w:val="595959" w:themeColor="text1" w:themeTint="A6"/>
                          <w:sz w:val="18"/>
                          <w:szCs w:val="18"/>
                          <w:lang w:val="es-MX"/>
                        </w:rPr>
                        <w:t>Alejandro Uribe Chacón y familia</w:t>
                      </w:r>
                      <w:r w:rsidRPr="00890650">
                        <w:rPr>
                          <w:rFonts w:asciiTheme="majorHAnsi" w:hAnsiTheme="majorHAnsi"/>
                          <w:color w:val="595959" w:themeColor="text1" w:themeTint="A6"/>
                          <w:sz w:val="18"/>
                          <w:szCs w:val="18"/>
                          <w:lang w:val="es-ES_tradnl"/>
                        </w:rPr>
                        <w:t xml:space="preserve">. </w:t>
                      </w:r>
                      <w:r w:rsidR="005618C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F32F3">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37041CFC" w14:textId="77777777" w:rsidR="00A50FCF" w:rsidRPr="002E7F70" w:rsidRDefault="00A50FCF" w:rsidP="00040C3A">
      <w:pPr>
        <w:tabs>
          <w:tab w:val="center" w:pos="5400"/>
        </w:tabs>
        <w:suppressAutoHyphens/>
        <w:jc w:val="center"/>
        <w:rPr>
          <w:rFonts w:asciiTheme="majorHAnsi" w:hAnsiTheme="majorHAnsi"/>
          <w:sz w:val="18"/>
          <w:szCs w:val="22"/>
          <w:lang w:val="es-MX"/>
        </w:rPr>
      </w:pPr>
    </w:p>
    <w:p w14:paraId="33D8BD06" w14:textId="0B1D6797" w:rsidR="0090270B" w:rsidRPr="002E7F70" w:rsidRDefault="00D306D1" w:rsidP="005516A1">
      <w:pPr>
        <w:tabs>
          <w:tab w:val="center" w:pos="5400"/>
        </w:tabs>
        <w:suppressAutoHyphens/>
        <w:jc w:val="center"/>
        <w:rPr>
          <w:rFonts w:asciiTheme="majorHAnsi" w:hAnsiTheme="majorHAnsi"/>
          <w:b/>
          <w:sz w:val="20"/>
          <w:lang w:val="es-MX"/>
        </w:rPr>
      </w:pPr>
      <w:r w:rsidRPr="002E7F7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C8A75CB" wp14:editId="66EB631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EF7AA" w14:textId="77777777" w:rsidR="00C83849" w:rsidRPr="004B7EB6" w:rsidRDefault="00C8384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75CB"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B1EF7AA" w14:textId="77777777" w:rsidR="00C83849" w:rsidRPr="004B7EB6" w:rsidRDefault="00C8384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CD861FA" w14:textId="021BCDF2" w:rsidR="0070697F" w:rsidRPr="002E7F70" w:rsidRDefault="00BF32F3" w:rsidP="005516A1">
      <w:pPr>
        <w:tabs>
          <w:tab w:val="center" w:pos="5400"/>
        </w:tabs>
        <w:suppressAutoHyphens/>
        <w:jc w:val="center"/>
        <w:rPr>
          <w:rFonts w:asciiTheme="majorHAnsi" w:hAnsiTheme="majorHAnsi"/>
          <w:b/>
          <w:sz w:val="20"/>
          <w:lang w:val="es-MX"/>
        </w:rPr>
        <w:sectPr w:rsidR="0070697F" w:rsidRPr="002E7F7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E7F7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010DEC5" wp14:editId="09727D6B">
                <wp:simplePos x="0" y="0"/>
                <wp:positionH relativeFrom="column">
                  <wp:posOffset>1329690</wp:posOffset>
                </wp:positionH>
                <wp:positionV relativeFrom="paragraph">
                  <wp:posOffset>596900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F7CFB" w14:textId="38662A8B" w:rsidR="00C83849" w:rsidRPr="00D72DC6" w:rsidRDefault="00BF32F3" w:rsidP="00F02AD1">
                            <w:pPr>
                              <w:rPr>
                                <w:color w:val="FFFFFF" w:themeColor="background1"/>
                                <w14:textFill>
                                  <w14:noFill/>
                                </w14:textFill>
                              </w:rPr>
                            </w:pPr>
                            <w:r>
                              <w:rPr>
                                <w:noProof/>
                              </w:rPr>
                              <w:drawing>
                                <wp:inline distT="0" distB="0" distL="0" distR="0" wp14:anchorId="427ADD9A" wp14:editId="7E94453E">
                                  <wp:extent cx="1507490" cy="3879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4" cstate="print"/>
                                          <a:stretch>
                                            <a:fillRect/>
                                          </a:stretch>
                                        </pic:blipFill>
                                        <pic:spPr>
                                          <a:xfrm>
                                            <a:off x="0" y="0"/>
                                            <a:ext cx="1507490"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DEC5" id="Text Box 9" o:spid="_x0000_s1032" type="#_x0000_t202" style="position:absolute;left:0;text-align:left;margin-left:104.7pt;margin-top:4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8ifvS4QAAAAoBAAAPAAAAZHJzL2Rvd25yZXYueG1sTI/LToRAEEX3Jv5D&#10;p0zcGKdxAGWQZmKMj8Sdg4+466FLINLVhO4B/HvLlS4rdXLvucV2sb2YcPSdIwUXqwgEUu1MR42C&#10;l+r+PAPhgyaje0eo4Bs9bMvjo0Lnxs30jNMuNIJDyOdaQRvCkEvp6xat9is3IPHv041WBz7HRppR&#10;zxxue7mOoktpdUfc0OoBb1usv3YHq+DjrHl/8svD6xyn8XD3OFVXb6ZS6vRkubkGEXAJfzD86rM6&#10;lOy0dwcyXvQK1tEmYVTBJuFNDGRpkoLYM5nFMciykP8nlD8AAAD//wMAUEsBAi0AFAAGAAgAAAAh&#10;ALaDOJL+AAAA4QEAABMAAAAAAAAAAAAAAAAAAAAAAFtDb250ZW50X1R5cGVzXS54bWxQSwECLQAU&#10;AAYACAAAACEAOP0h/9YAAACUAQAACwAAAAAAAAAAAAAAAAAvAQAAX3JlbHMvLnJlbHNQSwECLQAU&#10;AAYACAAAACEAICk8aIwCAACRBQAADgAAAAAAAAAAAAAAAAAuAgAAZHJzL2Uyb0RvYy54bWxQSwEC&#10;LQAUAAYACAAAACEAfIn70uEAAAAKAQAADwAAAAAAAAAAAAAAAADmBAAAZHJzL2Rvd25yZXYueG1s&#10;UEsFBgAAAAAEAAQA8wAAAPQFAAAAAA==&#10;" fillcolor="white [3201]" stroked="f" strokeweight=".5pt">
                <v:textbox>
                  <w:txbxContent>
                    <w:p w14:paraId="1B3F7CFB" w14:textId="38662A8B" w:rsidR="00C83849" w:rsidRPr="00D72DC6" w:rsidRDefault="00BF32F3" w:rsidP="00F02AD1">
                      <w:pPr>
                        <w:rPr>
                          <w:color w:val="FFFFFF" w:themeColor="background1"/>
                          <w14:textFill>
                            <w14:noFill/>
                          </w14:textFill>
                        </w:rPr>
                      </w:pPr>
                      <w:r>
                        <w:rPr>
                          <w:noProof/>
                        </w:rPr>
                        <w:drawing>
                          <wp:inline distT="0" distB="0" distL="0" distR="0" wp14:anchorId="427ADD9A" wp14:editId="7E94453E">
                            <wp:extent cx="1507490" cy="3879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5" cstate="print"/>
                                    <a:stretch>
                                      <a:fillRect/>
                                    </a:stretch>
                                  </pic:blipFill>
                                  <pic:spPr>
                                    <a:xfrm>
                                      <a:off x="0" y="0"/>
                                      <a:ext cx="1507490" cy="387985"/>
                                    </a:xfrm>
                                    <a:prstGeom prst="rect">
                                      <a:avLst/>
                                    </a:prstGeom>
                                  </pic:spPr>
                                </pic:pic>
                              </a:graphicData>
                            </a:graphic>
                          </wp:inline>
                        </w:drawing>
                      </w:r>
                    </w:p>
                  </w:txbxContent>
                </v:textbox>
              </v:shape>
            </w:pict>
          </mc:Fallback>
        </mc:AlternateContent>
      </w:r>
      <w:r w:rsidR="004A6A54" w:rsidRPr="002E7F70">
        <w:rPr>
          <w:rFonts w:asciiTheme="majorHAnsi" w:hAnsiTheme="majorHAnsi"/>
          <w:b/>
          <w:sz w:val="20"/>
          <w:lang w:val="es-MX"/>
        </w:rPr>
        <w:tab/>
      </w:r>
    </w:p>
    <w:p w14:paraId="343382A5" w14:textId="77777777" w:rsidR="003239B8" w:rsidRPr="002E7F70" w:rsidRDefault="003239B8" w:rsidP="00A9286C">
      <w:pPr>
        <w:spacing w:after="120"/>
        <w:ind w:firstLine="720"/>
        <w:jc w:val="both"/>
        <w:rPr>
          <w:rFonts w:asciiTheme="majorHAnsi" w:hAnsiTheme="majorHAnsi"/>
          <w:b/>
          <w:bCs/>
          <w:sz w:val="20"/>
          <w:szCs w:val="20"/>
          <w:lang w:val="es-MX"/>
        </w:rPr>
      </w:pPr>
      <w:r w:rsidRPr="002E7F70">
        <w:rPr>
          <w:rFonts w:asciiTheme="majorHAnsi" w:hAnsiTheme="majorHAnsi"/>
          <w:b/>
          <w:bCs/>
          <w:sz w:val="20"/>
          <w:szCs w:val="20"/>
          <w:lang w:val="es-MX"/>
        </w:rPr>
        <w:lastRenderedPageBreak/>
        <w:t>I.</w:t>
      </w:r>
      <w:r w:rsidRPr="002E7F70">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D02E8" w14:paraId="6B53FA18" w14:textId="77777777" w:rsidTr="00143376">
        <w:tc>
          <w:tcPr>
            <w:tcW w:w="3600" w:type="dxa"/>
            <w:tcBorders>
              <w:top w:val="single" w:sz="4" w:space="0" w:color="auto"/>
              <w:bottom w:val="single" w:sz="6" w:space="0" w:color="auto"/>
            </w:tcBorders>
            <w:shd w:val="clear" w:color="auto" w:fill="4A7194"/>
            <w:vAlign w:val="center"/>
          </w:tcPr>
          <w:p w14:paraId="3727D114" w14:textId="77777777" w:rsidR="003239B8" w:rsidRPr="00143376" w:rsidRDefault="003239B8"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Parte peticionaria:</w:t>
            </w:r>
          </w:p>
        </w:tc>
        <w:tc>
          <w:tcPr>
            <w:tcW w:w="5760" w:type="dxa"/>
            <w:vAlign w:val="center"/>
          </w:tcPr>
          <w:p w14:paraId="0D8CBDA4" w14:textId="77777777" w:rsidR="003239B8" w:rsidRPr="002E7F70" w:rsidRDefault="0011534A" w:rsidP="00C83849">
            <w:pPr>
              <w:jc w:val="both"/>
              <w:rPr>
                <w:rFonts w:ascii="Cambria" w:hAnsi="Cambria"/>
                <w:bCs/>
                <w:sz w:val="20"/>
                <w:szCs w:val="20"/>
                <w:lang w:val="es-MX"/>
              </w:rPr>
            </w:pPr>
            <w:r w:rsidRPr="002E7F70">
              <w:rPr>
                <w:rFonts w:ascii="Cambria" w:hAnsi="Cambria"/>
                <w:bCs/>
                <w:sz w:val="20"/>
                <w:szCs w:val="20"/>
                <w:lang w:val="es-MX"/>
              </w:rPr>
              <w:t>Corporación Servicios Profesionales Comunitarios (SEMBRAR)</w:t>
            </w:r>
          </w:p>
        </w:tc>
      </w:tr>
      <w:tr w:rsidR="003239B8" w:rsidRPr="005D02E8" w14:paraId="3FD7D70B" w14:textId="77777777" w:rsidTr="00143376">
        <w:tc>
          <w:tcPr>
            <w:tcW w:w="3600" w:type="dxa"/>
            <w:tcBorders>
              <w:top w:val="single" w:sz="6" w:space="0" w:color="auto"/>
              <w:bottom w:val="single" w:sz="6" w:space="0" w:color="auto"/>
            </w:tcBorders>
            <w:shd w:val="clear" w:color="auto" w:fill="4A7194"/>
            <w:vAlign w:val="center"/>
          </w:tcPr>
          <w:p w14:paraId="0FAE496E" w14:textId="77777777" w:rsidR="003239B8" w:rsidRPr="00143376" w:rsidRDefault="006B6959" w:rsidP="00C83849">
            <w:pPr>
              <w:jc w:val="center"/>
              <w:rPr>
                <w:rFonts w:ascii="Cambria" w:hAnsi="Cambria"/>
                <w:b/>
                <w:color w:val="FFFFFF" w:themeColor="background1"/>
                <w:sz w:val="20"/>
                <w:szCs w:val="20"/>
                <w:lang w:val="es-MX"/>
              </w:rPr>
            </w:pPr>
            <w:sdt>
              <w:sdtPr>
                <w:rPr>
                  <w:rFonts w:ascii="Cambria" w:hAnsi="Cambria"/>
                  <w:b/>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43376">
                  <w:rPr>
                    <w:rFonts w:ascii="Cambria" w:hAnsi="Cambria"/>
                    <w:b/>
                    <w:color w:val="FFFFFF" w:themeColor="background1"/>
                    <w:sz w:val="20"/>
                    <w:szCs w:val="20"/>
                    <w:lang w:val="es-MX"/>
                  </w:rPr>
                  <w:t>Presunta víctima</w:t>
                </w:r>
              </w:sdtContent>
            </w:sdt>
            <w:r w:rsidR="003239B8" w:rsidRPr="00143376">
              <w:rPr>
                <w:rFonts w:ascii="Cambria" w:hAnsi="Cambria"/>
                <w:b/>
                <w:color w:val="FFFFFF" w:themeColor="background1"/>
                <w:sz w:val="20"/>
                <w:szCs w:val="20"/>
                <w:lang w:val="es-MX"/>
              </w:rPr>
              <w:t>:</w:t>
            </w:r>
          </w:p>
        </w:tc>
        <w:tc>
          <w:tcPr>
            <w:tcW w:w="5760" w:type="dxa"/>
            <w:vAlign w:val="center"/>
          </w:tcPr>
          <w:p w14:paraId="2C43CB37" w14:textId="285CBC52" w:rsidR="003239B8" w:rsidRPr="002E7F70" w:rsidRDefault="00117C89" w:rsidP="00EA123B">
            <w:pPr>
              <w:jc w:val="both"/>
              <w:rPr>
                <w:rFonts w:ascii="Cambria" w:hAnsi="Cambria"/>
                <w:bCs/>
                <w:sz w:val="20"/>
                <w:szCs w:val="20"/>
                <w:lang w:val="es-MX"/>
              </w:rPr>
            </w:pPr>
            <w:r w:rsidRPr="002E7F70">
              <w:rPr>
                <w:rFonts w:ascii="Cambria" w:hAnsi="Cambria"/>
                <w:bCs/>
                <w:sz w:val="20"/>
                <w:szCs w:val="20"/>
                <w:lang w:val="es-MX"/>
              </w:rPr>
              <w:t>Alejandro Uribe Chacón y familia</w:t>
            </w:r>
          </w:p>
        </w:tc>
      </w:tr>
      <w:tr w:rsidR="003239B8" w:rsidRPr="002E7F70" w14:paraId="26336E50" w14:textId="77777777" w:rsidTr="00143376">
        <w:tc>
          <w:tcPr>
            <w:tcW w:w="3600" w:type="dxa"/>
            <w:tcBorders>
              <w:top w:val="single" w:sz="6" w:space="0" w:color="auto"/>
              <w:bottom w:val="single" w:sz="6" w:space="0" w:color="auto"/>
            </w:tcBorders>
            <w:shd w:val="clear" w:color="auto" w:fill="4A7194"/>
            <w:vAlign w:val="center"/>
          </w:tcPr>
          <w:p w14:paraId="5661A792" w14:textId="77777777" w:rsidR="003239B8" w:rsidRPr="00143376" w:rsidRDefault="003239B8"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Estado denunciado:</w:t>
            </w:r>
          </w:p>
        </w:tc>
        <w:tc>
          <w:tcPr>
            <w:tcW w:w="5760" w:type="dxa"/>
            <w:vAlign w:val="center"/>
          </w:tcPr>
          <w:p w14:paraId="7B667F6D" w14:textId="307E9955" w:rsidR="003239B8" w:rsidRPr="002E7F70" w:rsidRDefault="0011534A" w:rsidP="00EA123B">
            <w:pPr>
              <w:jc w:val="both"/>
              <w:rPr>
                <w:rFonts w:ascii="Cambria" w:hAnsi="Cambria"/>
                <w:bCs/>
                <w:sz w:val="20"/>
                <w:szCs w:val="20"/>
                <w:lang w:val="es-MX"/>
              </w:rPr>
            </w:pPr>
            <w:r w:rsidRPr="002E7F70">
              <w:rPr>
                <w:rFonts w:ascii="Cambria" w:hAnsi="Cambria"/>
                <w:bCs/>
                <w:sz w:val="20"/>
                <w:szCs w:val="20"/>
                <w:lang w:val="es-MX"/>
              </w:rPr>
              <w:t>Colombia</w:t>
            </w:r>
          </w:p>
        </w:tc>
      </w:tr>
      <w:tr w:rsidR="00223A29" w:rsidRPr="005D02E8" w14:paraId="19104D1C" w14:textId="77777777" w:rsidTr="00143376">
        <w:tc>
          <w:tcPr>
            <w:tcW w:w="3600" w:type="dxa"/>
            <w:tcBorders>
              <w:top w:val="single" w:sz="6" w:space="0" w:color="auto"/>
              <w:bottom w:val="single" w:sz="6" w:space="0" w:color="auto"/>
            </w:tcBorders>
            <w:shd w:val="clear" w:color="auto" w:fill="4A7194"/>
            <w:vAlign w:val="center"/>
          </w:tcPr>
          <w:p w14:paraId="1E1BB454" w14:textId="77777777" w:rsidR="00223A29" w:rsidRPr="00143376" w:rsidRDefault="001B3A00" w:rsidP="00E4118C">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 xml:space="preserve">Derechos </w:t>
            </w:r>
            <w:r w:rsidR="00E4118C" w:rsidRPr="00143376">
              <w:rPr>
                <w:rFonts w:ascii="Cambria" w:hAnsi="Cambria"/>
                <w:b/>
                <w:color w:val="FFFFFF" w:themeColor="background1"/>
                <w:sz w:val="20"/>
                <w:szCs w:val="20"/>
                <w:lang w:val="es-MX"/>
              </w:rPr>
              <w:t>invocados</w:t>
            </w:r>
            <w:r w:rsidRPr="00143376">
              <w:rPr>
                <w:rFonts w:ascii="Cambria" w:hAnsi="Cambria"/>
                <w:b/>
                <w:color w:val="FFFFFF" w:themeColor="background1"/>
                <w:sz w:val="20"/>
                <w:szCs w:val="20"/>
                <w:lang w:val="es-MX"/>
              </w:rPr>
              <w:t>:</w:t>
            </w:r>
          </w:p>
        </w:tc>
        <w:tc>
          <w:tcPr>
            <w:tcW w:w="5760" w:type="dxa"/>
            <w:vAlign w:val="center"/>
          </w:tcPr>
          <w:p w14:paraId="27E1B603" w14:textId="06204330" w:rsidR="00223A29" w:rsidRPr="002E7F70" w:rsidRDefault="0011534A" w:rsidP="00C77936">
            <w:pPr>
              <w:jc w:val="both"/>
              <w:rPr>
                <w:rFonts w:ascii="Cambria" w:hAnsi="Cambria"/>
                <w:bCs/>
                <w:sz w:val="20"/>
                <w:szCs w:val="20"/>
                <w:lang w:val="es-MX"/>
              </w:rPr>
            </w:pPr>
            <w:r w:rsidRPr="002E7F70">
              <w:rPr>
                <w:rFonts w:ascii="Cambria" w:hAnsi="Cambria"/>
                <w:bCs/>
                <w:sz w:val="20"/>
                <w:szCs w:val="20"/>
                <w:lang w:val="es-MX"/>
              </w:rPr>
              <w:t>Artículos 4 (vid</w:t>
            </w:r>
            <w:r w:rsidR="00C77936" w:rsidRPr="002E7F70">
              <w:rPr>
                <w:rFonts w:ascii="Cambria" w:hAnsi="Cambria"/>
                <w:bCs/>
                <w:sz w:val="20"/>
                <w:szCs w:val="20"/>
                <w:lang w:val="es-MX"/>
              </w:rPr>
              <w:t>a), 5 (integridad personal), 7</w:t>
            </w:r>
            <w:r w:rsidRPr="002E7F70">
              <w:rPr>
                <w:rFonts w:ascii="Cambria" w:hAnsi="Cambria"/>
                <w:bCs/>
                <w:sz w:val="20"/>
                <w:szCs w:val="20"/>
                <w:lang w:val="es-MX"/>
              </w:rPr>
              <w:t xml:space="preserve"> (</w:t>
            </w:r>
            <w:r w:rsidR="00C77936" w:rsidRPr="002E7F70">
              <w:rPr>
                <w:rFonts w:ascii="Cambria" w:hAnsi="Cambria"/>
                <w:bCs/>
                <w:sz w:val="20"/>
                <w:szCs w:val="20"/>
                <w:lang w:val="es-MX"/>
              </w:rPr>
              <w:t>libertad</w:t>
            </w:r>
            <w:r w:rsidRPr="002E7F70">
              <w:rPr>
                <w:rFonts w:ascii="Cambria" w:hAnsi="Cambria"/>
                <w:bCs/>
                <w:sz w:val="20"/>
                <w:szCs w:val="20"/>
                <w:lang w:val="es-MX"/>
              </w:rPr>
              <w:t xml:space="preserve"> personal), 8 (garantías judiciales), 13 (libertad de expresión), 16 (libertad de asociación) y 25 (protección judicial) de la Convención Americana sobre Derechos Humanos</w:t>
            </w:r>
            <w:r w:rsidRPr="002E7F70">
              <w:rPr>
                <w:rStyle w:val="FootnoteReference"/>
                <w:rFonts w:ascii="Cambria" w:hAnsi="Cambria"/>
                <w:bCs/>
                <w:sz w:val="20"/>
                <w:szCs w:val="20"/>
                <w:lang w:val="es-MX"/>
              </w:rPr>
              <w:footnoteReference w:id="2"/>
            </w:r>
            <w:r w:rsidRPr="002E7F70">
              <w:rPr>
                <w:rFonts w:ascii="Cambria" w:hAnsi="Cambria"/>
                <w:bCs/>
                <w:sz w:val="20"/>
                <w:szCs w:val="20"/>
                <w:lang w:val="es-MX"/>
              </w:rPr>
              <w:t xml:space="preserve"> </w:t>
            </w:r>
          </w:p>
        </w:tc>
      </w:tr>
    </w:tbl>
    <w:p w14:paraId="216AF19B" w14:textId="77777777" w:rsidR="003239B8" w:rsidRPr="002E7F70" w:rsidRDefault="003239B8" w:rsidP="00A9286C">
      <w:pPr>
        <w:spacing w:before="120" w:after="120"/>
        <w:ind w:firstLine="720"/>
        <w:jc w:val="both"/>
        <w:rPr>
          <w:rFonts w:asciiTheme="majorHAnsi" w:hAnsiTheme="majorHAnsi"/>
          <w:b/>
          <w:bCs/>
          <w:sz w:val="20"/>
          <w:szCs w:val="20"/>
          <w:lang w:val="es-MX"/>
        </w:rPr>
      </w:pPr>
      <w:r w:rsidRPr="002E7F70">
        <w:rPr>
          <w:rFonts w:asciiTheme="majorHAnsi" w:hAnsiTheme="majorHAnsi"/>
          <w:b/>
          <w:bCs/>
          <w:sz w:val="20"/>
          <w:szCs w:val="20"/>
          <w:lang w:val="es-MX"/>
        </w:rPr>
        <w:t>II.</w:t>
      </w:r>
      <w:r w:rsidRPr="002E7F70">
        <w:rPr>
          <w:rFonts w:asciiTheme="majorHAnsi" w:hAnsiTheme="majorHAnsi"/>
          <w:b/>
          <w:bCs/>
          <w:sz w:val="20"/>
          <w:szCs w:val="20"/>
          <w:lang w:val="es-MX"/>
        </w:rPr>
        <w:tab/>
        <w:t>TRÁMITE ANTE LA CIDH</w:t>
      </w:r>
      <w:r w:rsidR="008E3BFE" w:rsidRPr="002E7F70">
        <w:rPr>
          <w:rStyle w:val="FootnoteReference"/>
          <w:rFonts w:ascii="Cambria" w:hAnsi="Cambria"/>
          <w:b/>
          <w:sz w:val="20"/>
          <w:szCs w:val="20"/>
          <w:lang w:val="es-MX"/>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E7F70" w14:paraId="08728825" w14:textId="77777777" w:rsidTr="00143376">
        <w:tc>
          <w:tcPr>
            <w:tcW w:w="3600" w:type="dxa"/>
            <w:tcBorders>
              <w:top w:val="single" w:sz="6" w:space="0" w:color="auto"/>
              <w:bottom w:val="single" w:sz="6" w:space="0" w:color="auto"/>
            </w:tcBorders>
            <w:shd w:val="clear" w:color="auto" w:fill="4A7194"/>
            <w:vAlign w:val="center"/>
          </w:tcPr>
          <w:p w14:paraId="1EC39742" w14:textId="77777777" w:rsidR="004C2312" w:rsidRPr="00143376" w:rsidRDefault="004A6A54" w:rsidP="004A6A54">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P</w:t>
            </w:r>
            <w:r w:rsidR="004C2312" w:rsidRPr="00143376">
              <w:rPr>
                <w:rFonts w:ascii="Cambria" w:hAnsi="Cambria"/>
                <w:b/>
                <w:color w:val="FFFFFF" w:themeColor="background1"/>
                <w:sz w:val="20"/>
                <w:szCs w:val="20"/>
                <w:lang w:val="es-MX"/>
              </w:rPr>
              <w:t>resentación de la petición:</w:t>
            </w:r>
          </w:p>
        </w:tc>
        <w:tc>
          <w:tcPr>
            <w:tcW w:w="5760" w:type="dxa"/>
            <w:vAlign w:val="center"/>
          </w:tcPr>
          <w:p w14:paraId="508E918C" w14:textId="27107A14" w:rsidR="004C2312" w:rsidRPr="002E7F70" w:rsidRDefault="002E7F70" w:rsidP="00C83849">
            <w:pPr>
              <w:jc w:val="both"/>
              <w:rPr>
                <w:rFonts w:ascii="Cambria" w:hAnsi="Cambria"/>
                <w:bCs/>
                <w:sz w:val="20"/>
                <w:szCs w:val="20"/>
                <w:lang w:val="es-MX"/>
              </w:rPr>
            </w:pPr>
            <w:r w:rsidRPr="002E7F70">
              <w:rPr>
                <w:rFonts w:ascii="Cambria" w:hAnsi="Cambria"/>
                <w:bCs/>
                <w:sz w:val="20"/>
                <w:szCs w:val="20"/>
                <w:lang w:val="es-MX"/>
              </w:rPr>
              <w:t>28 de octubre de 2010</w:t>
            </w:r>
          </w:p>
        </w:tc>
      </w:tr>
      <w:tr w:rsidR="004C2312" w:rsidRPr="002E7F70" w14:paraId="675AB002" w14:textId="77777777" w:rsidTr="00143376">
        <w:tc>
          <w:tcPr>
            <w:tcW w:w="3600" w:type="dxa"/>
            <w:tcBorders>
              <w:top w:val="single" w:sz="6" w:space="0" w:color="auto"/>
              <w:bottom w:val="single" w:sz="6" w:space="0" w:color="auto"/>
            </w:tcBorders>
            <w:shd w:val="clear" w:color="auto" w:fill="4A7194"/>
            <w:vAlign w:val="center"/>
          </w:tcPr>
          <w:p w14:paraId="29E79092" w14:textId="77777777" w:rsidR="004C2312" w:rsidRPr="00143376" w:rsidRDefault="004A6A54" w:rsidP="004A6A54">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N</w:t>
            </w:r>
            <w:r w:rsidR="004C2312" w:rsidRPr="00143376">
              <w:rPr>
                <w:rFonts w:ascii="Cambria" w:hAnsi="Cambria"/>
                <w:b/>
                <w:color w:val="FFFFFF" w:themeColor="background1"/>
                <w:sz w:val="20"/>
                <w:szCs w:val="20"/>
                <w:lang w:val="es-MX"/>
              </w:rPr>
              <w:t>otificación de la petición al Estado:</w:t>
            </w:r>
          </w:p>
        </w:tc>
        <w:tc>
          <w:tcPr>
            <w:tcW w:w="5760" w:type="dxa"/>
            <w:vAlign w:val="center"/>
          </w:tcPr>
          <w:p w14:paraId="33A1F5AD" w14:textId="5D32D2E9" w:rsidR="004C2312" w:rsidRPr="002E7F70" w:rsidRDefault="002E7F70" w:rsidP="00C83849">
            <w:pPr>
              <w:jc w:val="both"/>
              <w:rPr>
                <w:rFonts w:ascii="Cambria" w:hAnsi="Cambria"/>
                <w:bCs/>
                <w:sz w:val="20"/>
                <w:szCs w:val="20"/>
                <w:lang w:val="es-MX"/>
              </w:rPr>
            </w:pPr>
            <w:r w:rsidRPr="002E7F70">
              <w:rPr>
                <w:rFonts w:ascii="Cambria" w:hAnsi="Cambria"/>
                <w:bCs/>
                <w:sz w:val="20"/>
                <w:szCs w:val="20"/>
                <w:lang w:val="es-MX"/>
              </w:rPr>
              <w:t>17 de mayo de 2016</w:t>
            </w:r>
          </w:p>
        </w:tc>
      </w:tr>
      <w:tr w:rsidR="004C2312" w:rsidRPr="002E7F70" w14:paraId="0AD1A1F8" w14:textId="77777777" w:rsidTr="00143376">
        <w:tc>
          <w:tcPr>
            <w:tcW w:w="3600" w:type="dxa"/>
            <w:tcBorders>
              <w:top w:val="single" w:sz="6" w:space="0" w:color="auto"/>
              <w:bottom w:val="single" w:sz="6" w:space="0" w:color="auto"/>
            </w:tcBorders>
            <w:shd w:val="clear" w:color="auto" w:fill="4A7194"/>
            <w:vAlign w:val="center"/>
          </w:tcPr>
          <w:p w14:paraId="1D1F257B" w14:textId="77777777" w:rsidR="004C2312" w:rsidRPr="00143376" w:rsidRDefault="004A6A54" w:rsidP="004A6A54">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P</w:t>
            </w:r>
            <w:r w:rsidR="004C2312" w:rsidRPr="00143376">
              <w:rPr>
                <w:rFonts w:ascii="Cambria" w:hAnsi="Cambria"/>
                <w:b/>
                <w:color w:val="FFFFFF" w:themeColor="background1"/>
                <w:sz w:val="20"/>
                <w:szCs w:val="20"/>
                <w:lang w:val="es-MX"/>
              </w:rPr>
              <w:t>rimera respuesta del Estado:</w:t>
            </w:r>
          </w:p>
        </w:tc>
        <w:tc>
          <w:tcPr>
            <w:tcW w:w="5760" w:type="dxa"/>
            <w:vAlign w:val="center"/>
          </w:tcPr>
          <w:p w14:paraId="4EED909C" w14:textId="24CB127E" w:rsidR="004C2312" w:rsidRPr="002E7F70" w:rsidRDefault="002E7F70" w:rsidP="00C83849">
            <w:pPr>
              <w:jc w:val="both"/>
              <w:rPr>
                <w:rFonts w:ascii="Cambria" w:hAnsi="Cambria"/>
                <w:bCs/>
                <w:sz w:val="20"/>
                <w:szCs w:val="20"/>
                <w:lang w:val="es-MX"/>
              </w:rPr>
            </w:pPr>
            <w:r w:rsidRPr="002E7F70">
              <w:rPr>
                <w:rFonts w:ascii="Cambria" w:hAnsi="Cambria"/>
                <w:bCs/>
                <w:sz w:val="20"/>
                <w:szCs w:val="20"/>
                <w:lang w:val="es-MX"/>
              </w:rPr>
              <w:t>22 de marzo de 2017</w:t>
            </w:r>
          </w:p>
        </w:tc>
      </w:tr>
      <w:tr w:rsidR="001E49E7" w:rsidRPr="002E7F70" w14:paraId="394ABF72" w14:textId="77777777" w:rsidTr="00143376">
        <w:tc>
          <w:tcPr>
            <w:tcW w:w="3600" w:type="dxa"/>
            <w:tcBorders>
              <w:top w:val="single" w:sz="6" w:space="0" w:color="auto"/>
              <w:bottom w:val="single" w:sz="6" w:space="0" w:color="auto"/>
            </w:tcBorders>
            <w:shd w:val="clear" w:color="auto" w:fill="4A7194"/>
            <w:vAlign w:val="center"/>
          </w:tcPr>
          <w:p w14:paraId="69896415" w14:textId="77777777" w:rsidR="001E49E7" w:rsidRPr="00143376" w:rsidRDefault="004A6A54" w:rsidP="00DD4AD2">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A</w:t>
            </w:r>
            <w:r w:rsidR="001E49E7" w:rsidRPr="00143376">
              <w:rPr>
                <w:rFonts w:ascii="Cambria" w:hAnsi="Cambria"/>
                <w:b/>
                <w:color w:val="FFFFFF" w:themeColor="background1"/>
                <w:sz w:val="20"/>
                <w:szCs w:val="20"/>
                <w:lang w:val="es-MX"/>
              </w:rPr>
              <w:t>dvertencia sobre posible archivo:</w:t>
            </w:r>
          </w:p>
        </w:tc>
        <w:tc>
          <w:tcPr>
            <w:tcW w:w="5760" w:type="dxa"/>
            <w:vAlign w:val="center"/>
          </w:tcPr>
          <w:p w14:paraId="56D15F88" w14:textId="410DCBDF" w:rsidR="001E49E7" w:rsidRPr="002E7F70" w:rsidRDefault="002E7F70" w:rsidP="00C83849">
            <w:pPr>
              <w:jc w:val="both"/>
              <w:rPr>
                <w:rFonts w:ascii="Cambria" w:hAnsi="Cambria"/>
                <w:bCs/>
                <w:sz w:val="20"/>
                <w:szCs w:val="20"/>
                <w:lang w:val="es-MX"/>
              </w:rPr>
            </w:pPr>
            <w:r w:rsidRPr="002E7F70">
              <w:rPr>
                <w:rFonts w:ascii="Cambria" w:hAnsi="Cambria"/>
                <w:bCs/>
                <w:sz w:val="20"/>
                <w:szCs w:val="20"/>
                <w:lang w:val="es-MX"/>
              </w:rPr>
              <w:t>26 de septiembre de 2018</w:t>
            </w:r>
          </w:p>
        </w:tc>
      </w:tr>
      <w:tr w:rsidR="001E49E7" w:rsidRPr="002E7F70" w14:paraId="4FF62E13" w14:textId="77777777" w:rsidTr="00143376">
        <w:tc>
          <w:tcPr>
            <w:tcW w:w="3600" w:type="dxa"/>
            <w:tcBorders>
              <w:top w:val="single" w:sz="6" w:space="0" w:color="auto"/>
              <w:bottom w:val="single" w:sz="6" w:space="0" w:color="auto"/>
            </w:tcBorders>
            <w:shd w:val="clear" w:color="auto" w:fill="4A7194"/>
            <w:vAlign w:val="center"/>
          </w:tcPr>
          <w:p w14:paraId="039F467E" w14:textId="77777777" w:rsidR="001E49E7" w:rsidRPr="00143376" w:rsidRDefault="004A6A54" w:rsidP="004A6A54">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R</w:t>
            </w:r>
            <w:r w:rsidR="001E49E7" w:rsidRPr="00143376">
              <w:rPr>
                <w:rFonts w:ascii="Cambria" w:hAnsi="Cambria"/>
                <w:b/>
                <w:color w:val="FFFFFF" w:themeColor="background1"/>
                <w:sz w:val="20"/>
                <w:szCs w:val="20"/>
                <w:lang w:val="es-MX"/>
              </w:rPr>
              <w:t xml:space="preserve">espuesta de la parte peticionaria ante advertencia </w:t>
            </w:r>
            <w:r w:rsidR="00DD4AD2" w:rsidRPr="00143376">
              <w:rPr>
                <w:rFonts w:ascii="Cambria" w:hAnsi="Cambria"/>
                <w:b/>
                <w:color w:val="FFFFFF" w:themeColor="background1"/>
                <w:sz w:val="20"/>
                <w:szCs w:val="20"/>
                <w:lang w:val="es-MX"/>
              </w:rPr>
              <w:t xml:space="preserve">de </w:t>
            </w:r>
            <w:r w:rsidR="001E49E7" w:rsidRPr="00143376">
              <w:rPr>
                <w:rFonts w:ascii="Cambria" w:hAnsi="Cambria"/>
                <w:b/>
                <w:color w:val="FFFFFF" w:themeColor="background1"/>
                <w:sz w:val="20"/>
                <w:szCs w:val="20"/>
                <w:lang w:val="es-MX"/>
              </w:rPr>
              <w:t>posible archivo:</w:t>
            </w:r>
          </w:p>
        </w:tc>
        <w:tc>
          <w:tcPr>
            <w:tcW w:w="5760" w:type="dxa"/>
            <w:vAlign w:val="center"/>
          </w:tcPr>
          <w:p w14:paraId="10600D98" w14:textId="5045CEB2" w:rsidR="001E49E7" w:rsidRPr="002E7F70" w:rsidRDefault="002E7F70" w:rsidP="00C83849">
            <w:pPr>
              <w:jc w:val="both"/>
              <w:rPr>
                <w:rFonts w:ascii="Cambria" w:hAnsi="Cambria"/>
                <w:bCs/>
                <w:sz w:val="20"/>
                <w:szCs w:val="20"/>
                <w:lang w:val="es-MX"/>
              </w:rPr>
            </w:pPr>
            <w:r w:rsidRPr="002E7F70">
              <w:rPr>
                <w:rFonts w:ascii="Cambria" w:hAnsi="Cambria"/>
                <w:bCs/>
                <w:sz w:val="20"/>
                <w:szCs w:val="20"/>
                <w:lang w:val="es-MX"/>
              </w:rPr>
              <w:t>9 de febrero de 2019</w:t>
            </w:r>
          </w:p>
        </w:tc>
      </w:tr>
    </w:tbl>
    <w:p w14:paraId="407EAFC6" w14:textId="77777777" w:rsidR="003239B8" w:rsidRPr="002E7F70" w:rsidRDefault="003239B8" w:rsidP="00A9286C">
      <w:pPr>
        <w:spacing w:before="120" w:after="120"/>
        <w:ind w:firstLine="720"/>
        <w:jc w:val="both"/>
        <w:rPr>
          <w:rFonts w:asciiTheme="majorHAnsi" w:hAnsiTheme="majorHAnsi"/>
          <w:b/>
          <w:bCs/>
          <w:sz w:val="20"/>
          <w:szCs w:val="20"/>
          <w:lang w:val="es-MX"/>
        </w:rPr>
      </w:pPr>
      <w:r w:rsidRPr="002E7F70">
        <w:rPr>
          <w:rFonts w:asciiTheme="majorHAnsi" w:hAnsiTheme="majorHAnsi"/>
          <w:b/>
          <w:bCs/>
          <w:sz w:val="20"/>
          <w:szCs w:val="20"/>
          <w:lang w:val="es-MX"/>
        </w:rPr>
        <w:t xml:space="preserve">III. </w:t>
      </w:r>
      <w:r w:rsidRPr="002E7F70">
        <w:rPr>
          <w:rFonts w:asciiTheme="majorHAnsi" w:hAnsiTheme="majorHAnsi"/>
          <w:b/>
          <w:bCs/>
          <w:sz w:val="20"/>
          <w:szCs w:val="20"/>
          <w:lang w:val="es-MX"/>
        </w:rPr>
        <w:tab/>
        <w:t>COMPETENCIA</w:t>
      </w:r>
      <w:r w:rsidR="00EE00E9" w:rsidRPr="002E7F70">
        <w:rPr>
          <w:rFonts w:asciiTheme="majorHAnsi" w:hAnsiTheme="majorHAnsi"/>
          <w:b/>
          <w:bCs/>
          <w:sz w:val="20"/>
          <w:szCs w:val="20"/>
          <w:lang w:val="es-MX"/>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3239B8" w:rsidRPr="002E7F70" w14:paraId="4F556162" w14:textId="77777777" w:rsidTr="00143376">
        <w:trPr>
          <w:cantSplit/>
        </w:trPr>
        <w:tc>
          <w:tcPr>
            <w:tcW w:w="3566" w:type="dxa"/>
            <w:tcBorders>
              <w:top w:val="single" w:sz="4" w:space="0" w:color="auto"/>
              <w:bottom w:val="single" w:sz="6" w:space="0" w:color="auto"/>
            </w:tcBorders>
            <w:shd w:val="clear" w:color="auto" w:fill="4A7194"/>
            <w:vAlign w:val="center"/>
          </w:tcPr>
          <w:p w14:paraId="572A2488" w14:textId="77777777" w:rsidR="003239B8" w:rsidRPr="00143376" w:rsidRDefault="003239B8" w:rsidP="00C83849">
            <w:pPr>
              <w:jc w:val="center"/>
              <w:rPr>
                <w:rFonts w:ascii="Cambria" w:hAnsi="Cambria"/>
                <w:b/>
                <w:i/>
                <w:color w:val="FFFFFF" w:themeColor="background1"/>
                <w:sz w:val="20"/>
                <w:szCs w:val="20"/>
                <w:lang w:val="es-MX"/>
              </w:rPr>
            </w:pPr>
            <w:r w:rsidRPr="00143376">
              <w:rPr>
                <w:rFonts w:ascii="Cambria" w:hAnsi="Cambria"/>
                <w:b/>
                <w:color w:val="FFFFFF" w:themeColor="background1"/>
                <w:sz w:val="20"/>
                <w:szCs w:val="20"/>
                <w:lang w:val="es-MX"/>
              </w:rPr>
              <w:t>Competencia</w:t>
            </w:r>
            <w:r w:rsidRPr="00143376">
              <w:rPr>
                <w:rFonts w:ascii="Cambria" w:hAnsi="Cambria"/>
                <w:b/>
                <w:i/>
                <w:color w:val="FFFFFF" w:themeColor="background1"/>
                <w:sz w:val="20"/>
                <w:szCs w:val="20"/>
                <w:lang w:val="es-MX"/>
              </w:rPr>
              <w:t xml:space="preserve"> Ratione personae:</w:t>
            </w:r>
          </w:p>
        </w:tc>
        <w:tc>
          <w:tcPr>
            <w:tcW w:w="5771" w:type="dxa"/>
            <w:vAlign w:val="center"/>
          </w:tcPr>
          <w:p w14:paraId="06C85AF0" w14:textId="127B631E" w:rsidR="003239B8" w:rsidRPr="002E7F70" w:rsidRDefault="00663674" w:rsidP="00C83849">
            <w:pPr>
              <w:rPr>
                <w:rFonts w:ascii="Cambria" w:hAnsi="Cambria"/>
                <w:bCs/>
                <w:sz w:val="20"/>
                <w:szCs w:val="20"/>
                <w:lang w:val="es-MX"/>
              </w:rPr>
            </w:pPr>
            <w:r>
              <w:rPr>
                <w:rFonts w:ascii="Cambria" w:hAnsi="Cambria"/>
                <w:bCs/>
                <w:sz w:val="20"/>
                <w:szCs w:val="20"/>
                <w:lang w:val="es-MX"/>
              </w:rPr>
              <w:t>Sí</w:t>
            </w:r>
          </w:p>
        </w:tc>
      </w:tr>
      <w:tr w:rsidR="003239B8" w:rsidRPr="002E7F70" w14:paraId="3B2297B2" w14:textId="77777777" w:rsidTr="00143376">
        <w:trPr>
          <w:cantSplit/>
        </w:trPr>
        <w:tc>
          <w:tcPr>
            <w:tcW w:w="3566" w:type="dxa"/>
            <w:tcBorders>
              <w:top w:val="single" w:sz="6" w:space="0" w:color="auto"/>
              <w:bottom w:val="single" w:sz="6" w:space="0" w:color="auto"/>
            </w:tcBorders>
            <w:shd w:val="clear" w:color="auto" w:fill="4A7194"/>
            <w:vAlign w:val="center"/>
          </w:tcPr>
          <w:p w14:paraId="1985CF49" w14:textId="77777777" w:rsidR="003239B8" w:rsidRPr="00143376" w:rsidRDefault="003239B8"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Competencia</w:t>
            </w:r>
            <w:r w:rsidRPr="00143376">
              <w:rPr>
                <w:rFonts w:ascii="Cambria" w:hAnsi="Cambria"/>
                <w:b/>
                <w:i/>
                <w:color w:val="FFFFFF" w:themeColor="background1"/>
                <w:sz w:val="20"/>
                <w:szCs w:val="20"/>
                <w:lang w:val="es-MX"/>
              </w:rPr>
              <w:t xml:space="preserve"> Ratione loci</w:t>
            </w:r>
            <w:r w:rsidRPr="00143376">
              <w:rPr>
                <w:rFonts w:ascii="Cambria" w:hAnsi="Cambria"/>
                <w:b/>
                <w:color w:val="FFFFFF" w:themeColor="background1"/>
                <w:sz w:val="20"/>
                <w:szCs w:val="20"/>
                <w:lang w:val="es-MX"/>
              </w:rPr>
              <w:t>:</w:t>
            </w:r>
          </w:p>
        </w:tc>
        <w:tc>
          <w:tcPr>
            <w:tcW w:w="5771" w:type="dxa"/>
            <w:vAlign w:val="center"/>
          </w:tcPr>
          <w:p w14:paraId="3D6DDF76" w14:textId="3F244C68" w:rsidR="003239B8" w:rsidRPr="002E7F70" w:rsidRDefault="00663674" w:rsidP="00C83849">
            <w:pPr>
              <w:rPr>
                <w:rFonts w:ascii="Cambria" w:hAnsi="Cambria"/>
                <w:bCs/>
                <w:sz w:val="20"/>
                <w:szCs w:val="20"/>
                <w:lang w:val="es-MX"/>
              </w:rPr>
            </w:pPr>
            <w:r>
              <w:rPr>
                <w:rFonts w:ascii="Cambria" w:hAnsi="Cambria"/>
                <w:bCs/>
                <w:sz w:val="20"/>
                <w:szCs w:val="20"/>
                <w:lang w:val="es-MX"/>
              </w:rPr>
              <w:t>Sí</w:t>
            </w:r>
          </w:p>
        </w:tc>
      </w:tr>
      <w:tr w:rsidR="003239B8" w:rsidRPr="002E7F70" w14:paraId="2CE07E94" w14:textId="77777777" w:rsidTr="00143376">
        <w:trPr>
          <w:cantSplit/>
        </w:trPr>
        <w:tc>
          <w:tcPr>
            <w:tcW w:w="3566" w:type="dxa"/>
            <w:tcBorders>
              <w:top w:val="single" w:sz="6" w:space="0" w:color="auto"/>
              <w:bottom w:val="single" w:sz="6" w:space="0" w:color="auto"/>
            </w:tcBorders>
            <w:shd w:val="clear" w:color="auto" w:fill="4A7194"/>
            <w:vAlign w:val="center"/>
          </w:tcPr>
          <w:p w14:paraId="39225BBC" w14:textId="77777777" w:rsidR="003239B8" w:rsidRPr="00143376" w:rsidRDefault="003239B8"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Competencia</w:t>
            </w:r>
            <w:r w:rsidRPr="00143376">
              <w:rPr>
                <w:rFonts w:ascii="Cambria" w:hAnsi="Cambria"/>
                <w:b/>
                <w:i/>
                <w:color w:val="FFFFFF" w:themeColor="background1"/>
                <w:sz w:val="20"/>
                <w:szCs w:val="20"/>
                <w:lang w:val="es-MX"/>
              </w:rPr>
              <w:t xml:space="preserve"> Ratione temporis</w:t>
            </w:r>
            <w:r w:rsidRPr="00143376">
              <w:rPr>
                <w:rFonts w:ascii="Cambria" w:hAnsi="Cambria"/>
                <w:b/>
                <w:color w:val="FFFFFF" w:themeColor="background1"/>
                <w:sz w:val="20"/>
                <w:szCs w:val="20"/>
                <w:lang w:val="es-MX"/>
              </w:rPr>
              <w:t>:</w:t>
            </w:r>
          </w:p>
        </w:tc>
        <w:tc>
          <w:tcPr>
            <w:tcW w:w="5771" w:type="dxa"/>
            <w:vAlign w:val="center"/>
          </w:tcPr>
          <w:p w14:paraId="76260D7D" w14:textId="10A8B9EE" w:rsidR="003239B8" w:rsidRPr="002E7F70" w:rsidRDefault="00663674" w:rsidP="00C83849">
            <w:pPr>
              <w:rPr>
                <w:rFonts w:ascii="Cambria" w:hAnsi="Cambria"/>
                <w:bCs/>
                <w:sz w:val="20"/>
                <w:szCs w:val="20"/>
                <w:lang w:val="es-MX"/>
              </w:rPr>
            </w:pPr>
            <w:r>
              <w:rPr>
                <w:rFonts w:ascii="Cambria" w:hAnsi="Cambria"/>
                <w:bCs/>
                <w:sz w:val="20"/>
                <w:szCs w:val="20"/>
                <w:lang w:val="es-MX"/>
              </w:rPr>
              <w:t>Sí</w:t>
            </w:r>
          </w:p>
        </w:tc>
      </w:tr>
      <w:tr w:rsidR="003239B8" w:rsidRPr="005D02E8" w14:paraId="41B6D5A2" w14:textId="77777777" w:rsidTr="00143376">
        <w:trPr>
          <w:cantSplit/>
        </w:trPr>
        <w:tc>
          <w:tcPr>
            <w:tcW w:w="3566" w:type="dxa"/>
            <w:tcBorders>
              <w:top w:val="single" w:sz="6" w:space="0" w:color="auto"/>
              <w:bottom w:val="single" w:sz="6" w:space="0" w:color="auto"/>
            </w:tcBorders>
            <w:shd w:val="clear" w:color="auto" w:fill="4A7194"/>
            <w:vAlign w:val="center"/>
          </w:tcPr>
          <w:p w14:paraId="3B64CB82" w14:textId="77777777" w:rsidR="003239B8" w:rsidRPr="00143376" w:rsidRDefault="003239B8"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Competencia</w:t>
            </w:r>
            <w:r w:rsidRPr="00143376">
              <w:rPr>
                <w:rFonts w:ascii="Cambria" w:hAnsi="Cambria"/>
                <w:b/>
                <w:i/>
                <w:color w:val="FFFFFF" w:themeColor="background1"/>
                <w:sz w:val="20"/>
                <w:szCs w:val="20"/>
                <w:lang w:val="es-MX"/>
              </w:rPr>
              <w:t xml:space="preserve"> Ratione materia</w:t>
            </w:r>
            <w:r w:rsidR="00EE00E9" w:rsidRPr="00143376">
              <w:rPr>
                <w:rFonts w:ascii="Cambria" w:hAnsi="Cambria"/>
                <w:b/>
                <w:i/>
                <w:color w:val="FFFFFF" w:themeColor="background1"/>
                <w:sz w:val="20"/>
                <w:szCs w:val="20"/>
                <w:lang w:val="es-MX"/>
              </w:rPr>
              <w:t>e</w:t>
            </w:r>
            <w:r w:rsidRPr="00143376">
              <w:rPr>
                <w:rFonts w:ascii="Cambria" w:hAnsi="Cambria"/>
                <w:b/>
                <w:color w:val="FFFFFF" w:themeColor="background1"/>
                <w:sz w:val="20"/>
                <w:szCs w:val="20"/>
                <w:lang w:val="es-MX"/>
              </w:rPr>
              <w:t>:</w:t>
            </w:r>
          </w:p>
        </w:tc>
        <w:tc>
          <w:tcPr>
            <w:tcW w:w="5771" w:type="dxa"/>
            <w:vAlign w:val="center"/>
          </w:tcPr>
          <w:p w14:paraId="24E0089B" w14:textId="595C7C27" w:rsidR="003239B8" w:rsidRPr="00663674" w:rsidRDefault="00663674" w:rsidP="00C83849">
            <w:pPr>
              <w:jc w:val="both"/>
              <w:rPr>
                <w:rFonts w:ascii="Cambria" w:hAnsi="Cambria"/>
                <w:bCs/>
                <w:sz w:val="20"/>
                <w:szCs w:val="20"/>
                <w:lang w:val="es-MX"/>
              </w:rPr>
            </w:pPr>
            <w:r>
              <w:rPr>
                <w:rFonts w:ascii="Cambria" w:hAnsi="Cambria"/>
                <w:bCs/>
                <w:sz w:val="20"/>
                <w:szCs w:val="20"/>
                <w:lang w:val="es-MX"/>
              </w:rPr>
              <w:t xml:space="preserve">Sí, </w:t>
            </w:r>
            <w:r w:rsidRPr="00663674">
              <w:rPr>
                <w:rFonts w:ascii="Cambria" w:hAnsi="Cambria"/>
                <w:bCs/>
                <w:sz w:val="20"/>
                <w:szCs w:val="20"/>
                <w:lang w:val="es-MX"/>
              </w:rPr>
              <w:t>Convención Americana (depósito de instrumento de ratificación realizado el 31 de julio de 1973</w:t>
            </w:r>
            <w:r w:rsidR="00E27F1B">
              <w:rPr>
                <w:rFonts w:ascii="Cambria" w:hAnsi="Cambria"/>
                <w:bCs/>
                <w:sz w:val="20"/>
                <w:szCs w:val="20"/>
                <w:lang w:val="es-MX"/>
              </w:rPr>
              <w:t>)</w:t>
            </w:r>
          </w:p>
        </w:tc>
      </w:tr>
    </w:tbl>
    <w:p w14:paraId="1E2E91F4" w14:textId="77777777" w:rsidR="003239B8" w:rsidRPr="002E7F70" w:rsidRDefault="003239B8" w:rsidP="00A9286C">
      <w:pPr>
        <w:spacing w:before="120" w:after="120"/>
        <w:ind w:firstLine="720"/>
        <w:jc w:val="both"/>
        <w:rPr>
          <w:rFonts w:asciiTheme="majorHAnsi" w:hAnsiTheme="majorHAnsi"/>
          <w:b/>
          <w:bCs/>
          <w:sz w:val="20"/>
          <w:szCs w:val="20"/>
          <w:lang w:val="es-MX"/>
        </w:rPr>
      </w:pPr>
      <w:r w:rsidRPr="002E7F70">
        <w:rPr>
          <w:rFonts w:asciiTheme="majorHAnsi" w:hAnsiTheme="majorHAnsi"/>
          <w:b/>
          <w:bCs/>
          <w:sz w:val="20"/>
          <w:szCs w:val="20"/>
          <w:lang w:val="es-MX"/>
        </w:rPr>
        <w:t xml:space="preserve">IV. </w:t>
      </w:r>
      <w:r w:rsidRPr="002E7F70">
        <w:rPr>
          <w:rFonts w:asciiTheme="majorHAnsi" w:hAnsiTheme="majorHAnsi"/>
          <w:b/>
          <w:bCs/>
          <w:sz w:val="20"/>
          <w:szCs w:val="20"/>
          <w:lang w:val="es-MX"/>
        </w:rPr>
        <w:tab/>
      </w:r>
      <w:r w:rsidR="00EE00E9" w:rsidRPr="002E7F70">
        <w:rPr>
          <w:rFonts w:asciiTheme="majorHAnsi" w:hAnsiTheme="majorHAnsi"/>
          <w:b/>
          <w:bCs/>
          <w:sz w:val="20"/>
          <w:szCs w:val="20"/>
          <w:lang w:val="es-MX"/>
        </w:rPr>
        <w:t>DUPLICACIÓN</w:t>
      </w:r>
      <w:r w:rsidR="00EE00E9" w:rsidRPr="002E7F70">
        <w:rPr>
          <w:rFonts w:asciiTheme="majorHAnsi" w:hAnsiTheme="majorHAnsi"/>
          <w:b/>
          <w:bCs/>
          <w:color w:val="FFFFFF" w:themeColor="background1"/>
          <w:sz w:val="20"/>
          <w:szCs w:val="20"/>
          <w:lang w:val="es-MX"/>
        </w:rPr>
        <w:t xml:space="preserve"> </w:t>
      </w:r>
      <w:r w:rsidR="00EE00E9" w:rsidRPr="002E7F70">
        <w:rPr>
          <w:rFonts w:asciiTheme="majorHAnsi" w:hAnsiTheme="majorHAnsi"/>
          <w:b/>
          <w:bCs/>
          <w:sz w:val="20"/>
          <w:szCs w:val="20"/>
          <w:lang w:val="es-MX"/>
        </w:rPr>
        <w:t>DE PROCEDIMIENTOS Y COSA JUZGADA</w:t>
      </w:r>
      <w:r w:rsidR="00EE00E9" w:rsidRPr="002E7F70">
        <w:rPr>
          <w:rFonts w:asciiTheme="majorHAnsi" w:hAnsiTheme="majorHAnsi"/>
          <w:b/>
          <w:bCs/>
          <w:i/>
          <w:sz w:val="20"/>
          <w:szCs w:val="20"/>
          <w:lang w:val="es-MX"/>
        </w:rPr>
        <w:t xml:space="preserve"> </w:t>
      </w:r>
      <w:r w:rsidR="00EE00E9" w:rsidRPr="002E7F70">
        <w:rPr>
          <w:rFonts w:asciiTheme="majorHAnsi" w:hAnsiTheme="majorHAnsi"/>
          <w:b/>
          <w:bCs/>
          <w:sz w:val="20"/>
          <w:szCs w:val="20"/>
          <w:lang w:val="es-MX"/>
        </w:rPr>
        <w:t>INTERNACIONAL,</w:t>
      </w:r>
      <w:r w:rsidRPr="002E7F70">
        <w:rPr>
          <w:rFonts w:asciiTheme="majorHAnsi" w:hAnsiTheme="majorHAnsi"/>
          <w:b/>
          <w:bCs/>
          <w:sz w:val="20"/>
          <w:szCs w:val="20"/>
          <w:lang w:val="es-MX"/>
        </w:rPr>
        <w:t xml:space="preserve"> CARACTERIZACIÓN, </w:t>
      </w:r>
      <w:r w:rsidRPr="002E7F70">
        <w:rPr>
          <w:rFonts w:asciiTheme="majorHAnsi" w:hAnsiTheme="majorHAnsi"/>
          <w:b/>
          <w:sz w:val="20"/>
          <w:szCs w:val="20"/>
          <w:lang w:val="es-MX"/>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8"/>
        <w:gridCol w:w="5769"/>
      </w:tblGrid>
      <w:tr w:rsidR="00EE00E9" w:rsidRPr="002E7F70" w14:paraId="3EFB0835" w14:textId="77777777" w:rsidTr="00143376">
        <w:trPr>
          <w:cantSplit/>
        </w:trPr>
        <w:tc>
          <w:tcPr>
            <w:tcW w:w="3568" w:type="dxa"/>
            <w:tcBorders>
              <w:top w:val="single" w:sz="4" w:space="0" w:color="auto"/>
              <w:bottom w:val="single" w:sz="6" w:space="0" w:color="auto"/>
            </w:tcBorders>
            <w:shd w:val="clear" w:color="auto" w:fill="4A7194"/>
            <w:vAlign w:val="center"/>
          </w:tcPr>
          <w:p w14:paraId="7BA1F8E8" w14:textId="77777777" w:rsidR="00EE00E9" w:rsidRPr="00143376" w:rsidRDefault="00EE00E9"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Duplicación de procedimientos y cosa juzgada internacional:</w:t>
            </w:r>
          </w:p>
        </w:tc>
        <w:tc>
          <w:tcPr>
            <w:tcW w:w="5769" w:type="dxa"/>
            <w:vAlign w:val="center"/>
          </w:tcPr>
          <w:p w14:paraId="0FD6D020" w14:textId="17A8622A" w:rsidR="00EE00E9" w:rsidRPr="002E7F70" w:rsidRDefault="005618CC" w:rsidP="00C83849">
            <w:pPr>
              <w:jc w:val="both"/>
              <w:rPr>
                <w:rFonts w:ascii="Cambria" w:hAnsi="Cambria"/>
                <w:bCs/>
                <w:sz w:val="20"/>
                <w:szCs w:val="20"/>
                <w:lang w:val="es-MX"/>
              </w:rPr>
            </w:pPr>
            <w:r>
              <w:rPr>
                <w:rFonts w:ascii="Cambria" w:hAnsi="Cambria"/>
                <w:bCs/>
                <w:sz w:val="20"/>
                <w:szCs w:val="20"/>
                <w:lang w:val="es-MX"/>
              </w:rPr>
              <w:t>No</w:t>
            </w:r>
          </w:p>
        </w:tc>
      </w:tr>
      <w:tr w:rsidR="003239B8" w:rsidRPr="005D02E8" w14:paraId="2FE20474" w14:textId="77777777" w:rsidTr="00143376">
        <w:trPr>
          <w:cantSplit/>
        </w:trPr>
        <w:tc>
          <w:tcPr>
            <w:tcW w:w="3568" w:type="dxa"/>
            <w:tcBorders>
              <w:top w:val="single" w:sz="4" w:space="0" w:color="auto"/>
              <w:bottom w:val="single" w:sz="6" w:space="0" w:color="auto"/>
            </w:tcBorders>
            <w:shd w:val="clear" w:color="auto" w:fill="4A7194"/>
            <w:vAlign w:val="center"/>
          </w:tcPr>
          <w:p w14:paraId="3F76B604" w14:textId="77777777" w:rsidR="003239B8" w:rsidRPr="00143376" w:rsidRDefault="003239B8" w:rsidP="00C83849">
            <w:pPr>
              <w:jc w:val="center"/>
              <w:rPr>
                <w:rFonts w:ascii="Cambria" w:hAnsi="Cambria"/>
                <w:b/>
                <w:i/>
                <w:color w:val="FFFFFF" w:themeColor="background1"/>
                <w:sz w:val="20"/>
                <w:szCs w:val="20"/>
                <w:lang w:val="es-MX"/>
              </w:rPr>
            </w:pPr>
            <w:r w:rsidRPr="00143376">
              <w:rPr>
                <w:rFonts w:ascii="Cambria" w:hAnsi="Cambria"/>
                <w:b/>
                <w:color w:val="FFFFFF" w:themeColor="background1"/>
                <w:sz w:val="20"/>
                <w:szCs w:val="20"/>
                <w:lang w:val="es-MX"/>
              </w:rPr>
              <w:t>Derechos declarados admisibles</w:t>
            </w:r>
            <w:r w:rsidRPr="00143376">
              <w:rPr>
                <w:rFonts w:ascii="Cambria" w:hAnsi="Cambria"/>
                <w:b/>
                <w:i/>
                <w:color w:val="FFFFFF" w:themeColor="background1"/>
                <w:sz w:val="20"/>
                <w:szCs w:val="20"/>
                <w:lang w:val="es-MX"/>
              </w:rPr>
              <w:t>:</w:t>
            </w:r>
          </w:p>
        </w:tc>
        <w:tc>
          <w:tcPr>
            <w:tcW w:w="5769" w:type="dxa"/>
            <w:vAlign w:val="center"/>
          </w:tcPr>
          <w:p w14:paraId="48318C59" w14:textId="0CDAB695" w:rsidR="003239B8" w:rsidRPr="002E7F70" w:rsidRDefault="00C77936" w:rsidP="00C83849">
            <w:pPr>
              <w:jc w:val="both"/>
              <w:rPr>
                <w:rFonts w:ascii="Cambria" w:hAnsi="Cambria"/>
                <w:bCs/>
                <w:sz w:val="20"/>
                <w:szCs w:val="20"/>
                <w:lang w:val="es-MX"/>
              </w:rPr>
            </w:pPr>
            <w:r w:rsidRPr="002E7F70">
              <w:rPr>
                <w:rFonts w:ascii="Cambria" w:hAnsi="Cambria"/>
                <w:bCs/>
                <w:sz w:val="20"/>
                <w:szCs w:val="20"/>
                <w:lang w:val="es-MX"/>
              </w:rPr>
              <w:t>Artículos 4 (vida), 5 (integridad personal), 7 (libertad personal), 8 (garantías judiciales), 13 (libertad de expresión), 16 (libertad de asociación) y 25 (protección judicial) de la Convención Americana</w:t>
            </w:r>
            <w:r w:rsidR="002E7F70" w:rsidRPr="002E7F70">
              <w:rPr>
                <w:rFonts w:ascii="Cambria" w:hAnsi="Cambria"/>
                <w:bCs/>
                <w:sz w:val="20"/>
                <w:szCs w:val="20"/>
                <w:lang w:val="es-MX"/>
              </w:rPr>
              <w:t>, en relación con sus artículos 1.1 (obligación de respetar los derechos) y 2 (deber de adoptar disposiciones de derecho interno)</w:t>
            </w:r>
          </w:p>
        </w:tc>
      </w:tr>
      <w:tr w:rsidR="003239B8" w:rsidRPr="005D02E8" w14:paraId="23A99394" w14:textId="77777777" w:rsidTr="00143376">
        <w:trPr>
          <w:cantSplit/>
        </w:trPr>
        <w:tc>
          <w:tcPr>
            <w:tcW w:w="3568" w:type="dxa"/>
            <w:tcBorders>
              <w:top w:val="single" w:sz="6" w:space="0" w:color="auto"/>
              <w:bottom w:val="single" w:sz="6" w:space="0" w:color="auto"/>
            </w:tcBorders>
            <w:shd w:val="clear" w:color="auto" w:fill="4A7194"/>
            <w:vAlign w:val="center"/>
          </w:tcPr>
          <w:p w14:paraId="0CD1B2FB" w14:textId="77777777" w:rsidR="003239B8" w:rsidRPr="00143376" w:rsidRDefault="003239B8"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Agotamiento de recursos internos</w:t>
            </w:r>
            <w:r w:rsidR="00EE00E9" w:rsidRPr="00143376">
              <w:rPr>
                <w:rFonts w:ascii="Cambria" w:hAnsi="Cambria"/>
                <w:b/>
                <w:color w:val="FFFFFF" w:themeColor="background1"/>
                <w:sz w:val="20"/>
                <w:szCs w:val="20"/>
                <w:lang w:val="es-MX"/>
              </w:rPr>
              <w:t xml:space="preserve"> o procedencia de una excepción</w:t>
            </w:r>
            <w:r w:rsidRPr="00143376">
              <w:rPr>
                <w:rFonts w:ascii="Cambria" w:hAnsi="Cambria"/>
                <w:b/>
                <w:color w:val="FFFFFF" w:themeColor="background1"/>
                <w:sz w:val="20"/>
                <w:szCs w:val="20"/>
                <w:lang w:val="es-MX"/>
              </w:rPr>
              <w:t>:</w:t>
            </w:r>
          </w:p>
        </w:tc>
        <w:tc>
          <w:tcPr>
            <w:tcW w:w="5769" w:type="dxa"/>
            <w:vAlign w:val="center"/>
          </w:tcPr>
          <w:p w14:paraId="63CBFCAE" w14:textId="24D4E5F0" w:rsidR="003239B8" w:rsidRPr="002E7F70" w:rsidRDefault="001B48E3" w:rsidP="00C83849">
            <w:pPr>
              <w:rPr>
                <w:rFonts w:ascii="Cambria" w:hAnsi="Cambria"/>
                <w:bCs/>
                <w:sz w:val="20"/>
                <w:szCs w:val="20"/>
                <w:lang w:val="es-MX"/>
              </w:rPr>
            </w:pPr>
            <w:r>
              <w:rPr>
                <w:rFonts w:ascii="Cambria" w:hAnsi="Cambria"/>
                <w:bCs/>
                <w:sz w:val="20"/>
                <w:szCs w:val="20"/>
                <w:lang w:val="es-MX"/>
              </w:rPr>
              <w:t>S</w:t>
            </w:r>
            <w:r w:rsidR="00D60F00">
              <w:rPr>
                <w:rFonts w:ascii="Cambria" w:hAnsi="Cambria"/>
                <w:bCs/>
                <w:sz w:val="20"/>
                <w:szCs w:val="20"/>
                <w:lang w:val="es-MX"/>
              </w:rPr>
              <w:t>í, en los términos de la sección VI</w:t>
            </w:r>
          </w:p>
        </w:tc>
      </w:tr>
      <w:tr w:rsidR="003239B8" w:rsidRPr="005D02E8" w14:paraId="604CA8A2" w14:textId="77777777" w:rsidTr="00143376">
        <w:trPr>
          <w:cantSplit/>
        </w:trPr>
        <w:tc>
          <w:tcPr>
            <w:tcW w:w="3568" w:type="dxa"/>
            <w:tcBorders>
              <w:top w:val="single" w:sz="6" w:space="0" w:color="auto"/>
              <w:bottom w:val="single" w:sz="6" w:space="0" w:color="auto"/>
            </w:tcBorders>
            <w:shd w:val="clear" w:color="auto" w:fill="4A7194"/>
            <w:vAlign w:val="center"/>
          </w:tcPr>
          <w:p w14:paraId="3B8F4B9D" w14:textId="77777777" w:rsidR="003239B8" w:rsidRPr="00143376" w:rsidRDefault="003239B8" w:rsidP="00C83849">
            <w:pPr>
              <w:jc w:val="center"/>
              <w:rPr>
                <w:rFonts w:ascii="Cambria" w:hAnsi="Cambria"/>
                <w:b/>
                <w:color w:val="FFFFFF" w:themeColor="background1"/>
                <w:sz w:val="20"/>
                <w:szCs w:val="20"/>
                <w:lang w:val="es-MX"/>
              </w:rPr>
            </w:pPr>
            <w:r w:rsidRPr="00143376">
              <w:rPr>
                <w:rFonts w:ascii="Cambria" w:hAnsi="Cambria"/>
                <w:b/>
                <w:color w:val="FFFFFF" w:themeColor="background1"/>
                <w:sz w:val="20"/>
                <w:szCs w:val="20"/>
                <w:lang w:val="es-MX"/>
              </w:rPr>
              <w:t>Presentación dentro de plazo:</w:t>
            </w:r>
          </w:p>
        </w:tc>
        <w:tc>
          <w:tcPr>
            <w:tcW w:w="5769" w:type="dxa"/>
            <w:vAlign w:val="center"/>
          </w:tcPr>
          <w:p w14:paraId="03549E61" w14:textId="2763939D" w:rsidR="003239B8" w:rsidRPr="002E7F70" w:rsidRDefault="001B48E3" w:rsidP="00C83849">
            <w:pPr>
              <w:rPr>
                <w:rFonts w:ascii="Cambria" w:hAnsi="Cambria"/>
                <w:bCs/>
                <w:sz w:val="20"/>
                <w:szCs w:val="20"/>
                <w:lang w:val="es-MX"/>
              </w:rPr>
            </w:pPr>
            <w:r>
              <w:rPr>
                <w:rFonts w:ascii="Cambria" w:hAnsi="Cambria"/>
                <w:bCs/>
                <w:sz w:val="20"/>
                <w:szCs w:val="20"/>
                <w:lang w:val="es-MX"/>
              </w:rPr>
              <w:t>Sí, en términos de la sección VI</w:t>
            </w:r>
          </w:p>
        </w:tc>
      </w:tr>
    </w:tbl>
    <w:p w14:paraId="77EE2DEF" w14:textId="77777777" w:rsidR="003239B8" w:rsidRPr="002E7F70" w:rsidRDefault="00223A29" w:rsidP="00F97366">
      <w:pPr>
        <w:spacing w:before="120" w:after="120"/>
        <w:ind w:firstLine="720"/>
        <w:jc w:val="both"/>
        <w:rPr>
          <w:rFonts w:asciiTheme="majorHAnsi" w:hAnsiTheme="majorHAnsi"/>
          <w:b/>
          <w:sz w:val="20"/>
          <w:szCs w:val="20"/>
          <w:lang w:val="es-MX"/>
        </w:rPr>
      </w:pPr>
      <w:r w:rsidRPr="002E7F70">
        <w:rPr>
          <w:rFonts w:asciiTheme="majorHAnsi" w:hAnsiTheme="majorHAnsi"/>
          <w:b/>
          <w:sz w:val="20"/>
          <w:szCs w:val="20"/>
          <w:lang w:val="es-MX"/>
        </w:rPr>
        <w:t xml:space="preserve">V. </w:t>
      </w:r>
      <w:r w:rsidRPr="002E7F70">
        <w:rPr>
          <w:rFonts w:asciiTheme="majorHAnsi" w:hAnsiTheme="majorHAnsi"/>
          <w:b/>
          <w:sz w:val="20"/>
          <w:szCs w:val="20"/>
          <w:lang w:val="es-MX"/>
        </w:rPr>
        <w:tab/>
      </w:r>
      <w:r w:rsidR="003239B8" w:rsidRPr="002E7F70">
        <w:rPr>
          <w:rFonts w:asciiTheme="majorHAnsi" w:hAnsiTheme="majorHAnsi"/>
          <w:b/>
          <w:sz w:val="20"/>
          <w:szCs w:val="20"/>
          <w:lang w:val="es-MX"/>
        </w:rPr>
        <w:t xml:space="preserve">HECHOS ALEGADOS </w:t>
      </w:r>
    </w:p>
    <w:p w14:paraId="07652DED" w14:textId="0B9C0884" w:rsidR="008E1A36" w:rsidRPr="00E27F1B" w:rsidRDefault="009440BD"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sz w:val="20"/>
          <w:szCs w:val="20"/>
          <w:lang w:val="es-MX"/>
        </w:rPr>
      </w:pPr>
      <w:r w:rsidRPr="00E27F1B">
        <w:rPr>
          <w:sz w:val="20"/>
          <w:szCs w:val="20"/>
          <w:lang w:val="es-MX"/>
        </w:rPr>
        <w:t>La</w:t>
      </w:r>
      <w:r w:rsidR="008E1A36" w:rsidRPr="00E27F1B">
        <w:rPr>
          <w:sz w:val="20"/>
          <w:szCs w:val="20"/>
          <w:lang w:val="es-MX"/>
        </w:rPr>
        <w:t xml:space="preserve"> parte peticionaria denuncia la ejecución extrajudicial de la presunta víctima</w:t>
      </w:r>
      <w:r w:rsidR="00D60F00" w:rsidRPr="00E27F1B">
        <w:rPr>
          <w:sz w:val="20"/>
          <w:szCs w:val="20"/>
          <w:lang w:val="es-MX"/>
        </w:rPr>
        <w:t xml:space="preserve">, </w:t>
      </w:r>
      <w:r w:rsidR="008E1A36" w:rsidRPr="00E27F1B">
        <w:rPr>
          <w:sz w:val="20"/>
          <w:szCs w:val="20"/>
          <w:lang w:val="es-MX"/>
        </w:rPr>
        <w:t xml:space="preserve">líder laboral y </w:t>
      </w:r>
      <w:r w:rsidR="00616084" w:rsidRPr="00E27F1B">
        <w:rPr>
          <w:sz w:val="20"/>
          <w:szCs w:val="20"/>
          <w:lang w:val="es-MX"/>
        </w:rPr>
        <w:t>comunal ampliamente conocido en la región del Sur de</w:t>
      </w:r>
      <w:r w:rsidR="00E17A94">
        <w:rPr>
          <w:sz w:val="20"/>
          <w:szCs w:val="20"/>
          <w:lang w:val="es-MX"/>
        </w:rPr>
        <w:t>l Departamento de</w:t>
      </w:r>
      <w:r w:rsidR="00616084" w:rsidRPr="00E27F1B">
        <w:rPr>
          <w:sz w:val="20"/>
          <w:szCs w:val="20"/>
          <w:lang w:val="es-MX"/>
        </w:rPr>
        <w:t xml:space="preserve"> </w:t>
      </w:r>
      <w:r w:rsidR="004B11FB" w:rsidRPr="00E27F1B">
        <w:rPr>
          <w:sz w:val="20"/>
          <w:szCs w:val="20"/>
          <w:lang w:val="es-MX"/>
        </w:rPr>
        <w:t>Bolívar</w:t>
      </w:r>
      <w:r w:rsidR="00D60F00" w:rsidRPr="00E27F1B">
        <w:rPr>
          <w:sz w:val="20"/>
          <w:szCs w:val="20"/>
          <w:lang w:val="es-MX"/>
        </w:rPr>
        <w:t>, a manos de integrantes de las Fuerzas Armadas</w:t>
      </w:r>
      <w:r w:rsidR="00B95147" w:rsidRPr="00E27F1B">
        <w:rPr>
          <w:rStyle w:val="FootnoteReference"/>
          <w:sz w:val="20"/>
          <w:szCs w:val="20"/>
          <w:lang w:val="es-MX"/>
        </w:rPr>
        <w:footnoteReference w:id="4"/>
      </w:r>
      <w:r w:rsidR="008E1A36" w:rsidRPr="00E27F1B">
        <w:rPr>
          <w:sz w:val="20"/>
          <w:szCs w:val="20"/>
          <w:lang w:val="es-MX"/>
        </w:rPr>
        <w:t>.</w:t>
      </w:r>
      <w:r w:rsidR="006F1145" w:rsidRPr="00E27F1B">
        <w:rPr>
          <w:sz w:val="20"/>
          <w:szCs w:val="20"/>
          <w:lang w:val="es-MX"/>
        </w:rPr>
        <w:t xml:space="preserve"> Aduce que </w:t>
      </w:r>
      <w:r w:rsidR="00C667E2">
        <w:rPr>
          <w:sz w:val="20"/>
          <w:szCs w:val="20"/>
          <w:lang w:val="es-MX"/>
        </w:rPr>
        <w:t>tales acontecimientos</w:t>
      </w:r>
      <w:r w:rsidR="006F1145" w:rsidRPr="00E27F1B">
        <w:rPr>
          <w:sz w:val="20"/>
          <w:szCs w:val="20"/>
          <w:lang w:val="es-MX"/>
        </w:rPr>
        <w:t xml:space="preserve"> tuvieron lugar en </w:t>
      </w:r>
      <w:r w:rsidR="00D60F00" w:rsidRPr="00E27F1B">
        <w:rPr>
          <w:sz w:val="20"/>
          <w:szCs w:val="20"/>
          <w:lang w:val="es-MX"/>
        </w:rPr>
        <w:t xml:space="preserve">un contexto de deterioro </w:t>
      </w:r>
      <w:r w:rsidR="006F1145" w:rsidRPr="00E27F1B">
        <w:rPr>
          <w:sz w:val="20"/>
          <w:szCs w:val="20"/>
          <w:lang w:val="es-MX"/>
        </w:rPr>
        <w:t xml:space="preserve">de la situación de </w:t>
      </w:r>
      <w:r w:rsidR="0095570E" w:rsidRPr="00E27F1B">
        <w:rPr>
          <w:sz w:val="20"/>
          <w:szCs w:val="20"/>
          <w:lang w:val="es-MX"/>
        </w:rPr>
        <w:t>derechos</w:t>
      </w:r>
      <w:r w:rsidR="006F1145" w:rsidRPr="00E27F1B">
        <w:rPr>
          <w:sz w:val="20"/>
          <w:szCs w:val="20"/>
          <w:lang w:val="es-MX"/>
        </w:rPr>
        <w:t xml:space="preserve"> humanos en la zona</w:t>
      </w:r>
      <w:r w:rsidR="00D60F00" w:rsidRPr="00E27F1B">
        <w:rPr>
          <w:sz w:val="20"/>
          <w:szCs w:val="20"/>
          <w:lang w:val="es-MX"/>
        </w:rPr>
        <w:t xml:space="preserve"> debido, en parte, </w:t>
      </w:r>
      <w:r w:rsidR="00E17A94">
        <w:rPr>
          <w:sz w:val="20"/>
          <w:szCs w:val="20"/>
          <w:lang w:val="es-MX"/>
        </w:rPr>
        <w:t>a</w:t>
      </w:r>
      <w:r w:rsidR="00D60F00" w:rsidRPr="00E27F1B">
        <w:rPr>
          <w:sz w:val="20"/>
          <w:szCs w:val="20"/>
          <w:lang w:val="es-MX"/>
        </w:rPr>
        <w:t xml:space="preserve"> </w:t>
      </w:r>
      <w:r w:rsidR="006F1145" w:rsidRPr="00E27F1B">
        <w:rPr>
          <w:sz w:val="20"/>
          <w:szCs w:val="20"/>
          <w:lang w:val="es-MX"/>
        </w:rPr>
        <w:t xml:space="preserve">la presencia de empresas mineras extranjeras. </w:t>
      </w:r>
    </w:p>
    <w:p w14:paraId="4F9F9990" w14:textId="519CFA30" w:rsidR="00D802F4" w:rsidRPr="00E27F1B" w:rsidRDefault="00D60F00"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sz w:val="20"/>
          <w:szCs w:val="20"/>
          <w:lang w:val="es-MX"/>
        </w:rPr>
      </w:pPr>
      <w:r w:rsidRPr="00E27F1B">
        <w:rPr>
          <w:sz w:val="20"/>
          <w:szCs w:val="20"/>
          <w:lang w:val="es-MX"/>
        </w:rPr>
        <w:t xml:space="preserve">Alega </w:t>
      </w:r>
      <w:r w:rsidR="00117C89" w:rsidRPr="00E27F1B">
        <w:rPr>
          <w:sz w:val="20"/>
          <w:szCs w:val="20"/>
          <w:lang w:val="es-MX"/>
        </w:rPr>
        <w:t>que el 19 de septiembre de 2006</w:t>
      </w:r>
      <w:r w:rsidRPr="00E27F1B">
        <w:rPr>
          <w:sz w:val="20"/>
          <w:szCs w:val="20"/>
          <w:lang w:val="es-MX"/>
        </w:rPr>
        <w:t>, el señor</w:t>
      </w:r>
      <w:r w:rsidR="00117C89" w:rsidRPr="00E27F1B">
        <w:rPr>
          <w:sz w:val="20"/>
          <w:szCs w:val="20"/>
          <w:lang w:val="es-MX"/>
        </w:rPr>
        <w:t xml:space="preserve"> Uribe Chacón salió de Mina Gallo en compañía del Fiscal de la Federación Agro Minera del Sur de </w:t>
      </w:r>
      <w:r w:rsidR="004B11FB" w:rsidRPr="00E27F1B">
        <w:rPr>
          <w:sz w:val="20"/>
          <w:szCs w:val="20"/>
          <w:lang w:val="es-MX"/>
        </w:rPr>
        <w:t>Bolívar</w:t>
      </w:r>
      <w:r w:rsidR="00117C89" w:rsidRPr="00E27F1B">
        <w:rPr>
          <w:sz w:val="20"/>
          <w:szCs w:val="20"/>
          <w:lang w:val="es-MX"/>
        </w:rPr>
        <w:t xml:space="preserve"> (en adelante “Fedeagromisbol”), organización a la cual él también pertenecía. La presunta víctima debía regresar en la tarde, por estar planeada su participación en un encuentro de líderes el día siguiente. Al notar que no llegaba, varios miembros de las comunidades se organizaron para ir en su b</w:t>
      </w:r>
      <w:r w:rsidR="004E0205" w:rsidRPr="00E27F1B">
        <w:rPr>
          <w:sz w:val="20"/>
          <w:szCs w:val="20"/>
          <w:lang w:val="es-MX"/>
        </w:rPr>
        <w:t>úsqueda e</w:t>
      </w:r>
      <w:r w:rsidR="00117C89" w:rsidRPr="00E27F1B">
        <w:rPr>
          <w:sz w:val="20"/>
          <w:szCs w:val="20"/>
          <w:lang w:val="es-MX"/>
        </w:rPr>
        <w:t xml:space="preserve"> informaron de la situación a la </w:t>
      </w:r>
      <w:r w:rsidR="0095570E" w:rsidRPr="00E27F1B">
        <w:rPr>
          <w:sz w:val="20"/>
          <w:szCs w:val="20"/>
          <w:lang w:val="es-MX"/>
        </w:rPr>
        <w:t>Defensoría</w:t>
      </w:r>
      <w:r w:rsidR="00117C89" w:rsidRPr="00E27F1B">
        <w:rPr>
          <w:sz w:val="20"/>
          <w:szCs w:val="20"/>
          <w:lang w:val="es-MX"/>
        </w:rPr>
        <w:t xml:space="preserve"> del Pueblo Regional y otras </w:t>
      </w:r>
      <w:r w:rsidR="00117C89" w:rsidRPr="00E27F1B">
        <w:rPr>
          <w:sz w:val="20"/>
          <w:szCs w:val="20"/>
          <w:lang w:val="es-MX"/>
        </w:rPr>
        <w:lastRenderedPageBreak/>
        <w:t xml:space="preserve">organizaciones de derechos humanos. </w:t>
      </w:r>
      <w:r w:rsidRPr="00E27F1B">
        <w:rPr>
          <w:sz w:val="20"/>
          <w:szCs w:val="20"/>
          <w:lang w:val="es-MX"/>
        </w:rPr>
        <w:t>En ese contexto, sostiene que, a</w:t>
      </w:r>
      <w:r w:rsidR="00117C89" w:rsidRPr="00E27F1B">
        <w:rPr>
          <w:sz w:val="20"/>
          <w:szCs w:val="20"/>
          <w:lang w:val="es-MX"/>
        </w:rPr>
        <w:t xml:space="preserve">l día siguiente, se conoció que tropas del Batallón Antiaéreo Nueva Granada habrían dado de baja a un </w:t>
      </w:r>
      <w:r w:rsidR="004B11FB">
        <w:rPr>
          <w:sz w:val="20"/>
          <w:szCs w:val="20"/>
          <w:lang w:val="es-MX"/>
        </w:rPr>
        <w:t xml:space="preserve">integrante </w:t>
      </w:r>
      <w:r w:rsidR="00117C89" w:rsidRPr="00E27F1B">
        <w:rPr>
          <w:sz w:val="20"/>
          <w:szCs w:val="20"/>
          <w:lang w:val="es-MX"/>
        </w:rPr>
        <w:t xml:space="preserve">del </w:t>
      </w:r>
      <w:r w:rsidR="004B11FB">
        <w:rPr>
          <w:sz w:val="20"/>
          <w:szCs w:val="20"/>
          <w:lang w:val="es-MX"/>
        </w:rPr>
        <w:t xml:space="preserve">grupo </w:t>
      </w:r>
      <w:r w:rsidR="004B11FB" w:rsidRPr="00E27F1B">
        <w:rPr>
          <w:sz w:val="20"/>
          <w:szCs w:val="20"/>
          <w:lang w:val="es-MX"/>
        </w:rPr>
        <w:t xml:space="preserve">guerrillero </w:t>
      </w:r>
      <w:r w:rsidR="004B11FB">
        <w:rPr>
          <w:sz w:val="20"/>
          <w:szCs w:val="20"/>
          <w:lang w:val="es-MX"/>
        </w:rPr>
        <w:t>autodenominado Ejército de Liberación Nacional (</w:t>
      </w:r>
      <w:r w:rsidR="00117C89" w:rsidRPr="00E27F1B">
        <w:rPr>
          <w:sz w:val="20"/>
          <w:szCs w:val="20"/>
          <w:lang w:val="es-MX"/>
        </w:rPr>
        <w:t>ELN</w:t>
      </w:r>
      <w:r w:rsidR="004B11FB">
        <w:rPr>
          <w:sz w:val="20"/>
          <w:szCs w:val="20"/>
          <w:lang w:val="es-MX"/>
        </w:rPr>
        <w:t>)</w:t>
      </w:r>
      <w:r w:rsidR="00117C89" w:rsidRPr="00E27F1B">
        <w:rPr>
          <w:sz w:val="20"/>
          <w:szCs w:val="20"/>
          <w:lang w:val="es-MX"/>
        </w:rPr>
        <w:t xml:space="preserve"> en la zona en </w:t>
      </w:r>
      <w:r w:rsidR="004B11FB">
        <w:rPr>
          <w:sz w:val="20"/>
          <w:szCs w:val="20"/>
          <w:lang w:val="es-MX"/>
        </w:rPr>
        <w:t>que</w:t>
      </w:r>
      <w:r w:rsidR="00117C89" w:rsidRPr="00E27F1B">
        <w:rPr>
          <w:sz w:val="20"/>
          <w:szCs w:val="20"/>
          <w:lang w:val="es-MX"/>
        </w:rPr>
        <w:t xml:space="preserve"> se encontraba la presunta víctima. Sin embargo, </w:t>
      </w:r>
      <w:r w:rsidRPr="00E27F1B">
        <w:rPr>
          <w:sz w:val="20"/>
          <w:szCs w:val="20"/>
          <w:lang w:val="es-MX"/>
        </w:rPr>
        <w:t xml:space="preserve">informa que, </w:t>
      </w:r>
      <w:r w:rsidR="00117C89" w:rsidRPr="00E27F1B">
        <w:rPr>
          <w:sz w:val="20"/>
          <w:szCs w:val="20"/>
          <w:lang w:val="es-MX"/>
        </w:rPr>
        <w:t>a través de las indagaciones realizadas, se determinó que el Ej</w:t>
      </w:r>
      <w:r w:rsidR="004B11FB">
        <w:rPr>
          <w:sz w:val="20"/>
          <w:szCs w:val="20"/>
          <w:lang w:val="es-MX"/>
        </w:rPr>
        <w:t>é</w:t>
      </w:r>
      <w:r w:rsidR="00117C89" w:rsidRPr="00E27F1B">
        <w:rPr>
          <w:sz w:val="20"/>
          <w:szCs w:val="20"/>
          <w:lang w:val="es-MX"/>
        </w:rPr>
        <w:t xml:space="preserve">rcito </w:t>
      </w:r>
      <w:r w:rsidR="00C667E2">
        <w:rPr>
          <w:sz w:val="20"/>
          <w:szCs w:val="20"/>
          <w:lang w:val="es-MX"/>
        </w:rPr>
        <w:t>no dio</w:t>
      </w:r>
      <w:r w:rsidR="00117C89" w:rsidRPr="00E27F1B">
        <w:rPr>
          <w:sz w:val="20"/>
          <w:szCs w:val="20"/>
          <w:lang w:val="es-MX"/>
        </w:rPr>
        <w:t xml:space="preserve"> de baja a insurgente alguno, sino que </w:t>
      </w:r>
      <w:r w:rsidR="00C667E2">
        <w:rPr>
          <w:sz w:val="20"/>
          <w:szCs w:val="20"/>
          <w:lang w:val="es-MX"/>
        </w:rPr>
        <w:t>asesinaron</w:t>
      </w:r>
      <w:r w:rsidR="00117C89" w:rsidRPr="00E27F1B">
        <w:rPr>
          <w:sz w:val="20"/>
          <w:szCs w:val="20"/>
          <w:lang w:val="es-MX"/>
        </w:rPr>
        <w:t xml:space="preserve"> a</w:t>
      </w:r>
      <w:r w:rsidR="00C667E2">
        <w:rPr>
          <w:sz w:val="20"/>
          <w:szCs w:val="20"/>
          <w:lang w:val="es-MX"/>
        </w:rPr>
        <w:t>l señor Uribe Chacón</w:t>
      </w:r>
      <w:r w:rsidR="00117C89" w:rsidRPr="00E27F1B">
        <w:rPr>
          <w:sz w:val="20"/>
          <w:szCs w:val="20"/>
          <w:lang w:val="es-MX"/>
        </w:rPr>
        <w:t xml:space="preserve">. </w:t>
      </w:r>
      <w:r w:rsidRPr="00E27F1B">
        <w:rPr>
          <w:sz w:val="20"/>
          <w:szCs w:val="20"/>
          <w:lang w:val="es-MX"/>
        </w:rPr>
        <w:t>Al respecto, detalla que u</w:t>
      </w:r>
      <w:r w:rsidR="00117C89" w:rsidRPr="00E27F1B">
        <w:rPr>
          <w:sz w:val="20"/>
          <w:szCs w:val="20"/>
          <w:lang w:val="es-MX"/>
        </w:rPr>
        <w:t>n testigo afirmó haber visto a la presunta víctima caminando en un terreno plano, antes de escuchar tiros y gritos, por los cuales se escondi</w:t>
      </w:r>
      <w:r w:rsidR="00D802F4" w:rsidRPr="00E27F1B">
        <w:rPr>
          <w:sz w:val="20"/>
          <w:szCs w:val="20"/>
          <w:lang w:val="es-MX"/>
        </w:rPr>
        <w:t>ó.</w:t>
      </w:r>
    </w:p>
    <w:p w14:paraId="2B1719FC" w14:textId="433E52FB" w:rsidR="00E27F1B" w:rsidRPr="00E27F1B" w:rsidRDefault="00556F2F"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sz w:val="20"/>
          <w:szCs w:val="20"/>
          <w:lang w:val="es-MX"/>
        </w:rPr>
      </w:pPr>
      <w:r w:rsidRPr="00E27F1B">
        <w:rPr>
          <w:sz w:val="20"/>
          <w:szCs w:val="20"/>
          <w:lang w:val="es-MX"/>
        </w:rPr>
        <w:t>La parte peticionaria aduce que la muerte de</w:t>
      </w:r>
      <w:r w:rsidR="00D92C33" w:rsidRPr="00E27F1B">
        <w:rPr>
          <w:sz w:val="20"/>
          <w:szCs w:val="20"/>
          <w:lang w:val="es-MX"/>
        </w:rPr>
        <w:t xml:space="preserve">l señor Uribe Chacón </w:t>
      </w:r>
      <w:r w:rsidR="00EE5B10" w:rsidRPr="00E27F1B">
        <w:rPr>
          <w:sz w:val="20"/>
          <w:szCs w:val="20"/>
          <w:lang w:val="es-MX"/>
        </w:rPr>
        <w:t xml:space="preserve">fue parte </w:t>
      </w:r>
      <w:r w:rsidRPr="00E27F1B">
        <w:rPr>
          <w:sz w:val="20"/>
          <w:szCs w:val="20"/>
          <w:lang w:val="es-MX"/>
        </w:rPr>
        <w:t xml:space="preserve">de un </w:t>
      </w:r>
      <w:r w:rsidR="0095570E" w:rsidRPr="00E27F1B">
        <w:rPr>
          <w:sz w:val="20"/>
          <w:szCs w:val="20"/>
          <w:lang w:val="es-MX"/>
        </w:rPr>
        <w:t>operativo militar</w:t>
      </w:r>
      <w:r w:rsidR="00D60F00" w:rsidRPr="00E27F1B">
        <w:rPr>
          <w:sz w:val="20"/>
          <w:szCs w:val="20"/>
          <w:lang w:val="es-MX"/>
        </w:rPr>
        <w:t>, en el que se desarrollaron</w:t>
      </w:r>
      <w:r w:rsidRPr="00E27F1B">
        <w:rPr>
          <w:sz w:val="20"/>
          <w:szCs w:val="20"/>
          <w:lang w:val="es-MX"/>
        </w:rPr>
        <w:t xml:space="preserve"> labores de inteligencia </w:t>
      </w:r>
      <w:r w:rsidR="00EE5B10" w:rsidRPr="00E27F1B">
        <w:rPr>
          <w:sz w:val="20"/>
          <w:szCs w:val="20"/>
          <w:lang w:val="es-MX"/>
        </w:rPr>
        <w:t xml:space="preserve">para examinar </w:t>
      </w:r>
      <w:r w:rsidR="00D92C33" w:rsidRPr="00E27F1B">
        <w:rPr>
          <w:sz w:val="20"/>
          <w:szCs w:val="20"/>
          <w:lang w:val="es-MX"/>
        </w:rPr>
        <w:t>sus</w:t>
      </w:r>
      <w:r w:rsidRPr="00E27F1B">
        <w:rPr>
          <w:sz w:val="20"/>
          <w:szCs w:val="20"/>
          <w:lang w:val="es-MX"/>
        </w:rPr>
        <w:t xml:space="preserve"> actividades como sindicalista.</w:t>
      </w:r>
      <w:r w:rsidR="007D3832" w:rsidRPr="00E27F1B">
        <w:rPr>
          <w:sz w:val="20"/>
          <w:szCs w:val="20"/>
          <w:lang w:val="es-MX"/>
        </w:rPr>
        <w:t xml:space="preserve"> Aduce que dichas informaciones fueron tergiversadas para justificar su asesinat</w:t>
      </w:r>
      <w:r w:rsidR="00D92C33" w:rsidRPr="00E27F1B">
        <w:rPr>
          <w:sz w:val="20"/>
          <w:szCs w:val="20"/>
          <w:lang w:val="es-MX"/>
        </w:rPr>
        <w:t>o y que, por ejemplo,</w:t>
      </w:r>
      <w:r w:rsidR="00117C89" w:rsidRPr="00E27F1B">
        <w:rPr>
          <w:sz w:val="20"/>
          <w:szCs w:val="20"/>
          <w:lang w:val="es-MX"/>
        </w:rPr>
        <w:t xml:space="preserve"> el </w:t>
      </w:r>
      <w:r w:rsidR="00EE5B10" w:rsidRPr="00E27F1B">
        <w:rPr>
          <w:sz w:val="20"/>
          <w:szCs w:val="20"/>
          <w:lang w:val="es-MX"/>
        </w:rPr>
        <w:t>comandante</w:t>
      </w:r>
      <w:r w:rsidR="00117C89" w:rsidRPr="00E27F1B">
        <w:rPr>
          <w:sz w:val="20"/>
          <w:szCs w:val="20"/>
          <w:lang w:val="es-MX"/>
        </w:rPr>
        <w:t xml:space="preserve"> del Batallón Nueva Granada dijo que la presunta víctima era un guerrillero caído en combate</w:t>
      </w:r>
      <w:r w:rsidR="008E1A36" w:rsidRPr="00E27F1B">
        <w:rPr>
          <w:sz w:val="20"/>
          <w:szCs w:val="20"/>
          <w:lang w:val="es-MX"/>
        </w:rPr>
        <w:t xml:space="preserve">. Asimismo, </w:t>
      </w:r>
      <w:r w:rsidR="004B11FB">
        <w:rPr>
          <w:sz w:val="20"/>
          <w:szCs w:val="20"/>
          <w:lang w:val="es-MX"/>
        </w:rPr>
        <w:t>un</w:t>
      </w:r>
      <w:r w:rsidR="008E1A36" w:rsidRPr="00E27F1B">
        <w:rPr>
          <w:sz w:val="20"/>
          <w:szCs w:val="20"/>
          <w:lang w:val="es-MX"/>
        </w:rPr>
        <w:t xml:space="preserve"> </w:t>
      </w:r>
      <w:r w:rsidR="00EE5B10" w:rsidRPr="00E27F1B">
        <w:rPr>
          <w:sz w:val="20"/>
          <w:szCs w:val="20"/>
          <w:lang w:val="es-MX"/>
        </w:rPr>
        <w:t>g</w:t>
      </w:r>
      <w:r w:rsidR="008E1A36" w:rsidRPr="00E27F1B">
        <w:rPr>
          <w:sz w:val="20"/>
          <w:szCs w:val="20"/>
          <w:lang w:val="es-MX"/>
        </w:rPr>
        <w:t>eneral de la Quinta Brigada del Ejército Nacional habría declarado que luego se enteraron de que la presunta víctima era un líder comunal de Mina Gallo</w:t>
      </w:r>
      <w:r w:rsidR="00EE5B10" w:rsidRPr="00E27F1B">
        <w:rPr>
          <w:sz w:val="20"/>
          <w:szCs w:val="20"/>
          <w:lang w:val="es-MX"/>
        </w:rPr>
        <w:t xml:space="preserve"> y </w:t>
      </w:r>
      <w:r w:rsidR="008E1A36" w:rsidRPr="00E27F1B">
        <w:rPr>
          <w:sz w:val="20"/>
          <w:szCs w:val="20"/>
          <w:lang w:val="es-MX"/>
        </w:rPr>
        <w:t>que sus tropas obran con transparencia</w:t>
      </w:r>
      <w:r w:rsidR="00EE5B10" w:rsidRPr="00E27F1B">
        <w:rPr>
          <w:sz w:val="20"/>
          <w:szCs w:val="20"/>
          <w:lang w:val="es-MX"/>
        </w:rPr>
        <w:t>, solo dando muerte a quiénes realizan acciones hostiles.</w:t>
      </w:r>
      <w:r w:rsidR="004E0205" w:rsidRPr="00E27F1B">
        <w:rPr>
          <w:sz w:val="20"/>
          <w:szCs w:val="20"/>
          <w:lang w:val="es-MX"/>
        </w:rPr>
        <w:t xml:space="preserve"> </w:t>
      </w:r>
      <w:r w:rsidR="00EE5B10" w:rsidRPr="00E27F1B">
        <w:rPr>
          <w:sz w:val="20"/>
          <w:szCs w:val="20"/>
          <w:lang w:val="es-MX"/>
        </w:rPr>
        <w:t xml:space="preserve">En ese marco, sostiene que </w:t>
      </w:r>
      <w:r w:rsidR="00D92C33" w:rsidRPr="00E27F1B">
        <w:rPr>
          <w:sz w:val="20"/>
          <w:szCs w:val="20"/>
          <w:lang w:val="es-MX"/>
        </w:rPr>
        <w:t>las autoridades intentaron justificar su accionar, argumentando</w:t>
      </w:r>
      <w:r w:rsidR="00AE3EA0" w:rsidRPr="00E27F1B">
        <w:rPr>
          <w:sz w:val="20"/>
          <w:szCs w:val="20"/>
          <w:lang w:val="es-MX"/>
        </w:rPr>
        <w:t xml:space="preserve"> que la muerte de la presunta víctima se había producido en medio de un combate, </w:t>
      </w:r>
      <w:r w:rsidR="00D802F4" w:rsidRPr="00E27F1B">
        <w:rPr>
          <w:sz w:val="20"/>
          <w:szCs w:val="20"/>
          <w:lang w:val="es-MX"/>
        </w:rPr>
        <w:t>en una zona donde existía un campamento insurgente</w:t>
      </w:r>
      <w:r w:rsidR="00D92C33" w:rsidRPr="00E27F1B">
        <w:rPr>
          <w:sz w:val="20"/>
          <w:szCs w:val="20"/>
          <w:lang w:val="es-MX"/>
        </w:rPr>
        <w:t xml:space="preserve">. Sin embargo, </w:t>
      </w:r>
      <w:r w:rsidR="00EE5B10" w:rsidRPr="00E27F1B">
        <w:rPr>
          <w:sz w:val="20"/>
          <w:szCs w:val="20"/>
          <w:lang w:val="es-MX"/>
        </w:rPr>
        <w:t>destaca</w:t>
      </w:r>
      <w:r w:rsidR="00D92C33" w:rsidRPr="00E27F1B">
        <w:rPr>
          <w:sz w:val="20"/>
          <w:szCs w:val="20"/>
          <w:lang w:val="es-MX"/>
        </w:rPr>
        <w:t xml:space="preserve"> que,</w:t>
      </w:r>
      <w:r w:rsidR="00D802F4" w:rsidRPr="00E27F1B">
        <w:rPr>
          <w:sz w:val="20"/>
          <w:szCs w:val="20"/>
          <w:lang w:val="es-MX"/>
        </w:rPr>
        <w:t xml:space="preserve"> en realidad</w:t>
      </w:r>
      <w:r w:rsidR="00D92C33" w:rsidRPr="00E27F1B">
        <w:rPr>
          <w:sz w:val="20"/>
          <w:szCs w:val="20"/>
          <w:lang w:val="es-MX"/>
        </w:rPr>
        <w:t>, tal lugar</w:t>
      </w:r>
      <w:r w:rsidR="00D802F4" w:rsidRPr="00E27F1B">
        <w:rPr>
          <w:sz w:val="20"/>
          <w:szCs w:val="20"/>
          <w:lang w:val="es-MX"/>
        </w:rPr>
        <w:t xml:space="preserve"> correspondía a un establecimiento educativo</w:t>
      </w:r>
      <w:r w:rsidRPr="00E27F1B">
        <w:rPr>
          <w:sz w:val="20"/>
          <w:szCs w:val="20"/>
          <w:lang w:val="es-MX"/>
        </w:rPr>
        <w:t xml:space="preserve"> y los testigos de los hechos declararon que no hubo ningún combate</w:t>
      </w:r>
      <w:r w:rsidR="00D802F4" w:rsidRPr="00E27F1B">
        <w:rPr>
          <w:sz w:val="20"/>
          <w:szCs w:val="20"/>
          <w:lang w:val="es-MX"/>
        </w:rPr>
        <w:t xml:space="preserve">. </w:t>
      </w:r>
    </w:p>
    <w:p w14:paraId="0ADE3501" w14:textId="1C0953AE" w:rsidR="00E27F1B" w:rsidRPr="00E27F1B" w:rsidRDefault="00EE5B10"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sz w:val="20"/>
          <w:szCs w:val="20"/>
          <w:lang w:val="es-MX"/>
        </w:rPr>
      </w:pPr>
      <w:r w:rsidRPr="00E27F1B">
        <w:rPr>
          <w:sz w:val="20"/>
          <w:szCs w:val="20"/>
          <w:lang w:val="es-MX"/>
        </w:rPr>
        <w:t xml:space="preserve">En base a ello, </w:t>
      </w:r>
      <w:r w:rsidR="00C667E2">
        <w:rPr>
          <w:sz w:val="20"/>
          <w:szCs w:val="20"/>
          <w:lang w:val="es-MX"/>
        </w:rPr>
        <w:t>cuestiona</w:t>
      </w:r>
      <w:r w:rsidRPr="00E27F1B">
        <w:rPr>
          <w:sz w:val="20"/>
          <w:szCs w:val="20"/>
          <w:lang w:val="es-MX"/>
        </w:rPr>
        <w:t xml:space="preserve"> </w:t>
      </w:r>
      <w:r w:rsidR="00D92C33" w:rsidRPr="00E27F1B">
        <w:rPr>
          <w:sz w:val="20"/>
          <w:szCs w:val="20"/>
          <w:lang w:val="es-MX"/>
        </w:rPr>
        <w:t xml:space="preserve">que los responsables del asesinato fueron los encargados de </w:t>
      </w:r>
      <w:r w:rsidRPr="00E27F1B">
        <w:rPr>
          <w:sz w:val="20"/>
          <w:szCs w:val="20"/>
          <w:lang w:val="es-MX"/>
        </w:rPr>
        <w:t>cuidar</w:t>
      </w:r>
      <w:r w:rsidR="00D92C33" w:rsidRPr="00E27F1B">
        <w:rPr>
          <w:sz w:val="20"/>
          <w:szCs w:val="20"/>
          <w:lang w:val="es-MX"/>
        </w:rPr>
        <w:t xml:space="preserve"> la escena del crimen, provocando que</w:t>
      </w:r>
      <w:r w:rsidR="00C667E2">
        <w:rPr>
          <w:sz w:val="20"/>
          <w:szCs w:val="20"/>
          <w:lang w:val="es-MX"/>
        </w:rPr>
        <w:t xml:space="preserve"> el</w:t>
      </w:r>
      <w:r w:rsidR="00D92C33" w:rsidRPr="00E27F1B">
        <w:rPr>
          <w:sz w:val="20"/>
          <w:szCs w:val="20"/>
          <w:lang w:val="es-MX"/>
        </w:rPr>
        <w:t xml:space="preserve"> cuerpo de la presunta víctima no haya sido preservado en el lugar de los hechos</w:t>
      </w:r>
      <w:r w:rsidRPr="00E27F1B">
        <w:rPr>
          <w:sz w:val="20"/>
          <w:szCs w:val="20"/>
          <w:lang w:val="es-MX"/>
        </w:rPr>
        <w:t xml:space="preserve"> de manera adecuada</w:t>
      </w:r>
      <w:r w:rsidR="00D92C33" w:rsidRPr="00E27F1B">
        <w:rPr>
          <w:sz w:val="20"/>
          <w:szCs w:val="20"/>
          <w:lang w:val="es-MX"/>
        </w:rPr>
        <w:t>. En sentido similar, denuncia que tales integrantes</w:t>
      </w:r>
      <w:r w:rsidR="00556F2F" w:rsidRPr="00E27F1B">
        <w:rPr>
          <w:sz w:val="20"/>
          <w:szCs w:val="20"/>
          <w:lang w:val="es-MX"/>
        </w:rPr>
        <w:t xml:space="preserve"> </w:t>
      </w:r>
      <w:r w:rsidR="00D92C33" w:rsidRPr="00E27F1B">
        <w:rPr>
          <w:sz w:val="20"/>
          <w:szCs w:val="20"/>
          <w:lang w:val="es-MX"/>
        </w:rPr>
        <w:t xml:space="preserve">del </w:t>
      </w:r>
      <w:r w:rsidR="00556F2F" w:rsidRPr="00E27F1B">
        <w:rPr>
          <w:sz w:val="20"/>
          <w:szCs w:val="20"/>
          <w:lang w:val="es-MX"/>
        </w:rPr>
        <w:t>Ejercito</w:t>
      </w:r>
      <w:r w:rsidR="0095570E" w:rsidRPr="00E27F1B">
        <w:rPr>
          <w:sz w:val="20"/>
          <w:szCs w:val="20"/>
          <w:lang w:val="es-MX"/>
        </w:rPr>
        <w:t xml:space="preserve"> no guard</w:t>
      </w:r>
      <w:r w:rsidR="00D92C33" w:rsidRPr="00E27F1B">
        <w:rPr>
          <w:sz w:val="20"/>
          <w:szCs w:val="20"/>
          <w:lang w:val="es-MX"/>
        </w:rPr>
        <w:t>aron</w:t>
      </w:r>
      <w:r w:rsidR="0095570E" w:rsidRPr="00E27F1B">
        <w:rPr>
          <w:sz w:val="20"/>
          <w:szCs w:val="20"/>
          <w:lang w:val="es-MX"/>
        </w:rPr>
        <w:t xml:space="preserve"> de manera </w:t>
      </w:r>
      <w:r w:rsidR="004E0205" w:rsidRPr="00E27F1B">
        <w:rPr>
          <w:sz w:val="20"/>
          <w:szCs w:val="20"/>
          <w:lang w:val="es-MX"/>
        </w:rPr>
        <w:t>apropiada las prendas y material de guerra presuntamente encontrad</w:t>
      </w:r>
      <w:r w:rsidR="00D92C33" w:rsidRPr="00E27F1B">
        <w:rPr>
          <w:sz w:val="20"/>
          <w:szCs w:val="20"/>
          <w:lang w:val="es-MX"/>
        </w:rPr>
        <w:t>as</w:t>
      </w:r>
      <w:r w:rsidR="004E0205" w:rsidRPr="00E27F1B">
        <w:rPr>
          <w:sz w:val="20"/>
          <w:szCs w:val="20"/>
          <w:lang w:val="es-MX"/>
        </w:rPr>
        <w:t xml:space="preserve"> junto al cuerpo de la presunta víctima</w:t>
      </w:r>
      <w:r w:rsidR="00D92C33" w:rsidRPr="00E27F1B">
        <w:rPr>
          <w:sz w:val="20"/>
          <w:szCs w:val="20"/>
          <w:lang w:val="es-MX"/>
        </w:rPr>
        <w:t xml:space="preserve"> y, por el contrario, ocultaron</w:t>
      </w:r>
      <w:r w:rsidR="0057225D" w:rsidRPr="00E27F1B">
        <w:rPr>
          <w:sz w:val="20"/>
          <w:szCs w:val="20"/>
          <w:lang w:val="es-MX"/>
        </w:rPr>
        <w:t xml:space="preserve"> </w:t>
      </w:r>
      <w:r w:rsidR="007D3832" w:rsidRPr="00E27F1B">
        <w:rPr>
          <w:sz w:val="20"/>
          <w:szCs w:val="20"/>
          <w:lang w:val="es-MX"/>
        </w:rPr>
        <w:t>lo que llevaba</w:t>
      </w:r>
      <w:r w:rsidR="00556F2F" w:rsidRPr="00E27F1B">
        <w:rPr>
          <w:sz w:val="20"/>
          <w:szCs w:val="20"/>
          <w:lang w:val="es-MX"/>
        </w:rPr>
        <w:t>.</w:t>
      </w:r>
      <w:r w:rsidR="004E0205" w:rsidRPr="00E27F1B">
        <w:rPr>
          <w:sz w:val="20"/>
          <w:szCs w:val="20"/>
          <w:lang w:val="es-MX"/>
        </w:rPr>
        <w:t xml:space="preserve"> </w:t>
      </w:r>
    </w:p>
    <w:p w14:paraId="262C7ECE" w14:textId="260437D2" w:rsidR="00064911" w:rsidRPr="00E27F1B" w:rsidRDefault="00EE5B10"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sz w:val="20"/>
          <w:szCs w:val="20"/>
          <w:lang w:val="es-MX"/>
        </w:rPr>
      </w:pPr>
      <w:r w:rsidRPr="00E27F1B">
        <w:rPr>
          <w:sz w:val="20"/>
          <w:szCs w:val="20"/>
          <w:lang w:val="es-MX"/>
        </w:rPr>
        <w:t>Detalla que l</w:t>
      </w:r>
      <w:r w:rsidR="00D802F4" w:rsidRPr="00E27F1B">
        <w:rPr>
          <w:sz w:val="20"/>
          <w:szCs w:val="20"/>
          <w:lang w:val="es-MX"/>
        </w:rPr>
        <w:t>a necropsia de la presunta víctima se hizo el 21 de diciembre de 2009, en la cual se observaron seis orificios de proyectil de arma de fuego, así como laceraciones extensas musculares en tórax, región lumbar, cuello y extremidades con fracturas en fémur derecho, tibia izquierda, radio y cubito izquierdos, y múltiples fracturas costales con contusión pulmonar. Se determinó que varios de los disparos fueron realizados en la modalidad de corta distancia, con posibles posiciones con un tirador detrás de la presunta víctima, así como otro adelante.</w:t>
      </w:r>
      <w:r w:rsidRPr="00E27F1B">
        <w:rPr>
          <w:sz w:val="20"/>
          <w:szCs w:val="20"/>
          <w:lang w:val="es-MX"/>
        </w:rPr>
        <w:t xml:space="preserve"> En consecuencia, a</w:t>
      </w:r>
      <w:r w:rsidR="00064911" w:rsidRPr="00E27F1B">
        <w:rPr>
          <w:sz w:val="20"/>
          <w:szCs w:val="20"/>
          <w:lang w:val="es-MX"/>
        </w:rPr>
        <w:t xml:space="preserve">lega que un análisis de los hechos que rodearon la muerte </w:t>
      </w:r>
      <w:r w:rsidRPr="00E27F1B">
        <w:rPr>
          <w:sz w:val="20"/>
          <w:szCs w:val="20"/>
          <w:lang w:val="es-MX"/>
        </w:rPr>
        <w:t>del señor Uribe Chacón</w:t>
      </w:r>
      <w:r w:rsidR="00064911" w:rsidRPr="00E27F1B">
        <w:rPr>
          <w:sz w:val="20"/>
          <w:szCs w:val="20"/>
          <w:lang w:val="es-MX"/>
        </w:rPr>
        <w:t xml:space="preserve"> permite inferir que éstos presentaron patrones similares, sino iguales, a los ya identificados en las ejecuciones extrajudiciales realizadas por el </w:t>
      </w:r>
      <w:r w:rsidR="007D3832" w:rsidRPr="00E27F1B">
        <w:rPr>
          <w:sz w:val="20"/>
          <w:szCs w:val="20"/>
          <w:lang w:val="es-MX"/>
        </w:rPr>
        <w:t>Ejército</w:t>
      </w:r>
      <w:r w:rsidR="00064911" w:rsidRPr="00E27F1B">
        <w:rPr>
          <w:sz w:val="20"/>
          <w:szCs w:val="20"/>
          <w:lang w:val="es-MX"/>
        </w:rPr>
        <w:t xml:space="preserve"> Nacional.</w:t>
      </w:r>
    </w:p>
    <w:p w14:paraId="7401F51D" w14:textId="1881EB8F" w:rsidR="00D92C33" w:rsidRPr="00E27F1B" w:rsidRDefault="00EE5B10" w:rsidP="005D02E8">
      <w:pPr>
        <w:pStyle w:val="ListParagraph"/>
        <w:numPr>
          <w:ilvl w:val="0"/>
          <w:numId w:val="59"/>
        </w:numPr>
        <w:suppressAutoHyphens/>
        <w:spacing w:before="120" w:after="240"/>
        <w:ind w:left="0" w:firstLine="720"/>
        <w:jc w:val="both"/>
        <w:rPr>
          <w:sz w:val="20"/>
          <w:szCs w:val="20"/>
          <w:lang w:val="es-MX"/>
        </w:rPr>
      </w:pPr>
      <w:r w:rsidRPr="00E27F1B">
        <w:rPr>
          <w:sz w:val="20"/>
          <w:szCs w:val="20"/>
          <w:lang w:val="es-MX"/>
        </w:rPr>
        <w:t xml:space="preserve">En relación con los procesos a nivel interno, informa que en </w:t>
      </w:r>
      <w:r w:rsidR="007D3832" w:rsidRPr="00E27F1B">
        <w:rPr>
          <w:sz w:val="20"/>
          <w:szCs w:val="20"/>
          <w:lang w:val="es-MX"/>
        </w:rPr>
        <w:t xml:space="preserve">septiembre de 2006 </w:t>
      </w:r>
      <w:r w:rsidRPr="00E27F1B">
        <w:rPr>
          <w:sz w:val="20"/>
          <w:szCs w:val="20"/>
          <w:lang w:val="es-MX"/>
        </w:rPr>
        <w:t xml:space="preserve">la Fiscalía General de la Nación inició </w:t>
      </w:r>
      <w:r w:rsidR="007D3832" w:rsidRPr="00E27F1B">
        <w:rPr>
          <w:sz w:val="20"/>
          <w:szCs w:val="20"/>
          <w:lang w:val="es-MX"/>
        </w:rPr>
        <w:t>la investigación de los hechos</w:t>
      </w:r>
      <w:r w:rsidR="00C30503" w:rsidRPr="00E27F1B">
        <w:rPr>
          <w:sz w:val="20"/>
          <w:szCs w:val="20"/>
          <w:lang w:val="es-MX"/>
        </w:rPr>
        <w:t xml:space="preserve"> y </w:t>
      </w:r>
      <w:r w:rsidR="007D3832" w:rsidRPr="00E27F1B">
        <w:rPr>
          <w:sz w:val="20"/>
          <w:szCs w:val="20"/>
          <w:lang w:val="es-MX"/>
        </w:rPr>
        <w:t>vinculó mediante indagatoria</w:t>
      </w:r>
      <w:r w:rsidR="004B11FB">
        <w:rPr>
          <w:sz w:val="20"/>
          <w:szCs w:val="20"/>
          <w:lang w:val="es-MX"/>
        </w:rPr>
        <w:t xml:space="preserve"> a</w:t>
      </w:r>
      <w:r w:rsidR="00C30503" w:rsidRPr="00E27F1B">
        <w:rPr>
          <w:sz w:val="20"/>
          <w:szCs w:val="20"/>
          <w:lang w:val="es-MX"/>
        </w:rPr>
        <w:t xml:space="preserve"> distintos integrantes de las Fuerzas Armadas</w:t>
      </w:r>
      <w:r w:rsidR="007D3832" w:rsidRPr="00E27F1B">
        <w:rPr>
          <w:sz w:val="20"/>
          <w:szCs w:val="20"/>
          <w:lang w:val="es-MX"/>
        </w:rPr>
        <w:t xml:space="preserve"> como coautores del delito de homicidio en persona protegid</w:t>
      </w:r>
      <w:r w:rsidR="00C30503" w:rsidRPr="00E27F1B">
        <w:rPr>
          <w:sz w:val="20"/>
          <w:szCs w:val="20"/>
          <w:lang w:val="es-MX"/>
        </w:rPr>
        <w:t>a</w:t>
      </w:r>
      <w:r w:rsidR="00E27F1B" w:rsidRPr="00E27F1B">
        <w:rPr>
          <w:sz w:val="20"/>
          <w:szCs w:val="20"/>
          <w:lang w:val="es-MX"/>
        </w:rPr>
        <w:t xml:space="preserve">. </w:t>
      </w:r>
      <w:r w:rsidR="00C30503" w:rsidRPr="00E27F1B">
        <w:rPr>
          <w:sz w:val="20"/>
          <w:szCs w:val="20"/>
          <w:lang w:val="es-MX"/>
        </w:rPr>
        <w:t>Detalla que</w:t>
      </w:r>
      <w:r w:rsidR="000A036E" w:rsidRPr="00E27F1B">
        <w:rPr>
          <w:sz w:val="20"/>
          <w:szCs w:val="20"/>
          <w:lang w:val="es-MX"/>
        </w:rPr>
        <w:t xml:space="preserve"> el </w:t>
      </w:r>
      <w:r w:rsidR="00582C48" w:rsidRPr="00E27F1B">
        <w:rPr>
          <w:sz w:val="20"/>
          <w:szCs w:val="20"/>
          <w:lang w:val="es-MX"/>
        </w:rPr>
        <w:t xml:space="preserve">14 de septiembre de 2010, la Unidad Nacional de Derechos Humanos de la Fiscalía </w:t>
      </w:r>
      <w:r w:rsidR="004B11FB">
        <w:rPr>
          <w:sz w:val="20"/>
          <w:szCs w:val="20"/>
          <w:lang w:val="es-MX"/>
        </w:rPr>
        <w:t xml:space="preserve">General de la Nación </w:t>
      </w:r>
      <w:r w:rsidR="00582C48" w:rsidRPr="00E27F1B">
        <w:rPr>
          <w:sz w:val="20"/>
          <w:szCs w:val="20"/>
          <w:lang w:val="es-MX"/>
        </w:rPr>
        <w:t>dictó una resolución de acusación en contra de</w:t>
      </w:r>
      <w:r w:rsidR="000A036E" w:rsidRPr="00E27F1B">
        <w:rPr>
          <w:sz w:val="20"/>
          <w:szCs w:val="20"/>
          <w:lang w:val="es-MX"/>
        </w:rPr>
        <w:t xml:space="preserve"> dichas personas, pero que tal decisión fue apelada, sin que a la fecha de presentación de la petición tal cuestión haya sido resuelta</w:t>
      </w:r>
    </w:p>
    <w:p w14:paraId="42587162" w14:textId="735AE467" w:rsidR="00EE5B10" w:rsidRPr="00E27F1B" w:rsidRDefault="00EE5B10" w:rsidP="005D02E8">
      <w:pPr>
        <w:pStyle w:val="ListParagraph"/>
        <w:numPr>
          <w:ilvl w:val="0"/>
          <w:numId w:val="59"/>
        </w:numPr>
        <w:suppressAutoHyphens/>
        <w:spacing w:before="120" w:after="240"/>
        <w:ind w:left="0" w:firstLine="720"/>
        <w:jc w:val="both"/>
        <w:rPr>
          <w:sz w:val="20"/>
          <w:szCs w:val="20"/>
          <w:lang w:val="es-MX"/>
        </w:rPr>
      </w:pPr>
      <w:r w:rsidRPr="00E27F1B">
        <w:rPr>
          <w:sz w:val="20"/>
          <w:szCs w:val="20"/>
          <w:lang w:val="es-MX"/>
        </w:rPr>
        <w:t xml:space="preserve">En virtud de las citadas consideraciones, la parte peticionaria denuncia </w:t>
      </w:r>
      <w:r w:rsidR="00011C54">
        <w:rPr>
          <w:sz w:val="20"/>
          <w:szCs w:val="20"/>
          <w:lang w:val="es-MX"/>
        </w:rPr>
        <w:t>la</w:t>
      </w:r>
      <w:r w:rsidR="000A036E" w:rsidRPr="00E27F1B">
        <w:rPr>
          <w:sz w:val="20"/>
          <w:szCs w:val="20"/>
          <w:lang w:val="es-MX"/>
        </w:rPr>
        <w:t xml:space="preserve"> falta de una investigación adecuada y sanción por la ejecución extrajudicial de la presunta víctima. A</w:t>
      </w:r>
      <w:r w:rsidRPr="00E27F1B">
        <w:rPr>
          <w:sz w:val="20"/>
          <w:szCs w:val="20"/>
          <w:lang w:val="es-MX"/>
        </w:rPr>
        <w:t xml:space="preserve">lega que los responsables fabricaron una imagen del señor Uribe Chacón que no correspondía exacta y verazmente a la realidad, </w:t>
      </w:r>
      <w:r w:rsidR="00011C54" w:rsidRPr="00E27F1B">
        <w:rPr>
          <w:sz w:val="20"/>
          <w:szCs w:val="20"/>
          <w:lang w:val="es-MX"/>
        </w:rPr>
        <w:t>criminalizándo</w:t>
      </w:r>
      <w:r w:rsidR="00011C54">
        <w:rPr>
          <w:sz w:val="20"/>
          <w:szCs w:val="20"/>
          <w:lang w:val="es-MX"/>
        </w:rPr>
        <w:t>lo</w:t>
      </w:r>
      <w:r w:rsidRPr="00E27F1B">
        <w:rPr>
          <w:sz w:val="20"/>
          <w:szCs w:val="20"/>
          <w:lang w:val="es-MX"/>
        </w:rPr>
        <w:t xml:space="preserve"> </w:t>
      </w:r>
      <w:r w:rsidR="00011C54">
        <w:rPr>
          <w:sz w:val="20"/>
          <w:szCs w:val="20"/>
          <w:lang w:val="es-MX"/>
        </w:rPr>
        <w:t xml:space="preserve">por </w:t>
      </w:r>
      <w:r w:rsidRPr="00E27F1B">
        <w:rPr>
          <w:sz w:val="20"/>
          <w:szCs w:val="20"/>
          <w:lang w:val="es-MX"/>
        </w:rPr>
        <w:t>las acciones que cotidianamente realizaba como minero y líder regional, basándose en información falsa o contradictoria y fuentes cuestionables. Asimismo, aduce que se identificaron irregularidades e incompatibilidades</w:t>
      </w:r>
      <w:r w:rsidR="000A036E" w:rsidRPr="00E27F1B">
        <w:rPr>
          <w:sz w:val="20"/>
          <w:szCs w:val="20"/>
          <w:lang w:val="es-MX"/>
        </w:rPr>
        <w:t xml:space="preserve"> en los documentos utilizados en el proceso por las autoridades, tales como </w:t>
      </w:r>
      <w:r w:rsidRPr="00E27F1B">
        <w:rPr>
          <w:sz w:val="20"/>
          <w:szCs w:val="20"/>
          <w:lang w:val="es-MX"/>
        </w:rPr>
        <w:t>los reportes del Ejercito Nacional, las diligencias de inspección del cadáver e informes técnicos realizados por el Cuerpo Técnico de Investigaciones, declaraciones de los militares participes en la Misión Táctica y declaraciones de los testigos.</w:t>
      </w:r>
    </w:p>
    <w:p w14:paraId="527DAD0D" w14:textId="0978B2C4" w:rsidR="00EE5B10" w:rsidRPr="000C1BC2" w:rsidRDefault="000A036E" w:rsidP="005D02E8">
      <w:pPr>
        <w:pStyle w:val="ListParagraph"/>
        <w:numPr>
          <w:ilvl w:val="0"/>
          <w:numId w:val="59"/>
        </w:numPr>
        <w:suppressAutoHyphens/>
        <w:spacing w:before="120" w:after="240"/>
        <w:ind w:left="0" w:firstLine="720"/>
        <w:jc w:val="both"/>
        <w:rPr>
          <w:sz w:val="20"/>
          <w:szCs w:val="20"/>
          <w:lang w:val="es-MX"/>
        </w:rPr>
      </w:pPr>
      <w:r w:rsidRPr="00E27F1B">
        <w:rPr>
          <w:sz w:val="20"/>
          <w:szCs w:val="20"/>
          <w:lang w:val="es-MX"/>
        </w:rPr>
        <w:t xml:space="preserve">Respecto al agotamiento de los recursos internos, señala </w:t>
      </w:r>
      <w:r w:rsidR="00E27F1B" w:rsidRPr="00E27F1B">
        <w:rPr>
          <w:sz w:val="20"/>
          <w:szCs w:val="20"/>
          <w:lang w:val="es-MX"/>
        </w:rPr>
        <w:t xml:space="preserve">que </w:t>
      </w:r>
      <w:r w:rsidRPr="00E27F1B">
        <w:rPr>
          <w:sz w:val="20"/>
          <w:szCs w:val="20"/>
          <w:lang w:val="es-MX"/>
        </w:rPr>
        <w:t xml:space="preserve">la legislación colombiana establece que el término máximo para instruir un sumario es de 18 meses. A pesar de ello, </w:t>
      </w:r>
      <w:r w:rsidR="00011C54">
        <w:rPr>
          <w:sz w:val="20"/>
          <w:szCs w:val="20"/>
          <w:lang w:val="es-MX"/>
        </w:rPr>
        <w:t xml:space="preserve">sostiene que </w:t>
      </w:r>
      <w:r w:rsidRPr="00E27F1B">
        <w:rPr>
          <w:sz w:val="20"/>
          <w:szCs w:val="20"/>
          <w:lang w:val="es-MX"/>
        </w:rPr>
        <w:t xml:space="preserve">en el presente caso los términos han sido duplicados, sin que se haya establecido definitivamente la responsabilidad de los autores de la ejecución extrajudicial de la presunta víctima. En consecuencia, argumenta que se configura </w:t>
      </w:r>
      <w:r w:rsidRPr="00E27F1B">
        <w:rPr>
          <w:sz w:val="20"/>
          <w:szCs w:val="20"/>
          <w:lang w:val="es-MX"/>
        </w:rPr>
        <w:lastRenderedPageBreak/>
        <w:t xml:space="preserve">una dilación </w:t>
      </w:r>
      <w:r w:rsidRPr="000C1BC2">
        <w:rPr>
          <w:sz w:val="20"/>
          <w:szCs w:val="20"/>
          <w:lang w:val="es-MX"/>
        </w:rPr>
        <w:t xml:space="preserve">injustificada en los plazos, por lo que corresponde la aplicación de la excepción </w:t>
      </w:r>
      <w:r w:rsidR="00011C54" w:rsidRPr="000C1BC2">
        <w:rPr>
          <w:sz w:val="20"/>
          <w:szCs w:val="20"/>
          <w:lang w:val="es-MX"/>
        </w:rPr>
        <w:t xml:space="preserve">establecida en el artículo </w:t>
      </w:r>
      <w:r w:rsidRPr="000C1BC2">
        <w:rPr>
          <w:sz w:val="20"/>
          <w:szCs w:val="20"/>
          <w:lang w:val="es-MX"/>
        </w:rPr>
        <w:t>46.2</w:t>
      </w:r>
      <w:r w:rsidR="004B11FB">
        <w:rPr>
          <w:sz w:val="20"/>
          <w:szCs w:val="20"/>
          <w:lang w:val="es-MX"/>
        </w:rPr>
        <w:t>(</w:t>
      </w:r>
      <w:r w:rsidRPr="000C1BC2">
        <w:rPr>
          <w:sz w:val="20"/>
          <w:szCs w:val="20"/>
          <w:lang w:val="es-MX"/>
        </w:rPr>
        <w:t>c) de la Convención Americana.</w:t>
      </w:r>
    </w:p>
    <w:p w14:paraId="4A6F254C" w14:textId="1404F847" w:rsidR="00E435E2" w:rsidRDefault="004E0205" w:rsidP="005D02E8">
      <w:pPr>
        <w:pStyle w:val="ListParagraph"/>
        <w:numPr>
          <w:ilvl w:val="0"/>
          <w:numId w:val="59"/>
        </w:numPr>
        <w:suppressAutoHyphens/>
        <w:spacing w:before="120" w:after="240"/>
        <w:ind w:left="0" w:firstLine="720"/>
        <w:jc w:val="both"/>
        <w:rPr>
          <w:sz w:val="20"/>
          <w:szCs w:val="20"/>
          <w:lang w:val="es-MX"/>
        </w:rPr>
      </w:pPr>
      <w:r w:rsidRPr="000C1BC2">
        <w:rPr>
          <w:sz w:val="20"/>
          <w:szCs w:val="20"/>
          <w:lang w:val="es-MX"/>
        </w:rPr>
        <w:t xml:space="preserve">Por su parte, el Estado aduce </w:t>
      </w:r>
      <w:r w:rsidR="00D92C33" w:rsidRPr="000C1BC2">
        <w:rPr>
          <w:sz w:val="20"/>
          <w:szCs w:val="20"/>
          <w:lang w:val="es-MX"/>
        </w:rPr>
        <w:t>que,</w:t>
      </w:r>
      <w:r w:rsidR="002E2575" w:rsidRPr="000C1BC2">
        <w:rPr>
          <w:sz w:val="20"/>
          <w:szCs w:val="20"/>
          <w:lang w:val="es-MX"/>
        </w:rPr>
        <w:t xml:space="preserve"> desde el 20 de septiembre de 2006, el C</w:t>
      </w:r>
      <w:r w:rsidR="00E435E2" w:rsidRPr="000C1BC2">
        <w:rPr>
          <w:sz w:val="20"/>
          <w:szCs w:val="20"/>
          <w:lang w:val="es-MX"/>
        </w:rPr>
        <w:t xml:space="preserve">uerpo Técnico de Investigación </w:t>
      </w:r>
      <w:r w:rsidR="004B11FB">
        <w:rPr>
          <w:sz w:val="20"/>
          <w:szCs w:val="20"/>
          <w:lang w:val="es-MX"/>
        </w:rPr>
        <w:t>de la</w:t>
      </w:r>
      <w:r w:rsidR="00E435E2" w:rsidRPr="000C1BC2">
        <w:rPr>
          <w:sz w:val="20"/>
          <w:szCs w:val="20"/>
          <w:lang w:val="es-MX"/>
        </w:rPr>
        <w:t xml:space="preserve"> Unidad Seccional Barrancabermeja</w:t>
      </w:r>
      <w:r w:rsidR="002E2575" w:rsidRPr="000C1BC2">
        <w:rPr>
          <w:sz w:val="20"/>
          <w:szCs w:val="20"/>
          <w:lang w:val="es-MX"/>
        </w:rPr>
        <w:t xml:space="preserve"> adelantó varias diligencias, incluyendo la inspección del cadáver, una solicitud de necropsia al Instituto de Medicina Legal y Ciencias Forenses, la recepción de entrevistas de los militares que participaron</w:t>
      </w:r>
      <w:r w:rsidR="002E2575" w:rsidRPr="00E27F1B">
        <w:rPr>
          <w:sz w:val="20"/>
          <w:szCs w:val="20"/>
          <w:lang w:val="es-MX"/>
        </w:rPr>
        <w:t xml:space="preserve"> en el operativo y la custodia del material encontrado con el cuerpo de la presunta víctima. Aduce que la investigación fue asignada a la Fiscalía Nacional Especializada de Derechos Humanos y Derecho Internacional Humanitario y que el proceso se encuentra en etapa de juzgamiento por el delito de homicidio en persona protegida ante el Juzgado Tercero Penal del Circuito de Cartagena, siendo procesados</w:t>
      </w:r>
      <w:r w:rsidR="00E435E2">
        <w:rPr>
          <w:sz w:val="20"/>
          <w:szCs w:val="20"/>
          <w:lang w:val="es-MX"/>
        </w:rPr>
        <w:t xml:space="preserve"> un grupo de integrantes de las Fuerzas Armadas. </w:t>
      </w:r>
    </w:p>
    <w:p w14:paraId="4C0E4C8C" w14:textId="77777777" w:rsidR="00BF6C58" w:rsidRDefault="00E435E2" w:rsidP="005D02E8">
      <w:pPr>
        <w:pStyle w:val="ListParagraph"/>
        <w:numPr>
          <w:ilvl w:val="0"/>
          <w:numId w:val="59"/>
        </w:numPr>
        <w:suppressAutoHyphens/>
        <w:spacing w:before="120" w:after="240"/>
        <w:ind w:left="0" w:firstLine="720"/>
        <w:jc w:val="both"/>
        <w:rPr>
          <w:sz w:val="20"/>
          <w:szCs w:val="20"/>
          <w:lang w:val="es-MX"/>
        </w:rPr>
      </w:pPr>
      <w:r>
        <w:rPr>
          <w:sz w:val="20"/>
          <w:szCs w:val="20"/>
          <w:lang w:val="es-MX"/>
        </w:rPr>
        <w:t>En ese marco, sostiene que e</w:t>
      </w:r>
      <w:r w:rsidR="00ED5C98" w:rsidRPr="00E27F1B">
        <w:rPr>
          <w:sz w:val="20"/>
          <w:szCs w:val="20"/>
          <w:lang w:val="es-MX"/>
        </w:rPr>
        <w:t xml:space="preserve">l 10 de junio de 2009 se decretó la apertura de instrucción mediante diligencia de indagatoria y el 4 de agosto de 2010 se </w:t>
      </w:r>
      <w:r w:rsidR="00B16325" w:rsidRPr="00E27F1B">
        <w:rPr>
          <w:sz w:val="20"/>
          <w:szCs w:val="20"/>
          <w:lang w:val="es-MX"/>
        </w:rPr>
        <w:t>cerr</w:t>
      </w:r>
      <w:r w:rsidR="00BF6C58">
        <w:rPr>
          <w:sz w:val="20"/>
          <w:szCs w:val="20"/>
          <w:lang w:val="es-MX"/>
        </w:rPr>
        <w:t>ó</w:t>
      </w:r>
      <w:r w:rsidR="00ED5C98" w:rsidRPr="00E27F1B">
        <w:rPr>
          <w:sz w:val="20"/>
          <w:szCs w:val="20"/>
          <w:lang w:val="es-MX"/>
        </w:rPr>
        <w:t xml:space="preserve"> dicha etapa. El 14 de septiembre de 2010 la Fiscalía profirió la decisión de calificación del mérito sumario con acusación contra los cuatro vinculados, ordenando </w:t>
      </w:r>
      <w:r w:rsidR="00763F2F" w:rsidRPr="00E27F1B">
        <w:rPr>
          <w:sz w:val="20"/>
          <w:szCs w:val="20"/>
          <w:lang w:val="es-MX"/>
        </w:rPr>
        <w:t xml:space="preserve">la revocación </w:t>
      </w:r>
      <w:r w:rsidR="00ED5C98" w:rsidRPr="00E27F1B">
        <w:rPr>
          <w:sz w:val="20"/>
          <w:szCs w:val="20"/>
          <w:lang w:val="es-MX"/>
        </w:rPr>
        <w:t>de la libertad, decisión confirmada en segunda instancia el 15 de noviembre de 2010. El 20 de marzo de 2013 se llevó a cabo Audiencia Preparatoria en el Juzgado Tercero Penal del Circuito de Cartagena y el 21 de agosto de 2013 se inició la Audiencia Pública de Juzgamiento, la cual continuó en diligencias durante los años 2015 y 2016. A</w:t>
      </w:r>
      <w:r w:rsidR="000B6EA4" w:rsidRPr="00E27F1B">
        <w:rPr>
          <w:sz w:val="20"/>
          <w:szCs w:val="20"/>
          <w:lang w:val="es-MX"/>
        </w:rPr>
        <w:t xml:space="preserve">duce que se encuentra </w:t>
      </w:r>
      <w:r w:rsidR="00C83849" w:rsidRPr="00E27F1B">
        <w:rPr>
          <w:sz w:val="20"/>
          <w:szCs w:val="20"/>
          <w:lang w:val="es-MX"/>
        </w:rPr>
        <w:t>suspendida</w:t>
      </w:r>
      <w:r w:rsidR="00ED5C98" w:rsidRPr="00E27F1B">
        <w:rPr>
          <w:sz w:val="20"/>
          <w:szCs w:val="20"/>
          <w:lang w:val="es-MX"/>
        </w:rPr>
        <w:t xml:space="preserve"> dicha </w:t>
      </w:r>
      <w:r w:rsidR="000B6EA4" w:rsidRPr="00E27F1B">
        <w:rPr>
          <w:sz w:val="20"/>
          <w:szCs w:val="20"/>
          <w:lang w:val="es-MX"/>
        </w:rPr>
        <w:t>Audiencia a la espera de la práctica de dictámenes periciales solicitados por la defensa para su valoración por parte de los sujetos procesales y posterior presentación de alegatos de conclusión.</w:t>
      </w:r>
      <w:r w:rsidR="00ED5C98" w:rsidRPr="00E27F1B">
        <w:rPr>
          <w:sz w:val="20"/>
          <w:szCs w:val="20"/>
          <w:lang w:val="es-MX"/>
        </w:rPr>
        <w:t xml:space="preserve"> </w:t>
      </w:r>
    </w:p>
    <w:p w14:paraId="3CCAB674" w14:textId="2A222334" w:rsidR="00C83849" w:rsidRPr="00E27F1B" w:rsidRDefault="00BF6C58" w:rsidP="005D02E8">
      <w:pPr>
        <w:pStyle w:val="ListParagraph"/>
        <w:numPr>
          <w:ilvl w:val="0"/>
          <w:numId w:val="59"/>
        </w:numPr>
        <w:suppressAutoHyphens/>
        <w:spacing w:before="120" w:after="240"/>
        <w:ind w:left="0" w:firstLine="720"/>
        <w:jc w:val="both"/>
        <w:rPr>
          <w:sz w:val="20"/>
          <w:szCs w:val="20"/>
          <w:lang w:val="es-MX"/>
        </w:rPr>
      </w:pPr>
      <w:r>
        <w:rPr>
          <w:sz w:val="20"/>
          <w:szCs w:val="20"/>
          <w:lang w:val="es-MX"/>
        </w:rPr>
        <w:t>En base a ello, e</w:t>
      </w:r>
      <w:r w:rsidR="00ED5C98" w:rsidRPr="00E27F1B">
        <w:rPr>
          <w:sz w:val="20"/>
          <w:szCs w:val="20"/>
          <w:lang w:val="es-MX"/>
        </w:rPr>
        <w:t xml:space="preserve">l Estado </w:t>
      </w:r>
      <w:r>
        <w:rPr>
          <w:sz w:val="20"/>
          <w:szCs w:val="20"/>
          <w:lang w:val="es-MX"/>
        </w:rPr>
        <w:t>alega</w:t>
      </w:r>
      <w:r w:rsidR="00ED5C98" w:rsidRPr="00E27F1B">
        <w:rPr>
          <w:sz w:val="20"/>
          <w:szCs w:val="20"/>
          <w:lang w:val="es-MX"/>
        </w:rPr>
        <w:t xml:space="preserve"> que actuó de oficio, dando lugar a las investigaciones penales que permitieran esclarecer la circunstancias que rodearon la muerte de la presunta víctima. </w:t>
      </w:r>
      <w:r>
        <w:rPr>
          <w:sz w:val="20"/>
          <w:szCs w:val="20"/>
          <w:lang w:val="es-MX"/>
        </w:rPr>
        <w:t>Sostiene</w:t>
      </w:r>
      <w:r w:rsidR="00ED5C98" w:rsidRPr="00E27F1B">
        <w:rPr>
          <w:sz w:val="20"/>
          <w:szCs w:val="20"/>
          <w:lang w:val="es-MX"/>
        </w:rPr>
        <w:t xml:space="preserve"> que la legislación colombiana prevé la consagración legal del tipo penal y la existencia de un procedimiento,</w:t>
      </w:r>
      <w:r>
        <w:rPr>
          <w:sz w:val="20"/>
          <w:szCs w:val="20"/>
          <w:lang w:val="es-MX"/>
        </w:rPr>
        <w:t xml:space="preserve"> que está llevando su curso de manera apropiada y con respeto a las debidas garantías judiciales. Enfatiza</w:t>
      </w:r>
      <w:r w:rsidR="00312D6E" w:rsidRPr="00E27F1B">
        <w:rPr>
          <w:sz w:val="20"/>
          <w:szCs w:val="20"/>
          <w:lang w:val="es-MX"/>
        </w:rPr>
        <w:t xml:space="preserve"> que no es un caso sencillo para la rama judicial </w:t>
      </w:r>
      <w:r w:rsidR="00B16325" w:rsidRPr="00E27F1B">
        <w:rPr>
          <w:sz w:val="20"/>
          <w:szCs w:val="20"/>
          <w:lang w:val="es-MX"/>
        </w:rPr>
        <w:t>y que</w:t>
      </w:r>
      <w:r>
        <w:rPr>
          <w:sz w:val="20"/>
          <w:szCs w:val="20"/>
          <w:lang w:val="es-MX"/>
        </w:rPr>
        <w:t xml:space="preserve">, </w:t>
      </w:r>
      <w:r w:rsidR="00B16325" w:rsidRPr="00E27F1B">
        <w:rPr>
          <w:sz w:val="20"/>
          <w:szCs w:val="20"/>
          <w:lang w:val="es-MX"/>
        </w:rPr>
        <w:t>debido a la complejidad de los hechos que motivan esta petición</w:t>
      </w:r>
      <w:r>
        <w:rPr>
          <w:sz w:val="20"/>
          <w:szCs w:val="20"/>
          <w:lang w:val="es-MX"/>
        </w:rPr>
        <w:t xml:space="preserve"> producto de</w:t>
      </w:r>
      <w:r w:rsidR="00B16325" w:rsidRPr="00E27F1B">
        <w:rPr>
          <w:sz w:val="20"/>
          <w:szCs w:val="20"/>
          <w:lang w:val="es-MX"/>
        </w:rPr>
        <w:t xml:space="preserve"> testimonios contradictorios y la dificultad en el manejo de la evidencia, es comprensible que </w:t>
      </w:r>
      <w:r>
        <w:rPr>
          <w:sz w:val="20"/>
          <w:szCs w:val="20"/>
          <w:lang w:val="es-MX"/>
        </w:rPr>
        <w:t xml:space="preserve">las autoridades </w:t>
      </w:r>
      <w:r w:rsidR="00B16325" w:rsidRPr="00E27F1B">
        <w:rPr>
          <w:sz w:val="20"/>
          <w:szCs w:val="20"/>
          <w:lang w:val="es-MX"/>
        </w:rPr>
        <w:t>haya</w:t>
      </w:r>
      <w:r>
        <w:rPr>
          <w:sz w:val="20"/>
          <w:szCs w:val="20"/>
          <w:lang w:val="es-MX"/>
        </w:rPr>
        <w:t>n</w:t>
      </w:r>
      <w:r w:rsidR="00B16325" w:rsidRPr="00E27F1B">
        <w:rPr>
          <w:sz w:val="20"/>
          <w:szCs w:val="20"/>
          <w:lang w:val="es-MX"/>
        </w:rPr>
        <w:t xml:space="preserve"> tardado este</w:t>
      </w:r>
      <w:r w:rsidR="00D02539" w:rsidRPr="00E27F1B">
        <w:rPr>
          <w:sz w:val="20"/>
          <w:szCs w:val="20"/>
          <w:lang w:val="es-MX"/>
        </w:rPr>
        <w:t xml:space="preserve"> plazo en esclarecer la verdad</w:t>
      </w:r>
      <w:r>
        <w:rPr>
          <w:sz w:val="20"/>
          <w:szCs w:val="20"/>
          <w:lang w:val="es-MX"/>
        </w:rPr>
        <w:t xml:space="preserve">. En consecuencia, argumenta que no es admisible la alegada excepción por retardo injustificado, por lo que la petición debe ser declarada inadmisible por falta de agotamiento de los recursos internos en materia penal. </w:t>
      </w:r>
    </w:p>
    <w:p w14:paraId="0A133D34" w14:textId="2037192C" w:rsidR="00C83849" w:rsidRPr="00E27F1B" w:rsidRDefault="00BF6C58" w:rsidP="005D02E8">
      <w:pPr>
        <w:pStyle w:val="ListParagraph"/>
        <w:numPr>
          <w:ilvl w:val="0"/>
          <w:numId w:val="59"/>
        </w:numPr>
        <w:suppressAutoHyphens/>
        <w:spacing w:before="120" w:after="240"/>
        <w:ind w:left="0" w:firstLine="720"/>
        <w:jc w:val="both"/>
        <w:rPr>
          <w:sz w:val="20"/>
          <w:szCs w:val="20"/>
          <w:lang w:val="es-MX"/>
        </w:rPr>
      </w:pPr>
      <w:r>
        <w:rPr>
          <w:sz w:val="20"/>
          <w:szCs w:val="20"/>
          <w:lang w:val="es-MX"/>
        </w:rPr>
        <w:t>Adiciona</w:t>
      </w:r>
      <w:r w:rsidR="00C83849" w:rsidRPr="00E27F1B">
        <w:rPr>
          <w:sz w:val="20"/>
          <w:szCs w:val="20"/>
          <w:lang w:val="es-MX"/>
        </w:rPr>
        <w:t xml:space="preserve"> que el 31 de agosto de 2010 la Procuraduría Delegada Disciplinaria para le Defensa de los Derechos Humanos sancionó con destitución e inhabilidad por el término de 20 años </w:t>
      </w:r>
      <w:r w:rsidR="004A01C1">
        <w:rPr>
          <w:sz w:val="20"/>
          <w:szCs w:val="20"/>
          <w:lang w:val="es-MX"/>
        </w:rPr>
        <w:t>a</w:t>
      </w:r>
      <w:r w:rsidR="004B11FB">
        <w:rPr>
          <w:sz w:val="20"/>
          <w:szCs w:val="20"/>
          <w:lang w:val="es-MX"/>
        </w:rPr>
        <w:t xml:space="preserve"> un</w:t>
      </w:r>
      <w:r w:rsidR="004A01C1">
        <w:rPr>
          <w:sz w:val="20"/>
          <w:szCs w:val="20"/>
          <w:lang w:val="es-MX"/>
        </w:rPr>
        <w:t xml:space="preserve"> sargento </w:t>
      </w:r>
      <w:r w:rsidR="00C83849" w:rsidRPr="00E27F1B">
        <w:rPr>
          <w:sz w:val="20"/>
          <w:szCs w:val="20"/>
          <w:lang w:val="es-MX"/>
        </w:rPr>
        <w:t xml:space="preserve">por falta disciplinaria gravísima. Dicha decisión fue revocada el 27 de octubre de 2011 por la Sala Disciplinaria de la Procuraduría General de la Nación y </w:t>
      </w:r>
      <w:r w:rsidR="004A01C1">
        <w:rPr>
          <w:sz w:val="20"/>
          <w:szCs w:val="20"/>
          <w:lang w:val="es-MX"/>
        </w:rPr>
        <w:t xml:space="preserve">dicho </w:t>
      </w:r>
      <w:r w:rsidR="00C83849" w:rsidRPr="00E27F1B">
        <w:rPr>
          <w:sz w:val="20"/>
          <w:szCs w:val="20"/>
          <w:lang w:val="es-MX"/>
        </w:rPr>
        <w:t xml:space="preserve">sargento segundo fue absuelto. </w:t>
      </w:r>
      <w:r w:rsidR="000C1BC2">
        <w:rPr>
          <w:sz w:val="20"/>
          <w:szCs w:val="20"/>
          <w:lang w:val="es-MX"/>
        </w:rPr>
        <w:t xml:space="preserve">Asimismo, </w:t>
      </w:r>
      <w:r w:rsidR="00C83849" w:rsidRPr="00E27F1B">
        <w:rPr>
          <w:sz w:val="20"/>
          <w:szCs w:val="20"/>
          <w:lang w:val="es-MX"/>
        </w:rPr>
        <w:t xml:space="preserve">informa que no </w:t>
      </w:r>
      <w:r w:rsidR="004B11FB">
        <w:rPr>
          <w:sz w:val="20"/>
          <w:szCs w:val="20"/>
          <w:lang w:val="es-MX"/>
        </w:rPr>
        <w:t>hay</w:t>
      </w:r>
      <w:r w:rsidR="00C83849" w:rsidRPr="00E27F1B">
        <w:rPr>
          <w:sz w:val="20"/>
          <w:szCs w:val="20"/>
          <w:lang w:val="es-MX"/>
        </w:rPr>
        <w:t xml:space="preserve"> registro alguno de investigaciones ante la Justicia Penal Milita</w:t>
      </w:r>
      <w:r w:rsidR="004B11FB">
        <w:rPr>
          <w:sz w:val="20"/>
          <w:szCs w:val="20"/>
          <w:lang w:val="es-MX"/>
        </w:rPr>
        <w:t>r</w:t>
      </w:r>
      <w:r w:rsidR="000C1BC2">
        <w:rPr>
          <w:sz w:val="20"/>
          <w:szCs w:val="20"/>
          <w:lang w:val="es-MX"/>
        </w:rPr>
        <w:t xml:space="preserve"> y que no hay </w:t>
      </w:r>
      <w:r w:rsidR="00C83849" w:rsidRPr="00E27F1B">
        <w:rPr>
          <w:sz w:val="20"/>
          <w:szCs w:val="20"/>
          <w:lang w:val="es-MX"/>
        </w:rPr>
        <w:t>registro de la presentación de ningún tipo de recurso ante la jurisdic</w:t>
      </w:r>
      <w:r w:rsidR="00D85918" w:rsidRPr="00E27F1B">
        <w:rPr>
          <w:sz w:val="20"/>
          <w:szCs w:val="20"/>
          <w:lang w:val="es-MX"/>
        </w:rPr>
        <w:t>ción contenciosa administrativa</w:t>
      </w:r>
      <w:r w:rsidR="000C1BC2">
        <w:rPr>
          <w:sz w:val="20"/>
          <w:szCs w:val="20"/>
          <w:lang w:val="es-MX"/>
        </w:rPr>
        <w:t xml:space="preserve">, por lo que esta última </w:t>
      </w:r>
      <w:r w:rsidR="00D85918" w:rsidRPr="00E27F1B">
        <w:rPr>
          <w:sz w:val="20"/>
          <w:szCs w:val="20"/>
          <w:lang w:val="es-MX"/>
        </w:rPr>
        <w:t>vía tampoco fue agotada.</w:t>
      </w:r>
    </w:p>
    <w:p w14:paraId="5399E8DD" w14:textId="5D65B93C" w:rsidR="002E2575" w:rsidRPr="002E7F70" w:rsidRDefault="00D85918" w:rsidP="005D02E8">
      <w:pPr>
        <w:pStyle w:val="ListParagraph"/>
        <w:numPr>
          <w:ilvl w:val="0"/>
          <w:numId w:val="59"/>
        </w:numPr>
        <w:suppressAutoHyphens/>
        <w:spacing w:before="120" w:after="240"/>
        <w:ind w:left="0" w:firstLine="720"/>
        <w:jc w:val="both"/>
        <w:rPr>
          <w:sz w:val="20"/>
          <w:szCs w:val="20"/>
          <w:lang w:val="es-MX"/>
        </w:rPr>
      </w:pPr>
      <w:r w:rsidRPr="00E27F1B">
        <w:rPr>
          <w:sz w:val="20"/>
          <w:szCs w:val="20"/>
          <w:lang w:val="es-MX"/>
        </w:rPr>
        <w:t>Por último, el Estado i</w:t>
      </w:r>
      <w:r w:rsidR="002E2575" w:rsidRPr="00E27F1B">
        <w:rPr>
          <w:sz w:val="20"/>
          <w:szCs w:val="20"/>
          <w:lang w:val="es-MX"/>
        </w:rPr>
        <w:t>ndica que se reserva la oportunidad de ampliar sus consideraciones sobre el contexto fáctico y la calificación de la presunta víctima en la etapa pertinente.</w:t>
      </w:r>
      <w:r w:rsidR="00C83849" w:rsidRPr="00E27F1B">
        <w:rPr>
          <w:sz w:val="20"/>
          <w:szCs w:val="20"/>
          <w:lang w:val="es-MX"/>
        </w:rPr>
        <w:t xml:space="preserve"> </w:t>
      </w:r>
      <w:r w:rsidR="000C1BC2">
        <w:rPr>
          <w:sz w:val="20"/>
          <w:szCs w:val="20"/>
          <w:lang w:val="es-MX"/>
        </w:rPr>
        <w:t>Señala</w:t>
      </w:r>
      <w:r w:rsidR="00ED5C98" w:rsidRPr="00E27F1B">
        <w:rPr>
          <w:sz w:val="20"/>
          <w:szCs w:val="20"/>
          <w:lang w:val="es-MX"/>
        </w:rPr>
        <w:t xml:space="preserve"> que el contexto de la región del Sur de </w:t>
      </w:r>
      <w:r w:rsidR="004016A6" w:rsidRPr="00E27F1B">
        <w:rPr>
          <w:sz w:val="20"/>
          <w:szCs w:val="20"/>
          <w:lang w:val="es-MX"/>
        </w:rPr>
        <w:t>Bolívar</w:t>
      </w:r>
      <w:r w:rsidR="00ED5C98" w:rsidRPr="00E27F1B">
        <w:rPr>
          <w:sz w:val="20"/>
          <w:szCs w:val="20"/>
          <w:lang w:val="es-MX"/>
        </w:rPr>
        <w:t xml:space="preserve">, entre los años 2004 y 2005, </w:t>
      </w:r>
      <w:r w:rsidR="004016A6" w:rsidRPr="00E27F1B">
        <w:rPr>
          <w:sz w:val="20"/>
          <w:szCs w:val="20"/>
          <w:lang w:val="es-MX"/>
        </w:rPr>
        <w:t>referido</w:t>
      </w:r>
      <w:r w:rsidR="00ED5C98" w:rsidRPr="00E27F1B">
        <w:rPr>
          <w:sz w:val="20"/>
          <w:szCs w:val="20"/>
          <w:lang w:val="es-MX"/>
        </w:rPr>
        <w:t xml:space="preserve"> por la parte peticionaria en su escrito, no puede ser tenido en cuenta como marco fáctico de la petición y no es posible derivar </w:t>
      </w:r>
      <w:r w:rsidR="000C1BC2">
        <w:rPr>
          <w:sz w:val="20"/>
          <w:szCs w:val="20"/>
          <w:lang w:val="es-MX"/>
        </w:rPr>
        <w:t>su</w:t>
      </w:r>
      <w:r w:rsidR="00ED5C98" w:rsidRPr="00E27F1B">
        <w:rPr>
          <w:sz w:val="20"/>
          <w:szCs w:val="20"/>
          <w:lang w:val="es-MX"/>
        </w:rPr>
        <w:t xml:space="preserve"> responsabilidad internacional </w:t>
      </w:r>
      <w:r w:rsidR="000C1BC2">
        <w:rPr>
          <w:sz w:val="20"/>
          <w:szCs w:val="20"/>
          <w:lang w:val="es-MX"/>
        </w:rPr>
        <w:t>a partir de tal información</w:t>
      </w:r>
      <w:r w:rsidR="00ED5C98" w:rsidRPr="00E27F1B">
        <w:rPr>
          <w:sz w:val="20"/>
          <w:szCs w:val="20"/>
          <w:lang w:val="es-MX"/>
        </w:rPr>
        <w:t>, pues no se trata de hechos específicos del caso objeto de litigo.</w:t>
      </w:r>
    </w:p>
    <w:p w14:paraId="14096FFE" w14:textId="77777777" w:rsidR="003239B8" w:rsidRPr="002E7F70" w:rsidRDefault="003239B8" w:rsidP="005D02E8">
      <w:pPr>
        <w:spacing w:before="120" w:after="240"/>
        <w:ind w:firstLine="720"/>
        <w:jc w:val="both"/>
        <w:rPr>
          <w:rFonts w:ascii="Cambria" w:hAnsi="Cambria"/>
          <w:sz w:val="20"/>
          <w:szCs w:val="20"/>
          <w:lang w:val="es-MX"/>
        </w:rPr>
      </w:pPr>
      <w:r w:rsidRPr="002E7F70">
        <w:rPr>
          <w:rFonts w:asciiTheme="majorHAnsi" w:eastAsia="Cambria" w:hAnsiTheme="majorHAnsi" w:cs="Cambria"/>
          <w:b/>
          <w:bCs/>
          <w:color w:val="000000"/>
          <w:sz w:val="20"/>
          <w:szCs w:val="20"/>
          <w:u w:color="000000"/>
          <w:lang w:val="es-MX" w:eastAsia="es-ES"/>
        </w:rPr>
        <w:t>VI.</w:t>
      </w:r>
      <w:r w:rsidRPr="002E7F70">
        <w:rPr>
          <w:rFonts w:asciiTheme="majorHAnsi" w:eastAsia="Cambria" w:hAnsiTheme="majorHAnsi" w:cs="Cambria"/>
          <w:b/>
          <w:bCs/>
          <w:color w:val="000000"/>
          <w:sz w:val="20"/>
          <w:szCs w:val="20"/>
          <w:u w:color="000000"/>
          <w:lang w:val="es-MX" w:eastAsia="es-ES"/>
        </w:rPr>
        <w:tab/>
      </w:r>
      <w:r w:rsidR="004A6A54" w:rsidRPr="002E7F70">
        <w:rPr>
          <w:rFonts w:asciiTheme="majorHAnsi" w:hAnsiTheme="majorHAnsi"/>
          <w:b/>
          <w:bCs/>
          <w:sz w:val="20"/>
          <w:szCs w:val="20"/>
          <w:lang w:val="es-MX"/>
        </w:rPr>
        <w:t xml:space="preserve">ANÁLISIS DE </w:t>
      </w:r>
      <w:r w:rsidR="00C21FEF" w:rsidRPr="002E7F70">
        <w:rPr>
          <w:rFonts w:asciiTheme="majorHAnsi" w:hAnsiTheme="majorHAnsi"/>
          <w:b/>
          <w:sz w:val="20"/>
          <w:szCs w:val="20"/>
          <w:lang w:val="es-MX"/>
        </w:rPr>
        <w:t>AGOTAMIENTO DE LOS RECURSOS INTERNOS Y PLAZO DE PRESENTACIÓN</w:t>
      </w:r>
      <w:r w:rsidR="00C21FEF" w:rsidRPr="002E7F70">
        <w:rPr>
          <w:rFonts w:asciiTheme="majorHAnsi" w:eastAsia="Cambria" w:hAnsiTheme="majorHAnsi" w:cs="Cambria"/>
          <w:b/>
          <w:bCs/>
          <w:color w:val="000000"/>
          <w:sz w:val="20"/>
          <w:szCs w:val="20"/>
          <w:u w:color="000000"/>
          <w:lang w:val="es-MX" w:eastAsia="es-ES"/>
        </w:rPr>
        <w:t xml:space="preserve"> </w:t>
      </w:r>
    </w:p>
    <w:p w14:paraId="7A32672F" w14:textId="5C74B86B" w:rsidR="00FA6EB8" w:rsidRPr="00BF743B" w:rsidRDefault="00FA6EB8"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90" w:firstLine="810"/>
        <w:jc w:val="both"/>
        <w:rPr>
          <w:sz w:val="20"/>
          <w:szCs w:val="20"/>
          <w:lang w:val="es-MX"/>
        </w:rPr>
      </w:pPr>
      <w:r w:rsidRPr="002E7F70">
        <w:rPr>
          <w:sz w:val="20"/>
          <w:szCs w:val="20"/>
          <w:lang w:val="es-MX"/>
        </w:rPr>
        <w:t>La CIDH recuerda que toda vez que se cometa un presunto delito perseguible de oficio, el Estado tiene la obligación de promover e impulsar el proceso penal</w:t>
      </w:r>
      <w:r w:rsidRPr="002E7F70">
        <w:rPr>
          <w:rStyle w:val="FootnoteReference"/>
          <w:sz w:val="20"/>
          <w:szCs w:val="20"/>
          <w:lang w:val="es-MX"/>
        </w:rPr>
        <w:footnoteReference w:id="5"/>
      </w:r>
      <w:r w:rsidRPr="002E7F70">
        <w:rPr>
          <w:sz w:val="20"/>
          <w:szCs w:val="20"/>
          <w:lang w:val="es-MX"/>
        </w:rPr>
        <w:t xml:space="preserve">  y que, en esos casos, éste constituye la vía idónea para esclarecer los hechos, juzgar a los responsables y establecer las sanciones penales correspondientes. </w:t>
      </w:r>
      <w:r w:rsidR="00E27F1B">
        <w:rPr>
          <w:sz w:val="20"/>
          <w:szCs w:val="20"/>
          <w:lang w:val="es-MX"/>
        </w:rPr>
        <w:t>En el presente caso, l</w:t>
      </w:r>
      <w:r w:rsidRPr="002E7F70">
        <w:rPr>
          <w:sz w:val="20"/>
          <w:szCs w:val="20"/>
          <w:lang w:val="es-MX"/>
        </w:rPr>
        <w:t xml:space="preserve">a Comisión observa que la Fiscalía empezó investigaciones el 20 de septiembre de 2006 y </w:t>
      </w:r>
      <w:r w:rsidRPr="002E7F70">
        <w:rPr>
          <w:sz w:val="20"/>
          <w:szCs w:val="20"/>
          <w:lang w:val="es-MX"/>
        </w:rPr>
        <w:lastRenderedPageBreak/>
        <w:t xml:space="preserve">que el 14 de septiembre de 2010 la Fiscalía profirió la decisión de calificación del mérito sumario con acusación contra los cuatro vinculados. </w:t>
      </w:r>
      <w:r w:rsidR="00E27F1B">
        <w:rPr>
          <w:sz w:val="20"/>
          <w:szCs w:val="20"/>
          <w:lang w:val="es-MX"/>
        </w:rPr>
        <w:t>A pesar de ello, d</w:t>
      </w:r>
      <w:r w:rsidRPr="002E7F70">
        <w:rPr>
          <w:sz w:val="20"/>
          <w:szCs w:val="20"/>
          <w:lang w:val="es-MX"/>
        </w:rPr>
        <w:t xml:space="preserve">e la información proporcionada por las partes, la </w:t>
      </w:r>
      <w:r w:rsidR="00E27F1B">
        <w:rPr>
          <w:sz w:val="20"/>
          <w:szCs w:val="20"/>
          <w:lang w:val="es-MX"/>
        </w:rPr>
        <w:t>CIDH</w:t>
      </w:r>
      <w:r w:rsidRPr="002E7F70">
        <w:rPr>
          <w:sz w:val="20"/>
          <w:szCs w:val="20"/>
          <w:lang w:val="es-MX"/>
        </w:rPr>
        <w:t xml:space="preserve"> </w:t>
      </w:r>
      <w:r w:rsidR="00E27F1B">
        <w:rPr>
          <w:sz w:val="20"/>
          <w:szCs w:val="20"/>
          <w:lang w:val="es-MX"/>
        </w:rPr>
        <w:t xml:space="preserve">nota </w:t>
      </w:r>
      <w:r w:rsidRPr="002E7F70">
        <w:rPr>
          <w:sz w:val="20"/>
          <w:szCs w:val="20"/>
          <w:lang w:val="es-MX"/>
        </w:rPr>
        <w:t xml:space="preserve">que el proceso penal sigue en curso en etapa de </w:t>
      </w:r>
      <w:r w:rsidR="004B11FB">
        <w:rPr>
          <w:sz w:val="20"/>
          <w:szCs w:val="20"/>
          <w:lang w:val="es-MX"/>
        </w:rPr>
        <w:t>a</w:t>
      </w:r>
      <w:r w:rsidRPr="002E7F70">
        <w:rPr>
          <w:sz w:val="20"/>
          <w:szCs w:val="20"/>
          <w:lang w:val="es-MX"/>
        </w:rPr>
        <w:t xml:space="preserve">udiencia </w:t>
      </w:r>
      <w:r w:rsidR="004B11FB">
        <w:rPr>
          <w:sz w:val="20"/>
          <w:szCs w:val="20"/>
          <w:lang w:val="es-MX"/>
        </w:rPr>
        <w:t>p</w:t>
      </w:r>
      <w:r w:rsidRPr="002E7F70">
        <w:rPr>
          <w:sz w:val="20"/>
          <w:szCs w:val="20"/>
          <w:lang w:val="es-MX"/>
        </w:rPr>
        <w:t xml:space="preserve">ública de </w:t>
      </w:r>
      <w:r w:rsidR="004B11FB">
        <w:rPr>
          <w:sz w:val="20"/>
          <w:szCs w:val="20"/>
          <w:lang w:val="es-MX"/>
        </w:rPr>
        <w:t>j</w:t>
      </w:r>
      <w:r w:rsidRPr="00BF743B">
        <w:rPr>
          <w:sz w:val="20"/>
          <w:szCs w:val="20"/>
          <w:lang w:val="es-MX"/>
        </w:rPr>
        <w:t xml:space="preserve">uzgamiento, sin que </w:t>
      </w:r>
      <w:r w:rsidR="00E27F1B">
        <w:rPr>
          <w:sz w:val="20"/>
          <w:szCs w:val="20"/>
          <w:lang w:val="es-MX"/>
        </w:rPr>
        <w:t xml:space="preserve">a la fecha </w:t>
      </w:r>
      <w:r w:rsidRPr="00BF743B">
        <w:rPr>
          <w:sz w:val="20"/>
          <w:szCs w:val="20"/>
          <w:lang w:val="es-MX"/>
        </w:rPr>
        <w:t>se haya</w:t>
      </w:r>
      <w:r w:rsidR="004B11FB">
        <w:rPr>
          <w:sz w:val="20"/>
          <w:szCs w:val="20"/>
          <w:lang w:val="es-MX"/>
        </w:rPr>
        <w:t>n</w:t>
      </w:r>
      <w:r w:rsidRPr="00BF743B">
        <w:rPr>
          <w:sz w:val="20"/>
          <w:szCs w:val="20"/>
          <w:lang w:val="es-MX"/>
        </w:rPr>
        <w:t xml:space="preserve"> esclarecido las circunstancias de la muerte de la presunta víctima. </w:t>
      </w:r>
      <w:r w:rsidRPr="00BF743B">
        <w:rPr>
          <w:rFonts w:asciiTheme="majorHAnsi" w:hAnsiTheme="majorHAnsi"/>
          <w:bCs/>
          <w:sz w:val="20"/>
          <w:szCs w:val="20"/>
          <w:lang w:val="es-MX"/>
        </w:rPr>
        <w:t xml:space="preserve">En atención a ello, </w:t>
      </w:r>
      <w:r w:rsidR="00E27F1B">
        <w:rPr>
          <w:rFonts w:asciiTheme="majorHAnsi" w:hAnsiTheme="majorHAnsi"/>
          <w:bCs/>
          <w:sz w:val="20"/>
          <w:szCs w:val="20"/>
          <w:lang w:val="es-MX"/>
        </w:rPr>
        <w:t xml:space="preserve">dado que han transcurrido </w:t>
      </w:r>
      <w:r w:rsidR="00E27F1B" w:rsidRPr="00BF743B">
        <w:rPr>
          <w:sz w:val="20"/>
          <w:szCs w:val="20"/>
          <w:lang w:val="es-MX"/>
        </w:rPr>
        <w:t xml:space="preserve">más de </w:t>
      </w:r>
      <w:r w:rsidR="00E27F1B">
        <w:rPr>
          <w:sz w:val="20"/>
          <w:szCs w:val="20"/>
          <w:lang w:val="es-MX"/>
        </w:rPr>
        <w:t>catorce</w:t>
      </w:r>
      <w:r w:rsidR="00E27F1B" w:rsidRPr="00BF743B">
        <w:rPr>
          <w:sz w:val="20"/>
          <w:szCs w:val="20"/>
          <w:lang w:val="es-MX"/>
        </w:rPr>
        <w:t xml:space="preserve"> años des</w:t>
      </w:r>
      <w:r w:rsidR="00E27F1B">
        <w:rPr>
          <w:sz w:val="20"/>
          <w:szCs w:val="20"/>
          <w:lang w:val="es-MX"/>
        </w:rPr>
        <w:t xml:space="preserve">de el inicio de tales investigaciones, </w:t>
      </w:r>
      <w:r w:rsidRPr="00BF743B">
        <w:rPr>
          <w:sz w:val="20"/>
          <w:szCs w:val="20"/>
          <w:lang w:val="es-MX"/>
        </w:rPr>
        <w:t>la Comisión concluye que en el presente caso se aplica la excepción al agotamiento de los recursos internos prevista en el artículo 46.2.c de la Convención.</w:t>
      </w:r>
    </w:p>
    <w:p w14:paraId="4C8351C8" w14:textId="5630A9E5" w:rsidR="00FA6EB8" w:rsidRPr="00BF743B" w:rsidRDefault="000A036E"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90" w:firstLine="810"/>
        <w:jc w:val="both"/>
        <w:rPr>
          <w:sz w:val="20"/>
          <w:szCs w:val="20"/>
          <w:lang w:val="es-MX"/>
        </w:rPr>
      </w:pPr>
      <w:r>
        <w:rPr>
          <w:sz w:val="20"/>
          <w:szCs w:val="20"/>
          <w:lang w:val="es-MX"/>
        </w:rPr>
        <w:t>Asimismo, e</w:t>
      </w:r>
      <w:r w:rsidR="00FA6EB8" w:rsidRPr="00BF743B">
        <w:rPr>
          <w:sz w:val="20"/>
          <w:szCs w:val="20"/>
          <w:lang w:val="es-MX"/>
        </w:rPr>
        <w:t xml:space="preserve">n vista del contexto y las características de la petición incluida en el presente informe, </w:t>
      </w:r>
      <w:r>
        <w:rPr>
          <w:sz w:val="20"/>
          <w:szCs w:val="20"/>
          <w:lang w:val="es-MX"/>
        </w:rPr>
        <w:t xml:space="preserve">y tomando en cuenta que la petición fue presentada el 28 de octubre de 2010, </w:t>
      </w:r>
      <w:r w:rsidR="00FA6EB8" w:rsidRPr="00BF743B">
        <w:rPr>
          <w:sz w:val="20"/>
          <w:szCs w:val="20"/>
          <w:lang w:val="es-MX"/>
        </w:rPr>
        <w:t>la Comisión considera que esta fue presentada dentro de un plazo razonable y que debe darse por satisfecho el requisito de admisibilidad referente al plazo de presentación.</w:t>
      </w:r>
    </w:p>
    <w:p w14:paraId="09F8A924" w14:textId="77777777" w:rsidR="003239B8" w:rsidRPr="002E7F70" w:rsidRDefault="003239B8" w:rsidP="005D02E8">
      <w:pPr>
        <w:pStyle w:val="ListParagraph"/>
        <w:spacing w:before="120" w:after="240"/>
        <w:ind w:left="0" w:firstLine="720"/>
        <w:jc w:val="both"/>
        <w:rPr>
          <w:rFonts w:asciiTheme="majorHAnsi" w:hAnsiTheme="majorHAnsi"/>
          <w:b/>
          <w:sz w:val="20"/>
          <w:szCs w:val="20"/>
          <w:lang w:val="es-MX"/>
        </w:rPr>
      </w:pPr>
      <w:r w:rsidRPr="002E7F70">
        <w:rPr>
          <w:rFonts w:asciiTheme="majorHAnsi" w:hAnsiTheme="majorHAnsi"/>
          <w:b/>
          <w:bCs/>
          <w:sz w:val="20"/>
          <w:szCs w:val="20"/>
          <w:lang w:val="es-MX"/>
        </w:rPr>
        <w:t>VII.</w:t>
      </w:r>
      <w:r w:rsidRPr="002E7F70">
        <w:rPr>
          <w:rFonts w:asciiTheme="majorHAnsi" w:hAnsiTheme="majorHAnsi"/>
          <w:b/>
          <w:bCs/>
          <w:sz w:val="20"/>
          <w:szCs w:val="20"/>
          <w:lang w:val="es-MX"/>
        </w:rPr>
        <w:tab/>
      </w:r>
      <w:r w:rsidR="004A6A54" w:rsidRPr="002E7F70">
        <w:rPr>
          <w:rFonts w:asciiTheme="majorHAnsi" w:hAnsiTheme="majorHAnsi"/>
          <w:b/>
          <w:bCs/>
          <w:sz w:val="20"/>
          <w:szCs w:val="20"/>
          <w:lang w:val="es-MX"/>
        </w:rPr>
        <w:t xml:space="preserve">ANÁLISIS DE </w:t>
      </w:r>
      <w:r w:rsidR="00C21FEF" w:rsidRPr="002E7F70">
        <w:rPr>
          <w:rFonts w:asciiTheme="majorHAnsi" w:hAnsiTheme="majorHAnsi"/>
          <w:b/>
          <w:bCs/>
          <w:sz w:val="20"/>
          <w:szCs w:val="20"/>
          <w:lang w:val="es-MX"/>
        </w:rPr>
        <w:t>CARACTERIZACIÓN DE LOS HECHOS ALEGADOS</w:t>
      </w:r>
    </w:p>
    <w:p w14:paraId="1F07709E" w14:textId="0D494366" w:rsidR="001A520D" w:rsidRPr="00B01657" w:rsidRDefault="008C5E2D" w:rsidP="005D02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sz w:val="20"/>
          <w:szCs w:val="20"/>
          <w:lang w:val="es-MX"/>
        </w:rPr>
      </w:pPr>
      <w:r w:rsidRPr="002E7F70">
        <w:rPr>
          <w:sz w:val="20"/>
          <w:szCs w:val="20"/>
          <w:lang w:val="es-MX"/>
        </w:rPr>
        <w:t>La Comisión observa que la presente petición inclu</w:t>
      </w:r>
      <w:r w:rsidR="004B421C" w:rsidRPr="002E7F70">
        <w:rPr>
          <w:sz w:val="20"/>
          <w:szCs w:val="20"/>
          <w:lang w:val="es-MX"/>
        </w:rPr>
        <w:t>ye</w:t>
      </w:r>
      <w:r w:rsidR="00F97366" w:rsidRPr="002E7F70">
        <w:rPr>
          <w:sz w:val="20"/>
          <w:szCs w:val="20"/>
          <w:lang w:val="es-MX"/>
        </w:rPr>
        <w:t xml:space="preserve"> alegaciones con respecto a</w:t>
      </w:r>
      <w:r w:rsidR="00AE1E0D" w:rsidRPr="002E7F70">
        <w:rPr>
          <w:sz w:val="20"/>
          <w:szCs w:val="20"/>
          <w:lang w:val="es-MX"/>
        </w:rPr>
        <w:t xml:space="preserve"> la ejecución extrajudicial de la presunta víctima, en su calidad de líder sindical y comunal, irregularidades en la investigación de los hechos, así como a la continuidad y falta de esclarecimiento de dichos delitos. </w:t>
      </w:r>
      <w:r w:rsidRPr="002E7F70">
        <w:rPr>
          <w:sz w:val="20"/>
          <w:szCs w:val="20"/>
          <w:lang w:val="es-MX"/>
        </w:rPr>
        <w:t>En aten</w:t>
      </w:r>
      <w:r w:rsidR="00C25ADB" w:rsidRPr="002E7F70">
        <w:rPr>
          <w:sz w:val="20"/>
          <w:szCs w:val="20"/>
          <w:lang w:val="es-MX"/>
        </w:rPr>
        <w:t xml:space="preserve">ción a estas consideraciones y </w:t>
      </w:r>
      <w:r w:rsidRPr="002E7F70">
        <w:rPr>
          <w:sz w:val="20"/>
          <w:szCs w:val="20"/>
          <w:lang w:val="es-MX"/>
        </w:rPr>
        <w:t xml:space="preserve">tras examinar los elementos de hecho y de derecho expuestos por las partes la Comisión estima que las alegaciones de la parte peticionaria no resultan manifiestamente infundadas y requieren un estudio </w:t>
      </w:r>
      <w:r w:rsidRPr="00B01657">
        <w:rPr>
          <w:sz w:val="20"/>
          <w:szCs w:val="20"/>
          <w:lang w:val="es-MX"/>
        </w:rPr>
        <w:t>de fondo pues los hechos alegados, de corroborarse como ciertos podrían caracteri</w:t>
      </w:r>
      <w:r w:rsidR="004B421C" w:rsidRPr="00B01657">
        <w:rPr>
          <w:sz w:val="20"/>
          <w:szCs w:val="20"/>
          <w:lang w:val="es-MX"/>
        </w:rPr>
        <w:t>zar violaciones a los artículos</w:t>
      </w:r>
      <w:r w:rsidR="00AE1E0D" w:rsidRPr="00B01657">
        <w:rPr>
          <w:sz w:val="20"/>
          <w:szCs w:val="20"/>
          <w:lang w:val="es-MX"/>
        </w:rPr>
        <w:t xml:space="preserve"> </w:t>
      </w:r>
      <w:r w:rsidR="00C77936" w:rsidRPr="00B01657">
        <w:rPr>
          <w:bCs/>
          <w:sz w:val="20"/>
          <w:szCs w:val="20"/>
          <w:lang w:val="es-MX"/>
        </w:rPr>
        <w:t>4 (vida), 5 (integridad personal), 7 (libertad personal), 8 (garantías judiciales), 13 (libertad de expresión), 16 (libertad de asociación) y 25 (protección judicial) de la Convención Americana, en relación con sus artículos 1.1 (obligación de respetar los derechos) y 2 (deber de adoptar disposiciones de derecho interno)</w:t>
      </w:r>
      <w:r w:rsidR="004B421C" w:rsidRPr="00B01657">
        <w:rPr>
          <w:sz w:val="20"/>
          <w:szCs w:val="20"/>
          <w:lang w:val="es-MX"/>
        </w:rPr>
        <w:t xml:space="preserve">. </w:t>
      </w:r>
    </w:p>
    <w:p w14:paraId="7B780D80" w14:textId="77777777" w:rsidR="003239B8" w:rsidRPr="002E7F70" w:rsidRDefault="003239B8" w:rsidP="005D02E8">
      <w:pPr>
        <w:pStyle w:val="ListParagraph"/>
        <w:spacing w:before="120" w:after="240"/>
        <w:ind w:left="0" w:firstLine="720"/>
        <w:jc w:val="both"/>
        <w:rPr>
          <w:rFonts w:asciiTheme="majorHAnsi" w:hAnsiTheme="majorHAnsi"/>
          <w:b/>
          <w:bCs/>
          <w:sz w:val="20"/>
          <w:szCs w:val="20"/>
          <w:lang w:val="es-MX"/>
        </w:rPr>
      </w:pPr>
      <w:r w:rsidRPr="002E7F70">
        <w:rPr>
          <w:rFonts w:asciiTheme="majorHAnsi" w:hAnsiTheme="majorHAnsi"/>
          <w:b/>
          <w:bCs/>
          <w:sz w:val="20"/>
          <w:szCs w:val="20"/>
          <w:lang w:val="es-MX"/>
        </w:rPr>
        <w:t xml:space="preserve">VIII. </w:t>
      </w:r>
      <w:r w:rsidRPr="002E7F70">
        <w:rPr>
          <w:rFonts w:asciiTheme="majorHAnsi" w:hAnsiTheme="majorHAnsi"/>
          <w:b/>
          <w:bCs/>
          <w:sz w:val="20"/>
          <w:szCs w:val="20"/>
          <w:lang w:val="es-MX"/>
        </w:rPr>
        <w:tab/>
        <w:t>DECISIÓN</w:t>
      </w:r>
    </w:p>
    <w:p w14:paraId="47AAD8DE" w14:textId="76827295" w:rsidR="003239B8" w:rsidRPr="002E7F70" w:rsidRDefault="003239B8" w:rsidP="005D02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MX"/>
        </w:rPr>
      </w:pPr>
      <w:r w:rsidRPr="002E7F70">
        <w:rPr>
          <w:rFonts w:asciiTheme="majorHAnsi" w:hAnsiTheme="majorHAnsi"/>
          <w:sz w:val="20"/>
          <w:szCs w:val="20"/>
          <w:lang w:val="es-MX"/>
        </w:rPr>
        <w:t xml:space="preserve">Declarar admisible la presente petición en relación con </w:t>
      </w:r>
      <w:r w:rsidR="00C77936" w:rsidRPr="002E7F70">
        <w:rPr>
          <w:rFonts w:asciiTheme="majorHAnsi" w:hAnsiTheme="majorHAnsi"/>
          <w:sz w:val="20"/>
          <w:szCs w:val="20"/>
          <w:lang w:val="es-MX"/>
        </w:rPr>
        <w:t xml:space="preserve">los artículos 4, 5, 7, 8, 13, 16 y 25 de la Convención Americana, en </w:t>
      </w:r>
      <w:r w:rsidR="005D02E8">
        <w:rPr>
          <w:rFonts w:asciiTheme="majorHAnsi" w:hAnsiTheme="majorHAnsi"/>
          <w:sz w:val="20"/>
          <w:szCs w:val="20"/>
          <w:lang w:val="es-MX"/>
        </w:rPr>
        <w:t>concordancia</w:t>
      </w:r>
      <w:r w:rsidR="00C77936" w:rsidRPr="002E7F70">
        <w:rPr>
          <w:rFonts w:asciiTheme="majorHAnsi" w:hAnsiTheme="majorHAnsi"/>
          <w:sz w:val="20"/>
          <w:szCs w:val="20"/>
          <w:lang w:val="es-MX"/>
        </w:rPr>
        <w:t xml:space="preserve"> con sus artículos 1.1. y 2</w:t>
      </w:r>
      <w:r w:rsidR="004B11FB">
        <w:rPr>
          <w:rFonts w:asciiTheme="majorHAnsi" w:hAnsiTheme="majorHAnsi"/>
          <w:sz w:val="20"/>
          <w:szCs w:val="20"/>
          <w:lang w:val="es-MX"/>
        </w:rPr>
        <w:t>.</w:t>
      </w:r>
    </w:p>
    <w:p w14:paraId="60ED56B8" w14:textId="77777777" w:rsidR="008D768D" w:rsidRPr="002E7F70" w:rsidRDefault="004A6A54" w:rsidP="005D02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val="es-MX"/>
        </w:rPr>
      </w:pPr>
      <w:r w:rsidRPr="002E7F70">
        <w:rPr>
          <w:rFonts w:asciiTheme="majorHAnsi" w:hAnsiTheme="majorHAnsi"/>
          <w:sz w:val="20"/>
          <w:szCs w:val="20"/>
          <w:lang w:val="es-MX"/>
        </w:rPr>
        <w:t>Notificar a las partes la presente decisión; continuar con el análisis del fondo de la cuestión; y publicar esta decisión e incluirla en su Informe Anual a la Asamblea General de la Organización de los Estados Americanos.</w:t>
      </w:r>
    </w:p>
    <w:p w14:paraId="065CB8D7" w14:textId="4AE2C80A" w:rsidR="00032F7F" w:rsidRPr="00A37B82" w:rsidRDefault="00032F7F" w:rsidP="005D02E8">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E2BB9FE" w14:textId="77777777" w:rsidR="00032F7F" w:rsidRPr="00A37B82" w:rsidRDefault="00032F7F" w:rsidP="00032F7F">
      <w:pPr>
        <w:suppressAutoHyphens/>
        <w:ind w:firstLine="720"/>
        <w:jc w:val="both"/>
        <w:rPr>
          <w:rFonts w:asciiTheme="majorHAnsi" w:hAnsiTheme="majorHAnsi" w:cs="Arial"/>
          <w:noProof/>
          <w:spacing w:val="-2"/>
          <w:sz w:val="20"/>
          <w:szCs w:val="20"/>
          <w:lang w:val="es-CL"/>
        </w:rPr>
      </w:pPr>
    </w:p>
    <w:sectPr w:rsidR="00032F7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8CBE" w14:textId="77777777" w:rsidR="006B6959" w:rsidRDefault="006B6959">
      <w:r>
        <w:separator/>
      </w:r>
    </w:p>
  </w:endnote>
  <w:endnote w:type="continuationSeparator" w:id="0">
    <w:p w14:paraId="620315C0" w14:textId="77777777" w:rsidR="006B6959" w:rsidRDefault="006B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5F3A7A7" w14:textId="4F60F341" w:rsidR="00C83849" w:rsidRPr="00934A2C" w:rsidRDefault="00C8384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01657">
          <w:rPr>
            <w:noProof/>
            <w:sz w:val="16"/>
            <w:szCs w:val="22"/>
          </w:rPr>
          <w:t>3</w:t>
        </w:r>
        <w:r w:rsidRPr="00934A2C">
          <w:rPr>
            <w:noProof/>
            <w:sz w:val="16"/>
            <w:szCs w:val="22"/>
          </w:rPr>
          <w:fldChar w:fldCharType="end"/>
        </w:r>
      </w:p>
    </w:sdtContent>
  </w:sdt>
  <w:p w14:paraId="5F739505" w14:textId="77777777" w:rsidR="00C83849" w:rsidRDefault="00C83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980E" w14:textId="77777777" w:rsidR="00C83849" w:rsidRPr="00934A2C" w:rsidRDefault="00C83849">
    <w:pPr>
      <w:pStyle w:val="Footer"/>
      <w:jc w:val="center"/>
      <w:rPr>
        <w:sz w:val="16"/>
        <w:szCs w:val="22"/>
      </w:rPr>
    </w:pPr>
  </w:p>
  <w:p w14:paraId="2F6E4EE4" w14:textId="77777777" w:rsidR="00C83849" w:rsidRDefault="00C83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7555" w14:textId="77777777" w:rsidR="006B6959" w:rsidRPr="000F35ED" w:rsidRDefault="006B69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953390" w14:textId="77777777" w:rsidR="006B6959" w:rsidRPr="000F35ED" w:rsidRDefault="006B6959" w:rsidP="000F35ED">
      <w:pPr>
        <w:rPr>
          <w:rFonts w:asciiTheme="majorHAnsi" w:hAnsiTheme="majorHAnsi"/>
          <w:sz w:val="16"/>
          <w:szCs w:val="16"/>
        </w:rPr>
      </w:pPr>
      <w:r w:rsidRPr="000F35ED">
        <w:rPr>
          <w:rFonts w:asciiTheme="majorHAnsi" w:hAnsiTheme="majorHAnsi"/>
          <w:sz w:val="16"/>
          <w:szCs w:val="16"/>
        </w:rPr>
        <w:separator/>
      </w:r>
    </w:p>
    <w:p w14:paraId="69E7E74A" w14:textId="77777777" w:rsidR="006B6959" w:rsidRPr="000F35ED" w:rsidRDefault="006B695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7284DB9" w14:textId="77777777" w:rsidR="006B6959" w:rsidRPr="000F35ED" w:rsidRDefault="006B695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3598896" w14:textId="77777777" w:rsidR="00C83849" w:rsidRPr="00D60F00" w:rsidRDefault="00C83849" w:rsidP="00D60F00">
      <w:pPr>
        <w:pStyle w:val="FootnoteText"/>
        <w:ind w:firstLine="720"/>
        <w:jc w:val="both"/>
        <w:rPr>
          <w:rFonts w:asciiTheme="majorHAnsi" w:hAnsiTheme="majorHAnsi"/>
          <w:sz w:val="16"/>
          <w:szCs w:val="16"/>
          <w:lang w:val="es-MX"/>
        </w:rPr>
      </w:pPr>
      <w:r w:rsidRPr="00D60F00">
        <w:rPr>
          <w:rStyle w:val="FootnoteReference"/>
          <w:rFonts w:asciiTheme="majorHAnsi" w:hAnsiTheme="majorHAnsi"/>
          <w:sz w:val="16"/>
          <w:szCs w:val="16"/>
        </w:rPr>
        <w:footnoteRef/>
      </w:r>
      <w:r w:rsidRPr="00D60F00">
        <w:rPr>
          <w:rFonts w:asciiTheme="majorHAnsi" w:hAnsiTheme="majorHAnsi"/>
          <w:sz w:val="16"/>
          <w:szCs w:val="16"/>
          <w:lang w:val="es-MX"/>
        </w:rPr>
        <w:t xml:space="preserve"> En adelante, “Convención Americana” o “Convención”.</w:t>
      </w:r>
    </w:p>
  </w:footnote>
  <w:footnote w:id="3">
    <w:p w14:paraId="3CD9B2AA" w14:textId="77777777" w:rsidR="00C83849" w:rsidRPr="00D60F00" w:rsidRDefault="00C83849" w:rsidP="00D60F00">
      <w:pPr>
        <w:pStyle w:val="FootnoteText"/>
        <w:ind w:firstLine="720"/>
        <w:jc w:val="both"/>
        <w:rPr>
          <w:rFonts w:asciiTheme="majorHAnsi" w:hAnsiTheme="majorHAnsi"/>
          <w:sz w:val="16"/>
          <w:szCs w:val="16"/>
          <w:lang w:val="es-ES"/>
        </w:rPr>
      </w:pPr>
      <w:r w:rsidRPr="00D60F00">
        <w:rPr>
          <w:rStyle w:val="FootnoteReference"/>
          <w:rFonts w:asciiTheme="majorHAnsi" w:hAnsiTheme="majorHAnsi"/>
          <w:sz w:val="16"/>
          <w:szCs w:val="16"/>
        </w:rPr>
        <w:footnoteRef/>
      </w:r>
      <w:r w:rsidRPr="00D60F00">
        <w:rPr>
          <w:rFonts w:asciiTheme="majorHAnsi" w:hAnsiTheme="majorHAnsi"/>
          <w:sz w:val="16"/>
          <w:szCs w:val="16"/>
          <w:lang w:val="es-ES"/>
        </w:rPr>
        <w:t xml:space="preserve"> Las observaciones de cada parte fueron debidamente trasladadas a la parte contraria.</w:t>
      </w:r>
    </w:p>
  </w:footnote>
  <w:footnote w:id="4">
    <w:p w14:paraId="6F9D5654" w14:textId="3157816D" w:rsidR="00B95147" w:rsidRPr="00D60F00" w:rsidRDefault="00B95147" w:rsidP="00B95147">
      <w:pPr>
        <w:pStyle w:val="FootnoteText"/>
        <w:ind w:firstLine="720"/>
        <w:jc w:val="both"/>
        <w:rPr>
          <w:lang w:val="es-ES"/>
        </w:rPr>
      </w:pPr>
      <w:r w:rsidRPr="00D60F00">
        <w:rPr>
          <w:rStyle w:val="FootnoteReference"/>
          <w:rFonts w:asciiTheme="majorHAnsi" w:hAnsiTheme="majorHAnsi"/>
          <w:sz w:val="16"/>
          <w:szCs w:val="16"/>
        </w:rPr>
        <w:footnoteRef/>
      </w:r>
      <w:r w:rsidRPr="00D60F00">
        <w:rPr>
          <w:rFonts w:asciiTheme="majorHAnsi" w:hAnsiTheme="majorHAnsi"/>
          <w:sz w:val="16"/>
          <w:szCs w:val="16"/>
          <w:lang w:val="es-ES"/>
        </w:rPr>
        <w:t xml:space="preserve"> </w:t>
      </w:r>
      <w:r>
        <w:rPr>
          <w:rFonts w:asciiTheme="majorHAnsi" w:hAnsiTheme="majorHAnsi"/>
          <w:sz w:val="16"/>
          <w:szCs w:val="16"/>
          <w:lang w:val="es-ES"/>
        </w:rPr>
        <w:t>La parte peticionaria</w:t>
      </w:r>
      <w:r w:rsidRPr="00D60F00">
        <w:rPr>
          <w:rFonts w:asciiTheme="majorHAnsi" w:hAnsiTheme="majorHAnsi"/>
          <w:sz w:val="16"/>
          <w:szCs w:val="16"/>
          <w:lang w:val="es-ES"/>
        </w:rPr>
        <w:t xml:space="preserve"> precisa que la presunta víctima perteneció a la Asociación Minera de Mina Gallo Café, </w:t>
      </w:r>
      <w:r>
        <w:rPr>
          <w:rFonts w:asciiTheme="majorHAnsi" w:hAnsiTheme="majorHAnsi"/>
          <w:sz w:val="16"/>
          <w:szCs w:val="16"/>
          <w:lang w:val="es-ES"/>
        </w:rPr>
        <w:t>la Asociación Agrominera de Bolívar (</w:t>
      </w:r>
      <w:r w:rsidRPr="00D60F00">
        <w:rPr>
          <w:rFonts w:asciiTheme="majorHAnsi" w:hAnsiTheme="majorHAnsi"/>
          <w:sz w:val="16"/>
          <w:szCs w:val="16"/>
          <w:lang w:val="es-ES"/>
        </w:rPr>
        <w:t>Asoagrominbol</w:t>
      </w:r>
      <w:r>
        <w:rPr>
          <w:rFonts w:asciiTheme="majorHAnsi" w:hAnsiTheme="majorHAnsi"/>
          <w:sz w:val="16"/>
          <w:szCs w:val="16"/>
          <w:lang w:val="es-ES"/>
        </w:rPr>
        <w:t>)</w:t>
      </w:r>
      <w:r w:rsidRPr="00D60F00">
        <w:rPr>
          <w:rFonts w:asciiTheme="majorHAnsi" w:hAnsiTheme="majorHAnsi"/>
          <w:sz w:val="16"/>
          <w:szCs w:val="16"/>
          <w:lang w:val="es-ES"/>
        </w:rPr>
        <w:t xml:space="preserve">, </w:t>
      </w:r>
      <w:r>
        <w:rPr>
          <w:rFonts w:asciiTheme="majorHAnsi" w:hAnsiTheme="majorHAnsi"/>
          <w:sz w:val="16"/>
          <w:szCs w:val="16"/>
          <w:lang w:val="es-ES"/>
        </w:rPr>
        <w:t xml:space="preserve">y la </w:t>
      </w:r>
      <w:r w:rsidRPr="00D60F00">
        <w:rPr>
          <w:rFonts w:asciiTheme="majorHAnsi" w:hAnsiTheme="majorHAnsi"/>
          <w:sz w:val="16"/>
          <w:szCs w:val="16"/>
          <w:lang w:val="es-ES"/>
        </w:rPr>
        <w:t>Junta de Acción Comunal de Mina Gallo, entre otros</w:t>
      </w:r>
      <w:r>
        <w:rPr>
          <w:rFonts w:asciiTheme="majorHAnsi" w:hAnsiTheme="majorHAnsi"/>
          <w:sz w:val="16"/>
          <w:szCs w:val="16"/>
          <w:lang w:val="es-ES"/>
        </w:rPr>
        <w:t>.</w:t>
      </w:r>
    </w:p>
  </w:footnote>
  <w:footnote w:id="5">
    <w:p w14:paraId="5EF0DD19" w14:textId="77777777" w:rsidR="00FA6EB8" w:rsidRPr="003D1FEE" w:rsidRDefault="00FA6EB8" w:rsidP="000A036E">
      <w:pPr>
        <w:pStyle w:val="FootnoteText"/>
        <w:ind w:firstLine="720"/>
        <w:jc w:val="both"/>
        <w:rPr>
          <w:rFonts w:asciiTheme="majorHAnsi" w:hAnsiTheme="majorHAnsi"/>
          <w:sz w:val="16"/>
          <w:szCs w:val="16"/>
          <w:lang w:val="es-MX"/>
        </w:rPr>
      </w:pPr>
      <w:r w:rsidRPr="00011C54">
        <w:rPr>
          <w:rStyle w:val="FootnoteReference"/>
          <w:rFonts w:asciiTheme="majorHAnsi" w:hAnsiTheme="majorHAnsi"/>
          <w:sz w:val="16"/>
          <w:szCs w:val="16"/>
        </w:rPr>
        <w:footnoteRef/>
      </w:r>
      <w:r w:rsidRPr="003D1FEE">
        <w:rPr>
          <w:rFonts w:asciiTheme="majorHAnsi" w:hAnsiTheme="majorHAnsi"/>
          <w:sz w:val="16"/>
          <w:szCs w:val="16"/>
          <w:lang w:val="es-MX"/>
        </w:rPr>
        <w:t xml:space="preserve"> Ver CIDH, Informe No. 105/17. Petición 798-07. Admisibilidad. David Valderrama Opazo y otros. Chile. 7 de septiembre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67FD" w14:textId="77777777" w:rsidR="00C83849" w:rsidRDefault="00C83849" w:rsidP="00C8384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A0490D" w14:textId="77777777" w:rsidR="00C83849" w:rsidRDefault="00C83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F0FD" w14:textId="77777777" w:rsidR="00C83849" w:rsidRDefault="00C83849" w:rsidP="00A50FCF">
    <w:pPr>
      <w:pStyle w:val="Header"/>
      <w:tabs>
        <w:tab w:val="clear" w:pos="4320"/>
        <w:tab w:val="clear" w:pos="8640"/>
      </w:tabs>
      <w:jc w:val="center"/>
      <w:rPr>
        <w:sz w:val="22"/>
        <w:szCs w:val="22"/>
      </w:rPr>
    </w:pPr>
    <w:r>
      <w:rPr>
        <w:noProof/>
        <w:sz w:val="22"/>
        <w:szCs w:val="22"/>
      </w:rPr>
      <w:drawing>
        <wp:inline distT="0" distB="0" distL="0" distR="0" wp14:anchorId="014A9B90" wp14:editId="263E864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42F04D" w14:textId="77777777" w:rsidR="00C83849" w:rsidRPr="00EC7D62" w:rsidRDefault="006B6959" w:rsidP="00A50FCF">
    <w:pPr>
      <w:pStyle w:val="Header"/>
      <w:tabs>
        <w:tab w:val="clear" w:pos="4320"/>
        <w:tab w:val="clear" w:pos="8640"/>
      </w:tabs>
      <w:jc w:val="center"/>
      <w:rPr>
        <w:sz w:val="22"/>
        <w:szCs w:val="22"/>
      </w:rPr>
    </w:pPr>
    <w:r>
      <w:rPr>
        <w:sz w:val="22"/>
        <w:szCs w:val="22"/>
      </w:rPr>
      <w:pict w14:anchorId="47B3318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E92438"/>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456BFA"/>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E4794D"/>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470C3B"/>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AD47811"/>
    <w:multiLevelType w:val="hybridMultilevel"/>
    <w:tmpl w:val="201C56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2"/>
  </w:num>
  <w:num w:numId="5">
    <w:abstractNumId w:val="50"/>
  </w:num>
  <w:num w:numId="6">
    <w:abstractNumId w:val="29"/>
  </w:num>
  <w:num w:numId="7">
    <w:abstractNumId w:val="6"/>
  </w:num>
  <w:num w:numId="8">
    <w:abstractNumId w:val="17"/>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2"/>
  </w:num>
  <w:num w:numId="40">
    <w:abstractNumId w:val="43"/>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9"/>
  </w:num>
  <w:num w:numId="48">
    <w:abstractNumId w:val="60"/>
  </w:num>
  <w:num w:numId="49">
    <w:abstractNumId w:val="61"/>
  </w:num>
  <w:num w:numId="50">
    <w:abstractNumId w:val="62"/>
  </w:num>
  <w:num w:numId="51">
    <w:abstractNumId w:val="21"/>
  </w:num>
  <w:num w:numId="52">
    <w:abstractNumId w:val="44"/>
  </w:num>
  <w:num w:numId="53">
    <w:abstractNumId w:val="53"/>
  </w:num>
  <w:num w:numId="54">
    <w:abstractNumId w:val="48"/>
  </w:num>
  <w:num w:numId="55">
    <w:abstractNumId w:val="46"/>
  </w:num>
  <w:num w:numId="56">
    <w:abstractNumId w:val="28"/>
  </w:num>
  <w:num w:numId="57">
    <w:abstractNumId w:val="26"/>
  </w:num>
  <w:num w:numId="58">
    <w:abstractNumId w:val="38"/>
  </w:num>
  <w:num w:numId="59">
    <w:abstractNumId w:val="58"/>
  </w:num>
  <w:num w:numId="60">
    <w:abstractNumId w:val="39"/>
  </w:num>
  <w:num w:numId="61">
    <w:abstractNumId w:val="16"/>
  </w:num>
  <w:num w:numId="62">
    <w:abstractNumId w:val="4"/>
  </w:num>
  <w:num w:numId="63">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1C54"/>
    <w:rsid w:val="0001788C"/>
    <w:rsid w:val="00032F7F"/>
    <w:rsid w:val="000337EF"/>
    <w:rsid w:val="00040C3A"/>
    <w:rsid w:val="000419AD"/>
    <w:rsid w:val="000433C9"/>
    <w:rsid w:val="00051BB9"/>
    <w:rsid w:val="00064911"/>
    <w:rsid w:val="00071174"/>
    <w:rsid w:val="000716C5"/>
    <w:rsid w:val="00075E23"/>
    <w:rsid w:val="0009344A"/>
    <w:rsid w:val="000A036E"/>
    <w:rsid w:val="000A392E"/>
    <w:rsid w:val="000A575F"/>
    <w:rsid w:val="000B6EA4"/>
    <w:rsid w:val="000C1BC2"/>
    <w:rsid w:val="000D05CB"/>
    <w:rsid w:val="000D10DB"/>
    <w:rsid w:val="000E3C7A"/>
    <w:rsid w:val="000E5EB5"/>
    <w:rsid w:val="000F35ED"/>
    <w:rsid w:val="00107131"/>
    <w:rsid w:val="0010736F"/>
    <w:rsid w:val="00113F73"/>
    <w:rsid w:val="0011534A"/>
    <w:rsid w:val="00117C89"/>
    <w:rsid w:val="00121CC2"/>
    <w:rsid w:val="00131425"/>
    <w:rsid w:val="00133EE5"/>
    <w:rsid w:val="00143376"/>
    <w:rsid w:val="00151799"/>
    <w:rsid w:val="001568D3"/>
    <w:rsid w:val="00167A34"/>
    <w:rsid w:val="0017276A"/>
    <w:rsid w:val="001A520D"/>
    <w:rsid w:val="001A7870"/>
    <w:rsid w:val="001B1551"/>
    <w:rsid w:val="001B3A00"/>
    <w:rsid w:val="001B48E3"/>
    <w:rsid w:val="001C1B41"/>
    <w:rsid w:val="001D65EF"/>
    <w:rsid w:val="001E3748"/>
    <w:rsid w:val="001E49E7"/>
    <w:rsid w:val="001F7201"/>
    <w:rsid w:val="0022120B"/>
    <w:rsid w:val="00223A29"/>
    <w:rsid w:val="002250A3"/>
    <w:rsid w:val="00232192"/>
    <w:rsid w:val="00235217"/>
    <w:rsid w:val="00246D1F"/>
    <w:rsid w:val="00247403"/>
    <w:rsid w:val="00247542"/>
    <w:rsid w:val="00265CD8"/>
    <w:rsid w:val="00266B61"/>
    <w:rsid w:val="0026712A"/>
    <w:rsid w:val="002704DB"/>
    <w:rsid w:val="002A0AAE"/>
    <w:rsid w:val="002A3252"/>
    <w:rsid w:val="002A5820"/>
    <w:rsid w:val="002D2B26"/>
    <w:rsid w:val="002D71E2"/>
    <w:rsid w:val="002D7EA2"/>
    <w:rsid w:val="002E187C"/>
    <w:rsid w:val="002E2575"/>
    <w:rsid w:val="002E7F70"/>
    <w:rsid w:val="00302733"/>
    <w:rsid w:val="00305352"/>
    <w:rsid w:val="00305835"/>
    <w:rsid w:val="00306F33"/>
    <w:rsid w:val="00312D6E"/>
    <w:rsid w:val="00314078"/>
    <w:rsid w:val="0031535D"/>
    <w:rsid w:val="003239B8"/>
    <w:rsid w:val="0033169F"/>
    <w:rsid w:val="00344977"/>
    <w:rsid w:val="00346C95"/>
    <w:rsid w:val="00356185"/>
    <w:rsid w:val="00360380"/>
    <w:rsid w:val="00374ECF"/>
    <w:rsid w:val="0037519E"/>
    <w:rsid w:val="00386CF0"/>
    <w:rsid w:val="003B70FB"/>
    <w:rsid w:val="003C676B"/>
    <w:rsid w:val="003D1FEE"/>
    <w:rsid w:val="003D3BC2"/>
    <w:rsid w:val="003E6CA1"/>
    <w:rsid w:val="003E7FD0"/>
    <w:rsid w:val="003F5154"/>
    <w:rsid w:val="004016A6"/>
    <w:rsid w:val="00405F9C"/>
    <w:rsid w:val="004065A8"/>
    <w:rsid w:val="004165C2"/>
    <w:rsid w:val="00441ECB"/>
    <w:rsid w:val="00445193"/>
    <w:rsid w:val="0044567C"/>
    <w:rsid w:val="00454F63"/>
    <w:rsid w:val="00462C1B"/>
    <w:rsid w:val="00463142"/>
    <w:rsid w:val="00467B7E"/>
    <w:rsid w:val="00473BB4"/>
    <w:rsid w:val="00477592"/>
    <w:rsid w:val="00486F1C"/>
    <w:rsid w:val="0049419D"/>
    <w:rsid w:val="004A01C1"/>
    <w:rsid w:val="004A6A54"/>
    <w:rsid w:val="004B11FB"/>
    <w:rsid w:val="004B421C"/>
    <w:rsid w:val="004C20D2"/>
    <w:rsid w:val="004C2312"/>
    <w:rsid w:val="004C4B62"/>
    <w:rsid w:val="004C54C9"/>
    <w:rsid w:val="004D4ABA"/>
    <w:rsid w:val="004D6025"/>
    <w:rsid w:val="004E0205"/>
    <w:rsid w:val="004E2649"/>
    <w:rsid w:val="004F626F"/>
    <w:rsid w:val="00501399"/>
    <w:rsid w:val="005047ED"/>
    <w:rsid w:val="0050633D"/>
    <w:rsid w:val="00507BC4"/>
    <w:rsid w:val="005128E4"/>
    <w:rsid w:val="005133DB"/>
    <w:rsid w:val="00514504"/>
    <w:rsid w:val="00521E1F"/>
    <w:rsid w:val="00525560"/>
    <w:rsid w:val="00544C49"/>
    <w:rsid w:val="005516A1"/>
    <w:rsid w:val="00553A71"/>
    <w:rsid w:val="005559EF"/>
    <w:rsid w:val="00556F2F"/>
    <w:rsid w:val="005618CC"/>
    <w:rsid w:val="00563557"/>
    <w:rsid w:val="0057225D"/>
    <w:rsid w:val="0057402A"/>
    <w:rsid w:val="005771D0"/>
    <w:rsid w:val="00582C48"/>
    <w:rsid w:val="0059191A"/>
    <w:rsid w:val="005921FF"/>
    <w:rsid w:val="005A24ED"/>
    <w:rsid w:val="005A6D0E"/>
    <w:rsid w:val="005B52B0"/>
    <w:rsid w:val="005B6806"/>
    <w:rsid w:val="005C4225"/>
    <w:rsid w:val="005D02E8"/>
    <w:rsid w:val="005F0DAD"/>
    <w:rsid w:val="005F0F33"/>
    <w:rsid w:val="00600DEB"/>
    <w:rsid w:val="00616084"/>
    <w:rsid w:val="00627B14"/>
    <w:rsid w:val="00627C9F"/>
    <w:rsid w:val="006311E9"/>
    <w:rsid w:val="00632354"/>
    <w:rsid w:val="00635421"/>
    <w:rsid w:val="00642810"/>
    <w:rsid w:val="00652333"/>
    <w:rsid w:val="00663674"/>
    <w:rsid w:val="0068009E"/>
    <w:rsid w:val="00692219"/>
    <w:rsid w:val="006A17D2"/>
    <w:rsid w:val="006A73E6"/>
    <w:rsid w:val="006B2D5C"/>
    <w:rsid w:val="006B6959"/>
    <w:rsid w:val="006C0ECF"/>
    <w:rsid w:val="006C4EB1"/>
    <w:rsid w:val="006E0166"/>
    <w:rsid w:val="006E2FFB"/>
    <w:rsid w:val="006E7B34"/>
    <w:rsid w:val="006F1145"/>
    <w:rsid w:val="0070697F"/>
    <w:rsid w:val="007103C4"/>
    <w:rsid w:val="0072199C"/>
    <w:rsid w:val="00722C9F"/>
    <w:rsid w:val="007253B8"/>
    <w:rsid w:val="0073741F"/>
    <w:rsid w:val="00763F2F"/>
    <w:rsid w:val="0076643F"/>
    <w:rsid w:val="00770044"/>
    <w:rsid w:val="00777F63"/>
    <w:rsid w:val="007A5817"/>
    <w:rsid w:val="007B05C4"/>
    <w:rsid w:val="007B60E9"/>
    <w:rsid w:val="007B6CC3"/>
    <w:rsid w:val="007B76D3"/>
    <w:rsid w:val="007C3334"/>
    <w:rsid w:val="007D2B98"/>
    <w:rsid w:val="007D3832"/>
    <w:rsid w:val="007E21BC"/>
    <w:rsid w:val="007E7C82"/>
    <w:rsid w:val="007F2AA1"/>
    <w:rsid w:val="007F588D"/>
    <w:rsid w:val="00803F1C"/>
    <w:rsid w:val="0080600E"/>
    <w:rsid w:val="0081043C"/>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1A36"/>
    <w:rsid w:val="008E3759"/>
    <w:rsid w:val="008E3BFE"/>
    <w:rsid w:val="008F1912"/>
    <w:rsid w:val="0090270B"/>
    <w:rsid w:val="009041DC"/>
    <w:rsid w:val="00917B5A"/>
    <w:rsid w:val="00920A58"/>
    <w:rsid w:val="00920A8C"/>
    <w:rsid w:val="00934A2C"/>
    <w:rsid w:val="009369BA"/>
    <w:rsid w:val="009440BD"/>
    <w:rsid w:val="0095570E"/>
    <w:rsid w:val="0096706E"/>
    <w:rsid w:val="00972FCE"/>
    <w:rsid w:val="00974491"/>
    <w:rsid w:val="00975C4E"/>
    <w:rsid w:val="00981FBA"/>
    <w:rsid w:val="00997BC5"/>
    <w:rsid w:val="009A4F41"/>
    <w:rsid w:val="009B381B"/>
    <w:rsid w:val="009D1753"/>
    <w:rsid w:val="009D7611"/>
    <w:rsid w:val="009E0B61"/>
    <w:rsid w:val="009E1F2A"/>
    <w:rsid w:val="009E4074"/>
    <w:rsid w:val="009E53DE"/>
    <w:rsid w:val="00A11212"/>
    <w:rsid w:val="00A11E44"/>
    <w:rsid w:val="00A30100"/>
    <w:rsid w:val="00A328B3"/>
    <w:rsid w:val="00A50FCF"/>
    <w:rsid w:val="00A528D1"/>
    <w:rsid w:val="00A610CD"/>
    <w:rsid w:val="00A758AA"/>
    <w:rsid w:val="00A9286C"/>
    <w:rsid w:val="00AA09A2"/>
    <w:rsid w:val="00AA7996"/>
    <w:rsid w:val="00AC19CB"/>
    <w:rsid w:val="00AE1E0D"/>
    <w:rsid w:val="00AE3EA0"/>
    <w:rsid w:val="00AE5488"/>
    <w:rsid w:val="00AE6F91"/>
    <w:rsid w:val="00AF5571"/>
    <w:rsid w:val="00AF5B20"/>
    <w:rsid w:val="00B01657"/>
    <w:rsid w:val="00B07341"/>
    <w:rsid w:val="00B16325"/>
    <w:rsid w:val="00B30539"/>
    <w:rsid w:val="00B314DB"/>
    <w:rsid w:val="00B361F2"/>
    <w:rsid w:val="00B3718B"/>
    <w:rsid w:val="00B3745F"/>
    <w:rsid w:val="00B4632A"/>
    <w:rsid w:val="00B530F1"/>
    <w:rsid w:val="00B93D7F"/>
    <w:rsid w:val="00B95147"/>
    <w:rsid w:val="00BA276C"/>
    <w:rsid w:val="00BB019D"/>
    <w:rsid w:val="00BB306F"/>
    <w:rsid w:val="00BD0FF5"/>
    <w:rsid w:val="00BD4B89"/>
    <w:rsid w:val="00BD5922"/>
    <w:rsid w:val="00BE1C13"/>
    <w:rsid w:val="00BF02CB"/>
    <w:rsid w:val="00BF32F3"/>
    <w:rsid w:val="00BF6C58"/>
    <w:rsid w:val="00BF6FD8"/>
    <w:rsid w:val="00BF743B"/>
    <w:rsid w:val="00C03680"/>
    <w:rsid w:val="00C054DF"/>
    <w:rsid w:val="00C21762"/>
    <w:rsid w:val="00C21FEF"/>
    <w:rsid w:val="00C23BA4"/>
    <w:rsid w:val="00C24543"/>
    <w:rsid w:val="00C256A2"/>
    <w:rsid w:val="00C25ADB"/>
    <w:rsid w:val="00C30503"/>
    <w:rsid w:val="00C51515"/>
    <w:rsid w:val="00C5660B"/>
    <w:rsid w:val="00C667E2"/>
    <w:rsid w:val="00C66B72"/>
    <w:rsid w:val="00C77936"/>
    <w:rsid w:val="00C83849"/>
    <w:rsid w:val="00C87AC4"/>
    <w:rsid w:val="00C9567A"/>
    <w:rsid w:val="00CB212D"/>
    <w:rsid w:val="00CB2660"/>
    <w:rsid w:val="00CC5E90"/>
    <w:rsid w:val="00CD046C"/>
    <w:rsid w:val="00CE076C"/>
    <w:rsid w:val="00CE5199"/>
    <w:rsid w:val="00CE66D5"/>
    <w:rsid w:val="00CF637A"/>
    <w:rsid w:val="00D01C38"/>
    <w:rsid w:val="00D02539"/>
    <w:rsid w:val="00D059DE"/>
    <w:rsid w:val="00D05ABD"/>
    <w:rsid w:val="00D13FCE"/>
    <w:rsid w:val="00D306D1"/>
    <w:rsid w:val="00D30800"/>
    <w:rsid w:val="00D34786"/>
    <w:rsid w:val="00D37BFC"/>
    <w:rsid w:val="00D47A8E"/>
    <w:rsid w:val="00D52D14"/>
    <w:rsid w:val="00D60F00"/>
    <w:rsid w:val="00D712D3"/>
    <w:rsid w:val="00D71422"/>
    <w:rsid w:val="00D72DC6"/>
    <w:rsid w:val="00D7558D"/>
    <w:rsid w:val="00D802F4"/>
    <w:rsid w:val="00D81D92"/>
    <w:rsid w:val="00D85918"/>
    <w:rsid w:val="00D876F9"/>
    <w:rsid w:val="00D92C33"/>
    <w:rsid w:val="00DA7B5F"/>
    <w:rsid w:val="00DC11E7"/>
    <w:rsid w:val="00DC24E3"/>
    <w:rsid w:val="00DC7023"/>
    <w:rsid w:val="00DC769A"/>
    <w:rsid w:val="00DD3D86"/>
    <w:rsid w:val="00DD4AD2"/>
    <w:rsid w:val="00DE2862"/>
    <w:rsid w:val="00DF1EC4"/>
    <w:rsid w:val="00E0340B"/>
    <w:rsid w:val="00E04A90"/>
    <w:rsid w:val="00E0551F"/>
    <w:rsid w:val="00E17A94"/>
    <w:rsid w:val="00E219C7"/>
    <w:rsid w:val="00E27F1B"/>
    <w:rsid w:val="00E4118C"/>
    <w:rsid w:val="00E43157"/>
    <w:rsid w:val="00E435E2"/>
    <w:rsid w:val="00E461CE"/>
    <w:rsid w:val="00E573E4"/>
    <w:rsid w:val="00E64742"/>
    <w:rsid w:val="00E64C3D"/>
    <w:rsid w:val="00E720CA"/>
    <w:rsid w:val="00E84EB5"/>
    <w:rsid w:val="00E85662"/>
    <w:rsid w:val="00E8789F"/>
    <w:rsid w:val="00E97B71"/>
    <w:rsid w:val="00EA123B"/>
    <w:rsid w:val="00EA3D34"/>
    <w:rsid w:val="00EB454D"/>
    <w:rsid w:val="00EC4D11"/>
    <w:rsid w:val="00ED549D"/>
    <w:rsid w:val="00ED5C98"/>
    <w:rsid w:val="00ED5E10"/>
    <w:rsid w:val="00ED76BE"/>
    <w:rsid w:val="00EE00E9"/>
    <w:rsid w:val="00EE5B10"/>
    <w:rsid w:val="00EF1AAA"/>
    <w:rsid w:val="00EF619B"/>
    <w:rsid w:val="00F00B55"/>
    <w:rsid w:val="00F02AD1"/>
    <w:rsid w:val="00F253CC"/>
    <w:rsid w:val="00F37106"/>
    <w:rsid w:val="00F44E25"/>
    <w:rsid w:val="00F519CF"/>
    <w:rsid w:val="00F56BA5"/>
    <w:rsid w:val="00F60E22"/>
    <w:rsid w:val="00F81395"/>
    <w:rsid w:val="00F81BB8"/>
    <w:rsid w:val="00F90C64"/>
    <w:rsid w:val="00F917D1"/>
    <w:rsid w:val="00F9653B"/>
    <w:rsid w:val="00F97366"/>
    <w:rsid w:val="00F9775D"/>
    <w:rsid w:val="00FA6EB8"/>
    <w:rsid w:val="00FB62CF"/>
    <w:rsid w:val="00FD3C3B"/>
    <w:rsid w:val="00FE07DD"/>
    <w:rsid w:val="00FE6B45"/>
    <w:rsid w:val="00FF531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1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4911"/>
    <w:rPr>
      <w:sz w:val="16"/>
      <w:szCs w:val="16"/>
    </w:rPr>
  </w:style>
  <w:style w:type="paragraph" w:styleId="CommentText">
    <w:name w:val="annotation text"/>
    <w:basedOn w:val="Normal"/>
    <w:link w:val="CommentTextChar"/>
    <w:uiPriority w:val="99"/>
    <w:semiHidden/>
    <w:unhideWhenUsed/>
    <w:rsid w:val="00064911"/>
    <w:rPr>
      <w:sz w:val="20"/>
      <w:szCs w:val="20"/>
    </w:rPr>
  </w:style>
  <w:style w:type="character" w:customStyle="1" w:styleId="CommentTextChar">
    <w:name w:val="Comment Text Char"/>
    <w:basedOn w:val="DefaultParagraphFont"/>
    <w:link w:val="CommentText"/>
    <w:uiPriority w:val="99"/>
    <w:semiHidden/>
    <w:rsid w:val="00064911"/>
    <w:rPr>
      <w:lang w:val="en-US" w:eastAsia="en-US"/>
    </w:rPr>
  </w:style>
  <w:style w:type="paragraph" w:styleId="CommentSubject">
    <w:name w:val="annotation subject"/>
    <w:basedOn w:val="CommentText"/>
    <w:next w:val="CommentText"/>
    <w:link w:val="CommentSubjectChar"/>
    <w:uiPriority w:val="99"/>
    <w:semiHidden/>
    <w:unhideWhenUsed/>
    <w:rsid w:val="00064911"/>
    <w:rPr>
      <w:b/>
      <w:bCs/>
    </w:rPr>
  </w:style>
  <w:style w:type="character" w:customStyle="1" w:styleId="CommentSubjectChar">
    <w:name w:val="Comment Subject Char"/>
    <w:basedOn w:val="CommentTextChar"/>
    <w:link w:val="CommentSubject"/>
    <w:uiPriority w:val="99"/>
    <w:semiHidden/>
    <w:rsid w:val="0006491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13A8"/>
    <w:rsid w:val="004F2DF8"/>
    <w:rsid w:val="004F5946"/>
    <w:rsid w:val="00517E2A"/>
    <w:rsid w:val="005F7BA5"/>
    <w:rsid w:val="00604296"/>
    <w:rsid w:val="00607E5C"/>
    <w:rsid w:val="006461CF"/>
    <w:rsid w:val="00651BA8"/>
    <w:rsid w:val="00657CC7"/>
    <w:rsid w:val="006F24A1"/>
    <w:rsid w:val="007661FA"/>
    <w:rsid w:val="00910D67"/>
    <w:rsid w:val="0095732C"/>
    <w:rsid w:val="009A261B"/>
    <w:rsid w:val="00A157CB"/>
    <w:rsid w:val="00AA2E17"/>
    <w:rsid w:val="00AC15A4"/>
    <w:rsid w:val="00B0336C"/>
    <w:rsid w:val="00B21BC3"/>
    <w:rsid w:val="00C52522"/>
    <w:rsid w:val="00D241E9"/>
    <w:rsid w:val="00D7750D"/>
    <w:rsid w:val="00DF3A4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B23E-D859-4F08-B331-AE29C8FC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2433</Words>
  <Characters>12434</Characters>
  <Application>Microsoft Office Word</Application>
  <DocSecurity>0</DocSecurity>
  <Lines>303</Lines>
  <Paragraphs>110</Paragraphs>
  <ScaleCrop>false</ScaleCrop>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192/21</dc:title>
  <dc:creator/>
  <cp:lastModifiedBy/>
  <cp:revision>1</cp:revision>
  <dcterms:created xsi:type="dcterms:W3CDTF">2021-09-21T19:07:00Z</dcterms:created>
  <dcterms:modified xsi:type="dcterms:W3CDTF">2021-09-23T13:23:00Z</dcterms:modified>
</cp:coreProperties>
</file>