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EC7E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1EBE4C7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017B9">
                              <w:rPr>
                                <w:rFonts w:asciiTheme="majorHAnsi" w:hAnsiTheme="majorHAnsi" w:cs="Arial"/>
                                <w:b/>
                                <w:bCs/>
                                <w:color w:val="0D0D0D" w:themeColor="text1" w:themeTint="F2"/>
                                <w:sz w:val="36"/>
                                <w:szCs w:val="22"/>
                                <w:lang w:val="es-ES_tradnl"/>
                              </w:rPr>
                              <w:t>371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7C2BB92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E00B4">
                              <w:rPr>
                                <w:rFonts w:asciiTheme="majorHAnsi" w:hAnsiTheme="majorHAnsi" w:cs="Arial"/>
                                <w:b/>
                                <w:color w:val="0D0D0D" w:themeColor="text1" w:themeTint="F2"/>
                                <w:sz w:val="36"/>
                                <w:szCs w:val="22"/>
                                <w:lang w:val="es-ES_tradnl"/>
                              </w:rPr>
                              <w:t>2011-12</w:t>
                            </w:r>
                            <w:r w:rsidR="00246D1F" w:rsidRPr="004E2649">
                              <w:rPr>
                                <w:rFonts w:asciiTheme="majorHAnsi" w:hAnsiTheme="majorHAnsi" w:cs="Arial"/>
                                <w:b/>
                                <w:color w:val="0D0D0D" w:themeColor="text1" w:themeTint="F2"/>
                                <w:sz w:val="36"/>
                                <w:szCs w:val="22"/>
                                <w:lang w:val="es-ES_tradnl"/>
                              </w:rPr>
                              <w:t xml:space="preserve"> </w:t>
                            </w:r>
                          </w:p>
                          <w:p w14:paraId="317F581C" w14:textId="346B263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978A39F" w:rsidR="005B52B0" w:rsidRPr="0010736F" w:rsidRDefault="00EE00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ALEXANDER BUSTAMANTE GOEZ Y OTROS</w:t>
                            </w:r>
                          </w:p>
                          <w:bookmarkEnd w:id="0"/>
                          <w:p w14:paraId="0409BA94" w14:textId="3404AC0A" w:rsidR="005B52B0" w:rsidRPr="0010736F" w:rsidRDefault="00EE00B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1EBE4C7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017B9">
                        <w:rPr>
                          <w:rFonts w:asciiTheme="majorHAnsi" w:hAnsiTheme="majorHAnsi" w:cs="Arial"/>
                          <w:b/>
                          <w:bCs/>
                          <w:color w:val="0D0D0D" w:themeColor="text1" w:themeTint="F2"/>
                          <w:sz w:val="36"/>
                          <w:szCs w:val="22"/>
                          <w:lang w:val="es-ES_tradnl"/>
                        </w:rPr>
                        <w:t>371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7C2BB92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E00B4">
                        <w:rPr>
                          <w:rFonts w:asciiTheme="majorHAnsi" w:hAnsiTheme="majorHAnsi" w:cs="Arial"/>
                          <w:b/>
                          <w:color w:val="0D0D0D" w:themeColor="text1" w:themeTint="F2"/>
                          <w:sz w:val="36"/>
                          <w:szCs w:val="22"/>
                          <w:lang w:val="es-ES_tradnl"/>
                        </w:rPr>
                        <w:t>2011-12</w:t>
                      </w:r>
                      <w:r w:rsidR="00246D1F" w:rsidRPr="004E2649">
                        <w:rPr>
                          <w:rFonts w:asciiTheme="majorHAnsi" w:hAnsiTheme="majorHAnsi" w:cs="Arial"/>
                          <w:b/>
                          <w:color w:val="0D0D0D" w:themeColor="text1" w:themeTint="F2"/>
                          <w:sz w:val="36"/>
                          <w:szCs w:val="22"/>
                          <w:lang w:val="es-ES_tradnl"/>
                        </w:rPr>
                        <w:t xml:space="preserve"> </w:t>
                      </w:r>
                    </w:p>
                    <w:p w14:paraId="317F581C" w14:textId="346B263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978A39F" w:rsidR="005B52B0" w:rsidRPr="0010736F" w:rsidRDefault="00EE00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ALEXANDER BUSTAMANTE GOEZ Y OTROS</w:t>
                      </w:r>
                    </w:p>
                    <w:bookmarkEnd w:id="1"/>
                    <w:p w14:paraId="0409BA94" w14:textId="3404AC0A" w:rsidR="005B52B0" w:rsidRPr="0010736F" w:rsidRDefault="00EE00B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5957F74" w:rsidR="00627C9F" w:rsidRPr="002017B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2017B9">
                              <w:rPr>
                                <w:rFonts w:asciiTheme="minorHAnsi" w:hAnsiTheme="minorHAnsi"/>
                                <w:color w:val="FFFFFF" w:themeColor="background1"/>
                                <w:sz w:val="22"/>
                                <w:lang w:val="pt-BR"/>
                              </w:rPr>
                              <w:t>V/II</w:t>
                            </w:r>
                          </w:p>
                          <w:p w14:paraId="28E8B0DD" w14:textId="0470B60B" w:rsidR="00627C9F" w:rsidRPr="002017B9" w:rsidRDefault="00627C9F" w:rsidP="007A5817">
                            <w:pPr>
                              <w:spacing w:line="276" w:lineRule="auto"/>
                              <w:jc w:val="right"/>
                              <w:rPr>
                                <w:rFonts w:asciiTheme="minorHAnsi" w:hAnsiTheme="minorHAnsi"/>
                                <w:color w:val="FFFFFF" w:themeColor="background1"/>
                                <w:sz w:val="22"/>
                                <w:lang w:val="pt-BR"/>
                              </w:rPr>
                            </w:pPr>
                            <w:r w:rsidRPr="002017B9">
                              <w:rPr>
                                <w:rFonts w:asciiTheme="minorHAnsi" w:hAnsiTheme="minorHAnsi"/>
                                <w:color w:val="FFFFFF" w:themeColor="background1"/>
                                <w:sz w:val="22"/>
                                <w:lang w:val="pt-BR"/>
                              </w:rPr>
                              <w:t xml:space="preserve">Doc. </w:t>
                            </w:r>
                            <w:r w:rsidR="002017B9">
                              <w:rPr>
                                <w:rFonts w:asciiTheme="minorHAnsi" w:hAnsiTheme="minorHAnsi"/>
                                <w:color w:val="FFFFFF" w:themeColor="background1"/>
                                <w:sz w:val="22"/>
                                <w:lang w:val="pt-BR"/>
                              </w:rPr>
                              <w:t>381</w:t>
                            </w:r>
                          </w:p>
                          <w:p w14:paraId="01D5CFED" w14:textId="597C500D" w:rsidR="00627C9F" w:rsidRPr="00C25ADB" w:rsidRDefault="002017B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2017B9">
                              <w:rPr>
                                <w:rFonts w:asciiTheme="minorHAnsi" w:hAnsiTheme="minorHAnsi"/>
                                <w:color w:val="FFFFFF" w:themeColor="background1"/>
                                <w:sz w:val="22"/>
                                <w:lang w:val="es-PA"/>
                              </w:rPr>
                              <w:t xml:space="preserve"> 20</w:t>
                            </w:r>
                            <w:r w:rsidR="00C23BA4" w:rsidRPr="002017B9">
                              <w:rPr>
                                <w:rFonts w:asciiTheme="minorHAnsi" w:hAnsiTheme="minorHAnsi"/>
                                <w:color w:val="FFFFFF" w:themeColor="background1"/>
                                <w:sz w:val="22"/>
                                <w:lang w:val="es-PA"/>
                              </w:rPr>
                              <w:t>2</w:t>
                            </w:r>
                            <w:r w:rsidR="00AD265D" w:rsidRPr="002017B9">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45957F74" w:rsidR="00627C9F" w:rsidRPr="002017B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2017B9">
                        <w:rPr>
                          <w:rFonts w:asciiTheme="minorHAnsi" w:hAnsiTheme="minorHAnsi"/>
                          <w:color w:val="FFFFFF" w:themeColor="background1"/>
                          <w:sz w:val="22"/>
                          <w:lang w:val="pt-BR"/>
                        </w:rPr>
                        <w:t>V/II</w:t>
                      </w:r>
                    </w:p>
                    <w:p w14:paraId="28E8B0DD" w14:textId="0470B60B" w:rsidR="00627C9F" w:rsidRPr="002017B9" w:rsidRDefault="00627C9F" w:rsidP="007A5817">
                      <w:pPr>
                        <w:spacing w:line="276" w:lineRule="auto"/>
                        <w:jc w:val="right"/>
                        <w:rPr>
                          <w:rFonts w:asciiTheme="minorHAnsi" w:hAnsiTheme="minorHAnsi"/>
                          <w:color w:val="FFFFFF" w:themeColor="background1"/>
                          <w:sz w:val="22"/>
                          <w:lang w:val="pt-BR"/>
                        </w:rPr>
                      </w:pPr>
                      <w:r w:rsidRPr="002017B9">
                        <w:rPr>
                          <w:rFonts w:asciiTheme="minorHAnsi" w:hAnsiTheme="minorHAnsi"/>
                          <w:color w:val="FFFFFF" w:themeColor="background1"/>
                          <w:sz w:val="22"/>
                          <w:lang w:val="pt-BR"/>
                        </w:rPr>
                        <w:t xml:space="preserve">Doc. </w:t>
                      </w:r>
                      <w:r w:rsidR="002017B9">
                        <w:rPr>
                          <w:rFonts w:asciiTheme="minorHAnsi" w:hAnsiTheme="minorHAnsi"/>
                          <w:color w:val="FFFFFF" w:themeColor="background1"/>
                          <w:sz w:val="22"/>
                          <w:lang w:val="pt-BR"/>
                        </w:rPr>
                        <w:t>381</w:t>
                      </w:r>
                    </w:p>
                    <w:p w14:paraId="01D5CFED" w14:textId="597C500D" w:rsidR="00627C9F" w:rsidRPr="00C25ADB" w:rsidRDefault="002017B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2017B9">
                        <w:rPr>
                          <w:rFonts w:asciiTheme="minorHAnsi" w:hAnsiTheme="minorHAnsi"/>
                          <w:color w:val="FFFFFF" w:themeColor="background1"/>
                          <w:sz w:val="22"/>
                          <w:lang w:val="es-PA"/>
                        </w:rPr>
                        <w:t xml:space="preserve"> 20</w:t>
                      </w:r>
                      <w:r w:rsidR="00C23BA4" w:rsidRPr="002017B9">
                        <w:rPr>
                          <w:rFonts w:asciiTheme="minorHAnsi" w:hAnsiTheme="minorHAnsi"/>
                          <w:color w:val="FFFFFF" w:themeColor="background1"/>
                          <w:sz w:val="22"/>
                          <w:lang w:val="es-PA"/>
                        </w:rPr>
                        <w:t>2</w:t>
                      </w:r>
                      <w:r w:rsidR="00AD265D" w:rsidRPr="002017B9">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26D0973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2017B9">
                              <w:rPr>
                                <w:rFonts w:asciiTheme="majorHAnsi" w:hAnsiTheme="majorHAnsi"/>
                                <w:color w:val="0D0D0D" w:themeColor="text1" w:themeTint="F2"/>
                                <w:sz w:val="18"/>
                                <w:szCs w:val="22"/>
                                <w:lang w:val="es-ES"/>
                              </w:rPr>
                              <w:t xml:space="preserve">Aprobado </w:t>
                            </w:r>
                            <w:proofErr w:type="spellStart"/>
                            <w:r w:rsidRPr="002017B9">
                              <w:rPr>
                                <w:rFonts w:asciiTheme="majorHAnsi" w:hAnsiTheme="majorHAnsi"/>
                                <w:color w:val="0D0D0D" w:themeColor="text1" w:themeTint="F2"/>
                                <w:sz w:val="18"/>
                                <w:szCs w:val="22"/>
                                <w:lang w:val="es-ES"/>
                              </w:rPr>
                              <w:t>electr</w:t>
                            </w:r>
                            <w:r w:rsidRPr="002017B9">
                              <w:rPr>
                                <w:rFonts w:asciiTheme="majorHAnsi" w:hAnsiTheme="majorHAnsi"/>
                                <w:color w:val="0D0D0D" w:themeColor="text1" w:themeTint="F2"/>
                                <w:sz w:val="18"/>
                                <w:szCs w:val="22"/>
                                <w:lang w:val="es-ES_tradnl"/>
                              </w:rPr>
                              <w:t>ónicamente</w:t>
                            </w:r>
                            <w:proofErr w:type="spellEnd"/>
                            <w:r w:rsidRPr="002017B9">
                              <w:rPr>
                                <w:rFonts w:asciiTheme="majorHAnsi" w:hAnsiTheme="majorHAnsi"/>
                                <w:color w:val="0D0D0D" w:themeColor="text1" w:themeTint="F2"/>
                                <w:sz w:val="18"/>
                                <w:szCs w:val="22"/>
                                <w:lang w:val="es-ES"/>
                              </w:rPr>
                              <w:t xml:space="preserve"> por la Comisión el </w:t>
                            </w:r>
                            <w:r w:rsidR="002017B9">
                              <w:rPr>
                                <w:rFonts w:asciiTheme="majorHAnsi" w:hAnsiTheme="majorHAnsi"/>
                                <w:color w:val="0D0D0D" w:themeColor="text1" w:themeTint="F2"/>
                                <w:sz w:val="18"/>
                                <w:szCs w:val="22"/>
                                <w:lang w:val="es-ES"/>
                              </w:rPr>
                              <w:t>29</w:t>
                            </w:r>
                            <w:r w:rsidRPr="002017B9">
                              <w:rPr>
                                <w:rFonts w:asciiTheme="majorHAnsi" w:hAnsiTheme="majorHAnsi"/>
                                <w:color w:val="0D0D0D" w:themeColor="text1" w:themeTint="F2"/>
                                <w:sz w:val="18"/>
                                <w:szCs w:val="22"/>
                                <w:lang w:val="es-ES"/>
                              </w:rPr>
                              <w:t xml:space="preserve"> de </w:t>
                            </w:r>
                            <w:r w:rsidR="002017B9">
                              <w:rPr>
                                <w:rFonts w:asciiTheme="majorHAnsi" w:hAnsiTheme="majorHAnsi"/>
                                <w:color w:val="0D0D0D" w:themeColor="text1" w:themeTint="F2"/>
                                <w:sz w:val="18"/>
                                <w:szCs w:val="22"/>
                                <w:lang w:val="es-ES"/>
                              </w:rPr>
                              <w:t>noviembre</w:t>
                            </w:r>
                            <w:r w:rsidR="00F81BB8" w:rsidRPr="002017B9">
                              <w:rPr>
                                <w:rFonts w:asciiTheme="majorHAnsi" w:hAnsiTheme="majorHAnsi"/>
                                <w:color w:val="0D0D0D" w:themeColor="text1" w:themeTint="F2"/>
                                <w:sz w:val="18"/>
                                <w:szCs w:val="22"/>
                                <w:lang w:val="es-ES"/>
                              </w:rPr>
                              <w:t xml:space="preserve"> </w:t>
                            </w:r>
                            <w:r w:rsidRPr="002017B9">
                              <w:rPr>
                                <w:rFonts w:asciiTheme="majorHAnsi" w:hAnsiTheme="majorHAnsi"/>
                                <w:color w:val="0D0D0D" w:themeColor="text1" w:themeTint="F2"/>
                                <w:sz w:val="18"/>
                                <w:szCs w:val="22"/>
                                <w:lang w:val="es-ES"/>
                              </w:rPr>
                              <w:t>de 20</w:t>
                            </w:r>
                            <w:r w:rsidR="00C23BA4" w:rsidRPr="002017B9">
                              <w:rPr>
                                <w:rFonts w:asciiTheme="majorHAnsi" w:hAnsiTheme="majorHAnsi"/>
                                <w:color w:val="0D0D0D" w:themeColor="text1" w:themeTint="F2"/>
                                <w:sz w:val="18"/>
                                <w:szCs w:val="22"/>
                                <w:lang w:val="es-ES"/>
                              </w:rPr>
                              <w:t>2</w:t>
                            </w:r>
                            <w:r w:rsidR="00AD265D" w:rsidRPr="002017B9">
                              <w:rPr>
                                <w:rFonts w:asciiTheme="majorHAnsi" w:hAnsiTheme="majorHAnsi"/>
                                <w:color w:val="0D0D0D" w:themeColor="text1" w:themeTint="F2"/>
                                <w:sz w:val="18"/>
                                <w:szCs w:val="22"/>
                                <w:lang w:val="es-ES"/>
                              </w:rPr>
                              <w:t>1</w:t>
                            </w:r>
                            <w:r w:rsidR="003E2A5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26D0973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2017B9">
                        <w:rPr>
                          <w:rFonts w:asciiTheme="majorHAnsi" w:hAnsiTheme="majorHAnsi"/>
                          <w:color w:val="0D0D0D" w:themeColor="text1" w:themeTint="F2"/>
                          <w:sz w:val="18"/>
                          <w:szCs w:val="22"/>
                          <w:lang w:val="es-ES"/>
                        </w:rPr>
                        <w:t xml:space="preserve">Aprobado </w:t>
                      </w:r>
                      <w:proofErr w:type="spellStart"/>
                      <w:r w:rsidRPr="002017B9">
                        <w:rPr>
                          <w:rFonts w:asciiTheme="majorHAnsi" w:hAnsiTheme="majorHAnsi"/>
                          <w:color w:val="0D0D0D" w:themeColor="text1" w:themeTint="F2"/>
                          <w:sz w:val="18"/>
                          <w:szCs w:val="22"/>
                          <w:lang w:val="es-ES"/>
                        </w:rPr>
                        <w:t>electr</w:t>
                      </w:r>
                      <w:r w:rsidRPr="002017B9">
                        <w:rPr>
                          <w:rFonts w:asciiTheme="majorHAnsi" w:hAnsiTheme="majorHAnsi"/>
                          <w:color w:val="0D0D0D" w:themeColor="text1" w:themeTint="F2"/>
                          <w:sz w:val="18"/>
                          <w:szCs w:val="22"/>
                          <w:lang w:val="es-ES_tradnl"/>
                        </w:rPr>
                        <w:t>ónicamente</w:t>
                      </w:r>
                      <w:proofErr w:type="spellEnd"/>
                      <w:r w:rsidRPr="002017B9">
                        <w:rPr>
                          <w:rFonts w:asciiTheme="majorHAnsi" w:hAnsiTheme="majorHAnsi"/>
                          <w:color w:val="0D0D0D" w:themeColor="text1" w:themeTint="F2"/>
                          <w:sz w:val="18"/>
                          <w:szCs w:val="22"/>
                          <w:lang w:val="es-ES"/>
                        </w:rPr>
                        <w:t xml:space="preserve"> por la Comisión el </w:t>
                      </w:r>
                      <w:r w:rsidR="002017B9">
                        <w:rPr>
                          <w:rFonts w:asciiTheme="majorHAnsi" w:hAnsiTheme="majorHAnsi"/>
                          <w:color w:val="0D0D0D" w:themeColor="text1" w:themeTint="F2"/>
                          <w:sz w:val="18"/>
                          <w:szCs w:val="22"/>
                          <w:lang w:val="es-ES"/>
                        </w:rPr>
                        <w:t>29</w:t>
                      </w:r>
                      <w:r w:rsidRPr="002017B9">
                        <w:rPr>
                          <w:rFonts w:asciiTheme="majorHAnsi" w:hAnsiTheme="majorHAnsi"/>
                          <w:color w:val="0D0D0D" w:themeColor="text1" w:themeTint="F2"/>
                          <w:sz w:val="18"/>
                          <w:szCs w:val="22"/>
                          <w:lang w:val="es-ES"/>
                        </w:rPr>
                        <w:t xml:space="preserve"> de </w:t>
                      </w:r>
                      <w:r w:rsidR="002017B9">
                        <w:rPr>
                          <w:rFonts w:asciiTheme="majorHAnsi" w:hAnsiTheme="majorHAnsi"/>
                          <w:color w:val="0D0D0D" w:themeColor="text1" w:themeTint="F2"/>
                          <w:sz w:val="18"/>
                          <w:szCs w:val="22"/>
                          <w:lang w:val="es-ES"/>
                        </w:rPr>
                        <w:t>noviembre</w:t>
                      </w:r>
                      <w:r w:rsidR="00F81BB8" w:rsidRPr="002017B9">
                        <w:rPr>
                          <w:rFonts w:asciiTheme="majorHAnsi" w:hAnsiTheme="majorHAnsi"/>
                          <w:color w:val="0D0D0D" w:themeColor="text1" w:themeTint="F2"/>
                          <w:sz w:val="18"/>
                          <w:szCs w:val="22"/>
                          <w:lang w:val="es-ES"/>
                        </w:rPr>
                        <w:t xml:space="preserve"> </w:t>
                      </w:r>
                      <w:r w:rsidRPr="002017B9">
                        <w:rPr>
                          <w:rFonts w:asciiTheme="majorHAnsi" w:hAnsiTheme="majorHAnsi"/>
                          <w:color w:val="0D0D0D" w:themeColor="text1" w:themeTint="F2"/>
                          <w:sz w:val="18"/>
                          <w:szCs w:val="22"/>
                          <w:lang w:val="es-ES"/>
                        </w:rPr>
                        <w:t>de 20</w:t>
                      </w:r>
                      <w:r w:rsidR="00C23BA4" w:rsidRPr="002017B9">
                        <w:rPr>
                          <w:rFonts w:asciiTheme="majorHAnsi" w:hAnsiTheme="majorHAnsi"/>
                          <w:color w:val="0D0D0D" w:themeColor="text1" w:themeTint="F2"/>
                          <w:sz w:val="18"/>
                          <w:szCs w:val="22"/>
                          <w:lang w:val="es-ES"/>
                        </w:rPr>
                        <w:t>2</w:t>
                      </w:r>
                      <w:r w:rsidR="00AD265D" w:rsidRPr="002017B9">
                        <w:rPr>
                          <w:rFonts w:asciiTheme="majorHAnsi" w:hAnsiTheme="majorHAnsi"/>
                          <w:color w:val="0D0D0D" w:themeColor="text1" w:themeTint="F2"/>
                          <w:sz w:val="18"/>
                          <w:szCs w:val="22"/>
                          <w:lang w:val="es-ES"/>
                        </w:rPr>
                        <w:t>1</w:t>
                      </w:r>
                      <w:r w:rsidR="003E2A5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2B46051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2017B9">
                              <w:rPr>
                                <w:rFonts w:asciiTheme="majorHAnsi" w:hAnsiTheme="majorHAnsi"/>
                                <w:color w:val="595959" w:themeColor="text1" w:themeTint="A6"/>
                                <w:sz w:val="18"/>
                                <w:szCs w:val="18"/>
                                <w:lang w:val="pt-BR"/>
                              </w:rPr>
                              <w:t xml:space="preserve">. </w:t>
                            </w:r>
                            <w:r w:rsidR="002017B9" w:rsidRPr="002017B9">
                              <w:rPr>
                                <w:rFonts w:asciiTheme="majorHAnsi" w:hAnsiTheme="majorHAnsi"/>
                                <w:color w:val="595959" w:themeColor="text1" w:themeTint="A6"/>
                                <w:sz w:val="18"/>
                                <w:szCs w:val="18"/>
                                <w:lang w:val="pt-BR"/>
                              </w:rPr>
                              <w:t>371</w:t>
                            </w:r>
                            <w:r w:rsidR="007B05C4" w:rsidRPr="002017B9">
                              <w:rPr>
                                <w:rFonts w:asciiTheme="majorHAnsi" w:hAnsiTheme="majorHAnsi"/>
                                <w:color w:val="595959" w:themeColor="text1" w:themeTint="A6"/>
                                <w:sz w:val="18"/>
                                <w:szCs w:val="18"/>
                                <w:lang w:val="pt-BR"/>
                              </w:rPr>
                              <w:t>/</w:t>
                            </w:r>
                            <w:r w:rsidR="002017B9" w:rsidRPr="002017B9">
                              <w:rPr>
                                <w:rFonts w:asciiTheme="majorHAnsi" w:hAnsiTheme="majorHAnsi"/>
                                <w:color w:val="595959" w:themeColor="text1" w:themeTint="A6"/>
                                <w:sz w:val="18"/>
                                <w:szCs w:val="18"/>
                                <w:lang w:val="pt-BR"/>
                              </w:rPr>
                              <w:t>21</w:t>
                            </w:r>
                            <w:r w:rsidRPr="002017B9">
                              <w:rPr>
                                <w:rFonts w:asciiTheme="majorHAnsi" w:hAnsiTheme="majorHAnsi"/>
                                <w:color w:val="595959" w:themeColor="text1" w:themeTint="A6"/>
                                <w:sz w:val="18"/>
                                <w:szCs w:val="18"/>
                                <w:lang w:val="pt-BR"/>
                              </w:rPr>
                              <w:t xml:space="preserve">. </w:t>
                            </w:r>
                            <w:proofErr w:type="spellStart"/>
                            <w:r w:rsidR="000433C9" w:rsidRPr="002017B9">
                              <w:rPr>
                                <w:rFonts w:asciiTheme="majorHAnsi" w:hAnsiTheme="majorHAnsi"/>
                                <w:color w:val="595959" w:themeColor="text1" w:themeTint="A6"/>
                                <w:sz w:val="18"/>
                                <w:szCs w:val="18"/>
                                <w:lang w:val="es-ES_tradnl"/>
                              </w:rPr>
                              <w:t>Petici</w:t>
                            </w:r>
                            <w:r w:rsidR="000433C9" w:rsidRPr="002017B9">
                              <w:rPr>
                                <w:rFonts w:asciiTheme="majorHAnsi" w:hAnsiTheme="majorHAnsi"/>
                                <w:color w:val="595959" w:themeColor="text1" w:themeTint="A6"/>
                                <w:sz w:val="18"/>
                                <w:szCs w:val="18"/>
                                <w:lang w:val="es-ES"/>
                              </w:rPr>
                              <w:t>ón</w:t>
                            </w:r>
                            <w:proofErr w:type="spellEnd"/>
                            <w:r w:rsidR="000433C9" w:rsidRPr="002017B9">
                              <w:rPr>
                                <w:rFonts w:asciiTheme="majorHAnsi" w:hAnsiTheme="majorHAnsi"/>
                                <w:color w:val="595959" w:themeColor="text1" w:themeTint="A6"/>
                                <w:sz w:val="18"/>
                                <w:szCs w:val="18"/>
                                <w:lang w:val="es-ES"/>
                              </w:rPr>
                              <w:t xml:space="preserve"> </w:t>
                            </w:r>
                            <w:r w:rsidR="00EE00B4" w:rsidRPr="002017B9">
                              <w:rPr>
                                <w:rFonts w:asciiTheme="majorHAnsi" w:hAnsiTheme="majorHAnsi"/>
                                <w:color w:val="595959" w:themeColor="text1" w:themeTint="A6"/>
                                <w:sz w:val="18"/>
                                <w:szCs w:val="18"/>
                                <w:lang w:val="es-ES"/>
                              </w:rPr>
                              <w:t>2011-12</w:t>
                            </w:r>
                            <w:r w:rsidR="000433C9" w:rsidRPr="002017B9">
                              <w:rPr>
                                <w:rFonts w:asciiTheme="majorHAnsi" w:hAnsiTheme="majorHAnsi"/>
                                <w:color w:val="595959" w:themeColor="text1" w:themeTint="A6"/>
                                <w:sz w:val="18"/>
                                <w:szCs w:val="18"/>
                                <w:lang w:val="es-ES"/>
                              </w:rPr>
                              <w:t xml:space="preserve">. </w:t>
                            </w:r>
                            <w:r w:rsidRPr="002017B9">
                              <w:rPr>
                                <w:rFonts w:asciiTheme="majorHAnsi" w:hAnsiTheme="majorHAnsi"/>
                                <w:color w:val="595959" w:themeColor="text1" w:themeTint="A6"/>
                                <w:sz w:val="18"/>
                                <w:szCs w:val="18"/>
                                <w:lang w:val="es-ES_tradnl"/>
                              </w:rPr>
                              <w:t xml:space="preserve">Admisibilidad. </w:t>
                            </w:r>
                            <w:r w:rsidR="00BB6A9A" w:rsidRPr="002017B9">
                              <w:rPr>
                                <w:rFonts w:asciiTheme="majorHAnsi" w:hAnsiTheme="majorHAnsi"/>
                                <w:color w:val="595959" w:themeColor="text1" w:themeTint="A6"/>
                                <w:sz w:val="18"/>
                                <w:szCs w:val="18"/>
                                <w:lang w:val="es-ES_tradnl"/>
                              </w:rPr>
                              <w:t>Jorge Alexander Bustamante Goez y otros</w:t>
                            </w:r>
                            <w:r w:rsidRPr="002017B9">
                              <w:rPr>
                                <w:rFonts w:asciiTheme="majorHAnsi" w:hAnsiTheme="majorHAnsi"/>
                                <w:color w:val="595959" w:themeColor="text1" w:themeTint="A6"/>
                                <w:sz w:val="18"/>
                                <w:szCs w:val="18"/>
                                <w:lang w:val="es-ES_tradnl"/>
                              </w:rPr>
                              <w:t xml:space="preserve">. </w:t>
                            </w:r>
                            <w:r w:rsidR="00BB6A9A" w:rsidRPr="002017B9">
                              <w:rPr>
                                <w:rFonts w:asciiTheme="majorHAnsi" w:hAnsiTheme="majorHAnsi"/>
                                <w:color w:val="595959" w:themeColor="text1" w:themeTint="A6"/>
                                <w:sz w:val="18"/>
                                <w:szCs w:val="18"/>
                                <w:lang w:val="es-ES_tradnl"/>
                              </w:rPr>
                              <w:t>Colombia</w:t>
                            </w:r>
                            <w:r w:rsidRPr="002017B9">
                              <w:rPr>
                                <w:rFonts w:asciiTheme="majorHAnsi" w:hAnsiTheme="majorHAnsi"/>
                                <w:color w:val="595959" w:themeColor="text1" w:themeTint="A6"/>
                                <w:sz w:val="18"/>
                                <w:szCs w:val="18"/>
                                <w:lang w:val="es-ES_tradnl"/>
                              </w:rPr>
                              <w:t xml:space="preserve">. </w:t>
                            </w:r>
                            <w:r w:rsidR="002017B9">
                              <w:rPr>
                                <w:rFonts w:asciiTheme="majorHAnsi" w:hAnsiTheme="majorHAnsi"/>
                                <w:color w:val="595959" w:themeColor="text1" w:themeTint="A6"/>
                                <w:sz w:val="18"/>
                                <w:szCs w:val="18"/>
                                <w:lang w:val="es-ES"/>
                              </w:rPr>
                              <w:t>29 d</w:t>
                            </w:r>
                            <w:r w:rsidR="001E4F8C">
                              <w:rPr>
                                <w:rFonts w:asciiTheme="majorHAnsi" w:hAnsiTheme="majorHAnsi"/>
                                <w:color w:val="595959" w:themeColor="text1" w:themeTint="A6"/>
                                <w:sz w:val="18"/>
                                <w:szCs w:val="18"/>
                                <w:lang w:val="es-ES"/>
                              </w:rPr>
                              <w:t>e</w:t>
                            </w:r>
                            <w:r w:rsidR="002017B9">
                              <w:rPr>
                                <w:rFonts w:asciiTheme="majorHAnsi" w:hAnsiTheme="majorHAnsi"/>
                                <w:color w:val="595959" w:themeColor="text1" w:themeTint="A6"/>
                                <w:sz w:val="18"/>
                                <w:szCs w:val="18"/>
                                <w:lang w:val="es-ES"/>
                              </w:rPr>
                              <w:t xml:space="preserve"> noviembre de 2021</w:t>
                            </w:r>
                            <w:r w:rsidRPr="002017B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2B46051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2017B9">
                        <w:rPr>
                          <w:rFonts w:asciiTheme="majorHAnsi" w:hAnsiTheme="majorHAnsi"/>
                          <w:color w:val="595959" w:themeColor="text1" w:themeTint="A6"/>
                          <w:sz w:val="18"/>
                          <w:szCs w:val="18"/>
                          <w:lang w:val="pt-BR"/>
                        </w:rPr>
                        <w:t xml:space="preserve">. </w:t>
                      </w:r>
                      <w:r w:rsidR="002017B9" w:rsidRPr="002017B9">
                        <w:rPr>
                          <w:rFonts w:asciiTheme="majorHAnsi" w:hAnsiTheme="majorHAnsi"/>
                          <w:color w:val="595959" w:themeColor="text1" w:themeTint="A6"/>
                          <w:sz w:val="18"/>
                          <w:szCs w:val="18"/>
                          <w:lang w:val="pt-BR"/>
                        </w:rPr>
                        <w:t>371</w:t>
                      </w:r>
                      <w:r w:rsidR="007B05C4" w:rsidRPr="002017B9">
                        <w:rPr>
                          <w:rFonts w:asciiTheme="majorHAnsi" w:hAnsiTheme="majorHAnsi"/>
                          <w:color w:val="595959" w:themeColor="text1" w:themeTint="A6"/>
                          <w:sz w:val="18"/>
                          <w:szCs w:val="18"/>
                          <w:lang w:val="pt-BR"/>
                        </w:rPr>
                        <w:t>/</w:t>
                      </w:r>
                      <w:r w:rsidR="002017B9" w:rsidRPr="002017B9">
                        <w:rPr>
                          <w:rFonts w:asciiTheme="majorHAnsi" w:hAnsiTheme="majorHAnsi"/>
                          <w:color w:val="595959" w:themeColor="text1" w:themeTint="A6"/>
                          <w:sz w:val="18"/>
                          <w:szCs w:val="18"/>
                          <w:lang w:val="pt-BR"/>
                        </w:rPr>
                        <w:t>21</w:t>
                      </w:r>
                      <w:r w:rsidRPr="002017B9">
                        <w:rPr>
                          <w:rFonts w:asciiTheme="majorHAnsi" w:hAnsiTheme="majorHAnsi"/>
                          <w:color w:val="595959" w:themeColor="text1" w:themeTint="A6"/>
                          <w:sz w:val="18"/>
                          <w:szCs w:val="18"/>
                          <w:lang w:val="pt-BR"/>
                        </w:rPr>
                        <w:t xml:space="preserve">. </w:t>
                      </w:r>
                      <w:proofErr w:type="spellStart"/>
                      <w:r w:rsidR="000433C9" w:rsidRPr="002017B9">
                        <w:rPr>
                          <w:rFonts w:asciiTheme="majorHAnsi" w:hAnsiTheme="majorHAnsi"/>
                          <w:color w:val="595959" w:themeColor="text1" w:themeTint="A6"/>
                          <w:sz w:val="18"/>
                          <w:szCs w:val="18"/>
                          <w:lang w:val="es-ES_tradnl"/>
                        </w:rPr>
                        <w:t>Petici</w:t>
                      </w:r>
                      <w:r w:rsidR="000433C9" w:rsidRPr="002017B9">
                        <w:rPr>
                          <w:rFonts w:asciiTheme="majorHAnsi" w:hAnsiTheme="majorHAnsi"/>
                          <w:color w:val="595959" w:themeColor="text1" w:themeTint="A6"/>
                          <w:sz w:val="18"/>
                          <w:szCs w:val="18"/>
                          <w:lang w:val="es-ES"/>
                        </w:rPr>
                        <w:t>ón</w:t>
                      </w:r>
                      <w:proofErr w:type="spellEnd"/>
                      <w:r w:rsidR="000433C9" w:rsidRPr="002017B9">
                        <w:rPr>
                          <w:rFonts w:asciiTheme="majorHAnsi" w:hAnsiTheme="majorHAnsi"/>
                          <w:color w:val="595959" w:themeColor="text1" w:themeTint="A6"/>
                          <w:sz w:val="18"/>
                          <w:szCs w:val="18"/>
                          <w:lang w:val="es-ES"/>
                        </w:rPr>
                        <w:t xml:space="preserve"> </w:t>
                      </w:r>
                      <w:r w:rsidR="00EE00B4" w:rsidRPr="002017B9">
                        <w:rPr>
                          <w:rFonts w:asciiTheme="majorHAnsi" w:hAnsiTheme="majorHAnsi"/>
                          <w:color w:val="595959" w:themeColor="text1" w:themeTint="A6"/>
                          <w:sz w:val="18"/>
                          <w:szCs w:val="18"/>
                          <w:lang w:val="es-ES"/>
                        </w:rPr>
                        <w:t>2011-12</w:t>
                      </w:r>
                      <w:r w:rsidR="000433C9" w:rsidRPr="002017B9">
                        <w:rPr>
                          <w:rFonts w:asciiTheme="majorHAnsi" w:hAnsiTheme="majorHAnsi"/>
                          <w:color w:val="595959" w:themeColor="text1" w:themeTint="A6"/>
                          <w:sz w:val="18"/>
                          <w:szCs w:val="18"/>
                          <w:lang w:val="es-ES"/>
                        </w:rPr>
                        <w:t xml:space="preserve">. </w:t>
                      </w:r>
                      <w:r w:rsidRPr="002017B9">
                        <w:rPr>
                          <w:rFonts w:asciiTheme="majorHAnsi" w:hAnsiTheme="majorHAnsi"/>
                          <w:color w:val="595959" w:themeColor="text1" w:themeTint="A6"/>
                          <w:sz w:val="18"/>
                          <w:szCs w:val="18"/>
                          <w:lang w:val="es-ES_tradnl"/>
                        </w:rPr>
                        <w:t xml:space="preserve">Admisibilidad. </w:t>
                      </w:r>
                      <w:r w:rsidR="00BB6A9A" w:rsidRPr="002017B9">
                        <w:rPr>
                          <w:rFonts w:asciiTheme="majorHAnsi" w:hAnsiTheme="majorHAnsi"/>
                          <w:color w:val="595959" w:themeColor="text1" w:themeTint="A6"/>
                          <w:sz w:val="18"/>
                          <w:szCs w:val="18"/>
                          <w:lang w:val="es-ES_tradnl"/>
                        </w:rPr>
                        <w:t>Jorge Alexander Bustamante Goez y otros</w:t>
                      </w:r>
                      <w:r w:rsidRPr="002017B9">
                        <w:rPr>
                          <w:rFonts w:asciiTheme="majorHAnsi" w:hAnsiTheme="majorHAnsi"/>
                          <w:color w:val="595959" w:themeColor="text1" w:themeTint="A6"/>
                          <w:sz w:val="18"/>
                          <w:szCs w:val="18"/>
                          <w:lang w:val="es-ES_tradnl"/>
                        </w:rPr>
                        <w:t xml:space="preserve">. </w:t>
                      </w:r>
                      <w:r w:rsidR="00BB6A9A" w:rsidRPr="002017B9">
                        <w:rPr>
                          <w:rFonts w:asciiTheme="majorHAnsi" w:hAnsiTheme="majorHAnsi"/>
                          <w:color w:val="595959" w:themeColor="text1" w:themeTint="A6"/>
                          <w:sz w:val="18"/>
                          <w:szCs w:val="18"/>
                          <w:lang w:val="es-ES_tradnl"/>
                        </w:rPr>
                        <w:t>Colombia</w:t>
                      </w:r>
                      <w:r w:rsidRPr="002017B9">
                        <w:rPr>
                          <w:rFonts w:asciiTheme="majorHAnsi" w:hAnsiTheme="majorHAnsi"/>
                          <w:color w:val="595959" w:themeColor="text1" w:themeTint="A6"/>
                          <w:sz w:val="18"/>
                          <w:szCs w:val="18"/>
                          <w:lang w:val="es-ES_tradnl"/>
                        </w:rPr>
                        <w:t xml:space="preserve">. </w:t>
                      </w:r>
                      <w:r w:rsidR="002017B9">
                        <w:rPr>
                          <w:rFonts w:asciiTheme="majorHAnsi" w:hAnsiTheme="majorHAnsi"/>
                          <w:color w:val="595959" w:themeColor="text1" w:themeTint="A6"/>
                          <w:sz w:val="18"/>
                          <w:szCs w:val="18"/>
                          <w:lang w:val="es-ES"/>
                        </w:rPr>
                        <w:t>29 d</w:t>
                      </w:r>
                      <w:r w:rsidR="001E4F8C">
                        <w:rPr>
                          <w:rFonts w:asciiTheme="majorHAnsi" w:hAnsiTheme="majorHAnsi"/>
                          <w:color w:val="595959" w:themeColor="text1" w:themeTint="A6"/>
                          <w:sz w:val="18"/>
                          <w:szCs w:val="18"/>
                          <w:lang w:val="es-ES"/>
                        </w:rPr>
                        <w:t>e</w:t>
                      </w:r>
                      <w:r w:rsidR="002017B9">
                        <w:rPr>
                          <w:rFonts w:asciiTheme="majorHAnsi" w:hAnsiTheme="majorHAnsi"/>
                          <w:color w:val="595959" w:themeColor="text1" w:themeTint="A6"/>
                          <w:sz w:val="18"/>
                          <w:szCs w:val="18"/>
                          <w:lang w:val="es-ES"/>
                        </w:rPr>
                        <w:t xml:space="preserve"> noviembre de 2021</w:t>
                      </w:r>
                      <w:r w:rsidRPr="002017B9">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3CBE230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2DB7C4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6551EC1A" w:rsidR="0070697F" w:rsidRDefault="002017B9"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395EC4A2">
                <wp:simplePos x="0" y="0"/>
                <wp:positionH relativeFrom="column">
                  <wp:posOffset>1329690</wp:posOffset>
                </wp:positionH>
                <wp:positionV relativeFrom="paragraph">
                  <wp:posOffset>575673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629D0E60" w:rsidR="00D72DC6" w:rsidRPr="00D72DC6" w:rsidRDefault="002017B9" w:rsidP="00F02AD1">
                            <w:pPr>
                              <w:rPr>
                                <w:color w:val="FFFFFF" w:themeColor="background1"/>
                                <w14:textFill>
                                  <w14:noFill/>
                                </w14:textFill>
                              </w:rPr>
                            </w:pPr>
                            <w:r>
                              <w:rPr>
                                <w:noProof/>
                                <w:color w:val="FFFFFF" w:themeColor="background1"/>
                              </w:rPr>
                              <w:drawing>
                                <wp:inline distT="0" distB="0" distL="0" distR="0" wp14:anchorId="3E3D5CE8" wp14:editId="5321F69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5.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" fillcolor="white [3201]" stroked="f" strokeweight=".5pt">
                <v:textbox>
                  <w:txbxContent>
                    <w:p w14:paraId="2786CDA1" w14:textId="629D0E60" w:rsidR="00D72DC6" w:rsidRPr="00D72DC6" w:rsidRDefault="002017B9" w:rsidP="00F02AD1">
                      <w:pPr>
                        <w:rPr>
                          <w:color w:val="FFFFFF" w:themeColor="background1"/>
                          <w14:textFill>
                            <w14:noFill/>
                          </w14:textFill>
                        </w:rPr>
                      </w:pPr>
                      <w:r>
                        <w:rPr>
                          <w:noProof/>
                          <w:color w:val="FFFFFF" w:themeColor="background1"/>
                        </w:rPr>
                        <w:drawing>
                          <wp:inline distT="0" distB="0" distL="0" distR="0" wp14:anchorId="3E3D5CE8" wp14:editId="5321F69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18F378FB" w:rsidR="003239B8" w:rsidRPr="000D05CB" w:rsidRDefault="00BB6A9A" w:rsidP="008D2290">
            <w:pPr>
              <w:jc w:val="both"/>
              <w:rPr>
                <w:rFonts w:ascii="Cambria" w:hAnsi="Cambria"/>
                <w:bCs/>
                <w:sz w:val="20"/>
                <w:szCs w:val="20"/>
              </w:rPr>
            </w:pPr>
            <w:r>
              <w:rPr>
                <w:rFonts w:ascii="Cambria" w:hAnsi="Cambria"/>
                <w:bCs/>
                <w:sz w:val="20"/>
                <w:szCs w:val="20"/>
              </w:rPr>
              <w:t>Claudia Patricia Marín Gómez</w:t>
            </w:r>
          </w:p>
        </w:tc>
      </w:tr>
      <w:tr w:rsidR="003239B8" w:rsidRPr="003E2A5C"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6B178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5BBCAE5E" w:rsidR="003239B8" w:rsidRPr="000D05CB" w:rsidRDefault="00BB6A9A" w:rsidP="008D2290">
            <w:pPr>
              <w:jc w:val="both"/>
              <w:rPr>
                <w:rFonts w:ascii="Cambria" w:hAnsi="Cambria"/>
                <w:bCs/>
                <w:sz w:val="20"/>
                <w:szCs w:val="20"/>
                <w:lang w:val="es-ES"/>
              </w:rPr>
            </w:pPr>
            <w:r>
              <w:rPr>
                <w:rFonts w:ascii="Cambria" w:hAnsi="Cambria"/>
                <w:bCs/>
                <w:sz w:val="20"/>
                <w:szCs w:val="20"/>
                <w:lang w:val="es-ES"/>
              </w:rPr>
              <w:t xml:space="preserve">Jorge Alexander Bustamante Goez, Juan David Vargas </w:t>
            </w:r>
            <w:proofErr w:type="spellStart"/>
            <w:r>
              <w:rPr>
                <w:rFonts w:ascii="Cambria" w:hAnsi="Cambria"/>
                <w:bCs/>
                <w:sz w:val="20"/>
                <w:szCs w:val="20"/>
                <w:lang w:val="es-ES"/>
              </w:rPr>
              <w:t>Pemberty</w:t>
            </w:r>
            <w:proofErr w:type="spellEnd"/>
            <w:r>
              <w:rPr>
                <w:rFonts w:ascii="Cambria" w:hAnsi="Cambria"/>
                <w:bCs/>
                <w:sz w:val="20"/>
                <w:szCs w:val="20"/>
                <w:lang w:val="es-ES"/>
              </w:rPr>
              <w:t>, Luis Fernando Cardona, y sus respectivos familiares</w:t>
            </w:r>
            <w:r w:rsidR="00D26A9F">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583DDC4C" w:rsidR="003239B8" w:rsidRPr="000D05CB" w:rsidRDefault="00BB6A9A" w:rsidP="008D2290">
            <w:pPr>
              <w:jc w:val="both"/>
              <w:rPr>
                <w:rFonts w:ascii="Cambria" w:hAnsi="Cambria"/>
                <w:bCs/>
                <w:sz w:val="20"/>
                <w:szCs w:val="20"/>
              </w:rPr>
            </w:pPr>
            <w:r>
              <w:rPr>
                <w:rFonts w:ascii="Cambria" w:hAnsi="Cambria"/>
                <w:bCs/>
                <w:sz w:val="20"/>
                <w:szCs w:val="20"/>
              </w:rPr>
              <w:t>Colombia</w:t>
            </w:r>
          </w:p>
        </w:tc>
      </w:tr>
      <w:tr w:rsidR="00223A29" w:rsidRPr="003E2A5C"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5FE72457" w:rsidR="00223A29" w:rsidRPr="00EA1FEE" w:rsidRDefault="00EA1FEE" w:rsidP="008D2290">
            <w:pPr>
              <w:jc w:val="both"/>
              <w:rPr>
                <w:rFonts w:ascii="Cambria" w:hAnsi="Cambria"/>
                <w:bCs/>
                <w:sz w:val="20"/>
                <w:szCs w:val="20"/>
                <w:lang w:val="es-CO"/>
              </w:rPr>
            </w:pPr>
            <w:r w:rsidRPr="00EA1FEE">
              <w:rPr>
                <w:rFonts w:ascii="Cambria" w:hAnsi="Cambria"/>
                <w:bCs/>
                <w:sz w:val="20"/>
                <w:szCs w:val="20"/>
                <w:lang w:val="es-CO"/>
              </w:rPr>
              <w:t>Artículos</w:t>
            </w:r>
            <w:r>
              <w:rPr>
                <w:rFonts w:ascii="Cambria" w:hAnsi="Cambria"/>
                <w:bCs/>
                <w:sz w:val="20"/>
                <w:szCs w:val="20"/>
                <w:lang w:val="es-CO"/>
              </w:rPr>
              <w:t xml:space="preserve"> 4 </w:t>
            </w:r>
            <w:r w:rsidR="002E1936">
              <w:rPr>
                <w:rFonts w:ascii="Cambria" w:hAnsi="Cambria"/>
                <w:bCs/>
                <w:sz w:val="20"/>
                <w:szCs w:val="20"/>
                <w:lang w:val="es-CO"/>
              </w:rPr>
              <w:t>(</w:t>
            </w:r>
            <w:r>
              <w:rPr>
                <w:rFonts w:ascii="Cambria" w:hAnsi="Cambria"/>
                <w:bCs/>
                <w:sz w:val="20"/>
                <w:szCs w:val="20"/>
                <w:lang w:val="es-CO"/>
              </w:rPr>
              <w:t>vida), 5 (integridad personal) y 25 (protección judicial) de la Convención Americana sobre Derechos Humanos</w:t>
            </w:r>
            <w:r>
              <w:rPr>
                <w:rStyle w:val="FootnoteReference"/>
                <w:rFonts w:ascii="Cambria" w:hAnsi="Cambria"/>
                <w:bCs/>
                <w:sz w:val="20"/>
                <w:szCs w:val="20"/>
                <w:lang w:val="es-CO"/>
              </w:rPr>
              <w:footnoteReference w:id="3"/>
            </w:r>
            <w:r w:rsidR="002E1936">
              <w:rPr>
                <w:rFonts w:ascii="Cambria" w:hAnsi="Cambria"/>
                <w:bCs/>
                <w:sz w:val="20"/>
                <w:szCs w:val="20"/>
                <w:lang w:val="es-CO"/>
              </w:rPr>
              <w:t xml:space="preserve">, en relación con sus artículos </w:t>
            </w:r>
            <w:r w:rsidR="002E1936" w:rsidRPr="00EA1FEE">
              <w:rPr>
                <w:rFonts w:ascii="Cambria" w:hAnsi="Cambria"/>
                <w:bCs/>
                <w:sz w:val="20"/>
                <w:szCs w:val="20"/>
                <w:lang w:val="es-CO"/>
              </w:rPr>
              <w:t>1.1 (obligación de respetar l</w:t>
            </w:r>
            <w:r w:rsidR="002E1936">
              <w:rPr>
                <w:rFonts w:ascii="Cambria" w:hAnsi="Cambria"/>
                <w:bCs/>
                <w:sz w:val="20"/>
                <w:szCs w:val="20"/>
                <w:lang w:val="es-CO"/>
              </w:rPr>
              <w:t>os derechos) y 2 (deber de adoptar disposiciones de derecho interno)</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14E5C9DD" w:rsidR="004C2312" w:rsidRPr="003239B8" w:rsidRDefault="00611BBF" w:rsidP="002625EA">
            <w:pPr>
              <w:jc w:val="both"/>
              <w:rPr>
                <w:rFonts w:ascii="Cambria" w:hAnsi="Cambria"/>
                <w:bCs/>
                <w:sz w:val="20"/>
                <w:szCs w:val="20"/>
                <w:lang w:val="es-ES"/>
              </w:rPr>
            </w:pPr>
            <w:r>
              <w:rPr>
                <w:rFonts w:ascii="Cambria" w:hAnsi="Cambria"/>
                <w:bCs/>
                <w:sz w:val="20"/>
                <w:szCs w:val="20"/>
                <w:lang w:val="es-ES"/>
              </w:rPr>
              <w:t>3 de noviembre de 2012</w:t>
            </w:r>
          </w:p>
        </w:tc>
      </w:tr>
      <w:tr w:rsidR="00131425" w:rsidRPr="003E2A5C"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2404A218" w:rsidR="00131425" w:rsidRPr="003239B8" w:rsidRDefault="00611BBF" w:rsidP="002625EA">
            <w:pPr>
              <w:jc w:val="both"/>
              <w:rPr>
                <w:rFonts w:ascii="Cambria" w:hAnsi="Cambria"/>
                <w:bCs/>
                <w:sz w:val="20"/>
                <w:szCs w:val="20"/>
                <w:lang w:val="es-ES"/>
              </w:rPr>
            </w:pPr>
            <w:r>
              <w:rPr>
                <w:rFonts w:ascii="Cambria" w:hAnsi="Cambria"/>
                <w:bCs/>
                <w:sz w:val="20"/>
                <w:szCs w:val="20"/>
                <w:lang w:val="es-ES"/>
              </w:rPr>
              <w:t>30 de septiembre de 2013</w:t>
            </w:r>
            <w:r w:rsidR="00137897">
              <w:rPr>
                <w:rFonts w:ascii="Cambria" w:hAnsi="Cambria"/>
                <w:bCs/>
                <w:sz w:val="20"/>
                <w:szCs w:val="20"/>
                <w:lang w:val="es-ES"/>
              </w:rPr>
              <w:t xml:space="preserve"> y</w:t>
            </w:r>
            <w:r w:rsidR="00CA6017">
              <w:rPr>
                <w:rFonts w:ascii="Cambria" w:hAnsi="Cambria"/>
                <w:bCs/>
                <w:sz w:val="20"/>
                <w:szCs w:val="20"/>
                <w:lang w:val="es-ES"/>
              </w:rPr>
              <w:t xml:space="preserve"> 10 de mayo de 2017</w:t>
            </w:r>
          </w:p>
        </w:tc>
      </w:tr>
      <w:tr w:rsidR="004C2312" w:rsidRPr="00EE00B4"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0C42B9C7" w:rsidR="004C2312" w:rsidRPr="003239B8" w:rsidRDefault="00CA6017" w:rsidP="008D2290">
            <w:pPr>
              <w:jc w:val="both"/>
              <w:rPr>
                <w:rFonts w:ascii="Cambria" w:hAnsi="Cambria"/>
                <w:bCs/>
                <w:sz w:val="20"/>
                <w:szCs w:val="20"/>
                <w:lang w:val="es-ES"/>
              </w:rPr>
            </w:pPr>
            <w:r>
              <w:rPr>
                <w:rFonts w:ascii="Cambria" w:hAnsi="Cambria"/>
                <w:bCs/>
                <w:sz w:val="20"/>
                <w:szCs w:val="20"/>
                <w:lang w:val="es-ES"/>
              </w:rPr>
              <w:t>25 de julio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383109B7" w:rsidR="004C2312" w:rsidRPr="003239B8" w:rsidRDefault="001F6838" w:rsidP="008D2290">
            <w:pPr>
              <w:jc w:val="both"/>
              <w:rPr>
                <w:rFonts w:ascii="Cambria" w:hAnsi="Cambria"/>
                <w:bCs/>
                <w:sz w:val="20"/>
                <w:szCs w:val="20"/>
                <w:lang w:val="es-ES"/>
              </w:rPr>
            </w:pPr>
            <w:r>
              <w:rPr>
                <w:rFonts w:ascii="Cambria" w:hAnsi="Cambria"/>
                <w:bCs/>
                <w:sz w:val="20"/>
                <w:szCs w:val="20"/>
                <w:lang w:val="es-ES"/>
              </w:rPr>
              <w:t>1</w:t>
            </w:r>
            <w:r w:rsidR="005C6E4E">
              <w:rPr>
                <w:rFonts w:ascii="Cambria" w:hAnsi="Cambria"/>
                <w:bCs/>
                <w:sz w:val="20"/>
                <w:szCs w:val="20"/>
                <w:lang w:val="es-ES"/>
              </w:rPr>
              <w:t>8</w:t>
            </w:r>
            <w:r>
              <w:rPr>
                <w:rFonts w:ascii="Cambria" w:hAnsi="Cambria"/>
                <w:bCs/>
                <w:sz w:val="20"/>
                <w:szCs w:val="20"/>
                <w:lang w:val="es-ES"/>
              </w:rPr>
              <w:t xml:space="preserve"> de diciembre de 2019</w:t>
            </w:r>
          </w:p>
        </w:tc>
      </w:tr>
      <w:tr w:rsidR="004C2312" w:rsidRPr="00EE00B4"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19C7E22C" w:rsidR="004C2312" w:rsidRPr="003239B8" w:rsidRDefault="005C6E4E" w:rsidP="008D2290">
            <w:pPr>
              <w:jc w:val="both"/>
              <w:rPr>
                <w:rFonts w:ascii="Cambria" w:hAnsi="Cambria"/>
                <w:bCs/>
                <w:sz w:val="20"/>
                <w:szCs w:val="20"/>
                <w:lang w:val="es-ES"/>
              </w:rPr>
            </w:pPr>
            <w:r>
              <w:rPr>
                <w:rFonts w:ascii="Cambria" w:hAnsi="Cambria"/>
                <w:bCs/>
                <w:sz w:val="20"/>
                <w:szCs w:val="20"/>
                <w:lang w:val="es-ES"/>
              </w:rPr>
              <w:t>17 de octubre de 2020</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77178D10" w:rsidR="004C2312" w:rsidRPr="009111EC" w:rsidRDefault="005C6E4E" w:rsidP="008D2290">
            <w:pPr>
              <w:jc w:val="both"/>
              <w:rPr>
                <w:rFonts w:ascii="Cambria" w:hAnsi="Cambria"/>
                <w:bCs/>
                <w:sz w:val="20"/>
                <w:szCs w:val="20"/>
              </w:rPr>
            </w:pPr>
            <w:r>
              <w:rPr>
                <w:rFonts w:ascii="Cambria" w:hAnsi="Cambria"/>
                <w:bCs/>
                <w:sz w:val="20"/>
                <w:szCs w:val="20"/>
              </w:rPr>
              <w:t>12 de mayo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500FB1D2" w:rsidR="003239B8" w:rsidRPr="00B3745F" w:rsidRDefault="005C6E4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105C1AE5" w:rsidR="003239B8" w:rsidRPr="00B3745F" w:rsidRDefault="005C6E4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348EA1B3" w:rsidR="003239B8" w:rsidRPr="00B3745F" w:rsidRDefault="005C6E4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3E2A5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6151A39B" w:rsidR="003239B8" w:rsidRPr="00B3745F" w:rsidRDefault="00BB6A9A"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090C088B" w14:textId="6366EF6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5A3285">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E00B4"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FBAE009" w:rsidR="00EE00E9" w:rsidRPr="00DC24E3" w:rsidRDefault="005A3285" w:rsidP="008D2290">
            <w:pPr>
              <w:jc w:val="both"/>
              <w:rPr>
                <w:rFonts w:ascii="Cambria" w:hAnsi="Cambria"/>
                <w:bCs/>
                <w:sz w:val="20"/>
                <w:szCs w:val="20"/>
                <w:lang w:val="es-ES"/>
              </w:rPr>
            </w:pPr>
            <w:r>
              <w:rPr>
                <w:rFonts w:ascii="Cambria" w:hAnsi="Cambria"/>
                <w:bCs/>
                <w:sz w:val="20"/>
                <w:szCs w:val="20"/>
                <w:lang w:val="es-ES"/>
              </w:rPr>
              <w:t>No</w:t>
            </w:r>
          </w:p>
        </w:tc>
      </w:tr>
      <w:tr w:rsidR="003239B8" w:rsidRPr="003E2A5C"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59A3A5C0" w:rsidR="003239B8" w:rsidRPr="005A3285" w:rsidRDefault="005A3285" w:rsidP="008D2290">
            <w:pPr>
              <w:jc w:val="both"/>
              <w:rPr>
                <w:rFonts w:ascii="Cambria" w:hAnsi="Cambria"/>
                <w:bCs/>
                <w:sz w:val="20"/>
                <w:szCs w:val="20"/>
                <w:lang w:val="es-CO"/>
              </w:rPr>
            </w:pPr>
            <w:r w:rsidRPr="005A3285">
              <w:rPr>
                <w:rFonts w:ascii="Cambria" w:hAnsi="Cambria"/>
                <w:bCs/>
                <w:sz w:val="20"/>
                <w:szCs w:val="20"/>
                <w:lang w:val="es-CO"/>
              </w:rPr>
              <w:t>Artículos 4 (vida), 5 (integridad personal), 8 (g</w:t>
            </w:r>
            <w:r>
              <w:rPr>
                <w:rFonts w:ascii="Cambria" w:hAnsi="Cambria"/>
                <w:bCs/>
                <w:sz w:val="20"/>
                <w:szCs w:val="20"/>
                <w:lang w:val="es-CO"/>
              </w:rPr>
              <w:t xml:space="preserve">arantías judiciales) y 25 (protección judicial) de la Convención Americana, en relación con su artículo 1.1 (obligación de respetar los derechos) </w:t>
            </w:r>
          </w:p>
        </w:tc>
      </w:tr>
      <w:tr w:rsidR="003239B8" w:rsidRPr="003E2A5C"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12909578" w:rsidR="003239B8" w:rsidRPr="00DC24E3" w:rsidRDefault="005A3285" w:rsidP="005A3285">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w:t>
            </w:r>
          </w:p>
        </w:tc>
      </w:tr>
      <w:tr w:rsidR="003239B8" w:rsidRPr="003E2A5C"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4921918D" w:rsidR="003239B8" w:rsidRPr="005A3285" w:rsidRDefault="005A3285" w:rsidP="008D2290">
            <w:pPr>
              <w:rPr>
                <w:rFonts w:ascii="Cambria" w:hAnsi="Cambria"/>
                <w:bCs/>
                <w:sz w:val="20"/>
                <w:szCs w:val="20"/>
                <w:lang w:val="es-CO"/>
              </w:rPr>
            </w:pPr>
            <w:r w:rsidRPr="005A3285">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02451E" w:rsidRDefault="00223A29" w:rsidP="003239B8">
      <w:pPr>
        <w:spacing w:before="240" w:after="240"/>
        <w:ind w:firstLine="720"/>
        <w:jc w:val="both"/>
        <w:rPr>
          <w:rFonts w:asciiTheme="majorHAnsi" w:hAnsiTheme="majorHAnsi"/>
          <w:b/>
          <w:sz w:val="20"/>
          <w:szCs w:val="20"/>
          <w:lang w:val="es-ES_tradnl"/>
        </w:rPr>
      </w:pPr>
      <w:r w:rsidRPr="0002451E">
        <w:rPr>
          <w:rFonts w:asciiTheme="majorHAnsi" w:hAnsiTheme="majorHAnsi"/>
          <w:b/>
          <w:sz w:val="20"/>
          <w:szCs w:val="20"/>
          <w:lang w:val="es-ES_tradnl"/>
        </w:rPr>
        <w:t xml:space="preserve">V. </w:t>
      </w:r>
      <w:r w:rsidRPr="0002451E">
        <w:rPr>
          <w:rFonts w:asciiTheme="majorHAnsi" w:hAnsiTheme="majorHAnsi"/>
          <w:b/>
          <w:sz w:val="20"/>
          <w:szCs w:val="20"/>
          <w:lang w:val="es-ES_tradnl"/>
        </w:rPr>
        <w:tab/>
      </w:r>
      <w:r w:rsidR="003239B8" w:rsidRPr="0002451E">
        <w:rPr>
          <w:rFonts w:asciiTheme="majorHAnsi" w:hAnsiTheme="majorHAnsi"/>
          <w:b/>
          <w:sz w:val="20"/>
          <w:szCs w:val="20"/>
          <w:lang w:val="es-ES_tradnl"/>
        </w:rPr>
        <w:t xml:space="preserve">HECHOS ALEGADOS </w:t>
      </w:r>
    </w:p>
    <w:p w14:paraId="36D4AAD2" w14:textId="29634621" w:rsidR="00E0177C" w:rsidRPr="0002451E" w:rsidRDefault="005A3285" w:rsidP="005A32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 xml:space="preserve">1. </w:t>
      </w:r>
      <w:r w:rsidR="007971A4" w:rsidRPr="0002451E">
        <w:rPr>
          <w:rFonts w:ascii="Cambria" w:hAnsi="Cambria"/>
          <w:sz w:val="20"/>
          <w:szCs w:val="20"/>
          <w:lang w:val="es-ES_tradnl"/>
        </w:rPr>
        <w:tab/>
      </w:r>
      <w:r w:rsidR="00D26A9F" w:rsidRPr="0002451E">
        <w:rPr>
          <w:rFonts w:ascii="Cambria" w:hAnsi="Cambria"/>
          <w:sz w:val="20"/>
          <w:szCs w:val="20"/>
          <w:lang w:val="es-ES_tradnl"/>
        </w:rPr>
        <w:t>La parte peticionaria invoca la responsabilidad internacional del Estado colombiano por la muerte de los señores Jorge Alexander Bustamante Góez, Juan David Vargas Pemberty y Luis Fernando Cardona, quienes recibieron disparos en el curso de las confrontaciones armadas que se produjeron en los barrios de la Comuna 13 de Medellín como resultado de un operativo desplegado por la Fuerza Pública para capturar a miembros de grupos delincuenciales.</w:t>
      </w:r>
      <w:r w:rsidR="00E0177C" w:rsidRPr="0002451E">
        <w:rPr>
          <w:rFonts w:ascii="Cambria" w:hAnsi="Cambria"/>
          <w:sz w:val="20"/>
          <w:szCs w:val="20"/>
          <w:lang w:val="es-ES_tradnl"/>
        </w:rPr>
        <w:t xml:space="preserve"> </w:t>
      </w:r>
    </w:p>
    <w:p w14:paraId="0261EA35" w14:textId="77777777" w:rsidR="00F91DC4" w:rsidRPr="0002451E" w:rsidRDefault="005A3285" w:rsidP="00207B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 xml:space="preserve">2. </w:t>
      </w:r>
      <w:r w:rsidR="001E0D3E" w:rsidRPr="0002451E">
        <w:rPr>
          <w:rFonts w:ascii="Cambria" w:hAnsi="Cambria"/>
          <w:sz w:val="20"/>
          <w:szCs w:val="20"/>
          <w:lang w:val="es-ES_tradnl"/>
        </w:rPr>
        <w:tab/>
      </w:r>
      <w:r w:rsidR="00E0177C" w:rsidRPr="0002451E">
        <w:rPr>
          <w:rFonts w:ascii="Cambria" w:hAnsi="Cambria"/>
          <w:sz w:val="20"/>
          <w:szCs w:val="20"/>
          <w:lang w:val="es-ES_tradnl"/>
        </w:rPr>
        <w:t>La petición informa que el 21 de mayo de 2002, agentes de la Policía Metropolitana de Medellín y del Ejército Nacional, con presencia de representantes de otras entidades estatales</w:t>
      </w:r>
      <w:r w:rsidR="000F07E8" w:rsidRPr="0002451E">
        <w:rPr>
          <w:rFonts w:ascii="Cambria" w:hAnsi="Cambria"/>
          <w:sz w:val="20"/>
          <w:szCs w:val="20"/>
          <w:lang w:val="es-ES_tradnl"/>
        </w:rPr>
        <w:t>, como</w:t>
      </w:r>
      <w:r w:rsidR="00611BBF" w:rsidRPr="0002451E">
        <w:rPr>
          <w:rFonts w:ascii="Cambria" w:hAnsi="Cambria"/>
          <w:sz w:val="20"/>
          <w:szCs w:val="20"/>
          <w:lang w:val="es-ES_tradnl"/>
        </w:rPr>
        <w:t xml:space="preserve"> la Fiscalía General de la Nación y el Departamento Administrativo de Seguridad</w:t>
      </w:r>
      <w:r w:rsidR="00E0177C" w:rsidRPr="0002451E">
        <w:rPr>
          <w:rFonts w:ascii="Cambria" w:hAnsi="Cambria"/>
          <w:sz w:val="20"/>
          <w:szCs w:val="20"/>
          <w:lang w:val="es-ES_tradnl"/>
        </w:rPr>
        <w:t>, iniciaron en la madrugada la así llamada “Operación Mariscal” en los barrios 20 de Julio, Belencito Corazón, El Salado y La Independencia, dentro de la Comuna 13 de Medellín</w:t>
      </w:r>
      <w:r w:rsidR="000F07E8" w:rsidRPr="0002451E">
        <w:rPr>
          <w:rFonts w:ascii="Cambria" w:hAnsi="Cambria"/>
          <w:sz w:val="20"/>
          <w:szCs w:val="20"/>
          <w:lang w:val="es-ES_tradnl"/>
        </w:rPr>
        <w:t>,</w:t>
      </w:r>
      <w:r w:rsidR="00E0177C" w:rsidRPr="0002451E">
        <w:rPr>
          <w:rFonts w:ascii="Cambria" w:hAnsi="Cambria"/>
          <w:sz w:val="20"/>
          <w:szCs w:val="20"/>
          <w:lang w:val="es-ES_tradnl"/>
        </w:rPr>
        <w:t xml:space="preserve"> </w:t>
      </w:r>
      <w:r w:rsidR="000F07E8" w:rsidRPr="0002451E">
        <w:rPr>
          <w:rFonts w:ascii="Cambria" w:hAnsi="Cambria"/>
          <w:sz w:val="20"/>
          <w:szCs w:val="20"/>
          <w:lang w:val="es-ES_tradnl"/>
        </w:rPr>
        <w:t xml:space="preserve">un </w:t>
      </w:r>
      <w:r w:rsidR="00E0177C" w:rsidRPr="0002451E">
        <w:rPr>
          <w:rFonts w:ascii="Cambria" w:hAnsi="Cambria"/>
          <w:sz w:val="20"/>
          <w:szCs w:val="20"/>
          <w:lang w:val="es-ES_tradnl"/>
        </w:rPr>
        <w:t>sector urbano de alta densidad demográfica y con altos niveles de pobreza. La operación estaba respaldada por una Orden Fragmentaria de</w:t>
      </w:r>
      <w:r w:rsidR="00611BBF" w:rsidRPr="0002451E">
        <w:rPr>
          <w:rFonts w:ascii="Cambria" w:hAnsi="Cambria"/>
          <w:sz w:val="20"/>
          <w:szCs w:val="20"/>
          <w:lang w:val="es-ES_tradnl"/>
        </w:rPr>
        <w:t>l Comando de la Cuarta Brigada del Ejército Nacional</w:t>
      </w:r>
      <w:r w:rsidR="00E0177C" w:rsidRPr="0002451E">
        <w:rPr>
          <w:rFonts w:ascii="Cambria" w:hAnsi="Cambria"/>
          <w:sz w:val="20"/>
          <w:szCs w:val="20"/>
          <w:lang w:val="es-ES_tradnl"/>
        </w:rPr>
        <w:t>, y no contaba con autorización judicial previa. Se dirigía a adelantar operaciones de registro y control militar contra las guerrillas de las FARC y el ELN, así como bandas de delincuencia común y autodefensas que hacían presencia y delinquían en los cuatro barrios mencionados; igualmente se pretendía liberar a personas secuestradas que estaban presuntamente siendo retenidas en la zona</w:t>
      </w:r>
      <w:r w:rsidR="00137897" w:rsidRPr="0002451E">
        <w:rPr>
          <w:rFonts w:ascii="Cambria" w:hAnsi="Cambria"/>
          <w:sz w:val="20"/>
          <w:szCs w:val="20"/>
          <w:lang w:val="es-ES_tradnl"/>
        </w:rPr>
        <w:t>,</w:t>
      </w:r>
      <w:r w:rsidR="00853904" w:rsidRPr="0002451E">
        <w:rPr>
          <w:rFonts w:ascii="Cambria" w:hAnsi="Cambria"/>
          <w:sz w:val="20"/>
          <w:szCs w:val="20"/>
          <w:lang w:val="es-ES_tradnl"/>
        </w:rPr>
        <w:t xml:space="preserve"> y realizar capturas de los criminales</w:t>
      </w:r>
      <w:r w:rsidR="00E0177C" w:rsidRPr="0002451E">
        <w:rPr>
          <w:rFonts w:ascii="Cambria" w:hAnsi="Cambria"/>
          <w:sz w:val="20"/>
          <w:szCs w:val="20"/>
          <w:lang w:val="es-ES_tradnl"/>
        </w:rPr>
        <w:t>.</w:t>
      </w:r>
      <w:r w:rsidR="00853904" w:rsidRPr="0002451E">
        <w:rPr>
          <w:rFonts w:ascii="Cambria" w:hAnsi="Cambria"/>
          <w:sz w:val="20"/>
          <w:szCs w:val="20"/>
          <w:lang w:val="es-ES_tradnl"/>
        </w:rPr>
        <w:t xml:space="preserve"> </w:t>
      </w:r>
    </w:p>
    <w:p w14:paraId="18345CCA" w14:textId="303328FB" w:rsidR="00E0177C" w:rsidRPr="0002451E" w:rsidRDefault="00F91DC4" w:rsidP="00207B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3.</w:t>
      </w:r>
      <w:r w:rsidRPr="0002451E">
        <w:rPr>
          <w:rFonts w:ascii="Cambria" w:hAnsi="Cambria"/>
          <w:sz w:val="20"/>
          <w:szCs w:val="20"/>
          <w:lang w:val="es-ES_tradnl"/>
        </w:rPr>
        <w:tab/>
      </w:r>
      <w:r w:rsidR="00853904" w:rsidRPr="0002451E">
        <w:rPr>
          <w:rFonts w:ascii="Cambria" w:hAnsi="Cambria"/>
          <w:sz w:val="20"/>
          <w:szCs w:val="20"/>
          <w:lang w:val="es-ES_tradnl"/>
        </w:rPr>
        <w:t>En respuesta al ingreso de la Fuerza Pública a la Comuna 13, se generó un</w:t>
      </w:r>
      <w:r w:rsidR="00137897" w:rsidRPr="0002451E">
        <w:rPr>
          <w:rFonts w:ascii="Cambria" w:hAnsi="Cambria"/>
          <w:sz w:val="20"/>
          <w:szCs w:val="20"/>
          <w:lang w:val="es-ES_tradnl"/>
        </w:rPr>
        <w:t>a</w:t>
      </w:r>
      <w:r w:rsidR="00853904" w:rsidRPr="0002451E">
        <w:rPr>
          <w:rFonts w:ascii="Cambria" w:hAnsi="Cambria"/>
          <w:sz w:val="20"/>
          <w:szCs w:val="20"/>
          <w:lang w:val="es-ES_tradnl"/>
        </w:rPr>
        <w:t xml:space="preserve"> </w:t>
      </w:r>
      <w:r w:rsidR="002A10A5" w:rsidRPr="0002451E">
        <w:rPr>
          <w:rFonts w:ascii="Cambria" w:hAnsi="Cambria"/>
          <w:sz w:val="20"/>
          <w:szCs w:val="20"/>
          <w:lang w:val="es-ES_tradnl"/>
        </w:rPr>
        <w:t>violenta confrontación armada, un cruce de fuego</w:t>
      </w:r>
      <w:r w:rsidR="00BC5653" w:rsidRPr="0002451E">
        <w:rPr>
          <w:rFonts w:ascii="Cambria" w:hAnsi="Cambria"/>
          <w:sz w:val="20"/>
          <w:szCs w:val="20"/>
          <w:lang w:val="es-ES_tradnl"/>
        </w:rPr>
        <w:t xml:space="preserve"> que duró varios días</w:t>
      </w:r>
      <w:r w:rsidR="002A10A5" w:rsidRPr="0002451E">
        <w:rPr>
          <w:rFonts w:ascii="Cambria" w:hAnsi="Cambria"/>
          <w:sz w:val="20"/>
          <w:szCs w:val="20"/>
          <w:lang w:val="es-ES_tradnl"/>
        </w:rPr>
        <w:t xml:space="preserve"> </w:t>
      </w:r>
      <w:r w:rsidR="00853904" w:rsidRPr="0002451E">
        <w:rPr>
          <w:rFonts w:ascii="Cambria" w:hAnsi="Cambria"/>
          <w:sz w:val="20"/>
          <w:szCs w:val="20"/>
          <w:lang w:val="es-ES_tradnl"/>
        </w:rPr>
        <w:t xml:space="preserve">entre los agentes estatales y los grupos delincuenciales </w:t>
      </w:r>
      <w:r w:rsidR="00BC5653" w:rsidRPr="0002451E">
        <w:rPr>
          <w:rFonts w:ascii="Cambria" w:hAnsi="Cambria"/>
          <w:sz w:val="20"/>
          <w:szCs w:val="20"/>
          <w:lang w:val="es-ES_tradnl"/>
        </w:rPr>
        <w:t>del lugar</w:t>
      </w:r>
      <w:r w:rsidR="00853904" w:rsidRPr="0002451E">
        <w:rPr>
          <w:rFonts w:ascii="Cambria" w:hAnsi="Cambria"/>
          <w:sz w:val="20"/>
          <w:szCs w:val="20"/>
          <w:lang w:val="es-ES_tradnl"/>
        </w:rPr>
        <w:t>. En el curso de estos intercambios armados, murieron los señores Jorge Alexander Bustamante, Juan David Vargas y Luis Fernando Cardona</w:t>
      </w:r>
      <w:r w:rsidR="00137897" w:rsidRPr="0002451E">
        <w:rPr>
          <w:rFonts w:ascii="Cambria" w:hAnsi="Cambria"/>
          <w:sz w:val="20"/>
          <w:szCs w:val="20"/>
          <w:lang w:val="es-ES_tradnl"/>
        </w:rPr>
        <w:t>, los tres por heridas de proyectil de arma de fuego</w:t>
      </w:r>
      <w:r w:rsidR="00853904" w:rsidRPr="0002451E">
        <w:rPr>
          <w:rFonts w:ascii="Cambria" w:hAnsi="Cambria"/>
          <w:sz w:val="20"/>
          <w:szCs w:val="20"/>
          <w:lang w:val="es-ES_tradnl"/>
        </w:rPr>
        <w:t xml:space="preserve">. Según asevera la petición, las autoridades estatales omitieron tomar las medidas </w:t>
      </w:r>
      <w:r w:rsidR="00137897" w:rsidRPr="0002451E">
        <w:rPr>
          <w:rFonts w:ascii="Cambria" w:hAnsi="Cambria"/>
          <w:sz w:val="20"/>
          <w:szCs w:val="20"/>
          <w:lang w:val="es-ES_tradnl"/>
        </w:rPr>
        <w:t xml:space="preserve">mínimas indispensables </w:t>
      </w:r>
      <w:r w:rsidR="00853904" w:rsidRPr="0002451E">
        <w:rPr>
          <w:rFonts w:ascii="Cambria" w:hAnsi="Cambria"/>
          <w:sz w:val="20"/>
          <w:szCs w:val="20"/>
          <w:lang w:val="es-ES_tradnl"/>
        </w:rPr>
        <w:t>de cautela, cuidado y control de la situación necesarias para evitar que civiles inocentes, como los tres fallecidos, resultaran muertos o heridos por la operación, pese a no estar participando activamente en el combate:</w:t>
      </w:r>
    </w:p>
    <w:p w14:paraId="5C10978D" w14:textId="787ACC5E" w:rsidR="00853904" w:rsidRPr="003E2A5C" w:rsidRDefault="00853904" w:rsidP="00F247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3E2A5C">
        <w:rPr>
          <w:rFonts w:ascii="Cambria" w:hAnsi="Cambria"/>
          <w:sz w:val="20"/>
          <w:szCs w:val="20"/>
          <w:lang w:val="es-ES_tradnl"/>
        </w:rPr>
        <w:t xml:space="preserve">La operación implicó un contacto armado entre Fuerza Pública y milicianos que duró varios días y que no tenía precedentes en la ciudad de Medellín, llevando la peor parte los civiles indefensos y al margen del enfrentamiento, perdiendo la vida o quedando lesionados, toda vez que ante la acción de la Fuerza Pública sobrevino la reacción de los insurgentes, convirtiendo el sector en zona de batalla en donde ninguno de los bandos distinguió objetivo, disparando indiscriminadamente a las personas que por cualquier razón se encontraran en la calle, alcanzando incluso a algunos que se encontraban dentro de sus casas. || La Fuerza Pública no dimensionó la real respuesta militar que daría la guerrilla y tampoco se contó con la reacción de los ciudadanos, </w:t>
      </w:r>
      <w:proofErr w:type="gramStart"/>
      <w:r w:rsidRPr="003E2A5C">
        <w:rPr>
          <w:rFonts w:ascii="Cambria" w:hAnsi="Cambria"/>
          <w:sz w:val="20"/>
          <w:szCs w:val="20"/>
          <w:lang w:val="es-ES_tradnl"/>
        </w:rPr>
        <w:t>que</w:t>
      </w:r>
      <w:proofErr w:type="gramEnd"/>
      <w:r w:rsidRPr="003E2A5C">
        <w:rPr>
          <w:rFonts w:ascii="Cambria" w:hAnsi="Cambria"/>
          <w:sz w:val="20"/>
          <w:szCs w:val="20"/>
          <w:lang w:val="es-ES_tradnl"/>
        </w:rPr>
        <w:t xml:space="preserve"> a propio riesgo de sus vidas, salieron a las calles a auxiliar a los heridos y a ondear banderas blancas pidiendo el cese del fuego. </w:t>
      </w:r>
      <w:r w:rsidR="00DD15F5" w:rsidRPr="003E2A5C">
        <w:rPr>
          <w:rFonts w:ascii="Cambria" w:hAnsi="Cambria"/>
          <w:sz w:val="20"/>
          <w:szCs w:val="20"/>
          <w:lang w:val="es-ES_tradnl"/>
        </w:rPr>
        <w:t>[</w:t>
      </w:r>
      <w:r w:rsidRPr="003E2A5C">
        <w:rPr>
          <w:rFonts w:ascii="Cambria" w:hAnsi="Cambria"/>
          <w:sz w:val="20"/>
          <w:szCs w:val="20"/>
          <w:lang w:val="es-ES_tradnl"/>
        </w:rPr>
        <w:t>…</w:t>
      </w:r>
      <w:r w:rsidR="00DD15F5" w:rsidRPr="003E2A5C">
        <w:rPr>
          <w:rFonts w:ascii="Cambria" w:hAnsi="Cambria"/>
          <w:sz w:val="20"/>
          <w:szCs w:val="20"/>
          <w:lang w:val="es-ES_tradnl"/>
        </w:rPr>
        <w:t>]</w:t>
      </w:r>
      <w:r w:rsidRPr="003E2A5C">
        <w:rPr>
          <w:rFonts w:ascii="Cambria" w:hAnsi="Cambria"/>
          <w:sz w:val="20"/>
          <w:szCs w:val="20"/>
          <w:lang w:val="es-ES_tradnl"/>
        </w:rPr>
        <w:t xml:space="preserve"> Diversos excesos tuvieron lugar debido, principalmente a la actuación irregular de los miembros de la Fuerza Pública, quienes accionaban sus armas de dotación sin dirección alguna: no distinguían entre combatientes y no combatientes. Súmese que maltrataron a los residentes del sector, ultrajaron a quienes pretendían auxiliar a los heridos, penetraron a viviendas y las registraron sin orden judicial. </w:t>
      </w:r>
    </w:p>
    <w:p w14:paraId="77A8A3CB" w14:textId="3DD85414" w:rsidR="00853904" w:rsidRPr="0002451E" w:rsidRDefault="0028091A" w:rsidP="000559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4</w:t>
      </w:r>
      <w:r w:rsidR="005A3285" w:rsidRPr="0002451E">
        <w:rPr>
          <w:rFonts w:ascii="Cambria" w:hAnsi="Cambria"/>
          <w:sz w:val="20"/>
          <w:szCs w:val="20"/>
          <w:lang w:val="es-ES_tradnl"/>
        </w:rPr>
        <w:t xml:space="preserve">. </w:t>
      </w:r>
      <w:r w:rsidR="0005599E" w:rsidRPr="0002451E">
        <w:rPr>
          <w:rFonts w:ascii="Cambria" w:hAnsi="Cambria"/>
          <w:sz w:val="20"/>
          <w:szCs w:val="20"/>
          <w:lang w:val="es-ES_tradnl"/>
        </w:rPr>
        <w:tab/>
      </w:r>
      <w:r w:rsidR="00853904" w:rsidRPr="0002451E">
        <w:rPr>
          <w:rFonts w:ascii="Cambria" w:hAnsi="Cambria"/>
          <w:sz w:val="20"/>
          <w:szCs w:val="20"/>
          <w:lang w:val="es-ES_tradnl"/>
        </w:rPr>
        <w:t xml:space="preserve">La parte peticionaria </w:t>
      </w:r>
      <w:r w:rsidR="0074470C" w:rsidRPr="0002451E">
        <w:rPr>
          <w:rFonts w:ascii="Cambria" w:hAnsi="Cambria"/>
          <w:sz w:val="20"/>
          <w:szCs w:val="20"/>
          <w:lang w:val="es-ES_tradnl"/>
        </w:rPr>
        <w:t>indica</w:t>
      </w:r>
      <w:r w:rsidR="00853904" w:rsidRPr="0002451E">
        <w:rPr>
          <w:rFonts w:ascii="Cambria" w:hAnsi="Cambria"/>
          <w:sz w:val="20"/>
          <w:szCs w:val="20"/>
          <w:lang w:val="es-ES_tradnl"/>
        </w:rPr>
        <w:t xml:space="preserve"> que el joven Juan David Vargas Pemberty murió cuando había salido a comprar alimentos para el desayuno de su familia</w:t>
      </w:r>
      <w:r w:rsidR="00EA1FEE" w:rsidRPr="0002451E">
        <w:rPr>
          <w:rFonts w:ascii="Cambria" w:hAnsi="Cambria"/>
          <w:sz w:val="20"/>
          <w:szCs w:val="20"/>
          <w:lang w:val="es-ES_tradnl"/>
        </w:rPr>
        <w:t xml:space="preserve"> y </w:t>
      </w:r>
      <w:r w:rsidR="00853904" w:rsidRPr="0002451E">
        <w:rPr>
          <w:rFonts w:ascii="Cambria" w:hAnsi="Cambria"/>
          <w:sz w:val="20"/>
          <w:szCs w:val="20"/>
          <w:lang w:val="es-ES_tradnl"/>
        </w:rPr>
        <w:t xml:space="preserve">fue alcanzado por una bala. Luis Fernando Cardona murió cuando estaba sentado al interior de su casa y una bala perdida en el combate ingresó a la vivienda y le dio muerte. Jorge Alexander Bustamante Goez </w:t>
      </w:r>
      <w:r w:rsidR="00853904" w:rsidRPr="0002451E">
        <w:rPr>
          <w:rFonts w:ascii="Cambria" w:hAnsi="Cambria"/>
          <w:i/>
          <w:iCs/>
          <w:sz w:val="20"/>
          <w:szCs w:val="20"/>
          <w:lang w:val="es-ES_tradnl"/>
        </w:rPr>
        <w:t>“falleció en circunstancias extrañas, luego de haber amanecido el día anterior donde su novia”</w:t>
      </w:r>
      <w:r w:rsidR="00054545" w:rsidRPr="0002451E">
        <w:rPr>
          <w:rFonts w:ascii="Cambria" w:hAnsi="Cambria"/>
          <w:sz w:val="20"/>
          <w:szCs w:val="20"/>
          <w:lang w:val="es-ES_tradnl"/>
        </w:rPr>
        <w:t xml:space="preserve">; según el protocolo de necropsia, el señor Bustamante fue alcanzado por cerca de </w:t>
      </w:r>
      <w:r w:rsidR="00661479" w:rsidRPr="0002451E">
        <w:rPr>
          <w:rFonts w:ascii="Cambria" w:hAnsi="Cambria"/>
          <w:sz w:val="20"/>
          <w:szCs w:val="20"/>
          <w:lang w:val="es-ES_tradnl"/>
        </w:rPr>
        <w:t xml:space="preserve">ocho </w:t>
      </w:r>
      <w:r w:rsidR="00054545" w:rsidRPr="0002451E">
        <w:rPr>
          <w:rFonts w:ascii="Cambria" w:hAnsi="Cambria"/>
          <w:sz w:val="20"/>
          <w:szCs w:val="20"/>
          <w:lang w:val="es-ES_tradnl"/>
        </w:rPr>
        <w:t xml:space="preserve">disparos, lo cual indicaría -en criterio de la peticionaria- que </w:t>
      </w:r>
      <w:r w:rsidR="00054545" w:rsidRPr="0002451E">
        <w:rPr>
          <w:rFonts w:ascii="Cambria" w:hAnsi="Cambria"/>
          <w:i/>
          <w:iCs/>
          <w:sz w:val="20"/>
          <w:szCs w:val="20"/>
          <w:lang w:val="es-ES_tradnl"/>
        </w:rPr>
        <w:t>“la fuerza pública que actuó allí le disparó por detrás y como que quisieron saciar en él la furia que tenían disparándole en una forma inclemente en su cuerpo”</w:t>
      </w:r>
      <w:r w:rsidR="00853904" w:rsidRPr="0002451E">
        <w:rPr>
          <w:rFonts w:ascii="Cambria" w:hAnsi="Cambria"/>
          <w:sz w:val="20"/>
          <w:szCs w:val="20"/>
          <w:lang w:val="es-ES_tradnl"/>
        </w:rPr>
        <w:t>.</w:t>
      </w:r>
      <w:r w:rsidR="00611BBF" w:rsidRPr="0002451E">
        <w:rPr>
          <w:rFonts w:ascii="Cambria" w:hAnsi="Cambria"/>
          <w:sz w:val="20"/>
          <w:szCs w:val="20"/>
          <w:lang w:val="es-ES_tradnl"/>
        </w:rPr>
        <w:t xml:space="preserve"> </w:t>
      </w:r>
      <w:r w:rsidR="00611BBF" w:rsidRPr="0002451E">
        <w:rPr>
          <w:rFonts w:ascii="Cambria" w:hAnsi="Cambria"/>
          <w:sz w:val="20"/>
          <w:szCs w:val="20"/>
          <w:lang w:val="es-ES_tradnl"/>
        </w:rPr>
        <w:lastRenderedPageBreak/>
        <w:t>Ninguno de los tres fallecidos tenía antecedentes judiciales u órdenes de captura en su contra</w:t>
      </w:r>
      <w:r w:rsidR="00661479" w:rsidRPr="0002451E">
        <w:rPr>
          <w:rFonts w:ascii="Cambria" w:hAnsi="Cambria"/>
          <w:sz w:val="20"/>
          <w:szCs w:val="20"/>
          <w:lang w:val="es-ES_tradnl"/>
        </w:rPr>
        <w:t>, y a ninguno se le encontraron armas</w:t>
      </w:r>
      <w:r w:rsidR="00611BBF" w:rsidRPr="0002451E">
        <w:rPr>
          <w:rFonts w:ascii="Cambria" w:hAnsi="Cambria"/>
          <w:sz w:val="20"/>
          <w:szCs w:val="20"/>
          <w:lang w:val="es-ES_tradnl"/>
        </w:rPr>
        <w:t>.</w:t>
      </w:r>
      <w:r w:rsidR="00661479" w:rsidRPr="0002451E">
        <w:rPr>
          <w:rFonts w:ascii="Cambria" w:hAnsi="Cambria"/>
          <w:sz w:val="20"/>
          <w:szCs w:val="20"/>
          <w:lang w:val="es-ES_tradnl"/>
        </w:rPr>
        <w:t xml:space="preserve"> </w:t>
      </w:r>
      <w:r w:rsidR="00C30DD4" w:rsidRPr="0002451E">
        <w:rPr>
          <w:rFonts w:ascii="Cambria" w:hAnsi="Cambria"/>
          <w:sz w:val="20"/>
          <w:szCs w:val="20"/>
          <w:lang w:val="es-ES_tradnl"/>
        </w:rPr>
        <w:t xml:space="preserve">Los tres </w:t>
      </w:r>
      <w:r w:rsidR="00661479" w:rsidRPr="0002451E">
        <w:rPr>
          <w:rFonts w:ascii="Cambria" w:hAnsi="Cambria"/>
          <w:sz w:val="20"/>
          <w:szCs w:val="20"/>
          <w:lang w:val="es-ES_tradnl"/>
        </w:rPr>
        <w:t>eran personas de escasos recursos.</w:t>
      </w:r>
    </w:p>
    <w:p w14:paraId="4AFC4D01" w14:textId="77777777" w:rsidR="00FA2C6F" w:rsidRPr="0002451E" w:rsidRDefault="00FA2C6F" w:rsidP="00207B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5</w:t>
      </w:r>
      <w:r w:rsidR="005A3285" w:rsidRPr="0002451E">
        <w:rPr>
          <w:rFonts w:ascii="Cambria" w:hAnsi="Cambria"/>
          <w:sz w:val="20"/>
          <w:szCs w:val="20"/>
          <w:lang w:val="es-ES_tradnl"/>
        </w:rPr>
        <w:t xml:space="preserve">. </w:t>
      </w:r>
      <w:r w:rsidRPr="0002451E">
        <w:rPr>
          <w:rFonts w:ascii="Cambria" w:hAnsi="Cambria"/>
          <w:sz w:val="20"/>
          <w:szCs w:val="20"/>
          <w:lang w:val="es-ES_tradnl"/>
        </w:rPr>
        <w:tab/>
        <w:t>Debido a</w:t>
      </w:r>
      <w:r w:rsidR="00853904" w:rsidRPr="0002451E">
        <w:rPr>
          <w:rFonts w:ascii="Cambria" w:hAnsi="Cambria"/>
          <w:sz w:val="20"/>
          <w:szCs w:val="20"/>
          <w:lang w:val="es-ES_tradnl"/>
        </w:rPr>
        <w:t xml:space="preserve"> la muerte </w:t>
      </w:r>
      <w:r w:rsidR="009C6934" w:rsidRPr="0002451E">
        <w:rPr>
          <w:rFonts w:ascii="Cambria" w:hAnsi="Cambria"/>
          <w:sz w:val="20"/>
          <w:szCs w:val="20"/>
          <w:lang w:val="es-ES_tradnl"/>
        </w:rPr>
        <w:t xml:space="preserve">y lesiones de numerosas personas </w:t>
      </w:r>
      <w:r w:rsidR="00661479" w:rsidRPr="0002451E">
        <w:rPr>
          <w:rFonts w:ascii="Cambria" w:hAnsi="Cambria"/>
          <w:sz w:val="20"/>
          <w:szCs w:val="20"/>
          <w:lang w:val="es-ES_tradnl"/>
        </w:rPr>
        <w:t xml:space="preserve">se inició una investigación penal ante la justicia penal militar. Tras la promoción y desarrollo de un conflicto de competencias, el </w:t>
      </w:r>
      <w:r w:rsidR="00CA6017" w:rsidRPr="0002451E">
        <w:rPr>
          <w:rFonts w:ascii="Cambria" w:hAnsi="Cambria"/>
          <w:sz w:val="20"/>
          <w:szCs w:val="20"/>
          <w:lang w:val="es-ES_tradnl"/>
        </w:rPr>
        <w:t xml:space="preserve">15 de agosto de 2007 </w:t>
      </w:r>
      <w:r w:rsidR="005A3285" w:rsidRPr="0002451E">
        <w:rPr>
          <w:rFonts w:ascii="Cambria" w:hAnsi="Cambria"/>
          <w:sz w:val="20"/>
          <w:szCs w:val="20"/>
          <w:lang w:val="es-ES_tradnl"/>
        </w:rPr>
        <w:t xml:space="preserve">el </w:t>
      </w:r>
      <w:r w:rsidR="00661479" w:rsidRPr="0002451E">
        <w:rPr>
          <w:rFonts w:ascii="Cambria" w:hAnsi="Cambria"/>
          <w:sz w:val="20"/>
          <w:szCs w:val="20"/>
          <w:lang w:val="es-ES_tradnl"/>
        </w:rPr>
        <w:t xml:space="preserve">Consejo Superior de la Judicatura asignó el conocimiento del caso a </w:t>
      </w:r>
      <w:r w:rsidR="009C6934" w:rsidRPr="0002451E">
        <w:rPr>
          <w:rFonts w:ascii="Cambria" w:hAnsi="Cambria"/>
          <w:sz w:val="20"/>
          <w:szCs w:val="20"/>
          <w:lang w:val="es-ES_tradnl"/>
        </w:rPr>
        <w:t xml:space="preserve">la Fiscalía General de la Nación </w:t>
      </w:r>
      <w:r w:rsidR="00661479" w:rsidRPr="0002451E">
        <w:rPr>
          <w:rFonts w:ascii="Cambria" w:hAnsi="Cambria"/>
          <w:sz w:val="20"/>
          <w:szCs w:val="20"/>
          <w:lang w:val="es-ES_tradnl"/>
        </w:rPr>
        <w:t xml:space="preserve">– Unidad Nacional de Derechos Humanos y DIH, la cual </w:t>
      </w:r>
      <w:r w:rsidR="009C6934" w:rsidRPr="0002451E">
        <w:rPr>
          <w:rFonts w:ascii="Cambria" w:hAnsi="Cambria"/>
          <w:sz w:val="20"/>
          <w:szCs w:val="20"/>
          <w:lang w:val="es-ES_tradnl"/>
        </w:rPr>
        <w:t>abrió una investigación</w:t>
      </w:r>
      <w:r w:rsidR="00CA6017" w:rsidRPr="0002451E">
        <w:rPr>
          <w:rFonts w:ascii="Cambria" w:hAnsi="Cambria"/>
          <w:sz w:val="20"/>
          <w:szCs w:val="20"/>
          <w:lang w:val="es-ES_tradnl"/>
        </w:rPr>
        <w:t xml:space="preserve"> por los delitos de homicidio y lesiones personales, en la que las víctimas mortales eran nueve personas </w:t>
      </w:r>
      <w:r w:rsidRPr="0002451E">
        <w:rPr>
          <w:rFonts w:ascii="Cambria" w:hAnsi="Cambria"/>
          <w:sz w:val="20"/>
          <w:szCs w:val="20"/>
          <w:lang w:val="es-ES_tradnl"/>
        </w:rPr>
        <w:t>–</w:t>
      </w:r>
      <w:r w:rsidR="00CA6017" w:rsidRPr="0002451E">
        <w:rPr>
          <w:rFonts w:ascii="Cambria" w:hAnsi="Cambria"/>
          <w:sz w:val="20"/>
          <w:szCs w:val="20"/>
          <w:lang w:val="es-ES_tradnl"/>
        </w:rPr>
        <w:t>incluyendo a las tres víctimas principales referidas en la petición</w:t>
      </w:r>
      <w:r w:rsidRPr="0002451E">
        <w:rPr>
          <w:rFonts w:ascii="Cambria" w:hAnsi="Cambria"/>
          <w:sz w:val="20"/>
          <w:szCs w:val="20"/>
          <w:lang w:val="es-ES_tradnl"/>
        </w:rPr>
        <w:t>–;</w:t>
      </w:r>
      <w:r w:rsidR="00CA6017" w:rsidRPr="0002451E">
        <w:rPr>
          <w:rFonts w:ascii="Cambria" w:hAnsi="Cambria"/>
          <w:sz w:val="20"/>
          <w:szCs w:val="20"/>
          <w:lang w:val="es-ES_tradnl"/>
        </w:rPr>
        <w:t xml:space="preserve"> y las víctimas de lesiones cuarenta y seis</w:t>
      </w:r>
      <w:r w:rsidRPr="0002451E">
        <w:rPr>
          <w:rFonts w:ascii="Cambria" w:hAnsi="Cambria"/>
          <w:sz w:val="20"/>
          <w:szCs w:val="20"/>
          <w:lang w:val="es-ES_tradnl"/>
        </w:rPr>
        <w:t>,</w:t>
      </w:r>
      <w:r w:rsidR="00CA6017" w:rsidRPr="0002451E">
        <w:rPr>
          <w:rFonts w:ascii="Cambria" w:hAnsi="Cambria"/>
          <w:sz w:val="20"/>
          <w:szCs w:val="20"/>
          <w:lang w:val="es-ES_tradnl"/>
        </w:rPr>
        <w:t xml:space="preserve"> incluyendo a treinta y nueve civiles</w:t>
      </w:r>
      <w:r w:rsidR="009C6934" w:rsidRPr="0002451E">
        <w:rPr>
          <w:rFonts w:ascii="Cambria" w:hAnsi="Cambria"/>
          <w:sz w:val="20"/>
          <w:szCs w:val="20"/>
          <w:lang w:val="es-ES_tradnl"/>
        </w:rPr>
        <w:t xml:space="preserve">. Para la fecha de presentación de la petición, la investigación continuaba en etapa </w:t>
      </w:r>
      <w:r w:rsidR="005A3285" w:rsidRPr="0002451E">
        <w:rPr>
          <w:rFonts w:ascii="Cambria" w:hAnsi="Cambria"/>
          <w:sz w:val="20"/>
          <w:szCs w:val="20"/>
          <w:lang w:val="es-ES_tradnl"/>
        </w:rPr>
        <w:t>previa</w:t>
      </w:r>
      <w:r w:rsidR="009C6934" w:rsidRPr="0002451E">
        <w:rPr>
          <w:rFonts w:ascii="Cambria" w:hAnsi="Cambria"/>
          <w:sz w:val="20"/>
          <w:szCs w:val="20"/>
          <w:lang w:val="es-ES_tradnl"/>
        </w:rPr>
        <w:t xml:space="preserve">, pese a que se había identificado y sindicado a </w:t>
      </w:r>
      <w:r w:rsidR="00CA6017" w:rsidRPr="0002451E">
        <w:rPr>
          <w:rFonts w:ascii="Cambria" w:hAnsi="Cambria"/>
          <w:sz w:val="20"/>
          <w:szCs w:val="20"/>
          <w:lang w:val="es-ES_tradnl"/>
        </w:rPr>
        <w:t xml:space="preserve">diez </w:t>
      </w:r>
      <w:r w:rsidR="009C6934" w:rsidRPr="0002451E">
        <w:rPr>
          <w:rFonts w:ascii="Cambria" w:hAnsi="Cambria"/>
          <w:sz w:val="20"/>
          <w:szCs w:val="20"/>
          <w:lang w:val="es-ES_tradnl"/>
        </w:rPr>
        <w:t xml:space="preserve">miembros del Ejército como presuntos responsables. </w:t>
      </w:r>
    </w:p>
    <w:p w14:paraId="06D6FD14" w14:textId="0EDAE73A" w:rsidR="00D26A9F" w:rsidRPr="0002451E" w:rsidRDefault="00FA2C6F" w:rsidP="00207B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6.</w:t>
      </w:r>
      <w:r w:rsidRPr="0002451E">
        <w:rPr>
          <w:rFonts w:ascii="Cambria" w:hAnsi="Cambria"/>
          <w:sz w:val="20"/>
          <w:szCs w:val="20"/>
          <w:lang w:val="es-ES_tradnl"/>
        </w:rPr>
        <w:tab/>
      </w:r>
      <w:r w:rsidRPr="0002451E">
        <w:rPr>
          <w:rFonts w:ascii="Cambria" w:hAnsi="Cambria"/>
          <w:sz w:val="20"/>
          <w:szCs w:val="20"/>
          <w:lang w:val="es-ES_tradnl"/>
        </w:rPr>
        <w:tab/>
      </w:r>
      <w:r w:rsidR="009C6934" w:rsidRPr="0002451E">
        <w:rPr>
          <w:rFonts w:ascii="Cambria" w:hAnsi="Cambria"/>
          <w:sz w:val="20"/>
          <w:szCs w:val="20"/>
          <w:lang w:val="es-ES_tradnl"/>
        </w:rPr>
        <w:t>El Estado presentó un recuento detallado de los desarrollos de este proceso penal que</w:t>
      </w:r>
      <w:r w:rsidRPr="0002451E">
        <w:rPr>
          <w:rFonts w:ascii="Cambria" w:hAnsi="Cambria"/>
          <w:sz w:val="20"/>
          <w:szCs w:val="20"/>
          <w:lang w:val="es-ES_tradnl"/>
        </w:rPr>
        <w:t>,</w:t>
      </w:r>
      <w:r w:rsidR="009C6934" w:rsidRPr="0002451E">
        <w:rPr>
          <w:rFonts w:ascii="Cambria" w:hAnsi="Cambria"/>
          <w:sz w:val="20"/>
          <w:szCs w:val="20"/>
          <w:lang w:val="es-ES_tradnl"/>
        </w:rPr>
        <w:t xml:space="preserve"> sin embargo</w:t>
      </w:r>
      <w:r w:rsidRPr="0002451E">
        <w:rPr>
          <w:rFonts w:ascii="Cambria" w:hAnsi="Cambria"/>
          <w:sz w:val="20"/>
          <w:szCs w:val="20"/>
          <w:lang w:val="es-ES_tradnl"/>
        </w:rPr>
        <w:t>,</w:t>
      </w:r>
      <w:r w:rsidR="009C6934" w:rsidRPr="0002451E">
        <w:rPr>
          <w:rFonts w:ascii="Cambria" w:hAnsi="Cambria"/>
          <w:sz w:val="20"/>
          <w:szCs w:val="20"/>
          <w:lang w:val="es-ES_tradnl"/>
        </w:rPr>
        <w:t xml:space="preserve"> </w:t>
      </w:r>
      <w:r w:rsidRPr="0002451E">
        <w:rPr>
          <w:rFonts w:ascii="Cambria" w:hAnsi="Cambria"/>
          <w:sz w:val="20"/>
          <w:szCs w:val="20"/>
          <w:lang w:val="es-ES_tradnl"/>
        </w:rPr>
        <w:t>a</w:t>
      </w:r>
      <w:r w:rsidR="009C6934" w:rsidRPr="0002451E">
        <w:rPr>
          <w:rFonts w:ascii="Cambria" w:hAnsi="Cambria"/>
          <w:sz w:val="20"/>
          <w:szCs w:val="20"/>
          <w:lang w:val="es-ES_tradnl"/>
        </w:rPr>
        <w:t xml:space="preserve"> la fecha de adopción del presente informe continúa en etapa </w:t>
      </w:r>
      <w:r w:rsidR="00676C75" w:rsidRPr="0002451E">
        <w:rPr>
          <w:rFonts w:ascii="Cambria" w:hAnsi="Cambria"/>
          <w:sz w:val="20"/>
          <w:szCs w:val="20"/>
          <w:lang w:val="es-ES_tradnl"/>
        </w:rPr>
        <w:t>previa</w:t>
      </w:r>
      <w:r w:rsidR="009C6934" w:rsidRPr="0002451E">
        <w:rPr>
          <w:rFonts w:ascii="Cambria" w:hAnsi="Cambria"/>
          <w:sz w:val="20"/>
          <w:szCs w:val="20"/>
          <w:lang w:val="es-ES_tradnl"/>
        </w:rPr>
        <w:t xml:space="preserve">, sin que haya sido proferida resolución de acusación o llamamiento a juicio contra los agentes policiales y militares responsables de lo ocurrido. </w:t>
      </w:r>
      <w:r w:rsidR="00CA6017" w:rsidRPr="0002451E">
        <w:rPr>
          <w:rFonts w:ascii="Cambria" w:hAnsi="Cambria"/>
          <w:sz w:val="20"/>
          <w:szCs w:val="20"/>
          <w:lang w:val="es-ES_tradnl"/>
        </w:rPr>
        <w:t>Consta en una certificación expedida por la Fiscalía a solicitud de la parte peticionaria, así como en la contestación del Estado, que en el curso de esta investigación se han desarrollado diversas actividades de recaudo probatorio</w:t>
      </w:r>
      <w:r w:rsidR="00F71DC8" w:rsidRPr="0002451E">
        <w:rPr>
          <w:rFonts w:ascii="Cambria" w:hAnsi="Cambria"/>
          <w:sz w:val="20"/>
          <w:szCs w:val="20"/>
          <w:lang w:val="es-ES_tradnl"/>
        </w:rPr>
        <w:t>;</w:t>
      </w:r>
      <w:r w:rsidR="00CA6017" w:rsidRPr="0002451E">
        <w:rPr>
          <w:rFonts w:ascii="Cambria" w:hAnsi="Cambria"/>
          <w:sz w:val="20"/>
          <w:szCs w:val="20"/>
          <w:lang w:val="es-ES_tradnl"/>
        </w:rPr>
        <w:t xml:space="preserve"> la más reciente de las cuales tuvo lugar en </w:t>
      </w:r>
      <w:r w:rsidR="00A33FEE" w:rsidRPr="0002451E">
        <w:rPr>
          <w:rFonts w:ascii="Cambria" w:hAnsi="Cambria"/>
          <w:sz w:val="20"/>
          <w:szCs w:val="20"/>
          <w:lang w:val="es-ES_tradnl"/>
        </w:rPr>
        <w:t>marzo de 2019, cuando se realizó una mesa de trabajo sobre el caso con el grupo de analistas del Centro Estratégico de Análisis Criminal</w:t>
      </w:r>
      <w:r w:rsidR="00CA6017" w:rsidRPr="0002451E">
        <w:rPr>
          <w:rFonts w:ascii="Cambria" w:hAnsi="Cambria"/>
          <w:sz w:val="20"/>
          <w:szCs w:val="20"/>
          <w:lang w:val="es-ES_tradnl"/>
        </w:rPr>
        <w:t xml:space="preserve">. Según la </w:t>
      </w:r>
      <w:r w:rsidR="00137897" w:rsidRPr="0002451E">
        <w:rPr>
          <w:rFonts w:ascii="Cambria" w:hAnsi="Cambria"/>
          <w:sz w:val="20"/>
          <w:szCs w:val="20"/>
          <w:lang w:val="es-ES_tradnl"/>
        </w:rPr>
        <w:t xml:space="preserve">Fiscalía, en afirmaciones plasmadas en la </w:t>
      </w:r>
      <w:r w:rsidR="00CA6017" w:rsidRPr="0002451E">
        <w:rPr>
          <w:rFonts w:ascii="Cambria" w:hAnsi="Cambria"/>
          <w:sz w:val="20"/>
          <w:szCs w:val="20"/>
          <w:lang w:val="es-ES_tradnl"/>
        </w:rPr>
        <w:t xml:space="preserve">constancia aportada por la parte peticionaria, </w:t>
      </w:r>
      <w:r w:rsidR="00CA6017" w:rsidRPr="0002451E">
        <w:rPr>
          <w:rFonts w:ascii="Cambria" w:hAnsi="Cambria"/>
          <w:i/>
          <w:iCs/>
          <w:sz w:val="20"/>
          <w:szCs w:val="20"/>
          <w:lang w:val="es-ES_tradnl"/>
        </w:rPr>
        <w:t xml:space="preserve">“los principales obstáculos que se presentan en el desarrollo de la </w:t>
      </w:r>
      <w:r w:rsidR="00E47F0C" w:rsidRPr="0002451E">
        <w:rPr>
          <w:rFonts w:ascii="Cambria" w:hAnsi="Cambria"/>
          <w:i/>
          <w:iCs/>
          <w:sz w:val="20"/>
          <w:szCs w:val="20"/>
          <w:lang w:val="es-ES_tradnl"/>
        </w:rPr>
        <w:t>investigación</w:t>
      </w:r>
      <w:r w:rsidR="00CA6017" w:rsidRPr="0002451E">
        <w:rPr>
          <w:rFonts w:ascii="Cambria" w:hAnsi="Cambria"/>
          <w:i/>
          <w:iCs/>
          <w:sz w:val="20"/>
          <w:szCs w:val="20"/>
          <w:lang w:val="es-ES_tradnl"/>
        </w:rPr>
        <w:t xml:space="preserve"> se relacionan concretamente con problemas de seguridad para el acceso al lugar de los hechos, igualmente se trata de hechos confusos dentro de los cuales no se han encontrado testigos que quieran declarar sobre los hechos”</w:t>
      </w:r>
      <w:r w:rsidR="00CA6017" w:rsidRPr="0002451E">
        <w:rPr>
          <w:rFonts w:ascii="Cambria" w:hAnsi="Cambria"/>
          <w:sz w:val="20"/>
          <w:szCs w:val="20"/>
          <w:lang w:val="es-ES_tradnl"/>
        </w:rPr>
        <w:t xml:space="preserve">. También se precisa en dicha constancia que </w:t>
      </w:r>
      <w:r w:rsidR="00CA6017" w:rsidRPr="0002451E">
        <w:rPr>
          <w:rFonts w:ascii="Cambria" w:hAnsi="Cambria"/>
          <w:i/>
          <w:iCs/>
          <w:sz w:val="20"/>
          <w:szCs w:val="20"/>
          <w:lang w:val="es-ES_tradnl"/>
        </w:rPr>
        <w:t>“es importante señalar que la actuación se encuentra en etapa de sumario, dado que en la justicia penal militar se vincularon a las personas aquí señaladas, y la calificación del mérito del sumario no se ha realizado, precisamente por falta de claridad de los hechos y la necesidad de investigar más a fondo”</w:t>
      </w:r>
      <w:r w:rsidR="00CA6017" w:rsidRPr="0002451E">
        <w:rPr>
          <w:rFonts w:ascii="Cambria" w:hAnsi="Cambria"/>
          <w:sz w:val="20"/>
          <w:szCs w:val="20"/>
          <w:lang w:val="es-ES_tradnl"/>
        </w:rPr>
        <w:t xml:space="preserve">. </w:t>
      </w:r>
    </w:p>
    <w:p w14:paraId="59BD95FB" w14:textId="5F298F9E" w:rsidR="009C6934" w:rsidRPr="0002451E" w:rsidRDefault="001B25C1" w:rsidP="001B25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7</w:t>
      </w:r>
      <w:r w:rsidR="005A3285" w:rsidRPr="0002451E">
        <w:rPr>
          <w:rFonts w:ascii="Cambria" w:hAnsi="Cambria"/>
          <w:sz w:val="20"/>
          <w:szCs w:val="20"/>
          <w:lang w:val="es-ES_tradnl"/>
        </w:rPr>
        <w:t xml:space="preserve">. </w:t>
      </w:r>
      <w:r w:rsidRPr="0002451E">
        <w:rPr>
          <w:rFonts w:ascii="Cambria" w:hAnsi="Cambria"/>
          <w:sz w:val="20"/>
          <w:szCs w:val="20"/>
          <w:lang w:val="es-ES_tradnl"/>
        </w:rPr>
        <w:tab/>
      </w:r>
      <w:r w:rsidR="009C6934" w:rsidRPr="0002451E">
        <w:rPr>
          <w:rFonts w:ascii="Cambria" w:hAnsi="Cambria"/>
          <w:sz w:val="20"/>
          <w:szCs w:val="20"/>
          <w:lang w:val="es-ES_tradnl"/>
        </w:rPr>
        <w:t xml:space="preserve">Se informa en la petición que la Procuraduría General de la Nación, en decisión del </w:t>
      </w:r>
      <w:r w:rsidR="00AD2BF7" w:rsidRPr="0002451E">
        <w:rPr>
          <w:rFonts w:ascii="Cambria" w:hAnsi="Cambria"/>
          <w:sz w:val="20"/>
          <w:szCs w:val="20"/>
          <w:lang w:val="es-ES_tradnl"/>
        </w:rPr>
        <w:t>3 de noviembre de 2006</w:t>
      </w:r>
      <w:r w:rsidR="009C6934" w:rsidRPr="0002451E">
        <w:rPr>
          <w:rFonts w:ascii="Cambria" w:hAnsi="Cambria"/>
          <w:sz w:val="20"/>
          <w:szCs w:val="20"/>
          <w:lang w:val="es-ES_tradnl"/>
        </w:rPr>
        <w:t>, declaró disciplinariamente responsables por los hechos a</w:t>
      </w:r>
      <w:r w:rsidR="00661479" w:rsidRPr="0002451E">
        <w:rPr>
          <w:rFonts w:ascii="Cambria" w:hAnsi="Cambria"/>
          <w:sz w:val="20"/>
          <w:szCs w:val="20"/>
          <w:lang w:val="es-ES_tradnl"/>
        </w:rPr>
        <w:t xml:space="preserve">l </w:t>
      </w:r>
      <w:proofErr w:type="gramStart"/>
      <w:r w:rsidR="00661479" w:rsidRPr="0002451E">
        <w:rPr>
          <w:rFonts w:ascii="Cambria" w:hAnsi="Cambria"/>
          <w:sz w:val="20"/>
          <w:szCs w:val="20"/>
          <w:lang w:val="es-ES_tradnl"/>
        </w:rPr>
        <w:t>Comandante</w:t>
      </w:r>
      <w:proofErr w:type="gramEnd"/>
      <w:r w:rsidR="00661479" w:rsidRPr="0002451E">
        <w:rPr>
          <w:rFonts w:ascii="Cambria" w:hAnsi="Cambria"/>
          <w:sz w:val="20"/>
          <w:szCs w:val="20"/>
          <w:lang w:val="es-ES_tradnl"/>
        </w:rPr>
        <w:t xml:space="preserve"> y al Subcomandante Operativo de la Policía Metropolitana del Valle de Aburrá (Medellín)</w:t>
      </w:r>
      <w:r w:rsidR="009C6934" w:rsidRPr="0002451E">
        <w:rPr>
          <w:rFonts w:ascii="Cambria" w:hAnsi="Cambria"/>
          <w:sz w:val="20"/>
          <w:szCs w:val="20"/>
          <w:lang w:val="es-ES_tradnl"/>
        </w:rPr>
        <w:t>,</w:t>
      </w:r>
      <w:r w:rsidR="00661479" w:rsidRPr="0002451E">
        <w:rPr>
          <w:rFonts w:ascii="Cambria" w:hAnsi="Cambria"/>
          <w:sz w:val="20"/>
          <w:szCs w:val="20"/>
          <w:lang w:val="es-ES_tradnl"/>
        </w:rPr>
        <w:t xml:space="preserve"> </w:t>
      </w:r>
      <w:r w:rsidR="00C30DD4" w:rsidRPr="0002451E">
        <w:rPr>
          <w:rFonts w:ascii="Cambria" w:hAnsi="Cambria"/>
          <w:sz w:val="20"/>
          <w:szCs w:val="20"/>
          <w:lang w:val="es-ES_tradnl"/>
        </w:rPr>
        <w:t>dictaminando</w:t>
      </w:r>
      <w:r w:rsidR="00661479" w:rsidRPr="0002451E">
        <w:rPr>
          <w:rFonts w:ascii="Cambria" w:hAnsi="Cambria"/>
          <w:sz w:val="20"/>
          <w:szCs w:val="20"/>
          <w:lang w:val="es-ES_tradnl"/>
        </w:rPr>
        <w:t xml:space="preserve"> que habían incurrido en la falta gravísima de afectación de personas y bienes protegidos por el DIH</w:t>
      </w:r>
      <w:r w:rsidR="00AD77F1" w:rsidRPr="0002451E">
        <w:rPr>
          <w:rFonts w:ascii="Cambria" w:hAnsi="Cambria"/>
          <w:sz w:val="20"/>
          <w:szCs w:val="20"/>
          <w:lang w:val="es-ES_tradnl"/>
        </w:rPr>
        <w:t>;</w:t>
      </w:r>
      <w:r w:rsidR="009C6934" w:rsidRPr="0002451E">
        <w:rPr>
          <w:rFonts w:ascii="Cambria" w:hAnsi="Cambria"/>
          <w:sz w:val="20"/>
          <w:szCs w:val="20"/>
          <w:lang w:val="es-ES_tradnl"/>
        </w:rPr>
        <w:t xml:space="preserve"> y les impuso la sanción de destitución</w:t>
      </w:r>
      <w:r w:rsidR="00661479" w:rsidRPr="0002451E">
        <w:rPr>
          <w:rFonts w:ascii="Cambria" w:hAnsi="Cambria"/>
          <w:sz w:val="20"/>
          <w:szCs w:val="20"/>
          <w:lang w:val="es-ES_tradnl"/>
        </w:rPr>
        <w:t xml:space="preserve"> del cargo</w:t>
      </w:r>
      <w:r w:rsidR="009C6934" w:rsidRPr="0002451E">
        <w:rPr>
          <w:rFonts w:ascii="Cambria" w:hAnsi="Cambria"/>
          <w:sz w:val="20"/>
          <w:szCs w:val="20"/>
          <w:lang w:val="es-ES_tradnl"/>
        </w:rPr>
        <w:t xml:space="preserve">. </w:t>
      </w:r>
      <w:r w:rsidR="00EA1FEE" w:rsidRPr="0002451E">
        <w:rPr>
          <w:rFonts w:ascii="Cambria" w:hAnsi="Cambria"/>
          <w:sz w:val="20"/>
          <w:szCs w:val="20"/>
          <w:lang w:val="es-ES_tradnl"/>
        </w:rPr>
        <w:t>La Procuraduría consideró que en su actuación la Fuerza Pública se había excedido en el uso de la fuerza, la cual fue desmedida y desproporcionada, presentándose un cruce indiscriminado de disparos sin que se hubiesen adoptado medidas para preservar los derechos de la población civil habitante de la zona.</w:t>
      </w:r>
      <w:r w:rsidR="00054545" w:rsidRPr="0002451E">
        <w:rPr>
          <w:rFonts w:ascii="Cambria" w:hAnsi="Cambria"/>
          <w:sz w:val="20"/>
          <w:szCs w:val="20"/>
          <w:lang w:val="es-ES_tradnl"/>
        </w:rPr>
        <w:t xml:space="preserve"> Para el ente de control, la improvisación y el manejo inadecuado de la situación por parte de los más altos mandos de la Policía Nacional resultó en una situación caótica que cobró la vida de varias personas</w:t>
      </w:r>
      <w:r w:rsidR="00661479" w:rsidRPr="0002451E">
        <w:rPr>
          <w:rFonts w:ascii="Cambria" w:hAnsi="Cambria"/>
          <w:sz w:val="20"/>
          <w:szCs w:val="20"/>
          <w:lang w:val="es-ES_tradnl"/>
        </w:rPr>
        <w:t>; en palabras del fallo disciplinario,</w:t>
      </w:r>
    </w:p>
    <w:p w14:paraId="6C11DF85" w14:textId="31CF0E54" w:rsidR="00661479" w:rsidRPr="003E2A5C" w:rsidRDefault="00661479" w:rsidP="002F34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3E2A5C">
        <w:rPr>
          <w:rFonts w:ascii="Cambria" w:hAnsi="Cambria"/>
          <w:sz w:val="20"/>
          <w:szCs w:val="20"/>
          <w:lang w:val="es-ES_tradnl"/>
        </w:rPr>
        <w:t xml:space="preserve">La Procuraduría no encuentra una explicación coherente a los métodos y medios utilizados para la ejecución de la operación, ya que fueron inadecuados y exagerados, en un sitio con una densa población civil, con una infraestructura deficiente, que conllevó al descontrol y al caos, al exceso del fuego, a los allanamientos sin orden judicial, capturas ilegales, homicidios de civiles, lesiones personales y malos tratos a diversos habitantes. Ante esta situación, el </w:t>
      </w:r>
      <w:proofErr w:type="gramStart"/>
      <w:r w:rsidRPr="003E2A5C">
        <w:rPr>
          <w:rFonts w:ascii="Cambria" w:hAnsi="Cambria"/>
          <w:sz w:val="20"/>
          <w:szCs w:val="20"/>
          <w:lang w:val="es-ES_tradnl"/>
        </w:rPr>
        <w:t>Coronel</w:t>
      </w:r>
      <w:proofErr w:type="gramEnd"/>
      <w:r w:rsidRPr="003E2A5C">
        <w:rPr>
          <w:rFonts w:ascii="Cambria" w:hAnsi="Cambria"/>
          <w:sz w:val="20"/>
          <w:szCs w:val="20"/>
          <w:lang w:val="es-ES_tradnl"/>
        </w:rPr>
        <w:t xml:space="preserve"> Botero Mejía debió haber impartido las órdenes precisas y adecuadas con el fin de proteger a la población civil que se encontraba en medio del cruce de disparos y no haber permitido que sus subalternos cometieran las conductas irregulares mencionadas.</w:t>
      </w:r>
    </w:p>
    <w:p w14:paraId="5F1ADBA4" w14:textId="6D04AEC4" w:rsidR="009C6934" w:rsidRPr="0002451E" w:rsidRDefault="00207BBD" w:rsidP="002F34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8</w:t>
      </w:r>
      <w:r w:rsidR="005A3285" w:rsidRPr="0002451E">
        <w:rPr>
          <w:rFonts w:ascii="Cambria" w:hAnsi="Cambria"/>
          <w:sz w:val="20"/>
          <w:szCs w:val="20"/>
          <w:lang w:val="es-ES_tradnl"/>
        </w:rPr>
        <w:t xml:space="preserve">. </w:t>
      </w:r>
      <w:r w:rsidR="002F344E" w:rsidRPr="0002451E">
        <w:rPr>
          <w:rFonts w:ascii="Cambria" w:hAnsi="Cambria"/>
          <w:sz w:val="20"/>
          <w:szCs w:val="20"/>
          <w:lang w:val="es-ES_tradnl"/>
        </w:rPr>
        <w:tab/>
      </w:r>
      <w:r w:rsidR="009C6934" w:rsidRPr="0002451E">
        <w:rPr>
          <w:rFonts w:ascii="Cambria" w:hAnsi="Cambria"/>
          <w:sz w:val="20"/>
          <w:szCs w:val="20"/>
          <w:lang w:val="es-ES_tradnl"/>
        </w:rPr>
        <w:t xml:space="preserve">Los familiares de los señores Bustamante, Vargas y Cardona presentaron una acción de reparación directa ante la jurisdicción de lo contencioso-administrativo buscando que se hiciera responsable a la Nación colombiana por lo ocurrido. </w:t>
      </w:r>
      <w:r w:rsidR="00EA1FEE" w:rsidRPr="0002451E">
        <w:rPr>
          <w:rFonts w:ascii="Cambria" w:hAnsi="Cambria"/>
          <w:sz w:val="20"/>
          <w:szCs w:val="20"/>
          <w:lang w:val="es-ES_tradnl"/>
        </w:rPr>
        <w:t xml:space="preserve">El 5 de diciembre de 2008 el Juzgado 20 Administrativo del Circuito de Medellín denegó las pretensiones de la demanda, por considerar que había existido culpa exclusiva y determinante de las víctimas. Apelado este fallo, fue confirmado en segunda instancia por el Tribunal Administrativo de Antioquia en sentencia del 25 de abril de 2012. La peticionaria menciona que la decisión denegatoria fue adoptada </w:t>
      </w:r>
      <w:r w:rsidR="00DC16E6" w:rsidRPr="0002451E">
        <w:rPr>
          <w:rFonts w:ascii="Cambria" w:hAnsi="Cambria"/>
          <w:sz w:val="20"/>
          <w:szCs w:val="20"/>
          <w:lang w:val="es-ES_tradnl"/>
        </w:rPr>
        <w:t xml:space="preserve">con base en </w:t>
      </w:r>
      <w:r w:rsidR="00EA1FEE" w:rsidRPr="0002451E">
        <w:rPr>
          <w:rFonts w:ascii="Cambria" w:hAnsi="Cambria"/>
          <w:sz w:val="20"/>
          <w:szCs w:val="20"/>
          <w:lang w:val="es-ES_tradnl"/>
        </w:rPr>
        <w:t>el examen de dactiloscopia realizado por el Instituto Nacional de Medicina Lega</w:t>
      </w:r>
      <w:r w:rsidR="00DC16E6" w:rsidRPr="0002451E">
        <w:rPr>
          <w:rFonts w:ascii="Cambria" w:hAnsi="Cambria"/>
          <w:sz w:val="20"/>
          <w:szCs w:val="20"/>
          <w:lang w:val="es-ES_tradnl"/>
        </w:rPr>
        <w:t>l, el cual</w:t>
      </w:r>
      <w:r w:rsidR="00EA1FEE" w:rsidRPr="0002451E">
        <w:rPr>
          <w:rFonts w:ascii="Cambria" w:hAnsi="Cambria"/>
          <w:sz w:val="20"/>
          <w:szCs w:val="20"/>
          <w:lang w:val="es-ES_tradnl"/>
        </w:rPr>
        <w:t xml:space="preserve"> reveló que en los dedos de </w:t>
      </w:r>
      <w:r w:rsidR="00E60188" w:rsidRPr="0002451E">
        <w:rPr>
          <w:rFonts w:ascii="Cambria" w:hAnsi="Cambria"/>
          <w:sz w:val="20"/>
          <w:szCs w:val="20"/>
          <w:lang w:val="es-ES_tradnl"/>
        </w:rPr>
        <w:t xml:space="preserve">las tres víctimas mortales </w:t>
      </w:r>
      <w:r w:rsidR="00EA1FEE" w:rsidRPr="0002451E">
        <w:rPr>
          <w:rFonts w:ascii="Cambria" w:hAnsi="Cambria"/>
          <w:sz w:val="20"/>
          <w:szCs w:val="20"/>
          <w:lang w:val="es-ES_tradnl"/>
        </w:rPr>
        <w:t xml:space="preserve">había residuos compatibles con la </w:t>
      </w:r>
      <w:r w:rsidR="00EA1FEE" w:rsidRPr="0002451E">
        <w:rPr>
          <w:rFonts w:ascii="Cambria" w:hAnsi="Cambria"/>
          <w:sz w:val="20"/>
          <w:szCs w:val="20"/>
          <w:lang w:val="es-ES_tradnl"/>
        </w:rPr>
        <w:lastRenderedPageBreak/>
        <w:t>detonación de un arma de fuego; sin embargo, en la petición se controvierte la validez de esta prueba, señalando entre otras que no hubo una adecuada preservación ni de los cadáveres ni de las muestras que garantizara la cadena de custodia</w:t>
      </w:r>
      <w:r w:rsidR="00661479" w:rsidRPr="0002451E">
        <w:rPr>
          <w:rFonts w:ascii="Cambria" w:hAnsi="Cambria"/>
          <w:sz w:val="20"/>
          <w:szCs w:val="20"/>
          <w:lang w:val="es-ES_tradnl"/>
        </w:rPr>
        <w:t>, y que pudo haberse tratado de falso</w:t>
      </w:r>
      <w:r w:rsidR="00E60188" w:rsidRPr="0002451E">
        <w:rPr>
          <w:rFonts w:ascii="Cambria" w:hAnsi="Cambria"/>
          <w:sz w:val="20"/>
          <w:szCs w:val="20"/>
          <w:lang w:val="es-ES_tradnl"/>
        </w:rPr>
        <w:t>s</w:t>
      </w:r>
      <w:r w:rsidR="00661479" w:rsidRPr="0002451E">
        <w:rPr>
          <w:rFonts w:ascii="Cambria" w:hAnsi="Cambria"/>
          <w:sz w:val="20"/>
          <w:szCs w:val="20"/>
          <w:lang w:val="es-ES_tradnl"/>
        </w:rPr>
        <w:t xml:space="preserve"> </w:t>
      </w:r>
      <w:r w:rsidR="00E60188" w:rsidRPr="0002451E">
        <w:rPr>
          <w:rFonts w:ascii="Cambria" w:hAnsi="Cambria"/>
          <w:sz w:val="20"/>
          <w:szCs w:val="20"/>
          <w:lang w:val="es-ES_tradnl"/>
        </w:rPr>
        <w:t xml:space="preserve">resultados </w:t>
      </w:r>
      <w:r w:rsidR="00661479" w:rsidRPr="0002451E">
        <w:rPr>
          <w:rFonts w:ascii="Cambria" w:hAnsi="Cambria"/>
          <w:sz w:val="20"/>
          <w:szCs w:val="20"/>
          <w:lang w:val="es-ES_tradnl"/>
        </w:rPr>
        <w:t>positivo</w:t>
      </w:r>
      <w:r w:rsidR="00E60188" w:rsidRPr="0002451E">
        <w:rPr>
          <w:rFonts w:ascii="Cambria" w:hAnsi="Cambria"/>
          <w:sz w:val="20"/>
          <w:szCs w:val="20"/>
          <w:lang w:val="es-ES_tradnl"/>
        </w:rPr>
        <w:t>s</w:t>
      </w:r>
      <w:r w:rsidR="00661479" w:rsidRPr="0002451E">
        <w:rPr>
          <w:rFonts w:ascii="Cambria" w:hAnsi="Cambria"/>
          <w:sz w:val="20"/>
          <w:szCs w:val="20"/>
          <w:lang w:val="es-ES_tradnl"/>
        </w:rPr>
        <w:t xml:space="preserve"> dada la manera en que se manejaron las pruebas</w:t>
      </w:r>
      <w:r w:rsidR="00EA1FEE" w:rsidRPr="0002451E">
        <w:rPr>
          <w:rFonts w:ascii="Cambria" w:hAnsi="Cambria"/>
          <w:sz w:val="20"/>
          <w:szCs w:val="20"/>
          <w:lang w:val="es-ES_tradnl"/>
        </w:rPr>
        <w:t>. Pese a estas afirmaciones, la petición no formula ningún reclamo interamericano relativo a las sentencias de la justicia contencioso-administrativa doméstica.</w:t>
      </w:r>
    </w:p>
    <w:p w14:paraId="0ADB7DDB" w14:textId="200BA792" w:rsidR="00EA1FEE" w:rsidRPr="0002451E" w:rsidRDefault="00207BBD" w:rsidP="002C18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9</w:t>
      </w:r>
      <w:r w:rsidR="005A3285" w:rsidRPr="0002451E">
        <w:rPr>
          <w:rFonts w:ascii="Cambria" w:hAnsi="Cambria"/>
          <w:sz w:val="20"/>
          <w:szCs w:val="20"/>
          <w:lang w:val="es-ES_tradnl"/>
        </w:rPr>
        <w:t xml:space="preserve">. </w:t>
      </w:r>
      <w:r w:rsidR="002C1882" w:rsidRPr="0002451E">
        <w:rPr>
          <w:rFonts w:ascii="Cambria" w:hAnsi="Cambria"/>
          <w:sz w:val="20"/>
          <w:szCs w:val="20"/>
          <w:lang w:val="es-ES_tradnl"/>
        </w:rPr>
        <w:tab/>
      </w:r>
      <w:r w:rsidR="005A3285" w:rsidRPr="0002451E">
        <w:rPr>
          <w:rFonts w:ascii="Cambria" w:hAnsi="Cambria"/>
          <w:sz w:val="20"/>
          <w:szCs w:val="20"/>
          <w:lang w:val="es-ES_tradnl"/>
        </w:rPr>
        <w:t>En la petición se invocan como violados los derechos a la vida</w:t>
      </w:r>
      <w:r w:rsidR="00DC16E6" w:rsidRPr="0002451E">
        <w:rPr>
          <w:rFonts w:ascii="Cambria" w:hAnsi="Cambria"/>
          <w:sz w:val="20"/>
          <w:szCs w:val="20"/>
          <w:lang w:val="es-ES_tradnl"/>
        </w:rPr>
        <w:t xml:space="preserve">, </w:t>
      </w:r>
      <w:r w:rsidR="005A3285" w:rsidRPr="0002451E">
        <w:rPr>
          <w:rFonts w:ascii="Cambria" w:hAnsi="Cambria"/>
          <w:sz w:val="20"/>
          <w:szCs w:val="20"/>
          <w:lang w:val="es-ES_tradnl"/>
        </w:rPr>
        <w:t xml:space="preserve">la integridad personal, las </w:t>
      </w:r>
      <w:proofErr w:type="gramStart"/>
      <w:r w:rsidR="005A3285" w:rsidRPr="0002451E">
        <w:rPr>
          <w:rFonts w:ascii="Cambria" w:hAnsi="Cambria"/>
          <w:sz w:val="20"/>
          <w:szCs w:val="20"/>
          <w:lang w:val="es-ES_tradnl"/>
        </w:rPr>
        <w:t>garantías judiciales y la protección judicial</w:t>
      </w:r>
      <w:proofErr w:type="gramEnd"/>
      <w:r w:rsidR="00DC16E6" w:rsidRPr="0002451E">
        <w:rPr>
          <w:rFonts w:ascii="Cambria" w:hAnsi="Cambria"/>
          <w:sz w:val="20"/>
          <w:szCs w:val="20"/>
          <w:lang w:val="es-ES_tradnl"/>
        </w:rPr>
        <w:t xml:space="preserve">, a causa del desarrollo de la </w:t>
      </w:r>
      <w:r w:rsidR="0005536F" w:rsidRPr="0002451E">
        <w:rPr>
          <w:rFonts w:ascii="Cambria" w:hAnsi="Cambria"/>
          <w:sz w:val="20"/>
          <w:szCs w:val="20"/>
          <w:lang w:val="es-ES_tradnl"/>
        </w:rPr>
        <w:t>“</w:t>
      </w:r>
      <w:r w:rsidR="00DC16E6" w:rsidRPr="0002451E">
        <w:rPr>
          <w:rFonts w:ascii="Cambria" w:hAnsi="Cambria"/>
          <w:sz w:val="20"/>
          <w:szCs w:val="20"/>
          <w:lang w:val="es-ES_tradnl"/>
        </w:rPr>
        <w:t>Operación Mariscal</w:t>
      </w:r>
      <w:r w:rsidR="0005536F" w:rsidRPr="0002451E">
        <w:rPr>
          <w:rFonts w:ascii="Cambria" w:hAnsi="Cambria"/>
          <w:sz w:val="20"/>
          <w:szCs w:val="20"/>
          <w:lang w:val="es-ES_tradnl"/>
        </w:rPr>
        <w:t>”</w:t>
      </w:r>
      <w:r w:rsidR="002C1882" w:rsidRPr="0002451E">
        <w:rPr>
          <w:rFonts w:ascii="Cambria" w:hAnsi="Cambria"/>
          <w:sz w:val="20"/>
          <w:szCs w:val="20"/>
          <w:lang w:val="es-ES_tradnl"/>
        </w:rPr>
        <w:t>;</w:t>
      </w:r>
      <w:r w:rsidR="00DC16E6" w:rsidRPr="0002451E">
        <w:rPr>
          <w:rFonts w:ascii="Cambria" w:hAnsi="Cambria"/>
          <w:sz w:val="20"/>
          <w:szCs w:val="20"/>
          <w:lang w:val="es-ES_tradnl"/>
        </w:rPr>
        <w:t xml:space="preserve"> </w:t>
      </w:r>
      <w:r w:rsidR="002C1882" w:rsidRPr="0002451E">
        <w:rPr>
          <w:rFonts w:ascii="Cambria" w:hAnsi="Cambria"/>
          <w:sz w:val="20"/>
          <w:szCs w:val="20"/>
          <w:lang w:val="es-ES_tradnl"/>
        </w:rPr>
        <w:t>así como</w:t>
      </w:r>
      <w:r w:rsidR="00DC16E6" w:rsidRPr="0002451E">
        <w:rPr>
          <w:rFonts w:ascii="Cambria" w:hAnsi="Cambria"/>
          <w:sz w:val="20"/>
          <w:szCs w:val="20"/>
          <w:lang w:val="es-ES_tradnl"/>
        </w:rPr>
        <w:t xml:space="preserve"> la falta de juzgamiento y sanción de sus responsables</w:t>
      </w:r>
      <w:r w:rsidR="005A3285" w:rsidRPr="0002451E">
        <w:rPr>
          <w:rFonts w:ascii="Cambria" w:hAnsi="Cambria"/>
          <w:sz w:val="20"/>
          <w:szCs w:val="20"/>
          <w:lang w:val="es-ES_tradnl"/>
        </w:rPr>
        <w:t xml:space="preserve">. </w:t>
      </w:r>
      <w:r w:rsidR="00EA1FEE" w:rsidRPr="0002451E">
        <w:rPr>
          <w:rFonts w:ascii="Cambria" w:hAnsi="Cambria"/>
          <w:sz w:val="20"/>
          <w:szCs w:val="20"/>
          <w:lang w:val="es-ES_tradnl"/>
        </w:rPr>
        <w:t xml:space="preserve">De igual manera, la peticionaria alega que con </w:t>
      </w:r>
      <w:r w:rsidR="00DC16E6" w:rsidRPr="0002451E">
        <w:rPr>
          <w:rFonts w:ascii="Cambria" w:hAnsi="Cambria"/>
          <w:sz w:val="20"/>
          <w:szCs w:val="20"/>
          <w:lang w:val="es-ES_tradnl"/>
        </w:rPr>
        <w:t xml:space="preserve">las </w:t>
      </w:r>
      <w:r w:rsidR="00EA1FEE" w:rsidRPr="0002451E">
        <w:rPr>
          <w:rFonts w:ascii="Cambria" w:hAnsi="Cambria"/>
          <w:sz w:val="20"/>
          <w:szCs w:val="20"/>
          <w:lang w:val="es-ES_tradnl"/>
        </w:rPr>
        <w:t xml:space="preserve">actuaciones </w:t>
      </w:r>
      <w:r w:rsidR="00DC16E6" w:rsidRPr="0002451E">
        <w:rPr>
          <w:rFonts w:ascii="Cambria" w:hAnsi="Cambria"/>
          <w:sz w:val="20"/>
          <w:szCs w:val="20"/>
          <w:lang w:val="es-ES_tradnl"/>
        </w:rPr>
        <w:t xml:space="preserve">de la Fuerza Pública </w:t>
      </w:r>
      <w:r w:rsidR="00EA1FEE" w:rsidRPr="0002451E">
        <w:rPr>
          <w:rFonts w:ascii="Cambria" w:hAnsi="Cambria"/>
          <w:sz w:val="20"/>
          <w:szCs w:val="20"/>
          <w:lang w:val="es-ES_tradnl"/>
        </w:rPr>
        <w:t xml:space="preserve">se desconoció el </w:t>
      </w:r>
      <w:r w:rsidR="008A41FE" w:rsidRPr="0002451E">
        <w:rPr>
          <w:rFonts w:ascii="Cambria" w:hAnsi="Cambria"/>
          <w:sz w:val="20"/>
          <w:szCs w:val="20"/>
          <w:lang w:val="es-ES_tradnl"/>
        </w:rPr>
        <w:t>a</w:t>
      </w:r>
      <w:r w:rsidR="00EA1FEE" w:rsidRPr="0002451E">
        <w:rPr>
          <w:rFonts w:ascii="Cambria" w:hAnsi="Cambria"/>
          <w:sz w:val="20"/>
          <w:szCs w:val="20"/>
          <w:lang w:val="es-ES_tradnl"/>
        </w:rPr>
        <w:t>rtículo 3 Común de los Convenios de Ginebra de 1949, y diversas disposiciones de</w:t>
      </w:r>
      <w:r w:rsidR="008E20D4" w:rsidRPr="0002451E">
        <w:rPr>
          <w:rFonts w:ascii="Cambria" w:hAnsi="Cambria"/>
          <w:sz w:val="20"/>
          <w:szCs w:val="20"/>
          <w:lang w:val="es-ES_tradnl"/>
        </w:rPr>
        <w:t xml:space="preserve"> su</w:t>
      </w:r>
      <w:r w:rsidR="00EA1FEE" w:rsidRPr="0002451E">
        <w:rPr>
          <w:rFonts w:ascii="Cambria" w:hAnsi="Cambria"/>
          <w:sz w:val="20"/>
          <w:szCs w:val="20"/>
          <w:lang w:val="es-ES_tradnl"/>
        </w:rPr>
        <w:t xml:space="preserve"> Protocolo II </w:t>
      </w:r>
      <w:r w:rsidR="008E20D4" w:rsidRPr="0002451E">
        <w:rPr>
          <w:rFonts w:ascii="Cambria" w:hAnsi="Cambria"/>
          <w:sz w:val="20"/>
          <w:szCs w:val="20"/>
          <w:lang w:val="es-ES_tradnl"/>
        </w:rPr>
        <w:t>a</w:t>
      </w:r>
      <w:r w:rsidR="00EA1FEE" w:rsidRPr="0002451E">
        <w:rPr>
          <w:rFonts w:ascii="Cambria" w:hAnsi="Cambria"/>
          <w:sz w:val="20"/>
          <w:szCs w:val="20"/>
          <w:lang w:val="es-ES_tradnl"/>
        </w:rPr>
        <w:t xml:space="preserve">dicional, por cuanto se </w:t>
      </w:r>
      <w:r w:rsidR="00262DD6" w:rsidRPr="0002451E">
        <w:rPr>
          <w:rFonts w:ascii="Cambria" w:hAnsi="Cambria"/>
          <w:sz w:val="20"/>
          <w:szCs w:val="20"/>
          <w:lang w:val="es-ES_tradnl"/>
        </w:rPr>
        <w:t>habrían violado</w:t>
      </w:r>
      <w:r w:rsidR="00EA1FEE" w:rsidRPr="0002451E">
        <w:rPr>
          <w:rFonts w:ascii="Cambria" w:hAnsi="Cambria"/>
          <w:sz w:val="20"/>
          <w:szCs w:val="20"/>
          <w:lang w:val="es-ES_tradnl"/>
        </w:rPr>
        <w:t xml:space="preserve"> los principios de distinción, precaución y proporcionalidad constitutivos del DIH. </w:t>
      </w:r>
    </w:p>
    <w:p w14:paraId="5DE30567" w14:textId="28EE8853" w:rsidR="00A33FEE" w:rsidRPr="0002451E" w:rsidRDefault="00207BBD" w:rsidP="00ED43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10</w:t>
      </w:r>
      <w:r w:rsidR="005A3285" w:rsidRPr="0002451E">
        <w:rPr>
          <w:rFonts w:ascii="Cambria" w:hAnsi="Cambria"/>
          <w:sz w:val="20"/>
          <w:szCs w:val="20"/>
          <w:lang w:val="es-ES_tradnl"/>
        </w:rPr>
        <w:t xml:space="preserve">. </w:t>
      </w:r>
      <w:r w:rsidR="00ED431E" w:rsidRPr="0002451E">
        <w:rPr>
          <w:rFonts w:ascii="Cambria" w:hAnsi="Cambria"/>
          <w:sz w:val="20"/>
          <w:szCs w:val="20"/>
          <w:lang w:val="es-ES_tradnl"/>
        </w:rPr>
        <w:tab/>
      </w:r>
      <w:r w:rsidR="001F6838" w:rsidRPr="0002451E">
        <w:rPr>
          <w:rFonts w:ascii="Cambria" w:hAnsi="Cambria"/>
          <w:sz w:val="20"/>
          <w:szCs w:val="20"/>
          <w:lang w:val="es-ES_tradnl"/>
        </w:rPr>
        <w:t>El Estado, en su contestación, pide que la petición sea declarada inadmisible. En primer lugar</w:t>
      </w:r>
      <w:r w:rsidR="005A3285" w:rsidRPr="0002451E">
        <w:rPr>
          <w:rFonts w:ascii="Cambria" w:hAnsi="Cambria"/>
          <w:sz w:val="20"/>
          <w:szCs w:val="20"/>
          <w:lang w:val="es-ES_tradnl"/>
        </w:rPr>
        <w:t xml:space="preserve">, </w:t>
      </w:r>
      <w:r w:rsidR="001F6838" w:rsidRPr="0002451E">
        <w:rPr>
          <w:rFonts w:ascii="Cambria" w:hAnsi="Cambria"/>
          <w:sz w:val="20"/>
          <w:szCs w:val="20"/>
          <w:lang w:val="es-ES_tradnl"/>
        </w:rPr>
        <w:t xml:space="preserve">afirma que la peticionaria ha presentado su reclamo contra el trasfondo de un “contexto” reflejado en la decisión de la Procuraduría General de la Nación que destituyó a los dos altos mandos policiales de Medellín; y alega que de dicho contexto no se puede deducir la responsabilidad internacional de Colombia, la cual únicamente puede generarse cuando se encuentren debidamente probados los hechos concretos violatorios de la Convención Americana. También </w:t>
      </w:r>
      <w:r w:rsidR="005A3285" w:rsidRPr="0002451E">
        <w:rPr>
          <w:rFonts w:ascii="Cambria" w:hAnsi="Cambria"/>
          <w:sz w:val="20"/>
          <w:szCs w:val="20"/>
          <w:lang w:val="es-ES_tradnl"/>
        </w:rPr>
        <w:t xml:space="preserve">argumenta </w:t>
      </w:r>
      <w:r w:rsidR="001F6838" w:rsidRPr="0002451E">
        <w:rPr>
          <w:rFonts w:ascii="Cambria" w:hAnsi="Cambria"/>
          <w:sz w:val="20"/>
          <w:szCs w:val="20"/>
          <w:lang w:val="es-ES_tradnl"/>
        </w:rPr>
        <w:t xml:space="preserve">que </w:t>
      </w:r>
      <w:r w:rsidR="001F6838" w:rsidRPr="0002451E">
        <w:rPr>
          <w:rFonts w:ascii="Cambria" w:hAnsi="Cambria"/>
          <w:i/>
          <w:iCs/>
          <w:sz w:val="20"/>
          <w:szCs w:val="20"/>
          <w:lang w:val="es-ES_tradnl"/>
        </w:rPr>
        <w:t xml:space="preserve">“los representantes de las presuntas víctimas no han explicado cómo el alegado contexto habría contado con incidencia causal sobre los hechos que dieron lugar a las supuestas vulneraciones que caracterizan al presente trámite internacional. Por ende, conforme con los estándares del SIPDH, no es procedente que sea tomado en consideración por la Comisión IDH respecto del asunto </w:t>
      </w:r>
      <w:r w:rsidR="001F6838" w:rsidRPr="0002451E">
        <w:rPr>
          <w:rFonts w:ascii="Cambria" w:hAnsi="Cambria"/>
          <w:sz w:val="20"/>
          <w:szCs w:val="20"/>
          <w:lang w:val="es-ES_tradnl"/>
        </w:rPr>
        <w:t>sub examine</w:t>
      </w:r>
      <w:r w:rsidR="001F6838" w:rsidRPr="0002451E">
        <w:rPr>
          <w:rFonts w:ascii="Cambria" w:hAnsi="Cambria"/>
          <w:i/>
          <w:iCs/>
          <w:sz w:val="20"/>
          <w:szCs w:val="20"/>
          <w:lang w:val="es-ES_tradnl"/>
        </w:rPr>
        <w:t>”</w:t>
      </w:r>
      <w:r w:rsidR="001F6838" w:rsidRPr="0002451E">
        <w:rPr>
          <w:rFonts w:ascii="Cambria" w:hAnsi="Cambria"/>
          <w:sz w:val="20"/>
          <w:szCs w:val="20"/>
          <w:lang w:val="es-ES_tradnl"/>
        </w:rPr>
        <w:t xml:space="preserve">. </w:t>
      </w:r>
    </w:p>
    <w:p w14:paraId="10D7BEC1" w14:textId="1291E3A5" w:rsidR="00A33FEE" w:rsidRPr="0002451E" w:rsidRDefault="00207BBD" w:rsidP="00C020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11</w:t>
      </w:r>
      <w:r w:rsidR="005A3285" w:rsidRPr="0002451E">
        <w:rPr>
          <w:rFonts w:ascii="Cambria" w:hAnsi="Cambria"/>
          <w:sz w:val="20"/>
          <w:szCs w:val="20"/>
          <w:lang w:val="es-ES_tradnl"/>
        </w:rPr>
        <w:t xml:space="preserve">. </w:t>
      </w:r>
      <w:r w:rsidR="00C0209B" w:rsidRPr="0002451E">
        <w:rPr>
          <w:rFonts w:ascii="Cambria" w:hAnsi="Cambria"/>
          <w:sz w:val="20"/>
          <w:szCs w:val="20"/>
          <w:lang w:val="es-ES_tradnl"/>
        </w:rPr>
        <w:tab/>
      </w:r>
      <w:r w:rsidR="00A33FEE" w:rsidRPr="0002451E">
        <w:rPr>
          <w:rFonts w:ascii="Cambria" w:hAnsi="Cambria"/>
          <w:sz w:val="20"/>
          <w:szCs w:val="20"/>
          <w:lang w:val="es-ES_tradnl"/>
        </w:rPr>
        <w:t xml:space="preserve">En segundo lugar, el Estado pide que la CIDH se declare incompetente para conocer de las alegadas violaciones a los Convenios de Ginebra de 1949 y sus Protocolos Adicionales, al no encontrarse éstos dentro de la órbita de su competencia </w:t>
      </w:r>
      <w:r w:rsidR="00A33FEE" w:rsidRPr="0002451E">
        <w:rPr>
          <w:rFonts w:ascii="Cambria" w:hAnsi="Cambria"/>
          <w:i/>
          <w:iCs/>
          <w:sz w:val="20"/>
          <w:szCs w:val="20"/>
          <w:lang w:val="es-ES_tradnl"/>
        </w:rPr>
        <w:t>ratione materiae</w:t>
      </w:r>
      <w:r w:rsidR="00A33FEE" w:rsidRPr="0002451E">
        <w:rPr>
          <w:rFonts w:ascii="Cambria" w:hAnsi="Cambria"/>
          <w:sz w:val="20"/>
          <w:szCs w:val="20"/>
          <w:lang w:val="es-ES_tradnl"/>
        </w:rPr>
        <w:t>.</w:t>
      </w:r>
    </w:p>
    <w:p w14:paraId="34C4BB16" w14:textId="5A413F6C" w:rsidR="00A33FEE" w:rsidRPr="0002451E" w:rsidRDefault="005A3285" w:rsidP="00207B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1</w:t>
      </w:r>
      <w:r w:rsidR="007171EA" w:rsidRPr="0002451E">
        <w:rPr>
          <w:rFonts w:ascii="Cambria" w:hAnsi="Cambria"/>
          <w:sz w:val="20"/>
          <w:szCs w:val="20"/>
          <w:lang w:val="es-ES_tradnl"/>
        </w:rPr>
        <w:t>2</w:t>
      </w:r>
      <w:r w:rsidRPr="0002451E">
        <w:rPr>
          <w:rFonts w:ascii="Cambria" w:hAnsi="Cambria"/>
          <w:sz w:val="20"/>
          <w:szCs w:val="20"/>
          <w:lang w:val="es-ES_tradnl"/>
        </w:rPr>
        <w:t xml:space="preserve">. </w:t>
      </w:r>
      <w:r w:rsidR="00207BBD" w:rsidRPr="0002451E">
        <w:rPr>
          <w:rFonts w:ascii="Cambria" w:hAnsi="Cambria"/>
          <w:sz w:val="20"/>
          <w:szCs w:val="20"/>
          <w:lang w:val="es-ES_tradnl"/>
        </w:rPr>
        <w:tab/>
      </w:r>
      <w:r w:rsidR="00A33FEE" w:rsidRPr="0002451E">
        <w:rPr>
          <w:rFonts w:ascii="Cambria" w:hAnsi="Cambria"/>
          <w:sz w:val="20"/>
          <w:szCs w:val="20"/>
          <w:lang w:val="es-ES_tradnl"/>
        </w:rPr>
        <w:t xml:space="preserve">También alega que la parte peticionaria ha recurrido a la CIDH en tanto cuarta instancia internacional, puesto que en criterio del Estado, la jurisdicción contencioso-administrativa colombiana ya se pronunció sobre la acción de reparación directa interpuesta por los familiares de las víctimas principales, en primera y segunda instancia; y en esa línea, </w:t>
      </w:r>
      <w:r w:rsidR="00A33FEE" w:rsidRPr="0002451E">
        <w:rPr>
          <w:rFonts w:ascii="Cambria" w:hAnsi="Cambria"/>
          <w:i/>
          <w:iCs/>
          <w:sz w:val="20"/>
          <w:szCs w:val="20"/>
          <w:lang w:val="es-ES_tradnl"/>
        </w:rPr>
        <w:t>“la peticionaria pretende que la Comisión IDH (i) sustituya la valoración de la prueba realizada por las distintas autoridades judiciales a nivel interno; y (ii) analice cuestiones que ya han sido resueltas a nivel interno”</w:t>
      </w:r>
      <w:r w:rsidR="00A33FEE" w:rsidRPr="0002451E">
        <w:rPr>
          <w:rFonts w:ascii="Cambria" w:hAnsi="Cambria"/>
          <w:sz w:val="20"/>
          <w:szCs w:val="20"/>
          <w:lang w:val="es-ES_tradnl"/>
        </w:rPr>
        <w:t>.</w:t>
      </w:r>
    </w:p>
    <w:p w14:paraId="782852E5" w14:textId="20E5B0A7" w:rsidR="001F6838" w:rsidRPr="0002451E" w:rsidRDefault="005A3285" w:rsidP="00207B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1</w:t>
      </w:r>
      <w:r w:rsidR="00827C66" w:rsidRPr="0002451E">
        <w:rPr>
          <w:rFonts w:ascii="Cambria" w:hAnsi="Cambria"/>
          <w:sz w:val="20"/>
          <w:szCs w:val="20"/>
          <w:lang w:val="es-ES_tradnl"/>
        </w:rPr>
        <w:t>3</w:t>
      </w:r>
      <w:r w:rsidRPr="0002451E">
        <w:rPr>
          <w:rFonts w:ascii="Cambria" w:hAnsi="Cambria"/>
          <w:sz w:val="20"/>
          <w:szCs w:val="20"/>
          <w:lang w:val="es-ES_tradnl"/>
        </w:rPr>
        <w:t xml:space="preserve">. </w:t>
      </w:r>
      <w:r w:rsidR="00207BBD" w:rsidRPr="0002451E">
        <w:rPr>
          <w:rFonts w:ascii="Cambria" w:hAnsi="Cambria"/>
          <w:sz w:val="20"/>
          <w:szCs w:val="20"/>
          <w:lang w:val="es-ES_tradnl"/>
        </w:rPr>
        <w:tab/>
      </w:r>
      <w:r w:rsidR="00A33FEE" w:rsidRPr="0002451E">
        <w:rPr>
          <w:rFonts w:ascii="Cambria" w:hAnsi="Cambria"/>
          <w:sz w:val="20"/>
          <w:szCs w:val="20"/>
          <w:lang w:val="es-ES_tradnl"/>
        </w:rPr>
        <w:t>Finalmente, el Estado afirma que no se han agotado debidamente los recursos internos, puesto que aún est</w:t>
      </w:r>
      <w:r w:rsidR="00CE73AF" w:rsidRPr="0002451E">
        <w:rPr>
          <w:rFonts w:ascii="Cambria" w:hAnsi="Cambria"/>
          <w:sz w:val="20"/>
          <w:szCs w:val="20"/>
          <w:lang w:val="es-ES_tradnl"/>
        </w:rPr>
        <w:t>aría</w:t>
      </w:r>
      <w:r w:rsidR="00A33FEE" w:rsidRPr="0002451E">
        <w:rPr>
          <w:rFonts w:ascii="Cambria" w:hAnsi="Cambria"/>
          <w:sz w:val="20"/>
          <w:szCs w:val="20"/>
          <w:lang w:val="es-ES_tradnl"/>
        </w:rPr>
        <w:t xml:space="preserve"> en curso un proceso penal en el que se han realizado avances investigativos</w:t>
      </w:r>
      <w:r w:rsidR="00DC16E6" w:rsidRPr="0002451E">
        <w:rPr>
          <w:rFonts w:ascii="Cambria" w:hAnsi="Cambria"/>
          <w:sz w:val="20"/>
          <w:szCs w:val="20"/>
          <w:lang w:val="es-ES_tradnl"/>
        </w:rPr>
        <w:t xml:space="preserve"> sustantivos</w:t>
      </w:r>
      <w:r w:rsidR="00A33FEE" w:rsidRPr="0002451E">
        <w:rPr>
          <w:rFonts w:ascii="Cambria" w:hAnsi="Cambria"/>
          <w:sz w:val="20"/>
          <w:szCs w:val="20"/>
          <w:lang w:val="es-ES_tradnl"/>
        </w:rPr>
        <w:t xml:space="preserve">. Con respecto a la duración de esta investigación penal, el Estado afirma </w:t>
      </w:r>
      <w:proofErr w:type="gramStart"/>
      <w:r w:rsidR="00A33FEE" w:rsidRPr="0002451E">
        <w:rPr>
          <w:rFonts w:ascii="Cambria" w:hAnsi="Cambria"/>
          <w:sz w:val="20"/>
          <w:szCs w:val="20"/>
          <w:lang w:val="es-ES_tradnl"/>
        </w:rPr>
        <w:t>que</w:t>
      </w:r>
      <w:proofErr w:type="gramEnd"/>
      <w:r w:rsidR="00A33FEE" w:rsidRPr="0002451E">
        <w:rPr>
          <w:rFonts w:ascii="Cambria" w:hAnsi="Cambria"/>
          <w:sz w:val="20"/>
          <w:szCs w:val="20"/>
          <w:lang w:val="es-ES_tradnl"/>
        </w:rPr>
        <w:t xml:space="preserve"> en aplicación de los criterios interamericanos sobre la razonabilidad del plazo, no se ha incurrido en una demora injustificada</w:t>
      </w:r>
      <w:r w:rsidR="00DC16E6" w:rsidRPr="0002451E">
        <w:rPr>
          <w:rFonts w:ascii="Cambria" w:hAnsi="Cambria"/>
          <w:sz w:val="20"/>
          <w:szCs w:val="20"/>
          <w:lang w:val="es-ES_tradnl"/>
        </w:rPr>
        <w:t>,</w:t>
      </w:r>
      <w:r w:rsidR="00A33FEE" w:rsidRPr="0002451E">
        <w:rPr>
          <w:rFonts w:ascii="Cambria" w:hAnsi="Cambria"/>
          <w:sz w:val="20"/>
          <w:szCs w:val="20"/>
          <w:lang w:val="es-ES_tradnl"/>
        </w:rPr>
        <w:t xml:space="preserve"> por </w:t>
      </w:r>
      <w:r w:rsidR="00DC16E6" w:rsidRPr="0002451E">
        <w:rPr>
          <w:rFonts w:ascii="Cambria" w:hAnsi="Cambria"/>
          <w:sz w:val="20"/>
          <w:szCs w:val="20"/>
          <w:lang w:val="es-ES_tradnl"/>
        </w:rPr>
        <w:t xml:space="preserve">cuanto </w:t>
      </w:r>
      <w:r w:rsidR="00A33FEE" w:rsidRPr="0002451E">
        <w:rPr>
          <w:rFonts w:ascii="Cambria" w:hAnsi="Cambria"/>
          <w:sz w:val="20"/>
          <w:szCs w:val="20"/>
          <w:lang w:val="es-ES_tradnl"/>
        </w:rPr>
        <w:t xml:space="preserve">la Fiscalía ha actuado en forma diligente, y las dificultades en la sanción de los responsables obedecen a factores externos y ajenos al ente investigador. Para el Estado, la justicia colombiana </w:t>
      </w:r>
      <w:r w:rsidR="00A33FEE" w:rsidRPr="0002451E">
        <w:rPr>
          <w:rFonts w:ascii="Cambria" w:hAnsi="Cambria"/>
          <w:i/>
          <w:iCs/>
          <w:sz w:val="20"/>
          <w:szCs w:val="20"/>
          <w:lang w:val="es-ES_tradnl"/>
        </w:rPr>
        <w:t>“no ha dejado de actuar en ningún momento, con el fin de esclarecer lo sucedido”</w:t>
      </w:r>
      <w:r w:rsidR="00A33FEE" w:rsidRPr="0002451E">
        <w:rPr>
          <w:rFonts w:ascii="Cambria" w:hAnsi="Cambria"/>
          <w:sz w:val="20"/>
          <w:szCs w:val="20"/>
          <w:lang w:val="es-ES_tradnl"/>
        </w:rPr>
        <w:t>, teniendo en cuenta que se trata de un caso complejo con pluralidad de sujetos procesales</w:t>
      </w:r>
      <w:r w:rsidR="007965E4" w:rsidRPr="0002451E">
        <w:rPr>
          <w:rFonts w:ascii="Cambria" w:hAnsi="Cambria"/>
          <w:sz w:val="20"/>
          <w:szCs w:val="20"/>
          <w:lang w:val="es-ES_tradnl"/>
        </w:rPr>
        <w:t>.</w:t>
      </w:r>
    </w:p>
    <w:p w14:paraId="330B1D6C" w14:textId="3F32ED79" w:rsidR="007965E4" w:rsidRPr="0002451E" w:rsidRDefault="005A3285" w:rsidP="00B079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2451E">
        <w:rPr>
          <w:rFonts w:ascii="Cambria" w:hAnsi="Cambria"/>
          <w:sz w:val="20"/>
          <w:szCs w:val="20"/>
          <w:lang w:val="es-ES_tradnl"/>
        </w:rPr>
        <w:t>1</w:t>
      </w:r>
      <w:r w:rsidR="00B07951" w:rsidRPr="0002451E">
        <w:rPr>
          <w:rFonts w:ascii="Cambria" w:hAnsi="Cambria"/>
          <w:sz w:val="20"/>
          <w:szCs w:val="20"/>
          <w:lang w:val="es-ES_tradnl"/>
        </w:rPr>
        <w:t>4</w:t>
      </w:r>
      <w:r w:rsidRPr="0002451E">
        <w:rPr>
          <w:rFonts w:ascii="Cambria" w:hAnsi="Cambria"/>
          <w:sz w:val="20"/>
          <w:szCs w:val="20"/>
          <w:lang w:val="es-ES_tradnl"/>
        </w:rPr>
        <w:t xml:space="preserve">. </w:t>
      </w:r>
      <w:r w:rsidR="00B07951" w:rsidRPr="0002451E">
        <w:rPr>
          <w:rFonts w:ascii="Cambria" w:hAnsi="Cambria"/>
          <w:sz w:val="20"/>
          <w:szCs w:val="20"/>
          <w:lang w:val="es-ES_tradnl"/>
        </w:rPr>
        <w:tab/>
      </w:r>
      <w:r w:rsidR="007965E4" w:rsidRPr="0002451E">
        <w:rPr>
          <w:rFonts w:ascii="Cambria" w:hAnsi="Cambria"/>
          <w:sz w:val="20"/>
          <w:szCs w:val="20"/>
          <w:lang w:val="es-ES_tradnl"/>
        </w:rPr>
        <w:t xml:space="preserve">En sus observaciones adicionales, la parte peticionaria enfatiza que no ha dirigido sus reclamos contra los fallos adoptados en el curso del proceso de reparación directa ante la jurisdicción contencioso-administrativa, por lo cual no se ha recurrido a la CIDH en tanto tribunal de alzada internacional; ello, sin perjuicio de manifestar su desacuerdo con la decisión allí adoptada y la manera como se valoraron las pruebas sobre la presencia de residuos de detonación de arma de fuego en </w:t>
      </w:r>
      <w:r w:rsidR="00DC16E6" w:rsidRPr="0002451E">
        <w:rPr>
          <w:rFonts w:ascii="Cambria" w:hAnsi="Cambria"/>
          <w:sz w:val="20"/>
          <w:szCs w:val="20"/>
          <w:lang w:val="es-ES_tradnl"/>
        </w:rPr>
        <w:t xml:space="preserve">los </w:t>
      </w:r>
      <w:r w:rsidR="007965E4" w:rsidRPr="0002451E">
        <w:rPr>
          <w:rFonts w:ascii="Cambria" w:hAnsi="Cambria"/>
          <w:sz w:val="20"/>
          <w:szCs w:val="20"/>
          <w:lang w:val="es-ES_tradnl"/>
        </w:rPr>
        <w:t>cadáver</w:t>
      </w:r>
      <w:r w:rsidR="00DC16E6" w:rsidRPr="0002451E">
        <w:rPr>
          <w:rFonts w:ascii="Cambria" w:hAnsi="Cambria"/>
          <w:sz w:val="20"/>
          <w:szCs w:val="20"/>
          <w:lang w:val="es-ES_tradnl"/>
        </w:rPr>
        <w:t>es</w:t>
      </w:r>
      <w:r w:rsidR="007965E4" w:rsidRPr="0002451E">
        <w:rPr>
          <w:rFonts w:ascii="Cambria" w:hAnsi="Cambria"/>
          <w:sz w:val="20"/>
          <w:szCs w:val="20"/>
          <w:lang w:val="es-ES_tradnl"/>
        </w:rPr>
        <w:t xml:space="preserve"> de las víctimas</w:t>
      </w:r>
      <w:r w:rsidR="0009040E" w:rsidRPr="0002451E">
        <w:rPr>
          <w:rFonts w:ascii="Cambria" w:hAnsi="Cambria"/>
          <w:sz w:val="20"/>
          <w:szCs w:val="20"/>
          <w:lang w:val="es-ES_tradnl"/>
        </w:rPr>
        <w:t xml:space="preserve">, asunto que se considera pertinente para </w:t>
      </w:r>
      <w:r w:rsidR="00DC16E6" w:rsidRPr="0002451E">
        <w:rPr>
          <w:rFonts w:ascii="Cambria" w:hAnsi="Cambria"/>
          <w:sz w:val="20"/>
          <w:szCs w:val="20"/>
          <w:lang w:val="es-ES_tradnl"/>
        </w:rPr>
        <w:t xml:space="preserve">orientar </w:t>
      </w:r>
      <w:r w:rsidR="0009040E" w:rsidRPr="0002451E">
        <w:rPr>
          <w:rFonts w:ascii="Cambria" w:hAnsi="Cambria"/>
          <w:sz w:val="20"/>
          <w:szCs w:val="20"/>
          <w:lang w:val="es-ES_tradnl"/>
        </w:rPr>
        <w:t>cualquier decisión que llegue a adoptar la Comisión Interamericana</w:t>
      </w:r>
      <w:r w:rsidR="007965E4" w:rsidRPr="0002451E">
        <w:rPr>
          <w:rFonts w:ascii="Cambria" w:hAnsi="Cambria"/>
          <w:sz w:val="20"/>
          <w:szCs w:val="20"/>
          <w:lang w:val="es-ES_tradnl"/>
        </w:rPr>
        <w:t xml:space="preserve">. </w:t>
      </w:r>
      <w:r w:rsidR="005C6E4E" w:rsidRPr="0002451E">
        <w:rPr>
          <w:rFonts w:ascii="Cambria" w:hAnsi="Cambria"/>
          <w:sz w:val="20"/>
          <w:szCs w:val="20"/>
          <w:lang w:val="es-ES_tradnl"/>
        </w:rPr>
        <w:t>En respuesta a este alegato, el Estado contraargumenta que</w:t>
      </w:r>
      <w:r w:rsidR="00DC16E6" w:rsidRPr="0002451E">
        <w:rPr>
          <w:rFonts w:ascii="Cambria" w:hAnsi="Cambria"/>
          <w:sz w:val="20"/>
          <w:szCs w:val="20"/>
          <w:lang w:val="es-ES_tradnl"/>
        </w:rPr>
        <w:t>,</w:t>
      </w:r>
      <w:r w:rsidR="005C6E4E" w:rsidRPr="0002451E">
        <w:rPr>
          <w:rFonts w:ascii="Cambria" w:hAnsi="Cambria"/>
          <w:sz w:val="20"/>
          <w:szCs w:val="20"/>
          <w:lang w:val="es-ES_tradnl"/>
        </w:rPr>
        <w:t xml:space="preserve"> en cualquier caso, los hechos que rodearon la ejecución de la “Operación Mariscal” ya fueron materia de un pronunciamiento definitivo adoptado por los jueces colombianos, </w:t>
      </w:r>
      <w:r w:rsidR="00DC16E6" w:rsidRPr="0002451E">
        <w:rPr>
          <w:rFonts w:ascii="Cambria" w:hAnsi="Cambria"/>
          <w:sz w:val="20"/>
          <w:szCs w:val="20"/>
          <w:lang w:val="es-ES_tradnl"/>
        </w:rPr>
        <w:t xml:space="preserve">fallo judicial </w:t>
      </w:r>
      <w:r w:rsidR="005C6E4E" w:rsidRPr="0002451E">
        <w:rPr>
          <w:rFonts w:ascii="Cambria" w:hAnsi="Cambria"/>
          <w:sz w:val="20"/>
          <w:szCs w:val="20"/>
          <w:lang w:val="es-ES_tradnl"/>
        </w:rPr>
        <w:t>en el que no se habría incurrido en ninguna violación de las garantías procesales u otros derechos humanos, por lo cual insiste en que se configura la así llamada fórmula de la “cuarta instancia internacional”.</w:t>
      </w:r>
    </w:p>
    <w:p w14:paraId="643745C8" w14:textId="342E3977" w:rsidR="003239B8" w:rsidRPr="0002451E" w:rsidRDefault="003239B8" w:rsidP="003239B8">
      <w:pPr>
        <w:spacing w:before="240" w:after="240"/>
        <w:ind w:firstLine="720"/>
        <w:jc w:val="both"/>
        <w:rPr>
          <w:rFonts w:ascii="Cambria" w:hAnsi="Cambria"/>
          <w:sz w:val="20"/>
          <w:szCs w:val="20"/>
          <w:lang w:val="es-ES_tradnl"/>
        </w:rPr>
      </w:pPr>
      <w:r w:rsidRPr="0002451E">
        <w:rPr>
          <w:rFonts w:asciiTheme="majorHAnsi" w:eastAsia="Cambria" w:hAnsiTheme="majorHAnsi" w:cs="Cambria"/>
          <w:b/>
          <w:bCs/>
          <w:color w:val="000000"/>
          <w:sz w:val="20"/>
          <w:szCs w:val="20"/>
          <w:u w:color="000000"/>
          <w:lang w:val="es-ES_tradnl" w:eastAsia="es-ES"/>
        </w:rPr>
        <w:lastRenderedPageBreak/>
        <w:t>VI.</w:t>
      </w:r>
      <w:r w:rsidRPr="0002451E">
        <w:rPr>
          <w:rFonts w:asciiTheme="majorHAnsi" w:eastAsia="Cambria" w:hAnsiTheme="majorHAnsi" w:cs="Cambria"/>
          <w:b/>
          <w:bCs/>
          <w:color w:val="000000"/>
          <w:sz w:val="20"/>
          <w:szCs w:val="20"/>
          <w:u w:color="000000"/>
          <w:lang w:val="es-ES_tradnl" w:eastAsia="es-ES"/>
        </w:rPr>
        <w:tab/>
      </w:r>
      <w:r w:rsidR="004A6A54" w:rsidRPr="0002451E">
        <w:rPr>
          <w:rFonts w:asciiTheme="majorHAnsi" w:hAnsiTheme="majorHAnsi"/>
          <w:b/>
          <w:bCs/>
          <w:sz w:val="20"/>
          <w:szCs w:val="20"/>
          <w:lang w:val="es-ES_tradnl"/>
        </w:rPr>
        <w:t xml:space="preserve">ANÁLISIS DE </w:t>
      </w:r>
      <w:r w:rsidR="00C21FEF" w:rsidRPr="0002451E">
        <w:rPr>
          <w:rFonts w:asciiTheme="majorHAnsi" w:hAnsiTheme="majorHAnsi"/>
          <w:b/>
          <w:sz w:val="20"/>
          <w:szCs w:val="20"/>
          <w:lang w:val="es-ES_tradnl"/>
        </w:rPr>
        <w:t>AGOTAMIENTO DE LOS RECURSOS INTERNOS Y PLAZO DE PRESENTACIÓN</w:t>
      </w:r>
      <w:r w:rsidR="00C21FEF" w:rsidRPr="0002451E">
        <w:rPr>
          <w:rFonts w:asciiTheme="majorHAnsi" w:eastAsia="Cambria" w:hAnsiTheme="majorHAnsi" w:cs="Cambria"/>
          <w:b/>
          <w:bCs/>
          <w:color w:val="000000"/>
          <w:sz w:val="20"/>
          <w:szCs w:val="20"/>
          <w:u w:color="000000"/>
          <w:lang w:val="es-ES_tradnl" w:eastAsia="es-ES"/>
        </w:rPr>
        <w:t xml:space="preserve"> </w:t>
      </w:r>
    </w:p>
    <w:p w14:paraId="52FD955F" w14:textId="06239198" w:rsidR="00BB6A9A" w:rsidRPr="0002451E" w:rsidRDefault="000A0FEF" w:rsidP="000A0F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451E">
        <w:rPr>
          <w:rFonts w:asciiTheme="majorHAnsi" w:hAnsiTheme="majorHAnsi"/>
          <w:sz w:val="20"/>
          <w:szCs w:val="20"/>
          <w:lang w:val="es-ES_tradnl"/>
        </w:rPr>
        <w:t>1</w:t>
      </w:r>
      <w:r w:rsidR="00D063E3" w:rsidRPr="0002451E">
        <w:rPr>
          <w:rFonts w:asciiTheme="majorHAnsi" w:hAnsiTheme="majorHAnsi"/>
          <w:sz w:val="20"/>
          <w:szCs w:val="20"/>
          <w:lang w:val="es-ES_tradnl"/>
        </w:rPr>
        <w:t>5</w:t>
      </w:r>
      <w:r w:rsidRPr="0002451E">
        <w:rPr>
          <w:rFonts w:asciiTheme="majorHAnsi" w:hAnsiTheme="majorHAnsi"/>
          <w:sz w:val="20"/>
          <w:szCs w:val="20"/>
          <w:lang w:val="es-ES_tradnl"/>
        </w:rPr>
        <w:t xml:space="preserve">. </w:t>
      </w:r>
      <w:r w:rsidR="00AC53D7" w:rsidRPr="0002451E">
        <w:rPr>
          <w:rFonts w:asciiTheme="majorHAnsi" w:hAnsiTheme="majorHAnsi"/>
          <w:sz w:val="20"/>
          <w:szCs w:val="20"/>
          <w:lang w:val="es-ES_tradnl"/>
        </w:rPr>
        <w:tab/>
      </w:r>
      <w:r w:rsidR="005A3285" w:rsidRPr="0002451E">
        <w:rPr>
          <w:rFonts w:asciiTheme="majorHAnsi" w:hAnsiTheme="majorHAnsi"/>
          <w:sz w:val="20"/>
          <w:szCs w:val="20"/>
          <w:lang w:val="es-ES_tradnl"/>
        </w:rPr>
        <w:t xml:space="preserve">El reclamo </w:t>
      </w:r>
      <w:r w:rsidR="001A0304" w:rsidRPr="0002451E">
        <w:rPr>
          <w:rFonts w:asciiTheme="majorHAnsi" w:hAnsiTheme="majorHAnsi"/>
          <w:sz w:val="20"/>
          <w:szCs w:val="20"/>
          <w:lang w:val="es-ES_tradnl"/>
        </w:rPr>
        <w:t xml:space="preserve">principal </w:t>
      </w:r>
      <w:r w:rsidR="005A3285" w:rsidRPr="0002451E">
        <w:rPr>
          <w:rFonts w:asciiTheme="majorHAnsi" w:hAnsiTheme="majorHAnsi"/>
          <w:sz w:val="20"/>
          <w:szCs w:val="20"/>
          <w:lang w:val="es-ES_tradnl"/>
        </w:rPr>
        <w:t xml:space="preserve">de la parte peticionaria consiste en que el Estado colombiano habría violado </w:t>
      </w:r>
      <w:r w:rsidR="00DC16E6" w:rsidRPr="0002451E">
        <w:rPr>
          <w:rFonts w:asciiTheme="majorHAnsi" w:hAnsiTheme="majorHAnsi"/>
          <w:sz w:val="20"/>
          <w:szCs w:val="20"/>
          <w:lang w:val="es-ES_tradnl"/>
        </w:rPr>
        <w:t xml:space="preserve">el </w:t>
      </w:r>
      <w:r w:rsidR="005A3285" w:rsidRPr="0002451E">
        <w:rPr>
          <w:rFonts w:asciiTheme="majorHAnsi" w:hAnsiTheme="majorHAnsi"/>
          <w:sz w:val="20"/>
          <w:szCs w:val="20"/>
          <w:lang w:val="es-ES_tradnl"/>
        </w:rPr>
        <w:t xml:space="preserve">derecho a la vida de los señores Bustamante, Vargas y Cardona, así como </w:t>
      </w:r>
      <w:r w:rsidR="00DC16E6" w:rsidRPr="0002451E">
        <w:rPr>
          <w:rFonts w:asciiTheme="majorHAnsi" w:hAnsiTheme="majorHAnsi"/>
          <w:sz w:val="20"/>
          <w:szCs w:val="20"/>
          <w:lang w:val="es-ES_tradnl"/>
        </w:rPr>
        <w:t xml:space="preserve">el </w:t>
      </w:r>
      <w:r w:rsidR="005A3285" w:rsidRPr="0002451E">
        <w:rPr>
          <w:rFonts w:asciiTheme="majorHAnsi" w:hAnsiTheme="majorHAnsi"/>
          <w:sz w:val="20"/>
          <w:szCs w:val="20"/>
          <w:lang w:val="es-ES_tradnl"/>
        </w:rPr>
        <w:t xml:space="preserve">derecho a la integridad personal de sus respectivos familiares; y que se habrían desconocido los derechos a las </w:t>
      </w:r>
      <w:proofErr w:type="gramStart"/>
      <w:r w:rsidR="005A3285" w:rsidRPr="0002451E">
        <w:rPr>
          <w:rFonts w:asciiTheme="majorHAnsi" w:hAnsiTheme="majorHAnsi"/>
          <w:sz w:val="20"/>
          <w:szCs w:val="20"/>
          <w:lang w:val="es-ES_tradnl"/>
        </w:rPr>
        <w:t>garantías judiciales y la protección judicial</w:t>
      </w:r>
      <w:proofErr w:type="gramEnd"/>
      <w:r w:rsidR="005A3285" w:rsidRPr="0002451E">
        <w:rPr>
          <w:rFonts w:asciiTheme="majorHAnsi" w:hAnsiTheme="majorHAnsi"/>
          <w:sz w:val="20"/>
          <w:szCs w:val="20"/>
          <w:lang w:val="es-ES_tradnl"/>
        </w:rPr>
        <w:t xml:space="preserve"> en virtud de la impunidad que rodea a las tres muertes</w:t>
      </w:r>
      <w:r w:rsidR="00DC16E6" w:rsidRPr="0002451E">
        <w:rPr>
          <w:rFonts w:asciiTheme="majorHAnsi" w:hAnsiTheme="majorHAnsi"/>
          <w:sz w:val="20"/>
          <w:szCs w:val="20"/>
          <w:lang w:val="es-ES_tradnl"/>
        </w:rPr>
        <w:t>, más de diecinueve años después de su ocurrencia</w:t>
      </w:r>
      <w:r w:rsidR="005A3285" w:rsidRPr="0002451E">
        <w:rPr>
          <w:rFonts w:asciiTheme="majorHAnsi" w:hAnsiTheme="majorHAnsi"/>
          <w:sz w:val="20"/>
          <w:szCs w:val="20"/>
          <w:lang w:val="es-ES_tradnl"/>
        </w:rPr>
        <w:t xml:space="preserve">. </w:t>
      </w:r>
    </w:p>
    <w:p w14:paraId="6C899DCD" w14:textId="7D62F1DE" w:rsidR="00BB6A9A" w:rsidRPr="0002451E" w:rsidRDefault="000A0FEF" w:rsidP="008D7D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451E">
        <w:rPr>
          <w:rFonts w:asciiTheme="majorHAnsi" w:hAnsiTheme="majorHAnsi"/>
          <w:sz w:val="20"/>
          <w:szCs w:val="20"/>
          <w:lang w:val="es-ES_tradnl"/>
        </w:rPr>
        <w:t>1</w:t>
      </w:r>
      <w:r w:rsidR="00D063E3" w:rsidRPr="0002451E">
        <w:rPr>
          <w:rFonts w:asciiTheme="majorHAnsi" w:hAnsiTheme="majorHAnsi"/>
          <w:sz w:val="20"/>
          <w:szCs w:val="20"/>
          <w:lang w:val="es-ES_tradnl"/>
        </w:rPr>
        <w:t>6</w:t>
      </w:r>
      <w:r w:rsidRPr="0002451E">
        <w:rPr>
          <w:rFonts w:asciiTheme="majorHAnsi" w:hAnsiTheme="majorHAnsi"/>
          <w:sz w:val="20"/>
          <w:szCs w:val="20"/>
          <w:lang w:val="es-ES_tradnl"/>
        </w:rPr>
        <w:t xml:space="preserve">. </w:t>
      </w:r>
      <w:r w:rsidR="008D7DF0" w:rsidRPr="0002451E">
        <w:rPr>
          <w:rFonts w:asciiTheme="majorHAnsi" w:hAnsiTheme="majorHAnsi"/>
          <w:sz w:val="20"/>
          <w:szCs w:val="20"/>
          <w:lang w:val="es-ES_tradnl"/>
        </w:rPr>
        <w:tab/>
      </w:r>
      <w:r w:rsidR="001A0304" w:rsidRPr="0002451E">
        <w:rPr>
          <w:rFonts w:asciiTheme="majorHAnsi" w:hAnsiTheme="majorHAnsi"/>
          <w:sz w:val="20"/>
          <w:szCs w:val="20"/>
          <w:lang w:val="es-ES_tradnl"/>
        </w:rPr>
        <w:t>L</w:t>
      </w:r>
      <w:r w:rsidR="00BB6A9A" w:rsidRPr="0002451E">
        <w:rPr>
          <w:rFonts w:asciiTheme="majorHAnsi" w:hAnsiTheme="majorHAnsi"/>
          <w:sz w:val="20"/>
          <w:szCs w:val="20"/>
          <w:lang w:val="es-ES_tradnl"/>
        </w:rPr>
        <w:t>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BB6A9A" w:rsidRPr="0002451E">
        <w:rPr>
          <w:rStyle w:val="FootnoteReference"/>
          <w:rFonts w:asciiTheme="majorHAnsi" w:hAnsiTheme="majorHAnsi"/>
          <w:sz w:val="20"/>
          <w:szCs w:val="20"/>
          <w:lang w:val="es-ES_tradnl"/>
        </w:rPr>
        <w:footnoteReference w:id="5"/>
      </w:r>
      <w:r w:rsidR="00BB6A9A" w:rsidRPr="0002451E">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BB6A9A" w:rsidRPr="0002451E">
        <w:rPr>
          <w:rStyle w:val="FootnoteReference"/>
          <w:rFonts w:asciiTheme="majorHAnsi" w:hAnsiTheme="majorHAnsi"/>
          <w:sz w:val="20"/>
          <w:szCs w:val="20"/>
          <w:lang w:val="es-ES_tradnl"/>
        </w:rPr>
        <w:footnoteReference w:id="6"/>
      </w:r>
      <w:r w:rsidR="00BB6A9A" w:rsidRPr="0002451E">
        <w:rPr>
          <w:rFonts w:asciiTheme="majorHAnsi" w:hAnsiTheme="majorHAnsi"/>
          <w:sz w:val="20"/>
          <w:szCs w:val="20"/>
          <w:lang w:val="es-ES_tradnl"/>
        </w:rPr>
        <w:t>.</w:t>
      </w:r>
      <w:r w:rsidR="001A0304" w:rsidRPr="0002451E">
        <w:rPr>
          <w:rFonts w:asciiTheme="majorHAnsi" w:hAnsiTheme="majorHAnsi"/>
          <w:sz w:val="20"/>
          <w:szCs w:val="20"/>
          <w:lang w:val="es-ES_tradnl"/>
        </w:rPr>
        <w:t xml:space="preserve"> </w:t>
      </w:r>
    </w:p>
    <w:p w14:paraId="7677B29D" w14:textId="272364C5" w:rsidR="00BB6A9A" w:rsidRPr="0002451E" w:rsidRDefault="000A0FEF" w:rsidP="000A0F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451E">
        <w:rPr>
          <w:rFonts w:asciiTheme="majorHAnsi" w:hAnsiTheme="majorHAnsi"/>
          <w:sz w:val="20"/>
          <w:szCs w:val="20"/>
          <w:lang w:val="es-ES_tradnl"/>
        </w:rPr>
        <w:t>1</w:t>
      </w:r>
      <w:r w:rsidR="00D063E3" w:rsidRPr="0002451E">
        <w:rPr>
          <w:rFonts w:asciiTheme="majorHAnsi" w:hAnsiTheme="majorHAnsi"/>
          <w:sz w:val="20"/>
          <w:szCs w:val="20"/>
          <w:lang w:val="es-ES_tradnl"/>
        </w:rPr>
        <w:t>7</w:t>
      </w:r>
      <w:r w:rsidRPr="0002451E">
        <w:rPr>
          <w:rFonts w:asciiTheme="majorHAnsi" w:hAnsiTheme="majorHAnsi"/>
          <w:sz w:val="20"/>
          <w:szCs w:val="20"/>
          <w:lang w:val="es-ES_tradnl"/>
        </w:rPr>
        <w:t xml:space="preserve">. </w:t>
      </w:r>
      <w:r w:rsidR="008D7DF0" w:rsidRPr="0002451E">
        <w:rPr>
          <w:rFonts w:asciiTheme="majorHAnsi" w:hAnsiTheme="majorHAnsi"/>
          <w:sz w:val="20"/>
          <w:szCs w:val="20"/>
          <w:lang w:val="es-ES_tradnl"/>
        </w:rPr>
        <w:tab/>
        <w:t xml:space="preserve">Así, </w:t>
      </w:r>
      <w:r w:rsidR="00265258" w:rsidRPr="0002451E">
        <w:rPr>
          <w:rFonts w:asciiTheme="majorHAnsi" w:hAnsiTheme="majorHAnsi"/>
          <w:sz w:val="20"/>
          <w:szCs w:val="20"/>
          <w:lang w:val="es-ES_tradnl"/>
        </w:rPr>
        <w:t>f</w:t>
      </w:r>
      <w:r w:rsidR="001A0304" w:rsidRPr="0002451E">
        <w:rPr>
          <w:rFonts w:asciiTheme="majorHAnsi" w:hAnsiTheme="majorHAnsi"/>
          <w:sz w:val="20"/>
          <w:szCs w:val="20"/>
          <w:lang w:val="es-ES_tradnl"/>
        </w:rPr>
        <w:t xml:space="preserve">rente a las muertes de los señores Bustamante, Vargas y Cardona, </w:t>
      </w:r>
      <w:r w:rsidR="00DC16E6" w:rsidRPr="0002451E">
        <w:rPr>
          <w:rFonts w:asciiTheme="majorHAnsi" w:hAnsiTheme="majorHAnsi"/>
          <w:sz w:val="20"/>
          <w:szCs w:val="20"/>
          <w:lang w:val="es-ES_tradnl"/>
        </w:rPr>
        <w:t xml:space="preserve">se ha demostrado que </w:t>
      </w:r>
      <w:r w:rsidR="001A0304" w:rsidRPr="0002451E">
        <w:rPr>
          <w:rFonts w:asciiTheme="majorHAnsi" w:hAnsiTheme="majorHAnsi"/>
          <w:sz w:val="20"/>
          <w:szCs w:val="20"/>
          <w:lang w:val="es-ES_tradnl"/>
        </w:rPr>
        <w:t xml:space="preserve">la </w:t>
      </w:r>
      <w:proofErr w:type="gramStart"/>
      <w:r w:rsidR="001A0304" w:rsidRPr="0002451E">
        <w:rPr>
          <w:rFonts w:asciiTheme="majorHAnsi" w:hAnsiTheme="majorHAnsi"/>
          <w:sz w:val="20"/>
          <w:szCs w:val="20"/>
          <w:lang w:val="es-ES_tradnl"/>
        </w:rPr>
        <w:t>Fiscalía General</w:t>
      </w:r>
      <w:proofErr w:type="gramEnd"/>
      <w:r w:rsidR="001A0304" w:rsidRPr="0002451E">
        <w:rPr>
          <w:rFonts w:asciiTheme="majorHAnsi" w:hAnsiTheme="majorHAnsi"/>
          <w:sz w:val="20"/>
          <w:szCs w:val="20"/>
          <w:lang w:val="es-ES_tradnl"/>
        </w:rPr>
        <w:t xml:space="preserve"> de la Nación</w:t>
      </w:r>
      <w:r w:rsidR="009F05F0" w:rsidRPr="0002451E">
        <w:rPr>
          <w:rFonts w:asciiTheme="majorHAnsi" w:hAnsiTheme="majorHAnsi"/>
          <w:sz w:val="20"/>
          <w:szCs w:val="20"/>
          <w:lang w:val="es-ES_tradnl"/>
        </w:rPr>
        <w:t xml:space="preserve"> –</w:t>
      </w:r>
      <w:r w:rsidR="001A0304" w:rsidRPr="0002451E">
        <w:rPr>
          <w:rFonts w:asciiTheme="majorHAnsi" w:hAnsiTheme="majorHAnsi"/>
          <w:sz w:val="20"/>
          <w:szCs w:val="20"/>
          <w:lang w:val="es-ES_tradnl"/>
        </w:rPr>
        <w:t>a la cual se atribuyó la competencia sobre el caso desde el año 2007</w:t>
      </w:r>
      <w:r w:rsidR="00DC16E6" w:rsidRPr="0002451E">
        <w:rPr>
          <w:rFonts w:asciiTheme="majorHAnsi" w:hAnsiTheme="majorHAnsi"/>
          <w:sz w:val="20"/>
          <w:szCs w:val="20"/>
          <w:lang w:val="es-ES_tradnl"/>
        </w:rPr>
        <w:t>, desplazando a partir de entonces a la justicia penal militar</w:t>
      </w:r>
      <w:r w:rsidR="009F05F0" w:rsidRPr="0002451E">
        <w:rPr>
          <w:rFonts w:asciiTheme="majorHAnsi" w:hAnsiTheme="majorHAnsi"/>
          <w:sz w:val="20"/>
          <w:szCs w:val="20"/>
          <w:lang w:val="es-ES_tradnl"/>
        </w:rPr>
        <w:t>–</w:t>
      </w:r>
      <w:r w:rsidR="001A0304" w:rsidRPr="0002451E">
        <w:rPr>
          <w:rFonts w:asciiTheme="majorHAnsi" w:hAnsiTheme="majorHAnsi"/>
          <w:sz w:val="20"/>
          <w:szCs w:val="20"/>
          <w:lang w:val="es-ES_tradnl"/>
        </w:rPr>
        <w:t xml:space="preserve"> ha desarrollado distintas tareas de recaudo probatorio</w:t>
      </w:r>
      <w:r w:rsidR="009F05F0" w:rsidRPr="0002451E">
        <w:rPr>
          <w:rFonts w:asciiTheme="majorHAnsi" w:hAnsiTheme="majorHAnsi"/>
          <w:sz w:val="20"/>
          <w:szCs w:val="20"/>
          <w:lang w:val="es-ES_tradnl"/>
        </w:rPr>
        <w:t>;</w:t>
      </w:r>
      <w:r w:rsidR="001A0304" w:rsidRPr="0002451E">
        <w:rPr>
          <w:rFonts w:asciiTheme="majorHAnsi" w:hAnsiTheme="majorHAnsi"/>
          <w:sz w:val="20"/>
          <w:szCs w:val="20"/>
          <w:lang w:val="es-ES_tradnl"/>
        </w:rPr>
        <w:t xml:space="preserve"> y ha identificado a doce personas como presuntos responsables</w:t>
      </w:r>
      <w:r w:rsidR="00DC16E6" w:rsidRPr="0002451E">
        <w:rPr>
          <w:rFonts w:asciiTheme="majorHAnsi" w:hAnsiTheme="majorHAnsi"/>
          <w:sz w:val="20"/>
          <w:szCs w:val="20"/>
          <w:lang w:val="es-ES_tradnl"/>
        </w:rPr>
        <w:t>.</w:t>
      </w:r>
      <w:r w:rsidR="001A0304" w:rsidRPr="0002451E">
        <w:rPr>
          <w:rFonts w:asciiTheme="majorHAnsi" w:hAnsiTheme="majorHAnsi"/>
          <w:sz w:val="20"/>
          <w:szCs w:val="20"/>
          <w:lang w:val="es-ES_tradnl"/>
        </w:rPr>
        <w:t xml:space="preserve"> </w:t>
      </w:r>
      <w:r w:rsidR="00DC16E6" w:rsidRPr="0002451E">
        <w:rPr>
          <w:rFonts w:asciiTheme="majorHAnsi" w:hAnsiTheme="majorHAnsi"/>
          <w:sz w:val="20"/>
          <w:szCs w:val="20"/>
          <w:lang w:val="es-ES_tradnl"/>
        </w:rPr>
        <w:t>S</w:t>
      </w:r>
      <w:r w:rsidR="001A0304" w:rsidRPr="0002451E">
        <w:rPr>
          <w:rFonts w:asciiTheme="majorHAnsi" w:hAnsiTheme="majorHAnsi"/>
          <w:sz w:val="20"/>
          <w:szCs w:val="20"/>
          <w:lang w:val="es-ES_tradnl"/>
        </w:rPr>
        <w:t xml:space="preserve">in embargo, la investigación se mantiene en la etapa previa, y diecinueve años después de los hechos, todavía no se ha proferido acusación, ni se ha llevado a juicio, condenado o sancionado a </w:t>
      </w:r>
      <w:r w:rsidR="00DC16E6" w:rsidRPr="0002451E">
        <w:rPr>
          <w:rFonts w:asciiTheme="majorHAnsi" w:hAnsiTheme="majorHAnsi"/>
          <w:sz w:val="20"/>
          <w:szCs w:val="20"/>
          <w:lang w:val="es-ES_tradnl"/>
        </w:rPr>
        <w:t xml:space="preserve">alguno </w:t>
      </w:r>
      <w:r w:rsidR="001A0304" w:rsidRPr="0002451E">
        <w:rPr>
          <w:rFonts w:asciiTheme="majorHAnsi" w:hAnsiTheme="majorHAnsi"/>
          <w:sz w:val="20"/>
          <w:szCs w:val="20"/>
          <w:lang w:val="es-ES_tradnl"/>
        </w:rPr>
        <w:t xml:space="preserve">de los agentes de la Fuerza Pública implicados en los hechos. </w:t>
      </w:r>
      <w:r w:rsidR="00BB6A9A" w:rsidRPr="0002451E">
        <w:rPr>
          <w:rFonts w:asciiTheme="majorHAnsi" w:hAnsiTheme="majorHAnsi"/>
          <w:sz w:val="20"/>
          <w:szCs w:val="20"/>
          <w:lang w:val="es-ES_tradnl"/>
        </w:rPr>
        <w:t xml:space="preserve">Ante este panorama procesal, y pese a los alegatos del Colombia en el sentido de que la Fiscalía General de la Nación aún se encuentra investigando los hechos y avanzando en sus pesquisas, para la CIDH no cabe duda de que una demora de </w:t>
      </w:r>
      <w:r w:rsidR="001A0304" w:rsidRPr="0002451E">
        <w:rPr>
          <w:rFonts w:asciiTheme="majorHAnsi" w:hAnsiTheme="majorHAnsi"/>
          <w:sz w:val="20"/>
          <w:szCs w:val="20"/>
          <w:lang w:val="es-ES_tradnl"/>
        </w:rPr>
        <w:t xml:space="preserve">más de diecinueve </w:t>
      </w:r>
      <w:r w:rsidR="00BB6A9A" w:rsidRPr="0002451E">
        <w:rPr>
          <w:rFonts w:asciiTheme="majorHAnsi" w:hAnsiTheme="majorHAnsi"/>
          <w:sz w:val="20"/>
          <w:szCs w:val="20"/>
          <w:lang w:val="es-ES_tradnl"/>
        </w:rPr>
        <w:t xml:space="preserve">años sin que </w:t>
      </w:r>
      <w:r w:rsidR="001A0304" w:rsidRPr="0002451E">
        <w:rPr>
          <w:rFonts w:asciiTheme="majorHAnsi" w:hAnsiTheme="majorHAnsi"/>
          <w:sz w:val="20"/>
          <w:szCs w:val="20"/>
          <w:lang w:val="es-ES_tradnl"/>
        </w:rPr>
        <w:t xml:space="preserve">alguno de </w:t>
      </w:r>
      <w:r w:rsidR="00BB6A9A" w:rsidRPr="0002451E">
        <w:rPr>
          <w:rFonts w:asciiTheme="majorHAnsi" w:hAnsiTheme="majorHAnsi"/>
          <w:sz w:val="20"/>
          <w:szCs w:val="20"/>
          <w:lang w:val="es-ES_tradnl"/>
        </w:rPr>
        <w:t xml:space="preserve">los responsables de estos graves </w:t>
      </w:r>
      <w:r w:rsidR="001A0304" w:rsidRPr="0002451E">
        <w:rPr>
          <w:rFonts w:asciiTheme="majorHAnsi" w:hAnsiTheme="majorHAnsi"/>
          <w:sz w:val="20"/>
          <w:szCs w:val="20"/>
          <w:lang w:val="es-ES_tradnl"/>
        </w:rPr>
        <w:t xml:space="preserve">sucesos </w:t>
      </w:r>
      <w:r w:rsidR="00BB6A9A" w:rsidRPr="0002451E">
        <w:rPr>
          <w:rFonts w:asciiTheme="majorHAnsi" w:hAnsiTheme="majorHAnsi"/>
          <w:sz w:val="20"/>
          <w:szCs w:val="20"/>
          <w:lang w:val="es-ES_tradnl"/>
        </w:rPr>
        <w:t xml:space="preserve">haya sido debidamente </w:t>
      </w:r>
      <w:r w:rsidR="009F05F0" w:rsidRPr="0002451E">
        <w:rPr>
          <w:rFonts w:asciiTheme="majorHAnsi" w:hAnsiTheme="majorHAnsi"/>
          <w:sz w:val="20"/>
          <w:szCs w:val="20"/>
          <w:lang w:val="es-ES_tradnl"/>
        </w:rPr>
        <w:t>procesado penalmente</w:t>
      </w:r>
      <w:r w:rsidR="00BB6A9A" w:rsidRPr="0002451E">
        <w:rPr>
          <w:rFonts w:asciiTheme="majorHAnsi" w:hAnsiTheme="majorHAnsi"/>
          <w:sz w:val="20"/>
          <w:szCs w:val="20"/>
          <w:lang w:val="es-ES_tradnl"/>
        </w:rPr>
        <w:t xml:space="preserve">, constituye una demora injustificada en el agotamiento de los recursos domésticos, </w:t>
      </w:r>
      <w:r w:rsidR="009F05F0" w:rsidRPr="0002451E">
        <w:rPr>
          <w:rFonts w:asciiTheme="majorHAnsi" w:hAnsiTheme="majorHAnsi"/>
          <w:sz w:val="20"/>
          <w:szCs w:val="20"/>
          <w:lang w:val="es-ES_tradnl"/>
        </w:rPr>
        <w:t xml:space="preserve">en los términos de la </w:t>
      </w:r>
      <w:r w:rsidR="00BB6A9A" w:rsidRPr="0002451E">
        <w:rPr>
          <w:rFonts w:asciiTheme="majorHAnsi" w:hAnsiTheme="majorHAnsi"/>
          <w:sz w:val="20"/>
          <w:szCs w:val="20"/>
          <w:lang w:val="es-ES_tradnl"/>
        </w:rPr>
        <w:t xml:space="preserve">excepción </w:t>
      </w:r>
      <w:r w:rsidR="009F05F0" w:rsidRPr="0002451E">
        <w:rPr>
          <w:rFonts w:asciiTheme="majorHAnsi" w:hAnsiTheme="majorHAnsi"/>
          <w:sz w:val="20"/>
          <w:szCs w:val="20"/>
          <w:lang w:val="es-ES_tradnl"/>
        </w:rPr>
        <w:t>d</w:t>
      </w:r>
      <w:r w:rsidR="00BB6A9A" w:rsidRPr="0002451E">
        <w:rPr>
          <w:rFonts w:asciiTheme="majorHAnsi" w:hAnsiTheme="majorHAnsi"/>
          <w:sz w:val="20"/>
          <w:szCs w:val="20"/>
          <w:lang w:val="es-ES_tradnl"/>
        </w:rPr>
        <w:t xml:space="preserve">el Artículo 46.2.c) de la Convención Americana. </w:t>
      </w:r>
    </w:p>
    <w:p w14:paraId="4DAC095B" w14:textId="3A7D96DC" w:rsidR="008C5E2D" w:rsidRPr="0002451E" w:rsidRDefault="000A0FEF" w:rsidP="000A0F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02451E">
        <w:rPr>
          <w:rFonts w:asciiTheme="majorHAnsi" w:hAnsiTheme="majorHAnsi"/>
          <w:sz w:val="20"/>
          <w:szCs w:val="20"/>
          <w:lang w:val="es-ES_tradnl"/>
        </w:rPr>
        <w:t>1</w:t>
      </w:r>
      <w:r w:rsidR="00D063E3" w:rsidRPr="0002451E">
        <w:rPr>
          <w:rFonts w:asciiTheme="majorHAnsi" w:hAnsiTheme="majorHAnsi"/>
          <w:sz w:val="20"/>
          <w:szCs w:val="20"/>
          <w:lang w:val="es-ES_tradnl"/>
        </w:rPr>
        <w:t>8</w:t>
      </w:r>
      <w:r w:rsidRPr="0002451E">
        <w:rPr>
          <w:rFonts w:asciiTheme="majorHAnsi" w:hAnsiTheme="majorHAnsi"/>
          <w:sz w:val="20"/>
          <w:szCs w:val="20"/>
          <w:lang w:val="es-ES_tradnl"/>
        </w:rPr>
        <w:t xml:space="preserve">. </w:t>
      </w:r>
      <w:r w:rsidR="009F05F0" w:rsidRPr="0002451E">
        <w:rPr>
          <w:rFonts w:asciiTheme="majorHAnsi" w:hAnsiTheme="majorHAnsi"/>
          <w:sz w:val="20"/>
          <w:szCs w:val="20"/>
          <w:lang w:val="es-ES_tradnl"/>
        </w:rPr>
        <w:tab/>
      </w:r>
      <w:r w:rsidR="00BB6A9A" w:rsidRPr="0002451E">
        <w:rPr>
          <w:rFonts w:asciiTheme="majorHAnsi" w:hAnsiTheme="majorHAnsi"/>
          <w:sz w:val="20"/>
          <w:szCs w:val="20"/>
          <w:lang w:val="es-ES_tradnl"/>
        </w:rPr>
        <w:t xml:space="preserve">A este respecto es directamente relevante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008C5E2D" w:rsidRPr="0002451E">
        <w:rPr>
          <w:sz w:val="20"/>
          <w:szCs w:val="20"/>
          <w:lang w:val="es-ES_tradnl"/>
        </w:rPr>
        <w:t xml:space="preserve"> </w:t>
      </w:r>
    </w:p>
    <w:p w14:paraId="5E8EB2D6" w14:textId="08174F3E" w:rsidR="001A0304" w:rsidRPr="0002451E" w:rsidRDefault="00D063E3" w:rsidP="000A0F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451E">
        <w:rPr>
          <w:rFonts w:asciiTheme="majorHAnsi" w:hAnsiTheme="majorHAnsi"/>
          <w:sz w:val="20"/>
          <w:szCs w:val="20"/>
          <w:lang w:val="es-ES_tradnl"/>
        </w:rPr>
        <w:t>19</w:t>
      </w:r>
      <w:r w:rsidR="000A0FEF" w:rsidRPr="0002451E">
        <w:rPr>
          <w:rFonts w:asciiTheme="majorHAnsi" w:hAnsiTheme="majorHAnsi"/>
          <w:sz w:val="20"/>
          <w:szCs w:val="20"/>
          <w:lang w:val="es-ES_tradnl"/>
        </w:rPr>
        <w:t xml:space="preserve">. </w:t>
      </w:r>
      <w:r w:rsidR="00B54F8C" w:rsidRPr="0002451E">
        <w:rPr>
          <w:rFonts w:asciiTheme="majorHAnsi" w:hAnsiTheme="majorHAnsi"/>
          <w:sz w:val="20"/>
          <w:szCs w:val="20"/>
          <w:lang w:val="es-ES_tradnl"/>
        </w:rPr>
        <w:tab/>
        <w:t>Además, t</w:t>
      </w:r>
      <w:r w:rsidR="001A0304" w:rsidRPr="0002451E">
        <w:rPr>
          <w:rFonts w:asciiTheme="majorHAnsi" w:hAnsiTheme="majorHAnsi"/>
          <w:sz w:val="20"/>
          <w:szCs w:val="20"/>
          <w:lang w:val="es-ES_tradnl"/>
        </w:rPr>
        <w:t xml:space="preserve">eniendo en cuenta que la </w:t>
      </w:r>
      <w:r w:rsidR="0005536F" w:rsidRPr="0002451E">
        <w:rPr>
          <w:rFonts w:asciiTheme="majorHAnsi" w:hAnsiTheme="majorHAnsi"/>
          <w:sz w:val="20"/>
          <w:szCs w:val="20"/>
          <w:lang w:val="es-ES_tradnl"/>
        </w:rPr>
        <w:t>“</w:t>
      </w:r>
      <w:r w:rsidR="001A0304" w:rsidRPr="0002451E">
        <w:rPr>
          <w:rFonts w:asciiTheme="majorHAnsi" w:hAnsiTheme="majorHAnsi"/>
          <w:sz w:val="20"/>
          <w:szCs w:val="20"/>
          <w:lang w:val="es-ES_tradnl"/>
        </w:rPr>
        <w:t>Operación Mariscal</w:t>
      </w:r>
      <w:r w:rsidR="0005536F" w:rsidRPr="0002451E">
        <w:rPr>
          <w:rFonts w:asciiTheme="majorHAnsi" w:hAnsiTheme="majorHAnsi"/>
          <w:sz w:val="20"/>
          <w:szCs w:val="20"/>
          <w:lang w:val="es-ES_tradnl"/>
        </w:rPr>
        <w:t>”</w:t>
      </w:r>
      <w:r w:rsidR="001A0304" w:rsidRPr="0002451E">
        <w:rPr>
          <w:rFonts w:asciiTheme="majorHAnsi" w:hAnsiTheme="majorHAnsi"/>
          <w:sz w:val="20"/>
          <w:szCs w:val="20"/>
          <w:lang w:val="es-ES_tradnl"/>
        </w:rPr>
        <w:t xml:space="preserve"> tuvo lugar en mayo de 2002</w:t>
      </w:r>
      <w:r w:rsidR="00B54F8C" w:rsidRPr="0002451E">
        <w:rPr>
          <w:rFonts w:asciiTheme="majorHAnsi" w:hAnsiTheme="majorHAnsi"/>
          <w:sz w:val="20"/>
          <w:szCs w:val="20"/>
          <w:lang w:val="es-ES_tradnl"/>
        </w:rPr>
        <w:t>;</w:t>
      </w:r>
      <w:r w:rsidR="001A0304" w:rsidRPr="0002451E">
        <w:rPr>
          <w:rFonts w:asciiTheme="majorHAnsi" w:hAnsiTheme="majorHAnsi"/>
          <w:sz w:val="20"/>
          <w:szCs w:val="20"/>
          <w:lang w:val="es-ES_tradnl"/>
        </w:rPr>
        <w:t xml:space="preserve"> </w:t>
      </w:r>
      <w:r w:rsidR="00B54F8C" w:rsidRPr="0002451E">
        <w:rPr>
          <w:rFonts w:asciiTheme="majorHAnsi" w:hAnsiTheme="majorHAnsi"/>
          <w:sz w:val="20"/>
          <w:szCs w:val="20"/>
          <w:lang w:val="es-ES_tradnl"/>
        </w:rPr>
        <w:t>que</w:t>
      </w:r>
      <w:r w:rsidR="001A0304" w:rsidRPr="0002451E">
        <w:rPr>
          <w:rFonts w:asciiTheme="majorHAnsi" w:hAnsiTheme="majorHAnsi"/>
          <w:sz w:val="20"/>
          <w:szCs w:val="20"/>
          <w:lang w:val="es-ES_tradnl"/>
        </w:rPr>
        <w:t xml:space="preserve"> la petición fue recibida en la Secretaría Ejecutiva en noviembre de 2012</w:t>
      </w:r>
      <w:r w:rsidR="00B54F8C" w:rsidRPr="0002451E">
        <w:rPr>
          <w:rFonts w:asciiTheme="majorHAnsi" w:hAnsiTheme="majorHAnsi"/>
          <w:sz w:val="20"/>
          <w:szCs w:val="20"/>
          <w:lang w:val="es-ES_tradnl"/>
        </w:rPr>
        <w:t xml:space="preserve">; y que ninguno de los agentes de la Fuerza Pública implicados en los hechos ha sido formalmente acusado, pese al transcurso de casi dos décadas, configurándose una posible situación de impunidad hasta nuestros días; </w:t>
      </w:r>
      <w:r w:rsidR="001A0304" w:rsidRPr="0002451E">
        <w:rPr>
          <w:rFonts w:asciiTheme="majorHAnsi" w:hAnsiTheme="majorHAnsi"/>
          <w:sz w:val="20"/>
          <w:szCs w:val="20"/>
          <w:lang w:val="es-ES_tradnl"/>
        </w:rPr>
        <w:t>la CIDH considera que la petición fue presentada dentro de un plazo razonable en los términos del artículo 32.2 de</w:t>
      </w:r>
      <w:r w:rsidR="00B54F8C" w:rsidRPr="0002451E">
        <w:rPr>
          <w:rFonts w:asciiTheme="majorHAnsi" w:hAnsiTheme="majorHAnsi"/>
          <w:sz w:val="20"/>
          <w:szCs w:val="20"/>
          <w:lang w:val="es-ES_tradnl"/>
        </w:rPr>
        <w:t xml:space="preserve"> su</w:t>
      </w:r>
      <w:r w:rsidR="001A0304" w:rsidRPr="0002451E">
        <w:rPr>
          <w:rFonts w:asciiTheme="majorHAnsi" w:hAnsiTheme="majorHAnsi"/>
          <w:sz w:val="20"/>
          <w:szCs w:val="20"/>
          <w:lang w:val="es-ES_tradnl"/>
        </w:rPr>
        <w:t xml:space="preserve"> Reglamento.</w:t>
      </w:r>
    </w:p>
    <w:p w14:paraId="5BEFB3A9" w14:textId="77777777" w:rsidR="003239B8" w:rsidRPr="0002451E" w:rsidRDefault="003239B8" w:rsidP="003239B8">
      <w:pPr>
        <w:pStyle w:val="ListParagraph"/>
        <w:spacing w:before="240" w:after="240"/>
        <w:jc w:val="both"/>
        <w:rPr>
          <w:rFonts w:asciiTheme="majorHAnsi" w:hAnsiTheme="majorHAnsi"/>
          <w:b/>
          <w:sz w:val="20"/>
          <w:szCs w:val="20"/>
          <w:lang w:val="es-ES_tradnl"/>
        </w:rPr>
      </w:pPr>
      <w:r w:rsidRPr="0002451E">
        <w:rPr>
          <w:rFonts w:asciiTheme="majorHAnsi" w:hAnsiTheme="majorHAnsi"/>
          <w:b/>
          <w:bCs/>
          <w:sz w:val="20"/>
          <w:szCs w:val="20"/>
          <w:lang w:val="es-ES_tradnl"/>
        </w:rPr>
        <w:t>VII.</w:t>
      </w:r>
      <w:r w:rsidRPr="0002451E">
        <w:rPr>
          <w:rFonts w:asciiTheme="majorHAnsi" w:hAnsiTheme="majorHAnsi"/>
          <w:b/>
          <w:bCs/>
          <w:sz w:val="20"/>
          <w:szCs w:val="20"/>
          <w:lang w:val="es-ES_tradnl"/>
        </w:rPr>
        <w:tab/>
      </w:r>
      <w:r w:rsidR="004A6A54" w:rsidRPr="0002451E">
        <w:rPr>
          <w:rFonts w:asciiTheme="majorHAnsi" w:hAnsiTheme="majorHAnsi"/>
          <w:b/>
          <w:bCs/>
          <w:sz w:val="20"/>
          <w:szCs w:val="20"/>
          <w:lang w:val="es-ES_tradnl"/>
        </w:rPr>
        <w:t xml:space="preserve">ANÁLISIS DE </w:t>
      </w:r>
      <w:r w:rsidR="00C21FEF" w:rsidRPr="0002451E">
        <w:rPr>
          <w:rFonts w:asciiTheme="majorHAnsi" w:hAnsiTheme="majorHAnsi"/>
          <w:b/>
          <w:bCs/>
          <w:sz w:val="20"/>
          <w:szCs w:val="20"/>
          <w:lang w:val="es-ES_tradnl"/>
        </w:rPr>
        <w:t>CARACTERIZACIÓN DE LOS HECHOS ALEGADOS</w:t>
      </w:r>
    </w:p>
    <w:p w14:paraId="28DB4CA2" w14:textId="35CE6524" w:rsidR="00BB6A9A" w:rsidRPr="0002451E" w:rsidRDefault="00B54F8C" w:rsidP="00B54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02451E">
        <w:rPr>
          <w:rFonts w:asciiTheme="majorHAnsi" w:hAnsiTheme="majorHAnsi"/>
          <w:sz w:val="20"/>
          <w:szCs w:val="20"/>
          <w:lang w:val="es-ES_tradnl"/>
        </w:rPr>
        <w:t>2</w:t>
      </w:r>
      <w:r w:rsidR="00D063E3" w:rsidRPr="0002451E">
        <w:rPr>
          <w:rFonts w:asciiTheme="majorHAnsi" w:hAnsiTheme="majorHAnsi"/>
          <w:sz w:val="20"/>
          <w:szCs w:val="20"/>
          <w:lang w:val="es-ES_tradnl"/>
        </w:rPr>
        <w:t>0</w:t>
      </w:r>
      <w:r w:rsidR="000A0FEF" w:rsidRPr="0002451E">
        <w:rPr>
          <w:rFonts w:asciiTheme="majorHAnsi" w:hAnsiTheme="majorHAnsi"/>
          <w:sz w:val="20"/>
          <w:szCs w:val="20"/>
          <w:lang w:val="es-ES_tradnl"/>
        </w:rPr>
        <w:t xml:space="preserve">. </w:t>
      </w:r>
      <w:r w:rsidRPr="0002451E">
        <w:rPr>
          <w:rFonts w:asciiTheme="majorHAnsi" w:hAnsiTheme="majorHAnsi"/>
          <w:sz w:val="20"/>
          <w:szCs w:val="20"/>
          <w:lang w:val="es-ES_tradnl"/>
        </w:rPr>
        <w:tab/>
      </w:r>
      <w:r w:rsidRPr="0002451E">
        <w:rPr>
          <w:rFonts w:asciiTheme="majorHAnsi" w:hAnsiTheme="majorHAnsi" w:cs="Calibri"/>
          <w:sz w:val="20"/>
          <w:szCs w:val="20"/>
          <w:lang w:val="es-ES_tradnl"/>
        </w:rPr>
        <w:t xml:space="preserve">En primer lugar, </w:t>
      </w:r>
      <w:r w:rsidRPr="0002451E">
        <w:rPr>
          <w:rFonts w:asciiTheme="majorHAnsi" w:hAnsiTheme="majorHAnsi"/>
          <w:sz w:val="20"/>
          <w:szCs w:val="20"/>
          <w:lang w:val="es-ES_tradnl"/>
        </w:rPr>
        <w:t>l</w:t>
      </w:r>
      <w:r w:rsidR="00BB6A9A" w:rsidRPr="0002451E">
        <w:rPr>
          <w:rFonts w:asciiTheme="majorHAnsi" w:hAnsiTheme="majorHAnsi"/>
          <w:sz w:val="20"/>
          <w:szCs w:val="20"/>
          <w:lang w:val="es-ES_tradnl"/>
        </w:rPr>
        <w:t>a Comisión toma nota</w:t>
      </w:r>
      <w:r w:rsidR="001A0304" w:rsidRPr="0002451E">
        <w:rPr>
          <w:rFonts w:asciiTheme="majorHAnsi" w:hAnsiTheme="majorHAnsi"/>
          <w:sz w:val="20"/>
          <w:szCs w:val="20"/>
          <w:lang w:val="es-ES_tradnl"/>
        </w:rPr>
        <w:t>, como primera medida,</w:t>
      </w:r>
      <w:r w:rsidR="00BB6A9A" w:rsidRPr="0002451E">
        <w:rPr>
          <w:rFonts w:asciiTheme="majorHAnsi" w:hAnsiTheme="majorHAnsi"/>
          <w:sz w:val="20"/>
          <w:szCs w:val="20"/>
          <w:lang w:val="es-ES_tradnl"/>
        </w:rPr>
        <w:t xml:space="preserve"> del alegato del Estado según el cual el peticionario recurre al Sistema Interamericano pretendiendo que éste opere como una “cuarta instancia” internacional frente al contenido de fallos judiciales domésticos definitivos dictados por la </w:t>
      </w:r>
      <w:r w:rsidR="00BB6A9A" w:rsidRPr="0002451E">
        <w:rPr>
          <w:rFonts w:asciiTheme="majorHAnsi" w:hAnsiTheme="majorHAnsi"/>
          <w:sz w:val="20"/>
          <w:szCs w:val="20"/>
          <w:lang w:val="es-ES_tradnl"/>
        </w:rPr>
        <w:lastRenderedPageBreak/>
        <w:t>jurisdicción de lo contencioso-administrativo.</w:t>
      </w:r>
      <w:r w:rsidR="001A0304" w:rsidRPr="0002451E">
        <w:rPr>
          <w:rFonts w:asciiTheme="majorHAnsi" w:hAnsiTheme="majorHAnsi"/>
          <w:sz w:val="20"/>
          <w:szCs w:val="20"/>
          <w:lang w:val="es-ES_tradnl"/>
        </w:rPr>
        <w:t xml:space="preserve"> Sin embargo, resulta claro que en la petición no se han formulado reclamos atinentes a las sentencias que denegaron la demanda de reparación directa interpuesta por los familiares, por lo cual no es el caso que se pretenda que la CIDH opere como un tribunal de alzada internacional, revisando o rehaciendo el contenido de fallos domésticos definitivos y en firme. El reclamo central de la demanda atañe a la </w:t>
      </w:r>
      <w:r w:rsidR="0005536F" w:rsidRPr="0002451E">
        <w:rPr>
          <w:rFonts w:asciiTheme="majorHAnsi" w:hAnsiTheme="majorHAnsi"/>
          <w:sz w:val="20"/>
          <w:szCs w:val="20"/>
          <w:lang w:val="es-ES_tradnl"/>
        </w:rPr>
        <w:t>“</w:t>
      </w:r>
      <w:r w:rsidR="001A0304" w:rsidRPr="0002451E">
        <w:rPr>
          <w:rFonts w:asciiTheme="majorHAnsi" w:hAnsiTheme="majorHAnsi"/>
          <w:sz w:val="20"/>
          <w:szCs w:val="20"/>
          <w:lang w:val="es-ES_tradnl"/>
        </w:rPr>
        <w:t>Operación Mariscal</w:t>
      </w:r>
      <w:r w:rsidR="0005536F" w:rsidRPr="0002451E">
        <w:rPr>
          <w:rFonts w:asciiTheme="majorHAnsi" w:hAnsiTheme="majorHAnsi"/>
          <w:sz w:val="20"/>
          <w:szCs w:val="20"/>
          <w:lang w:val="es-ES_tradnl"/>
        </w:rPr>
        <w:t>”</w:t>
      </w:r>
      <w:r w:rsidR="001A0304" w:rsidRPr="0002451E">
        <w:rPr>
          <w:rFonts w:asciiTheme="majorHAnsi" w:hAnsiTheme="majorHAnsi"/>
          <w:sz w:val="20"/>
          <w:szCs w:val="20"/>
          <w:lang w:val="es-ES_tradnl"/>
        </w:rPr>
        <w:t xml:space="preserve"> </w:t>
      </w:r>
      <w:r w:rsidR="00DC16E6" w:rsidRPr="0002451E">
        <w:rPr>
          <w:rFonts w:asciiTheme="majorHAnsi" w:hAnsiTheme="majorHAnsi"/>
          <w:sz w:val="20"/>
          <w:szCs w:val="20"/>
          <w:lang w:val="es-ES_tradnl"/>
        </w:rPr>
        <w:t xml:space="preserve">como tal, </w:t>
      </w:r>
      <w:r w:rsidR="001A0304" w:rsidRPr="0002451E">
        <w:rPr>
          <w:rFonts w:asciiTheme="majorHAnsi" w:hAnsiTheme="majorHAnsi"/>
          <w:sz w:val="20"/>
          <w:szCs w:val="20"/>
          <w:lang w:val="es-ES_tradnl"/>
        </w:rPr>
        <w:t xml:space="preserve">y </w:t>
      </w:r>
      <w:r w:rsidR="00DC16E6" w:rsidRPr="0002451E">
        <w:rPr>
          <w:rFonts w:asciiTheme="majorHAnsi" w:hAnsiTheme="majorHAnsi"/>
          <w:sz w:val="20"/>
          <w:szCs w:val="20"/>
          <w:lang w:val="es-ES_tradnl"/>
        </w:rPr>
        <w:t xml:space="preserve">a </w:t>
      </w:r>
      <w:r w:rsidR="001A0304" w:rsidRPr="0002451E">
        <w:rPr>
          <w:rFonts w:asciiTheme="majorHAnsi" w:hAnsiTheme="majorHAnsi"/>
          <w:sz w:val="20"/>
          <w:szCs w:val="20"/>
          <w:lang w:val="es-ES_tradnl"/>
        </w:rPr>
        <w:t xml:space="preserve">su carácter de factor causal </w:t>
      </w:r>
      <w:r w:rsidR="00DC16E6" w:rsidRPr="0002451E">
        <w:rPr>
          <w:rFonts w:asciiTheme="majorHAnsi" w:hAnsiTheme="majorHAnsi"/>
          <w:sz w:val="20"/>
          <w:szCs w:val="20"/>
          <w:lang w:val="es-ES_tradnl"/>
        </w:rPr>
        <w:t xml:space="preserve">directo </w:t>
      </w:r>
      <w:r w:rsidR="001A0304" w:rsidRPr="0002451E">
        <w:rPr>
          <w:rFonts w:asciiTheme="majorHAnsi" w:hAnsiTheme="majorHAnsi"/>
          <w:sz w:val="20"/>
          <w:szCs w:val="20"/>
          <w:lang w:val="es-ES_tradnl"/>
        </w:rPr>
        <w:t xml:space="preserve">de las muertes de los señores Bustamante, Vargas y Cardona, así como a la inoperancia de la justicia penal doméstica frente a las mismas. </w:t>
      </w:r>
    </w:p>
    <w:p w14:paraId="390DDD62" w14:textId="1CF411EE" w:rsidR="00A26E90" w:rsidRPr="0002451E" w:rsidRDefault="000A0FEF" w:rsidP="000A0F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451E">
        <w:rPr>
          <w:rFonts w:asciiTheme="majorHAnsi" w:hAnsiTheme="majorHAnsi"/>
          <w:sz w:val="20"/>
          <w:szCs w:val="20"/>
          <w:lang w:val="es-ES_tradnl"/>
        </w:rPr>
        <w:t>2</w:t>
      </w:r>
      <w:r w:rsidR="00D063E3" w:rsidRPr="0002451E">
        <w:rPr>
          <w:rFonts w:asciiTheme="majorHAnsi" w:hAnsiTheme="majorHAnsi"/>
          <w:sz w:val="20"/>
          <w:szCs w:val="20"/>
          <w:lang w:val="es-ES_tradnl"/>
        </w:rPr>
        <w:t>1</w:t>
      </w:r>
      <w:r w:rsidRPr="0002451E">
        <w:rPr>
          <w:rFonts w:asciiTheme="majorHAnsi" w:hAnsiTheme="majorHAnsi"/>
          <w:sz w:val="20"/>
          <w:szCs w:val="20"/>
          <w:lang w:val="es-ES_tradnl"/>
        </w:rPr>
        <w:t xml:space="preserve">. </w:t>
      </w:r>
      <w:r w:rsidR="00923342" w:rsidRPr="0002451E">
        <w:rPr>
          <w:rFonts w:asciiTheme="majorHAnsi" w:hAnsiTheme="majorHAnsi"/>
          <w:sz w:val="20"/>
          <w:szCs w:val="20"/>
          <w:lang w:val="es-ES_tradnl"/>
        </w:rPr>
        <w:tab/>
      </w:r>
      <w:r w:rsidR="00A26E90" w:rsidRPr="0002451E">
        <w:rPr>
          <w:rFonts w:asciiTheme="majorHAnsi" w:hAnsiTheme="majorHAnsi"/>
          <w:sz w:val="20"/>
          <w:szCs w:val="20"/>
          <w:lang w:val="es-ES_tradnl"/>
        </w:rPr>
        <w:t>En la misma línea, la CIDH difiere del Estado en cuanto a su caracterización de la descripción de los hechos efectuada en la petición como un “contexto”</w:t>
      </w:r>
      <w:r w:rsidR="00B54F8C" w:rsidRPr="0002451E">
        <w:rPr>
          <w:rFonts w:asciiTheme="majorHAnsi" w:hAnsiTheme="majorHAnsi"/>
          <w:sz w:val="20"/>
          <w:szCs w:val="20"/>
          <w:lang w:val="es-ES_tradnl"/>
        </w:rPr>
        <w:t>,</w:t>
      </w:r>
      <w:r w:rsidR="00A26E90" w:rsidRPr="0002451E">
        <w:rPr>
          <w:rFonts w:asciiTheme="majorHAnsi" w:hAnsiTheme="majorHAnsi"/>
          <w:sz w:val="20"/>
          <w:szCs w:val="20"/>
          <w:lang w:val="es-ES_tradnl"/>
        </w:rPr>
        <w:t xml:space="preserve"> que no puede ser tenido en cuenta para efectos de deducir la responsabilidad internacional de Colombia. Dicha caracterización </w:t>
      </w:r>
      <w:r w:rsidR="00DC16E6" w:rsidRPr="0002451E">
        <w:rPr>
          <w:rFonts w:asciiTheme="majorHAnsi" w:hAnsiTheme="majorHAnsi"/>
          <w:sz w:val="20"/>
          <w:szCs w:val="20"/>
          <w:lang w:val="es-ES_tradnl"/>
        </w:rPr>
        <w:t xml:space="preserve">en tanto “contexto” </w:t>
      </w:r>
      <w:r w:rsidR="00A26E90" w:rsidRPr="0002451E">
        <w:rPr>
          <w:rFonts w:asciiTheme="majorHAnsi" w:hAnsiTheme="majorHAnsi"/>
          <w:sz w:val="20"/>
          <w:szCs w:val="20"/>
          <w:lang w:val="es-ES_tradnl"/>
        </w:rPr>
        <w:t>se refiere, en lo esencial, al fallo de la Procuraduría General de la Nación que destituyó a dos altos mandos de la Policía Metropolitana del Valle de Aburrá</w:t>
      </w:r>
      <w:r w:rsidR="00C30DD4" w:rsidRPr="0002451E">
        <w:rPr>
          <w:rFonts w:asciiTheme="majorHAnsi" w:hAnsiTheme="majorHAnsi"/>
          <w:sz w:val="20"/>
          <w:szCs w:val="20"/>
          <w:lang w:val="es-ES_tradnl"/>
        </w:rPr>
        <w:t xml:space="preserve"> como consecuencia de sus actos y omisiones durante la </w:t>
      </w:r>
      <w:r w:rsidR="0005536F" w:rsidRPr="0002451E">
        <w:rPr>
          <w:rFonts w:asciiTheme="majorHAnsi" w:hAnsiTheme="majorHAnsi"/>
          <w:sz w:val="20"/>
          <w:szCs w:val="20"/>
          <w:lang w:val="es-ES_tradnl"/>
        </w:rPr>
        <w:t>“</w:t>
      </w:r>
      <w:r w:rsidR="00C30DD4" w:rsidRPr="0002451E">
        <w:rPr>
          <w:rFonts w:asciiTheme="majorHAnsi" w:hAnsiTheme="majorHAnsi"/>
          <w:sz w:val="20"/>
          <w:szCs w:val="20"/>
          <w:lang w:val="es-ES_tradnl"/>
        </w:rPr>
        <w:t>Operación Mariscal</w:t>
      </w:r>
      <w:r w:rsidR="0005536F" w:rsidRPr="0002451E">
        <w:rPr>
          <w:rFonts w:asciiTheme="majorHAnsi" w:hAnsiTheme="majorHAnsi"/>
          <w:sz w:val="20"/>
          <w:szCs w:val="20"/>
          <w:lang w:val="es-ES_tradnl"/>
        </w:rPr>
        <w:t>”</w:t>
      </w:r>
      <w:r w:rsidR="00C30DD4" w:rsidRPr="0002451E">
        <w:rPr>
          <w:rFonts w:asciiTheme="majorHAnsi" w:hAnsiTheme="majorHAnsi"/>
          <w:sz w:val="20"/>
          <w:szCs w:val="20"/>
          <w:lang w:val="es-ES_tradnl"/>
        </w:rPr>
        <w:t>.</w:t>
      </w:r>
      <w:r w:rsidR="00A26E90" w:rsidRPr="0002451E">
        <w:rPr>
          <w:rFonts w:asciiTheme="majorHAnsi" w:hAnsiTheme="majorHAnsi"/>
          <w:sz w:val="20"/>
          <w:szCs w:val="20"/>
          <w:lang w:val="es-ES_tradnl"/>
        </w:rPr>
        <w:t xml:space="preserve"> </w:t>
      </w:r>
      <w:r w:rsidR="00C30DD4" w:rsidRPr="0002451E">
        <w:rPr>
          <w:rFonts w:asciiTheme="majorHAnsi" w:hAnsiTheme="majorHAnsi"/>
          <w:sz w:val="20"/>
          <w:szCs w:val="20"/>
          <w:lang w:val="es-ES_tradnl"/>
        </w:rPr>
        <w:t xml:space="preserve">Sin embargo, </w:t>
      </w:r>
      <w:r w:rsidR="00DC16E6" w:rsidRPr="0002451E">
        <w:rPr>
          <w:rFonts w:asciiTheme="majorHAnsi" w:hAnsiTheme="majorHAnsi"/>
          <w:sz w:val="20"/>
          <w:szCs w:val="20"/>
          <w:lang w:val="es-ES_tradnl"/>
        </w:rPr>
        <w:t xml:space="preserve">considera la Comisión que </w:t>
      </w:r>
      <w:r w:rsidR="00A26E90" w:rsidRPr="0002451E">
        <w:rPr>
          <w:rFonts w:asciiTheme="majorHAnsi" w:hAnsiTheme="majorHAnsi"/>
          <w:sz w:val="20"/>
          <w:szCs w:val="20"/>
          <w:lang w:val="es-ES_tradnl"/>
        </w:rPr>
        <w:t xml:space="preserve">esa decisión disciplinaria, lejos de ser un mero elemento de contexto, provee una prueba </w:t>
      </w:r>
      <w:r w:rsidR="00C30DD4" w:rsidRPr="0002451E">
        <w:rPr>
          <w:rFonts w:asciiTheme="majorHAnsi" w:hAnsiTheme="majorHAnsi"/>
          <w:sz w:val="20"/>
          <w:szCs w:val="20"/>
          <w:lang w:val="es-ES_tradnl"/>
        </w:rPr>
        <w:t xml:space="preserve">directa </w:t>
      </w:r>
      <w:r w:rsidR="00A26E90" w:rsidRPr="0002451E">
        <w:rPr>
          <w:rFonts w:asciiTheme="majorHAnsi" w:hAnsiTheme="majorHAnsi"/>
          <w:sz w:val="20"/>
          <w:szCs w:val="20"/>
          <w:lang w:val="es-ES_tradnl"/>
        </w:rPr>
        <w:t>importante sobre la ocurrencia de los hechos mismos que generaron las tres muertes materia del reclamo interamericano</w:t>
      </w:r>
      <w:r w:rsidR="00B54F8C" w:rsidRPr="0002451E">
        <w:rPr>
          <w:rFonts w:asciiTheme="majorHAnsi" w:hAnsiTheme="majorHAnsi"/>
          <w:sz w:val="20"/>
          <w:szCs w:val="20"/>
          <w:lang w:val="es-ES_tradnl"/>
        </w:rPr>
        <w:t xml:space="preserve">. </w:t>
      </w:r>
    </w:p>
    <w:p w14:paraId="312F9BF0" w14:textId="44D309F4" w:rsidR="00BB6A9A" w:rsidRPr="0002451E" w:rsidRDefault="000A0FEF" w:rsidP="000A0F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451E">
        <w:rPr>
          <w:rFonts w:asciiTheme="majorHAnsi" w:hAnsiTheme="majorHAnsi"/>
          <w:sz w:val="20"/>
          <w:szCs w:val="20"/>
          <w:lang w:val="es-ES_tradnl"/>
        </w:rPr>
        <w:t>2</w:t>
      </w:r>
      <w:r w:rsidR="00D063E3" w:rsidRPr="0002451E">
        <w:rPr>
          <w:rFonts w:asciiTheme="majorHAnsi" w:hAnsiTheme="majorHAnsi"/>
          <w:sz w:val="20"/>
          <w:szCs w:val="20"/>
          <w:lang w:val="es-ES_tradnl"/>
        </w:rPr>
        <w:t>2</w:t>
      </w:r>
      <w:r w:rsidRPr="0002451E">
        <w:rPr>
          <w:rFonts w:asciiTheme="majorHAnsi" w:hAnsiTheme="majorHAnsi"/>
          <w:sz w:val="20"/>
          <w:szCs w:val="20"/>
          <w:lang w:val="es-ES_tradnl"/>
        </w:rPr>
        <w:t xml:space="preserve">. </w:t>
      </w:r>
      <w:r w:rsidR="00923342" w:rsidRPr="0002451E">
        <w:rPr>
          <w:rFonts w:asciiTheme="majorHAnsi" w:hAnsiTheme="majorHAnsi"/>
          <w:sz w:val="20"/>
          <w:szCs w:val="20"/>
          <w:lang w:val="es-ES_tradnl"/>
        </w:rPr>
        <w:tab/>
        <w:t>Hechas estas precisiones, l</w:t>
      </w:r>
      <w:r w:rsidR="00A26E90" w:rsidRPr="0002451E">
        <w:rPr>
          <w:rFonts w:asciiTheme="majorHAnsi" w:hAnsiTheme="majorHAnsi"/>
          <w:sz w:val="20"/>
          <w:szCs w:val="20"/>
          <w:lang w:val="es-ES_tradnl"/>
        </w:rPr>
        <w:t xml:space="preserve">a Comisión Interamericana considera que los hechos descritos en la petición caracterizan </w:t>
      </w:r>
      <w:r w:rsidR="0005536F" w:rsidRPr="0002451E">
        <w:rPr>
          <w:rFonts w:asciiTheme="majorHAnsi" w:hAnsiTheme="majorHAnsi"/>
          <w:i/>
          <w:iCs/>
          <w:sz w:val="20"/>
          <w:szCs w:val="20"/>
          <w:lang w:val="es-ES_tradnl"/>
        </w:rPr>
        <w:t>prima facie</w:t>
      </w:r>
      <w:r w:rsidR="0005536F" w:rsidRPr="0002451E">
        <w:rPr>
          <w:rFonts w:asciiTheme="majorHAnsi" w:hAnsiTheme="majorHAnsi"/>
          <w:sz w:val="20"/>
          <w:szCs w:val="20"/>
          <w:lang w:val="es-ES_tradnl"/>
        </w:rPr>
        <w:t xml:space="preserve"> </w:t>
      </w:r>
      <w:r w:rsidR="00A26E90" w:rsidRPr="0002451E">
        <w:rPr>
          <w:rFonts w:asciiTheme="majorHAnsi" w:hAnsiTheme="majorHAnsi"/>
          <w:sz w:val="20"/>
          <w:szCs w:val="20"/>
          <w:lang w:val="es-ES_tradnl"/>
        </w:rPr>
        <w:t xml:space="preserve">posibles violaciones de los derechos a la vida y la integridad personal de las personas que </w:t>
      </w:r>
      <w:r w:rsidR="0005536F" w:rsidRPr="0002451E">
        <w:rPr>
          <w:rFonts w:asciiTheme="majorHAnsi" w:hAnsiTheme="majorHAnsi"/>
          <w:sz w:val="20"/>
          <w:szCs w:val="20"/>
          <w:lang w:val="es-ES_tradnl"/>
        </w:rPr>
        <w:t xml:space="preserve">perecieron </w:t>
      </w:r>
      <w:r w:rsidR="00A26E90" w:rsidRPr="0002451E">
        <w:rPr>
          <w:rFonts w:asciiTheme="majorHAnsi" w:hAnsiTheme="majorHAnsi"/>
          <w:sz w:val="20"/>
          <w:szCs w:val="20"/>
          <w:lang w:val="es-ES_tradnl"/>
        </w:rPr>
        <w:t xml:space="preserve">en el curso de los enfrentamientos </w:t>
      </w:r>
      <w:r w:rsidR="00C30DD4" w:rsidRPr="0002451E">
        <w:rPr>
          <w:rFonts w:asciiTheme="majorHAnsi" w:hAnsiTheme="majorHAnsi"/>
          <w:sz w:val="20"/>
          <w:szCs w:val="20"/>
          <w:lang w:val="es-ES_tradnl"/>
        </w:rPr>
        <w:t xml:space="preserve">armados </w:t>
      </w:r>
      <w:r w:rsidR="00A26E90" w:rsidRPr="0002451E">
        <w:rPr>
          <w:rFonts w:asciiTheme="majorHAnsi" w:hAnsiTheme="majorHAnsi"/>
          <w:sz w:val="20"/>
          <w:szCs w:val="20"/>
          <w:lang w:val="es-ES_tradnl"/>
        </w:rPr>
        <w:t xml:space="preserve">desatados en </w:t>
      </w:r>
      <w:r w:rsidR="0005536F" w:rsidRPr="0002451E">
        <w:rPr>
          <w:rFonts w:asciiTheme="majorHAnsi" w:hAnsiTheme="majorHAnsi"/>
          <w:sz w:val="20"/>
          <w:szCs w:val="20"/>
          <w:lang w:val="es-ES_tradnl"/>
        </w:rPr>
        <w:t xml:space="preserve">una </w:t>
      </w:r>
      <w:r w:rsidR="00A26E90" w:rsidRPr="0002451E">
        <w:rPr>
          <w:rFonts w:asciiTheme="majorHAnsi" w:hAnsiTheme="majorHAnsi"/>
          <w:sz w:val="20"/>
          <w:szCs w:val="20"/>
          <w:lang w:val="es-ES_tradnl"/>
        </w:rPr>
        <w:t xml:space="preserve">zona urbana densamente poblada tras el inicio de la “Operación Mariscal”. </w:t>
      </w:r>
      <w:r w:rsidR="00611BBF" w:rsidRPr="0002451E">
        <w:rPr>
          <w:rFonts w:asciiTheme="majorHAnsi" w:hAnsiTheme="majorHAnsi"/>
          <w:sz w:val="20"/>
          <w:szCs w:val="20"/>
          <w:lang w:val="es-ES_tradnl"/>
        </w:rPr>
        <w:t>Es necesari</w:t>
      </w:r>
      <w:r w:rsidR="00A26E90" w:rsidRPr="0002451E">
        <w:rPr>
          <w:rFonts w:asciiTheme="majorHAnsi" w:hAnsiTheme="majorHAnsi"/>
          <w:sz w:val="20"/>
          <w:szCs w:val="20"/>
          <w:lang w:val="es-ES_tradnl"/>
        </w:rPr>
        <w:t>o, en particular,</w:t>
      </w:r>
      <w:r w:rsidR="00611BBF" w:rsidRPr="0002451E">
        <w:rPr>
          <w:rFonts w:asciiTheme="majorHAnsi" w:hAnsiTheme="majorHAnsi"/>
          <w:sz w:val="20"/>
          <w:szCs w:val="20"/>
          <w:lang w:val="es-ES_tradnl"/>
        </w:rPr>
        <w:t xml:space="preserve"> verificar la compatibilidad de lo ocurrido con los estándares interamericanos </w:t>
      </w:r>
      <w:r w:rsidR="00A26E90" w:rsidRPr="0002451E">
        <w:rPr>
          <w:rFonts w:asciiTheme="majorHAnsi" w:hAnsiTheme="majorHAnsi"/>
          <w:sz w:val="20"/>
          <w:szCs w:val="20"/>
          <w:lang w:val="es-ES_tradnl"/>
        </w:rPr>
        <w:t>ya consolidados en materia d</w:t>
      </w:r>
      <w:r w:rsidR="00611BBF" w:rsidRPr="0002451E">
        <w:rPr>
          <w:rFonts w:asciiTheme="majorHAnsi" w:hAnsiTheme="majorHAnsi"/>
          <w:sz w:val="20"/>
          <w:szCs w:val="20"/>
          <w:lang w:val="es-ES_tradnl"/>
        </w:rPr>
        <w:t xml:space="preserve">el uso de </w:t>
      </w:r>
      <w:r w:rsidR="0005536F" w:rsidRPr="0002451E">
        <w:rPr>
          <w:rFonts w:asciiTheme="majorHAnsi" w:hAnsiTheme="majorHAnsi"/>
          <w:sz w:val="20"/>
          <w:szCs w:val="20"/>
          <w:lang w:val="es-ES_tradnl"/>
        </w:rPr>
        <w:t xml:space="preserve">armas de fuego </w:t>
      </w:r>
      <w:r w:rsidR="00611BBF" w:rsidRPr="0002451E">
        <w:rPr>
          <w:rFonts w:asciiTheme="majorHAnsi" w:hAnsiTheme="majorHAnsi"/>
          <w:sz w:val="20"/>
          <w:szCs w:val="20"/>
          <w:lang w:val="es-ES_tradnl"/>
        </w:rPr>
        <w:t>por parte de agentes del Estado, especial</w:t>
      </w:r>
      <w:r w:rsidR="0005536F" w:rsidRPr="0002451E">
        <w:rPr>
          <w:rFonts w:asciiTheme="majorHAnsi" w:hAnsiTheme="majorHAnsi"/>
          <w:sz w:val="20"/>
          <w:szCs w:val="20"/>
          <w:lang w:val="es-ES_tradnl"/>
        </w:rPr>
        <w:t>mente</w:t>
      </w:r>
      <w:r w:rsidR="00611BBF" w:rsidRPr="0002451E">
        <w:rPr>
          <w:rFonts w:asciiTheme="majorHAnsi" w:hAnsiTheme="majorHAnsi"/>
          <w:sz w:val="20"/>
          <w:szCs w:val="20"/>
          <w:lang w:val="es-ES_tradnl"/>
        </w:rPr>
        <w:t xml:space="preserve"> en la medida en que el desarrollo de la “Operación Mariscal” degeneró en un</w:t>
      </w:r>
      <w:r w:rsidR="00C30DD4" w:rsidRPr="0002451E">
        <w:rPr>
          <w:rFonts w:asciiTheme="majorHAnsi" w:hAnsiTheme="majorHAnsi"/>
          <w:sz w:val="20"/>
          <w:szCs w:val="20"/>
          <w:lang w:val="es-ES_tradnl"/>
        </w:rPr>
        <w:t>a</w:t>
      </w:r>
      <w:r w:rsidR="00611BBF" w:rsidRPr="0002451E">
        <w:rPr>
          <w:rFonts w:asciiTheme="majorHAnsi" w:hAnsiTheme="majorHAnsi"/>
          <w:sz w:val="20"/>
          <w:szCs w:val="20"/>
          <w:lang w:val="es-ES_tradnl"/>
        </w:rPr>
        <w:t xml:space="preserve"> </w:t>
      </w:r>
      <w:r w:rsidR="00A26E90" w:rsidRPr="0002451E">
        <w:rPr>
          <w:rFonts w:asciiTheme="majorHAnsi" w:hAnsiTheme="majorHAnsi"/>
          <w:sz w:val="20"/>
          <w:szCs w:val="20"/>
          <w:lang w:val="es-ES_tradnl"/>
        </w:rPr>
        <w:t xml:space="preserve">grave </w:t>
      </w:r>
      <w:r w:rsidR="00C30DD4" w:rsidRPr="0002451E">
        <w:rPr>
          <w:rFonts w:asciiTheme="majorHAnsi" w:hAnsiTheme="majorHAnsi"/>
          <w:sz w:val="20"/>
          <w:szCs w:val="20"/>
          <w:lang w:val="es-ES_tradnl"/>
        </w:rPr>
        <w:t xml:space="preserve">y dilatada confrontación </w:t>
      </w:r>
      <w:r w:rsidR="00611BBF" w:rsidRPr="0002451E">
        <w:rPr>
          <w:rFonts w:asciiTheme="majorHAnsi" w:hAnsiTheme="majorHAnsi"/>
          <w:sz w:val="20"/>
          <w:szCs w:val="20"/>
          <w:lang w:val="es-ES_tradnl"/>
        </w:rPr>
        <w:t>armad</w:t>
      </w:r>
      <w:r w:rsidR="00C30DD4" w:rsidRPr="0002451E">
        <w:rPr>
          <w:rFonts w:asciiTheme="majorHAnsi" w:hAnsiTheme="majorHAnsi"/>
          <w:sz w:val="20"/>
          <w:szCs w:val="20"/>
          <w:lang w:val="es-ES_tradnl"/>
        </w:rPr>
        <w:t xml:space="preserve">a </w:t>
      </w:r>
      <w:r w:rsidR="00611BBF" w:rsidRPr="0002451E">
        <w:rPr>
          <w:rFonts w:asciiTheme="majorHAnsi" w:hAnsiTheme="majorHAnsi"/>
          <w:sz w:val="20"/>
          <w:szCs w:val="20"/>
          <w:lang w:val="es-ES_tradnl"/>
        </w:rPr>
        <w:t xml:space="preserve">en </w:t>
      </w:r>
      <w:r w:rsidR="00A26E90" w:rsidRPr="0002451E">
        <w:rPr>
          <w:rFonts w:asciiTheme="majorHAnsi" w:hAnsiTheme="majorHAnsi"/>
          <w:sz w:val="20"/>
          <w:szCs w:val="20"/>
          <w:lang w:val="es-ES_tradnl"/>
        </w:rPr>
        <w:t>plenos barrios populares de Medellín</w:t>
      </w:r>
      <w:r w:rsidR="00611BBF" w:rsidRPr="0002451E">
        <w:rPr>
          <w:rFonts w:asciiTheme="majorHAnsi" w:hAnsiTheme="majorHAnsi"/>
          <w:sz w:val="20"/>
          <w:szCs w:val="20"/>
          <w:lang w:val="es-ES_tradnl"/>
        </w:rPr>
        <w:t xml:space="preserve">, sin que aparentemente se hubiesen tomado medidas para prevenir muertes o lesiones entre la ciudadanía que quedó atrapada </w:t>
      </w:r>
      <w:r w:rsidR="00C30DD4" w:rsidRPr="0002451E">
        <w:rPr>
          <w:rFonts w:asciiTheme="majorHAnsi" w:hAnsiTheme="majorHAnsi"/>
          <w:sz w:val="20"/>
          <w:szCs w:val="20"/>
          <w:lang w:val="es-ES_tradnl"/>
        </w:rPr>
        <w:t xml:space="preserve">e indefensa </w:t>
      </w:r>
      <w:r w:rsidR="00611BBF" w:rsidRPr="0002451E">
        <w:rPr>
          <w:rFonts w:asciiTheme="majorHAnsi" w:hAnsiTheme="majorHAnsi"/>
          <w:sz w:val="20"/>
          <w:szCs w:val="20"/>
          <w:lang w:val="es-ES_tradnl"/>
        </w:rPr>
        <w:t xml:space="preserve">en medio del tiroteo. </w:t>
      </w:r>
    </w:p>
    <w:p w14:paraId="62B62F49" w14:textId="6181A3B5" w:rsidR="005A3285" w:rsidRPr="0002451E" w:rsidRDefault="000A0FEF" w:rsidP="000A0F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451E">
        <w:rPr>
          <w:rFonts w:asciiTheme="majorHAnsi" w:hAnsiTheme="majorHAnsi"/>
          <w:sz w:val="20"/>
          <w:szCs w:val="20"/>
          <w:lang w:val="es-ES_tradnl"/>
        </w:rPr>
        <w:t>2</w:t>
      </w:r>
      <w:r w:rsidR="00D063E3" w:rsidRPr="0002451E">
        <w:rPr>
          <w:rFonts w:asciiTheme="majorHAnsi" w:hAnsiTheme="majorHAnsi"/>
          <w:sz w:val="20"/>
          <w:szCs w:val="20"/>
          <w:lang w:val="es-ES_tradnl"/>
        </w:rPr>
        <w:t>3</w:t>
      </w:r>
      <w:r w:rsidRPr="0002451E">
        <w:rPr>
          <w:rFonts w:asciiTheme="majorHAnsi" w:hAnsiTheme="majorHAnsi"/>
          <w:sz w:val="20"/>
          <w:szCs w:val="20"/>
          <w:lang w:val="es-ES_tradnl"/>
        </w:rPr>
        <w:t xml:space="preserve">. </w:t>
      </w:r>
      <w:r w:rsidR="00A43622" w:rsidRPr="0002451E">
        <w:rPr>
          <w:rFonts w:asciiTheme="majorHAnsi" w:hAnsiTheme="majorHAnsi"/>
          <w:sz w:val="20"/>
          <w:szCs w:val="20"/>
          <w:lang w:val="es-ES_tradnl"/>
        </w:rPr>
        <w:tab/>
      </w:r>
      <w:r w:rsidR="00A26E90" w:rsidRPr="0002451E">
        <w:rPr>
          <w:rFonts w:asciiTheme="majorHAnsi" w:hAnsiTheme="majorHAnsi"/>
          <w:sz w:val="20"/>
          <w:szCs w:val="20"/>
          <w:lang w:val="es-ES_tradnl"/>
        </w:rPr>
        <w:t xml:space="preserve">En cuanto a la solicitud del Estado </w:t>
      </w:r>
      <w:r w:rsidR="00C30DD4" w:rsidRPr="0002451E">
        <w:rPr>
          <w:rFonts w:asciiTheme="majorHAnsi" w:hAnsiTheme="majorHAnsi"/>
          <w:sz w:val="20"/>
          <w:szCs w:val="20"/>
          <w:lang w:val="es-ES_tradnl"/>
        </w:rPr>
        <w:t xml:space="preserve">en el sentido </w:t>
      </w:r>
      <w:r w:rsidR="00A26E90" w:rsidRPr="0002451E">
        <w:rPr>
          <w:rFonts w:asciiTheme="majorHAnsi" w:hAnsiTheme="majorHAnsi"/>
          <w:sz w:val="20"/>
          <w:szCs w:val="20"/>
          <w:lang w:val="es-ES_tradnl"/>
        </w:rPr>
        <w:t xml:space="preserve">de que se excluyan de consideración los artículos de los Convenios de Ginebra y sus Protocolos Adicionales invocados en la petición, la CIDH concuerda </w:t>
      </w:r>
      <w:r w:rsidR="001647AA" w:rsidRPr="0002451E">
        <w:rPr>
          <w:rFonts w:asciiTheme="majorHAnsi" w:hAnsiTheme="majorHAnsi"/>
          <w:sz w:val="20"/>
          <w:szCs w:val="20"/>
          <w:lang w:val="es-ES_tradnl"/>
        </w:rPr>
        <w:t xml:space="preserve">con </w:t>
      </w:r>
      <w:r w:rsidR="00A26E90" w:rsidRPr="0002451E">
        <w:rPr>
          <w:rFonts w:asciiTheme="majorHAnsi" w:hAnsiTheme="majorHAnsi"/>
          <w:sz w:val="20"/>
          <w:szCs w:val="20"/>
          <w:lang w:val="es-ES_tradnl"/>
        </w:rPr>
        <w:t xml:space="preserve">que éstos no forman parte de su ámbito competencial </w:t>
      </w:r>
      <w:r w:rsidR="00A26E90" w:rsidRPr="0002451E">
        <w:rPr>
          <w:rFonts w:asciiTheme="majorHAnsi" w:hAnsiTheme="majorHAnsi"/>
          <w:i/>
          <w:iCs/>
          <w:sz w:val="20"/>
          <w:szCs w:val="20"/>
          <w:lang w:val="es-ES_tradnl"/>
        </w:rPr>
        <w:t>ratione materiae</w:t>
      </w:r>
      <w:r w:rsidR="00A43622" w:rsidRPr="0002451E">
        <w:rPr>
          <w:rFonts w:asciiTheme="majorHAnsi" w:hAnsiTheme="majorHAnsi"/>
          <w:sz w:val="20"/>
          <w:szCs w:val="20"/>
          <w:lang w:val="es-ES_tradnl"/>
        </w:rPr>
        <w:t>;</w:t>
      </w:r>
      <w:r w:rsidR="00A26E90" w:rsidRPr="0002451E">
        <w:rPr>
          <w:rFonts w:asciiTheme="majorHAnsi" w:hAnsiTheme="majorHAnsi"/>
          <w:sz w:val="20"/>
          <w:szCs w:val="20"/>
          <w:lang w:val="es-ES_tradnl"/>
        </w:rPr>
        <w:t xml:space="preserve"> y por lo tanto no serán admitidos en el presente informe. Ello no obsta para precisar que, </w:t>
      </w:r>
      <w:r w:rsidR="005A3285" w:rsidRPr="0002451E">
        <w:rPr>
          <w:rFonts w:asciiTheme="majorHAnsi" w:hAnsiTheme="majorHAnsi"/>
          <w:sz w:val="20"/>
          <w:szCs w:val="20"/>
          <w:lang w:val="es-ES_tradnl"/>
        </w:rPr>
        <w:t xml:space="preserve">de conformidad con </w:t>
      </w:r>
      <w:r w:rsidR="00A26E90" w:rsidRPr="0002451E">
        <w:rPr>
          <w:rFonts w:asciiTheme="majorHAnsi" w:hAnsiTheme="majorHAnsi"/>
          <w:sz w:val="20"/>
          <w:szCs w:val="20"/>
          <w:lang w:val="es-ES_tradnl"/>
        </w:rPr>
        <w:t xml:space="preserve">las reglas hermenéuticas plasmadas en </w:t>
      </w:r>
      <w:r w:rsidR="005A3285" w:rsidRPr="0002451E">
        <w:rPr>
          <w:rFonts w:asciiTheme="majorHAnsi" w:hAnsiTheme="majorHAnsi"/>
          <w:sz w:val="20"/>
          <w:szCs w:val="20"/>
          <w:lang w:val="es-ES_tradnl"/>
        </w:rPr>
        <w:t>el artículo 29 de la Convención, la Comisión los pued</w:t>
      </w:r>
      <w:r w:rsidR="001647AA" w:rsidRPr="0002451E">
        <w:rPr>
          <w:rFonts w:asciiTheme="majorHAnsi" w:hAnsiTheme="majorHAnsi"/>
          <w:sz w:val="20"/>
          <w:szCs w:val="20"/>
          <w:lang w:val="es-ES_tradnl"/>
        </w:rPr>
        <w:t>e</w:t>
      </w:r>
      <w:r w:rsidR="005A3285" w:rsidRPr="0002451E">
        <w:rPr>
          <w:rFonts w:asciiTheme="majorHAnsi" w:hAnsiTheme="majorHAnsi"/>
          <w:sz w:val="20"/>
          <w:szCs w:val="20"/>
          <w:lang w:val="es-ES_tradnl"/>
        </w:rPr>
        <w:t xml:space="preserve"> </w:t>
      </w:r>
      <w:r w:rsidR="00A26E90" w:rsidRPr="0002451E">
        <w:rPr>
          <w:rFonts w:asciiTheme="majorHAnsi" w:hAnsiTheme="majorHAnsi"/>
          <w:sz w:val="20"/>
          <w:szCs w:val="20"/>
          <w:lang w:val="es-ES_tradnl"/>
        </w:rPr>
        <w:t xml:space="preserve">eventualmente </w:t>
      </w:r>
      <w:r w:rsidR="005A3285" w:rsidRPr="0002451E">
        <w:rPr>
          <w:rFonts w:asciiTheme="majorHAnsi" w:hAnsiTheme="majorHAnsi"/>
          <w:sz w:val="20"/>
          <w:szCs w:val="20"/>
          <w:lang w:val="es-ES_tradnl"/>
        </w:rPr>
        <w:t xml:space="preserve">tomar en cuenta para </w:t>
      </w:r>
      <w:r w:rsidR="00A26E90" w:rsidRPr="0002451E">
        <w:rPr>
          <w:rFonts w:asciiTheme="majorHAnsi" w:hAnsiTheme="majorHAnsi"/>
          <w:sz w:val="20"/>
          <w:szCs w:val="20"/>
          <w:lang w:val="es-ES_tradnl"/>
        </w:rPr>
        <w:t xml:space="preserve">efectos de </w:t>
      </w:r>
      <w:r w:rsidR="005A3285" w:rsidRPr="0002451E">
        <w:rPr>
          <w:rFonts w:asciiTheme="majorHAnsi" w:hAnsiTheme="majorHAnsi"/>
          <w:sz w:val="20"/>
          <w:szCs w:val="20"/>
          <w:lang w:val="es-ES_tradnl"/>
        </w:rPr>
        <w:t xml:space="preserve">interpretar y aplicar la Convención Americana y otros instrumentos </w:t>
      </w:r>
      <w:r w:rsidR="00A26E90" w:rsidRPr="0002451E">
        <w:rPr>
          <w:rFonts w:asciiTheme="majorHAnsi" w:hAnsiTheme="majorHAnsi"/>
          <w:sz w:val="20"/>
          <w:szCs w:val="20"/>
          <w:lang w:val="es-ES_tradnl"/>
        </w:rPr>
        <w:t>pertinentes</w:t>
      </w:r>
      <w:r w:rsidR="005A3285" w:rsidRPr="0002451E">
        <w:rPr>
          <w:rStyle w:val="FootnoteReference"/>
          <w:rFonts w:asciiTheme="majorHAnsi" w:hAnsiTheme="majorHAnsi"/>
          <w:sz w:val="20"/>
          <w:szCs w:val="20"/>
          <w:lang w:val="es-ES_tradnl"/>
        </w:rPr>
        <w:footnoteReference w:id="7"/>
      </w:r>
      <w:r w:rsidR="00C30DD4" w:rsidRPr="0002451E">
        <w:rPr>
          <w:rFonts w:asciiTheme="majorHAnsi" w:hAnsiTheme="majorHAnsi"/>
          <w:sz w:val="20"/>
          <w:szCs w:val="20"/>
          <w:lang w:val="es-ES_tradnl"/>
        </w:rPr>
        <w:t xml:space="preserve">, tanto en sí mismos como en su interpretación y aplicación en decisiones precedentes de los organismos del Sistema </w:t>
      </w:r>
      <w:r w:rsidR="001647AA" w:rsidRPr="0002451E">
        <w:rPr>
          <w:rFonts w:asciiTheme="majorHAnsi" w:hAnsiTheme="majorHAnsi"/>
          <w:sz w:val="20"/>
          <w:szCs w:val="20"/>
          <w:lang w:val="es-ES_tradnl"/>
        </w:rPr>
        <w:t>Interamericano</w:t>
      </w:r>
      <w:r w:rsidR="005A3285" w:rsidRPr="0002451E">
        <w:rPr>
          <w:rFonts w:asciiTheme="majorHAnsi" w:hAnsiTheme="majorHAnsi"/>
          <w:sz w:val="20"/>
          <w:szCs w:val="20"/>
          <w:lang w:val="es-ES_tradnl"/>
        </w:rPr>
        <w:t>.</w:t>
      </w:r>
    </w:p>
    <w:p w14:paraId="2460158D" w14:textId="48B38968" w:rsidR="00BB6A9A" w:rsidRPr="0002451E" w:rsidRDefault="000A0FEF" w:rsidP="000A0F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02451E">
        <w:rPr>
          <w:rFonts w:asciiTheme="majorHAnsi" w:hAnsiTheme="majorHAnsi"/>
          <w:sz w:val="20"/>
          <w:szCs w:val="20"/>
          <w:lang w:val="es-ES_tradnl"/>
        </w:rPr>
        <w:t>2</w:t>
      </w:r>
      <w:r w:rsidR="00D063E3" w:rsidRPr="0002451E">
        <w:rPr>
          <w:rFonts w:asciiTheme="majorHAnsi" w:hAnsiTheme="majorHAnsi"/>
          <w:sz w:val="20"/>
          <w:szCs w:val="20"/>
          <w:lang w:val="es-ES_tradnl"/>
        </w:rPr>
        <w:t>4</w:t>
      </w:r>
      <w:r w:rsidRPr="0002451E">
        <w:rPr>
          <w:rFonts w:asciiTheme="majorHAnsi" w:hAnsiTheme="majorHAnsi"/>
          <w:sz w:val="20"/>
          <w:szCs w:val="20"/>
          <w:lang w:val="es-ES_tradnl"/>
        </w:rPr>
        <w:t xml:space="preserve">. </w:t>
      </w:r>
      <w:r w:rsidR="00A43622" w:rsidRPr="0002451E">
        <w:rPr>
          <w:rFonts w:asciiTheme="majorHAnsi" w:hAnsiTheme="majorHAnsi"/>
          <w:sz w:val="20"/>
          <w:szCs w:val="20"/>
          <w:lang w:val="es-ES_tradnl"/>
        </w:rPr>
        <w:tab/>
      </w:r>
      <w:r w:rsidR="00BB6A9A" w:rsidRPr="0002451E">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de los artículos </w:t>
      </w:r>
      <w:r w:rsidR="00BB6A9A" w:rsidRPr="0002451E">
        <w:rPr>
          <w:rFonts w:ascii="Cambria" w:hAnsi="Cambria"/>
          <w:bCs/>
          <w:sz w:val="20"/>
          <w:szCs w:val="20"/>
          <w:lang w:val="es-ES_tradnl"/>
        </w:rPr>
        <w:t>4 (vida), 5 (integridad personal)</w:t>
      </w:r>
      <w:r w:rsidR="00A26E90" w:rsidRPr="0002451E">
        <w:rPr>
          <w:rFonts w:ascii="Cambria" w:hAnsi="Cambria"/>
          <w:bCs/>
          <w:sz w:val="20"/>
          <w:szCs w:val="20"/>
          <w:lang w:val="es-ES_tradnl"/>
        </w:rPr>
        <w:t>, 8 (garantías judiciales) y 25 (protección judicial) de la Convención Americana, en relación con su artículo 1.1 (obligación de respetar los derechos)</w:t>
      </w:r>
      <w:r w:rsidR="00A43622" w:rsidRPr="0002451E">
        <w:rPr>
          <w:rFonts w:ascii="Cambria" w:hAnsi="Cambria"/>
          <w:bCs/>
          <w:sz w:val="20"/>
          <w:szCs w:val="20"/>
          <w:lang w:val="es-ES_tradnl"/>
        </w:rPr>
        <w:t>, en perjuicio de las presuntas víctimas directas y de sus familiares individualizados en el trámite del presente caso, en los términos del presente informe</w:t>
      </w:r>
      <w:r w:rsidR="00A26E90" w:rsidRPr="0002451E">
        <w:rPr>
          <w:rFonts w:ascii="Cambria" w:hAnsi="Cambria"/>
          <w:bCs/>
          <w:sz w:val="20"/>
          <w:szCs w:val="20"/>
          <w:lang w:val="es-ES_tradnl"/>
        </w:rPr>
        <w:t>.</w:t>
      </w:r>
    </w:p>
    <w:p w14:paraId="1EDF3A5D" w14:textId="77777777" w:rsidR="003239B8" w:rsidRPr="0002451E" w:rsidRDefault="003239B8" w:rsidP="003239B8">
      <w:pPr>
        <w:pStyle w:val="ListParagraph"/>
        <w:spacing w:before="240" w:after="240"/>
        <w:jc w:val="both"/>
        <w:rPr>
          <w:rFonts w:asciiTheme="majorHAnsi" w:hAnsiTheme="majorHAnsi"/>
          <w:b/>
          <w:bCs/>
          <w:sz w:val="20"/>
          <w:szCs w:val="20"/>
          <w:lang w:val="es-ES_tradnl"/>
        </w:rPr>
      </w:pPr>
      <w:r w:rsidRPr="0002451E">
        <w:rPr>
          <w:rFonts w:asciiTheme="majorHAnsi" w:hAnsiTheme="majorHAnsi"/>
          <w:b/>
          <w:bCs/>
          <w:sz w:val="20"/>
          <w:szCs w:val="20"/>
          <w:lang w:val="es-ES_tradnl"/>
        </w:rPr>
        <w:t xml:space="preserve">VIII. </w:t>
      </w:r>
      <w:r w:rsidRPr="0002451E">
        <w:rPr>
          <w:rFonts w:asciiTheme="majorHAnsi" w:hAnsiTheme="majorHAnsi"/>
          <w:b/>
          <w:bCs/>
          <w:sz w:val="20"/>
          <w:szCs w:val="20"/>
          <w:lang w:val="es-ES_tradnl"/>
        </w:rPr>
        <w:tab/>
        <w:t>DECISIÓN</w:t>
      </w:r>
    </w:p>
    <w:p w14:paraId="494A0BEA" w14:textId="7B4E606C" w:rsidR="000419AD" w:rsidRPr="0002451E"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2451E">
        <w:rPr>
          <w:rFonts w:asciiTheme="majorHAnsi" w:hAnsiTheme="majorHAnsi"/>
          <w:sz w:val="20"/>
          <w:szCs w:val="20"/>
          <w:lang w:val="es-ES_tradnl"/>
        </w:rPr>
        <w:t xml:space="preserve">Declarar admisible la presente petición en relación con </w:t>
      </w:r>
      <w:r w:rsidR="00A26E90" w:rsidRPr="0002451E">
        <w:rPr>
          <w:rFonts w:asciiTheme="majorHAnsi" w:hAnsiTheme="majorHAnsi"/>
          <w:sz w:val="20"/>
          <w:szCs w:val="20"/>
          <w:lang w:val="es-ES_tradnl"/>
        </w:rPr>
        <w:t>los artículos 4, 5, 8 y 25 de la Convención Americana, en conexión con su artículo 1.1</w:t>
      </w:r>
      <w:r w:rsidR="002017B9">
        <w:rPr>
          <w:rFonts w:asciiTheme="majorHAnsi" w:hAnsiTheme="majorHAnsi"/>
          <w:sz w:val="20"/>
          <w:szCs w:val="20"/>
          <w:lang w:val="es-ES_tradnl"/>
        </w:rPr>
        <w:t>, y;</w:t>
      </w:r>
    </w:p>
    <w:p w14:paraId="018D6747" w14:textId="08D6021A"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2451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00006C7" w14:textId="77777777" w:rsidR="002017B9" w:rsidRDefault="002017B9" w:rsidP="002017B9">
      <w:pPr>
        <w:ind w:firstLine="720"/>
        <w:jc w:val="both"/>
        <w:rPr>
          <w:rFonts w:ascii="Cambria" w:hAnsi="Cambria" w:cs="Arial"/>
          <w:noProof/>
          <w:sz w:val="20"/>
          <w:szCs w:val="20"/>
          <w:lang w:val="es-CL"/>
        </w:rPr>
      </w:pPr>
      <w:bookmarkStart w:id="1" w:name="_Hlk90001427"/>
    </w:p>
    <w:p w14:paraId="230F401E" w14:textId="16618CD8" w:rsidR="002017B9" w:rsidRPr="008E496D" w:rsidRDefault="002017B9" w:rsidP="002017B9">
      <w:pPr>
        <w:ind w:firstLine="720"/>
        <w:jc w:val="both"/>
        <w:rPr>
          <w:rFonts w:ascii="Cambria" w:hAnsi="Cambria" w:cs="Arial"/>
          <w:noProof/>
          <w:sz w:val="20"/>
          <w:szCs w:val="20"/>
          <w:lang w:val="es-CL"/>
        </w:rPr>
      </w:pPr>
      <w:r w:rsidRPr="008E496D">
        <w:rPr>
          <w:rFonts w:ascii="Cambria" w:hAnsi="Cambria" w:cs="Arial"/>
          <w:noProof/>
          <w:sz w:val="20"/>
          <w:szCs w:val="20"/>
          <w:lang w:val="es-CL"/>
        </w:rPr>
        <w:t>Aprobado por la Comisión Interamericana de Derechos Humanos  a los 2</w:t>
      </w:r>
      <w:r>
        <w:rPr>
          <w:rFonts w:ascii="Cambria" w:hAnsi="Cambria" w:cs="Arial"/>
          <w:noProof/>
          <w:sz w:val="20"/>
          <w:szCs w:val="20"/>
          <w:lang w:val="es-CL"/>
        </w:rPr>
        <w:t>9</w:t>
      </w:r>
      <w:r w:rsidRPr="008E496D">
        <w:rPr>
          <w:rFonts w:ascii="Cambria" w:hAnsi="Cambria" w:cs="Arial"/>
          <w:noProof/>
          <w:sz w:val="20"/>
          <w:szCs w:val="20"/>
          <w:lang w:val="es-CL"/>
        </w:rPr>
        <w:t xml:space="preserve"> días del mes de </w:t>
      </w:r>
      <w:r>
        <w:rPr>
          <w:rFonts w:ascii="Cambria" w:hAnsi="Cambria" w:cs="Arial"/>
          <w:noProof/>
          <w:sz w:val="20"/>
          <w:szCs w:val="20"/>
          <w:lang w:val="es-CL"/>
        </w:rPr>
        <w:t>nov</w:t>
      </w:r>
      <w:r w:rsidRPr="008E496D">
        <w:rPr>
          <w:rFonts w:ascii="Cambria" w:hAnsi="Cambria" w:cs="Arial"/>
          <w:noProof/>
          <w:sz w:val="20"/>
          <w:szCs w:val="20"/>
          <w:lang w:val="es-CL"/>
        </w:rPr>
        <w:t xml:space="preserve">iembre de 2021.  (Firmado): Antonia Urrejola, Presidenta; Esmeralda E. Arosemena Bernal de Troitiño, Joel Hernández  y Stuardo Ralón Orellana, Miembros de la Comisión. </w:t>
      </w:r>
    </w:p>
    <w:bookmarkEnd w:id="1"/>
    <w:p w14:paraId="1B1B76DF" w14:textId="77777777" w:rsidR="002017B9" w:rsidRDefault="002017B9" w:rsidP="002017B9">
      <w:pPr>
        <w:ind w:firstLine="720"/>
        <w:jc w:val="both"/>
        <w:rPr>
          <w:rFonts w:ascii="Cambria" w:hAnsi="Cambria" w:cs="Arial"/>
          <w:noProof/>
          <w:sz w:val="20"/>
          <w:szCs w:val="20"/>
          <w:lang w:val="es-CL"/>
        </w:rPr>
      </w:pPr>
    </w:p>
    <w:sectPr w:rsidR="002017B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4188" w14:textId="77777777" w:rsidR="006B1784" w:rsidRDefault="006B1784">
      <w:r>
        <w:separator/>
      </w:r>
    </w:p>
  </w:endnote>
  <w:endnote w:type="continuationSeparator" w:id="0">
    <w:p w14:paraId="475CBFBB" w14:textId="77777777" w:rsidR="006B1784" w:rsidRDefault="006B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9D59" w14:textId="77777777" w:rsidR="006B1784" w:rsidRPr="000F35ED" w:rsidRDefault="006B178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85E086" w14:textId="77777777" w:rsidR="006B1784" w:rsidRPr="000F35ED" w:rsidRDefault="006B1784" w:rsidP="000F35ED">
      <w:pPr>
        <w:rPr>
          <w:rFonts w:asciiTheme="majorHAnsi" w:hAnsiTheme="majorHAnsi"/>
          <w:sz w:val="16"/>
          <w:szCs w:val="16"/>
        </w:rPr>
      </w:pPr>
      <w:r w:rsidRPr="000F35ED">
        <w:rPr>
          <w:rFonts w:asciiTheme="majorHAnsi" w:hAnsiTheme="majorHAnsi"/>
          <w:sz w:val="16"/>
          <w:szCs w:val="16"/>
        </w:rPr>
        <w:separator/>
      </w:r>
    </w:p>
    <w:p w14:paraId="45034CF2" w14:textId="77777777" w:rsidR="006B1784" w:rsidRPr="000F35ED" w:rsidRDefault="006B178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8D9B499" w14:textId="77777777" w:rsidR="006B1784" w:rsidRPr="000F35ED" w:rsidRDefault="006B178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07A356C" w14:textId="3FD8CC25" w:rsidR="00D26A9F" w:rsidRPr="00D26A9F" w:rsidRDefault="00D26A9F" w:rsidP="00EA1FEE">
      <w:pPr>
        <w:pStyle w:val="FootnoteText"/>
        <w:ind w:firstLine="720"/>
        <w:jc w:val="both"/>
        <w:rPr>
          <w:rFonts w:ascii="Cambria" w:hAnsi="Cambria"/>
          <w:sz w:val="16"/>
          <w:szCs w:val="16"/>
          <w:lang w:val="es-CO"/>
        </w:rPr>
      </w:pPr>
      <w:r w:rsidRPr="00D26A9F">
        <w:rPr>
          <w:rStyle w:val="FootnoteReference"/>
          <w:rFonts w:ascii="Cambria" w:hAnsi="Cambria"/>
          <w:sz w:val="16"/>
          <w:szCs w:val="16"/>
        </w:rPr>
        <w:footnoteRef/>
      </w:r>
      <w:r w:rsidRPr="00D26A9F">
        <w:rPr>
          <w:rFonts w:ascii="Cambria" w:hAnsi="Cambria"/>
          <w:sz w:val="16"/>
          <w:szCs w:val="16"/>
          <w:lang w:val="es-CO"/>
        </w:rPr>
        <w:t xml:space="preserve"> En la petición se identifica como familiares de los señores Bustamante, Vargas y Cardona a las siguientes personas: (1) Familiares de Jorge Alexander Bustamante Goez: (i) Joel de Jesús Bustamante, padre; (ii) Bertha Luz Goez Cano, madre; (iii) Daniela Surley Bustamante Goez, hermana; (iv) Paula Andrea Bustamante Goez, hermana; (v) Jael de Jesús Bustamante Goez, hermana; (vi) Anlly Yulieth Rodas Bustamante; (vii) Nelson de Jesús Deossa Hernández, cuñado; y (viii) Valeria Deossa Bustamante, sobrina; (2) Familiares de Juan David Vargas Pemberty: (i) Jesús Antonio Vargas Vásquez, padre; (ii) Gilma Rosa Pemberty de Vargas, madre; (iii) Disney Aleida García Rendón, compañera permanente; (iv) Raúl Antonio Vargas Pemberty, hermano; (v) José Ignacio Vargas Pemberty, hermano; (vi) Jaer de Jesús Vargas Pemberty, herman</w:t>
      </w:r>
      <w:r w:rsidR="001F6838">
        <w:rPr>
          <w:rFonts w:ascii="Cambria" w:hAnsi="Cambria"/>
          <w:sz w:val="16"/>
          <w:szCs w:val="16"/>
          <w:lang w:val="es-CO"/>
        </w:rPr>
        <w:t>o</w:t>
      </w:r>
      <w:r w:rsidRPr="00D26A9F">
        <w:rPr>
          <w:rFonts w:ascii="Cambria" w:hAnsi="Cambria"/>
          <w:sz w:val="16"/>
          <w:szCs w:val="16"/>
          <w:lang w:val="es-CO"/>
        </w:rPr>
        <w:t xml:space="preserve">; (vii) Sergio Arturo Vargas Pemberty, hermano; (viii) Dayron de Jesús Vargas Pemberty, hermano; (ix) Doris Helena Vargas Pemberty, hermana; (x) Gloria Amparo Vargas Pemberty, hermana; (xi) Blanca Cecilia Vargas Pemberty, hermana; (xii) Nora Ester Vargas Pemberty, hermana; (xiii) Carlos Alberto Vargas Pemberty, hermano; y (xiv) Gabriel Jaime Vargas Pemberty, hermano; (3) Familiares de Luis Fernando Cardona: (i) Antonio José Cardona; (ii) Marco Aurelio Cardona; (iii) María Susana Cardona; (iv) Lorenzo Martínez Minota Mosquera; (v) Sinddy Tatiana Minota Cardona; (vi) Claudia Patricia Minota Cardona; (vii) Yeni Andrea Minota Cardona; (viii) Carmen Sofía Minota Quinto; (ix) Ricardo de Jesús Cardona; y (x) Rafael </w:t>
      </w:r>
      <w:r w:rsidR="00B4489D" w:rsidRPr="00D26A9F">
        <w:rPr>
          <w:rFonts w:ascii="Cambria" w:hAnsi="Cambria"/>
          <w:sz w:val="16"/>
          <w:szCs w:val="16"/>
          <w:lang w:val="es-CO"/>
        </w:rPr>
        <w:t>Ángel</w:t>
      </w:r>
      <w:r w:rsidRPr="00D26A9F">
        <w:rPr>
          <w:rFonts w:ascii="Cambria" w:hAnsi="Cambria"/>
          <w:sz w:val="16"/>
          <w:szCs w:val="16"/>
          <w:lang w:val="es-CO"/>
        </w:rPr>
        <w:t xml:space="preserve"> Mosquera Cardona.</w:t>
      </w:r>
    </w:p>
  </w:footnote>
  <w:footnote w:id="3">
    <w:p w14:paraId="2794E720" w14:textId="384233FD" w:rsidR="00EA1FEE" w:rsidRPr="00EA1FEE" w:rsidRDefault="00EA1FEE" w:rsidP="00EA1FEE">
      <w:pPr>
        <w:pStyle w:val="FootnoteText"/>
        <w:ind w:firstLine="720"/>
        <w:rPr>
          <w:rFonts w:asciiTheme="majorHAnsi" w:hAnsiTheme="majorHAnsi"/>
          <w:sz w:val="16"/>
          <w:szCs w:val="16"/>
          <w:lang w:val="es-CO"/>
        </w:rPr>
      </w:pPr>
      <w:r w:rsidRPr="00EA1FEE">
        <w:rPr>
          <w:rStyle w:val="FootnoteReference"/>
          <w:rFonts w:asciiTheme="majorHAnsi" w:hAnsiTheme="majorHAnsi"/>
          <w:sz w:val="16"/>
          <w:szCs w:val="16"/>
        </w:rPr>
        <w:footnoteRef/>
      </w:r>
      <w:r w:rsidRPr="00EA1FEE">
        <w:rPr>
          <w:rFonts w:asciiTheme="majorHAnsi" w:hAnsiTheme="majorHAnsi"/>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3C182D80" w14:textId="77777777" w:rsidR="00BB6A9A" w:rsidRPr="002774D2" w:rsidRDefault="00BB6A9A" w:rsidP="00BB6A9A">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Maicon de Souza Silva. Renato da Silva Paixão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párs. </w:t>
      </w:r>
      <w:r w:rsidRPr="002774D2">
        <w:rPr>
          <w:rFonts w:asciiTheme="majorHAnsi" w:hAnsiTheme="majorHAnsi" w:cstheme="minorHAnsi"/>
          <w:sz w:val="16"/>
          <w:szCs w:val="16"/>
          <w:lang w:val="es-US"/>
        </w:rPr>
        <w:t>3, 9-11.</w:t>
      </w:r>
    </w:p>
  </w:footnote>
  <w:footnote w:id="6">
    <w:p w14:paraId="06965ECC" w14:textId="77777777" w:rsidR="00BB6A9A" w:rsidRPr="002774D2" w:rsidRDefault="00BB6A9A" w:rsidP="00BB6A9A">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Larroza Velázquez y familia. </w:t>
      </w:r>
      <w:r w:rsidRPr="004E6E1C">
        <w:rPr>
          <w:rFonts w:asciiTheme="majorHAnsi" w:hAnsiTheme="majorHAnsi" w:cstheme="minorHAnsi"/>
          <w:sz w:val="16"/>
          <w:szCs w:val="16"/>
          <w:lang w:val="es-CO"/>
        </w:rPr>
        <w:t>Paraguay. 30 de noviembre de 2017, párr. 14.</w:t>
      </w:r>
    </w:p>
  </w:footnote>
  <w:footnote w:id="7">
    <w:p w14:paraId="114FF7DE" w14:textId="77777777" w:rsidR="005A3285" w:rsidRPr="00D30E43" w:rsidRDefault="005A3285" w:rsidP="005A3285">
      <w:pPr>
        <w:pStyle w:val="FootnoteText"/>
        <w:ind w:firstLine="720"/>
        <w:jc w:val="both"/>
        <w:rPr>
          <w:rFonts w:asciiTheme="majorHAnsi" w:hAnsiTheme="majorHAnsi" w:cstheme="minorHAnsi"/>
          <w:sz w:val="16"/>
          <w:szCs w:val="16"/>
          <w:lang w:val="es-CO"/>
        </w:rPr>
      </w:pPr>
      <w:r w:rsidRPr="00D30E43">
        <w:rPr>
          <w:rStyle w:val="FootnoteReference"/>
          <w:rFonts w:asciiTheme="majorHAnsi" w:hAnsiTheme="majorHAnsi" w:cstheme="minorHAnsi"/>
          <w:sz w:val="16"/>
          <w:szCs w:val="16"/>
        </w:rPr>
        <w:footnoteRef/>
      </w:r>
      <w:r w:rsidRPr="00D30E43">
        <w:rPr>
          <w:rFonts w:asciiTheme="majorHAnsi" w:hAnsiTheme="majorHAnsi" w:cstheme="minorHAnsi"/>
          <w:sz w:val="16"/>
          <w:szCs w:val="16"/>
          <w:lang w:val="es-CO"/>
        </w:rPr>
        <w:t xml:space="preserve"> </w:t>
      </w:r>
      <w:r w:rsidRPr="009C6E2C">
        <w:rPr>
          <w:rFonts w:asciiTheme="majorHAnsi" w:hAnsiTheme="majorHAnsi" w:cstheme="minorHAnsi"/>
          <w:sz w:val="16"/>
          <w:szCs w:val="16"/>
          <w:lang w:val="es-CO"/>
        </w:rPr>
        <w:t>CIDH, Informe No. 76/19. Admisibilidad. Hug</w:t>
      </w:r>
      <w:r>
        <w:rPr>
          <w:rFonts w:asciiTheme="majorHAnsi" w:hAnsiTheme="majorHAnsi" w:cstheme="minorHAnsi"/>
          <w:sz w:val="16"/>
          <w:szCs w:val="16"/>
          <w:lang w:val="es-CO"/>
        </w:rPr>
        <w:t xml:space="preserve">o Eduardo Ibarbuden. Argentina. </w:t>
      </w:r>
      <w:r w:rsidRPr="009C6E2C">
        <w:rPr>
          <w:rFonts w:asciiTheme="majorHAnsi" w:hAnsiTheme="majorHAnsi" w:cstheme="minorHAnsi"/>
          <w:sz w:val="16"/>
          <w:szCs w:val="16"/>
          <w:lang w:val="es-CO"/>
        </w:rPr>
        <w:t>21 de mayo de 2019</w:t>
      </w:r>
      <w:r>
        <w:rPr>
          <w:rFonts w:asciiTheme="majorHAnsi" w:hAnsiTheme="majorHAnsi" w:cstheme="minorHAnsi"/>
          <w:sz w:val="16"/>
          <w:szCs w:val="16"/>
          <w:lang w:val="es-US"/>
        </w:rPr>
        <w:t>, párr.</w:t>
      </w:r>
      <w:r w:rsidRPr="00D30E43">
        <w:rPr>
          <w:rFonts w:asciiTheme="majorHAnsi" w:hAnsiTheme="majorHAnsi" w:cstheme="minorHAnsi"/>
          <w:sz w:val="16"/>
          <w:szCs w:val="16"/>
          <w:lang w:val="es-US"/>
        </w:rP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6B1784"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57A"/>
    <w:rsid w:val="0001788C"/>
    <w:rsid w:val="0002451E"/>
    <w:rsid w:val="00024FD3"/>
    <w:rsid w:val="000337EF"/>
    <w:rsid w:val="00040C3A"/>
    <w:rsid w:val="000419AD"/>
    <w:rsid w:val="000433C9"/>
    <w:rsid w:val="00043AD6"/>
    <w:rsid w:val="00054545"/>
    <w:rsid w:val="0005536F"/>
    <w:rsid w:val="0005599E"/>
    <w:rsid w:val="000611A7"/>
    <w:rsid w:val="00071174"/>
    <w:rsid w:val="000716C5"/>
    <w:rsid w:val="00075E23"/>
    <w:rsid w:val="0009040E"/>
    <w:rsid w:val="0009344A"/>
    <w:rsid w:val="000A0FEF"/>
    <w:rsid w:val="000A36C3"/>
    <w:rsid w:val="000A392E"/>
    <w:rsid w:val="000A575F"/>
    <w:rsid w:val="000D05CB"/>
    <w:rsid w:val="000D10DB"/>
    <w:rsid w:val="000E5EB5"/>
    <w:rsid w:val="000F07E8"/>
    <w:rsid w:val="000F35ED"/>
    <w:rsid w:val="00107131"/>
    <w:rsid w:val="0010736F"/>
    <w:rsid w:val="00113F73"/>
    <w:rsid w:val="00121CC2"/>
    <w:rsid w:val="00131425"/>
    <w:rsid w:val="00133EE5"/>
    <w:rsid w:val="00137897"/>
    <w:rsid w:val="001647AA"/>
    <w:rsid w:val="00167A34"/>
    <w:rsid w:val="001A0304"/>
    <w:rsid w:val="001A520D"/>
    <w:rsid w:val="001A7870"/>
    <w:rsid w:val="001B25C1"/>
    <w:rsid w:val="001B3A00"/>
    <w:rsid w:val="001C1B41"/>
    <w:rsid w:val="001D65EF"/>
    <w:rsid w:val="001E0D3E"/>
    <w:rsid w:val="001E49E7"/>
    <w:rsid w:val="001E4F8C"/>
    <w:rsid w:val="001F6838"/>
    <w:rsid w:val="001F7201"/>
    <w:rsid w:val="002017B9"/>
    <w:rsid w:val="00207BBD"/>
    <w:rsid w:val="00223A29"/>
    <w:rsid w:val="002250A3"/>
    <w:rsid w:val="00235217"/>
    <w:rsid w:val="00246D1F"/>
    <w:rsid w:val="00247403"/>
    <w:rsid w:val="00247542"/>
    <w:rsid w:val="0025006B"/>
    <w:rsid w:val="00262DD6"/>
    <w:rsid w:val="00265258"/>
    <w:rsid w:val="00266B61"/>
    <w:rsid w:val="0026712A"/>
    <w:rsid w:val="002704DB"/>
    <w:rsid w:val="0028091A"/>
    <w:rsid w:val="002A0AAE"/>
    <w:rsid w:val="002A10A5"/>
    <w:rsid w:val="002A5820"/>
    <w:rsid w:val="002C1882"/>
    <w:rsid w:val="002C1ABF"/>
    <w:rsid w:val="002D2B26"/>
    <w:rsid w:val="002D7EA2"/>
    <w:rsid w:val="002E187C"/>
    <w:rsid w:val="002E1936"/>
    <w:rsid w:val="002F344E"/>
    <w:rsid w:val="00302733"/>
    <w:rsid w:val="00305835"/>
    <w:rsid w:val="00306F33"/>
    <w:rsid w:val="00314078"/>
    <w:rsid w:val="0031535D"/>
    <w:rsid w:val="00317E5E"/>
    <w:rsid w:val="003239B8"/>
    <w:rsid w:val="0033169F"/>
    <w:rsid w:val="00344977"/>
    <w:rsid w:val="00346C95"/>
    <w:rsid w:val="00356185"/>
    <w:rsid w:val="00360380"/>
    <w:rsid w:val="0037519E"/>
    <w:rsid w:val="00377063"/>
    <w:rsid w:val="00386CF0"/>
    <w:rsid w:val="003B70FB"/>
    <w:rsid w:val="003C676B"/>
    <w:rsid w:val="003D3BC2"/>
    <w:rsid w:val="003E2A5C"/>
    <w:rsid w:val="003E6CA1"/>
    <w:rsid w:val="003F5154"/>
    <w:rsid w:val="00405F9C"/>
    <w:rsid w:val="004065A8"/>
    <w:rsid w:val="004165C2"/>
    <w:rsid w:val="00441ECB"/>
    <w:rsid w:val="00445193"/>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E457F"/>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3285"/>
    <w:rsid w:val="005A6D0E"/>
    <w:rsid w:val="005B52B0"/>
    <w:rsid w:val="005B6806"/>
    <w:rsid w:val="005C4225"/>
    <w:rsid w:val="005C6E4E"/>
    <w:rsid w:val="005F0DAD"/>
    <w:rsid w:val="005F0F33"/>
    <w:rsid w:val="00600DEB"/>
    <w:rsid w:val="00611BBF"/>
    <w:rsid w:val="00627C9F"/>
    <w:rsid w:val="006311E9"/>
    <w:rsid w:val="00632354"/>
    <w:rsid w:val="00635421"/>
    <w:rsid w:val="00642810"/>
    <w:rsid w:val="00652333"/>
    <w:rsid w:val="00661479"/>
    <w:rsid w:val="00676C75"/>
    <w:rsid w:val="0068009E"/>
    <w:rsid w:val="00692219"/>
    <w:rsid w:val="006A17D2"/>
    <w:rsid w:val="006A73E6"/>
    <w:rsid w:val="006B1784"/>
    <w:rsid w:val="006B2D5C"/>
    <w:rsid w:val="006C0ECF"/>
    <w:rsid w:val="006C4EB1"/>
    <w:rsid w:val="006E0166"/>
    <w:rsid w:val="006E2FFB"/>
    <w:rsid w:val="006E7B34"/>
    <w:rsid w:val="0070697F"/>
    <w:rsid w:val="007103C4"/>
    <w:rsid w:val="007171EA"/>
    <w:rsid w:val="0072199C"/>
    <w:rsid w:val="00722C9F"/>
    <w:rsid w:val="007253B8"/>
    <w:rsid w:val="0073741F"/>
    <w:rsid w:val="0074470C"/>
    <w:rsid w:val="0076643F"/>
    <w:rsid w:val="00777F63"/>
    <w:rsid w:val="007965E4"/>
    <w:rsid w:val="007971A4"/>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7C66"/>
    <w:rsid w:val="008338A4"/>
    <w:rsid w:val="00834D49"/>
    <w:rsid w:val="00837C45"/>
    <w:rsid w:val="00844730"/>
    <w:rsid w:val="008457C2"/>
    <w:rsid w:val="00853904"/>
    <w:rsid w:val="00857A82"/>
    <w:rsid w:val="00873836"/>
    <w:rsid w:val="00885737"/>
    <w:rsid w:val="00890650"/>
    <w:rsid w:val="008944DC"/>
    <w:rsid w:val="00897E12"/>
    <w:rsid w:val="008A41FE"/>
    <w:rsid w:val="008A7E0F"/>
    <w:rsid w:val="008B12F5"/>
    <w:rsid w:val="008C5E2D"/>
    <w:rsid w:val="008D768D"/>
    <w:rsid w:val="008D7DF0"/>
    <w:rsid w:val="008E20D4"/>
    <w:rsid w:val="008E3759"/>
    <w:rsid w:val="008E3BFE"/>
    <w:rsid w:val="008F1912"/>
    <w:rsid w:val="0090270B"/>
    <w:rsid w:val="009041DC"/>
    <w:rsid w:val="00917B5A"/>
    <w:rsid w:val="00920A58"/>
    <w:rsid w:val="00920A8C"/>
    <w:rsid w:val="00923342"/>
    <w:rsid w:val="00934A2C"/>
    <w:rsid w:val="0096706E"/>
    <w:rsid w:val="00974491"/>
    <w:rsid w:val="00975C4E"/>
    <w:rsid w:val="00981FBA"/>
    <w:rsid w:val="00985DFD"/>
    <w:rsid w:val="00997BC5"/>
    <w:rsid w:val="009A4F41"/>
    <w:rsid w:val="009B381B"/>
    <w:rsid w:val="009C6934"/>
    <w:rsid w:val="009D1753"/>
    <w:rsid w:val="009D7611"/>
    <w:rsid w:val="009E0B61"/>
    <w:rsid w:val="009E53DE"/>
    <w:rsid w:val="009F05F0"/>
    <w:rsid w:val="00A11212"/>
    <w:rsid w:val="00A11E44"/>
    <w:rsid w:val="00A26E90"/>
    <w:rsid w:val="00A30100"/>
    <w:rsid w:val="00A328B3"/>
    <w:rsid w:val="00A33FEE"/>
    <w:rsid w:val="00A43622"/>
    <w:rsid w:val="00A50FCF"/>
    <w:rsid w:val="00A528D1"/>
    <w:rsid w:val="00A610CD"/>
    <w:rsid w:val="00A758AA"/>
    <w:rsid w:val="00AA09A2"/>
    <w:rsid w:val="00AA7996"/>
    <w:rsid w:val="00AB2293"/>
    <w:rsid w:val="00AC19CB"/>
    <w:rsid w:val="00AC53D7"/>
    <w:rsid w:val="00AD265D"/>
    <w:rsid w:val="00AD2BF7"/>
    <w:rsid w:val="00AD77F1"/>
    <w:rsid w:val="00AE5488"/>
    <w:rsid w:val="00AE6F91"/>
    <w:rsid w:val="00AF5571"/>
    <w:rsid w:val="00B04E07"/>
    <w:rsid w:val="00B07341"/>
    <w:rsid w:val="00B07951"/>
    <w:rsid w:val="00B30539"/>
    <w:rsid w:val="00B314DB"/>
    <w:rsid w:val="00B361F2"/>
    <w:rsid w:val="00B3718B"/>
    <w:rsid w:val="00B3745F"/>
    <w:rsid w:val="00B4489D"/>
    <w:rsid w:val="00B4632A"/>
    <w:rsid w:val="00B530F1"/>
    <w:rsid w:val="00B54F8C"/>
    <w:rsid w:val="00B93D7F"/>
    <w:rsid w:val="00BA276C"/>
    <w:rsid w:val="00BB019D"/>
    <w:rsid w:val="00BB306F"/>
    <w:rsid w:val="00BB6A9A"/>
    <w:rsid w:val="00BC01AB"/>
    <w:rsid w:val="00BC5653"/>
    <w:rsid w:val="00BD0FF5"/>
    <w:rsid w:val="00BD4B89"/>
    <w:rsid w:val="00BD5922"/>
    <w:rsid w:val="00BF02CB"/>
    <w:rsid w:val="00BF6FD8"/>
    <w:rsid w:val="00C0209B"/>
    <w:rsid w:val="00C03680"/>
    <w:rsid w:val="00C054DF"/>
    <w:rsid w:val="00C1683F"/>
    <w:rsid w:val="00C21762"/>
    <w:rsid w:val="00C21FEF"/>
    <w:rsid w:val="00C23BA4"/>
    <w:rsid w:val="00C24468"/>
    <w:rsid w:val="00C24543"/>
    <w:rsid w:val="00C256A2"/>
    <w:rsid w:val="00C25ADB"/>
    <w:rsid w:val="00C30DD4"/>
    <w:rsid w:val="00C51515"/>
    <w:rsid w:val="00C5660B"/>
    <w:rsid w:val="00C66B72"/>
    <w:rsid w:val="00C87AC4"/>
    <w:rsid w:val="00C9567A"/>
    <w:rsid w:val="00CA6017"/>
    <w:rsid w:val="00CB212D"/>
    <w:rsid w:val="00CB2660"/>
    <w:rsid w:val="00CC5E90"/>
    <w:rsid w:val="00CD046C"/>
    <w:rsid w:val="00CE076C"/>
    <w:rsid w:val="00CE5199"/>
    <w:rsid w:val="00CE66D5"/>
    <w:rsid w:val="00CE73AF"/>
    <w:rsid w:val="00CF219C"/>
    <w:rsid w:val="00CF637A"/>
    <w:rsid w:val="00CF66BF"/>
    <w:rsid w:val="00D059DE"/>
    <w:rsid w:val="00D05ABD"/>
    <w:rsid w:val="00D063E3"/>
    <w:rsid w:val="00D13FCE"/>
    <w:rsid w:val="00D26A9F"/>
    <w:rsid w:val="00D306D1"/>
    <w:rsid w:val="00D30800"/>
    <w:rsid w:val="00D34786"/>
    <w:rsid w:val="00D37BFC"/>
    <w:rsid w:val="00D47A8E"/>
    <w:rsid w:val="00D52D14"/>
    <w:rsid w:val="00D712D3"/>
    <w:rsid w:val="00D71422"/>
    <w:rsid w:val="00D72DC6"/>
    <w:rsid w:val="00D7558D"/>
    <w:rsid w:val="00D81D92"/>
    <w:rsid w:val="00D876F9"/>
    <w:rsid w:val="00DA7B5F"/>
    <w:rsid w:val="00DB4396"/>
    <w:rsid w:val="00DC11E7"/>
    <w:rsid w:val="00DC16E6"/>
    <w:rsid w:val="00DC24E3"/>
    <w:rsid w:val="00DC7023"/>
    <w:rsid w:val="00DC769A"/>
    <w:rsid w:val="00DC79E2"/>
    <w:rsid w:val="00DD15F5"/>
    <w:rsid w:val="00DD3D86"/>
    <w:rsid w:val="00DD4AD2"/>
    <w:rsid w:val="00DE2862"/>
    <w:rsid w:val="00DF1EC4"/>
    <w:rsid w:val="00E0177C"/>
    <w:rsid w:val="00E0340B"/>
    <w:rsid w:val="00E04A90"/>
    <w:rsid w:val="00E0551F"/>
    <w:rsid w:val="00E219C7"/>
    <w:rsid w:val="00E4118C"/>
    <w:rsid w:val="00E43157"/>
    <w:rsid w:val="00E461CE"/>
    <w:rsid w:val="00E47F0C"/>
    <w:rsid w:val="00E573E4"/>
    <w:rsid w:val="00E60188"/>
    <w:rsid w:val="00E64C3D"/>
    <w:rsid w:val="00E720CA"/>
    <w:rsid w:val="00E84EB5"/>
    <w:rsid w:val="00E85662"/>
    <w:rsid w:val="00E8789F"/>
    <w:rsid w:val="00E97B71"/>
    <w:rsid w:val="00EA1FEE"/>
    <w:rsid w:val="00EA3D34"/>
    <w:rsid w:val="00EB454D"/>
    <w:rsid w:val="00ED431E"/>
    <w:rsid w:val="00ED549D"/>
    <w:rsid w:val="00ED5E10"/>
    <w:rsid w:val="00ED76BE"/>
    <w:rsid w:val="00EE00B4"/>
    <w:rsid w:val="00EE00E9"/>
    <w:rsid w:val="00EF1AAA"/>
    <w:rsid w:val="00EF619B"/>
    <w:rsid w:val="00F00B55"/>
    <w:rsid w:val="00F02AD1"/>
    <w:rsid w:val="00F247A0"/>
    <w:rsid w:val="00F253CC"/>
    <w:rsid w:val="00F329F4"/>
    <w:rsid w:val="00F37106"/>
    <w:rsid w:val="00F44E25"/>
    <w:rsid w:val="00F519CF"/>
    <w:rsid w:val="00F56BA5"/>
    <w:rsid w:val="00F60E22"/>
    <w:rsid w:val="00F71DC8"/>
    <w:rsid w:val="00F7542E"/>
    <w:rsid w:val="00F81395"/>
    <w:rsid w:val="00F81BB8"/>
    <w:rsid w:val="00F90C64"/>
    <w:rsid w:val="00F917D1"/>
    <w:rsid w:val="00F91DC4"/>
    <w:rsid w:val="00F9653B"/>
    <w:rsid w:val="00FA2C6F"/>
    <w:rsid w:val="00FB62CF"/>
    <w:rsid w:val="00FD3C3B"/>
    <w:rsid w:val="00FE07DD"/>
    <w:rsid w:val="00FE2DA1"/>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BB6A9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BB6A9A"/>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BB6A9A"/>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5A14"/>
    <w:rsid w:val="00200821"/>
    <w:rsid w:val="0025245B"/>
    <w:rsid w:val="002529DA"/>
    <w:rsid w:val="002A3923"/>
    <w:rsid w:val="00394049"/>
    <w:rsid w:val="003B0C71"/>
    <w:rsid w:val="003B3138"/>
    <w:rsid w:val="004B5BBB"/>
    <w:rsid w:val="004F2DF8"/>
    <w:rsid w:val="00517E2A"/>
    <w:rsid w:val="0067089B"/>
    <w:rsid w:val="006F24A1"/>
    <w:rsid w:val="00786067"/>
    <w:rsid w:val="00794422"/>
    <w:rsid w:val="00904BBE"/>
    <w:rsid w:val="009A261B"/>
    <w:rsid w:val="00AA2E17"/>
    <w:rsid w:val="00AC15A4"/>
    <w:rsid w:val="00B0336C"/>
    <w:rsid w:val="00B04851"/>
    <w:rsid w:val="00B82626"/>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FCFC-ED64-42DF-8D3F-12402212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3910</Words>
  <Characters>20802</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371/21</dc:title>
  <dc:creator/>
  <cp:lastModifiedBy/>
  <cp:revision>1</cp:revision>
  <dcterms:created xsi:type="dcterms:W3CDTF">2022-02-25T20:31:00Z</dcterms:created>
  <dcterms:modified xsi:type="dcterms:W3CDTF">2022-02-25T20:31:00Z</dcterms:modified>
</cp:coreProperties>
</file>