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6BFB5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6930E44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C40F5">
                              <w:rPr>
                                <w:rFonts w:asciiTheme="majorHAnsi" w:hAnsiTheme="majorHAnsi" w:cs="Arial"/>
                                <w:b/>
                                <w:bCs/>
                                <w:color w:val="0D0D0D" w:themeColor="text1" w:themeTint="F2"/>
                                <w:sz w:val="36"/>
                                <w:szCs w:val="22"/>
                                <w:lang w:val="es-ES_tradnl"/>
                              </w:rPr>
                              <w:t>121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331C3F9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10F1D">
                              <w:rPr>
                                <w:rFonts w:asciiTheme="majorHAnsi" w:hAnsiTheme="majorHAnsi" w:cs="Arial"/>
                                <w:b/>
                                <w:color w:val="0D0D0D" w:themeColor="text1" w:themeTint="F2"/>
                                <w:sz w:val="36"/>
                                <w:szCs w:val="22"/>
                                <w:lang w:val="es-ES_tradnl"/>
                              </w:rPr>
                              <w:t>336</w:t>
                            </w:r>
                            <w:r w:rsidR="00246D1F" w:rsidRPr="004E2649">
                              <w:rPr>
                                <w:rFonts w:asciiTheme="majorHAnsi" w:hAnsiTheme="majorHAnsi" w:cs="Arial"/>
                                <w:b/>
                                <w:color w:val="0D0D0D" w:themeColor="text1" w:themeTint="F2"/>
                                <w:sz w:val="36"/>
                                <w:szCs w:val="22"/>
                                <w:lang w:val="es-ES_tradnl"/>
                              </w:rPr>
                              <w:t>-</w:t>
                            </w:r>
                            <w:r w:rsidR="00B10F1D">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317F581C" w14:textId="5DC0011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2DF29E13" w:rsidR="005B52B0" w:rsidRPr="0010736F" w:rsidRDefault="00B10F1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ERNESTO RAMÍREZ CORREA Y OTROS</w:t>
                            </w:r>
                          </w:p>
                          <w:bookmarkEnd w:id="0"/>
                          <w:p w14:paraId="0409BA94" w14:textId="31D1094A" w:rsidR="005B52B0" w:rsidRPr="0010736F" w:rsidRDefault="00B10F1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6930E44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C40F5">
                        <w:rPr>
                          <w:rFonts w:asciiTheme="majorHAnsi" w:hAnsiTheme="majorHAnsi" w:cs="Arial"/>
                          <w:b/>
                          <w:bCs/>
                          <w:color w:val="0D0D0D" w:themeColor="text1" w:themeTint="F2"/>
                          <w:sz w:val="36"/>
                          <w:szCs w:val="22"/>
                          <w:lang w:val="es-ES_tradnl"/>
                        </w:rPr>
                        <w:t>121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331C3F9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10F1D">
                        <w:rPr>
                          <w:rFonts w:asciiTheme="majorHAnsi" w:hAnsiTheme="majorHAnsi" w:cs="Arial"/>
                          <w:b/>
                          <w:color w:val="0D0D0D" w:themeColor="text1" w:themeTint="F2"/>
                          <w:sz w:val="36"/>
                          <w:szCs w:val="22"/>
                          <w:lang w:val="es-ES_tradnl"/>
                        </w:rPr>
                        <w:t>336</w:t>
                      </w:r>
                      <w:r w:rsidR="00246D1F" w:rsidRPr="004E2649">
                        <w:rPr>
                          <w:rFonts w:asciiTheme="majorHAnsi" w:hAnsiTheme="majorHAnsi" w:cs="Arial"/>
                          <w:b/>
                          <w:color w:val="0D0D0D" w:themeColor="text1" w:themeTint="F2"/>
                          <w:sz w:val="36"/>
                          <w:szCs w:val="22"/>
                          <w:lang w:val="es-ES_tradnl"/>
                        </w:rPr>
                        <w:t>-</w:t>
                      </w:r>
                      <w:r w:rsidR="00B10F1D">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317F581C" w14:textId="5DC0011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2DF29E13" w:rsidR="005B52B0" w:rsidRPr="0010736F" w:rsidRDefault="00B10F1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ERNESTO RAMÍREZ CORREA Y OTROS</w:t>
                      </w:r>
                    </w:p>
                    <w:bookmarkEnd w:id="1"/>
                    <w:p w14:paraId="0409BA94" w14:textId="31D1094A" w:rsidR="005B52B0" w:rsidRPr="0010736F" w:rsidRDefault="00B10F1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4CD600C3" w:rsidR="00627C9F" w:rsidRPr="006617D9" w:rsidRDefault="00834D49" w:rsidP="007A5817">
                            <w:pPr>
                              <w:spacing w:line="276" w:lineRule="auto"/>
                              <w:jc w:val="right"/>
                              <w:rPr>
                                <w:rFonts w:asciiTheme="minorHAnsi" w:hAnsiTheme="minorHAnsi"/>
                                <w:color w:val="FFFFFF" w:themeColor="background1"/>
                                <w:sz w:val="22"/>
                                <w:lang w:val="es-US"/>
                              </w:rPr>
                            </w:pPr>
                            <w:r w:rsidRPr="006617D9">
                              <w:rPr>
                                <w:rFonts w:asciiTheme="minorHAnsi" w:hAnsiTheme="minorHAnsi"/>
                                <w:color w:val="FFFFFF" w:themeColor="background1"/>
                                <w:sz w:val="22"/>
                                <w:lang w:val="es-US"/>
                              </w:rPr>
                              <w:t>OEA/</w:t>
                            </w:r>
                            <w:proofErr w:type="spellStart"/>
                            <w:r w:rsidRPr="006617D9">
                              <w:rPr>
                                <w:rFonts w:asciiTheme="minorHAnsi" w:hAnsiTheme="minorHAnsi"/>
                                <w:color w:val="FFFFFF" w:themeColor="background1"/>
                                <w:sz w:val="22"/>
                                <w:lang w:val="es-US"/>
                              </w:rPr>
                              <w:t>Ser.L</w:t>
                            </w:r>
                            <w:proofErr w:type="spellEnd"/>
                            <w:r w:rsidRPr="006617D9">
                              <w:rPr>
                                <w:rFonts w:asciiTheme="minorHAnsi" w:hAnsiTheme="minorHAnsi"/>
                                <w:color w:val="FFFFFF" w:themeColor="background1"/>
                                <w:sz w:val="22"/>
                                <w:lang w:val="es-US"/>
                              </w:rPr>
                              <w:t>/V/II</w:t>
                            </w:r>
                          </w:p>
                          <w:p w14:paraId="28E8B0DD" w14:textId="3238A1F2" w:rsidR="00627C9F" w:rsidRPr="003C40F5" w:rsidRDefault="00627C9F" w:rsidP="007A5817">
                            <w:pPr>
                              <w:spacing w:line="276" w:lineRule="auto"/>
                              <w:jc w:val="right"/>
                              <w:rPr>
                                <w:rFonts w:asciiTheme="minorHAnsi" w:hAnsiTheme="minorHAnsi"/>
                                <w:color w:val="FFFFFF" w:themeColor="background1"/>
                                <w:sz w:val="22"/>
                                <w:lang w:val="es-419"/>
                              </w:rPr>
                            </w:pPr>
                            <w:r w:rsidRPr="003C40F5">
                              <w:rPr>
                                <w:rFonts w:asciiTheme="minorHAnsi" w:hAnsiTheme="minorHAnsi"/>
                                <w:color w:val="FFFFFF" w:themeColor="background1"/>
                                <w:sz w:val="22"/>
                                <w:lang w:val="es-419"/>
                              </w:rPr>
                              <w:t xml:space="preserve">Doc. </w:t>
                            </w:r>
                            <w:r w:rsidR="003C40F5">
                              <w:rPr>
                                <w:rFonts w:asciiTheme="minorHAnsi" w:hAnsiTheme="minorHAnsi"/>
                                <w:color w:val="FFFFFF" w:themeColor="background1"/>
                                <w:sz w:val="22"/>
                                <w:lang w:val="es-419"/>
                              </w:rPr>
                              <w:t>129</w:t>
                            </w:r>
                          </w:p>
                          <w:p w14:paraId="01D5CFED" w14:textId="68A9376A" w:rsidR="00627C9F" w:rsidRPr="003C40F5" w:rsidRDefault="003C40F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627C9F" w:rsidRPr="003C40F5">
                              <w:rPr>
                                <w:rFonts w:asciiTheme="minorHAnsi" w:hAnsiTheme="minorHAnsi"/>
                                <w:color w:val="FFFFFF" w:themeColor="background1"/>
                                <w:sz w:val="22"/>
                                <w:lang w:val="es-PA"/>
                              </w:rPr>
                              <w:t xml:space="preserve"> 20</w:t>
                            </w:r>
                            <w:r w:rsidR="00C23BA4" w:rsidRPr="003C40F5">
                              <w:rPr>
                                <w:rFonts w:asciiTheme="minorHAnsi" w:hAnsiTheme="minorHAnsi"/>
                                <w:color w:val="FFFFFF" w:themeColor="background1"/>
                                <w:sz w:val="22"/>
                                <w:lang w:val="es-PA"/>
                              </w:rPr>
                              <w:t>2</w:t>
                            </w:r>
                            <w:r w:rsidR="00AD265D" w:rsidRPr="003C40F5">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3C40F5">
                              <w:rPr>
                                <w:rFonts w:asciiTheme="minorHAnsi" w:hAnsiTheme="minorHAnsi"/>
                                <w:color w:val="FFFFFF" w:themeColor="background1"/>
                                <w:sz w:val="22"/>
                                <w:lang w:val="es-PA"/>
                              </w:rPr>
                              <w:t xml:space="preserve">Original: </w:t>
                            </w:r>
                            <w:r w:rsidR="008B12F5" w:rsidRPr="003C40F5">
                              <w:rPr>
                                <w:rFonts w:asciiTheme="minorHAnsi" w:hAnsiTheme="minorHAnsi"/>
                                <w:color w:val="FFFFFF" w:themeColor="background1"/>
                                <w:sz w:val="22"/>
                                <w:lang w:val="es-PA"/>
                              </w:rPr>
                              <w:t>e</w:t>
                            </w:r>
                            <w:r w:rsidR="00627C9F" w:rsidRPr="003C40F5">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3A3955"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4CD600C3" w:rsidR="00627C9F" w:rsidRPr="006617D9" w:rsidRDefault="00834D49" w:rsidP="007A5817">
                      <w:pPr>
                        <w:spacing w:line="276" w:lineRule="auto"/>
                        <w:jc w:val="right"/>
                        <w:rPr>
                          <w:rFonts w:asciiTheme="minorHAnsi" w:hAnsiTheme="minorHAnsi"/>
                          <w:color w:val="FFFFFF" w:themeColor="background1"/>
                          <w:sz w:val="22"/>
                          <w:lang w:val="es-US"/>
                        </w:rPr>
                      </w:pPr>
                      <w:r w:rsidRPr="006617D9">
                        <w:rPr>
                          <w:rFonts w:asciiTheme="minorHAnsi" w:hAnsiTheme="minorHAnsi"/>
                          <w:color w:val="FFFFFF" w:themeColor="background1"/>
                          <w:sz w:val="22"/>
                          <w:lang w:val="es-US"/>
                        </w:rPr>
                        <w:t>OEA/Ser.L/V/II</w:t>
                      </w:r>
                    </w:p>
                    <w:p w14:paraId="28E8B0DD" w14:textId="3238A1F2" w:rsidR="00627C9F" w:rsidRPr="003C40F5" w:rsidRDefault="00627C9F" w:rsidP="007A5817">
                      <w:pPr>
                        <w:spacing w:line="276" w:lineRule="auto"/>
                        <w:jc w:val="right"/>
                        <w:rPr>
                          <w:rFonts w:asciiTheme="minorHAnsi" w:hAnsiTheme="minorHAnsi"/>
                          <w:color w:val="FFFFFF" w:themeColor="background1"/>
                          <w:sz w:val="22"/>
                          <w:lang w:val="es-419"/>
                        </w:rPr>
                      </w:pPr>
                      <w:r w:rsidRPr="003C40F5">
                        <w:rPr>
                          <w:rFonts w:asciiTheme="minorHAnsi" w:hAnsiTheme="minorHAnsi"/>
                          <w:color w:val="FFFFFF" w:themeColor="background1"/>
                          <w:sz w:val="22"/>
                          <w:lang w:val="es-419"/>
                        </w:rPr>
                        <w:t xml:space="preserve">Doc. </w:t>
                      </w:r>
                      <w:r w:rsidR="003C40F5">
                        <w:rPr>
                          <w:rFonts w:asciiTheme="minorHAnsi" w:hAnsiTheme="minorHAnsi"/>
                          <w:color w:val="FFFFFF" w:themeColor="background1"/>
                          <w:sz w:val="22"/>
                          <w:lang w:val="es-419"/>
                        </w:rPr>
                        <w:t>129</w:t>
                      </w:r>
                    </w:p>
                    <w:p w14:paraId="01D5CFED" w14:textId="68A9376A" w:rsidR="00627C9F" w:rsidRPr="003C40F5" w:rsidRDefault="003C40F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junio</w:t>
                      </w:r>
                      <w:r w:rsidR="00627C9F" w:rsidRPr="003C40F5">
                        <w:rPr>
                          <w:rFonts w:asciiTheme="minorHAnsi" w:hAnsiTheme="minorHAnsi"/>
                          <w:color w:val="FFFFFF" w:themeColor="background1"/>
                          <w:sz w:val="22"/>
                          <w:lang w:val="es-PA"/>
                        </w:rPr>
                        <w:t xml:space="preserve"> 20</w:t>
                      </w:r>
                      <w:r w:rsidR="00C23BA4" w:rsidRPr="003C40F5">
                        <w:rPr>
                          <w:rFonts w:asciiTheme="minorHAnsi" w:hAnsiTheme="minorHAnsi"/>
                          <w:color w:val="FFFFFF" w:themeColor="background1"/>
                          <w:sz w:val="22"/>
                          <w:lang w:val="es-PA"/>
                        </w:rPr>
                        <w:t>2</w:t>
                      </w:r>
                      <w:r w:rsidR="00AD265D" w:rsidRPr="003C40F5">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3C40F5">
                        <w:rPr>
                          <w:rFonts w:asciiTheme="minorHAnsi" w:hAnsiTheme="minorHAnsi"/>
                          <w:color w:val="FFFFFF" w:themeColor="background1"/>
                          <w:sz w:val="22"/>
                          <w:lang w:val="es-PA"/>
                        </w:rPr>
                        <w:t xml:space="preserve">Original: </w:t>
                      </w:r>
                      <w:r w:rsidR="008B12F5" w:rsidRPr="003C40F5">
                        <w:rPr>
                          <w:rFonts w:asciiTheme="minorHAnsi" w:hAnsiTheme="minorHAnsi"/>
                          <w:color w:val="FFFFFF" w:themeColor="background1"/>
                          <w:sz w:val="22"/>
                          <w:lang w:val="es-PA"/>
                        </w:rPr>
                        <w:t>e</w:t>
                      </w:r>
                      <w:r w:rsidR="00627C9F" w:rsidRPr="003C40F5">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4C0C44A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3C40F5">
                              <w:rPr>
                                <w:rFonts w:asciiTheme="majorHAnsi" w:hAnsiTheme="majorHAnsi"/>
                                <w:color w:val="0D0D0D" w:themeColor="text1" w:themeTint="F2"/>
                                <w:sz w:val="18"/>
                                <w:szCs w:val="22"/>
                                <w:lang w:val="es-ES"/>
                              </w:rPr>
                              <w:t xml:space="preserve">Comisión el </w:t>
                            </w:r>
                            <w:r w:rsidR="003C40F5">
                              <w:rPr>
                                <w:rFonts w:asciiTheme="majorHAnsi" w:hAnsiTheme="majorHAnsi"/>
                                <w:color w:val="0D0D0D" w:themeColor="text1" w:themeTint="F2"/>
                                <w:sz w:val="18"/>
                                <w:szCs w:val="22"/>
                                <w:lang w:val="es-ES"/>
                              </w:rPr>
                              <w:t>13</w:t>
                            </w:r>
                            <w:r w:rsidRPr="003C40F5">
                              <w:rPr>
                                <w:rFonts w:asciiTheme="majorHAnsi" w:hAnsiTheme="majorHAnsi"/>
                                <w:color w:val="0D0D0D" w:themeColor="text1" w:themeTint="F2"/>
                                <w:sz w:val="18"/>
                                <w:szCs w:val="22"/>
                                <w:lang w:val="es-ES"/>
                              </w:rPr>
                              <w:t xml:space="preserve"> de </w:t>
                            </w:r>
                            <w:r w:rsidR="003C40F5">
                              <w:rPr>
                                <w:rFonts w:asciiTheme="majorHAnsi" w:hAnsiTheme="majorHAnsi"/>
                                <w:color w:val="0D0D0D" w:themeColor="text1" w:themeTint="F2"/>
                                <w:sz w:val="18"/>
                                <w:szCs w:val="22"/>
                                <w:lang w:val="es-ES"/>
                              </w:rPr>
                              <w:t>junio</w:t>
                            </w:r>
                            <w:r w:rsidR="00F81BB8" w:rsidRPr="003C40F5">
                              <w:rPr>
                                <w:rFonts w:asciiTheme="majorHAnsi" w:hAnsiTheme="majorHAnsi"/>
                                <w:color w:val="0D0D0D" w:themeColor="text1" w:themeTint="F2"/>
                                <w:sz w:val="18"/>
                                <w:szCs w:val="22"/>
                                <w:lang w:val="es-ES"/>
                              </w:rPr>
                              <w:t xml:space="preserve"> </w:t>
                            </w:r>
                            <w:r w:rsidRPr="003C40F5">
                              <w:rPr>
                                <w:rFonts w:asciiTheme="majorHAnsi" w:hAnsiTheme="majorHAnsi"/>
                                <w:color w:val="0D0D0D" w:themeColor="text1" w:themeTint="F2"/>
                                <w:sz w:val="18"/>
                                <w:szCs w:val="22"/>
                                <w:lang w:val="es-ES"/>
                              </w:rPr>
                              <w:t>de 20</w:t>
                            </w:r>
                            <w:r w:rsidR="00C23BA4" w:rsidRPr="003C40F5">
                              <w:rPr>
                                <w:rFonts w:asciiTheme="majorHAnsi" w:hAnsiTheme="majorHAnsi"/>
                                <w:color w:val="0D0D0D" w:themeColor="text1" w:themeTint="F2"/>
                                <w:sz w:val="18"/>
                                <w:szCs w:val="22"/>
                                <w:lang w:val="es-ES"/>
                              </w:rPr>
                              <w:t>2</w:t>
                            </w:r>
                            <w:r w:rsidR="00AD265D" w:rsidRPr="003C40F5">
                              <w:rPr>
                                <w:rFonts w:asciiTheme="majorHAnsi" w:hAnsiTheme="majorHAnsi"/>
                                <w:color w:val="0D0D0D" w:themeColor="text1" w:themeTint="F2"/>
                                <w:sz w:val="18"/>
                                <w:szCs w:val="22"/>
                                <w:lang w:val="es-ES"/>
                              </w:rPr>
                              <w:t>1</w:t>
                            </w:r>
                            <w:r w:rsidR="00D019D9">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DE3EED" w14:textId="4C0C44A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3C40F5">
                        <w:rPr>
                          <w:rFonts w:asciiTheme="majorHAnsi" w:hAnsiTheme="majorHAnsi"/>
                          <w:color w:val="0D0D0D" w:themeColor="text1" w:themeTint="F2"/>
                          <w:sz w:val="18"/>
                          <w:szCs w:val="22"/>
                          <w:lang w:val="es-ES"/>
                        </w:rPr>
                        <w:t xml:space="preserve">Comisión el </w:t>
                      </w:r>
                      <w:r w:rsidR="003C40F5">
                        <w:rPr>
                          <w:rFonts w:asciiTheme="majorHAnsi" w:hAnsiTheme="majorHAnsi"/>
                          <w:color w:val="0D0D0D" w:themeColor="text1" w:themeTint="F2"/>
                          <w:sz w:val="18"/>
                          <w:szCs w:val="22"/>
                          <w:lang w:val="es-ES"/>
                        </w:rPr>
                        <w:t>13</w:t>
                      </w:r>
                      <w:r w:rsidRPr="003C40F5">
                        <w:rPr>
                          <w:rFonts w:asciiTheme="majorHAnsi" w:hAnsiTheme="majorHAnsi"/>
                          <w:color w:val="0D0D0D" w:themeColor="text1" w:themeTint="F2"/>
                          <w:sz w:val="18"/>
                          <w:szCs w:val="22"/>
                          <w:lang w:val="es-ES"/>
                        </w:rPr>
                        <w:t xml:space="preserve"> de </w:t>
                      </w:r>
                      <w:r w:rsidR="003C40F5">
                        <w:rPr>
                          <w:rFonts w:asciiTheme="majorHAnsi" w:hAnsiTheme="majorHAnsi"/>
                          <w:color w:val="0D0D0D" w:themeColor="text1" w:themeTint="F2"/>
                          <w:sz w:val="18"/>
                          <w:szCs w:val="22"/>
                          <w:lang w:val="es-ES"/>
                        </w:rPr>
                        <w:t>junio</w:t>
                      </w:r>
                      <w:r w:rsidR="00F81BB8" w:rsidRPr="003C40F5">
                        <w:rPr>
                          <w:rFonts w:asciiTheme="majorHAnsi" w:hAnsiTheme="majorHAnsi"/>
                          <w:color w:val="0D0D0D" w:themeColor="text1" w:themeTint="F2"/>
                          <w:sz w:val="18"/>
                          <w:szCs w:val="22"/>
                          <w:lang w:val="es-ES"/>
                        </w:rPr>
                        <w:t xml:space="preserve"> </w:t>
                      </w:r>
                      <w:r w:rsidRPr="003C40F5">
                        <w:rPr>
                          <w:rFonts w:asciiTheme="majorHAnsi" w:hAnsiTheme="majorHAnsi"/>
                          <w:color w:val="0D0D0D" w:themeColor="text1" w:themeTint="F2"/>
                          <w:sz w:val="18"/>
                          <w:szCs w:val="22"/>
                          <w:lang w:val="es-ES"/>
                        </w:rPr>
                        <w:t>de 20</w:t>
                      </w:r>
                      <w:r w:rsidR="00C23BA4" w:rsidRPr="003C40F5">
                        <w:rPr>
                          <w:rFonts w:asciiTheme="majorHAnsi" w:hAnsiTheme="majorHAnsi"/>
                          <w:color w:val="0D0D0D" w:themeColor="text1" w:themeTint="F2"/>
                          <w:sz w:val="18"/>
                          <w:szCs w:val="22"/>
                          <w:lang w:val="es-ES"/>
                        </w:rPr>
                        <w:t>2</w:t>
                      </w:r>
                      <w:r w:rsidR="00AD265D" w:rsidRPr="003C40F5">
                        <w:rPr>
                          <w:rFonts w:asciiTheme="majorHAnsi" w:hAnsiTheme="majorHAnsi"/>
                          <w:color w:val="0D0D0D" w:themeColor="text1" w:themeTint="F2"/>
                          <w:sz w:val="18"/>
                          <w:szCs w:val="22"/>
                          <w:lang w:val="es-ES"/>
                        </w:rPr>
                        <w:t>1</w:t>
                      </w:r>
                      <w:r w:rsidR="00D019D9">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36ABD0C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3C40F5">
                              <w:rPr>
                                <w:rFonts w:asciiTheme="majorHAnsi" w:hAnsiTheme="majorHAnsi"/>
                                <w:color w:val="595959" w:themeColor="text1" w:themeTint="A6"/>
                                <w:sz w:val="18"/>
                                <w:szCs w:val="18"/>
                                <w:lang w:val="pt-BR"/>
                              </w:rPr>
                              <w:t xml:space="preserve">Informe No. </w:t>
                            </w:r>
                            <w:r w:rsidR="003C40F5" w:rsidRPr="003C40F5">
                              <w:rPr>
                                <w:rFonts w:asciiTheme="majorHAnsi" w:hAnsiTheme="majorHAnsi"/>
                                <w:color w:val="595959" w:themeColor="text1" w:themeTint="A6"/>
                                <w:sz w:val="18"/>
                                <w:szCs w:val="18"/>
                                <w:lang w:val="pt-BR"/>
                              </w:rPr>
                              <w:t>121</w:t>
                            </w:r>
                            <w:r w:rsidR="007B05C4" w:rsidRPr="003C40F5">
                              <w:rPr>
                                <w:rFonts w:asciiTheme="majorHAnsi" w:hAnsiTheme="majorHAnsi"/>
                                <w:color w:val="595959" w:themeColor="text1" w:themeTint="A6"/>
                                <w:sz w:val="18"/>
                                <w:szCs w:val="18"/>
                                <w:lang w:val="pt-BR"/>
                              </w:rPr>
                              <w:t>/</w:t>
                            </w:r>
                            <w:r w:rsidR="003C40F5" w:rsidRPr="003C40F5">
                              <w:rPr>
                                <w:rFonts w:asciiTheme="majorHAnsi" w:hAnsiTheme="majorHAnsi"/>
                                <w:color w:val="595959" w:themeColor="text1" w:themeTint="A6"/>
                                <w:sz w:val="18"/>
                                <w:szCs w:val="18"/>
                                <w:lang w:val="pt-BR"/>
                              </w:rPr>
                              <w:t>21</w:t>
                            </w:r>
                            <w:r w:rsidRPr="003C40F5">
                              <w:rPr>
                                <w:rFonts w:asciiTheme="majorHAnsi" w:hAnsiTheme="majorHAnsi"/>
                                <w:color w:val="595959" w:themeColor="text1" w:themeTint="A6"/>
                                <w:sz w:val="18"/>
                                <w:szCs w:val="18"/>
                                <w:lang w:val="pt-BR"/>
                              </w:rPr>
                              <w:t xml:space="preserve">. </w:t>
                            </w:r>
                            <w:proofErr w:type="spellStart"/>
                            <w:r w:rsidR="000433C9" w:rsidRPr="003C40F5">
                              <w:rPr>
                                <w:rFonts w:asciiTheme="majorHAnsi" w:hAnsiTheme="majorHAnsi"/>
                                <w:color w:val="595959" w:themeColor="text1" w:themeTint="A6"/>
                                <w:sz w:val="18"/>
                                <w:szCs w:val="18"/>
                                <w:lang w:val="es-ES_tradnl"/>
                              </w:rPr>
                              <w:t>Petici</w:t>
                            </w:r>
                            <w:r w:rsidR="000433C9" w:rsidRPr="003C40F5">
                              <w:rPr>
                                <w:rFonts w:asciiTheme="majorHAnsi" w:hAnsiTheme="majorHAnsi"/>
                                <w:color w:val="595959" w:themeColor="text1" w:themeTint="A6"/>
                                <w:sz w:val="18"/>
                                <w:szCs w:val="18"/>
                                <w:lang w:val="es-ES"/>
                              </w:rPr>
                              <w:t>ón</w:t>
                            </w:r>
                            <w:proofErr w:type="spellEnd"/>
                            <w:r w:rsidR="000433C9" w:rsidRPr="003C40F5">
                              <w:rPr>
                                <w:rFonts w:asciiTheme="majorHAnsi" w:hAnsiTheme="majorHAnsi"/>
                                <w:color w:val="595959" w:themeColor="text1" w:themeTint="A6"/>
                                <w:sz w:val="18"/>
                                <w:szCs w:val="18"/>
                                <w:lang w:val="es-ES"/>
                              </w:rPr>
                              <w:t xml:space="preserve"> </w:t>
                            </w:r>
                            <w:r w:rsidR="00B10F1D" w:rsidRPr="003C40F5">
                              <w:rPr>
                                <w:rFonts w:asciiTheme="majorHAnsi" w:hAnsiTheme="majorHAnsi"/>
                                <w:color w:val="595959" w:themeColor="text1" w:themeTint="A6"/>
                                <w:sz w:val="18"/>
                                <w:szCs w:val="18"/>
                                <w:lang w:val="es-ES"/>
                              </w:rPr>
                              <w:t>336-12</w:t>
                            </w:r>
                            <w:r w:rsidR="000433C9" w:rsidRPr="003C40F5">
                              <w:rPr>
                                <w:rFonts w:asciiTheme="majorHAnsi" w:hAnsiTheme="majorHAnsi"/>
                                <w:color w:val="595959" w:themeColor="text1" w:themeTint="A6"/>
                                <w:sz w:val="18"/>
                                <w:szCs w:val="18"/>
                                <w:lang w:val="es-ES"/>
                              </w:rPr>
                              <w:t xml:space="preserve">. </w:t>
                            </w:r>
                            <w:r w:rsidRPr="003C40F5">
                              <w:rPr>
                                <w:rFonts w:asciiTheme="majorHAnsi" w:hAnsiTheme="majorHAnsi"/>
                                <w:color w:val="595959" w:themeColor="text1" w:themeTint="A6"/>
                                <w:sz w:val="18"/>
                                <w:szCs w:val="18"/>
                                <w:lang w:val="es-ES_tradnl"/>
                              </w:rPr>
                              <w:t xml:space="preserve">Admisibilidad. </w:t>
                            </w:r>
                            <w:r w:rsidR="00B10F1D" w:rsidRPr="003C40F5">
                              <w:rPr>
                                <w:rFonts w:asciiTheme="majorHAnsi" w:hAnsiTheme="majorHAnsi"/>
                                <w:color w:val="595959" w:themeColor="text1" w:themeTint="A6"/>
                                <w:sz w:val="18"/>
                                <w:szCs w:val="18"/>
                                <w:lang w:val="es-ES_tradnl"/>
                              </w:rPr>
                              <w:t>Luis Ernesto Ramírez Correa y otros</w:t>
                            </w:r>
                            <w:r w:rsidRPr="003C40F5">
                              <w:rPr>
                                <w:rFonts w:asciiTheme="majorHAnsi" w:hAnsiTheme="majorHAnsi"/>
                                <w:color w:val="595959" w:themeColor="text1" w:themeTint="A6"/>
                                <w:sz w:val="18"/>
                                <w:szCs w:val="18"/>
                                <w:lang w:val="es-ES_tradnl"/>
                              </w:rPr>
                              <w:t xml:space="preserve">. </w:t>
                            </w:r>
                            <w:r w:rsidR="00B10F1D" w:rsidRPr="003C40F5">
                              <w:rPr>
                                <w:rFonts w:asciiTheme="majorHAnsi" w:hAnsiTheme="majorHAnsi"/>
                                <w:color w:val="595959" w:themeColor="text1" w:themeTint="A6"/>
                                <w:sz w:val="18"/>
                                <w:szCs w:val="18"/>
                                <w:lang w:val="es-ES_tradnl"/>
                              </w:rPr>
                              <w:t>Colombia</w:t>
                            </w:r>
                            <w:r w:rsidRPr="003C40F5">
                              <w:rPr>
                                <w:rFonts w:asciiTheme="majorHAnsi" w:hAnsiTheme="majorHAnsi"/>
                                <w:color w:val="595959" w:themeColor="text1" w:themeTint="A6"/>
                                <w:sz w:val="18"/>
                                <w:szCs w:val="18"/>
                                <w:lang w:val="es-ES_tradnl"/>
                              </w:rPr>
                              <w:t xml:space="preserve">. </w:t>
                            </w:r>
                            <w:r w:rsidR="003C40F5">
                              <w:rPr>
                                <w:rFonts w:asciiTheme="majorHAnsi" w:hAnsiTheme="majorHAnsi"/>
                                <w:color w:val="595959" w:themeColor="text1" w:themeTint="A6"/>
                                <w:sz w:val="18"/>
                                <w:szCs w:val="18"/>
                                <w:lang w:val="es-ES"/>
                              </w:rPr>
                              <w:t>13 de junio de 2021</w:t>
                            </w:r>
                            <w:r w:rsidRPr="003C40F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36ABD0C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3C40F5">
                        <w:rPr>
                          <w:rFonts w:asciiTheme="majorHAnsi" w:hAnsiTheme="majorHAnsi"/>
                          <w:color w:val="595959" w:themeColor="text1" w:themeTint="A6"/>
                          <w:sz w:val="18"/>
                          <w:szCs w:val="18"/>
                          <w:lang w:val="pt-BR"/>
                        </w:rPr>
                        <w:t xml:space="preserve">Informe No. </w:t>
                      </w:r>
                      <w:r w:rsidR="003C40F5" w:rsidRPr="003C40F5">
                        <w:rPr>
                          <w:rFonts w:asciiTheme="majorHAnsi" w:hAnsiTheme="majorHAnsi"/>
                          <w:color w:val="595959" w:themeColor="text1" w:themeTint="A6"/>
                          <w:sz w:val="18"/>
                          <w:szCs w:val="18"/>
                          <w:lang w:val="pt-BR"/>
                        </w:rPr>
                        <w:t>121</w:t>
                      </w:r>
                      <w:r w:rsidR="007B05C4" w:rsidRPr="003C40F5">
                        <w:rPr>
                          <w:rFonts w:asciiTheme="majorHAnsi" w:hAnsiTheme="majorHAnsi"/>
                          <w:color w:val="595959" w:themeColor="text1" w:themeTint="A6"/>
                          <w:sz w:val="18"/>
                          <w:szCs w:val="18"/>
                          <w:lang w:val="pt-BR"/>
                        </w:rPr>
                        <w:t>/</w:t>
                      </w:r>
                      <w:r w:rsidR="003C40F5" w:rsidRPr="003C40F5">
                        <w:rPr>
                          <w:rFonts w:asciiTheme="majorHAnsi" w:hAnsiTheme="majorHAnsi"/>
                          <w:color w:val="595959" w:themeColor="text1" w:themeTint="A6"/>
                          <w:sz w:val="18"/>
                          <w:szCs w:val="18"/>
                          <w:lang w:val="pt-BR"/>
                        </w:rPr>
                        <w:t>21</w:t>
                      </w:r>
                      <w:r w:rsidRPr="003C40F5">
                        <w:rPr>
                          <w:rFonts w:asciiTheme="majorHAnsi" w:hAnsiTheme="majorHAnsi"/>
                          <w:color w:val="595959" w:themeColor="text1" w:themeTint="A6"/>
                          <w:sz w:val="18"/>
                          <w:szCs w:val="18"/>
                          <w:lang w:val="pt-BR"/>
                        </w:rPr>
                        <w:t xml:space="preserve">. </w:t>
                      </w:r>
                      <w:proofErr w:type="spellStart"/>
                      <w:r w:rsidR="000433C9" w:rsidRPr="003C40F5">
                        <w:rPr>
                          <w:rFonts w:asciiTheme="majorHAnsi" w:hAnsiTheme="majorHAnsi"/>
                          <w:color w:val="595959" w:themeColor="text1" w:themeTint="A6"/>
                          <w:sz w:val="18"/>
                          <w:szCs w:val="18"/>
                          <w:lang w:val="es-ES_tradnl"/>
                        </w:rPr>
                        <w:t>Petici</w:t>
                      </w:r>
                      <w:r w:rsidR="000433C9" w:rsidRPr="003C40F5">
                        <w:rPr>
                          <w:rFonts w:asciiTheme="majorHAnsi" w:hAnsiTheme="majorHAnsi"/>
                          <w:color w:val="595959" w:themeColor="text1" w:themeTint="A6"/>
                          <w:sz w:val="18"/>
                          <w:szCs w:val="18"/>
                          <w:lang w:val="es-ES"/>
                        </w:rPr>
                        <w:t>ón</w:t>
                      </w:r>
                      <w:proofErr w:type="spellEnd"/>
                      <w:r w:rsidR="000433C9" w:rsidRPr="003C40F5">
                        <w:rPr>
                          <w:rFonts w:asciiTheme="majorHAnsi" w:hAnsiTheme="majorHAnsi"/>
                          <w:color w:val="595959" w:themeColor="text1" w:themeTint="A6"/>
                          <w:sz w:val="18"/>
                          <w:szCs w:val="18"/>
                          <w:lang w:val="es-ES"/>
                        </w:rPr>
                        <w:t xml:space="preserve"> </w:t>
                      </w:r>
                      <w:r w:rsidR="00B10F1D" w:rsidRPr="003C40F5">
                        <w:rPr>
                          <w:rFonts w:asciiTheme="majorHAnsi" w:hAnsiTheme="majorHAnsi"/>
                          <w:color w:val="595959" w:themeColor="text1" w:themeTint="A6"/>
                          <w:sz w:val="18"/>
                          <w:szCs w:val="18"/>
                          <w:lang w:val="es-ES"/>
                        </w:rPr>
                        <w:t>336-12</w:t>
                      </w:r>
                      <w:r w:rsidR="000433C9" w:rsidRPr="003C40F5">
                        <w:rPr>
                          <w:rFonts w:asciiTheme="majorHAnsi" w:hAnsiTheme="majorHAnsi"/>
                          <w:color w:val="595959" w:themeColor="text1" w:themeTint="A6"/>
                          <w:sz w:val="18"/>
                          <w:szCs w:val="18"/>
                          <w:lang w:val="es-ES"/>
                        </w:rPr>
                        <w:t xml:space="preserve">. </w:t>
                      </w:r>
                      <w:r w:rsidRPr="003C40F5">
                        <w:rPr>
                          <w:rFonts w:asciiTheme="majorHAnsi" w:hAnsiTheme="majorHAnsi"/>
                          <w:color w:val="595959" w:themeColor="text1" w:themeTint="A6"/>
                          <w:sz w:val="18"/>
                          <w:szCs w:val="18"/>
                          <w:lang w:val="es-ES_tradnl"/>
                        </w:rPr>
                        <w:t xml:space="preserve">Admisibilidad. </w:t>
                      </w:r>
                      <w:r w:rsidR="00B10F1D" w:rsidRPr="003C40F5">
                        <w:rPr>
                          <w:rFonts w:asciiTheme="majorHAnsi" w:hAnsiTheme="majorHAnsi"/>
                          <w:color w:val="595959" w:themeColor="text1" w:themeTint="A6"/>
                          <w:sz w:val="18"/>
                          <w:szCs w:val="18"/>
                          <w:lang w:val="es-ES_tradnl"/>
                        </w:rPr>
                        <w:t>Luis Ernesto Ramírez Correa y otros</w:t>
                      </w:r>
                      <w:r w:rsidRPr="003C40F5">
                        <w:rPr>
                          <w:rFonts w:asciiTheme="majorHAnsi" w:hAnsiTheme="majorHAnsi"/>
                          <w:color w:val="595959" w:themeColor="text1" w:themeTint="A6"/>
                          <w:sz w:val="18"/>
                          <w:szCs w:val="18"/>
                          <w:lang w:val="es-ES_tradnl"/>
                        </w:rPr>
                        <w:t xml:space="preserve">. </w:t>
                      </w:r>
                      <w:r w:rsidR="00B10F1D" w:rsidRPr="003C40F5">
                        <w:rPr>
                          <w:rFonts w:asciiTheme="majorHAnsi" w:hAnsiTheme="majorHAnsi"/>
                          <w:color w:val="595959" w:themeColor="text1" w:themeTint="A6"/>
                          <w:sz w:val="18"/>
                          <w:szCs w:val="18"/>
                          <w:lang w:val="es-ES_tradnl"/>
                        </w:rPr>
                        <w:t>Colombia</w:t>
                      </w:r>
                      <w:r w:rsidRPr="003C40F5">
                        <w:rPr>
                          <w:rFonts w:asciiTheme="majorHAnsi" w:hAnsiTheme="majorHAnsi"/>
                          <w:color w:val="595959" w:themeColor="text1" w:themeTint="A6"/>
                          <w:sz w:val="18"/>
                          <w:szCs w:val="18"/>
                          <w:lang w:val="es-ES_tradnl"/>
                        </w:rPr>
                        <w:t xml:space="preserve">. </w:t>
                      </w:r>
                      <w:r w:rsidR="003C40F5">
                        <w:rPr>
                          <w:rFonts w:asciiTheme="majorHAnsi" w:hAnsiTheme="majorHAnsi"/>
                          <w:color w:val="595959" w:themeColor="text1" w:themeTint="A6"/>
                          <w:sz w:val="18"/>
                          <w:szCs w:val="18"/>
                          <w:lang w:val="es-ES"/>
                        </w:rPr>
                        <w:t>13 de junio de 2021</w:t>
                      </w:r>
                      <w:r w:rsidRPr="003C40F5">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5EB4743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3277E6C8" w:rsidR="00D72DC6" w:rsidRPr="00D72DC6" w:rsidRDefault="00D019D9" w:rsidP="00F02AD1">
                            <w:pPr>
                              <w:rPr>
                                <w:color w:val="FFFFFF" w:themeColor="background1"/>
                                <w14:textFill>
                                  <w14:noFill/>
                                </w14:textFill>
                              </w:rPr>
                            </w:pPr>
                            <w:r>
                              <w:rPr>
                                <w:noProof/>
                                <w:color w:val="FFFFFF" w:themeColor="background1"/>
                              </w:rPr>
                              <w:drawing>
                                <wp:inline distT="0" distB="0" distL="0" distR="0" wp14:anchorId="3CDD50FC" wp14:editId="13CD74F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786CDA1" w14:textId="3277E6C8" w:rsidR="00D72DC6" w:rsidRPr="00D72DC6" w:rsidRDefault="00D019D9" w:rsidP="00F02AD1">
                      <w:pPr>
                        <w:rPr>
                          <w:color w:val="FFFFFF" w:themeColor="background1"/>
                          <w14:textFill>
                            <w14:noFill/>
                          </w14:textFill>
                        </w:rPr>
                      </w:pPr>
                      <w:r>
                        <w:rPr>
                          <w:noProof/>
                          <w:color w:val="FFFFFF" w:themeColor="background1"/>
                        </w:rPr>
                        <w:drawing>
                          <wp:inline distT="0" distB="0" distL="0" distR="0" wp14:anchorId="3CDD50FC" wp14:editId="13CD74F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34BCCE3F" w:rsidR="003239B8" w:rsidRPr="000D05CB" w:rsidRDefault="00B10F1D" w:rsidP="008D2290">
            <w:pPr>
              <w:jc w:val="both"/>
              <w:rPr>
                <w:rFonts w:ascii="Cambria" w:hAnsi="Cambria"/>
                <w:bCs/>
                <w:sz w:val="20"/>
                <w:szCs w:val="20"/>
              </w:rPr>
            </w:pPr>
            <w:r>
              <w:rPr>
                <w:rFonts w:ascii="Cambria" w:hAnsi="Cambria"/>
                <w:bCs/>
                <w:sz w:val="20"/>
                <w:szCs w:val="20"/>
              </w:rPr>
              <w:t>Helton David Gutiérrez González</w:t>
            </w:r>
          </w:p>
        </w:tc>
      </w:tr>
      <w:tr w:rsidR="003239B8" w:rsidRPr="00D019D9"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6B7B6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5B76FAB1" w:rsidR="003239B8" w:rsidRPr="000D05CB" w:rsidRDefault="00B10F1D" w:rsidP="008D2290">
            <w:pPr>
              <w:jc w:val="both"/>
              <w:rPr>
                <w:rFonts w:ascii="Cambria" w:hAnsi="Cambria"/>
                <w:bCs/>
                <w:sz w:val="20"/>
                <w:szCs w:val="20"/>
                <w:lang w:val="es-ES"/>
              </w:rPr>
            </w:pPr>
            <w:r>
              <w:rPr>
                <w:rFonts w:ascii="Cambria" w:hAnsi="Cambria"/>
                <w:bCs/>
                <w:sz w:val="20"/>
                <w:szCs w:val="20"/>
                <w:lang w:val="es-ES"/>
              </w:rPr>
              <w:t>Luis Ernesto Ramírez Correa</w:t>
            </w:r>
            <w:r w:rsidR="008F14C9">
              <w:rPr>
                <w:rFonts w:ascii="Cambria" w:hAnsi="Cambria"/>
                <w:bCs/>
                <w:sz w:val="20"/>
                <w:szCs w:val="20"/>
                <w:lang w:val="es-ES"/>
              </w:rPr>
              <w:t xml:space="preserve"> y familiares</w:t>
            </w:r>
            <w:r w:rsidR="00F93BC6">
              <w:rPr>
                <w:rStyle w:val="FootnoteReference"/>
                <w:rFonts w:ascii="Cambria" w:hAnsi="Cambria"/>
                <w:bCs/>
                <w:sz w:val="20"/>
                <w:szCs w:val="20"/>
                <w:lang w:val="es-ES"/>
              </w:rPr>
              <w:footnoteReference w:id="2"/>
            </w:r>
            <w:r w:rsidR="008F14C9">
              <w:rPr>
                <w:rFonts w:ascii="Cambria" w:hAnsi="Cambria"/>
                <w:bCs/>
                <w:sz w:val="20"/>
                <w:szCs w:val="20"/>
                <w:lang w:val="es-ES"/>
              </w:rPr>
              <w:t xml:space="preserve">; </w:t>
            </w:r>
            <w:proofErr w:type="spellStart"/>
            <w:r w:rsidR="00F93BC6">
              <w:rPr>
                <w:rFonts w:ascii="Cambria" w:hAnsi="Cambria"/>
                <w:bCs/>
                <w:sz w:val="20"/>
                <w:szCs w:val="20"/>
                <w:lang w:val="es-ES"/>
              </w:rPr>
              <w:t>Jhon</w:t>
            </w:r>
            <w:proofErr w:type="spellEnd"/>
            <w:r w:rsidR="00F93BC6">
              <w:rPr>
                <w:rFonts w:ascii="Cambria" w:hAnsi="Cambria"/>
                <w:bCs/>
                <w:sz w:val="20"/>
                <w:szCs w:val="20"/>
                <w:lang w:val="es-ES"/>
              </w:rPr>
              <w:t xml:space="preserve"> Freddy Mayor Díaz y familiares</w:t>
            </w:r>
            <w:r w:rsidR="00F93BC6">
              <w:rPr>
                <w:rStyle w:val="FootnoteReference"/>
                <w:rFonts w:ascii="Cambria" w:hAnsi="Cambria"/>
                <w:bCs/>
                <w:sz w:val="20"/>
                <w:szCs w:val="20"/>
                <w:lang w:val="es-ES"/>
              </w:rPr>
              <w:footnoteReference w:id="3"/>
            </w:r>
            <w:r w:rsidR="00F93BC6">
              <w:rPr>
                <w:rFonts w:ascii="Cambria" w:hAnsi="Cambria"/>
                <w:bCs/>
                <w:sz w:val="20"/>
                <w:szCs w:val="20"/>
                <w:lang w:val="es-ES"/>
              </w:rPr>
              <w:t>;</w:t>
            </w:r>
            <w:r>
              <w:rPr>
                <w:rFonts w:ascii="Cambria" w:hAnsi="Cambria"/>
                <w:bCs/>
                <w:sz w:val="20"/>
                <w:szCs w:val="20"/>
                <w:lang w:val="es-ES"/>
              </w:rPr>
              <w:t xml:space="preserve"> </w:t>
            </w:r>
            <w:r w:rsidR="00F93BC6">
              <w:rPr>
                <w:rFonts w:ascii="Cambria" w:hAnsi="Cambria"/>
                <w:bCs/>
                <w:sz w:val="20"/>
                <w:szCs w:val="20"/>
                <w:lang w:val="es-ES"/>
              </w:rPr>
              <w:t>Steven Alberto Díaz Ordóñez y familiares</w:t>
            </w:r>
            <w:r w:rsidR="00F93BC6">
              <w:rPr>
                <w:rStyle w:val="FootnoteReference"/>
                <w:rFonts w:ascii="Cambria" w:hAnsi="Cambria"/>
                <w:bCs/>
                <w:sz w:val="20"/>
                <w:szCs w:val="20"/>
                <w:lang w:val="es-ES"/>
              </w:rPr>
              <w:footnoteReference w:id="4"/>
            </w:r>
            <w:r w:rsidR="00F93BC6">
              <w:rPr>
                <w:rFonts w:ascii="Cambria" w:hAnsi="Cambria"/>
                <w:bCs/>
                <w:sz w:val="20"/>
                <w:szCs w:val="20"/>
                <w:lang w:val="es-ES"/>
              </w:rPr>
              <w:t xml:space="preserve">; Nelson Andrés </w:t>
            </w:r>
            <w:proofErr w:type="spellStart"/>
            <w:r w:rsidR="00F93BC6">
              <w:rPr>
                <w:rFonts w:ascii="Cambria" w:hAnsi="Cambria"/>
                <w:bCs/>
                <w:sz w:val="20"/>
                <w:szCs w:val="20"/>
                <w:lang w:val="es-ES"/>
              </w:rPr>
              <w:t>Zans</w:t>
            </w:r>
            <w:proofErr w:type="spellEnd"/>
            <w:r w:rsidR="00F93BC6">
              <w:rPr>
                <w:rFonts w:ascii="Cambria" w:hAnsi="Cambria"/>
                <w:bCs/>
                <w:sz w:val="20"/>
                <w:szCs w:val="20"/>
                <w:lang w:val="es-ES"/>
              </w:rPr>
              <w:t xml:space="preserve"> Díaz y familiares</w:t>
            </w:r>
            <w:r w:rsidR="00F93BC6">
              <w:rPr>
                <w:rStyle w:val="FootnoteReference"/>
                <w:rFonts w:ascii="Cambria" w:hAnsi="Cambria"/>
                <w:bCs/>
                <w:sz w:val="20"/>
                <w:szCs w:val="20"/>
                <w:lang w:val="es-ES"/>
              </w:rPr>
              <w:footnoteReference w:id="5"/>
            </w:r>
            <w:r w:rsidR="00F93BC6">
              <w:rPr>
                <w:rFonts w:ascii="Cambria" w:hAnsi="Cambria"/>
                <w:bCs/>
                <w:sz w:val="20"/>
                <w:szCs w:val="20"/>
                <w:lang w:val="es-ES"/>
              </w:rPr>
              <w:t>; Oscar Eduardo Rubio</w:t>
            </w:r>
            <w:r w:rsidR="00D71E7B">
              <w:rPr>
                <w:rFonts w:ascii="Cambria" w:hAnsi="Cambria"/>
                <w:bCs/>
                <w:sz w:val="20"/>
                <w:szCs w:val="20"/>
                <w:lang w:val="es-ES"/>
              </w:rPr>
              <w:t xml:space="preserve"> y familiares</w:t>
            </w:r>
            <w:r w:rsidR="00F93BC6">
              <w:rPr>
                <w:rStyle w:val="FootnoteReference"/>
                <w:rFonts w:ascii="Cambria" w:hAnsi="Cambria"/>
                <w:bCs/>
                <w:sz w:val="20"/>
                <w:szCs w:val="20"/>
                <w:lang w:val="es-ES"/>
              </w:rPr>
              <w:footnoteReference w:id="6"/>
            </w:r>
            <w:r w:rsidR="00F93BC6">
              <w:rPr>
                <w:rFonts w:ascii="Cambria" w:hAnsi="Cambria"/>
                <w:bCs/>
                <w:sz w:val="20"/>
                <w:szCs w:val="20"/>
                <w:lang w:val="es-ES"/>
              </w:rPr>
              <w:t>;</w:t>
            </w:r>
            <w:r w:rsidR="00D71E7B">
              <w:rPr>
                <w:rFonts w:ascii="Cambria" w:hAnsi="Cambria"/>
                <w:bCs/>
                <w:sz w:val="20"/>
                <w:szCs w:val="20"/>
                <w:lang w:val="es-ES"/>
              </w:rPr>
              <w:t xml:space="preserve"> Fran Jimmy Villegas Londoño y familiares</w:t>
            </w:r>
            <w:r w:rsidR="00D71E7B">
              <w:rPr>
                <w:rStyle w:val="FootnoteReference"/>
                <w:rFonts w:ascii="Cambria" w:hAnsi="Cambria"/>
                <w:bCs/>
                <w:sz w:val="20"/>
                <w:szCs w:val="20"/>
                <w:lang w:val="es-ES"/>
              </w:rPr>
              <w:footnoteReference w:id="7"/>
            </w:r>
            <w:r w:rsidR="00D71E7B">
              <w:rPr>
                <w:rFonts w:ascii="Cambria" w:hAnsi="Cambria"/>
                <w:bCs/>
                <w:sz w:val="20"/>
                <w:szCs w:val="20"/>
                <w:lang w:val="es-ES"/>
              </w:rPr>
              <w:t xml:space="preserve">; José Ignacio Salinas </w:t>
            </w:r>
            <w:proofErr w:type="spellStart"/>
            <w:r w:rsidR="00D71E7B">
              <w:rPr>
                <w:rFonts w:ascii="Cambria" w:hAnsi="Cambria"/>
                <w:bCs/>
                <w:sz w:val="20"/>
                <w:szCs w:val="20"/>
                <w:lang w:val="es-ES"/>
              </w:rPr>
              <w:t>Zetty</w:t>
            </w:r>
            <w:proofErr w:type="spellEnd"/>
            <w:r w:rsidR="00D71E7B">
              <w:rPr>
                <w:rFonts w:ascii="Cambria" w:hAnsi="Cambria"/>
                <w:bCs/>
                <w:sz w:val="20"/>
                <w:szCs w:val="20"/>
                <w:lang w:val="es-ES"/>
              </w:rPr>
              <w:t xml:space="preserve"> y familiares</w:t>
            </w:r>
            <w:r w:rsidR="00D71E7B">
              <w:rPr>
                <w:rStyle w:val="FootnoteReference"/>
                <w:rFonts w:ascii="Cambria" w:hAnsi="Cambria"/>
                <w:bCs/>
                <w:sz w:val="20"/>
                <w:szCs w:val="20"/>
                <w:lang w:val="es-ES"/>
              </w:rPr>
              <w:footnoteReference w:id="8"/>
            </w:r>
            <w:r w:rsidR="00D71E7B">
              <w:rPr>
                <w:rFonts w:ascii="Cambria" w:hAnsi="Cambria"/>
                <w:bCs/>
                <w:sz w:val="20"/>
                <w:szCs w:val="20"/>
                <w:lang w:val="es-ES"/>
              </w:rPr>
              <w:t>;</w:t>
            </w:r>
            <w:r w:rsidR="00F336A9">
              <w:rPr>
                <w:rFonts w:ascii="Cambria" w:hAnsi="Cambria"/>
                <w:bCs/>
                <w:sz w:val="20"/>
                <w:szCs w:val="20"/>
                <w:lang w:val="es-ES"/>
              </w:rPr>
              <w:t xml:space="preserve"> </w:t>
            </w:r>
            <w:proofErr w:type="spellStart"/>
            <w:r w:rsidR="00F336A9">
              <w:rPr>
                <w:rFonts w:ascii="Cambria" w:hAnsi="Cambria"/>
                <w:bCs/>
                <w:sz w:val="20"/>
                <w:szCs w:val="20"/>
                <w:lang w:val="es-ES"/>
              </w:rPr>
              <w:t>Jhon</w:t>
            </w:r>
            <w:proofErr w:type="spellEnd"/>
            <w:r w:rsidR="00F336A9">
              <w:rPr>
                <w:rFonts w:ascii="Cambria" w:hAnsi="Cambria"/>
                <w:bCs/>
                <w:sz w:val="20"/>
                <w:szCs w:val="20"/>
                <w:lang w:val="es-ES"/>
              </w:rPr>
              <w:t xml:space="preserve"> Hernando Rengifo </w:t>
            </w:r>
            <w:proofErr w:type="spellStart"/>
            <w:r w:rsidR="00F336A9">
              <w:rPr>
                <w:rFonts w:ascii="Cambria" w:hAnsi="Cambria"/>
                <w:bCs/>
                <w:sz w:val="20"/>
                <w:szCs w:val="20"/>
                <w:lang w:val="es-ES"/>
              </w:rPr>
              <w:t>Guaspu</w:t>
            </w:r>
            <w:proofErr w:type="spellEnd"/>
            <w:r w:rsidR="00564EFA">
              <w:rPr>
                <w:rFonts w:ascii="Cambria" w:hAnsi="Cambria"/>
                <w:bCs/>
                <w:sz w:val="20"/>
                <w:szCs w:val="20"/>
                <w:lang w:val="es-ES"/>
              </w:rPr>
              <w:t xml:space="preserve">; </w:t>
            </w:r>
            <w:proofErr w:type="spellStart"/>
            <w:r w:rsidR="00564EFA">
              <w:rPr>
                <w:rFonts w:ascii="Cambria" w:hAnsi="Cambria"/>
                <w:bCs/>
                <w:sz w:val="20"/>
                <w:szCs w:val="20"/>
                <w:lang w:val="es-ES"/>
              </w:rPr>
              <w:t>Jhoan</w:t>
            </w:r>
            <w:proofErr w:type="spellEnd"/>
            <w:r w:rsidR="00564EFA">
              <w:rPr>
                <w:rFonts w:ascii="Cambria" w:hAnsi="Cambria"/>
                <w:bCs/>
                <w:sz w:val="20"/>
                <w:szCs w:val="20"/>
                <w:lang w:val="es-ES"/>
              </w:rPr>
              <w:t xml:space="preserve"> Andrés Agudelo Ruiz</w:t>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4A5ADE62" w:rsidR="003239B8" w:rsidRPr="000D05CB" w:rsidRDefault="008F14C9" w:rsidP="008D2290">
            <w:pPr>
              <w:jc w:val="both"/>
              <w:rPr>
                <w:rFonts w:ascii="Cambria" w:hAnsi="Cambria"/>
                <w:bCs/>
                <w:sz w:val="20"/>
                <w:szCs w:val="20"/>
              </w:rPr>
            </w:pPr>
            <w:r>
              <w:rPr>
                <w:rFonts w:ascii="Cambria" w:hAnsi="Cambria"/>
                <w:bCs/>
                <w:sz w:val="20"/>
                <w:szCs w:val="20"/>
              </w:rPr>
              <w:t>Colombia</w:t>
            </w:r>
          </w:p>
        </w:tc>
      </w:tr>
      <w:tr w:rsidR="00223A29" w:rsidRPr="00D019D9"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2CD6430B" w:rsidR="00223A29" w:rsidRPr="008F14C9" w:rsidRDefault="008F14C9" w:rsidP="008D2290">
            <w:pPr>
              <w:jc w:val="both"/>
              <w:rPr>
                <w:rFonts w:ascii="Cambria" w:hAnsi="Cambria"/>
                <w:bCs/>
                <w:sz w:val="20"/>
                <w:szCs w:val="20"/>
                <w:lang w:val="es-CO"/>
              </w:rPr>
            </w:pPr>
            <w:r w:rsidRPr="008F14C9">
              <w:rPr>
                <w:rFonts w:ascii="Cambria" w:hAnsi="Cambria"/>
                <w:bCs/>
                <w:sz w:val="20"/>
                <w:szCs w:val="20"/>
                <w:lang w:val="es-CO"/>
              </w:rPr>
              <w:t>Artículos 5 (integridad personal), 8 (garantías judi</w:t>
            </w:r>
            <w:r>
              <w:rPr>
                <w:rFonts w:ascii="Cambria" w:hAnsi="Cambria"/>
                <w:bCs/>
                <w:sz w:val="20"/>
                <w:szCs w:val="20"/>
                <w:lang w:val="es-CO"/>
              </w:rPr>
              <w:t>ciales), 19 (derechos del niño), 24 (igualdad ante la ley) y 25 (protección judicial) de la Convención Americana sobre Derechos Humanos</w:t>
            </w:r>
            <w:r w:rsidR="00D71E7B">
              <w:rPr>
                <w:rStyle w:val="FootnoteReference"/>
                <w:rFonts w:ascii="Cambria" w:hAnsi="Cambria"/>
                <w:bCs/>
                <w:sz w:val="20"/>
                <w:szCs w:val="20"/>
                <w:lang w:val="es-CO"/>
              </w:rPr>
              <w:footnoteReference w:id="9"/>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10"/>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33B753C9" w:rsidR="004C2312" w:rsidRPr="003239B8" w:rsidRDefault="00F93BC6" w:rsidP="002625EA">
            <w:pPr>
              <w:jc w:val="both"/>
              <w:rPr>
                <w:rFonts w:ascii="Cambria" w:hAnsi="Cambria"/>
                <w:bCs/>
                <w:sz w:val="20"/>
                <w:szCs w:val="20"/>
                <w:lang w:val="es-ES"/>
              </w:rPr>
            </w:pPr>
            <w:r>
              <w:rPr>
                <w:rFonts w:ascii="Cambria" w:hAnsi="Cambria"/>
                <w:bCs/>
                <w:sz w:val="20"/>
                <w:szCs w:val="20"/>
                <w:lang w:val="es-ES"/>
              </w:rPr>
              <w:t>2 de marzo de 2012</w:t>
            </w:r>
          </w:p>
        </w:tc>
      </w:tr>
      <w:tr w:rsidR="004C2312" w:rsidRPr="00B10F1D"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6062B3CB" w:rsidR="004C2312" w:rsidRPr="003239B8" w:rsidRDefault="002C4A87" w:rsidP="008D2290">
            <w:pPr>
              <w:jc w:val="both"/>
              <w:rPr>
                <w:rFonts w:ascii="Cambria" w:hAnsi="Cambria"/>
                <w:bCs/>
                <w:sz w:val="20"/>
                <w:szCs w:val="20"/>
                <w:lang w:val="es-ES"/>
              </w:rPr>
            </w:pPr>
            <w:r>
              <w:rPr>
                <w:rFonts w:ascii="Cambria" w:hAnsi="Cambria"/>
                <w:bCs/>
                <w:sz w:val="20"/>
                <w:szCs w:val="20"/>
                <w:lang w:val="es-ES"/>
              </w:rPr>
              <w:t>5 de julio de 2017</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2CB257E8" w:rsidR="004C2312" w:rsidRPr="003239B8" w:rsidRDefault="002C4A87" w:rsidP="008D2290">
            <w:pPr>
              <w:jc w:val="both"/>
              <w:rPr>
                <w:rFonts w:ascii="Cambria" w:hAnsi="Cambria"/>
                <w:bCs/>
                <w:sz w:val="20"/>
                <w:szCs w:val="20"/>
                <w:lang w:val="es-ES"/>
              </w:rPr>
            </w:pPr>
            <w:r>
              <w:rPr>
                <w:rFonts w:ascii="Cambria" w:hAnsi="Cambria"/>
                <w:bCs/>
                <w:sz w:val="20"/>
                <w:szCs w:val="20"/>
                <w:lang w:val="es-ES"/>
              </w:rPr>
              <w:t>21 de mayo de 2018</w:t>
            </w:r>
          </w:p>
        </w:tc>
      </w:tr>
      <w:tr w:rsidR="004C2312" w:rsidRPr="00B10F1D"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5A4F2E7C" w:rsidR="004C2312" w:rsidRPr="003239B8" w:rsidRDefault="002C4A87" w:rsidP="008D2290">
            <w:pPr>
              <w:jc w:val="both"/>
              <w:rPr>
                <w:rFonts w:ascii="Cambria" w:hAnsi="Cambria"/>
                <w:bCs/>
                <w:sz w:val="20"/>
                <w:szCs w:val="20"/>
                <w:lang w:val="es-ES"/>
              </w:rPr>
            </w:pPr>
            <w:r>
              <w:rPr>
                <w:rFonts w:ascii="Cambria" w:hAnsi="Cambria"/>
                <w:bCs/>
                <w:sz w:val="20"/>
                <w:szCs w:val="20"/>
                <w:lang w:val="es-ES"/>
              </w:rPr>
              <w:t>24 de septiembre de 2018</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03326A7C" w:rsidR="001E49E7" w:rsidRPr="003239B8" w:rsidRDefault="002C4A87" w:rsidP="002625EA">
            <w:pPr>
              <w:jc w:val="both"/>
              <w:rPr>
                <w:rFonts w:ascii="Cambria" w:hAnsi="Cambria"/>
                <w:bCs/>
                <w:sz w:val="20"/>
                <w:szCs w:val="20"/>
                <w:lang w:val="es-ES"/>
              </w:rPr>
            </w:pPr>
            <w:r>
              <w:rPr>
                <w:rFonts w:ascii="Cambria" w:hAnsi="Cambria"/>
                <w:bCs/>
                <w:sz w:val="20"/>
                <w:szCs w:val="20"/>
                <w:lang w:val="es-ES"/>
              </w:rPr>
              <w:t>19 de abril de 2017</w:t>
            </w:r>
          </w:p>
        </w:tc>
      </w:tr>
      <w:tr w:rsidR="001E49E7" w:rsidRPr="00B10F1D"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32CF4F38" w:rsidR="001E49E7" w:rsidRPr="003239B8" w:rsidRDefault="002C4A87" w:rsidP="002625EA">
            <w:pPr>
              <w:jc w:val="both"/>
              <w:rPr>
                <w:rFonts w:ascii="Cambria" w:hAnsi="Cambria"/>
                <w:bCs/>
                <w:sz w:val="20"/>
                <w:szCs w:val="20"/>
                <w:lang w:val="es-ES"/>
              </w:rPr>
            </w:pPr>
            <w:r>
              <w:rPr>
                <w:rFonts w:ascii="Cambria" w:hAnsi="Cambria"/>
                <w:bCs/>
                <w:sz w:val="20"/>
                <w:szCs w:val="20"/>
                <w:lang w:val="es-ES"/>
              </w:rPr>
              <w:t>19 de abril de 2017</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5803A6CF" w:rsidR="003239B8" w:rsidRPr="00B3745F" w:rsidRDefault="00F93BC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230DCF9C" w:rsidR="003239B8" w:rsidRPr="00B3745F" w:rsidRDefault="00F93BC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7D12147B" w:rsidR="003239B8" w:rsidRPr="00B3745F" w:rsidRDefault="00F93BC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D019D9"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11B72F1E" w:rsidR="003239B8" w:rsidRPr="00B3745F" w:rsidRDefault="00F93BC6" w:rsidP="008D2290">
            <w:pPr>
              <w:jc w:val="both"/>
              <w:rPr>
                <w:rFonts w:ascii="Cambria" w:hAnsi="Cambria"/>
                <w:bCs/>
                <w:sz w:val="20"/>
                <w:szCs w:val="20"/>
                <w:lang w:val="es-ES"/>
              </w:rPr>
            </w:pPr>
            <w:r w:rsidRPr="003257AA">
              <w:rPr>
                <w:rFonts w:asciiTheme="majorHAnsi" w:hAnsiTheme="majorHAnsi"/>
                <w:bCs/>
                <w:sz w:val="20"/>
                <w:szCs w:val="20"/>
                <w:lang w:val="es-ES"/>
              </w:rPr>
              <w:t xml:space="preserve">Sí, Convención Americana </w:t>
            </w:r>
            <w:r w:rsidRPr="003257AA">
              <w:rPr>
                <w:rFonts w:asciiTheme="majorHAnsi" w:hAnsiTheme="majorHAnsi"/>
                <w:bCs/>
                <w:sz w:val="20"/>
                <w:szCs w:val="20"/>
                <w:lang w:val="es-ES_tradnl"/>
              </w:rPr>
              <w:t>(depósito del instrumento de ratificación realizado el 31 de julio de 1973)</w:t>
            </w:r>
          </w:p>
        </w:tc>
      </w:tr>
    </w:tbl>
    <w:p w14:paraId="7EF68D74" w14:textId="77777777" w:rsidR="00681AE7" w:rsidRDefault="00681AE7" w:rsidP="003239B8">
      <w:pPr>
        <w:spacing w:before="240" w:after="240"/>
        <w:ind w:firstLine="720"/>
        <w:jc w:val="both"/>
        <w:rPr>
          <w:rFonts w:asciiTheme="majorHAnsi" w:hAnsiTheme="majorHAnsi"/>
          <w:b/>
          <w:bCs/>
          <w:sz w:val="20"/>
          <w:szCs w:val="20"/>
          <w:lang w:val="es-ES"/>
        </w:rPr>
      </w:pPr>
    </w:p>
    <w:p w14:paraId="7B38A5FD" w14:textId="77777777" w:rsidR="001E428F" w:rsidRDefault="001E428F" w:rsidP="003239B8">
      <w:pPr>
        <w:spacing w:before="240" w:after="240"/>
        <w:ind w:firstLine="720"/>
        <w:jc w:val="both"/>
        <w:rPr>
          <w:rFonts w:asciiTheme="majorHAnsi" w:hAnsiTheme="majorHAnsi"/>
          <w:b/>
          <w:bCs/>
          <w:sz w:val="20"/>
          <w:szCs w:val="20"/>
          <w:lang w:val="es-ES"/>
        </w:rPr>
      </w:pPr>
    </w:p>
    <w:p w14:paraId="090C088B" w14:textId="0023DF4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B10F1D"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538E56E1" w:rsidR="00EE00E9" w:rsidRPr="00DC24E3" w:rsidRDefault="00F93BC6" w:rsidP="008D2290">
            <w:pPr>
              <w:jc w:val="both"/>
              <w:rPr>
                <w:rFonts w:ascii="Cambria" w:hAnsi="Cambria"/>
                <w:bCs/>
                <w:sz w:val="20"/>
                <w:szCs w:val="20"/>
                <w:lang w:val="es-ES"/>
              </w:rPr>
            </w:pPr>
            <w:r>
              <w:rPr>
                <w:rFonts w:ascii="Cambria" w:hAnsi="Cambria"/>
                <w:bCs/>
                <w:sz w:val="20"/>
                <w:szCs w:val="20"/>
                <w:lang w:val="es-ES"/>
              </w:rPr>
              <w:t>No</w:t>
            </w:r>
          </w:p>
        </w:tc>
      </w:tr>
      <w:tr w:rsidR="003239B8" w:rsidRPr="00D019D9"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1EB619CA" w:rsidR="003239B8" w:rsidRPr="00F93BC6" w:rsidRDefault="00F93BC6" w:rsidP="008D2290">
            <w:pPr>
              <w:jc w:val="both"/>
              <w:rPr>
                <w:rFonts w:ascii="Cambria" w:hAnsi="Cambria"/>
                <w:bCs/>
                <w:sz w:val="20"/>
                <w:szCs w:val="20"/>
                <w:lang w:val="es-CO"/>
              </w:rPr>
            </w:pPr>
            <w:r w:rsidRPr="00F93BC6">
              <w:rPr>
                <w:rFonts w:ascii="Cambria" w:hAnsi="Cambria"/>
                <w:bCs/>
                <w:sz w:val="20"/>
                <w:szCs w:val="20"/>
                <w:lang w:val="es-CO"/>
              </w:rPr>
              <w:t>Artículos 5 (</w:t>
            </w:r>
            <w:r w:rsidR="00B21930">
              <w:rPr>
                <w:rFonts w:ascii="Cambria" w:hAnsi="Cambria"/>
                <w:bCs/>
                <w:sz w:val="20"/>
                <w:szCs w:val="20"/>
                <w:lang w:val="es-CO"/>
              </w:rPr>
              <w:t>integridad personal</w:t>
            </w:r>
            <w:r w:rsidRPr="00F93BC6">
              <w:rPr>
                <w:rFonts w:ascii="Cambria" w:hAnsi="Cambria"/>
                <w:bCs/>
                <w:sz w:val="20"/>
                <w:szCs w:val="20"/>
                <w:lang w:val="es-CO"/>
              </w:rPr>
              <w:t>), 8 (garantías judiciales), 19 (d</w:t>
            </w:r>
            <w:r>
              <w:rPr>
                <w:rFonts w:ascii="Cambria" w:hAnsi="Cambria"/>
                <w:bCs/>
                <w:sz w:val="20"/>
                <w:szCs w:val="20"/>
                <w:lang w:val="es-CO"/>
              </w:rPr>
              <w:t>erechos del niño) y 25 (protección judicial) de la Convención Americana, en relación con su artículo 1.1 (obligación de respetar los derechos)</w:t>
            </w:r>
          </w:p>
        </w:tc>
      </w:tr>
      <w:tr w:rsidR="003239B8" w:rsidRPr="00D019D9"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3C86C565" w:rsidR="003239B8" w:rsidRPr="00DC24E3" w:rsidRDefault="00F93BC6" w:rsidP="00F93BC6">
            <w:pPr>
              <w:jc w:val="both"/>
              <w:rPr>
                <w:rFonts w:ascii="Cambria" w:hAnsi="Cambria"/>
                <w:bCs/>
                <w:sz w:val="20"/>
                <w:szCs w:val="20"/>
                <w:lang w:val="es-ES"/>
              </w:rPr>
            </w:pPr>
            <w:r>
              <w:rPr>
                <w:rFonts w:ascii="Cambria" w:hAnsi="Cambria"/>
                <w:bCs/>
                <w:sz w:val="20"/>
                <w:szCs w:val="20"/>
                <w:lang w:val="es-ES"/>
              </w:rPr>
              <w:t>Sí, en los términos de la Sección VI</w:t>
            </w:r>
          </w:p>
        </w:tc>
      </w:tr>
      <w:tr w:rsidR="003239B8" w:rsidRPr="00D019D9"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72FA6CCA" w:rsidR="003239B8" w:rsidRPr="00F93BC6" w:rsidRDefault="00F93BC6" w:rsidP="008D2290">
            <w:pPr>
              <w:rPr>
                <w:rFonts w:ascii="Cambria" w:hAnsi="Cambria"/>
                <w:bCs/>
                <w:sz w:val="20"/>
                <w:szCs w:val="20"/>
                <w:lang w:val="es-CO"/>
              </w:rPr>
            </w:pPr>
            <w:r w:rsidRPr="00F93BC6">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777777" w:rsidR="003239B8" w:rsidRPr="00224AD3" w:rsidRDefault="00223A29" w:rsidP="003239B8">
      <w:pPr>
        <w:spacing w:before="240" w:after="240"/>
        <w:ind w:firstLine="720"/>
        <w:jc w:val="both"/>
        <w:rPr>
          <w:rFonts w:asciiTheme="majorHAnsi" w:hAnsiTheme="majorHAnsi"/>
          <w:b/>
          <w:sz w:val="20"/>
          <w:szCs w:val="20"/>
          <w:lang w:val="es-ES"/>
        </w:rPr>
      </w:pPr>
      <w:r w:rsidRPr="00224AD3">
        <w:rPr>
          <w:rFonts w:asciiTheme="majorHAnsi" w:hAnsiTheme="majorHAnsi"/>
          <w:b/>
          <w:sz w:val="20"/>
          <w:szCs w:val="20"/>
          <w:lang w:val="es-ES"/>
        </w:rPr>
        <w:t xml:space="preserve">V. </w:t>
      </w:r>
      <w:r w:rsidRPr="00224AD3">
        <w:rPr>
          <w:rFonts w:asciiTheme="majorHAnsi" w:hAnsiTheme="majorHAnsi"/>
          <w:b/>
          <w:sz w:val="20"/>
          <w:szCs w:val="20"/>
          <w:lang w:val="es-ES"/>
        </w:rPr>
        <w:tab/>
      </w:r>
      <w:r w:rsidR="003239B8" w:rsidRPr="00224AD3">
        <w:rPr>
          <w:rFonts w:asciiTheme="majorHAnsi" w:hAnsiTheme="majorHAnsi"/>
          <w:b/>
          <w:sz w:val="20"/>
          <w:szCs w:val="20"/>
          <w:lang w:val="es-ES"/>
        </w:rPr>
        <w:t xml:space="preserve">HECHOS ALEGADOS </w:t>
      </w:r>
    </w:p>
    <w:p w14:paraId="294F59DD" w14:textId="43831A63" w:rsidR="00A11E44" w:rsidRPr="00224AD3" w:rsidRDefault="00F366B6" w:rsidP="00F366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 xml:space="preserve">1. </w:t>
      </w:r>
      <w:r w:rsidR="00B81C6D" w:rsidRPr="00224AD3">
        <w:rPr>
          <w:rFonts w:ascii="Cambria" w:hAnsi="Cambria"/>
          <w:sz w:val="20"/>
          <w:szCs w:val="20"/>
          <w:lang w:val="es-ES"/>
        </w:rPr>
        <w:tab/>
      </w:r>
      <w:r w:rsidR="006F2448" w:rsidRPr="00224AD3">
        <w:rPr>
          <w:rFonts w:ascii="Cambria" w:hAnsi="Cambria"/>
          <w:sz w:val="20"/>
          <w:szCs w:val="20"/>
          <w:lang w:val="es-ES"/>
        </w:rPr>
        <w:t xml:space="preserve">El peticionario acude a la CIDH pidiendo que Colombia sea declarada internacionalmente responsable por las lesiones que sufrieron las presuntas víctimas, quienes eran todos niños </w:t>
      </w:r>
      <w:r w:rsidR="00D71E7B" w:rsidRPr="00224AD3">
        <w:rPr>
          <w:rFonts w:ascii="Cambria" w:hAnsi="Cambria"/>
          <w:sz w:val="20"/>
          <w:szCs w:val="20"/>
          <w:lang w:val="es-ES"/>
        </w:rPr>
        <w:t xml:space="preserve">al </w:t>
      </w:r>
      <w:r w:rsidR="006F2448" w:rsidRPr="00224AD3">
        <w:rPr>
          <w:rFonts w:ascii="Cambria" w:hAnsi="Cambria"/>
          <w:sz w:val="20"/>
          <w:szCs w:val="20"/>
          <w:lang w:val="es-ES"/>
        </w:rPr>
        <w:t>momento</w:t>
      </w:r>
      <w:r w:rsidR="00D71E7B" w:rsidRPr="00224AD3">
        <w:rPr>
          <w:rFonts w:ascii="Cambria" w:hAnsi="Cambria"/>
          <w:sz w:val="20"/>
          <w:szCs w:val="20"/>
          <w:lang w:val="es-ES"/>
        </w:rPr>
        <w:t xml:space="preserve"> de los hechos</w:t>
      </w:r>
      <w:r w:rsidR="006F2448" w:rsidRPr="00224AD3">
        <w:rPr>
          <w:rFonts w:ascii="Cambria" w:hAnsi="Cambria"/>
          <w:sz w:val="20"/>
          <w:szCs w:val="20"/>
          <w:lang w:val="es-ES"/>
        </w:rPr>
        <w:t>, a causa de la explosión de un artefacto dirigido contra una estación de policía</w:t>
      </w:r>
      <w:r w:rsidR="00B81C6D" w:rsidRPr="00224AD3">
        <w:rPr>
          <w:rFonts w:ascii="Cambria" w:hAnsi="Cambria"/>
          <w:sz w:val="20"/>
          <w:szCs w:val="20"/>
          <w:lang w:val="es-ES"/>
        </w:rPr>
        <w:t>;</w:t>
      </w:r>
      <w:r w:rsidR="006F2448" w:rsidRPr="00224AD3">
        <w:rPr>
          <w:rFonts w:ascii="Cambria" w:hAnsi="Cambria"/>
          <w:sz w:val="20"/>
          <w:szCs w:val="20"/>
          <w:lang w:val="es-ES"/>
        </w:rPr>
        <w:t xml:space="preserve"> así como por los daños que ello produjo a sus familias</w:t>
      </w:r>
      <w:r w:rsidR="00B81C6D" w:rsidRPr="00224AD3">
        <w:rPr>
          <w:rFonts w:ascii="Cambria" w:hAnsi="Cambria"/>
          <w:sz w:val="20"/>
          <w:szCs w:val="20"/>
          <w:lang w:val="es-ES"/>
        </w:rPr>
        <w:t>;</w:t>
      </w:r>
      <w:r w:rsidR="006F2448" w:rsidRPr="00224AD3">
        <w:rPr>
          <w:rFonts w:ascii="Cambria" w:hAnsi="Cambria"/>
          <w:sz w:val="20"/>
          <w:szCs w:val="20"/>
          <w:lang w:val="es-ES"/>
        </w:rPr>
        <w:t xml:space="preserve"> y por la impunidad en la que se encontraría el </w:t>
      </w:r>
      <w:r w:rsidR="00D71E7B" w:rsidRPr="00224AD3">
        <w:rPr>
          <w:rFonts w:ascii="Cambria" w:hAnsi="Cambria"/>
          <w:sz w:val="20"/>
          <w:szCs w:val="20"/>
          <w:lang w:val="es-ES"/>
        </w:rPr>
        <w:t>crimen</w:t>
      </w:r>
      <w:r w:rsidR="006F2448" w:rsidRPr="00224AD3">
        <w:rPr>
          <w:rFonts w:ascii="Cambria" w:hAnsi="Cambria"/>
          <w:sz w:val="20"/>
          <w:szCs w:val="20"/>
          <w:lang w:val="es-ES"/>
        </w:rPr>
        <w:t xml:space="preserve"> a la fecha.</w:t>
      </w:r>
    </w:p>
    <w:p w14:paraId="1C0AB0EE" w14:textId="3CD07AC6" w:rsidR="002535A1" w:rsidRPr="00224AD3" w:rsidRDefault="00F366B6" w:rsidP="00F366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 xml:space="preserve">2. </w:t>
      </w:r>
      <w:r w:rsidR="00900FF6" w:rsidRPr="00224AD3">
        <w:rPr>
          <w:rFonts w:ascii="Cambria" w:hAnsi="Cambria"/>
          <w:sz w:val="20"/>
          <w:szCs w:val="20"/>
          <w:lang w:val="es-ES"/>
        </w:rPr>
        <w:tab/>
      </w:r>
      <w:r w:rsidR="006F2448" w:rsidRPr="00224AD3">
        <w:rPr>
          <w:rFonts w:ascii="Cambria" w:hAnsi="Cambria"/>
          <w:sz w:val="20"/>
          <w:szCs w:val="20"/>
          <w:lang w:val="es-ES"/>
        </w:rPr>
        <w:t>Se narra en la petición que el</w:t>
      </w:r>
      <w:r w:rsidR="00D71E7B" w:rsidRPr="00224AD3">
        <w:rPr>
          <w:rFonts w:ascii="Cambria" w:hAnsi="Cambria"/>
          <w:sz w:val="20"/>
          <w:szCs w:val="20"/>
          <w:lang w:val="es-ES"/>
        </w:rPr>
        <w:t xml:space="preserve"> 10 de marzo de 1998</w:t>
      </w:r>
      <w:r w:rsidR="006F2448" w:rsidRPr="00224AD3">
        <w:rPr>
          <w:rFonts w:ascii="Cambria" w:hAnsi="Cambria"/>
          <w:sz w:val="20"/>
          <w:szCs w:val="20"/>
          <w:lang w:val="es-ES"/>
        </w:rPr>
        <w:t xml:space="preserve"> las presuntas víctimas se encontraban reunidas en una cancha de fútbol del barrio Meléndez, en la ciudad de Cali,</w:t>
      </w:r>
      <w:r w:rsidR="001455D9" w:rsidRPr="00224AD3">
        <w:rPr>
          <w:rFonts w:ascii="Cambria" w:hAnsi="Cambria"/>
          <w:sz w:val="20"/>
          <w:szCs w:val="20"/>
          <w:lang w:val="es-ES"/>
        </w:rPr>
        <w:t xml:space="preserve"> cuando</w:t>
      </w:r>
      <w:r w:rsidR="006F2448" w:rsidRPr="00224AD3">
        <w:rPr>
          <w:rFonts w:ascii="Cambria" w:hAnsi="Cambria"/>
          <w:sz w:val="20"/>
          <w:szCs w:val="20"/>
          <w:lang w:val="es-ES"/>
        </w:rPr>
        <w:t xml:space="preserve"> </w:t>
      </w:r>
      <w:r w:rsidR="00D71E7B" w:rsidRPr="00224AD3">
        <w:rPr>
          <w:rFonts w:ascii="Cambria" w:hAnsi="Cambria"/>
          <w:sz w:val="20"/>
          <w:szCs w:val="20"/>
          <w:lang w:val="es-ES"/>
        </w:rPr>
        <w:t xml:space="preserve">aproximadamente </w:t>
      </w:r>
      <w:r w:rsidR="006F2448" w:rsidRPr="00224AD3">
        <w:rPr>
          <w:rFonts w:ascii="Cambria" w:hAnsi="Cambria"/>
          <w:sz w:val="20"/>
          <w:szCs w:val="20"/>
          <w:lang w:val="es-ES"/>
        </w:rPr>
        <w:t>a las 8</w:t>
      </w:r>
      <w:r w:rsidR="001455D9" w:rsidRPr="00224AD3">
        <w:rPr>
          <w:rFonts w:ascii="Cambria" w:hAnsi="Cambria"/>
          <w:sz w:val="20"/>
          <w:szCs w:val="20"/>
          <w:lang w:val="es-ES"/>
        </w:rPr>
        <w:t>:00</w:t>
      </w:r>
      <w:r w:rsidR="006F2448" w:rsidRPr="00224AD3">
        <w:rPr>
          <w:rFonts w:ascii="Cambria" w:hAnsi="Cambria"/>
          <w:sz w:val="20"/>
          <w:szCs w:val="20"/>
          <w:lang w:val="es-ES"/>
        </w:rPr>
        <w:t xml:space="preserve"> P</w:t>
      </w:r>
      <w:r w:rsidR="001455D9" w:rsidRPr="00224AD3">
        <w:rPr>
          <w:rFonts w:ascii="Cambria" w:hAnsi="Cambria"/>
          <w:sz w:val="20"/>
          <w:szCs w:val="20"/>
          <w:lang w:val="es-ES"/>
        </w:rPr>
        <w:t>.</w:t>
      </w:r>
      <w:r w:rsidR="006F2448" w:rsidRPr="00224AD3">
        <w:rPr>
          <w:rFonts w:ascii="Cambria" w:hAnsi="Cambria"/>
          <w:sz w:val="20"/>
          <w:szCs w:val="20"/>
          <w:lang w:val="es-ES"/>
        </w:rPr>
        <w:t>M</w:t>
      </w:r>
      <w:r w:rsidR="001455D9" w:rsidRPr="00224AD3">
        <w:rPr>
          <w:rFonts w:ascii="Cambria" w:hAnsi="Cambria"/>
          <w:sz w:val="20"/>
          <w:szCs w:val="20"/>
          <w:lang w:val="es-ES"/>
        </w:rPr>
        <w:t>.</w:t>
      </w:r>
      <w:r w:rsidR="006F2448" w:rsidRPr="00224AD3">
        <w:rPr>
          <w:rFonts w:ascii="Cambria" w:hAnsi="Cambria"/>
          <w:sz w:val="20"/>
          <w:szCs w:val="20"/>
          <w:lang w:val="es-ES"/>
        </w:rPr>
        <w:t xml:space="preserve"> </w:t>
      </w:r>
      <w:r w:rsidR="001455D9" w:rsidRPr="00224AD3">
        <w:rPr>
          <w:rFonts w:ascii="Cambria" w:hAnsi="Cambria"/>
          <w:sz w:val="20"/>
          <w:szCs w:val="20"/>
          <w:lang w:val="es-ES"/>
        </w:rPr>
        <w:t>explotó</w:t>
      </w:r>
      <w:r w:rsidR="006F2448" w:rsidRPr="00224AD3">
        <w:rPr>
          <w:rFonts w:ascii="Cambria" w:hAnsi="Cambria"/>
          <w:sz w:val="20"/>
          <w:szCs w:val="20"/>
          <w:lang w:val="es-ES"/>
        </w:rPr>
        <w:t xml:space="preserve"> un petardo que </w:t>
      </w:r>
      <w:r w:rsidR="00D71E7B" w:rsidRPr="00224AD3">
        <w:rPr>
          <w:rFonts w:ascii="Cambria" w:hAnsi="Cambria"/>
          <w:sz w:val="20"/>
          <w:szCs w:val="20"/>
          <w:lang w:val="es-ES"/>
        </w:rPr>
        <w:t xml:space="preserve">al parecer </w:t>
      </w:r>
      <w:r w:rsidR="006F2448" w:rsidRPr="00224AD3">
        <w:rPr>
          <w:rFonts w:ascii="Cambria" w:hAnsi="Cambria"/>
          <w:sz w:val="20"/>
          <w:szCs w:val="20"/>
          <w:lang w:val="es-ES"/>
        </w:rPr>
        <w:t xml:space="preserve">iba dirigido contra la estación de policía </w:t>
      </w:r>
      <w:r w:rsidR="007F7CEB" w:rsidRPr="00224AD3">
        <w:rPr>
          <w:rFonts w:ascii="Cambria" w:hAnsi="Cambria"/>
          <w:sz w:val="20"/>
          <w:szCs w:val="20"/>
          <w:lang w:val="es-ES"/>
        </w:rPr>
        <w:t xml:space="preserve">(Comando de Atención Inmediata – CAI) </w:t>
      </w:r>
      <w:r w:rsidR="006F2448" w:rsidRPr="00224AD3">
        <w:rPr>
          <w:rFonts w:ascii="Cambria" w:hAnsi="Cambria"/>
          <w:sz w:val="20"/>
          <w:szCs w:val="20"/>
          <w:lang w:val="es-ES"/>
        </w:rPr>
        <w:t>adyacente a la cancha de fútbol</w:t>
      </w:r>
      <w:r w:rsidR="001455D9" w:rsidRPr="00224AD3">
        <w:rPr>
          <w:rFonts w:ascii="Cambria" w:hAnsi="Cambria"/>
          <w:sz w:val="20"/>
          <w:szCs w:val="20"/>
          <w:lang w:val="es-ES"/>
        </w:rPr>
        <w:t>;</w:t>
      </w:r>
      <w:r w:rsidR="006F2448" w:rsidRPr="00224AD3">
        <w:rPr>
          <w:rFonts w:ascii="Cambria" w:hAnsi="Cambria"/>
          <w:sz w:val="20"/>
          <w:szCs w:val="20"/>
          <w:lang w:val="es-ES"/>
        </w:rPr>
        <w:t xml:space="preserve"> </w:t>
      </w:r>
      <w:r w:rsidR="001455D9" w:rsidRPr="00224AD3">
        <w:rPr>
          <w:rFonts w:ascii="Cambria" w:hAnsi="Cambria"/>
          <w:sz w:val="20"/>
          <w:szCs w:val="20"/>
          <w:lang w:val="es-ES"/>
        </w:rPr>
        <w:t>el cual habría sido detonado</w:t>
      </w:r>
      <w:r w:rsidR="006F2448" w:rsidRPr="00224AD3">
        <w:rPr>
          <w:rFonts w:ascii="Cambria" w:hAnsi="Cambria"/>
          <w:sz w:val="20"/>
          <w:szCs w:val="20"/>
          <w:lang w:val="es-ES"/>
        </w:rPr>
        <w:t xml:space="preserve"> por un grupo terrorista</w:t>
      </w:r>
      <w:r w:rsidR="002D36AE" w:rsidRPr="00224AD3">
        <w:rPr>
          <w:rFonts w:ascii="Cambria" w:hAnsi="Cambria"/>
          <w:sz w:val="20"/>
          <w:szCs w:val="20"/>
          <w:lang w:val="es-ES"/>
        </w:rPr>
        <w:t xml:space="preserve"> </w:t>
      </w:r>
      <w:r w:rsidR="006F2448" w:rsidRPr="00224AD3">
        <w:rPr>
          <w:rFonts w:ascii="Cambria" w:hAnsi="Cambria"/>
          <w:sz w:val="20"/>
          <w:szCs w:val="20"/>
          <w:lang w:val="es-ES"/>
        </w:rPr>
        <w:t>particular aún sin identificar</w:t>
      </w:r>
      <w:r w:rsidR="006F2448" w:rsidRPr="00224AD3">
        <w:rPr>
          <w:rFonts w:ascii="Cambria" w:hAnsi="Cambria"/>
          <w:sz w:val="22"/>
          <w:szCs w:val="22"/>
          <w:lang w:val="es-ES"/>
        </w:rPr>
        <w:t xml:space="preserve">. </w:t>
      </w:r>
      <w:r w:rsidR="006F2448" w:rsidRPr="00224AD3">
        <w:rPr>
          <w:rFonts w:ascii="Cambria" w:hAnsi="Cambria"/>
          <w:sz w:val="20"/>
          <w:szCs w:val="20"/>
          <w:lang w:val="es-ES"/>
        </w:rPr>
        <w:t>Como resultado</w:t>
      </w:r>
      <w:r w:rsidR="002535A1" w:rsidRPr="00224AD3">
        <w:rPr>
          <w:rFonts w:ascii="Cambria" w:hAnsi="Cambria"/>
          <w:sz w:val="20"/>
          <w:szCs w:val="20"/>
          <w:lang w:val="es-ES"/>
        </w:rPr>
        <w:t xml:space="preserve"> de esta </w:t>
      </w:r>
      <w:r w:rsidR="00224AD3" w:rsidRPr="00224AD3">
        <w:rPr>
          <w:rFonts w:ascii="Cambria" w:hAnsi="Cambria"/>
          <w:sz w:val="20"/>
          <w:szCs w:val="20"/>
          <w:lang w:val="es-ES"/>
        </w:rPr>
        <w:t>explosión</w:t>
      </w:r>
      <w:r w:rsidR="006F2448" w:rsidRPr="00224AD3">
        <w:rPr>
          <w:rFonts w:ascii="Cambria" w:hAnsi="Cambria"/>
          <w:sz w:val="20"/>
          <w:szCs w:val="20"/>
          <w:lang w:val="es-ES"/>
        </w:rPr>
        <w:t xml:space="preserve"> las presuntas víctimas sufrieron las siguientes lesiones:</w:t>
      </w:r>
      <w:r w:rsidR="002D36AE" w:rsidRPr="00224AD3">
        <w:rPr>
          <w:rFonts w:ascii="Cambria" w:hAnsi="Cambria"/>
          <w:sz w:val="20"/>
          <w:szCs w:val="20"/>
          <w:lang w:val="es-ES"/>
        </w:rPr>
        <w:t xml:space="preserve"> </w:t>
      </w:r>
    </w:p>
    <w:p w14:paraId="714D12FC" w14:textId="2067C283" w:rsidR="00081B0C" w:rsidRPr="00224AD3" w:rsidRDefault="002D36AE" w:rsidP="002535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w:t>
      </w:r>
      <w:r w:rsidR="002535A1" w:rsidRPr="00224AD3">
        <w:rPr>
          <w:rFonts w:ascii="Cambria" w:hAnsi="Cambria"/>
          <w:sz w:val="20"/>
          <w:szCs w:val="20"/>
          <w:lang w:val="es-ES"/>
        </w:rPr>
        <w:t>a</w:t>
      </w:r>
      <w:r w:rsidRPr="00224AD3">
        <w:rPr>
          <w:rFonts w:ascii="Cambria" w:hAnsi="Cambria"/>
          <w:sz w:val="20"/>
          <w:szCs w:val="20"/>
          <w:lang w:val="es-ES"/>
        </w:rPr>
        <w:t xml:space="preserve">) </w:t>
      </w:r>
      <w:r w:rsidR="00081B0C" w:rsidRPr="00224AD3">
        <w:rPr>
          <w:rFonts w:ascii="Cambria" w:hAnsi="Cambria"/>
          <w:sz w:val="20"/>
          <w:szCs w:val="20"/>
          <w:lang w:val="es-ES"/>
        </w:rPr>
        <w:tab/>
      </w:r>
      <w:r w:rsidR="00D71E7B" w:rsidRPr="00224AD3">
        <w:rPr>
          <w:rFonts w:ascii="Cambria" w:hAnsi="Cambria"/>
          <w:sz w:val="20"/>
          <w:szCs w:val="20"/>
          <w:lang w:val="es-ES"/>
        </w:rPr>
        <w:t>Jos</w:t>
      </w:r>
      <w:r w:rsidRPr="00224AD3">
        <w:rPr>
          <w:rFonts w:ascii="Cambria" w:hAnsi="Cambria"/>
          <w:sz w:val="20"/>
          <w:szCs w:val="20"/>
          <w:lang w:val="es-ES"/>
        </w:rPr>
        <w:t>é</w:t>
      </w:r>
      <w:r w:rsidR="00D71E7B" w:rsidRPr="00224AD3">
        <w:rPr>
          <w:rFonts w:ascii="Cambria" w:hAnsi="Cambria"/>
          <w:sz w:val="20"/>
          <w:szCs w:val="20"/>
          <w:lang w:val="es-ES"/>
        </w:rPr>
        <w:t xml:space="preserve"> Ignacio Salinas </w:t>
      </w:r>
      <w:proofErr w:type="spellStart"/>
      <w:r w:rsidR="00D71E7B" w:rsidRPr="00224AD3">
        <w:rPr>
          <w:rFonts w:ascii="Cambria" w:hAnsi="Cambria"/>
          <w:sz w:val="20"/>
          <w:szCs w:val="20"/>
          <w:lang w:val="es-ES"/>
        </w:rPr>
        <w:t>Zetty</w:t>
      </w:r>
      <w:proofErr w:type="spellEnd"/>
      <w:r w:rsidR="00D71E7B" w:rsidRPr="00224AD3">
        <w:rPr>
          <w:rFonts w:ascii="Cambria" w:hAnsi="Cambria"/>
          <w:sz w:val="20"/>
          <w:szCs w:val="20"/>
          <w:lang w:val="es-ES"/>
        </w:rPr>
        <w:t xml:space="preserve">, entonces de 16 </w:t>
      </w:r>
      <w:r w:rsidR="00081B0C" w:rsidRPr="00224AD3">
        <w:rPr>
          <w:rFonts w:ascii="Cambria" w:hAnsi="Cambria"/>
          <w:sz w:val="20"/>
          <w:szCs w:val="20"/>
          <w:lang w:val="es-ES"/>
        </w:rPr>
        <w:t>años</w:t>
      </w:r>
      <w:r w:rsidR="00D71E7B" w:rsidRPr="00224AD3">
        <w:rPr>
          <w:rFonts w:ascii="Cambria" w:hAnsi="Cambria"/>
          <w:sz w:val="20"/>
          <w:szCs w:val="20"/>
          <w:lang w:val="es-ES"/>
        </w:rPr>
        <w:t xml:space="preserve">, perdió parte de la audición -hipoacusia moderada en el oído derecho- y sufrió lesiones en su pie derecho -restricción dorsiflexión-; </w:t>
      </w:r>
    </w:p>
    <w:p w14:paraId="0F6D8AB3" w14:textId="0AED1D04" w:rsidR="00081B0C" w:rsidRPr="00224AD3" w:rsidRDefault="00D71E7B" w:rsidP="002535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w:t>
      </w:r>
      <w:r w:rsidR="00081B0C" w:rsidRPr="00224AD3">
        <w:rPr>
          <w:rFonts w:ascii="Cambria" w:hAnsi="Cambria"/>
          <w:sz w:val="20"/>
          <w:szCs w:val="20"/>
          <w:lang w:val="es-ES"/>
        </w:rPr>
        <w:t>b</w:t>
      </w:r>
      <w:r w:rsidRPr="00224AD3">
        <w:rPr>
          <w:rFonts w:ascii="Cambria" w:hAnsi="Cambria"/>
          <w:sz w:val="20"/>
          <w:szCs w:val="20"/>
          <w:lang w:val="es-ES"/>
        </w:rPr>
        <w:t xml:space="preserve">) </w:t>
      </w:r>
      <w:r w:rsidR="00081B0C" w:rsidRPr="00224AD3">
        <w:rPr>
          <w:rFonts w:ascii="Cambria" w:hAnsi="Cambria"/>
          <w:sz w:val="20"/>
          <w:szCs w:val="20"/>
          <w:lang w:val="es-ES"/>
        </w:rPr>
        <w:tab/>
      </w:r>
      <w:proofErr w:type="spellStart"/>
      <w:r w:rsidRPr="00224AD3">
        <w:rPr>
          <w:rFonts w:ascii="Cambria" w:hAnsi="Cambria"/>
          <w:sz w:val="20"/>
          <w:szCs w:val="20"/>
          <w:lang w:val="es-ES"/>
        </w:rPr>
        <w:t>Jhon</w:t>
      </w:r>
      <w:proofErr w:type="spellEnd"/>
      <w:r w:rsidRPr="00224AD3">
        <w:rPr>
          <w:rFonts w:ascii="Cambria" w:hAnsi="Cambria"/>
          <w:sz w:val="20"/>
          <w:szCs w:val="20"/>
          <w:lang w:val="es-ES"/>
        </w:rPr>
        <w:t xml:space="preserve"> Fredy Mayor Díaz, entonces de 10 </w:t>
      </w:r>
      <w:r w:rsidR="00081B0C" w:rsidRPr="00224AD3">
        <w:rPr>
          <w:rFonts w:ascii="Cambria" w:hAnsi="Cambria"/>
          <w:sz w:val="20"/>
          <w:szCs w:val="20"/>
          <w:lang w:val="es-ES"/>
        </w:rPr>
        <w:t>años</w:t>
      </w:r>
      <w:r w:rsidRPr="00224AD3">
        <w:rPr>
          <w:rFonts w:ascii="Cambria" w:hAnsi="Cambria"/>
          <w:sz w:val="20"/>
          <w:szCs w:val="20"/>
          <w:lang w:val="es-ES"/>
        </w:rPr>
        <w:t>, perdió parte de la audición en ambos oídos -hipoacusia bilateral secundaria-</w:t>
      </w:r>
      <w:r w:rsidR="00257262" w:rsidRPr="00224AD3">
        <w:rPr>
          <w:rFonts w:ascii="Cambria" w:hAnsi="Cambria"/>
          <w:sz w:val="20"/>
          <w:szCs w:val="20"/>
          <w:lang w:val="es-ES"/>
        </w:rPr>
        <w:t xml:space="preserve">; </w:t>
      </w:r>
    </w:p>
    <w:p w14:paraId="30A4FD52" w14:textId="6F4202C8" w:rsidR="00081B0C" w:rsidRPr="00224AD3" w:rsidRDefault="00257262" w:rsidP="002535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w:t>
      </w:r>
      <w:r w:rsidR="00081B0C" w:rsidRPr="00224AD3">
        <w:rPr>
          <w:rFonts w:ascii="Cambria" w:hAnsi="Cambria"/>
          <w:sz w:val="20"/>
          <w:szCs w:val="20"/>
          <w:lang w:val="es-ES"/>
        </w:rPr>
        <w:t>c</w:t>
      </w:r>
      <w:r w:rsidRPr="00224AD3">
        <w:rPr>
          <w:rFonts w:ascii="Cambria" w:hAnsi="Cambria"/>
          <w:sz w:val="20"/>
          <w:szCs w:val="20"/>
          <w:lang w:val="es-ES"/>
        </w:rPr>
        <w:t xml:space="preserve">) </w:t>
      </w:r>
      <w:r w:rsidR="00081B0C" w:rsidRPr="00224AD3">
        <w:rPr>
          <w:rFonts w:ascii="Cambria" w:hAnsi="Cambria"/>
          <w:sz w:val="20"/>
          <w:szCs w:val="20"/>
          <w:lang w:val="es-ES"/>
        </w:rPr>
        <w:tab/>
      </w:r>
      <w:r w:rsidRPr="00224AD3">
        <w:rPr>
          <w:rFonts w:ascii="Cambria" w:hAnsi="Cambria"/>
          <w:sz w:val="20"/>
          <w:szCs w:val="20"/>
          <w:lang w:val="es-ES"/>
        </w:rPr>
        <w:t xml:space="preserve">Fran </w:t>
      </w:r>
      <w:proofErr w:type="spellStart"/>
      <w:r w:rsidRPr="00224AD3">
        <w:rPr>
          <w:rFonts w:ascii="Cambria" w:hAnsi="Cambria"/>
          <w:sz w:val="20"/>
          <w:szCs w:val="20"/>
          <w:lang w:val="es-ES"/>
        </w:rPr>
        <w:t>Yimmy</w:t>
      </w:r>
      <w:proofErr w:type="spellEnd"/>
      <w:r w:rsidRPr="00224AD3">
        <w:rPr>
          <w:rFonts w:ascii="Cambria" w:hAnsi="Cambria"/>
          <w:sz w:val="20"/>
          <w:szCs w:val="20"/>
          <w:lang w:val="es-ES"/>
        </w:rPr>
        <w:t xml:space="preserve"> Villegas Londoño, entonces de 13 </w:t>
      </w:r>
      <w:r w:rsidR="00081B0C" w:rsidRPr="00224AD3">
        <w:rPr>
          <w:rFonts w:ascii="Cambria" w:hAnsi="Cambria"/>
          <w:sz w:val="20"/>
          <w:szCs w:val="20"/>
          <w:lang w:val="es-ES"/>
        </w:rPr>
        <w:t>años</w:t>
      </w:r>
      <w:r w:rsidRPr="00224AD3">
        <w:rPr>
          <w:rFonts w:ascii="Cambria" w:hAnsi="Cambria"/>
          <w:sz w:val="20"/>
          <w:szCs w:val="20"/>
          <w:lang w:val="es-ES"/>
        </w:rPr>
        <w:t xml:space="preserve">, presentó reacción situacional moderada secundaria a stress postraumático; </w:t>
      </w:r>
    </w:p>
    <w:p w14:paraId="40EB1566" w14:textId="52719F3A" w:rsidR="00081B0C" w:rsidRPr="00224AD3" w:rsidRDefault="00257262" w:rsidP="002535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w:t>
      </w:r>
      <w:r w:rsidR="00081B0C" w:rsidRPr="00224AD3">
        <w:rPr>
          <w:rFonts w:ascii="Cambria" w:hAnsi="Cambria"/>
          <w:sz w:val="20"/>
          <w:szCs w:val="20"/>
          <w:lang w:val="es-ES"/>
        </w:rPr>
        <w:t>d</w:t>
      </w:r>
      <w:r w:rsidRPr="00224AD3">
        <w:rPr>
          <w:rFonts w:ascii="Cambria" w:hAnsi="Cambria"/>
          <w:sz w:val="20"/>
          <w:szCs w:val="20"/>
          <w:lang w:val="es-ES"/>
        </w:rPr>
        <w:t xml:space="preserve">) </w:t>
      </w:r>
      <w:r w:rsidR="00081B0C" w:rsidRPr="00224AD3">
        <w:rPr>
          <w:rFonts w:ascii="Cambria" w:hAnsi="Cambria"/>
          <w:sz w:val="20"/>
          <w:szCs w:val="20"/>
          <w:lang w:val="es-ES"/>
        </w:rPr>
        <w:tab/>
      </w:r>
      <w:r w:rsidRPr="00224AD3">
        <w:rPr>
          <w:rFonts w:ascii="Cambria" w:hAnsi="Cambria"/>
          <w:sz w:val="20"/>
          <w:szCs w:val="20"/>
          <w:lang w:val="es-ES"/>
        </w:rPr>
        <w:t xml:space="preserve">Steven Alberto Díaz Ordóñez, entonces de 7 </w:t>
      </w:r>
      <w:r w:rsidR="00081B0C" w:rsidRPr="00224AD3">
        <w:rPr>
          <w:rFonts w:ascii="Cambria" w:hAnsi="Cambria"/>
          <w:sz w:val="20"/>
          <w:szCs w:val="20"/>
          <w:lang w:val="es-ES"/>
        </w:rPr>
        <w:t>años</w:t>
      </w:r>
      <w:r w:rsidRPr="00224AD3">
        <w:rPr>
          <w:rFonts w:ascii="Cambria" w:hAnsi="Cambria"/>
          <w:sz w:val="20"/>
          <w:szCs w:val="20"/>
          <w:lang w:val="es-ES"/>
        </w:rPr>
        <w:t>, presentó reacción situacional severa secundaria a stress postraumático;</w:t>
      </w:r>
      <w:r w:rsidR="007F7CEB" w:rsidRPr="00224AD3">
        <w:rPr>
          <w:rFonts w:ascii="Cambria" w:hAnsi="Cambria"/>
          <w:sz w:val="20"/>
          <w:szCs w:val="20"/>
          <w:lang w:val="es-ES"/>
        </w:rPr>
        <w:t xml:space="preserve"> </w:t>
      </w:r>
    </w:p>
    <w:p w14:paraId="72E54859" w14:textId="524DBDD5" w:rsidR="00081B0C" w:rsidRPr="00224AD3" w:rsidRDefault="00F336A9" w:rsidP="002535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w:t>
      </w:r>
      <w:r w:rsidR="00081B0C" w:rsidRPr="00224AD3">
        <w:rPr>
          <w:rFonts w:ascii="Cambria" w:hAnsi="Cambria"/>
          <w:sz w:val="20"/>
          <w:szCs w:val="20"/>
          <w:lang w:val="es-ES"/>
        </w:rPr>
        <w:t>e</w:t>
      </w:r>
      <w:r w:rsidRPr="00224AD3">
        <w:rPr>
          <w:rFonts w:ascii="Cambria" w:hAnsi="Cambria"/>
          <w:sz w:val="20"/>
          <w:szCs w:val="20"/>
          <w:lang w:val="es-ES"/>
        </w:rPr>
        <w:t xml:space="preserve">) </w:t>
      </w:r>
      <w:r w:rsidR="00081B0C" w:rsidRPr="00224AD3">
        <w:rPr>
          <w:rFonts w:ascii="Cambria" w:hAnsi="Cambria"/>
          <w:sz w:val="20"/>
          <w:szCs w:val="20"/>
          <w:lang w:val="es-ES"/>
        </w:rPr>
        <w:tab/>
      </w:r>
      <w:proofErr w:type="spellStart"/>
      <w:r w:rsidRPr="00224AD3">
        <w:rPr>
          <w:rFonts w:ascii="Cambria" w:hAnsi="Cambria"/>
          <w:sz w:val="20"/>
          <w:szCs w:val="20"/>
          <w:lang w:val="es-ES"/>
        </w:rPr>
        <w:t>Jhon</w:t>
      </w:r>
      <w:proofErr w:type="spellEnd"/>
      <w:r w:rsidRPr="00224AD3">
        <w:rPr>
          <w:rFonts w:ascii="Cambria" w:hAnsi="Cambria"/>
          <w:sz w:val="20"/>
          <w:szCs w:val="20"/>
          <w:lang w:val="es-ES"/>
        </w:rPr>
        <w:t xml:space="preserve"> Hernando Rengifo </w:t>
      </w:r>
      <w:proofErr w:type="spellStart"/>
      <w:r w:rsidRPr="00224AD3">
        <w:rPr>
          <w:rFonts w:ascii="Cambria" w:hAnsi="Cambria"/>
          <w:sz w:val="20"/>
          <w:szCs w:val="20"/>
          <w:lang w:val="es-ES"/>
        </w:rPr>
        <w:t>Guaspu</w:t>
      </w:r>
      <w:proofErr w:type="spellEnd"/>
      <w:r w:rsidRPr="00224AD3">
        <w:rPr>
          <w:rFonts w:ascii="Cambria" w:hAnsi="Cambria"/>
          <w:sz w:val="20"/>
          <w:szCs w:val="20"/>
          <w:lang w:val="es-ES"/>
        </w:rPr>
        <w:t xml:space="preserve">, entonces de 17 </w:t>
      </w:r>
      <w:r w:rsidR="00081B0C" w:rsidRPr="00224AD3">
        <w:rPr>
          <w:rFonts w:ascii="Cambria" w:hAnsi="Cambria"/>
          <w:sz w:val="20"/>
          <w:szCs w:val="20"/>
          <w:lang w:val="es-ES"/>
        </w:rPr>
        <w:t>años</w:t>
      </w:r>
      <w:r w:rsidRPr="00224AD3">
        <w:rPr>
          <w:rFonts w:ascii="Cambria" w:hAnsi="Cambria"/>
          <w:sz w:val="20"/>
          <w:szCs w:val="20"/>
          <w:lang w:val="es-ES"/>
        </w:rPr>
        <w:t xml:space="preserve">, presentó reacción situacional moderada secundaria a stress postraumático; </w:t>
      </w:r>
    </w:p>
    <w:p w14:paraId="69DA1AC6" w14:textId="067F83C2" w:rsidR="00081B0C" w:rsidRPr="00224AD3" w:rsidRDefault="00564EFA" w:rsidP="002535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w:t>
      </w:r>
      <w:r w:rsidR="00081B0C" w:rsidRPr="00224AD3">
        <w:rPr>
          <w:rFonts w:ascii="Cambria" w:hAnsi="Cambria"/>
          <w:sz w:val="20"/>
          <w:szCs w:val="20"/>
          <w:lang w:val="es-ES"/>
        </w:rPr>
        <w:t>f</w:t>
      </w:r>
      <w:r w:rsidRPr="00224AD3">
        <w:rPr>
          <w:rFonts w:ascii="Cambria" w:hAnsi="Cambria"/>
          <w:sz w:val="20"/>
          <w:szCs w:val="20"/>
          <w:lang w:val="es-ES"/>
        </w:rPr>
        <w:t xml:space="preserve">) </w:t>
      </w:r>
      <w:r w:rsidR="00081B0C" w:rsidRPr="00224AD3">
        <w:rPr>
          <w:rFonts w:ascii="Cambria" w:hAnsi="Cambria"/>
          <w:sz w:val="20"/>
          <w:szCs w:val="20"/>
          <w:lang w:val="es-ES"/>
        </w:rPr>
        <w:tab/>
      </w:r>
      <w:r w:rsidRPr="00224AD3">
        <w:rPr>
          <w:rFonts w:ascii="Cambria" w:hAnsi="Cambria"/>
          <w:sz w:val="20"/>
          <w:szCs w:val="20"/>
          <w:lang w:val="es-ES"/>
        </w:rPr>
        <w:t xml:space="preserve">Oscar Eduardo Rubio, entonces de 12 </w:t>
      </w:r>
      <w:r w:rsidR="00081B0C" w:rsidRPr="00224AD3">
        <w:rPr>
          <w:rFonts w:ascii="Cambria" w:hAnsi="Cambria"/>
          <w:sz w:val="20"/>
          <w:szCs w:val="20"/>
          <w:lang w:val="es-ES"/>
        </w:rPr>
        <w:t>años</w:t>
      </w:r>
      <w:r w:rsidRPr="00224AD3">
        <w:rPr>
          <w:rFonts w:ascii="Cambria" w:hAnsi="Cambria"/>
          <w:sz w:val="20"/>
          <w:szCs w:val="20"/>
          <w:lang w:val="es-ES"/>
        </w:rPr>
        <w:t xml:space="preserve">, presentó reacción situacional moderada secundaria a stress postraumático; </w:t>
      </w:r>
    </w:p>
    <w:p w14:paraId="7F47B762" w14:textId="01D70911" w:rsidR="00081B0C" w:rsidRPr="00224AD3" w:rsidRDefault="00564EFA" w:rsidP="002535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w:t>
      </w:r>
      <w:r w:rsidR="00081B0C" w:rsidRPr="00224AD3">
        <w:rPr>
          <w:rFonts w:ascii="Cambria" w:hAnsi="Cambria"/>
          <w:sz w:val="20"/>
          <w:szCs w:val="20"/>
          <w:lang w:val="es-ES"/>
        </w:rPr>
        <w:t>g</w:t>
      </w:r>
      <w:r w:rsidRPr="00224AD3">
        <w:rPr>
          <w:rFonts w:ascii="Cambria" w:hAnsi="Cambria"/>
          <w:sz w:val="20"/>
          <w:szCs w:val="20"/>
          <w:lang w:val="es-ES"/>
        </w:rPr>
        <w:t xml:space="preserve">) </w:t>
      </w:r>
      <w:r w:rsidR="00081B0C" w:rsidRPr="00224AD3">
        <w:rPr>
          <w:rFonts w:ascii="Cambria" w:hAnsi="Cambria"/>
          <w:sz w:val="20"/>
          <w:szCs w:val="20"/>
          <w:lang w:val="es-ES"/>
        </w:rPr>
        <w:tab/>
      </w:r>
      <w:r w:rsidRPr="00224AD3">
        <w:rPr>
          <w:rFonts w:ascii="Cambria" w:hAnsi="Cambria"/>
          <w:sz w:val="20"/>
          <w:szCs w:val="20"/>
          <w:lang w:val="es-ES"/>
        </w:rPr>
        <w:t xml:space="preserve">Nelson Andrés Díaz, entonces de 3 </w:t>
      </w:r>
      <w:r w:rsidR="00081B0C" w:rsidRPr="00224AD3">
        <w:rPr>
          <w:rFonts w:ascii="Cambria" w:hAnsi="Cambria"/>
          <w:sz w:val="20"/>
          <w:szCs w:val="20"/>
          <w:lang w:val="es-ES"/>
        </w:rPr>
        <w:t>años</w:t>
      </w:r>
      <w:r w:rsidRPr="00224AD3">
        <w:rPr>
          <w:rFonts w:ascii="Cambria" w:hAnsi="Cambria"/>
          <w:sz w:val="20"/>
          <w:szCs w:val="20"/>
          <w:lang w:val="es-ES"/>
        </w:rPr>
        <w:t xml:space="preserve">, presentó reacción situacional severa secundaria a stress postraumático; </w:t>
      </w:r>
    </w:p>
    <w:p w14:paraId="532F1849" w14:textId="77AC123F" w:rsidR="00081B0C" w:rsidRPr="00224AD3" w:rsidRDefault="00564EFA" w:rsidP="002535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w:t>
      </w:r>
      <w:r w:rsidR="00081B0C" w:rsidRPr="00224AD3">
        <w:rPr>
          <w:rFonts w:ascii="Cambria" w:hAnsi="Cambria"/>
          <w:sz w:val="20"/>
          <w:szCs w:val="20"/>
          <w:lang w:val="es-ES"/>
        </w:rPr>
        <w:t>h</w:t>
      </w:r>
      <w:r w:rsidRPr="00224AD3">
        <w:rPr>
          <w:rFonts w:ascii="Cambria" w:hAnsi="Cambria"/>
          <w:sz w:val="20"/>
          <w:szCs w:val="20"/>
          <w:lang w:val="es-ES"/>
        </w:rPr>
        <w:t xml:space="preserve">) </w:t>
      </w:r>
      <w:r w:rsidR="00081B0C" w:rsidRPr="00224AD3">
        <w:rPr>
          <w:rFonts w:ascii="Cambria" w:hAnsi="Cambria"/>
          <w:sz w:val="20"/>
          <w:szCs w:val="20"/>
          <w:lang w:val="es-ES"/>
        </w:rPr>
        <w:tab/>
      </w:r>
      <w:r w:rsidRPr="00224AD3">
        <w:rPr>
          <w:rFonts w:ascii="Cambria" w:hAnsi="Cambria"/>
          <w:sz w:val="20"/>
          <w:szCs w:val="20"/>
          <w:lang w:val="es-ES"/>
        </w:rPr>
        <w:t xml:space="preserve">Luis Ernesto Ramírez Correa, entonces de 10 </w:t>
      </w:r>
      <w:r w:rsidR="00081B0C" w:rsidRPr="00224AD3">
        <w:rPr>
          <w:rFonts w:ascii="Cambria" w:hAnsi="Cambria"/>
          <w:sz w:val="20"/>
          <w:szCs w:val="20"/>
          <w:lang w:val="es-ES"/>
        </w:rPr>
        <w:t>años</w:t>
      </w:r>
      <w:r w:rsidRPr="00224AD3">
        <w:rPr>
          <w:rFonts w:ascii="Cambria" w:hAnsi="Cambria"/>
          <w:sz w:val="20"/>
          <w:szCs w:val="20"/>
          <w:lang w:val="es-ES"/>
        </w:rPr>
        <w:t xml:space="preserve">, presentó reacción situacional severa secundaria a stress postraumático; </w:t>
      </w:r>
    </w:p>
    <w:p w14:paraId="64BA21CB" w14:textId="055B62BF" w:rsidR="00081B0C" w:rsidRPr="00224AD3" w:rsidRDefault="00564EFA" w:rsidP="002535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w:t>
      </w:r>
      <w:r w:rsidR="00081B0C" w:rsidRPr="00224AD3">
        <w:rPr>
          <w:rFonts w:ascii="Cambria" w:hAnsi="Cambria"/>
          <w:sz w:val="20"/>
          <w:szCs w:val="20"/>
          <w:lang w:val="es-ES"/>
        </w:rPr>
        <w:t>i</w:t>
      </w:r>
      <w:r w:rsidRPr="00224AD3">
        <w:rPr>
          <w:rFonts w:ascii="Cambria" w:hAnsi="Cambria"/>
          <w:sz w:val="20"/>
          <w:szCs w:val="20"/>
          <w:lang w:val="es-ES"/>
        </w:rPr>
        <w:t xml:space="preserve">) </w:t>
      </w:r>
      <w:r w:rsidR="00081B0C" w:rsidRPr="00224AD3">
        <w:rPr>
          <w:rFonts w:ascii="Cambria" w:hAnsi="Cambria"/>
          <w:sz w:val="20"/>
          <w:szCs w:val="20"/>
          <w:lang w:val="es-ES"/>
        </w:rPr>
        <w:tab/>
      </w:r>
      <w:proofErr w:type="spellStart"/>
      <w:r w:rsidRPr="00224AD3">
        <w:rPr>
          <w:rFonts w:ascii="Cambria" w:hAnsi="Cambria"/>
          <w:sz w:val="20"/>
          <w:szCs w:val="20"/>
          <w:lang w:val="es-ES"/>
        </w:rPr>
        <w:t>Jhoan</w:t>
      </w:r>
      <w:proofErr w:type="spellEnd"/>
      <w:r w:rsidRPr="00224AD3">
        <w:rPr>
          <w:rFonts w:ascii="Cambria" w:hAnsi="Cambria"/>
          <w:sz w:val="20"/>
          <w:szCs w:val="20"/>
          <w:lang w:val="es-ES"/>
        </w:rPr>
        <w:t xml:space="preserve"> Andrés Agudelo Ruiz, entonces de 12 </w:t>
      </w:r>
      <w:r w:rsidR="00081B0C" w:rsidRPr="00224AD3">
        <w:rPr>
          <w:rFonts w:ascii="Cambria" w:hAnsi="Cambria"/>
          <w:sz w:val="20"/>
          <w:szCs w:val="20"/>
          <w:lang w:val="es-ES"/>
        </w:rPr>
        <w:t>años</w:t>
      </w:r>
      <w:r w:rsidRPr="00224AD3">
        <w:rPr>
          <w:rFonts w:ascii="Cambria" w:hAnsi="Cambria"/>
          <w:sz w:val="20"/>
          <w:szCs w:val="20"/>
          <w:lang w:val="es-ES"/>
        </w:rPr>
        <w:t>, presentó reacción situacional moderada secundaria a stress postraumático</w:t>
      </w:r>
      <w:r w:rsidR="008F5A25" w:rsidRPr="00224AD3">
        <w:rPr>
          <w:rFonts w:ascii="Cambria" w:hAnsi="Cambria"/>
          <w:sz w:val="20"/>
          <w:szCs w:val="20"/>
          <w:lang w:val="es-ES"/>
        </w:rPr>
        <w:t xml:space="preserve">; y </w:t>
      </w:r>
    </w:p>
    <w:p w14:paraId="116B3DFF" w14:textId="68EF610A" w:rsidR="00081B0C" w:rsidRPr="00224AD3" w:rsidRDefault="008F5A25" w:rsidP="002535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lastRenderedPageBreak/>
        <w:t>(</w:t>
      </w:r>
      <w:r w:rsidR="00081B0C" w:rsidRPr="00224AD3">
        <w:rPr>
          <w:rFonts w:ascii="Cambria" w:hAnsi="Cambria"/>
          <w:sz w:val="20"/>
          <w:szCs w:val="20"/>
          <w:lang w:val="es-ES"/>
        </w:rPr>
        <w:t>j</w:t>
      </w:r>
      <w:r w:rsidRPr="00224AD3">
        <w:rPr>
          <w:rFonts w:ascii="Cambria" w:hAnsi="Cambria"/>
          <w:sz w:val="20"/>
          <w:szCs w:val="20"/>
          <w:lang w:val="es-ES"/>
        </w:rPr>
        <w:t xml:space="preserve">) </w:t>
      </w:r>
      <w:r w:rsidR="00081B0C" w:rsidRPr="00224AD3">
        <w:rPr>
          <w:rFonts w:ascii="Cambria" w:hAnsi="Cambria"/>
          <w:sz w:val="20"/>
          <w:szCs w:val="20"/>
          <w:lang w:val="es-ES"/>
        </w:rPr>
        <w:tab/>
      </w:r>
      <w:proofErr w:type="spellStart"/>
      <w:r w:rsidRPr="00224AD3">
        <w:rPr>
          <w:rFonts w:ascii="Cambria" w:hAnsi="Cambria"/>
          <w:sz w:val="20"/>
          <w:szCs w:val="20"/>
          <w:lang w:val="es-ES"/>
        </w:rPr>
        <w:t>Jhonatan</w:t>
      </w:r>
      <w:proofErr w:type="spellEnd"/>
      <w:r w:rsidRPr="00224AD3">
        <w:rPr>
          <w:rFonts w:ascii="Cambria" w:hAnsi="Cambria"/>
          <w:sz w:val="20"/>
          <w:szCs w:val="20"/>
          <w:lang w:val="es-ES"/>
        </w:rPr>
        <w:t xml:space="preserve"> Salinas, entonces de 12 </w:t>
      </w:r>
      <w:r w:rsidR="00081B0C" w:rsidRPr="00224AD3">
        <w:rPr>
          <w:rFonts w:ascii="Cambria" w:hAnsi="Cambria"/>
          <w:sz w:val="20"/>
          <w:szCs w:val="20"/>
          <w:lang w:val="es-ES"/>
        </w:rPr>
        <w:t>años</w:t>
      </w:r>
      <w:r w:rsidRPr="00224AD3">
        <w:rPr>
          <w:rFonts w:ascii="Cambria" w:hAnsi="Cambria"/>
          <w:sz w:val="20"/>
          <w:szCs w:val="20"/>
          <w:lang w:val="es-ES"/>
        </w:rPr>
        <w:t xml:space="preserve">, presentó reacción situacional severa secundaria a stress postraumático. </w:t>
      </w:r>
    </w:p>
    <w:p w14:paraId="0FDA03BD" w14:textId="1468BEC5" w:rsidR="006F2448" w:rsidRPr="00224AD3" w:rsidRDefault="00F336A9" w:rsidP="00081B0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24AD3">
        <w:rPr>
          <w:rFonts w:ascii="Cambria" w:hAnsi="Cambria"/>
          <w:sz w:val="20"/>
          <w:szCs w:val="20"/>
          <w:lang w:val="es-ES"/>
        </w:rPr>
        <w:t xml:space="preserve">Según se afirma, el Ministerio de Trabajo dictaminó con precisión los niveles de </w:t>
      </w:r>
      <w:r w:rsidRPr="00224AD3">
        <w:rPr>
          <w:rFonts w:ascii="Cambria" w:hAnsi="Cambria"/>
          <w:i/>
          <w:iCs/>
          <w:sz w:val="20"/>
          <w:szCs w:val="20"/>
          <w:lang w:val="es-ES"/>
        </w:rPr>
        <w:t>“deficiencia, discapacidad y minusvalía”</w:t>
      </w:r>
      <w:r w:rsidRPr="00224AD3">
        <w:rPr>
          <w:rFonts w:ascii="Cambria" w:hAnsi="Cambria"/>
          <w:sz w:val="20"/>
          <w:szCs w:val="20"/>
          <w:lang w:val="es-ES"/>
        </w:rPr>
        <w:t xml:space="preserve"> que se derivaron para los niños y jóvenes del atentado, en un concepto aportado al proceso contencioso-administrativo doméstico. </w:t>
      </w:r>
      <w:r w:rsidR="007F7CEB" w:rsidRPr="00224AD3">
        <w:rPr>
          <w:rFonts w:ascii="Cambria" w:hAnsi="Cambria"/>
          <w:sz w:val="20"/>
          <w:szCs w:val="20"/>
          <w:lang w:val="es-ES"/>
        </w:rPr>
        <w:t xml:space="preserve">El peticionario precisa que </w:t>
      </w:r>
      <w:r w:rsidR="007F7CEB" w:rsidRPr="00224AD3">
        <w:rPr>
          <w:rFonts w:ascii="Cambria" w:hAnsi="Cambria"/>
          <w:i/>
          <w:iCs/>
          <w:sz w:val="20"/>
          <w:szCs w:val="20"/>
          <w:lang w:val="es-ES"/>
        </w:rPr>
        <w:t>“antes de la ocurrencia del mencionado ataque terrorista, los jóvenes afectados se encontraban en óptimas condiciones físicas, sicológicas, motrices, auditivas y como consecuencia directa del ataque del que fueron víctimas los menores tienen después de casi 14 años de ocurrencia de los hechos, problemas auditivos, trastornos de sueño, dolores constantes de cabeza (migraña) y demás daños físicos irreversibles perpetuos”.</w:t>
      </w:r>
    </w:p>
    <w:p w14:paraId="3219B158" w14:textId="426AABFA" w:rsidR="006F2448" w:rsidRPr="00224AD3" w:rsidRDefault="00F366B6" w:rsidP="00F366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 xml:space="preserve">3. </w:t>
      </w:r>
      <w:r w:rsidR="00081B0C" w:rsidRPr="00224AD3">
        <w:rPr>
          <w:rFonts w:ascii="Cambria" w:hAnsi="Cambria"/>
          <w:sz w:val="20"/>
          <w:szCs w:val="20"/>
          <w:lang w:val="es-ES"/>
        </w:rPr>
        <w:tab/>
      </w:r>
      <w:r w:rsidR="006F2448" w:rsidRPr="00224AD3">
        <w:rPr>
          <w:rFonts w:ascii="Cambria" w:hAnsi="Cambria"/>
          <w:sz w:val="20"/>
          <w:szCs w:val="20"/>
          <w:lang w:val="es-ES"/>
        </w:rPr>
        <w:t xml:space="preserve">En cuanto a la responsabilidad estatal por el atentado terrorista, la parte peticionaria alega que si bien éste fue perpetrado por un grupo particular y se dirigía contra la estación de policía, el Estado contribuyó a causar el riesgo al haber ubicado la estación en una zona </w:t>
      </w:r>
      <w:r w:rsidR="002D36AE" w:rsidRPr="00224AD3">
        <w:rPr>
          <w:rFonts w:ascii="Cambria" w:hAnsi="Cambria"/>
          <w:sz w:val="20"/>
          <w:szCs w:val="20"/>
          <w:lang w:val="es-ES"/>
        </w:rPr>
        <w:t xml:space="preserve">urbana </w:t>
      </w:r>
      <w:r w:rsidR="006F2448" w:rsidRPr="00224AD3">
        <w:rPr>
          <w:rFonts w:ascii="Cambria" w:hAnsi="Cambria"/>
          <w:sz w:val="20"/>
          <w:szCs w:val="20"/>
          <w:lang w:val="es-ES"/>
        </w:rPr>
        <w:t>densamente poblada, en un contexto de violencia y conflicto armado</w:t>
      </w:r>
      <w:r w:rsidR="007F7CEB" w:rsidRPr="00224AD3">
        <w:rPr>
          <w:rFonts w:ascii="Cambria" w:hAnsi="Cambria"/>
          <w:sz w:val="20"/>
          <w:szCs w:val="20"/>
          <w:lang w:val="es-ES"/>
        </w:rPr>
        <w:t xml:space="preserve"> prevalecientes en la ciudad de Cali</w:t>
      </w:r>
      <w:r w:rsidR="006F2448" w:rsidRPr="00224AD3">
        <w:rPr>
          <w:rFonts w:ascii="Cambria" w:hAnsi="Cambria"/>
          <w:sz w:val="20"/>
          <w:szCs w:val="20"/>
          <w:lang w:val="es-ES"/>
        </w:rPr>
        <w:t xml:space="preserve">, sin haber tomado las medidas de prevención mínimas para evitar que ocurrieran ataques como el que efectivamente tuvo lugar. </w:t>
      </w:r>
      <w:r w:rsidR="006A2CBD" w:rsidRPr="00224AD3">
        <w:rPr>
          <w:rFonts w:ascii="Cambria" w:hAnsi="Cambria"/>
          <w:sz w:val="20"/>
          <w:szCs w:val="20"/>
          <w:lang w:val="es-ES"/>
        </w:rPr>
        <w:t>Al haberse tratado de un atentado contra una institución representativa del Estado colombiano en un contexto de violencia generalizada, se comprometería la responsabilidad de Colombia por la falta de medidas preventivas para evitar la victimización de los niños reunidos en la cancha.</w:t>
      </w:r>
    </w:p>
    <w:p w14:paraId="16626169" w14:textId="74791DC0" w:rsidR="006F2448" w:rsidRPr="00224AD3" w:rsidRDefault="00F366B6" w:rsidP="00B239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 xml:space="preserve">4. </w:t>
      </w:r>
      <w:r w:rsidR="00BE68C8" w:rsidRPr="00224AD3">
        <w:rPr>
          <w:rFonts w:ascii="Cambria" w:hAnsi="Cambria"/>
          <w:sz w:val="20"/>
          <w:szCs w:val="20"/>
          <w:lang w:val="es-ES"/>
        </w:rPr>
        <w:tab/>
      </w:r>
      <w:r w:rsidR="006F2448" w:rsidRPr="00224AD3">
        <w:rPr>
          <w:rFonts w:ascii="Cambria" w:hAnsi="Cambria"/>
          <w:sz w:val="20"/>
          <w:szCs w:val="20"/>
          <w:lang w:val="es-ES"/>
        </w:rPr>
        <w:t xml:space="preserve">Según </w:t>
      </w:r>
      <w:r w:rsidR="00534A3D" w:rsidRPr="00224AD3">
        <w:rPr>
          <w:rFonts w:ascii="Cambria" w:hAnsi="Cambria"/>
          <w:sz w:val="20"/>
          <w:szCs w:val="20"/>
          <w:lang w:val="es-ES"/>
        </w:rPr>
        <w:t>alega</w:t>
      </w:r>
      <w:r w:rsidR="006F2448" w:rsidRPr="00224AD3">
        <w:rPr>
          <w:rFonts w:ascii="Cambria" w:hAnsi="Cambria"/>
          <w:sz w:val="20"/>
          <w:szCs w:val="20"/>
          <w:lang w:val="es-ES"/>
        </w:rPr>
        <w:t xml:space="preserve"> el Estado </w:t>
      </w:r>
      <w:r w:rsidR="00534A3D" w:rsidRPr="00224AD3">
        <w:rPr>
          <w:rFonts w:ascii="Cambria" w:hAnsi="Cambria"/>
          <w:sz w:val="20"/>
          <w:szCs w:val="20"/>
          <w:lang w:val="es-ES"/>
        </w:rPr>
        <w:t>ante</w:t>
      </w:r>
      <w:r w:rsidR="006F2448" w:rsidRPr="00224AD3">
        <w:rPr>
          <w:rFonts w:ascii="Cambria" w:hAnsi="Cambria"/>
          <w:sz w:val="20"/>
          <w:szCs w:val="20"/>
          <w:lang w:val="es-ES"/>
        </w:rPr>
        <w:t xml:space="preserve"> la CIDH, la Fiscalía inició una investigación por el atentado al día siguiente de su ocurrencia</w:t>
      </w:r>
      <w:r w:rsidR="00B7723C" w:rsidRPr="00224AD3">
        <w:rPr>
          <w:rFonts w:ascii="Cambria" w:hAnsi="Cambria"/>
          <w:sz w:val="20"/>
          <w:szCs w:val="20"/>
          <w:lang w:val="es-ES"/>
        </w:rPr>
        <w:t>, el 11 de marzo de 1998</w:t>
      </w:r>
      <w:r w:rsidR="006F2448" w:rsidRPr="00224AD3">
        <w:rPr>
          <w:rFonts w:ascii="Cambria" w:hAnsi="Cambria"/>
          <w:sz w:val="20"/>
          <w:szCs w:val="20"/>
          <w:lang w:val="es-ES"/>
        </w:rPr>
        <w:t xml:space="preserve">. Sin embargo, mediante decisión del </w:t>
      </w:r>
      <w:r w:rsidR="00B7723C" w:rsidRPr="00224AD3">
        <w:rPr>
          <w:rFonts w:ascii="Cambria" w:hAnsi="Cambria"/>
          <w:sz w:val="20"/>
          <w:szCs w:val="20"/>
          <w:lang w:val="es-ES"/>
        </w:rPr>
        <w:t>18 de enero de 2002</w:t>
      </w:r>
      <w:r w:rsidR="006F2448" w:rsidRPr="00224AD3">
        <w:rPr>
          <w:rFonts w:ascii="Cambria" w:hAnsi="Cambria"/>
          <w:sz w:val="20"/>
          <w:szCs w:val="20"/>
          <w:lang w:val="es-ES"/>
        </w:rPr>
        <w:t xml:space="preserve">, </w:t>
      </w:r>
      <w:r w:rsidR="00B7723C" w:rsidRPr="00224AD3">
        <w:rPr>
          <w:rFonts w:ascii="Cambria" w:hAnsi="Cambria"/>
          <w:sz w:val="20"/>
          <w:szCs w:val="20"/>
          <w:lang w:val="es-ES"/>
        </w:rPr>
        <w:t xml:space="preserve">la Fiscalía dictó resolución absteniéndose de iniciar instrucción penal, </w:t>
      </w:r>
      <w:r w:rsidR="00B7723C" w:rsidRPr="00224AD3">
        <w:rPr>
          <w:rFonts w:ascii="Cambria" w:hAnsi="Cambria"/>
          <w:i/>
          <w:iCs/>
          <w:sz w:val="20"/>
          <w:szCs w:val="20"/>
          <w:lang w:val="es-ES"/>
        </w:rPr>
        <w:t>“ante la imposibilidad de individualizar al autor o autores del hecho”</w:t>
      </w:r>
      <w:r w:rsidR="00B7723C" w:rsidRPr="00224AD3">
        <w:rPr>
          <w:rFonts w:ascii="Cambria" w:hAnsi="Cambria"/>
          <w:sz w:val="20"/>
          <w:szCs w:val="20"/>
          <w:lang w:val="es-ES"/>
        </w:rPr>
        <w:t xml:space="preserve">, </w:t>
      </w:r>
      <w:r w:rsidR="006F2448" w:rsidRPr="00224AD3">
        <w:rPr>
          <w:rFonts w:ascii="Cambria" w:hAnsi="Cambria"/>
          <w:sz w:val="20"/>
          <w:szCs w:val="20"/>
          <w:lang w:val="es-ES"/>
        </w:rPr>
        <w:t xml:space="preserve">y </w:t>
      </w:r>
      <w:r w:rsidR="002D36AE" w:rsidRPr="00224AD3">
        <w:rPr>
          <w:rFonts w:ascii="Cambria" w:hAnsi="Cambria"/>
          <w:sz w:val="20"/>
          <w:szCs w:val="20"/>
          <w:lang w:val="es-ES"/>
        </w:rPr>
        <w:t xml:space="preserve">se </w:t>
      </w:r>
      <w:r w:rsidR="006F2448" w:rsidRPr="00224AD3">
        <w:rPr>
          <w:rFonts w:ascii="Cambria" w:hAnsi="Cambria"/>
          <w:sz w:val="20"/>
          <w:szCs w:val="20"/>
          <w:lang w:val="es-ES"/>
        </w:rPr>
        <w:t>archiv</w:t>
      </w:r>
      <w:r w:rsidR="002D36AE" w:rsidRPr="00224AD3">
        <w:rPr>
          <w:rFonts w:ascii="Cambria" w:hAnsi="Cambria"/>
          <w:sz w:val="20"/>
          <w:szCs w:val="20"/>
          <w:lang w:val="es-ES"/>
        </w:rPr>
        <w:t>ó</w:t>
      </w:r>
      <w:r w:rsidR="006F2448" w:rsidRPr="00224AD3">
        <w:rPr>
          <w:rFonts w:ascii="Cambria" w:hAnsi="Cambria"/>
          <w:sz w:val="20"/>
          <w:szCs w:val="20"/>
          <w:lang w:val="es-ES"/>
        </w:rPr>
        <w:t xml:space="preserve"> el expediente. La CIDH entiende que ni la decisión de iniciar la investigación, ni la de terminarla, fueron comunicadas a alguna de las víctimas, ya que en su petición el señor </w:t>
      </w:r>
      <w:proofErr w:type="spellStart"/>
      <w:r w:rsidR="006F2448" w:rsidRPr="00224AD3">
        <w:rPr>
          <w:rFonts w:ascii="Cambria" w:hAnsi="Cambria"/>
          <w:sz w:val="20"/>
          <w:szCs w:val="20"/>
          <w:lang w:val="es-ES"/>
        </w:rPr>
        <w:t>Helton</w:t>
      </w:r>
      <w:proofErr w:type="spellEnd"/>
      <w:r w:rsidR="006F2448" w:rsidRPr="00224AD3">
        <w:rPr>
          <w:rFonts w:ascii="Cambria" w:hAnsi="Cambria"/>
          <w:sz w:val="20"/>
          <w:szCs w:val="20"/>
          <w:lang w:val="es-ES"/>
        </w:rPr>
        <w:t xml:space="preserve"> </w:t>
      </w:r>
      <w:r w:rsidR="007F7CEB" w:rsidRPr="00224AD3">
        <w:rPr>
          <w:rFonts w:ascii="Cambria" w:hAnsi="Cambria"/>
          <w:sz w:val="20"/>
          <w:szCs w:val="20"/>
          <w:lang w:val="es-ES"/>
        </w:rPr>
        <w:t xml:space="preserve">Gutiérrez </w:t>
      </w:r>
      <w:r w:rsidR="006F2448" w:rsidRPr="00224AD3">
        <w:rPr>
          <w:rFonts w:ascii="Cambria" w:hAnsi="Cambria"/>
          <w:sz w:val="20"/>
          <w:szCs w:val="20"/>
          <w:lang w:val="es-ES"/>
        </w:rPr>
        <w:t>afirma:</w:t>
      </w:r>
      <w:r w:rsidR="007F7CEB" w:rsidRPr="00224AD3">
        <w:rPr>
          <w:rFonts w:ascii="Cambria" w:hAnsi="Cambria"/>
          <w:sz w:val="20"/>
          <w:szCs w:val="20"/>
          <w:lang w:val="es-ES"/>
        </w:rPr>
        <w:t xml:space="preserve"> </w:t>
      </w:r>
      <w:r w:rsidR="007F7CEB" w:rsidRPr="00224AD3">
        <w:rPr>
          <w:rFonts w:ascii="Cambria" w:hAnsi="Cambria"/>
          <w:i/>
          <w:iCs/>
          <w:sz w:val="20"/>
          <w:szCs w:val="20"/>
          <w:lang w:val="es-ES"/>
        </w:rPr>
        <w:t>“No existe, ni nunca existió proceso, investigación o pesquisa alguna, de parte de las autoridades judiciales-penales colombianas, que permitieran dar con los responsables del hecho (autores materiales e intelectuales), determinar qué motivó el acto terrorista, informar si frente a esos hechos se reportaron capturas, qué tipo de acciones ‘inmediatas’ tomó la fuerza pública para repeler el ataque, qué medidas de justicia se tomaron para la protección de los intereses legítimos de las víctimas”</w:t>
      </w:r>
      <w:r w:rsidR="007F7CEB" w:rsidRPr="00224AD3">
        <w:rPr>
          <w:rFonts w:ascii="Cambria" w:hAnsi="Cambria"/>
          <w:sz w:val="20"/>
          <w:szCs w:val="20"/>
          <w:lang w:val="es-ES"/>
        </w:rPr>
        <w:t xml:space="preserve">; por todo lo cual afirma que el hecho se encuentra en la impunidad, </w:t>
      </w:r>
      <w:r w:rsidR="00DF59D5" w:rsidRPr="00224AD3">
        <w:rPr>
          <w:rFonts w:ascii="Cambria" w:hAnsi="Cambria"/>
          <w:sz w:val="20"/>
          <w:szCs w:val="20"/>
          <w:lang w:val="es-ES"/>
        </w:rPr>
        <w:t>luego de un largo período de tiempo desde su ocurrencia, con violación de los derechos de las víctimas a obtener justicia y conocer la verdad</w:t>
      </w:r>
      <w:r w:rsidR="007F7CEB" w:rsidRPr="00224AD3">
        <w:rPr>
          <w:rFonts w:ascii="Cambria" w:hAnsi="Cambria"/>
          <w:sz w:val="20"/>
          <w:szCs w:val="20"/>
          <w:lang w:val="es-ES"/>
        </w:rPr>
        <w:t xml:space="preserve">.  </w:t>
      </w:r>
      <w:r w:rsidR="006F2448" w:rsidRPr="00224AD3">
        <w:rPr>
          <w:rFonts w:ascii="Cambria" w:hAnsi="Cambria"/>
          <w:sz w:val="20"/>
          <w:szCs w:val="20"/>
          <w:lang w:val="es-ES"/>
        </w:rPr>
        <w:t xml:space="preserve"> </w:t>
      </w:r>
    </w:p>
    <w:p w14:paraId="59D33FEB" w14:textId="6F3F40EF" w:rsidR="00DF59D5" w:rsidRPr="00224AD3" w:rsidRDefault="00F366B6" w:rsidP="00534A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 xml:space="preserve">5. </w:t>
      </w:r>
      <w:r w:rsidR="00534A3D" w:rsidRPr="00224AD3">
        <w:rPr>
          <w:rFonts w:ascii="Cambria" w:hAnsi="Cambria"/>
          <w:sz w:val="20"/>
          <w:szCs w:val="20"/>
          <w:lang w:val="es-ES"/>
        </w:rPr>
        <w:tab/>
      </w:r>
      <w:r w:rsidR="006F2448" w:rsidRPr="00224AD3">
        <w:rPr>
          <w:rFonts w:ascii="Cambria" w:hAnsi="Cambria"/>
          <w:sz w:val="20"/>
          <w:szCs w:val="20"/>
          <w:lang w:val="es-ES"/>
        </w:rPr>
        <w:t xml:space="preserve">Los peticionarios promovieron </w:t>
      </w:r>
      <w:r w:rsidR="007F7CEB" w:rsidRPr="00224AD3">
        <w:rPr>
          <w:rFonts w:ascii="Cambria" w:hAnsi="Cambria"/>
          <w:sz w:val="20"/>
          <w:szCs w:val="20"/>
          <w:lang w:val="es-ES"/>
        </w:rPr>
        <w:t xml:space="preserve">el 2 de junio de 1998 </w:t>
      </w:r>
      <w:r w:rsidR="006F2448" w:rsidRPr="00224AD3">
        <w:rPr>
          <w:rFonts w:ascii="Cambria" w:hAnsi="Cambria"/>
          <w:sz w:val="20"/>
          <w:szCs w:val="20"/>
          <w:lang w:val="es-ES"/>
        </w:rPr>
        <w:t xml:space="preserve">una demanda de reparación directa ante la jurisdicción contencioso-administrativa buscando que se declarara responsable a la Nación por lo ocurrido y se les repararan los perjuicios sufridos. En primera instancia se accedió a sus pretensiones, en sentencia del </w:t>
      </w:r>
      <w:r w:rsidR="007F7CEB" w:rsidRPr="00224AD3">
        <w:rPr>
          <w:rFonts w:ascii="Cambria" w:hAnsi="Cambria"/>
          <w:sz w:val="20"/>
          <w:szCs w:val="20"/>
          <w:lang w:val="es-ES"/>
        </w:rPr>
        <w:t>28 de diciembre de 2000 del Tribunal Contencioso Administrativo del Valle del Cauca – Sala de Descongestión – Sede Cali</w:t>
      </w:r>
      <w:r w:rsidR="006F2448" w:rsidRPr="00224AD3">
        <w:rPr>
          <w:rFonts w:ascii="Cambria" w:hAnsi="Cambria"/>
          <w:sz w:val="20"/>
          <w:szCs w:val="20"/>
          <w:lang w:val="es-ES"/>
        </w:rPr>
        <w:t>, en la cual se acogió la tesis jurisprudencial de</w:t>
      </w:r>
      <w:r w:rsidR="007F7CEB" w:rsidRPr="00224AD3">
        <w:rPr>
          <w:rFonts w:ascii="Cambria" w:hAnsi="Cambria"/>
          <w:sz w:val="20"/>
          <w:szCs w:val="20"/>
          <w:lang w:val="es-ES"/>
        </w:rPr>
        <w:t xml:space="preserve"> </w:t>
      </w:r>
      <w:r w:rsidR="006F2448" w:rsidRPr="00224AD3">
        <w:rPr>
          <w:rFonts w:ascii="Cambria" w:hAnsi="Cambria"/>
          <w:sz w:val="20"/>
          <w:szCs w:val="20"/>
          <w:lang w:val="es-ES"/>
        </w:rPr>
        <w:t>l</w:t>
      </w:r>
      <w:r w:rsidR="007F7CEB" w:rsidRPr="00224AD3">
        <w:rPr>
          <w:rFonts w:ascii="Cambria" w:hAnsi="Cambria"/>
          <w:sz w:val="20"/>
          <w:szCs w:val="20"/>
          <w:lang w:val="es-ES"/>
        </w:rPr>
        <w:t>a responsabilidad estatal por</w:t>
      </w:r>
      <w:r w:rsidR="006F2448" w:rsidRPr="00224AD3">
        <w:rPr>
          <w:rFonts w:ascii="Cambria" w:hAnsi="Cambria"/>
          <w:sz w:val="20"/>
          <w:szCs w:val="20"/>
          <w:lang w:val="es-ES"/>
        </w:rPr>
        <w:t xml:space="preserve"> “</w:t>
      </w:r>
      <w:r w:rsidR="007F7CEB" w:rsidRPr="00224AD3">
        <w:rPr>
          <w:rFonts w:ascii="Cambria" w:hAnsi="Cambria"/>
          <w:sz w:val="20"/>
          <w:szCs w:val="20"/>
          <w:lang w:val="es-ES"/>
        </w:rPr>
        <w:t>riesgo excepcional”</w:t>
      </w:r>
      <w:r w:rsidR="006F2448" w:rsidRPr="00224AD3">
        <w:rPr>
          <w:rFonts w:ascii="Cambria" w:hAnsi="Cambria"/>
          <w:sz w:val="20"/>
          <w:szCs w:val="20"/>
          <w:lang w:val="es-ES"/>
        </w:rPr>
        <w:t>. Apelada esta sentencia por ambas partes, el Consejo de Estado en fallo del</w:t>
      </w:r>
      <w:r w:rsidR="007F7CEB" w:rsidRPr="00224AD3">
        <w:rPr>
          <w:rFonts w:ascii="Cambria" w:hAnsi="Cambria"/>
          <w:sz w:val="20"/>
          <w:szCs w:val="20"/>
          <w:lang w:val="es-ES"/>
        </w:rPr>
        <w:t xml:space="preserve"> 11 de agosto de 2011 </w:t>
      </w:r>
      <w:r w:rsidR="003A0B28" w:rsidRPr="00224AD3">
        <w:rPr>
          <w:rFonts w:ascii="Cambria" w:hAnsi="Cambria"/>
          <w:sz w:val="20"/>
          <w:szCs w:val="20"/>
          <w:lang w:val="es-ES"/>
        </w:rPr>
        <w:t xml:space="preserve">-que quedó en firme tras su notificación el 8 de septiembre de 2011- </w:t>
      </w:r>
      <w:r w:rsidR="006F2448" w:rsidRPr="00224AD3">
        <w:rPr>
          <w:rFonts w:ascii="Cambria" w:hAnsi="Cambria"/>
          <w:sz w:val="20"/>
          <w:szCs w:val="20"/>
          <w:lang w:val="es-ES"/>
        </w:rPr>
        <w:t>decidió revocarla, acogiéndose a la tesis jurisprudencial de la “falla en el servicio”</w:t>
      </w:r>
      <w:r w:rsidR="00AF4E69" w:rsidRPr="00224AD3">
        <w:rPr>
          <w:rFonts w:ascii="Cambria" w:hAnsi="Cambria"/>
          <w:sz w:val="20"/>
          <w:szCs w:val="20"/>
          <w:lang w:val="es-ES"/>
        </w:rPr>
        <w:t>.</w:t>
      </w:r>
      <w:r w:rsidR="006F2448" w:rsidRPr="00224AD3">
        <w:rPr>
          <w:rFonts w:ascii="Cambria" w:hAnsi="Cambria"/>
          <w:sz w:val="20"/>
          <w:szCs w:val="20"/>
          <w:lang w:val="es-ES"/>
        </w:rPr>
        <w:t xml:space="preserve"> </w:t>
      </w:r>
      <w:r w:rsidR="00AF4E69" w:rsidRPr="00224AD3">
        <w:rPr>
          <w:rFonts w:ascii="Cambria" w:hAnsi="Cambria"/>
          <w:sz w:val="20"/>
          <w:szCs w:val="20"/>
          <w:lang w:val="es-ES"/>
        </w:rPr>
        <w:t>A</w:t>
      </w:r>
      <w:r w:rsidR="006F2448" w:rsidRPr="00224AD3">
        <w:rPr>
          <w:rFonts w:ascii="Cambria" w:hAnsi="Cambria"/>
          <w:sz w:val="20"/>
          <w:szCs w:val="20"/>
          <w:lang w:val="es-ES"/>
        </w:rPr>
        <w:t xml:space="preserve"> la luz de esta postura, el máximo tribunal contencioso-administrativo consideró que el Estado no había sido responsable por falla alguna en el servicio</w:t>
      </w:r>
      <w:r w:rsidR="007F7CEB" w:rsidRPr="00224AD3">
        <w:rPr>
          <w:rFonts w:ascii="Cambria" w:hAnsi="Cambria"/>
          <w:sz w:val="20"/>
          <w:szCs w:val="20"/>
          <w:lang w:val="es-ES"/>
        </w:rPr>
        <w:t xml:space="preserve"> de seguridad o protección a la ciudadanía, y denegó las pretensiones de los demandantes</w:t>
      </w:r>
      <w:r w:rsidR="006F2448" w:rsidRPr="00224AD3">
        <w:rPr>
          <w:rFonts w:ascii="Cambria" w:hAnsi="Cambria"/>
          <w:sz w:val="20"/>
          <w:szCs w:val="20"/>
          <w:lang w:val="es-ES"/>
        </w:rPr>
        <w:t>. Los peticionarios alegan que esta variación en la tesis jurisprudencial aplicada configuró un trato discriminatorio en su contra, en los siguientes términos:</w:t>
      </w:r>
      <w:r w:rsidR="00DF59D5" w:rsidRPr="00224AD3">
        <w:rPr>
          <w:rFonts w:ascii="Cambria" w:hAnsi="Cambria"/>
          <w:sz w:val="20"/>
          <w:szCs w:val="20"/>
          <w:lang w:val="es-ES"/>
        </w:rPr>
        <w:t xml:space="preserve"> </w:t>
      </w:r>
    </w:p>
    <w:p w14:paraId="17806B83" w14:textId="29E72E9B" w:rsidR="00DF59D5" w:rsidRPr="00D019D9" w:rsidRDefault="00DF59D5" w:rsidP="00534A3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19"/>
          <w:lang w:val="es-ES"/>
        </w:rPr>
      </w:pPr>
      <w:r w:rsidRPr="00681AE7">
        <w:rPr>
          <w:rFonts w:ascii="Cambria" w:hAnsi="Cambria"/>
          <w:sz w:val="19"/>
          <w:szCs w:val="19"/>
          <w:lang w:val="es-ES"/>
        </w:rPr>
        <w:t xml:space="preserve">Esta inhibición en la protección judicial, se demuestra al no permitir, que por vía judicial se ampare los derechos a la justicia y reparación, más aún cuando al activar la jurisdicción en busca de esa reparación, la protección judicial no abarca esta situación (actos terroristas – terceros) por cambio o variación en el precedente jurisprudencial. (…) a la luz del derecho internacional de los derechos humanos, resultan lesivos para </w:t>
      </w:r>
      <w:r w:rsidRPr="00D019D9">
        <w:rPr>
          <w:rFonts w:ascii="Cambria" w:hAnsi="Cambria"/>
          <w:sz w:val="20"/>
          <w:szCs w:val="19"/>
          <w:lang w:val="es-ES"/>
        </w:rPr>
        <w:t xml:space="preserve">los </w:t>
      </w:r>
      <w:r w:rsidRPr="00681AE7">
        <w:rPr>
          <w:rFonts w:ascii="Cambria" w:hAnsi="Cambria"/>
          <w:sz w:val="19"/>
          <w:szCs w:val="19"/>
          <w:lang w:val="es-ES"/>
        </w:rPr>
        <w:t xml:space="preserve">intereses legítimos de las personas, los cambios en la jurisprudencia interna, que desatiendan la realización del principio de igualdad ante la ley. (…) Desde el año 1995, y más concretamente a través de la sentencia C-836 de 2001, la Corte [Constitucional] </w:t>
      </w:r>
      <w:proofErr w:type="gramStart"/>
      <w:r w:rsidRPr="00681AE7">
        <w:rPr>
          <w:rFonts w:ascii="Cambria" w:hAnsi="Cambria"/>
          <w:sz w:val="19"/>
          <w:szCs w:val="19"/>
          <w:lang w:val="es-ES"/>
        </w:rPr>
        <w:t>le</w:t>
      </w:r>
      <w:proofErr w:type="gramEnd"/>
      <w:r w:rsidRPr="00681AE7">
        <w:rPr>
          <w:rFonts w:ascii="Cambria" w:hAnsi="Cambria"/>
          <w:sz w:val="19"/>
          <w:szCs w:val="19"/>
          <w:lang w:val="es-ES"/>
        </w:rPr>
        <w:t xml:space="preserve"> ha impuesto a los jueces dos cargas cuando éstos quieren apartarse del precedente, una de transparencia y otra argumentativa, de transparencia consistente en establecer que respecto de una situación definida existe un precedente judicial imperante. Y la carga </w:t>
      </w:r>
      <w:r w:rsidRPr="00D019D9">
        <w:rPr>
          <w:rFonts w:ascii="Cambria" w:hAnsi="Cambria"/>
          <w:sz w:val="20"/>
          <w:szCs w:val="19"/>
          <w:lang w:val="es-ES"/>
        </w:rPr>
        <w:lastRenderedPageBreak/>
        <w:t xml:space="preserve">argumentativa, hace un llamado a las Cortes, a esbozar las consideraciones y situaciones que obligan a reescribir, apartarse y desatender el precedente. (…) a través del respeto del precedente, se materializa el principio de igualdad como derecho fundamental consagrado en la Constitución colombiana (artículo 13) y en la Convención Americana de Derechos Humanos (artículo 24). (…) Así las cosas, podemos establecer, un vaso comunicante entre el desconocimiento del precedente judicial y la violación a las garantías judiciales -que propenden por la búsqueda de la justicia y reparación- y la violación al principio de igualdad entendido como la igualdad de trato por parte de las autoridades públicas -rama judicial del poder público-. </w:t>
      </w:r>
    </w:p>
    <w:p w14:paraId="24F3C91A" w14:textId="0C63C134" w:rsidR="00DF59D5" w:rsidRPr="00D019D9" w:rsidRDefault="00DF59D5" w:rsidP="0030476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19"/>
          <w:lang w:val="es-ES"/>
        </w:rPr>
      </w:pPr>
      <w:r w:rsidRPr="00D019D9">
        <w:rPr>
          <w:rFonts w:ascii="Cambria" w:hAnsi="Cambria"/>
          <w:sz w:val="20"/>
          <w:szCs w:val="19"/>
          <w:lang w:val="es-ES"/>
        </w:rPr>
        <w:t xml:space="preserve">(…) El fallo del 11 de agosto de 2011, proferido por el H. Consejo de Estado, declaró que el Estado colombiano no es responsable, por los hechos ocurridos el 10 de marzo de 1998, habida consideración de que no se logró demostrar la falla en el servicio -régimen de responsabilidad subjetiva-, en la vigilancia que debía ejercer la fuerza pública, ni mucho menos está llamado a responder por encontrarse el Estado colombiano inmerso en una causal de ausencia de responsabilidad como lo es el hecho determinante de un tercero, el cual fue en última instancia, quien </w:t>
      </w:r>
      <w:proofErr w:type="spellStart"/>
      <w:r w:rsidRPr="00D019D9">
        <w:rPr>
          <w:rFonts w:ascii="Cambria" w:hAnsi="Cambria"/>
          <w:sz w:val="20"/>
          <w:szCs w:val="19"/>
          <w:lang w:val="es-ES"/>
        </w:rPr>
        <w:t>causó</w:t>
      </w:r>
      <w:proofErr w:type="spellEnd"/>
      <w:r w:rsidRPr="00D019D9">
        <w:rPr>
          <w:rFonts w:ascii="Cambria" w:hAnsi="Cambria"/>
          <w:sz w:val="20"/>
          <w:szCs w:val="19"/>
          <w:lang w:val="es-ES"/>
        </w:rPr>
        <w:t xml:space="preserve"> directamente el daño y los perjuicios a los jóvenes del barrio Meléndez de la ciudad de Cali (…).</w:t>
      </w:r>
    </w:p>
    <w:p w14:paraId="69F79A77" w14:textId="202D0D2F" w:rsidR="00DF59D5" w:rsidRPr="00D019D9" w:rsidRDefault="00DF59D5" w:rsidP="0030476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19"/>
          <w:lang w:val="es-ES"/>
        </w:rPr>
      </w:pPr>
      <w:r w:rsidRPr="00D019D9">
        <w:rPr>
          <w:rFonts w:ascii="Cambria" w:hAnsi="Cambria"/>
          <w:sz w:val="20"/>
          <w:szCs w:val="19"/>
          <w:lang w:val="es-ES"/>
        </w:rPr>
        <w:t>Empero, la línea jurisprudencial respecto de la responsabilidad del Estado colombiano, por hechos de terceros -actos terroristas- es discordante con el planteamiento anterior, en los siguientes términos. El Consejo de Estado colombiano ha venido sosteniendo la tesis, que el Estado es responsable administrativamente, en el caso de actos terroristas, cuando terceros emprenden ataques en contra de elementos representativos del Estado (edificaciones, estaciones de policía, funcionarios estatales y otros), en éstos casos sostiene el Consejo de Estado que se coloca al ciudadano en una situación de riesgo excepcional, el cual coadyuva en el rompimiento en el equilibrio de las cargas públicas, que debemos soportar todos en condiciones de igualdad</w:t>
      </w:r>
      <w:r w:rsidR="00F336A9" w:rsidRPr="00D019D9">
        <w:rPr>
          <w:rFonts w:ascii="Cambria" w:hAnsi="Cambria"/>
          <w:sz w:val="20"/>
          <w:szCs w:val="19"/>
          <w:lang w:val="es-ES"/>
        </w:rPr>
        <w:t xml:space="preserve"> (…). [El peticionario enuncia nueve sentencias proferidas por el Consejo de Estado en esta línea, entre 1994 y 2008]</w:t>
      </w:r>
    </w:p>
    <w:p w14:paraId="4AF4BC43" w14:textId="0F2AD9EA" w:rsidR="00DF59D5" w:rsidRPr="00D019D9" w:rsidRDefault="00F336A9" w:rsidP="0030476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20"/>
          <w:szCs w:val="19"/>
          <w:lang w:val="es-ES"/>
        </w:rPr>
      </w:pPr>
      <w:r w:rsidRPr="00D019D9">
        <w:rPr>
          <w:rFonts w:ascii="Cambria" w:hAnsi="Cambria"/>
          <w:sz w:val="20"/>
          <w:szCs w:val="19"/>
          <w:lang w:val="es-ES"/>
        </w:rPr>
        <w:t xml:space="preserve">Se afirma con lo anterior, que la ejecución material de los derechos a la protección judicial en consonancia con la igualdad ante la ley, contenidos en la Convención, se encuentran violados, (i) al no permitir a través del accionar judicial una respuesta a los daños causados (ii) al no encontrarse medidas restaurativas al estado de integridad personal conculcado a los menores víctimas del atentado (iii) el derecho a la igualdad ante la ley se ve truncado, por el trato diferenciado que aplican las autoridades públicas (Rama Judicial – Consejo de Estado) en desatención al mandato de equidad e igualdad, protegido por la Convención, por el claro desconocimiento del precedente judicial, en materia de actos terroristas. </w:t>
      </w:r>
    </w:p>
    <w:p w14:paraId="10A70BB5" w14:textId="77777777" w:rsidR="00F336A9" w:rsidRPr="00224AD3" w:rsidRDefault="00F336A9" w:rsidP="00F336A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EA96980" w14:textId="03FFFB8C" w:rsidR="00F336A9" w:rsidRPr="00224AD3" w:rsidRDefault="00F366B6" w:rsidP="003047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 xml:space="preserve">6. </w:t>
      </w:r>
      <w:r w:rsidR="0030476A" w:rsidRPr="00224AD3">
        <w:rPr>
          <w:rFonts w:ascii="Cambria" w:hAnsi="Cambria"/>
          <w:sz w:val="20"/>
          <w:szCs w:val="20"/>
          <w:lang w:val="es-ES"/>
        </w:rPr>
        <w:tab/>
      </w:r>
      <w:r w:rsidR="00F336A9" w:rsidRPr="00224AD3">
        <w:rPr>
          <w:rFonts w:ascii="Cambria" w:hAnsi="Cambria"/>
          <w:sz w:val="20"/>
          <w:szCs w:val="20"/>
          <w:lang w:val="es-ES"/>
        </w:rPr>
        <w:t>En esta misma línea de argumentación, el peticionario precisa que no está recurriendo a la CIDH en tanto una nueva instancia judicial de revisión, sino que pretende que se determinen los límites planteados por la Convención a la labor judicial, que en este caso habrían sido rebasados.</w:t>
      </w:r>
    </w:p>
    <w:p w14:paraId="2506E527" w14:textId="5396EDCC" w:rsidR="006F2448" w:rsidRPr="00224AD3" w:rsidRDefault="00F366B6" w:rsidP="00BE68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 xml:space="preserve">7. </w:t>
      </w:r>
      <w:r w:rsidR="00BE68B2" w:rsidRPr="00224AD3">
        <w:rPr>
          <w:rFonts w:ascii="Cambria" w:hAnsi="Cambria"/>
          <w:sz w:val="20"/>
          <w:szCs w:val="20"/>
          <w:lang w:val="es-ES"/>
        </w:rPr>
        <w:tab/>
      </w:r>
      <w:r w:rsidR="006F2448" w:rsidRPr="00224AD3">
        <w:rPr>
          <w:rFonts w:ascii="Cambria" w:hAnsi="Cambria"/>
          <w:sz w:val="20"/>
          <w:szCs w:val="20"/>
          <w:lang w:val="es-ES"/>
        </w:rPr>
        <w:t xml:space="preserve">En su contestación el Estado pide que la petición sea declarada inadmisible, por cuanto en su opinión el peticionario recurre a la CIDH como un tribunal de alzada internacional o “cuarta instancia”, y porque considera que la petición es manifiestamente infundada. </w:t>
      </w:r>
    </w:p>
    <w:p w14:paraId="1021AD62" w14:textId="4F76EDCF" w:rsidR="00CE6ABC" w:rsidRPr="00224AD3" w:rsidRDefault="00F366B6" w:rsidP="00BE68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 xml:space="preserve">8. </w:t>
      </w:r>
      <w:r w:rsidR="00BE68B2" w:rsidRPr="00224AD3">
        <w:rPr>
          <w:rFonts w:ascii="Cambria" w:hAnsi="Cambria"/>
          <w:sz w:val="20"/>
          <w:szCs w:val="20"/>
          <w:lang w:val="es-ES"/>
        </w:rPr>
        <w:tab/>
      </w:r>
      <w:r w:rsidR="00B7723C" w:rsidRPr="00224AD3">
        <w:rPr>
          <w:rFonts w:ascii="Cambria" w:hAnsi="Cambria"/>
          <w:sz w:val="20"/>
          <w:szCs w:val="20"/>
          <w:lang w:val="es-ES"/>
        </w:rPr>
        <w:t xml:space="preserve">Con respecto a la decisión de la Fiscalía de no iniciar instrucción penal, el Estado afirma que ella se adoptó con pleno apego a la ley procesal penal vigente en Colombia y respeto por las garantías convencionales, y que se fundamentó en la imposibilidad de individualizar a los perpetradores del ataque terrorista tras un período de casi 4 años. </w:t>
      </w:r>
      <w:r w:rsidR="00CE6ABC" w:rsidRPr="00224AD3">
        <w:rPr>
          <w:rFonts w:ascii="Cambria" w:hAnsi="Cambria"/>
          <w:sz w:val="20"/>
          <w:szCs w:val="20"/>
          <w:lang w:val="es-ES"/>
        </w:rPr>
        <w:t>Por lo tanto</w:t>
      </w:r>
      <w:r w:rsidR="00BE68B2" w:rsidRPr="00224AD3">
        <w:rPr>
          <w:rFonts w:ascii="Cambria" w:hAnsi="Cambria"/>
          <w:sz w:val="20"/>
          <w:szCs w:val="20"/>
          <w:lang w:val="es-ES"/>
        </w:rPr>
        <w:t>,</w:t>
      </w:r>
      <w:r w:rsidR="00CE6ABC" w:rsidRPr="00224AD3">
        <w:rPr>
          <w:rFonts w:ascii="Cambria" w:hAnsi="Cambria"/>
          <w:sz w:val="20"/>
          <w:szCs w:val="20"/>
          <w:lang w:val="es-ES"/>
        </w:rPr>
        <w:t xml:space="preserve"> considera que los reclamos del peticionario equivalen a recurrir a la CIDH como un tribunal de apelación interamericano. También presenta distintos argumentos sustantivos por los cuales considera que no se violaron los artículos 8 y 25 de la Convención con la decisión de abstenerse de iniciar investigación.</w:t>
      </w:r>
      <w:r w:rsidR="00C914F1">
        <w:rPr>
          <w:rFonts w:ascii="Cambria" w:hAnsi="Cambria"/>
          <w:sz w:val="20"/>
          <w:szCs w:val="20"/>
          <w:lang w:val="es-ES"/>
        </w:rPr>
        <w:t xml:space="preserve"> En sus observaciones adicionales, el Estado alega en este sentido que </w:t>
      </w:r>
      <w:r w:rsidR="00C914F1" w:rsidRPr="00C914F1">
        <w:rPr>
          <w:rFonts w:ascii="Cambria" w:hAnsi="Cambria"/>
          <w:i/>
          <w:iCs/>
          <w:sz w:val="20"/>
          <w:szCs w:val="20"/>
          <w:lang w:val="es-ES"/>
        </w:rPr>
        <w:t xml:space="preserve">“el deber de investigar comporta una obligación de medio y no de resultado. Esta no se incumple por el solo hecho de que no se produzca el resultado esperado por los peticionarios. Por el contrario, a criterio de la Corte IDH, el hecho de que el órgano a cargo de la investigación decida no continuar con ella y archivarla no es, per se, contrario a la Convención, si después de realizar diligencias mínimas de indagación no existe información suficiente en relación </w:t>
      </w:r>
      <w:r w:rsidR="00C914F1" w:rsidRPr="00C914F1">
        <w:rPr>
          <w:rFonts w:ascii="Cambria" w:hAnsi="Cambria"/>
          <w:i/>
          <w:iCs/>
          <w:sz w:val="20"/>
          <w:szCs w:val="20"/>
          <w:lang w:val="es-ES"/>
        </w:rPr>
        <w:lastRenderedPageBreak/>
        <w:t>con los elementos que configuran el delito o que permiten imputarlo a ciertos individuos”.</w:t>
      </w:r>
      <w:r w:rsidR="00C914F1">
        <w:rPr>
          <w:rFonts w:ascii="Cambria" w:hAnsi="Cambria"/>
          <w:sz w:val="20"/>
          <w:szCs w:val="20"/>
          <w:lang w:val="es-ES"/>
        </w:rPr>
        <w:t xml:space="preserve"> Por lo tanto, insiste en que los peticionarios pretenden que la CIDH revise decisiones definitivas adoptadas a nivel doméstico para resolver la investigación penal.</w:t>
      </w:r>
    </w:p>
    <w:p w14:paraId="689858C4" w14:textId="6E69ADE0" w:rsidR="00B7723C" w:rsidRPr="00224AD3" w:rsidRDefault="00F366B6" w:rsidP="00BE68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 xml:space="preserve">9. </w:t>
      </w:r>
      <w:r w:rsidR="00BE68B2" w:rsidRPr="00224AD3">
        <w:rPr>
          <w:rFonts w:ascii="Cambria" w:hAnsi="Cambria"/>
          <w:sz w:val="20"/>
          <w:szCs w:val="20"/>
          <w:lang w:val="es-ES"/>
        </w:rPr>
        <w:tab/>
      </w:r>
      <w:r w:rsidRPr="00224AD3">
        <w:rPr>
          <w:rFonts w:ascii="Cambria" w:hAnsi="Cambria"/>
          <w:sz w:val="20"/>
          <w:szCs w:val="20"/>
          <w:lang w:val="es-ES"/>
        </w:rPr>
        <w:t xml:space="preserve">En relación con </w:t>
      </w:r>
      <w:r w:rsidR="00B7723C" w:rsidRPr="00224AD3">
        <w:rPr>
          <w:rFonts w:ascii="Cambria" w:hAnsi="Cambria"/>
          <w:sz w:val="20"/>
          <w:szCs w:val="20"/>
          <w:lang w:val="es-ES"/>
        </w:rPr>
        <w:t xml:space="preserve">la decisión del Consejo de Estado que culminó el proceso de reparación directa, alega el Estado que </w:t>
      </w:r>
      <w:r w:rsidR="00B7723C" w:rsidRPr="00224AD3">
        <w:rPr>
          <w:rFonts w:ascii="Cambria" w:hAnsi="Cambria"/>
          <w:i/>
          <w:iCs/>
          <w:sz w:val="20"/>
          <w:szCs w:val="20"/>
          <w:lang w:val="es-ES"/>
        </w:rPr>
        <w:t>“los peticionarios pretenden controvertir la interpretación del derecho local, realizada conforme con las garantías convencionales por las autoridades judiciales colombianas”</w:t>
      </w:r>
      <w:r w:rsidR="00CA09E0" w:rsidRPr="00224AD3">
        <w:rPr>
          <w:rFonts w:ascii="Cambria" w:hAnsi="Cambria"/>
          <w:sz w:val="20"/>
          <w:szCs w:val="20"/>
          <w:lang w:val="es-ES"/>
        </w:rPr>
        <w:t>, en la medida en que el Consejo de Estado dictaminó que no se había incurrido en una falla en el servicio que comprometiera la responsabilidad administrativa de la Nación en este caso,</w:t>
      </w:r>
      <w:r w:rsidR="00CE6ABC" w:rsidRPr="00224AD3">
        <w:rPr>
          <w:rFonts w:ascii="Cambria" w:hAnsi="Cambria"/>
          <w:sz w:val="20"/>
          <w:szCs w:val="20"/>
          <w:lang w:val="es-ES"/>
        </w:rPr>
        <w:t xml:space="preserve"> adoptando una tesis jurisprudencial determinada y sustentando su opción </w:t>
      </w:r>
      <w:r w:rsidR="00CA09E0" w:rsidRPr="00224AD3">
        <w:rPr>
          <w:rFonts w:ascii="Cambria" w:hAnsi="Cambria"/>
          <w:sz w:val="20"/>
          <w:szCs w:val="20"/>
          <w:lang w:val="es-ES"/>
        </w:rPr>
        <w:t xml:space="preserve">con extensos argumentos en </w:t>
      </w:r>
      <w:r w:rsidR="00CE6ABC" w:rsidRPr="00224AD3">
        <w:rPr>
          <w:rFonts w:ascii="Cambria" w:hAnsi="Cambria"/>
          <w:sz w:val="20"/>
          <w:szCs w:val="20"/>
          <w:lang w:val="es-ES"/>
        </w:rPr>
        <w:t xml:space="preserve">soporte </w:t>
      </w:r>
      <w:r w:rsidR="00CA09E0" w:rsidRPr="00224AD3">
        <w:rPr>
          <w:rFonts w:ascii="Cambria" w:hAnsi="Cambria"/>
          <w:sz w:val="20"/>
          <w:szCs w:val="20"/>
          <w:lang w:val="es-ES"/>
        </w:rPr>
        <w:t>de su postura que se plasmaron en la sentencia denegatoria controvertida por los peticionarios. Igual argumento plantea Colombia en relación con el reclamo del peticionario por violación del derecho a la igualdad en virtud del cambio del precedente y trato judicial diferente: el Estado procede a este respecto a exponer en alto nivel de detalle las distintas variaciones que ha experimentado la jurisprudencia del Consejo de Estado en materia de responsabilidad administrativa por daños sufridos por los ciudadanos en casos de atentados o ataques contra instituciones o personas representativas del Estado, señalando que ha transitado por tres fases principales, y que al momento en que se profirió el fallo del Consejo de Estado en este caso no había una postura clara en la materia, por lo cual no podría hablarse de un precedente sólidamente establecido. En sus palabras:</w:t>
      </w:r>
    </w:p>
    <w:p w14:paraId="43600632" w14:textId="53D2814E" w:rsidR="00CA09E0" w:rsidRPr="00D019D9" w:rsidRDefault="00CA09E0" w:rsidP="00BE68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19"/>
          <w:lang w:val="es-ES"/>
        </w:rPr>
      </w:pPr>
      <w:r w:rsidRPr="00D019D9">
        <w:rPr>
          <w:rFonts w:ascii="Cambria" w:hAnsi="Cambria"/>
          <w:sz w:val="20"/>
          <w:szCs w:val="19"/>
          <w:lang w:val="es-ES"/>
        </w:rPr>
        <w:t xml:space="preserve">No existía, para el momento en que el Consejo de Estado expidió la sentencia que resolvió definitivamente la ausencia de responsabilidad del Estado por los hechos objeto de la Petición, un precedente pacífico y decantado de dicha Corporación en relación con la aplicación de la figura del riesgo excepcional, como afirman los peticionarios. Por el contrario, la sentencia inmediatamente anterior expedida por el tribunal en cita sobre la materia establecía que el título de imputación aplicable a los casos de daños causados a particulares como consecuencia de actos terroristas perpetrados por terceros, era el de la falla del servicio. Según como se estableció previamente, fue dicha tesis la que se aplicó para negar las pretensiones de la demanda instaurada por los peticionarios. || En consecuencia, </w:t>
      </w:r>
      <w:r w:rsidR="005C1EB4" w:rsidRPr="00D019D9">
        <w:rPr>
          <w:rFonts w:ascii="Cambria" w:hAnsi="Cambria"/>
          <w:sz w:val="20"/>
          <w:szCs w:val="19"/>
          <w:lang w:val="es-ES"/>
        </w:rPr>
        <w:t>el Consejo de Estado no desconoció un preceden</w:t>
      </w:r>
      <w:bookmarkStart w:id="1" w:name="_GoBack"/>
      <w:bookmarkEnd w:id="1"/>
      <w:r w:rsidR="005C1EB4" w:rsidRPr="00D019D9">
        <w:rPr>
          <w:rFonts w:ascii="Cambria" w:hAnsi="Cambria"/>
          <w:sz w:val="20"/>
          <w:szCs w:val="19"/>
          <w:lang w:val="es-ES"/>
        </w:rPr>
        <w:t>te decantado de aplicación de la figura del riesgo excepcional, sino que, por el contrario, lo que hizo fue reiterar lo expuesto en su sentencia inmediatamente anterior sobre el punto de derecho en cuestión. || El propio Consejo de Estado ha establecido que es labor del juez definir, en cada caso concreto, el título de imputación aplicable de acuerdo con las circunstancias del mismo. Esto en razón a que no existe un mandato que imponga al operador judicial la obligación de utilizar frente a determinados supuestos un determinado título de imputación. || La sentencia por la cual el Consejo de Estado resolvió, de manera definitiva, las pretensiones de los demandantes en relación con los hechos objeto de la Petición, es una sentencia debidamente motivada y plenamente respetuosa de las garantías inherentes al debido proceso de los peticionarios.</w:t>
      </w:r>
    </w:p>
    <w:p w14:paraId="5E40BD1C" w14:textId="33BACD3B" w:rsidR="00CE6ABC" w:rsidRPr="00224AD3" w:rsidRDefault="00F366B6" w:rsidP="00BE68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t xml:space="preserve">10. </w:t>
      </w:r>
      <w:r w:rsidR="00BE68B2" w:rsidRPr="00224AD3">
        <w:rPr>
          <w:rFonts w:ascii="Cambria" w:hAnsi="Cambria"/>
          <w:sz w:val="20"/>
          <w:szCs w:val="20"/>
          <w:lang w:val="es-ES"/>
        </w:rPr>
        <w:tab/>
      </w:r>
      <w:r w:rsidR="00CE6ABC" w:rsidRPr="00224AD3">
        <w:rPr>
          <w:rFonts w:ascii="Cambria" w:hAnsi="Cambria"/>
          <w:sz w:val="20"/>
          <w:szCs w:val="20"/>
          <w:lang w:val="es-ES"/>
        </w:rPr>
        <w:t xml:space="preserve">Efectuada tal explicación, el Estado reitera que la providencia judicial del Consejo de Estado se adoptó en el marco de sus competencias y con pleno respeto por las garantías de la Convención Americana; para Colombia, </w:t>
      </w:r>
      <w:r w:rsidR="00CE6ABC" w:rsidRPr="00224AD3">
        <w:rPr>
          <w:rFonts w:ascii="Cambria" w:hAnsi="Cambria"/>
          <w:i/>
          <w:iCs/>
          <w:sz w:val="20"/>
          <w:szCs w:val="20"/>
          <w:lang w:val="es-ES"/>
        </w:rPr>
        <w:t>“el análisis que los peticionarios piden a la CIDH realizar en el presente caso implicaría determinar que el Consejo de Estado erró en su interpretación del ordenamiento jurídico colombiano, al decidir de manera razonada y debidamente motivada que la figura del riesgo excepcional no era aplicable al caso sometido a su conocimiento”</w:t>
      </w:r>
      <w:r w:rsidR="00CE6ABC" w:rsidRPr="00224AD3">
        <w:rPr>
          <w:rFonts w:ascii="Cambria" w:hAnsi="Cambria"/>
          <w:sz w:val="20"/>
          <w:szCs w:val="20"/>
          <w:lang w:val="es-ES"/>
        </w:rPr>
        <w:t xml:space="preserve">. También aclara que el supuesto cambio en el precedente en este caso constituye un alegato </w:t>
      </w:r>
      <w:r w:rsidR="00CE6ABC" w:rsidRPr="00224AD3">
        <w:rPr>
          <w:rFonts w:ascii="Cambria" w:hAnsi="Cambria"/>
          <w:i/>
          <w:iCs/>
          <w:sz w:val="20"/>
          <w:szCs w:val="20"/>
          <w:lang w:val="es-ES"/>
        </w:rPr>
        <w:t>“desacertado (…) que no guarda relación alguna con el debido proceso, por cuanto se refiere a la interpretación del derecho interno por parte de la jurisdicción colombiana”</w:t>
      </w:r>
      <w:r w:rsidR="00CE6ABC" w:rsidRPr="00224AD3">
        <w:rPr>
          <w:rFonts w:ascii="Cambria" w:hAnsi="Cambria"/>
          <w:sz w:val="20"/>
          <w:szCs w:val="20"/>
          <w:lang w:val="es-ES"/>
        </w:rPr>
        <w:t xml:space="preserve">. </w:t>
      </w:r>
      <w:r w:rsidR="00C914F1">
        <w:rPr>
          <w:rFonts w:ascii="Cambria" w:hAnsi="Cambria"/>
          <w:sz w:val="20"/>
          <w:szCs w:val="20"/>
          <w:lang w:val="es-ES"/>
        </w:rPr>
        <w:t xml:space="preserve">En sus observaciones adicionales, Colombia argumenta que un resultado desfavorable en la resolución de los recursos domésticos no puede equipararse a una denegación de justicia, como pretenden los peticionarios; e insistiendo en que corresponde al juez nacional de conocimiento establecer el derecho aplicable y su aplicación al caso concreto, reitera que </w:t>
      </w:r>
      <w:r w:rsidR="00C914F1" w:rsidRPr="00C914F1">
        <w:rPr>
          <w:rFonts w:ascii="Cambria" w:hAnsi="Cambria"/>
          <w:i/>
          <w:iCs/>
          <w:sz w:val="20"/>
          <w:szCs w:val="20"/>
          <w:lang w:val="es-ES"/>
        </w:rPr>
        <w:t>“las eventuales peticiones sobre reparaciones elevadas por el peticionario deben ser declaradas inadmisibles pues este tipo de solicitudes ya fueron resueltas en el nivel interno mediante decisiones debidamente motivadas, de acuerdo con la ley y los medios de prueba examinados, por jueces de conocimiento competentes, independientes e imparciales, que actuaron en observancia de las garantías convencionales de las presuntas víctimas”.</w:t>
      </w:r>
    </w:p>
    <w:p w14:paraId="786F5E99" w14:textId="56A86A91" w:rsidR="00CA09E0" w:rsidRPr="00224AD3" w:rsidRDefault="00F366B6" w:rsidP="005B6E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Cambria" w:hAnsi="Cambria"/>
          <w:sz w:val="20"/>
          <w:szCs w:val="20"/>
          <w:lang w:val="es-ES"/>
        </w:rPr>
        <w:lastRenderedPageBreak/>
        <w:t xml:space="preserve">11. </w:t>
      </w:r>
      <w:r w:rsidR="005B6E50" w:rsidRPr="00224AD3">
        <w:rPr>
          <w:rFonts w:ascii="Cambria" w:hAnsi="Cambria"/>
          <w:sz w:val="20"/>
          <w:szCs w:val="20"/>
          <w:lang w:val="es-ES"/>
        </w:rPr>
        <w:tab/>
      </w:r>
      <w:r w:rsidRPr="00224AD3">
        <w:rPr>
          <w:rFonts w:ascii="Cambria" w:hAnsi="Cambria"/>
          <w:sz w:val="20"/>
          <w:szCs w:val="20"/>
          <w:lang w:val="es-ES"/>
        </w:rPr>
        <w:t xml:space="preserve">En cuanto a </w:t>
      </w:r>
      <w:r w:rsidR="00CA09E0" w:rsidRPr="00224AD3">
        <w:rPr>
          <w:rFonts w:ascii="Cambria" w:hAnsi="Cambria"/>
          <w:sz w:val="20"/>
          <w:szCs w:val="20"/>
          <w:lang w:val="es-ES"/>
        </w:rPr>
        <w:t xml:space="preserve">la falta de caracterización, el Estado argumenta que el ataque que dio lugar a las lesiones a los niños y jóvenes fue perpetrado por terceros particulares, </w:t>
      </w:r>
      <w:r w:rsidR="00CA09E0" w:rsidRPr="00224AD3">
        <w:rPr>
          <w:rFonts w:ascii="Cambria" w:hAnsi="Cambria"/>
          <w:i/>
          <w:iCs/>
          <w:sz w:val="20"/>
          <w:szCs w:val="20"/>
          <w:lang w:val="es-ES"/>
        </w:rPr>
        <w:t>“sin que se verifiquen elementos que prima facie permitan su atribución al Estado”</w:t>
      </w:r>
      <w:r w:rsidR="00CE6ABC" w:rsidRPr="00224AD3">
        <w:rPr>
          <w:rFonts w:ascii="Cambria" w:hAnsi="Cambria"/>
          <w:sz w:val="20"/>
          <w:szCs w:val="20"/>
          <w:lang w:val="es-ES"/>
        </w:rPr>
        <w:t>, puesto que no fue cometido por agentes del Estado ni por actores que operaran con su aquiescencia, como tampoco se desconoció el deber de prevención ya que no se demostró que hubiese existido un riesgo previsible en este caso</w:t>
      </w:r>
      <w:r w:rsidR="00CA09E0" w:rsidRPr="00224AD3">
        <w:rPr>
          <w:rFonts w:ascii="Cambria" w:hAnsi="Cambria"/>
          <w:sz w:val="20"/>
          <w:szCs w:val="20"/>
          <w:lang w:val="es-ES"/>
        </w:rPr>
        <w:t xml:space="preserve">. También sostiene que los alegatos sobre presuntas afectaciones a los familiares de esos niños y jóvenes carecen de un soporte probatorio mínimo, por lo cual la petición resulta a este respecto manifiestamente infundada en su opinión. </w:t>
      </w:r>
      <w:r w:rsidR="00C914F1">
        <w:rPr>
          <w:rFonts w:ascii="Cambria" w:hAnsi="Cambria"/>
          <w:sz w:val="20"/>
          <w:szCs w:val="20"/>
          <w:lang w:val="es-ES"/>
        </w:rPr>
        <w:t>En sus observaciones adicionales el Estado plantea que los peticionarios no han cumplido con la carga procesal de demostrar que estén dados los criterios interamericanos para concluir que hubo un incumplimiento del deber estatal de garantía.</w:t>
      </w:r>
    </w:p>
    <w:p w14:paraId="643745C8" w14:textId="77777777" w:rsidR="003239B8" w:rsidRPr="00224AD3" w:rsidRDefault="003239B8" w:rsidP="003239B8">
      <w:pPr>
        <w:spacing w:before="240" w:after="240"/>
        <w:ind w:firstLine="720"/>
        <w:jc w:val="both"/>
        <w:rPr>
          <w:rFonts w:ascii="Cambria" w:hAnsi="Cambria"/>
          <w:sz w:val="20"/>
          <w:szCs w:val="20"/>
          <w:lang w:val="es-ES"/>
        </w:rPr>
      </w:pPr>
      <w:r w:rsidRPr="00224AD3">
        <w:rPr>
          <w:rFonts w:asciiTheme="majorHAnsi" w:eastAsia="Cambria" w:hAnsiTheme="majorHAnsi" w:cs="Cambria"/>
          <w:b/>
          <w:bCs/>
          <w:color w:val="000000"/>
          <w:sz w:val="20"/>
          <w:szCs w:val="20"/>
          <w:u w:color="000000"/>
          <w:lang w:val="es-ES" w:eastAsia="es-ES"/>
        </w:rPr>
        <w:t>VI.</w:t>
      </w:r>
      <w:r w:rsidRPr="00224AD3">
        <w:rPr>
          <w:rFonts w:asciiTheme="majorHAnsi" w:eastAsia="Cambria" w:hAnsiTheme="majorHAnsi" w:cs="Cambria"/>
          <w:b/>
          <w:bCs/>
          <w:color w:val="000000"/>
          <w:sz w:val="20"/>
          <w:szCs w:val="20"/>
          <w:u w:color="000000"/>
          <w:lang w:val="es-ES" w:eastAsia="es-ES"/>
        </w:rPr>
        <w:tab/>
      </w:r>
      <w:r w:rsidR="004A6A54" w:rsidRPr="00224AD3">
        <w:rPr>
          <w:rFonts w:asciiTheme="majorHAnsi" w:hAnsiTheme="majorHAnsi"/>
          <w:b/>
          <w:bCs/>
          <w:sz w:val="20"/>
          <w:szCs w:val="20"/>
          <w:lang w:val="es-ES"/>
        </w:rPr>
        <w:t xml:space="preserve">ANÁLISIS DE </w:t>
      </w:r>
      <w:r w:rsidR="00C21FEF" w:rsidRPr="00224AD3">
        <w:rPr>
          <w:rFonts w:asciiTheme="majorHAnsi" w:hAnsiTheme="majorHAnsi"/>
          <w:b/>
          <w:sz w:val="20"/>
          <w:szCs w:val="20"/>
          <w:lang w:val="es-ES"/>
        </w:rPr>
        <w:t>AGOTAMIENTO DE LOS RECURSOS INTERNOS Y PLAZO DE PRESENTACIÓN</w:t>
      </w:r>
      <w:r w:rsidR="00C21FEF" w:rsidRPr="00224AD3">
        <w:rPr>
          <w:rFonts w:asciiTheme="majorHAnsi" w:eastAsia="Cambria" w:hAnsiTheme="majorHAnsi" w:cs="Cambria"/>
          <w:b/>
          <w:bCs/>
          <w:color w:val="000000"/>
          <w:sz w:val="20"/>
          <w:szCs w:val="20"/>
          <w:u w:color="000000"/>
          <w:lang w:val="es-ES" w:eastAsia="es-ES"/>
        </w:rPr>
        <w:t xml:space="preserve"> </w:t>
      </w:r>
    </w:p>
    <w:p w14:paraId="36B84B0A" w14:textId="3D58A4EA" w:rsidR="00F366B6" w:rsidRPr="00224AD3" w:rsidRDefault="00F366B6" w:rsidP="005B6E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224AD3">
        <w:rPr>
          <w:rFonts w:asciiTheme="majorHAnsi" w:hAnsiTheme="majorHAnsi"/>
          <w:sz w:val="20"/>
          <w:szCs w:val="20"/>
          <w:lang w:val="es-ES"/>
        </w:rPr>
        <w:t>1</w:t>
      </w:r>
      <w:r w:rsidR="005B6E50" w:rsidRPr="00224AD3">
        <w:rPr>
          <w:rFonts w:asciiTheme="majorHAnsi" w:hAnsiTheme="majorHAnsi"/>
          <w:sz w:val="20"/>
          <w:szCs w:val="20"/>
          <w:lang w:val="es-ES"/>
        </w:rPr>
        <w:t>2</w:t>
      </w:r>
      <w:r w:rsidRPr="00224AD3">
        <w:rPr>
          <w:rFonts w:asciiTheme="majorHAnsi" w:hAnsiTheme="majorHAnsi"/>
          <w:sz w:val="20"/>
          <w:szCs w:val="20"/>
          <w:lang w:val="es-ES"/>
        </w:rPr>
        <w:t xml:space="preserve">. </w:t>
      </w:r>
      <w:r w:rsidR="005B6E50" w:rsidRPr="00224AD3">
        <w:rPr>
          <w:rFonts w:asciiTheme="majorHAnsi" w:hAnsiTheme="majorHAnsi"/>
          <w:sz w:val="20"/>
          <w:szCs w:val="20"/>
          <w:lang w:val="es-ES"/>
        </w:rPr>
        <w:tab/>
        <w:t>E</w:t>
      </w:r>
      <w:r w:rsidRPr="00224AD3">
        <w:rPr>
          <w:rFonts w:asciiTheme="majorHAnsi" w:hAnsiTheme="majorHAnsi"/>
          <w:sz w:val="20"/>
          <w:szCs w:val="20"/>
          <w:lang w:val="es-ES"/>
        </w:rPr>
        <w:t xml:space="preserve">n el presente </w:t>
      </w:r>
      <w:r w:rsidR="00CC2C78" w:rsidRPr="00224AD3">
        <w:rPr>
          <w:rFonts w:asciiTheme="majorHAnsi" w:hAnsiTheme="majorHAnsi"/>
          <w:sz w:val="20"/>
          <w:szCs w:val="20"/>
          <w:lang w:val="es-ES"/>
        </w:rPr>
        <w:t xml:space="preserve">caso, </w:t>
      </w:r>
      <w:r w:rsidRPr="00224AD3">
        <w:rPr>
          <w:rFonts w:asciiTheme="majorHAnsi" w:hAnsiTheme="majorHAnsi"/>
          <w:sz w:val="20"/>
          <w:szCs w:val="20"/>
          <w:lang w:val="es-ES"/>
        </w:rPr>
        <w:t>la parte peticionaria ha formulado tres reclamos ante la CIDH: (</w:t>
      </w:r>
      <w:r w:rsidR="00CC2C78" w:rsidRPr="00224AD3">
        <w:rPr>
          <w:rFonts w:asciiTheme="majorHAnsi" w:hAnsiTheme="majorHAnsi"/>
          <w:sz w:val="20"/>
          <w:szCs w:val="20"/>
          <w:lang w:val="es-ES"/>
        </w:rPr>
        <w:t>a</w:t>
      </w:r>
      <w:r w:rsidRPr="00224AD3">
        <w:rPr>
          <w:rFonts w:asciiTheme="majorHAnsi" w:hAnsiTheme="majorHAnsi"/>
          <w:sz w:val="20"/>
          <w:szCs w:val="20"/>
          <w:lang w:val="es-ES"/>
        </w:rPr>
        <w:t>)</w:t>
      </w:r>
      <w:r w:rsidR="00CC2C78" w:rsidRPr="00224AD3">
        <w:rPr>
          <w:rFonts w:asciiTheme="majorHAnsi" w:hAnsiTheme="majorHAnsi"/>
          <w:sz w:val="20"/>
          <w:szCs w:val="20"/>
          <w:lang w:val="es-ES"/>
        </w:rPr>
        <w:t xml:space="preserve"> la </w:t>
      </w:r>
      <w:r w:rsidRPr="00224AD3">
        <w:rPr>
          <w:rFonts w:asciiTheme="majorHAnsi" w:hAnsiTheme="majorHAnsi"/>
          <w:sz w:val="20"/>
          <w:szCs w:val="20"/>
          <w:lang w:val="es-ES"/>
        </w:rPr>
        <w:t xml:space="preserve"> violación del derecho a la integridad personal y los derechos de los niños dado el riesgo </w:t>
      </w:r>
      <w:r w:rsidR="002D36AE" w:rsidRPr="00224AD3">
        <w:rPr>
          <w:rFonts w:asciiTheme="majorHAnsi" w:hAnsiTheme="majorHAnsi"/>
          <w:sz w:val="20"/>
          <w:szCs w:val="20"/>
          <w:lang w:val="es-ES"/>
        </w:rPr>
        <w:t>extraordinario</w:t>
      </w:r>
      <w:r w:rsidRPr="00224AD3">
        <w:rPr>
          <w:rFonts w:asciiTheme="majorHAnsi" w:hAnsiTheme="majorHAnsi"/>
          <w:sz w:val="20"/>
          <w:szCs w:val="20"/>
          <w:lang w:val="es-ES"/>
        </w:rPr>
        <w:t xml:space="preserve"> </w:t>
      </w:r>
      <w:r w:rsidR="002D36AE" w:rsidRPr="00224AD3">
        <w:rPr>
          <w:rFonts w:asciiTheme="majorHAnsi" w:hAnsiTheme="majorHAnsi"/>
          <w:sz w:val="20"/>
          <w:szCs w:val="20"/>
          <w:lang w:val="es-ES"/>
        </w:rPr>
        <w:t xml:space="preserve">derivado de </w:t>
      </w:r>
      <w:r w:rsidRPr="00224AD3">
        <w:rPr>
          <w:rFonts w:asciiTheme="majorHAnsi" w:hAnsiTheme="majorHAnsi"/>
          <w:sz w:val="20"/>
          <w:szCs w:val="20"/>
          <w:lang w:val="es-ES"/>
        </w:rPr>
        <w:t xml:space="preserve">la presencia de la estación de policía en el barrio Meléndez de Cali sin que se hubieran adoptado medidas preventivas mínimas para mitigar dicho riesgo, que se vino a materializar en el atentado terrorista del 10 de marzo de 1998; </w:t>
      </w:r>
      <w:r w:rsidR="00CC2C78" w:rsidRPr="00224AD3">
        <w:rPr>
          <w:rFonts w:asciiTheme="majorHAnsi" w:hAnsiTheme="majorHAnsi"/>
          <w:sz w:val="20"/>
          <w:szCs w:val="20"/>
          <w:lang w:val="es-ES"/>
        </w:rPr>
        <w:t>y la</w:t>
      </w:r>
      <w:r w:rsidRPr="00224AD3">
        <w:rPr>
          <w:rFonts w:asciiTheme="majorHAnsi" w:hAnsiTheme="majorHAnsi"/>
          <w:sz w:val="20"/>
          <w:szCs w:val="20"/>
          <w:lang w:val="es-ES"/>
        </w:rPr>
        <w:t xml:space="preserve"> violación del derecho a la justicia, por la </w:t>
      </w:r>
      <w:r w:rsidR="00CC2C78" w:rsidRPr="00224AD3">
        <w:rPr>
          <w:rFonts w:asciiTheme="majorHAnsi" w:hAnsiTheme="majorHAnsi"/>
          <w:sz w:val="20"/>
          <w:szCs w:val="20"/>
          <w:lang w:val="es-ES"/>
        </w:rPr>
        <w:t xml:space="preserve">alegada </w:t>
      </w:r>
      <w:r w:rsidRPr="00224AD3">
        <w:rPr>
          <w:rFonts w:asciiTheme="majorHAnsi" w:hAnsiTheme="majorHAnsi"/>
          <w:sz w:val="20"/>
          <w:szCs w:val="20"/>
          <w:lang w:val="es-ES"/>
        </w:rPr>
        <w:t xml:space="preserve">impunidad en la que se </w:t>
      </w:r>
      <w:r w:rsidR="00CC2C78" w:rsidRPr="00224AD3">
        <w:rPr>
          <w:rFonts w:asciiTheme="majorHAnsi" w:hAnsiTheme="majorHAnsi"/>
          <w:sz w:val="20"/>
          <w:szCs w:val="20"/>
          <w:lang w:val="es-ES"/>
        </w:rPr>
        <w:t>encontraría</w:t>
      </w:r>
      <w:r w:rsidRPr="00224AD3">
        <w:rPr>
          <w:rFonts w:asciiTheme="majorHAnsi" w:hAnsiTheme="majorHAnsi"/>
          <w:sz w:val="20"/>
          <w:szCs w:val="20"/>
          <w:lang w:val="es-ES"/>
        </w:rPr>
        <w:t xml:space="preserve"> el hecho; y (</w:t>
      </w:r>
      <w:r w:rsidR="00CC2C78" w:rsidRPr="00224AD3">
        <w:rPr>
          <w:rFonts w:asciiTheme="majorHAnsi" w:hAnsiTheme="majorHAnsi"/>
          <w:sz w:val="20"/>
          <w:szCs w:val="20"/>
          <w:lang w:val="es-ES"/>
        </w:rPr>
        <w:t>b</w:t>
      </w:r>
      <w:r w:rsidRPr="00224AD3">
        <w:rPr>
          <w:rFonts w:asciiTheme="majorHAnsi" w:hAnsiTheme="majorHAnsi"/>
          <w:sz w:val="20"/>
          <w:szCs w:val="20"/>
          <w:lang w:val="es-ES"/>
        </w:rPr>
        <w:t xml:space="preserve">) </w:t>
      </w:r>
      <w:r w:rsidR="00CC2C78" w:rsidRPr="00224AD3">
        <w:rPr>
          <w:rFonts w:asciiTheme="majorHAnsi" w:hAnsiTheme="majorHAnsi"/>
          <w:sz w:val="20"/>
          <w:szCs w:val="20"/>
          <w:lang w:val="es-ES"/>
        </w:rPr>
        <w:t>la falta de una adecuada reparación</w:t>
      </w:r>
      <w:r w:rsidRPr="00224AD3">
        <w:rPr>
          <w:rFonts w:asciiTheme="majorHAnsi" w:hAnsiTheme="majorHAnsi"/>
          <w:sz w:val="20"/>
          <w:szCs w:val="20"/>
          <w:lang w:val="es-ES"/>
        </w:rPr>
        <w:t xml:space="preserve"> ante la jurisdicción contencioso-administrativa.  </w:t>
      </w:r>
    </w:p>
    <w:p w14:paraId="6B111FEA" w14:textId="31EBA174" w:rsidR="00441C41" w:rsidRPr="00224AD3" w:rsidRDefault="00CD2D6E" w:rsidP="00AE38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eastAsia="es-CO"/>
        </w:rPr>
      </w:pPr>
      <w:r w:rsidRPr="00224AD3">
        <w:rPr>
          <w:rFonts w:asciiTheme="majorHAnsi" w:hAnsiTheme="majorHAnsi"/>
          <w:sz w:val="20"/>
          <w:szCs w:val="20"/>
          <w:lang w:val="es-ES"/>
        </w:rPr>
        <w:t>1</w:t>
      </w:r>
      <w:r w:rsidR="00CC2C78" w:rsidRPr="00224AD3">
        <w:rPr>
          <w:rFonts w:asciiTheme="majorHAnsi" w:hAnsiTheme="majorHAnsi"/>
          <w:sz w:val="20"/>
          <w:szCs w:val="20"/>
          <w:lang w:val="es-ES"/>
        </w:rPr>
        <w:t>3</w:t>
      </w:r>
      <w:r w:rsidRPr="00224AD3">
        <w:rPr>
          <w:rFonts w:asciiTheme="majorHAnsi" w:hAnsiTheme="majorHAnsi"/>
          <w:sz w:val="20"/>
          <w:szCs w:val="20"/>
          <w:lang w:val="es-ES"/>
        </w:rPr>
        <w:t xml:space="preserve">. </w:t>
      </w:r>
      <w:r w:rsidR="00CC2C78" w:rsidRPr="00224AD3">
        <w:rPr>
          <w:rFonts w:asciiTheme="majorHAnsi" w:hAnsiTheme="majorHAnsi"/>
          <w:sz w:val="20"/>
          <w:szCs w:val="20"/>
          <w:lang w:val="es-ES"/>
        </w:rPr>
        <w:tab/>
      </w:r>
      <w:r w:rsidR="00F366B6" w:rsidRPr="00224AD3">
        <w:rPr>
          <w:rFonts w:asciiTheme="majorHAnsi" w:hAnsiTheme="majorHAnsi"/>
          <w:sz w:val="20"/>
          <w:szCs w:val="20"/>
          <w:lang w:val="es-ES"/>
        </w:rPr>
        <w:t>En relación con el punto (</w:t>
      </w:r>
      <w:r w:rsidR="00CC2C78" w:rsidRPr="00224AD3">
        <w:rPr>
          <w:rFonts w:asciiTheme="majorHAnsi" w:hAnsiTheme="majorHAnsi"/>
          <w:sz w:val="20"/>
          <w:szCs w:val="20"/>
          <w:lang w:val="es-ES"/>
        </w:rPr>
        <w:t>a</w:t>
      </w:r>
      <w:r w:rsidR="00F366B6" w:rsidRPr="00224AD3">
        <w:rPr>
          <w:rFonts w:asciiTheme="majorHAnsi" w:hAnsiTheme="majorHAnsi"/>
          <w:sz w:val="20"/>
          <w:szCs w:val="20"/>
          <w:lang w:val="es-ES"/>
        </w:rPr>
        <w:t>)</w:t>
      </w:r>
      <w:r w:rsidR="00CC2C78" w:rsidRPr="00224AD3">
        <w:rPr>
          <w:rFonts w:asciiTheme="majorHAnsi" w:hAnsiTheme="majorHAnsi"/>
          <w:sz w:val="20"/>
          <w:szCs w:val="20"/>
          <w:lang w:val="es-ES"/>
        </w:rPr>
        <w:t xml:space="preserve">, </w:t>
      </w:r>
      <w:r w:rsidR="00F366B6" w:rsidRPr="00224AD3">
        <w:rPr>
          <w:rFonts w:asciiTheme="majorHAnsi" w:hAnsiTheme="majorHAnsi"/>
          <w:sz w:val="20"/>
          <w:szCs w:val="20"/>
          <w:lang w:val="es-ES"/>
        </w:rPr>
        <w:t xml:space="preserve">las autoridades judiciales domésticas efectivamente iniciaron una investigación al día siguiente </w:t>
      </w:r>
      <w:r w:rsidR="00CC2C78" w:rsidRPr="00224AD3">
        <w:rPr>
          <w:rFonts w:asciiTheme="majorHAnsi" w:hAnsiTheme="majorHAnsi"/>
          <w:sz w:val="20"/>
          <w:szCs w:val="20"/>
          <w:lang w:val="es-ES"/>
        </w:rPr>
        <w:t>del incidente</w:t>
      </w:r>
      <w:r w:rsidR="00F366B6" w:rsidRPr="00224AD3">
        <w:rPr>
          <w:rFonts w:asciiTheme="majorHAnsi" w:hAnsiTheme="majorHAnsi"/>
          <w:sz w:val="20"/>
          <w:szCs w:val="20"/>
          <w:lang w:val="es-ES"/>
        </w:rPr>
        <w:t>, en forma oficiosa -</w:t>
      </w:r>
      <w:r w:rsidR="00CC2C78" w:rsidRPr="00224AD3">
        <w:rPr>
          <w:rFonts w:asciiTheme="majorHAnsi" w:hAnsiTheme="majorHAnsi"/>
          <w:sz w:val="20"/>
          <w:szCs w:val="20"/>
          <w:lang w:val="es-ES"/>
        </w:rPr>
        <w:t xml:space="preserve">aunque aparentemente </w:t>
      </w:r>
      <w:r w:rsidR="00F366B6" w:rsidRPr="00224AD3">
        <w:rPr>
          <w:rFonts w:asciiTheme="majorHAnsi" w:hAnsiTheme="majorHAnsi"/>
          <w:sz w:val="20"/>
          <w:szCs w:val="20"/>
          <w:lang w:val="es-ES"/>
        </w:rPr>
        <w:t xml:space="preserve">no comunicada a las víctimas del </w:t>
      </w:r>
      <w:r w:rsidR="00CC2C78" w:rsidRPr="00224AD3">
        <w:rPr>
          <w:rFonts w:asciiTheme="majorHAnsi" w:hAnsiTheme="majorHAnsi"/>
          <w:sz w:val="20"/>
          <w:szCs w:val="20"/>
          <w:lang w:val="es-ES"/>
        </w:rPr>
        <w:t>hecho</w:t>
      </w:r>
      <w:r w:rsidR="00F366B6" w:rsidRPr="00224AD3">
        <w:rPr>
          <w:rFonts w:asciiTheme="majorHAnsi" w:hAnsiTheme="majorHAnsi"/>
          <w:sz w:val="20"/>
          <w:szCs w:val="20"/>
          <w:lang w:val="es-ES"/>
        </w:rPr>
        <w:t xml:space="preserve">, sus familiares o sus representantes-. </w:t>
      </w:r>
      <w:r w:rsidR="00AE38EF" w:rsidRPr="00224AD3">
        <w:rPr>
          <w:rFonts w:asciiTheme="majorHAnsi" w:hAnsiTheme="majorHAnsi"/>
          <w:sz w:val="20"/>
          <w:szCs w:val="20"/>
          <w:lang w:val="es-ES"/>
        </w:rPr>
        <w:t xml:space="preserve">A </w:t>
      </w:r>
      <w:r w:rsidRPr="00224AD3">
        <w:rPr>
          <w:rFonts w:asciiTheme="majorHAnsi" w:hAnsiTheme="majorHAnsi"/>
          <w:sz w:val="20"/>
          <w:szCs w:val="20"/>
          <w:lang w:val="es-ES"/>
        </w:rPr>
        <w:t>los casi cuatro años se decidió no abrir formalmente instrucción penal</w:t>
      </w:r>
      <w:r w:rsidR="00AE38EF" w:rsidRPr="00224AD3">
        <w:rPr>
          <w:rFonts w:asciiTheme="majorHAnsi" w:hAnsiTheme="majorHAnsi"/>
          <w:sz w:val="20"/>
          <w:szCs w:val="20"/>
          <w:lang w:val="es-ES"/>
        </w:rPr>
        <w:t>. En este sentido</w:t>
      </w:r>
      <w:r w:rsidRPr="00224AD3">
        <w:rPr>
          <w:rFonts w:asciiTheme="majorHAnsi" w:hAnsiTheme="majorHAnsi"/>
          <w:sz w:val="20"/>
          <w:szCs w:val="20"/>
          <w:lang w:val="es-ES"/>
        </w:rPr>
        <w:t>, l</w:t>
      </w:r>
      <w:r w:rsidR="00E02871" w:rsidRPr="00224AD3">
        <w:rPr>
          <w:rFonts w:asciiTheme="majorHAnsi" w:hAnsiTheme="majorHAnsi"/>
          <w:sz w:val="20"/>
          <w:szCs w:val="20"/>
          <w:lang w:val="es-ES" w:eastAsia="es-CO"/>
        </w:rPr>
        <w:t>a Comisión Interamericana ha considerado en anteriores oportunidades que cuando se produce el cierre unilateral y el archivo de una investigación penal por parte del ente investigador, se configura la excepción al deber de</w:t>
      </w:r>
      <w:r w:rsidRPr="00224AD3">
        <w:rPr>
          <w:rFonts w:asciiTheme="majorHAnsi" w:hAnsiTheme="majorHAnsi"/>
          <w:sz w:val="20"/>
          <w:szCs w:val="20"/>
          <w:lang w:val="es-ES" w:eastAsia="es-CO"/>
        </w:rPr>
        <w:t xml:space="preserve"> agotamiento </w:t>
      </w:r>
      <w:r w:rsidR="00E02871" w:rsidRPr="00224AD3">
        <w:rPr>
          <w:rFonts w:asciiTheme="majorHAnsi" w:hAnsiTheme="majorHAnsi"/>
          <w:sz w:val="20"/>
          <w:szCs w:val="20"/>
          <w:lang w:val="es-ES" w:eastAsia="es-CO"/>
        </w:rPr>
        <w:t>consistente en que a la víctima no se le haya permitido acceder a los recursos internos o se le haya impedido agotarlos</w:t>
      </w:r>
      <w:r w:rsidRPr="00224AD3">
        <w:rPr>
          <w:rFonts w:asciiTheme="majorHAnsi" w:hAnsiTheme="majorHAnsi"/>
          <w:sz w:val="20"/>
          <w:szCs w:val="20"/>
          <w:lang w:val="es-ES" w:eastAsia="es-CO"/>
        </w:rPr>
        <w:t>, plasmada en el Artículo 46.2.b) convencional</w:t>
      </w:r>
      <w:r w:rsidR="00E02871" w:rsidRPr="00224AD3">
        <w:rPr>
          <w:rStyle w:val="FootnoteReference"/>
          <w:rFonts w:asciiTheme="majorHAnsi" w:hAnsiTheme="majorHAnsi"/>
          <w:sz w:val="20"/>
          <w:szCs w:val="20"/>
          <w:lang w:val="es-ES"/>
        </w:rPr>
        <w:footnoteReference w:id="11"/>
      </w:r>
      <w:r w:rsidR="00E02871" w:rsidRPr="00224AD3">
        <w:rPr>
          <w:rFonts w:asciiTheme="majorHAnsi" w:hAnsiTheme="majorHAnsi"/>
          <w:sz w:val="20"/>
          <w:szCs w:val="20"/>
          <w:lang w:val="es-ES" w:eastAsia="es-CO"/>
        </w:rPr>
        <w:t xml:space="preserve">. </w:t>
      </w:r>
      <w:r w:rsidR="00A87053" w:rsidRPr="00224AD3">
        <w:rPr>
          <w:rFonts w:asciiTheme="majorHAnsi" w:hAnsiTheme="majorHAnsi"/>
          <w:sz w:val="20"/>
          <w:szCs w:val="20"/>
          <w:lang w:val="es-ES" w:eastAsia="es-CO"/>
        </w:rPr>
        <w:t>E</w:t>
      </w:r>
      <w:r w:rsidR="00E02871" w:rsidRPr="00224AD3">
        <w:rPr>
          <w:rFonts w:asciiTheme="majorHAnsi" w:hAnsiTheme="majorHAnsi"/>
          <w:sz w:val="20"/>
          <w:szCs w:val="20"/>
          <w:lang w:val="es-ES" w:eastAsia="es-CO"/>
        </w:rPr>
        <w:t>n el caso bajo estudio</w:t>
      </w:r>
      <w:r w:rsidR="00A87053" w:rsidRPr="00224AD3">
        <w:rPr>
          <w:rFonts w:asciiTheme="majorHAnsi" w:hAnsiTheme="majorHAnsi"/>
          <w:sz w:val="20"/>
          <w:szCs w:val="20"/>
          <w:lang w:val="es-ES" w:eastAsia="es-CO"/>
        </w:rPr>
        <w:t>,</w:t>
      </w:r>
      <w:r w:rsidR="00E02871" w:rsidRPr="00224AD3">
        <w:rPr>
          <w:rFonts w:asciiTheme="majorHAnsi" w:hAnsiTheme="majorHAnsi"/>
          <w:sz w:val="20"/>
          <w:szCs w:val="20"/>
          <w:lang w:val="es-ES" w:eastAsia="es-CO"/>
        </w:rPr>
        <w:t xml:space="preserve"> </w:t>
      </w:r>
      <w:r w:rsidRPr="00224AD3">
        <w:rPr>
          <w:rFonts w:asciiTheme="majorHAnsi" w:hAnsiTheme="majorHAnsi"/>
          <w:sz w:val="20"/>
          <w:szCs w:val="20"/>
          <w:lang w:val="es-ES" w:eastAsia="es-CO"/>
        </w:rPr>
        <w:t xml:space="preserve">ante la falta de individualización de los responsables del atentado terrorista, el 18 de enero de 2002 la Fiscalía colombiana optó por abstenerse de iniciar una instrucción penal formal, y así el preliminar proceso investigativo que se había emprendido casi cuatro años antes fue terminado, archivándose el expediente. En consecuencia, </w:t>
      </w:r>
      <w:r w:rsidR="002111E0" w:rsidRPr="00224AD3">
        <w:rPr>
          <w:rFonts w:asciiTheme="majorHAnsi" w:hAnsiTheme="majorHAnsi"/>
          <w:sz w:val="20"/>
          <w:szCs w:val="20"/>
          <w:lang w:val="es-ES" w:eastAsia="es-CO"/>
        </w:rPr>
        <w:t xml:space="preserve">la Comisión considera aplicable para efectos de la admisibilidad del presente reclamo, </w:t>
      </w:r>
      <w:r w:rsidRPr="00224AD3">
        <w:rPr>
          <w:rFonts w:asciiTheme="majorHAnsi" w:hAnsiTheme="majorHAnsi"/>
          <w:sz w:val="20"/>
          <w:szCs w:val="20"/>
          <w:lang w:val="es-ES" w:eastAsia="es-CO"/>
        </w:rPr>
        <w:t>la referida excepción.</w:t>
      </w:r>
      <w:r w:rsidR="002111E0" w:rsidRPr="00224AD3">
        <w:rPr>
          <w:rFonts w:asciiTheme="majorHAnsi" w:hAnsiTheme="majorHAnsi"/>
          <w:sz w:val="20"/>
          <w:szCs w:val="20"/>
          <w:lang w:val="es-ES" w:eastAsia="es-CO"/>
        </w:rPr>
        <w:t xml:space="preserve"> Asimismo, la Comisión observa que el referido ataque en un lugar público ocurrió en 1998, ese año se inició de oficio una investigación que se cerró en 2002; luego, como se verá, las presuntas víctimas continuaron litigando la entrega de reparaciones hasta el 2011, presentando la presente petición ante la CIDH en 2012, lo que sirve de base a la CIDH para concluir que el presente reclamo cumple con el requisito de plazo de presentación </w:t>
      </w:r>
      <w:r w:rsidR="00B23981" w:rsidRPr="00224AD3">
        <w:rPr>
          <w:rFonts w:asciiTheme="majorHAnsi" w:hAnsiTheme="majorHAnsi"/>
          <w:sz w:val="20"/>
          <w:szCs w:val="20"/>
          <w:lang w:val="es-ES" w:eastAsia="es-CO"/>
        </w:rPr>
        <w:t>en los términos del artículo 32.2 del Reglamento de la CIDH.</w:t>
      </w:r>
    </w:p>
    <w:p w14:paraId="785524EC" w14:textId="034FF7BC" w:rsidR="00CD2D6E" w:rsidRPr="00224AD3" w:rsidRDefault="00CD2D6E" w:rsidP="00CD2D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
        </w:rPr>
      </w:pPr>
      <w:r w:rsidRPr="00224AD3">
        <w:rPr>
          <w:rFonts w:asciiTheme="majorHAnsi" w:hAnsiTheme="majorHAnsi"/>
          <w:sz w:val="20"/>
          <w:szCs w:val="20"/>
          <w:lang w:val="es-ES"/>
        </w:rPr>
        <w:t>1</w:t>
      </w:r>
      <w:r w:rsidR="002111E0" w:rsidRPr="00224AD3">
        <w:rPr>
          <w:rFonts w:asciiTheme="majorHAnsi" w:hAnsiTheme="majorHAnsi"/>
          <w:sz w:val="20"/>
          <w:szCs w:val="20"/>
          <w:lang w:val="es-ES"/>
        </w:rPr>
        <w:t>4</w:t>
      </w:r>
      <w:r w:rsidRPr="00224AD3">
        <w:rPr>
          <w:rFonts w:asciiTheme="majorHAnsi" w:hAnsiTheme="majorHAnsi"/>
          <w:sz w:val="20"/>
          <w:szCs w:val="20"/>
          <w:lang w:val="es-ES"/>
        </w:rPr>
        <w:t xml:space="preserve">. </w:t>
      </w:r>
      <w:r w:rsidR="002111E0" w:rsidRPr="00224AD3">
        <w:rPr>
          <w:rFonts w:asciiTheme="majorHAnsi" w:hAnsiTheme="majorHAnsi"/>
          <w:sz w:val="20"/>
          <w:szCs w:val="20"/>
          <w:lang w:val="es-ES"/>
        </w:rPr>
        <w:tab/>
      </w:r>
      <w:r w:rsidRPr="00224AD3">
        <w:rPr>
          <w:rFonts w:asciiTheme="majorHAnsi" w:hAnsiTheme="majorHAnsi"/>
          <w:sz w:val="20"/>
          <w:szCs w:val="20"/>
          <w:lang w:val="es-ES"/>
        </w:rPr>
        <w:t>A este respecto</w:t>
      </w:r>
      <w:r w:rsidR="002111E0" w:rsidRPr="00224AD3">
        <w:rPr>
          <w:rFonts w:asciiTheme="majorHAnsi" w:hAnsiTheme="majorHAnsi"/>
          <w:sz w:val="20"/>
          <w:szCs w:val="20"/>
          <w:lang w:val="es-ES"/>
        </w:rPr>
        <w:t xml:space="preserve"> la Comisión recuerda que</w:t>
      </w:r>
      <w:r w:rsidRPr="00224AD3">
        <w:rPr>
          <w:rFonts w:asciiTheme="majorHAnsi" w:hAnsiTheme="majorHAnsi"/>
          <w:sz w:val="20"/>
          <w:szCs w:val="20"/>
          <w:lang w:val="es-ES"/>
        </w:rPr>
        <w:t xml:space="preserve"> la determinación de si las excepciones a la regla de agotamiento de los recursos internos resultan aplicables al caso en cuestión debe llevarse a cabo de manera previa y separada del análisis del fondo del asunto, ya que depende de un estándar de </w:t>
      </w:r>
      <w:r w:rsidR="002111E0" w:rsidRPr="00224AD3">
        <w:rPr>
          <w:rFonts w:asciiTheme="majorHAnsi" w:hAnsiTheme="majorHAnsi"/>
          <w:sz w:val="20"/>
          <w:szCs w:val="20"/>
          <w:lang w:val="es-ES"/>
        </w:rPr>
        <w:t>valoración</w:t>
      </w:r>
      <w:r w:rsidRPr="00224AD3">
        <w:rPr>
          <w:rFonts w:asciiTheme="majorHAnsi" w:hAnsiTheme="majorHAnsi"/>
          <w:sz w:val="20"/>
          <w:szCs w:val="20"/>
          <w:lang w:val="es-ES"/>
        </w:rPr>
        <w:t xml:space="preserve"> distinto de aquél utilizado para determinar la posible violación de los artículos 8 y 25 de la Convención. </w:t>
      </w:r>
    </w:p>
    <w:p w14:paraId="7B074AF5" w14:textId="740E9994" w:rsidR="000B1533" w:rsidRPr="00224AD3" w:rsidRDefault="00CD2D6E" w:rsidP="00B239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24AD3">
        <w:rPr>
          <w:rFonts w:asciiTheme="majorHAnsi" w:hAnsiTheme="majorHAnsi"/>
          <w:bCs/>
          <w:sz w:val="20"/>
          <w:szCs w:val="20"/>
          <w:lang w:val="es-ES"/>
        </w:rPr>
        <w:t>1</w:t>
      </w:r>
      <w:r w:rsidR="002111E0" w:rsidRPr="00224AD3">
        <w:rPr>
          <w:rFonts w:asciiTheme="majorHAnsi" w:hAnsiTheme="majorHAnsi"/>
          <w:bCs/>
          <w:sz w:val="20"/>
          <w:szCs w:val="20"/>
          <w:lang w:val="es-ES"/>
        </w:rPr>
        <w:t>5</w:t>
      </w:r>
      <w:r w:rsidRPr="00224AD3">
        <w:rPr>
          <w:rFonts w:asciiTheme="majorHAnsi" w:hAnsiTheme="majorHAnsi"/>
          <w:bCs/>
          <w:sz w:val="20"/>
          <w:szCs w:val="20"/>
          <w:lang w:val="es-ES"/>
        </w:rPr>
        <w:t xml:space="preserve">. </w:t>
      </w:r>
      <w:r w:rsidR="002111E0" w:rsidRPr="00224AD3">
        <w:rPr>
          <w:rFonts w:asciiTheme="majorHAnsi" w:hAnsiTheme="majorHAnsi"/>
          <w:bCs/>
          <w:sz w:val="20"/>
          <w:szCs w:val="20"/>
          <w:lang w:val="es-ES"/>
        </w:rPr>
        <w:tab/>
      </w:r>
      <w:r w:rsidRPr="00224AD3">
        <w:rPr>
          <w:rFonts w:asciiTheme="majorHAnsi" w:hAnsiTheme="majorHAnsi"/>
          <w:bCs/>
          <w:sz w:val="20"/>
          <w:szCs w:val="20"/>
          <w:lang w:val="es-ES"/>
        </w:rPr>
        <w:t>Sobre el punto (</w:t>
      </w:r>
      <w:r w:rsidR="002111E0" w:rsidRPr="00224AD3">
        <w:rPr>
          <w:rFonts w:asciiTheme="majorHAnsi" w:hAnsiTheme="majorHAnsi"/>
          <w:bCs/>
          <w:sz w:val="20"/>
          <w:szCs w:val="20"/>
          <w:lang w:val="es-ES"/>
        </w:rPr>
        <w:t>b</w:t>
      </w:r>
      <w:r w:rsidRPr="00224AD3">
        <w:rPr>
          <w:rFonts w:asciiTheme="majorHAnsi" w:hAnsiTheme="majorHAnsi"/>
          <w:bCs/>
          <w:sz w:val="20"/>
          <w:szCs w:val="20"/>
          <w:lang w:val="es-ES"/>
        </w:rPr>
        <w:t xml:space="preserve">), </w:t>
      </w:r>
      <w:r w:rsidR="00B23981" w:rsidRPr="00224AD3">
        <w:rPr>
          <w:rFonts w:asciiTheme="majorHAnsi" w:hAnsiTheme="majorHAnsi"/>
          <w:bCs/>
          <w:sz w:val="20"/>
          <w:szCs w:val="20"/>
          <w:lang w:val="es-ES"/>
        </w:rPr>
        <w:t xml:space="preserve">la Comisión observa que el proceso contencioso administrativo de reparación directa culminó con la sentencia emitida por el Consejo de Estado </w:t>
      </w:r>
      <w:r w:rsidR="00B23981" w:rsidRPr="00224AD3">
        <w:rPr>
          <w:rFonts w:ascii="Cambria" w:hAnsi="Cambria"/>
          <w:sz w:val="20"/>
          <w:szCs w:val="20"/>
          <w:lang w:val="es-ES"/>
        </w:rPr>
        <w:t>el 11 de agosto de 2011, que quedó en firme tras su notificación el 8 de septiembre de 2011. La presente petición fue presentada a la CIDH el 2 de marzo de 2012, se verifica que esta cumple con el requisito del plazo de presentación de seis meses establecido en el artículo 46.1.b) de la Convención Americana.</w:t>
      </w:r>
    </w:p>
    <w:p w14:paraId="6F26B242" w14:textId="3A78A6B8" w:rsidR="00B23981" w:rsidRPr="00224AD3" w:rsidRDefault="00B23981" w:rsidP="00B239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224AD3">
        <w:rPr>
          <w:rFonts w:ascii="Cambria" w:hAnsi="Cambria"/>
          <w:sz w:val="20"/>
          <w:szCs w:val="20"/>
          <w:lang w:val="es-ES"/>
        </w:rPr>
        <w:t>16.</w:t>
      </w:r>
      <w:r w:rsidRPr="00224AD3">
        <w:rPr>
          <w:rFonts w:ascii="Cambria" w:hAnsi="Cambria"/>
          <w:sz w:val="20"/>
          <w:szCs w:val="20"/>
          <w:lang w:val="es-ES"/>
        </w:rPr>
        <w:tab/>
        <w:t>Finalmente, la Comisión observa que el Estado no ha cuestionado en este caso la falta de agotamiento de los recursos domésticos.</w:t>
      </w:r>
    </w:p>
    <w:p w14:paraId="5BEFB3A9" w14:textId="77777777" w:rsidR="003239B8" w:rsidRPr="00224AD3" w:rsidRDefault="003239B8" w:rsidP="003239B8">
      <w:pPr>
        <w:pStyle w:val="ListParagraph"/>
        <w:spacing w:before="240" w:after="240"/>
        <w:jc w:val="both"/>
        <w:rPr>
          <w:rFonts w:asciiTheme="majorHAnsi" w:hAnsiTheme="majorHAnsi"/>
          <w:b/>
          <w:sz w:val="20"/>
          <w:szCs w:val="20"/>
          <w:lang w:val="es-ES"/>
        </w:rPr>
      </w:pPr>
      <w:r w:rsidRPr="00224AD3">
        <w:rPr>
          <w:rFonts w:asciiTheme="majorHAnsi" w:hAnsiTheme="majorHAnsi"/>
          <w:b/>
          <w:bCs/>
          <w:sz w:val="20"/>
          <w:szCs w:val="20"/>
          <w:lang w:val="es-ES"/>
        </w:rPr>
        <w:lastRenderedPageBreak/>
        <w:t>VII.</w:t>
      </w:r>
      <w:r w:rsidRPr="00224AD3">
        <w:rPr>
          <w:rFonts w:asciiTheme="majorHAnsi" w:hAnsiTheme="majorHAnsi"/>
          <w:b/>
          <w:bCs/>
          <w:sz w:val="20"/>
          <w:szCs w:val="20"/>
          <w:lang w:val="es-ES"/>
        </w:rPr>
        <w:tab/>
      </w:r>
      <w:r w:rsidR="004A6A54" w:rsidRPr="00224AD3">
        <w:rPr>
          <w:rFonts w:asciiTheme="majorHAnsi" w:hAnsiTheme="majorHAnsi"/>
          <w:b/>
          <w:bCs/>
          <w:sz w:val="20"/>
          <w:szCs w:val="20"/>
          <w:lang w:val="es-ES"/>
        </w:rPr>
        <w:t xml:space="preserve">ANÁLISIS DE </w:t>
      </w:r>
      <w:r w:rsidR="00C21FEF" w:rsidRPr="00224AD3">
        <w:rPr>
          <w:rFonts w:asciiTheme="majorHAnsi" w:hAnsiTheme="majorHAnsi"/>
          <w:b/>
          <w:bCs/>
          <w:sz w:val="20"/>
          <w:szCs w:val="20"/>
          <w:lang w:val="es-ES"/>
        </w:rPr>
        <w:t>CARACTERIZACIÓN DE LOS HECHOS ALEGADOS</w:t>
      </w:r>
    </w:p>
    <w:p w14:paraId="0125B6B7" w14:textId="46A1FE50" w:rsidR="001A520D" w:rsidRPr="00224AD3" w:rsidRDefault="00AA2E7F" w:rsidP="000B15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
        </w:rPr>
      </w:pPr>
      <w:r w:rsidRPr="00224AD3">
        <w:rPr>
          <w:rFonts w:asciiTheme="majorHAnsi" w:hAnsiTheme="majorHAnsi"/>
          <w:sz w:val="20"/>
          <w:szCs w:val="20"/>
          <w:lang w:val="es-ES"/>
        </w:rPr>
        <w:t>17</w:t>
      </w:r>
      <w:r w:rsidR="000B1533" w:rsidRPr="00224AD3">
        <w:rPr>
          <w:rFonts w:asciiTheme="majorHAnsi" w:hAnsiTheme="majorHAnsi"/>
          <w:sz w:val="20"/>
          <w:szCs w:val="20"/>
          <w:lang w:val="es-ES"/>
        </w:rPr>
        <w:t xml:space="preserve">. </w:t>
      </w:r>
      <w:r w:rsidRPr="00224AD3">
        <w:rPr>
          <w:rFonts w:asciiTheme="majorHAnsi" w:hAnsiTheme="majorHAnsi"/>
          <w:sz w:val="20"/>
          <w:szCs w:val="20"/>
          <w:lang w:val="es-ES"/>
        </w:rPr>
        <w:tab/>
      </w:r>
      <w:r w:rsidR="00481AB1" w:rsidRPr="00224AD3">
        <w:rPr>
          <w:rFonts w:asciiTheme="majorHAnsi" w:hAnsiTheme="majorHAnsi"/>
          <w:sz w:val="20"/>
          <w:szCs w:val="20"/>
          <w:lang w:val="es-ES"/>
        </w:rPr>
        <w:t>E</w:t>
      </w:r>
      <w:r w:rsidR="00481AB1" w:rsidRPr="00224AD3">
        <w:rPr>
          <w:rFonts w:asciiTheme="majorHAnsi" w:hAnsiTheme="majorHAnsi" w:cs="Calibri"/>
          <w:sz w:val="20"/>
          <w:szCs w:val="20"/>
          <w:lang w:val="es-ES"/>
        </w:rPr>
        <w:t xml:space="preserve">l criterio de evaluación de la fase de admisibilidad difiere del que se utiliza para pronunciarse sobre el fondo de una petición; en esta primera fase, la Comisión debe realizar una evaluación </w:t>
      </w:r>
      <w:r w:rsidR="00481AB1" w:rsidRPr="00224AD3">
        <w:rPr>
          <w:rFonts w:asciiTheme="majorHAnsi" w:hAnsiTheme="majorHAnsi" w:cs="Calibri"/>
          <w:i/>
          <w:iCs/>
          <w:sz w:val="20"/>
          <w:szCs w:val="20"/>
          <w:lang w:val="es-ES"/>
        </w:rPr>
        <w:t>prima facie</w:t>
      </w:r>
      <w:r w:rsidR="00481AB1" w:rsidRPr="00224AD3">
        <w:rPr>
          <w:rFonts w:asciiTheme="majorHAnsi" w:hAnsiTheme="majorHAnsi"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481AB1" w:rsidRPr="00224AD3">
        <w:rPr>
          <w:rStyle w:val="FootnoteReference"/>
          <w:rFonts w:asciiTheme="majorHAnsi" w:hAnsiTheme="majorHAnsi" w:cs="Calibri"/>
          <w:sz w:val="20"/>
          <w:szCs w:val="20"/>
          <w:lang w:val="es-ES"/>
        </w:rPr>
        <w:footnoteReference w:id="12"/>
      </w:r>
      <w:r w:rsidR="00481AB1" w:rsidRPr="00224AD3">
        <w:rPr>
          <w:rFonts w:asciiTheme="majorHAnsi" w:hAnsiTheme="majorHAnsi" w:cs="Calibri"/>
          <w:sz w:val="20"/>
          <w:szCs w:val="20"/>
          <w:lang w:val="es-ES"/>
        </w:rPr>
        <w:t>.</w:t>
      </w:r>
    </w:p>
    <w:p w14:paraId="70BD4417" w14:textId="77777777" w:rsidR="00847B16" w:rsidRPr="00224AD3" w:rsidRDefault="00847B16" w:rsidP="000B15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
        </w:rPr>
      </w:pPr>
      <w:r w:rsidRPr="00224AD3">
        <w:rPr>
          <w:rFonts w:asciiTheme="majorHAnsi" w:hAnsiTheme="majorHAnsi"/>
          <w:sz w:val="20"/>
          <w:szCs w:val="20"/>
          <w:lang w:val="es-ES"/>
        </w:rPr>
        <w:t>18</w:t>
      </w:r>
      <w:r w:rsidR="000B1533" w:rsidRPr="00224AD3">
        <w:rPr>
          <w:rFonts w:asciiTheme="majorHAnsi" w:hAnsiTheme="majorHAnsi"/>
          <w:sz w:val="20"/>
          <w:szCs w:val="20"/>
          <w:lang w:val="es-ES"/>
        </w:rPr>
        <w:t xml:space="preserve">. </w:t>
      </w:r>
      <w:r w:rsidRPr="00224AD3">
        <w:rPr>
          <w:rFonts w:asciiTheme="majorHAnsi" w:hAnsiTheme="majorHAnsi"/>
          <w:sz w:val="20"/>
          <w:szCs w:val="20"/>
          <w:lang w:val="es-ES"/>
        </w:rPr>
        <w:tab/>
      </w:r>
      <w:r w:rsidR="000B1533" w:rsidRPr="00224AD3">
        <w:rPr>
          <w:rFonts w:asciiTheme="majorHAnsi" w:hAnsiTheme="majorHAnsi"/>
          <w:sz w:val="20"/>
          <w:szCs w:val="20"/>
          <w:lang w:val="es-ES"/>
        </w:rPr>
        <w:t>L</w:t>
      </w:r>
      <w:r w:rsidR="00481AB1" w:rsidRPr="00224AD3">
        <w:rPr>
          <w:rFonts w:asciiTheme="majorHAnsi" w:hAnsiTheme="majorHAnsi"/>
          <w:sz w:val="20"/>
          <w:szCs w:val="20"/>
          <w:lang w:val="es-ES"/>
        </w:rPr>
        <w:t>a Comisión toma nota del alegato del Estado según el cual el peticionario recurre al Sistema Interamericano pretendiendo que éste opere como una “cuarta instancia” internacional frente al contenido de fallos judiciales domésticos definitivos</w:t>
      </w:r>
      <w:r w:rsidR="000B1533" w:rsidRPr="00224AD3">
        <w:rPr>
          <w:rFonts w:asciiTheme="majorHAnsi" w:hAnsiTheme="majorHAnsi"/>
          <w:sz w:val="20"/>
          <w:szCs w:val="20"/>
          <w:lang w:val="es-ES"/>
        </w:rPr>
        <w:t xml:space="preserve"> dictados por la jurisdicción de lo contencioso-administrativo</w:t>
      </w:r>
      <w:r w:rsidR="00481AB1" w:rsidRPr="00224AD3">
        <w:rPr>
          <w:rFonts w:asciiTheme="majorHAnsi" w:hAnsiTheme="majorHAnsi"/>
          <w:sz w:val="20"/>
          <w:szCs w:val="20"/>
          <w:lang w:val="es-ES"/>
        </w:rPr>
        <w:t xml:space="preserve">. La CIDH ha adoptado una posición uniforme y consistente, en el sentido de que sí es competente para declarar admisible una petición y decidir sobre su materia fondo en los casos relacionados con procesos internos que puedan violar los derechos amparados por la Convención Americana. </w:t>
      </w:r>
    </w:p>
    <w:p w14:paraId="5A5FCB8F" w14:textId="7CD94D84" w:rsidR="00481AB1" w:rsidRPr="00224AD3" w:rsidRDefault="00847B16" w:rsidP="000B15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224AD3">
        <w:rPr>
          <w:rFonts w:asciiTheme="majorHAnsi" w:hAnsiTheme="majorHAnsi"/>
          <w:sz w:val="20"/>
          <w:szCs w:val="20"/>
          <w:lang w:val="es-ES"/>
        </w:rPr>
        <w:t>19.</w:t>
      </w:r>
      <w:r w:rsidRPr="00224AD3">
        <w:rPr>
          <w:rFonts w:asciiTheme="majorHAnsi" w:hAnsiTheme="majorHAnsi"/>
          <w:sz w:val="20"/>
          <w:szCs w:val="20"/>
          <w:lang w:val="es-ES"/>
        </w:rPr>
        <w:tab/>
        <w:t>En esta línea, la CIDH considera que en el presente caso e</w:t>
      </w:r>
      <w:r w:rsidR="000B1533" w:rsidRPr="00224AD3">
        <w:rPr>
          <w:rFonts w:asciiTheme="majorHAnsi" w:hAnsiTheme="majorHAnsi"/>
          <w:sz w:val="20"/>
          <w:szCs w:val="20"/>
          <w:lang w:val="es-ES"/>
        </w:rPr>
        <w:t xml:space="preserve">l peticionario </w:t>
      </w:r>
      <w:r w:rsidR="00FA6B55" w:rsidRPr="00224AD3">
        <w:rPr>
          <w:rFonts w:asciiTheme="majorHAnsi" w:hAnsiTheme="majorHAnsi"/>
          <w:sz w:val="20"/>
          <w:szCs w:val="20"/>
          <w:lang w:val="es-ES"/>
        </w:rPr>
        <w:t>acude al Sistema Interamericano fundamentalmente con un planteamiento relativo a la alegada falta de investigación y sanción adecuada de los hechos originarios que produjeron las lesiones a las presuntas víctimas</w:t>
      </w:r>
      <w:r w:rsidR="00A55F10">
        <w:rPr>
          <w:rFonts w:asciiTheme="majorHAnsi" w:hAnsiTheme="majorHAnsi"/>
          <w:sz w:val="20"/>
          <w:szCs w:val="20"/>
          <w:lang w:val="es-ES"/>
        </w:rPr>
        <w:t>, en virtud del cierre unilateral de la investigación penal por parte de la Fiscalía</w:t>
      </w:r>
      <w:r w:rsidR="00FA6B55" w:rsidRPr="00224AD3">
        <w:rPr>
          <w:rFonts w:asciiTheme="majorHAnsi" w:hAnsiTheme="majorHAnsi"/>
          <w:sz w:val="20"/>
          <w:szCs w:val="20"/>
          <w:lang w:val="es-ES"/>
        </w:rPr>
        <w:t xml:space="preserve">; y por alegatos que podrían caracterizarse como relativos a la supuesta falta de acceso a la justicia y protección judicial por parte de las autoridades competentes en sede administrativa al negársele la reparación directa a las presuntas víctimas. </w:t>
      </w:r>
      <w:r w:rsidR="00A55F10">
        <w:rPr>
          <w:rFonts w:asciiTheme="majorHAnsi" w:hAnsiTheme="majorHAnsi"/>
          <w:sz w:val="20"/>
          <w:szCs w:val="20"/>
          <w:lang w:val="es-ES"/>
        </w:rPr>
        <w:t>Si bien el Estado ha presentado argumentos de fondo sobre lo que considera fue una adecuada actuación de sus autoridades investigativas y judiciales, no es en la presente fase procesal en la que corresponde examinar tales alegatos, dado el criterio de valoración preliminar que caracteriza la etapa de admisibilidad.</w:t>
      </w:r>
    </w:p>
    <w:p w14:paraId="730074B0" w14:textId="791CE113" w:rsidR="009F45E1" w:rsidRPr="00224AD3" w:rsidRDefault="00A803D9" w:rsidP="00FA6B5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224AD3">
        <w:rPr>
          <w:rFonts w:asciiTheme="majorHAnsi" w:hAnsiTheme="majorHAnsi"/>
          <w:sz w:val="20"/>
          <w:szCs w:val="20"/>
          <w:lang w:val="es-ES"/>
        </w:rPr>
        <w:t>2</w:t>
      </w:r>
      <w:r w:rsidR="00FA6B55" w:rsidRPr="00224AD3">
        <w:rPr>
          <w:rFonts w:asciiTheme="majorHAnsi" w:hAnsiTheme="majorHAnsi"/>
          <w:sz w:val="20"/>
          <w:szCs w:val="20"/>
          <w:lang w:val="es-ES"/>
        </w:rPr>
        <w:t>0</w:t>
      </w:r>
      <w:r w:rsidRPr="00224AD3">
        <w:rPr>
          <w:rFonts w:asciiTheme="majorHAnsi" w:hAnsiTheme="majorHAnsi"/>
          <w:sz w:val="20"/>
          <w:szCs w:val="20"/>
          <w:lang w:val="es-ES"/>
        </w:rPr>
        <w:t xml:space="preserve">. </w:t>
      </w:r>
      <w:r w:rsidR="00FA6B55" w:rsidRPr="00224AD3">
        <w:rPr>
          <w:rFonts w:asciiTheme="majorHAnsi" w:hAnsiTheme="majorHAnsi"/>
          <w:sz w:val="20"/>
          <w:szCs w:val="20"/>
          <w:lang w:val="es-ES"/>
        </w:rPr>
        <w:tab/>
        <w:t>En cuanto al hecho inicial que origina los anteriores alegatos, l</w:t>
      </w:r>
      <w:r w:rsidR="009F45E1" w:rsidRPr="00224AD3">
        <w:rPr>
          <w:rFonts w:asciiTheme="majorHAnsi" w:hAnsiTheme="majorHAnsi"/>
          <w:sz w:val="20"/>
          <w:szCs w:val="20"/>
          <w:lang w:val="es-ES"/>
        </w:rPr>
        <w:t xml:space="preserve">os peticionarios </w:t>
      </w:r>
      <w:r w:rsidR="00FA6B55" w:rsidRPr="00224AD3">
        <w:rPr>
          <w:rFonts w:asciiTheme="majorHAnsi" w:hAnsiTheme="majorHAnsi"/>
          <w:sz w:val="20"/>
          <w:szCs w:val="20"/>
          <w:lang w:val="es-ES"/>
        </w:rPr>
        <w:t>sostienen</w:t>
      </w:r>
      <w:r w:rsidR="009F45E1" w:rsidRPr="00224AD3">
        <w:rPr>
          <w:rFonts w:asciiTheme="majorHAnsi" w:hAnsiTheme="majorHAnsi"/>
          <w:sz w:val="20"/>
          <w:szCs w:val="20"/>
          <w:lang w:val="es-ES"/>
        </w:rPr>
        <w:t xml:space="preserve"> que en el contexto de conflicto armado y violencia imperante en Cali en 1998, específicamente en el área del barrio Meléndez, la ubicación de una estación de policía sin medidas de prevención de ataques colocaba a la población civil lugareña en una situación de riesgo que no estaba en el deber jurídico de tolerar</w:t>
      </w:r>
      <w:r w:rsidR="00FA6B55" w:rsidRPr="00224AD3">
        <w:rPr>
          <w:rFonts w:asciiTheme="majorHAnsi" w:hAnsiTheme="majorHAnsi"/>
          <w:sz w:val="20"/>
          <w:szCs w:val="20"/>
          <w:lang w:val="es-ES"/>
        </w:rPr>
        <w:t xml:space="preserve">. </w:t>
      </w:r>
      <w:r w:rsidR="009F45E1" w:rsidRPr="00224AD3">
        <w:rPr>
          <w:rFonts w:asciiTheme="majorHAnsi" w:hAnsiTheme="majorHAnsi"/>
          <w:sz w:val="20"/>
          <w:szCs w:val="20"/>
          <w:lang w:val="es-ES"/>
        </w:rPr>
        <w:t xml:space="preserve">El Estado, por su parte, ha alegado -con un sustento comparable- que no estaban dadas las condiciones para prever riesgos de ataque a la estación de policía en este caso, por lo cual no se puede considerar que incumplió sus deberes de garantía o prevención frente a las presuntas víctimas. Como se puede apreciar fácilmente, entre las partes procesales existe así una controversia de índole jurídica y probatoria de alta complejidad y naturaleza sustantiva, que no puede ser resuelta en la presente fase de admisibilidad al trascender, con creces, el consabido parámetro de valoración </w:t>
      </w:r>
      <w:r w:rsidR="009F45E1" w:rsidRPr="00224AD3">
        <w:rPr>
          <w:rFonts w:asciiTheme="majorHAnsi" w:hAnsiTheme="majorHAnsi"/>
          <w:i/>
          <w:iCs/>
          <w:sz w:val="20"/>
          <w:szCs w:val="20"/>
          <w:lang w:val="es-ES"/>
        </w:rPr>
        <w:t>prima facie</w:t>
      </w:r>
      <w:r w:rsidR="009F45E1" w:rsidRPr="00224AD3">
        <w:rPr>
          <w:rFonts w:asciiTheme="majorHAnsi" w:hAnsiTheme="majorHAnsi"/>
          <w:sz w:val="20"/>
          <w:szCs w:val="20"/>
          <w:lang w:val="es-ES"/>
        </w:rPr>
        <w:t xml:space="preserve"> que resulta aplicable en este momento del procedimiento. Baste notar que a este respecto la petición, lejos de ser manifiestamente infundada, sí plantea delicados asuntos jurídicos a la Comisión que tendrán que ser abordados en el momento jurídicamente indicado para ello. </w:t>
      </w:r>
    </w:p>
    <w:p w14:paraId="6A6D79D3" w14:textId="7FF8DD41" w:rsidR="009F45E1" w:rsidRPr="00224AD3" w:rsidRDefault="00A803D9" w:rsidP="00B219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
        </w:rPr>
      </w:pPr>
      <w:r w:rsidRPr="00224AD3">
        <w:rPr>
          <w:rFonts w:asciiTheme="majorHAnsi" w:hAnsiTheme="majorHAnsi"/>
          <w:sz w:val="20"/>
          <w:szCs w:val="20"/>
          <w:lang w:val="es-ES"/>
        </w:rPr>
        <w:t>2</w:t>
      </w:r>
      <w:r w:rsidR="00FA6B55" w:rsidRPr="00224AD3">
        <w:rPr>
          <w:rFonts w:asciiTheme="majorHAnsi" w:hAnsiTheme="majorHAnsi"/>
          <w:sz w:val="20"/>
          <w:szCs w:val="20"/>
          <w:lang w:val="es-ES"/>
        </w:rPr>
        <w:t>1</w:t>
      </w:r>
      <w:r w:rsidRPr="00224AD3">
        <w:rPr>
          <w:rFonts w:asciiTheme="majorHAnsi" w:hAnsiTheme="majorHAnsi"/>
          <w:sz w:val="20"/>
          <w:szCs w:val="20"/>
          <w:lang w:val="es-ES"/>
        </w:rPr>
        <w:t xml:space="preserve">. </w:t>
      </w:r>
      <w:r w:rsidR="00FA6B55" w:rsidRPr="00224AD3">
        <w:rPr>
          <w:rFonts w:asciiTheme="majorHAnsi" w:hAnsiTheme="majorHAnsi"/>
          <w:sz w:val="20"/>
          <w:szCs w:val="20"/>
          <w:lang w:val="es-ES"/>
        </w:rPr>
        <w:tab/>
      </w:r>
      <w:r w:rsidR="009F45E1" w:rsidRPr="00224AD3">
        <w:rPr>
          <w:rFonts w:asciiTheme="majorHAnsi" w:hAnsiTheme="majorHAnsi"/>
          <w:sz w:val="20"/>
          <w:szCs w:val="20"/>
          <w:lang w:val="es-ES"/>
        </w:rPr>
        <w:t xml:space="preserve">En atención a estas consideraciones, y tras examinar detenidamente los elementos de hecho y de derecho expuestos por las partes, la Comisión estima que las alegaciones de la parte peticionaria no resultan manifiestamente infundadas y requieren un estudio de fondo; pues los hechos alegados, de corroborarse, podrían caracterizar violaciones a los derechos protegidos en los artículos </w:t>
      </w:r>
      <w:r w:rsidR="009F45E1" w:rsidRPr="00224AD3">
        <w:rPr>
          <w:rFonts w:ascii="Cambria" w:hAnsi="Cambria"/>
          <w:bCs/>
          <w:sz w:val="20"/>
          <w:szCs w:val="20"/>
          <w:lang w:val="es-ES"/>
        </w:rPr>
        <w:t>5 (</w:t>
      </w:r>
      <w:r w:rsidR="00FA6B55" w:rsidRPr="00224AD3">
        <w:rPr>
          <w:rFonts w:ascii="Cambria" w:hAnsi="Cambria"/>
          <w:bCs/>
          <w:sz w:val="20"/>
          <w:szCs w:val="20"/>
          <w:lang w:val="es-ES"/>
        </w:rPr>
        <w:t>integridad personal</w:t>
      </w:r>
      <w:r w:rsidR="009F45E1" w:rsidRPr="00224AD3">
        <w:rPr>
          <w:rFonts w:ascii="Cambria" w:hAnsi="Cambria"/>
          <w:bCs/>
          <w:sz w:val="20"/>
          <w:szCs w:val="20"/>
          <w:lang w:val="es-ES"/>
        </w:rPr>
        <w:t>), 8 (garantías judiciales), 19 (derechos del niño) y 25 (protección judicial) de la Convención Americana, en relación con su artículo 1.1 (obligación de respetar los derechos).</w:t>
      </w:r>
    </w:p>
    <w:p w14:paraId="60ADCD18" w14:textId="12D714EE" w:rsidR="00681AE7" w:rsidRPr="00104B39" w:rsidRDefault="00FA6B55" w:rsidP="00104B3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sidRPr="00224AD3">
        <w:rPr>
          <w:rFonts w:ascii="Cambria" w:hAnsi="Cambria"/>
          <w:bCs/>
          <w:sz w:val="20"/>
          <w:szCs w:val="20"/>
          <w:lang w:val="es-ES"/>
        </w:rPr>
        <w:t>22.</w:t>
      </w:r>
      <w:r w:rsidRPr="00224AD3">
        <w:rPr>
          <w:rFonts w:ascii="Cambria" w:hAnsi="Cambria"/>
          <w:bCs/>
          <w:sz w:val="20"/>
          <w:szCs w:val="20"/>
          <w:lang w:val="es-ES"/>
        </w:rPr>
        <w:tab/>
      </w:r>
      <w:r w:rsidR="00B21930" w:rsidRPr="00224AD3">
        <w:rPr>
          <w:rFonts w:ascii="Cambria" w:hAnsi="Cambria"/>
          <w:bCs/>
          <w:sz w:val="20"/>
          <w:szCs w:val="20"/>
          <w:lang w:val="es-ES"/>
        </w:rPr>
        <w:t xml:space="preserve">En cuanto al reclamo sobre la presunta violación del artículo 24 (igualdad ante la ley) de la Convención Americana; la Comisión observa, luego de analizar detalladamente la posición de las partes y la información aportada en el expediente, que los peticionarios no han ofrecido alegatos o sustento suficiente que permita considerar </w:t>
      </w:r>
      <w:r w:rsidR="00B21930" w:rsidRPr="00224AD3">
        <w:rPr>
          <w:rFonts w:ascii="Cambria" w:hAnsi="Cambria"/>
          <w:bCs/>
          <w:i/>
          <w:iCs/>
          <w:sz w:val="20"/>
          <w:szCs w:val="20"/>
          <w:lang w:val="es-ES"/>
        </w:rPr>
        <w:t>prima facie</w:t>
      </w:r>
      <w:r w:rsidR="00B21930" w:rsidRPr="00224AD3">
        <w:rPr>
          <w:rFonts w:ascii="Cambria" w:hAnsi="Cambria"/>
          <w:bCs/>
          <w:sz w:val="20"/>
          <w:szCs w:val="20"/>
          <w:lang w:val="es-ES"/>
        </w:rPr>
        <w:t xml:space="preserve"> su posible violación. </w:t>
      </w:r>
      <w:r w:rsidR="00B87DEF" w:rsidRPr="00224AD3">
        <w:rPr>
          <w:rFonts w:ascii="Cambria" w:hAnsi="Cambria"/>
          <w:bCs/>
          <w:sz w:val="20"/>
          <w:szCs w:val="20"/>
          <w:lang w:val="es-ES"/>
        </w:rPr>
        <w:t xml:space="preserve">Los reclamos planteados por el peticionario en este sentido se subsumen en el análisis que se haga de las posibles violaciones a los artículos 8 y 25 de la Convención. </w:t>
      </w:r>
    </w:p>
    <w:p w14:paraId="36353780" w14:textId="77777777" w:rsidR="001E428F" w:rsidRDefault="001E428F" w:rsidP="00104B39">
      <w:pPr>
        <w:spacing w:before="240" w:after="240"/>
        <w:ind w:firstLine="720"/>
        <w:jc w:val="both"/>
        <w:rPr>
          <w:rFonts w:asciiTheme="majorHAnsi" w:hAnsiTheme="majorHAnsi"/>
          <w:b/>
          <w:bCs/>
          <w:sz w:val="20"/>
          <w:szCs w:val="20"/>
          <w:lang w:val="es-ES"/>
        </w:rPr>
      </w:pPr>
    </w:p>
    <w:p w14:paraId="19C00D3C" w14:textId="77777777" w:rsidR="001E428F" w:rsidRDefault="001E428F" w:rsidP="00104B39">
      <w:pPr>
        <w:spacing w:before="240" w:after="240"/>
        <w:ind w:firstLine="720"/>
        <w:jc w:val="both"/>
        <w:rPr>
          <w:rFonts w:asciiTheme="majorHAnsi" w:hAnsiTheme="majorHAnsi"/>
          <w:b/>
          <w:bCs/>
          <w:sz w:val="20"/>
          <w:szCs w:val="20"/>
          <w:lang w:val="es-ES"/>
        </w:rPr>
      </w:pPr>
    </w:p>
    <w:p w14:paraId="1EDF3A5D" w14:textId="329F0643" w:rsidR="003239B8" w:rsidRPr="00104B39" w:rsidRDefault="003239B8" w:rsidP="00104B39">
      <w:pPr>
        <w:spacing w:before="240" w:after="240"/>
        <w:ind w:firstLine="720"/>
        <w:jc w:val="both"/>
        <w:rPr>
          <w:rFonts w:asciiTheme="majorHAnsi" w:hAnsiTheme="majorHAnsi"/>
          <w:b/>
          <w:bCs/>
          <w:sz w:val="20"/>
          <w:szCs w:val="20"/>
          <w:lang w:val="es-ES"/>
        </w:rPr>
      </w:pPr>
      <w:r w:rsidRPr="00104B39">
        <w:rPr>
          <w:rFonts w:asciiTheme="majorHAnsi" w:hAnsiTheme="majorHAnsi"/>
          <w:b/>
          <w:bCs/>
          <w:sz w:val="20"/>
          <w:szCs w:val="20"/>
          <w:lang w:val="es-ES"/>
        </w:rPr>
        <w:t xml:space="preserve">VIII. </w:t>
      </w:r>
      <w:r w:rsidRPr="00104B39">
        <w:rPr>
          <w:rFonts w:asciiTheme="majorHAnsi" w:hAnsiTheme="majorHAnsi"/>
          <w:b/>
          <w:bCs/>
          <w:sz w:val="20"/>
          <w:szCs w:val="20"/>
          <w:lang w:val="es-ES"/>
        </w:rPr>
        <w:tab/>
        <w:t>DECISIÓN</w:t>
      </w:r>
    </w:p>
    <w:p w14:paraId="494A0BEA" w14:textId="6C87B601" w:rsidR="000419AD" w:rsidRPr="00224AD3"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24AD3">
        <w:rPr>
          <w:rFonts w:asciiTheme="majorHAnsi" w:hAnsiTheme="majorHAnsi"/>
          <w:sz w:val="20"/>
          <w:szCs w:val="20"/>
          <w:lang w:val="es-ES"/>
        </w:rPr>
        <w:t xml:space="preserve">Declarar admisible la presente petición en relación con </w:t>
      </w:r>
      <w:r w:rsidR="009F45E1" w:rsidRPr="00224AD3">
        <w:rPr>
          <w:rFonts w:asciiTheme="majorHAnsi" w:hAnsiTheme="majorHAnsi"/>
          <w:sz w:val="20"/>
          <w:szCs w:val="20"/>
          <w:lang w:val="es-ES"/>
        </w:rPr>
        <w:t>los artículos 5, 8, 19</w:t>
      </w:r>
      <w:r w:rsidR="00B21930" w:rsidRPr="00224AD3">
        <w:rPr>
          <w:rFonts w:asciiTheme="majorHAnsi" w:hAnsiTheme="majorHAnsi"/>
          <w:sz w:val="20"/>
          <w:szCs w:val="20"/>
          <w:lang w:val="es-ES"/>
        </w:rPr>
        <w:t xml:space="preserve"> </w:t>
      </w:r>
      <w:r w:rsidR="009F45E1" w:rsidRPr="00224AD3">
        <w:rPr>
          <w:rFonts w:asciiTheme="majorHAnsi" w:hAnsiTheme="majorHAnsi"/>
          <w:sz w:val="20"/>
          <w:szCs w:val="20"/>
          <w:lang w:val="es-ES"/>
        </w:rPr>
        <w:t>y 25 de la Convención Americana, en conexión con su artículo 1.1</w:t>
      </w:r>
      <w:r w:rsidR="00A758AA" w:rsidRPr="00224AD3">
        <w:rPr>
          <w:rFonts w:asciiTheme="majorHAnsi" w:hAnsiTheme="majorHAnsi"/>
          <w:sz w:val="20"/>
          <w:szCs w:val="20"/>
          <w:lang w:val="es-ES"/>
        </w:rPr>
        <w:t>;</w:t>
      </w:r>
      <w:r w:rsidR="007B76D3" w:rsidRPr="00224AD3">
        <w:rPr>
          <w:rFonts w:asciiTheme="majorHAnsi" w:hAnsiTheme="majorHAnsi"/>
          <w:sz w:val="20"/>
          <w:szCs w:val="20"/>
          <w:lang w:val="es-ES"/>
        </w:rPr>
        <w:t xml:space="preserve"> y</w:t>
      </w:r>
    </w:p>
    <w:p w14:paraId="018D6747" w14:textId="29A9D12F"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24AD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FD0F897" w14:textId="6F475B65" w:rsidR="00681AE7" w:rsidRPr="00A37B82" w:rsidRDefault="00681AE7" w:rsidP="00681AE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EDD898E" w14:textId="77777777" w:rsidR="00681AE7" w:rsidRPr="00A37B82" w:rsidRDefault="00681AE7" w:rsidP="00681AE7">
      <w:pPr>
        <w:suppressAutoHyphens/>
        <w:ind w:firstLine="720"/>
        <w:jc w:val="both"/>
        <w:rPr>
          <w:rFonts w:asciiTheme="majorHAnsi" w:hAnsiTheme="majorHAnsi" w:cs="Arial"/>
          <w:noProof/>
          <w:spacing w:val="-2"/>
          <w:sz w:val="20"/>
          <w:szCs w:val="20"/>
          <w:lang w:val="es-CL"/>
        </w:rPr>
      </w:pPr>
    </w:p>
    <w:sectPr w:rsidR="00681AE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FF375" w14:textId="77777777" w:rsidR="006B7B6B" w:rsidRDefault="006B7B6B">
      <w:r>
        <w:separator/>
      </w:r>
    </w:p>
  </w:endnote>
  <w:endnote w:type="continuationSeparator" w:id="0">
    <w:p w14:paraId="79FEAAEC" w14:textId="77777777" w:rsidR="006B7B6B" w:rsidRDefault="006B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F6063" w14:textId="77777777" w:rsidR="00720905" w:rsidRDefault="007209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20905">
          <w:rPr>
            <w:noProof/>
            <w:sz w:val="16"/>
            <w:szCs w:val="22"/>
          </w:rPr>
          <w:t>1</w:t>
        </w:r>
        <w:r w:rsidRPr="00934A2C">
          <w:rPr>
            <w:noProof/>
            <w:sz w:val="16"/>
            <w:szCs w:val="22"/>
          </w:rPr>
          <w:fldChar w:fldCharType="end"/>
        </w:r>
      </w:p>
    </w:sdtContent>
  </w:sdt>
  <w:p w14:paraId="331FBE7F"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07E14" w14:textId="77777777" w:rsidR="006B7B6B" w:rsidRPr="000F35ED" w:rsidRDefault="006B7B6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4F538CB" w14:textId="77777777" w:rsidR="006B7B6B" w:rsidRPr="000F35ED" w:rsidRDefault="006B7B6B" w:rsidP="000F35ED">
      <w:pPr>
        <w:rPr>
          <w:rFonts w:asciiTheme="majorHAnsi" w:hAnsiTheme="majorHAnsi"/>
          <w:sz w:val="16"/>
          <w:szCs w:val="16"/>
        </w:rPr>
      </w:pPr>
      <w:r w:rsidRPr="000F35ED">
        <w:rPr>
          <w:rFonts w:asciiTheme="majorHAnsi" w:hAnsiTheme="majorHAnsi"/>
          <w:sz w:val="16"/>
          <w:szCs w:val="16"/>
        </w:rPr>
        <w:separator/>
      </w:r>
    </w:p>
    <w:p w14:paraId="5E90A4C7" w14:textId="77777777" w:rsidR="006B7B6B" w:rsidRPr="000F35ED" w:rsidRDefault="006B7B6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509BB27" w14:textId="77777777" w:rsidR="006B7B6B" w:rsidRPr="000F35ED" w:rsidRDefault="006B7B6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841AA15" w14:textId="0382F39B" w:rsidR="00F93BC6" w:rsidRPr="00D71E7B" w:rsidRDefault="00F93BC6" w:rsidP="00D71E7B">
      <w:pPr>
        <w:pStyle w:val="FootnoteText"/>
        <w:ind w:firstLine="720"/>
        <w:jc w:val="both"/>
        <w:rPr>
          <w:rFonts w:ascii="Cambria" w:hAnsi="Cambria"/>
          <w:sz w:val="16"/>
          <w:szCs w:val="16"/>
          <w:lang w:val="es-CO"/>
        </w:rPr>
      </w:pPr>
      <w:r w:rsidRPr="00D71E7B">
        <w:rPr>
          <w:rStyle w:val="FootnoteReference"/>
          <w:rFonts w:ascii="Cambria" w:hAnsi="Cambria"/>
          <w:sz w:val="16"/>
          <w:szCs w:val="16"/>
        </w:rPr>
        <w:footnoteRef/>
      </w:r>
      <w:r w:rsidRPr="00D71E7B">
        <w:rPr>
          <w:rFonts w:ascii="Cambria" w:hAnsi="Cambria"/>
          <w:sz w:val="16"/>
          <w:szCs w:val="16"/>
          <w:lang w:val="es-CO"/>
        </w:rPr>
        <w:t xml:space="preserve"> Se identifica en la petición a las siguientes personas como parientes de Luis Ernesto Ramírez Correa: (1) Arcadio Ramírez, (2) María Eugenia Correa Moncada.</w:t>
      </w:r>
    </w:p>
  </w:footnote>
  <w:footnote w:id="3">
    <w:p w14:paraId="51757058" w14:textId="0106AA2E" w:rsidR="00F93BC6" w:rsidRPr="00D71E7B" w:rsidRDefault="00F93BC6" w:rsidP="00D71E7B">
      <w:pPr>
        <w:pStyle w:val="FootnoteText"/>
        <w:ind w:firstLine="720"/>
        <w:jc w:val="both"/>
        <w:rPr>
          <w:rFonts w:ascii="Cambria" w:hAnsi="Cambria"/>
          <w:sz w:val="16"/>
          <w:szCs w:val="16"/>
          <w:lang w:val="es-CO"/>
        </w:rPr>
      </w:pPr>
      <w:r w:rsidRPr="00D71E7B">
        <w:rPr>
          <w:rStyle w:val="FootnoteReference"/>
          <w:rFonts w:ascii="Cambria" w:hAnsi="Cambria"/>
          <w:sz w:val="16"/>
          <w:szCs w:val="16"/>
        </w:rPr>
        <w:footnoteRef/>
      </w:r>
      <w:r w:rsidRPr="00D71E7B">
        <w:rPr>
          <w:rFonts w:ascii="Cambria" w:hAnsi="Cambria"/>
          <w:sz w:val="16"/>
          <w:szCs w:val="16"/>
          <w:lang w:val="es-CO"/>
        </w:rPr>
        <w:t xml:space="preserve"> Se identifica en la petición a las siguientes personas como parientes de </w:t>
      </w:r>
      <w:proofErr w:type="spellStart"/>
      <w:r w:rsidRPr="00D71E7B">
        <w:rPr>
          <w:rFonts w:ascii="Cambria" w:hAnsi="Cambria"/>
          <w:sz w:val="16"/>
          <w:szCs w:val="16"/>
          <w:lang w:val="es-CO"/>
        </w:rPr>
        <w:t>Jhon</w:t>
      </w:r>
      <w:proofErr w:type="spellEnd"/>
      <w:r w:rsidRPr="00D71E7B">
        <w:rPr>
          <w:rFonts w:ascii="Cambria" w:hAnsi="Cambria"/>
          <w:sz w:val="16"/>
          <w:szCs w:val="16"/>
          <w:lang w:val="es-CO"/>
        </w:rPr>
        <w:t xml:space="preserve"> Freddy Mayor Díaz: (1) Wilson Mayor Díaz; (2) Brayan Mayor Díaz; (3) Freddy Mayor Gómez; (4) María del Tránsito Díaz; (5) María Virgelina Díaz.</w:t>
      </w:r>
    </w:p>
  </w:footnote>
  <w:footnote w:id="4">
    <w:p w14:paraId="7F3F16DD" w14:textId="2A6A89FC" w:rsidR="00F93BC6" w:rsidRPr="00D71E7B" w:rsidRDefault="00F93BC6" w:rsidP="00D71E7B">
      <w:pPr>
        <w:pStyle w:val="FootnoteText"/>
        <w:ind w:firstLine="720"/>
        <w:jc w:val="both"/>
        <w:rPr>
          <w:rFonts w:ascii="Cambria" w:hAnsi="Cambria"/>
          <w:sz w:val="16"/>
          <w:szCs w:val="16"/>
          <w:lang w:val="es-CO"/>
        </w:rPr>
      </w:pPr>
      <w:r w:rsidRPr="00D71E7B">
        <w:rPr>
          <w:rStyle w:val="FootnoteReference"/>
          <w:rFonts w:ascii="Cambria" w:hAnsi="Cambria"/>
          <w:sz w:val="16"/>
          <w:szCs w:val="16"/>
        </w:rPr>
        <w:footnoteRef/>
      </w:r>
      <w:r w:rsidRPr="00D71E7B">
        <w:rPr>
          <w:rFonts w:ascii="Cambria" w:hAnsi="Cambria"/>
          <w:sz w:val="16"/>
          <w:szCs w:val="16"/>
          <w:lang w:val="es-CO"/>
        </w:rPr>
        <w:t xml:space="preserve"> Se identifica en la petición a las siguientes personas como parientes de Steven Alberto Díaz Ordóñez: (1) Beatriz Ordóñez García; (2) Gladys García de Ordóñez; (3) Kevin Alejandro Díaz Ordóñez.</w:t>
      </w:r>
    </w:p>
  </w:footnote>
  <w:footnote w:id="5">
    <w:p w14:paraId="46521685" w14:textId="44ABD8C2" w:rsidR="00F93BC6" w:rsidRPr="00D71E7B" w:rsidRDefault="00F93BC6" w:rsidP="00D71E7B">
      <w:pPr>
        <w:pStyle w:val="FootnoteText"/>
        <w:ind w:firstLine="720"/>
        <w:jc w:val="both"/>
        <w:rPr>
          <w:rFonts w:ascii="Cambria" w:hAnsi="Cambria"/>
          <w:sz w:val="16"/>
          <w:szCs w:val="16"/>
          <w:lang w:val="es-CO"/>
        </w:rPr>
      </w:pPr>
      <w:r w:rsidRPr="00D71E7B">
        <w:rPr>
          <w:rStyle w:val="FootnoteReference"/>
          <w:rFonts w:ascii="Cambria" w:hAnsi="Cambria"/>
          <w:sz w:val="16"/>
          <w:szCs w:val="16"/>
        </w:rPr>
        <w:footnoteRef/>
      </w:r>
      <w:r w:rsidRPr="00D71E7B">
        <w:rPr>
          <w:rFonts w:ascii="Cambria" w:hAnsi="Cambria"/>
          <w:sz w:val="16"/>
          <w:szCs w:val="16"/>
          <w:lang w:val="es-CO"/>
        </w:rPr>
        <w:t xml:space="preserve"> Se identifica en la petición a las siguientes personas como parientes de Nelson Andrés </w:t>
      </w:r>
      <w:proofErr w:type="spellStart"/>
      <w:r w:rsidRPr="00D71E7B">
        <w:rPr>
          <w:rFonts w:ascii="Cambria" w:hAnsi="Cambria"/>
          <w:sz w:val="16"/>
          <w:szCs w:val="16"/>
          <w:lang w:val="es-CO"/>
        </w:rPr>
        <w:t>Zans</w:t>
      </w:r>
      <w:proofErr w:type="spellEnd"/>
      <w:r w:rsidRPr="00D71E7B">
        <w:rPr>
          <w:rFonts w:ascii="Cambria" w:hAnsi="Cambria"/>
          <w:sz w:val="16"/>
          <w:szCs w:val="16"/>
          <w:lang w:val="es-CO"/>
        </w:rPr>
        <w:t xml:space="preserve"> Díaz: (1) Yuly </w:t>
      </w:r>
      <w:proofErr w:type="spellStart"/>
      <w:r w:rsidRPr="00D71E7B">
        <w:rPr>
          <w:rFonts w:ascii="Cambria" w:hAnsi="Cambria"/>
          <w:sz w:val="16"/>
          <w:szCs w:val="16"/>
          <w:lang w:val="es-CO"/>
        </w:rPr>
        <w:t>Pauline</w:t>
      </w:r>
      <w:proofErr w:type="spellEnd"/>
      <w:r w:rsidRPr="00D71E7B">
        <w:rPr>
          <w:rFonts w:ascii="Cambria" w:hAnsi="Cambria"/>
          <w:sz w:val="16"/>
          <w:szCs w:val="16"/>
          <w:lang w:val="es-CO"/>
        </w:rPr>
        <w:t xml:space="preserve"> </w:t>
      </w:r>
      <w:proofErr w:type="spellStart"/>
      <w:r w:rsidRPr="00D71E7B">
        <w:rPr>
          <w:rFonts w:ascii="Cambria" w:hAnsi="Cambria"/>
          <w:sz w:val="16"/>
          <w:szCs w:val="16"/>
          <w:lang w:val="es-CO"/>
        </w:rPr>
        <w:t>Zans</w:t>
      </w:r>
      <w:proofErr w:type="spellEnd"/>
      <w:r w:rsidRPr="00D71E7B">
        <w:rPr>
          <w:rFonts w:ascii="Cambria" w:hAnsi="Cambria"/>
          <w:sz w:val="16"/>
          <w:szCs w:val="16"/>
          <w:lang w:val="es-CO"/>
        </w:rPr>
        <w:t xml:space="preserve">; (2) </w:t>
      </w:r>
      <w:proofErr w:type="spellStart"/>
      <w:r w:rsidRPr="00D71E7B">
        <w:rPr>
          <w:rFonts w:ascii="Cambria" w:hAnsi="Cambria"/>
          <w:sz w:val="16"/>
          <w:szCs w:val="16"/>
          <w:lang w:val="es-CO"/>
        </w:rPr>
        <w:t>Dabeiba</w:t>
      </w:r>
      <w:proofErr w:type="spellEnd"/>
      <w:r w:rsidRPr="00D71E7B">
        <w:rPr>
          <w:rFonts w:ascii="Cambria" w:hAnsi="Cambria"/>
          <w:sz w:val="16"/>
          <w:szCs w:val="16"/>
          <w:lang w:val="es-CO"/>
        </w:rPr>
        <w:t xml:space="preserve"> Esther Díaz.</w:t>
      </w:r>
    </w:p>
  </w:footnote>
  <w:footnote w:id="6">
    <w:p w14:paraId="5BE59FCF" w14:textId="124E5D6F" w:rsidR="00F93BC6" w:rsidRPr="00D71E7B" w:rsidRDefault="00F93BC6" w:rsidP="00D71E7B">
      <w:pPr>
        <w:pStyle w:val="FootnoteText"/>
        <w:ind w:firstLine="720"/>
        <w:jc w:val="both"/>
        <w:rPr>
          <w:rFonts w:ascii="Cambria" w:hAnsi="Cambria"/>
          <w:sz w:val="16"/>
          <w:szCs w:val="16"/>
          <w:lang w:val="es-CO"/>
        </w:rPr>
      </w:pPr>
      <w:r w:rsidRPr="00D71E7B">
        <w:rPr>
          <w:rStyle w:val="FootnoteReference"/>
          <w:rFonts w:ascii="Cambria" w:hAnsi="Cambria"/>
          <w:sz w:val="16"/>
          <w:szCs w:val="16"/>
        </w:rPr>
        <w:footnoteRef/>
      </w:r>
      <w:r w:rsidRPr="00D71E7B">
        <w:rPr>
          <w:rFonts w:ascii="Cambria" w:hAnsi="Cambria"/>
          <w:sz w:val="16"/>
          <w:szCs w:val="16"/>
          <w:lang w:val="es-CO"/>
        </w:rPr>
        <w:t xml:space="preserve"> </w:t>
      </w:r>
      <w:r w:rsidR="00D71E7B" w:rsidRPr="00D71E7B">
        <w:rPr>
          <w:rFonts w:ascii="Cambria" w:hAnsi="Cambria"/>
          <w:sz w:val="16"/>
          <w:szCs w:val="16"/>
          <w:lang w:val="es-CO"/>
        </w:rPr>
        <w:t xml:space="preserve">Se identifica en la petición a las siguientes personas como parientes de Oscar Eduardo Rubio: (1) Luis Felipe Rubio; (2) Stella Potes; (3) Leonor Caicedo; (4) Tito Rubio; (5) Tulia </w:t>
      </w:r>
      <w:proofErr w:type="spellStart"/>
      <w:r w:rsidR="00D71E7B" w:rsidRPr="00D71E7B">
        <w:rPr>
          <w:rFonts w:ascii="Cambria" w:hAnsi="Cambria"/>
          <w:sz w:val="16"/>
          <w:szCs w:val="16"/>
          <w:lang w:val="es-CO"/>
        </w:rPr>
        <w:t>Chausa</w:t>
      </w:r>
      <w:proofErr w:type="spellEnd"/>
      <w:r w:rsidR="00D71E7B" w:rsidRPr="00D71E7B">
        <w:rPr>
          <w:rFonts w:ascii="Cambria" w:hAnsi="Cambria"/>
          <w:sz w:val="16"/>
          <w:szCs w:val="16"/>
          <w:lang w:val="es-CO"/>
        </w:rPr>
        <w:t>.</w:t>
      </w:r>
    </w:p>
  </w:footnote>
  <w:footnote w:id="7">
    <w:p w14:paraId="5CFDFFDA" w14:textId="60A03742" w:rsidR="00D71E7B" w:rsidRPr="00D71E7B" w:rsidRDefault="00D71E7B" w:rsidP="00D71E7B">
      <w:pPr>
        <w:pStyle w:val="FootnoteText"/>
        <w:ind w:firstLine="720"/>
        <w:jc w:val="both"/>
        <w:rPr>
          <w:rFonts w:ascii="Cambria" w:hAnsi="Cambria"/>
          <w:sz w:val="16"/>
          <w:szCs w:val="16"/>
          <w:lang w:val="es-CO"/>
        </w:rPr>
      </w:pPr>
      <w:r w:rsidRPr="00D71E7B">
        <w:rPr>
          <w:rStyle w:val="FootnoteReference"/>
          <w:rFonts w:ascii="Cambria" w:hAnsi="Cambria"/>
          <w:sz w:val="16"/>
          <w:szCs w:val="16"/>
        </w:rPr>
        <w:footnoteRef/>
      </w:r>
      <w:r w:rsidRPr="00D71E7B">
        <w:rPr>
          <w:rFonts w:ascii="Cambria" w:hAnsi="Cambria"/>
          <w:sz w:val="16"/>
          <w:szCs w:val="16"/>
          <w:lang w:val="es-CO"/>
        </w:rPr>
        <w:t xml:space="preserve"> Se identifica en la petición a las siguientes personas como parientes de Fran Jimmy Villegas Londoño: (1) Luz </w:t>
      </w:r>
      <w:proofErr w:type="spellStart"/>
      <w:r w:rsidRPr="00D71E7B">
        <w:rPr>
          <w:rFonts w:ascii="Cambria" w:hAnsi="Cambria"/>
          <w:sz w:val="16"/>
          <w:szCs w:val="16"/>
          <w:lang w:val="es-CO"/>
        </w:rPr>
        <w:t>Belly</w:t>
      </w:r>
      <w:proofErr w:type="spellEnd"/>
      <w:r w:rsidRPr="00D71E7B">
        <w:rPr>
          <w:rFonts w:ascii="Cambria" w:hAnsi="Cambria"/>
          <w:sz w:val="16"/>
          <w:szCs w:val="16"/>
          <w:lang w:val="es-CO"/>
        </w:rPr>
        <w:t xml:space="preserve"> Londoño Quintero; (2) Diana Marcela Villegas Londoño; (3) María Jael Burbano Mena; (4) Jorge Iván Villegas Burbano; (5) José Alirio Londoño; (6) Silveria Quintero de Londoño.</w:t>
      </w:r>
    </w:p>
  </w:footnote>
  <w:footnote w:id="8">
    <w:p w14:paraId="0C248CD4" w14:textId="1BBF6FE4" w:rsidR="00D71E7B" w:rsidRPr="00D71E7B" w:rsidRDefault="00D71E7B" w:rsidP="00D71E7B">
      <w:pPr>
        <w:pStyle w:val="FootnoteText"/>
        <w:ind w:firstLine="720"/>
        <w:jc w:val="both"/>
        <w:rPr>
          <w:lang w:val="es-CO"/>
        </w:rPr>
      </w:pPr>
      <w:r w:rsidRPr="00D71E7B">
        <w:rPr>
          <w:rStyle w:val="FootnoteReference"/>
          <w:rFonts w:ascii="Cambria" w:hAnsi="Cambria"/>
          <w:sz w:val="16"/>
          <w:szCs w:val="16"/>
        </w:rPr>
        <w:footnoteRef/>
      </w:r>
      <w:r w:rsidRPr="00D71E7B">
        <w:rPr>
          <w:rFonts w:ascii="Cambria" w:hAnsi="Cambria"/>
          <w:sz w:val="16"/>
          <w:szCs w:val="16"/>
          <w:lang w:val="es-CO"/>
        </w:rPr>
        <w:t xml:space="preserve"> Se identifica en la petición a las siguientes personas como parientes de José Ignacio Salinas </w:t>
      </w:r>
      <w:proofErr w:type="spellStart"/>
      <w:r w:rsidRPr="00D71E7B">
        <w:rPr>
          <w:rFonts w:ascii="Cambria" w:hAnsi="Cambria"/>
          <w:sz w:val="16"/>
          <w:szCs w:val="16"/>
          <w:lang w:val="es-CO"/>
        </w:rPr>
        <w:t>Zetty</w:t>
      </w:r>
      <w:proofErr w:type="spellEnd"/>
      <w:r w:rsidRPr="00D71E7B">
        <w:rPr>
          <w:rFonts w:ascii="Cambria" w:hAnsi="Cambria"/>
          <w:sz w:val="16"/>
          <w:szCs w:val="16"/>
          <w:lang w:val="es-CO"/>
        </w:rPr>
        <w:t xml:space="preserve">: (1) Jonathan Salinas </w:t>
      </w:r>
      <w:proofErr w:type="spellStart"/>
      <w:r w:rsidRPr="00D71E7B">
        <w:rPr>
          <w:rFonts w:ascii="Cambria" w:hAnsi="Cambria"/>
          <w:sz w:val="16"/>
          <w:szCs w:val="16"/>
          <w:lang w:val="es-CO"/>
        </w:rPr>
        <w:t>Zetty</w:t>
      </w:r>
      <w:proofErr w:type="spellEnd"/>
      <w:r w:rsidRPr="00D71E7B">
        <w:rPr>
          <w:rFonts w:ascii="Cambria" w:hAnsi="Cambria"/>
          <w:sz w:val="16"/>
          <w:szCs w:val="16"/>
          <w:lang w:val="es-CO"/>
        </w:rPr>
        <w:t xml:space="preserve">; (2) Harold Salinas </w:t>
      </w:r>
      <w:proofErr w:type="spellStart"/>
      <w:r w:rsidRPr="00D71E7B">
        <w:rPr>
          <w:rFonts w:ascii="Cambria" w:hAnsi="Cambria"/>
          <w:sz w:val="16"/>
          <w:szCs w:val="16"/>
          <w:lang w:val="es-CO"/>
        </w:rPr>
        <w:t>Zetty</w:t>
      </w:r>
      <w:proofErr w:type="spellEnd"/>
      <w:r w:rsidRPr="00D71E7B">
        <w:rPr>
          <w:rFonts w:ascii="Cambria" w:hAnsi="Cambria"/>
          <w:sz w:val="16"/>
          <w:szCs w:val="16"/>
          <w:lang w:val="es-CO"/>
        </w:rPr>
        <w:t xml:space="preserve">; (3) Ana </w:t>
      </w:r>
      <w:proofErr w:type="spellStart"/>
      <w:r w:rsidRPr="00D71E7B">
        <w:rPr>
          <w:rFonts w:ascii="Cambria" w:hAnsi="Cambria"/>
          <w:sz w:val="16"/>
          <w:szCs w:val="16"/>
          <w:lang w:val="es-CO"/>
        </w:rPr>
        <w:t>Deiba</w:t>
      </w:r>
      <w:proofErr w:type="spellEnd"/>
      <w:r w:rsidRPr="00D71E7B">
        <w:rPr>
          <w:rFonts w:ascii="Cambria" w:hAnsi="Cambria"/>
          <w:sz w:val="16"/>
          <w:szCs w:val="16"/>
          <w:lang w:val="es-CO"/>
        </w:rPr>
        <w:t xml:space="preserve"> </w:t>
      </w:r>
      <w:proofErr w:type="spellStart"/>
      <w:r w:rsidRPr="00D71E7B">
        <w:rPr>
          <w:rFonts w:ascii="Cambria" w:hAnsi="Cambria"/>
          <w:sz w:val="16"/>
          <w:szCs w:val="16"/>
          <w:lang w:val="es-CO"/>
        </w:rPr>
        <w:t>Zetty</w:t>
      </w:r>
      <w:proofErr w:type="spellEnd"/>
      <w:r w:rsidRPr="00D71E7B">
        <w:rPr>
          <w:rFonts w:ascii="Cambria" w:hAnsi="Cambria"/>
          <w:sz w:val="16"/>
          <w:szCs w:val="16"/>
          <w:lang w:val="es-CO"/>
        </w:rPr>
        <w:t xml:space="preserve"> </w:t>
      </w:r>
      <w:proofErr w:type="spellStart"/>
      <w:r w:rsidRPr="00D71E7B">
        <w:rPr>
          <w:rFonts w:ascii="Cambria" w:hAnsi="Cambria"/>
          <w:sz w:val="16"/>
          <w:szCs w:val="16"/>
          <w:lang w:val="es-CO"/>
        </w:rPr>
        <w:t>Guetio</w:t>
      </w:r>
      <w:proofErr w:type="spellEnd"/>
      <w:r w:rsidRPr="00D71E7B">
        <w:rPr>
          <w:rFonts w:ascii="Cambria" w:hAnsi="Cambria"/>
          <w:sz w:val="16"/>
          <w:szCs w:val="16"/>
          <w:lang w:val="es-CO"/>
        </w:rPr>
        <w:t xml:space="preserve">; (4) </w:t>
      </w:r>
      <w:proofErr w:type="spellStart"/>
      <w:r w:rsidRPr="00D71E7B">
        <w:rPr>
          <w:rFonts w:ascii="Cambria" w:hAnsi="Cambria"/>
          <w:sz w:val="16"/>
          <w:szCs w:val="16"/>
          <w:lang w:val="es-CO"/>
        </w:rPr>
        <w:t>Yonny</w:t>
      </w:r>
      <w:proofErr w:type="spellEnd"/>
      <w:r w:rsidRPr="00D71E7B">
        <w:rPr>
          <w:rFonts w:ascii="Cambria" w:hAnsi="Cambria"/>
          <w:sz w:val="16"/>
          <w:szCs w:val="16"/>
          <w:lang w:val="es-CO"/>
        </w:rPr>
        <w:t xml:space="preserve"> Salinas </w:t>
      </w:r>
      <w:proofErr w:type="spellStart"/>
      <w:r w:rsidRPr="00D71E7B">
        <w:rPr>
          <w:rFonts w:ascii="Cambria" w:hAnsi="Cambria"/>
          <w:sz w:val="16"/>
          <w:szCs w:val="16"/>
          <w:lang w:val="es-CO"/>
        </w:rPr>
        <w:t>Zetty</w:t>
      </w:r>
      <w:proofErr w:type="spellEnd"/>
      <w:r w:rsidRPr="00D71E7B">
        <w:rPr>
          <w:rFonts w:ascii="Cambria" w:hAnsi="Cambria"/>
          <w:sz w:val="16"/>
          <w:szCs w:val="16"/>
          <w:lang w:val="es-CO"/>
        </w:rPr>
        <w:t xml:space="preserve">; (5) Paola Andrea Salinas </w:t>
      </w:r>
      <w:proofErr w:type="spellStart"/>
      <w:r w:rsidRPr="00D71E7B">
        <w:rPr>
          <w:rFonts w:ascii="Cambria" w:hAnsi="Cambria"/>
          <w:sz w:val="16"/>
          <w:szCs w:val="16"/>
          <w:lang w:val="es-CO"/>
        </w:rPr>
        <w:t>Zetty</w:t>
      </w:r>
      <w:proofErr w:type="spellEnd"/>
      <w:r w:rsidRPr="00D71E7B">
        <w:rPr>
          <w:rFonts w:ascii="Cambria" w:hAnsi="Cambria"/>
          <w:sz w:val="16"/>
          <w:szCs w:val="16"/>
          <w:lang w:val="es-CO"/>
        </w:rPr>
        <w:t xml:space="preserve">; (6) José Ignacio Salinas </w:t>
      </w:r>
      <w:proofErr w:type="spellStart"/>
      <w:r w:rsidRPr="00D71E7B">
        <w:rPr>
          <w:rFonts w:ascii="Cambria" w:hAnsi="Cambria"/>
          <w:sz w:val="16"/>
          <w:szCs w:val="16"/>
          <w:lang w:val="es-CO"/>
        </w:rPr>
        <w:t>Torijano</w:t>
      </w:r>
      <w:proofErr w:type="spellEnd"/>
      <w:r w:rsidRPr="00D71E7B">
        <w:rPr>
          <w:rFonts w:ascii="Cambria" w:hAnsi="Cambria"/>
          <w:sz w:val="16"/>
          <w:szCs w:val="16"/>
          <w:lang w:val="es-CO"/>
        </w:rPr>
        <w:t>.</w:t>
      </w:r>
    </w:p>
  </w:footnote>
  <w:footnote w:id="9">
    <w:p w14:paraId="32D6DB1B" w14:textId="32BB01D5" w:rsidR="00D71E7B" w:rsidRPr="00D71E7B" w:rsidRDefault="00D71E7B" w:rsidP="00D71E7B">
      <w:pPr>
        <w:pStyle w:val="FootnoteText"/>
        <w:ind w:firstLine="720"/>
        <w:rPr>
          <w:rFonts w:ascii="Cambria" w:hAnsi="Cambria"/>
          <w:sz w:val="16"/>
          <w:szCs w:val="16"/>
          <w:lang w:val="es-CO"/>
        </w:rPr>
      </w:pPr>
      <w:r w:rsidRPr="00D71E7B">
        <w:rPr>
          <w:rStyle w:val="FootnoteReference"/>
          <w:rFonts w:ascii="Cambria" w:hAnsi="Cambria"/>
          <w:sz w:val="16"/>
          <w:szCs w:val="16"/>
        </w:rPr>
        <w:footnoteRef/>
      </w:r>
      <w:r w:rsidRPr="00D71E7B">
        <w:rPr>
          <w:rFonts w:ascii="Cambria" w:hAnsi="Cambria"/>
          <w:sz w:val="16"/>
          <w:szCs w:val="16"/>
          <w:lang w:val="es-CO"/>
        </w:rPr>
        <w:t xml:space="preserve"> En adelante, “la Convención Americana” o “la Convención”.</w:t>
      </w:r>
    </w:p>
  </w:footnote>
  <w:footnote w:id="10">
    <w:p w14:paraId="60B3D662" w14:textId="12F0330F"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11">
    <w:p w14:paraId="03CE96BC" w14:textId="77777777" w:rsidR="00E02871" w:rsidRPr="007D0210" w:rsidRDefault="00E02871" w:rsidP="00E02871">
      <w:pPr>
        <w:pStyle w:val="FootnoteText"/>
        <w:ind w:firstLine="720"/>
        <w:jc w:val="both"/>
        <w:rPr>
          <w:rFonts w:asciiTheme="majorHAnsi" w:hAnsiTheme="majorHAnsi" w:cstheme="minorHAnsi"/>
          <w:sz w:val="16"/>
          <w:szCs w:val="16"/>
          <w:lang w:val="es-US"/>
        </w:rPr>
      </w:pPr>
      <w:r w:rsidRPr="007D0210">
        <w:rPr>
          <w:rStyle w:val="FootnoteReference"/>
          <w:rFonts w:asciiTheme="majorHAnsi" w:hAnsiTheme="majorHAnsi" w:cstheme="minorHAnsi"/>
          <w:sz w:val="16"/>
          <w:szCs w:val="16"/>
        </w:rPr>
        <w:footnoteRef/>
      </w:r>
      <w:r w:rsidRPr="007D0210">
        <w:rPr>
          <w:rFonts w:asciiTheme="majorHAnsi" w:hAnsiTheme="majorHAnsi" w:cstheme="minorHAnsi"/>
          <w:sz w:val="16"/>
          <w:szCs w:val="16"/>
          <w:lang w:val="es-US"/>
        </w:rPr>
        <w:t xml:space="preserve"> </w:t>
      </w:r>
      <w:r w:rsidRPr="007D0210">
        <w:rPr>
          <w:rFonts w:asciiTheme="majorHAnsi" w:hAnsiTheme="majorHAnsi"/>
          <w:sz w:val="16"/>
          <w:szCs w:val="16"/>
          <w:lang w:val="es-CO"/>
        </w:rPr>
        <w:t xml:space="preserve">CIDH, Informe No. 108/19. Petición 81-09. Admisibilidad. </w:t>
      </w:r>
      <w:proofErr w:type="spellStart"/>
      <w:r w:rsidRPr="007D0210">
        <w:rPr>
          <w:rFonts w:asciiTheme="majorHAnsi" w:hAnsiTheme="majorHAnsi"/>
          <w:sz w:val="16"/>
          <w:szCs w:val="16"/>
          <w:lang w:val="es-CO"/>
        </w:rPr>
        <w:t>Anael</w:t>
      </w:r>
      <w:proofErr w:type="spellEnd"/>
      <w:r w:rsidRPr="007D0210">
        <w:rPr>
          <w:rFonts w:asciiTheme="majorHAnsi" w:hAnsiTheme="majorHAnsi"/>
          <w:sz w:val="16"/>
          <w:szCs w:val="16"/>
          <w:lang w:val="es-CO"/>
        </w:rPr>
        <w:t xml:space="preserve"> Fidel </w:t>
      </w:r>
      <w:proofErr w:type="spellStart"/>
      <w:r w:rsidRPr="007D0210">
        <w:rPr>
          <w:rFonts w:asciiTheme="majorHAnsi" w:hAnsiTheme="majorHAnsi"/>
          <w:sz w:val="16"/>
          <w:szCs w:val="16"/>
          <w:lang w:val="es-CO"/>
        </w:rPr>
        <w:t>Sanjuanelo</w:t>
      </w:r>
      <w:proofErr w:type="spellEnd"/>
      <w:r w:rsidRPr="007D0210">
        <w:rPr>
          <w:rFonts w:asciiTheme="majorHAnsi" w:hAnsiTheme="majorHAnsi"/>
          <w:sz w:val="16"/>
          <w:szCs w:val="16"/>
          <w:lang w:val="es-CO"/>
        </w:rPr>
        <w:t xml:space="preserve"> Polo y familia. Colombia. 28 de julio de 2019, </w:t>
      </w:r>
      <w:proofErr w:type="spellStart"/>
      <w:r w:rsidRPr="007D0210">
        <w:rPr>
          <w:rFonts w:asciiTheme="majorHAnsi" w:hAnsiTheme="majorHAnsi" w:cstheme="minorHAnsi"/>
          <w:sz w:val="16"/>
          <w:szCs w:val="16"/>
          <w:lang w:val="es-US"/>
        </w:rPr>
        <w:t>párrs</w:t>
      </w:r>
      <w:proofErr w:type="spellEnd"/>
      <w:r w:rsidRPr="007D0210">
        <w:rPr>
          <w:rFonts w:asciiTheme="majorHAnsi" w:hAnsiTheme="majorHAnsi" w:cstheme="minorHAnsi"/>
          <w:sz w:val="16"/>
          <w:szCs w:val="16"/>
          <w:lang w:val="es-US"/>
        </w:rPr>
        <w:t xml:space="preserve">. 17-19; </w:t>
      </w:r>
      <w:r w:rsidRPr="007D0210">
        <w:rPr>
          <w:rFonts w:asciiTheme="majorHAnsi" w:hAnsiTheme="majorHAnsi"/>
          <w:sz w:val="16"/>
          <w:szCs w:val="16"/>
          <w:lang w:val="es-CO"/>
        </w:rPr>
        <w:t xml:space="preserve">CIDH, Informe No. 181/20. Petición 380-10. Admisibilidad. Gustavo Emilio Gómez Galeano y familiares. Colombia. 7 de julio de 2020, párr. 8. </w:t>
      </w:r>
    </w:p>
  </w:footnote>
  <w:footnote w:id="12">
    <w:p w14:paraId="02A1604A" w14:textId="3E21811B" w:rsidR="00481AB1" w:rsidRPr="00481AB1" w:rsidRDefault="00481AB1" w:rsidP="00481AB1">
      <w:pPr>
        <w:pStyle w:val="FootnoteText"/>
        <w:ind w:firstLine="720"/>
        <w:jc w:val="both"/>
        <w:rPr>
          <w:rFonts w:asciiTheme="majorHAnsi" w:hAnsiTheme="majorHAnsi"/>
          <w:sz w:val="16"/>
          <w:szCs w:val="16"/>
          <w:lang w:val="es-ES_tradnl"/>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16 de octubre de 2008, párr. </w:t>
      </w:r>
      <w:r w:rsidRPr="000B43B8">
        <w:rPr>
          <w:rFonts w:asciiTheme="majorHAnsi" w:hAnsiTheme="majorHAnsi"/>
          <w:sz w:val="16"/>
          <w:szCs w:val="16"/>
          <w:lang w:val="es-US"/>
        </w:rPr>
        <w:t>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6B7B6B"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F687C" w14:textId="77777777" w:rsidR="00720905" w:rsidRDefault="00720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43AD6"/>
    <w:rsid w:val="00071174"/>
    <w:rsid w:val="000716C5"/>
    <w:rsid w:val="00075E23"/>
    <w:rsid w:val="00081B0C"/>
    <w:rsid w:val="0009344A"/>
    <w:rsid w:val="000A392E"/>
    <w:rsid w:val="000A575F"/>
    <w:rsid w:val="000B1533"/>
    <w:rsid w:val="000D05CB"/>
    <w:rsid w:val="000D10DB"/>
    <w:rsid w:val="000E5EB5"/>
    <w:rsid w:val="000F35ED"/>
    <w:rsid w:val="00104B39"/>
    <w:rsid w:val="00107131"/>
    <w:rsid w:val="0010736F"/>
    <w:rsid w:val="00113F73"/>
    <w:rsid w:val="00121CC2"/>
    <w:rsid w:val="00131425"/>
    <w:rsid w:val="00133EE5"/>
    <w:rsid w:val="001455D9"/>
    <w:rsid w:val="00167A34"/>
    <w:rsid w:val="00170358"/>
    <w:rsid w:val="001A520D"/>
    <w:rsid w:val="001A7870"/>
    <w:rsid w:val="001B3A00"/>
    <w:rsid w:val="001C1B41"/>
    <w:rsid w:val="001D3D08"/>
    <w:rsid w:val="001D65EF"/>
    <w:rsid w:val="001E428F"/>
    <w:rsid w:val="001E49E7"/>
    <w:rsid w:val="001F7201"/>
    <w:rsid w:val="002111E0"/>
    <w:rsid w:val="00223A29"/>
    <w:rsid w:val="00224AD3"/>
    <w:rsid w:val="002250A3"/>
    <w:rsid w:val="00235217"/>
    <w:rsid w:val="00246D1F"/>
    <w:rsid w:val="00247403"/>
    <w:rsid w:val="00247542"/>
    <w:rsid w:val="002535A1"/>
    <w:rsid w:val="00257262"/>
    <w:rsid w:val="00266B61"/>
    <w:rsid w:val="0026712A"/>
    <w:rsid w:val="002704DB"/>
    <w:rsid w:val="002A0AAE"/>
    <w:rsid w:val="002A5820"/>
    <w:rsid w:val="002C1ABF"/>
    <w:rsid w:val="002C4A87"/>
    <w:rsid w:val="002C77CD"/>
    <w:rsid w:val="002D2B26"/>
    <w:rsid w:val="002D36AE"/>
    <w:rsid w:val="002D7EA2"/>
    <w:rsid w:val="002E187C"/>
    <w:rsid w:val="002E4209"/>
    <w:rsid w:val="00302733"/>
    <w:rsid w:val="0030476A"/>
    <w:rsid w:val="00305835"/>
    <w:rsid w:val="00306F33"/>
    <w:rsid w:val="00314078"/>
    <w:rsid w:val="0031535D"/>
    <w:rsid w:val="00317E5E"/>
    <w:rsid w:val="003239B8"/>
    <w:rsid w:val="0033169F"/>
    <w:rsid w:val="00332432"/>
    <w:rsid w:val="00344977"/>
    <w:rsid w:val="00346C95"/>
    <w:rsid w:val="00356185"/>
    <w:rsid w:val="00360380"/>
    <w:rsid w:val="0037519E"/>
    <w:rsid w:val="00386CF0"/>
    <w:rsid w:val="003A0B28"/>
    <w:rsid w:val="003B70FB"/>
    <w:rsid w:val="003C01EE"/>
    <w:rsid w:val="003C40F5"/>
    <w:rsid w:val="003C676B"/>
    <w:rsid w:val="003D3BC2"/>
    <w:rsid w:val="003E6CA1"/>
    <w:rsid w:val="003F3ED6"/>
    <w:rsid w:val="003F5154"/>
    <w:rsid w:val="00405F9C"/>
    <w:rsid w:val="004065A8"/>
    <w:rsid w:val="004165C2"/>
    <w:rsid w:val="00441C41"/>
    <w:rsid w:val="00441ECB"/>
    <w:rsid w:val="00445193"/>
    <w:rsid w:val="00462C1B"/>
    <w:rsid w:val="00467B7E"/>
    <w:rsid w:val="00473BB4"/>
    <w:rsid w:val="00473DF8"/>
    <w:rsid w:val="00477592"/>
    <w:rsid w:val="00481AB1"/>
    <w:rsid w:val="00485E30"/>
    <w:rsid w:val="00486F1C"/>
    <w:rsid w:val="0049419D"/>
    <w:rsid w:val="004A6A54"/>
    <w:rsid w:val="004A7FFE"/>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34A3D"/>
    <w:rsid w:val="00544C49"/>
    <w:rsid w:val="005516A1"/>
    <w:rsid w:val="005559EF"/>
    <w:rsid w:val="00563557"/>
    <w:rsid w:val="00564EFA"/>
    <w:rsid w:val="0057402A"/>
    <w:rsid w:val="005771D0"/>
    <w:rsid w:val="0059191A"/>
    <w:rsid w:val="005921FF"/>
    <w:rsid w:val="005A24ED"/>
    <w:rsid w:val="005A6D0E"/>
    <w:rsid w:val="005B52B0"/>
    <w:rsid w:val="005B6806"/>
    <w:rsid w:val="005B6E50"/>
    <w:rsid w:val="005C1EB4"/>
    <w:rsid w:val="005C4225"/>
    <w:rsid w:val="005F0DAD"/>
    <w:rsid w:val="005F0F33"/>
    <w:rsid w:val="00600DEB"/>
    <w:rsid w:val="00627C9F"/>
    <w:rsid w:val="006311E9"/>
    <w:rsid w:val="00632354"/>
    <w:rsid w:val="00635421"/>
    <w:rsid w:val="00642810"/>
    <w:rsid w:val="00652333"/>
    <w:rsid w:val="006617D9"/>
    <w:rsid w:val="00664172"/>
    <w:rsid w:val="0068009E"/>
    <w:rsid w:val="00681AE7"/>
    <w:rsid w:val="00692219"/>
    <w:rsid w:val="006A17D2"/>
    <w:rsid w:val="006A2CBD"/>
    <w:rsid w:val="006A73E6"/>
    <w:rsid w:val="006B2D5C"/>
    <w:rsid w:val="006B7B6B"/>
    <w:rsid w:val="006C0ECF"/>
    <w:rsid w:val="006C4EB1"/>
    <w:rsid w:val="006E0166"/>
    <w:rsid w:val="006E2FFB"/>
    <w:rsid w:val="006E7B34"/>
    <w:rsid w:val="006F2448"/>
    <w:rsid w:val="0070697F"/>
    <w:rsid w:val="007103C4"/>
    <w:rsid w:val="00720905"/>
    <w:rsid w:val="0072199C"/>
    <w:rsid w:val="00722C9F"/>
    <w:rsid w:val="007253B8"/>
    <w:rsid w:val="0073741F"/>
    <w:rsid w:val="0076643F"/>
    <w:rsid w:val="00777F63"/>
    <w:rsid w:val="00785A59"/>
    <w:rsid w:val="007A5817"/>
    <w:rsid w:val="007B05C4"/>
    <w:rsid w:val="007B60E9"/>
    <w:rsid w:val="007B6CC3"/>
    <w:rsid w:val="007B76D3"/>
    <w:rsid w:val="007C3334"/>
    <w:rsid w:val="007D2B98"/>
    <w:rsid w:val="007E21BC"/>
    <w:rsid w:val="007E7C82"/>
    <w:rsid w:val="007F2AA1"/>
    <w:rsid w:val="007F588D"/>
    <w:rsid w:val="007F7CEB"/>
    <w:rsid w:val="00803F1C"/>
    <w:rsid w:val="0080600E"/>
    <w:rsid w:val="00814688"/>
    <w:rsid w:val="00817612"/>
    <w:rsid w:val="0082199D"/>
    <w:rsid w:val="008338A4"/>
    <w:rsid w:val="00834D49"/>
    <w:rsid w:val="00837C45"/>
    <w:rsid w:val="00844730"/>
    <w:rsid w:val="008457C2"/>
    <w:rsid w:val="00847B16"/>
    <w:rsid w:val="00857A82"/>
    <w:rsid w:val="00873836"/>
    <w:rsid w:val="00885737"/>
    <w:rsid w:val="00890650"/>
    <w:rsid w:val="008944DC"/>
    <w:rsid w:val="00897E12"/>
    <w:rsid w:val="008A7E0F"/>
    <w:rsid w:val="008B12F5"/>
    <w:rsid w:val="008C29D9"/>
    <w:rsid w:val="008C5E2D"/>
    <w:rsid w:val="008D768D"/>
    <w:rsid w:val="008E3759"/>
    <w:rsid w:val="008E3BFE"/>
    <w:rsid w:val="008F14C9"/>
    <w:rsid w:val="008F1912"/>
    <w:rsid w:val="008F5A25"/>
    <w:rsid w:val="00900FF6"/>
    <w:rsid w:val="0090270B"/>
    <w:rsid w:val="009041DC"/>
    <w:rsid w:val="00917B5A"/>
    <w:rsid w:val="00920A58"/>
    <w:rsid w:val="00920A8C"/>
    <w:rsid w:val="00924E54"/>
    <w:rsid w:val="00934A2C"/>
    <w:rsid w:val="0096706E"/>
    <w:rsid w:val="00974491"/>
    <w:rsid w:val="00975C4E"/>
    <w:rsid w:val="00981FBA"/>
    <w:rsid w:val="00997BC5"/>
    <w:rsid w:val="009A4F41"/>
    <w:rsid w:val="009B381B"/>
    <w:rsid w:val="009D1753"/>
    <w:rsid w:val="009D450F"/>
    <w:rsid w:val="009D7611"/>
    <w:rsid w:val="009E0B61"/>
    <w:rsid w:val="009E53DE"/>
    <w:rsid w:val="009F45E1"/>
    <w:rsid w:val="00A11212"/>
    <w:rsid w:val="00A11E44"/>
    <w:rsid w:val="00A30100"/>
    <w:rsid w:val="00A328B3"/>
    <w:rsid w:val="00A50FCF"/>
    <w:rsid w:val="00A528D1"/>
    <w:rsid w:val="00A55F10"/>
    <w:rsid w:val="00A610CD"/>
    <w:rsid w:val="00A758AA"/>
    <w:rsid w:val="00A803D9"/>
    <w:rsid w:val="00A87053"/>
    <w:rsid w:val="00AA09A2"/>
    <w:rsid w:val="00AA2E7F"/>
    <w:rsid w:val="00AA7996"/>
    <w:rsid w:val="00AB2293"/>
    <w:rsid w:val="00AC19CB"/>
    <w:rsid w:val="00AD265D"/>
    <w:rsid w:val="00AD4A48"/>
    <w:rsid w:val="00AE38EF"/>
    <w:rsid w:val="00AE5488"/>
    <w:rsid w:val="00AE6F91"/>
    <w:rsid w:val="00AF4E69"/>
    <w:rsid w:val="00AF5571"/>
    <w:rsid w:val="00B07341"/>
    <w:rsid w:val="00B10F1D"/>
    <w:rsid w:val="00B21930"/>
    <w:rsid w:val="00B23981"/>
    <w:rsid w:val="00B30539"/>
    <w:rsid w:val="00B314DB"/>
    <w:rsid w:val="00B361F2"/>
    <w:rsid w:val="00B3718B"/>
    <w:rsid w:val="00B3745F"/>
    <w:rsid w:val="00B4632A"/>
    <w:rsid w:val="00B530F1"/>
    <w:rsid w:val="00B7723C"/>
    <w:rsid w:val="00B81C6D"/>
    <w:rsid w:val="00B87DEF"/>
    <w:rsid w:val="00B93D7F"/>
    <w:rsid w:val="00BA276C"/>
    <w:rsid w:val="00BB019D"/>
    <w:rsid w:val="00BB306F"/>
    <w:rsid w:val="00BD0FF5"/>
    <w:rsid w:val="00BD4B89"/>
    <w:rsid w:val="00BD5922"/>
    <w:rsid w:val="00BE68B2"/>
    <w:rsid w:val="00BE68C8"/>
    <w:rsid w:val="00BF02CB"/>
    <w:rsid w:val="00BF6FD8"/>
    <w:rsid w:val="00C03680"/>
    <w:rsid w:val="00C054DF"/>
    <w:rsid w:val="00C1683F"/>
    <w:rsid w:val="00C21762"/>
    <w:rsid w:val="00C21FEF"/>
    <w:rsid w:val="00C23BA4"/>
    <w:rsid w:val="00C24468"/>
    <w:rsid w:val="00C24543"/>
    <w:rsid w:val="00C256A2"/>
    <w:rsid w:val="00C25ADB"/>
    <w:rsid w:val="00C321C1"/>
    <w:rsid w:val="00C51515"/>
    <w:rsid w:val="00C5660B"/>
    <w:rsid w:val="00C66B72"/>
    <w:rsid w:val="00C87AC4"/>
    <w:rsid w:val="00C914F1"/>
    <w:rsid w:val="00C9567A"/>
    <w:rsid w:val="00CA09E0"/>
    <w:rsid w:val="00CB212D"/>
    <w:rsid w:val="00CB2660"/>
    <w:rsid w:val="00CB6EB7"/>
    <w:rsid w:val="00CC2C78"/>
    <w:rsid w:val="00CC5E90"/>
    <w:rsid w:val="00CD046C"/>
    <w:rsid w:val="00CD2D6E"/>
    <w:rsid w:val="00CE076C"/>
    <w:rsid w:val="00CE5199"/>
    <w:rsid w:val="00CE66D5"/>
    <w:rsid w:val="00CE6ABC"/>
    <w:rsid w:val="00CF637A"/>
    <w:rsid w:val="00CF66BF"/>
    <w:rsid w:val="00D019D9"/>
    <w:rsid w:val="00D059DE"/>
    <w:rsid w:val="00D05ABD"/>
    <w:rsid w:val="00D13FCE"/>
    <w:rsid w:val="00D306D1"/>
    <w:rsid w:val="00D30800"/>
    <w:rsid w:val="00D34786"/>
    <w:rsid w:val="00D37BFC"/>
    <w:rsid w:val="00D47A8E"/>
    <w:rsid w:val="00D52D14"/>
    <w:rsid w:val="00D64605"/>
    <w:rsid w:val="00D712D3"/>
    <w:rsid w:val="00D71422"/>
    <w:rsid w:val="00D71E7B"/>
    <w:rsid w:val="00D72DC6"/>
    <w:rsid w:val="00D7558D"/>
    <w:rsid w:val="00D81D92"/>
    <w:rsid w:val="00D876F9"/>
    <w:rsid w:val="00DA7B5F"/>
    <w:rsid w:val="00DC11E7"/>
    <w:rsid w:val="00DC24E3"/>
    <w:rsid w:val="00DC7023"/>
    <w:rsid w:val="00DC769A"/>
    <w:rsid w:val="00DD3D86"/>
    <w:rsid w:val="00DD4AD2"/>
    <w:rsid w:val="00DE2862"/>
    <w:rsid w:val="00DF1EC4"/>
    <w:rsid w:val="00DF59D5"/>
    <w:rsid w:val="00E02871"/>
    <w:rsid w:val="00E0340B"/>
    <w:rsid w:val="00E04A90"/>
    <w:rsid w:val="00E0551F"/>
    <w:rsid w:val="00E219C7"/>
    <w:rsid w:val="00E4118C"/>
    <w:rsid w:val="00E43157"/>
    <w:rsid w:val="00E461CE"/>
    <w:rsid w:val="00E573E4"/>
    <w:rsid w:val="00E64C3D"/>
    <w:rsid w:val="00E720CA"/>
    <w:rsid w:val="00E84EB5"/>
    <w:rsid w:val="00E85662"/>
    <w:rsid w:val="00E8789F"/>
    <w:rsid w:val="00E97B71"/>
    <w:rsid w:val="00EA3D34"/>
    <w:rsid w:val="00EB454D"/>
    <w:rsid w:val="00ED549D"/>
    <w:rsid w:val="00ED5E10"/>
    <w:rsid w:val="00ED76BE"/>
    <w:rsid w:val="00EE00E9"/>
    <w:rsid w:val="00EF1AAA"/>
    <w:rsid w:val="00EF619B"/>
    <w:rsid w:val="00F00B55"/>
    <w:rsid w:val="00F02AD1"/>
    <w:rsid w:val="00F253CC"/>
    <w:rsid w:val="00F336A9"/>
    <w:rsid w:val="00F366B6"/>
    <w:rsid w:val="00F37106"/>
    <w:rsid w:val="00F44E25"/>
    <w:rsid w:val="00F519CF"/>
    <w:rsid w:val="00F56BA5"/>
    <w:rsid w:val="00F60E22"/>
    <w:rsid w:val="00F7542E"/>
    <w:rsid w:val="00F81395"/>
    <w:rsid w:val="00F81BB8"/>
    <w:rsid w:val="00F90C64"/>
    <w:rsid w:val="00F917D1"/>
    <w:rsid w:val="00F93BC6"/>
    <w:rsid w:val="00F9653B"/>
    <w:rsid w:val="00FA6B55"/>
    <w:rsid w:val="00FB62CF"/>
    <w:rsid w:val="00FD3C3B"/>
    <w:rsid w:val="00FE07DD"/>
    <w:rsid w:val="00FE158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441C4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529DA"/>
    <w:rsid w:val="002A3923"/>
    <w:rsid w:val="002B2478"/>
    <w:rsid w:val="00341CDD"/>
    <w:rsid w:val="00394049"/>
    <w:rsid w:val="003A4A7D"/>
    <w:rsid w:val="003B0C71"/>
    <w:rsid w:val="004B5BBB"/>
    <w:rsid w:val="004F2DF8"/>
    <w:rsid w:val="00517E2A"/>
    <w:rsid w:val="006F24A1"/>
    <w:rsid w:val="00794422"/>
    <w:rsid w:val="008111D4"/>
    <w:rsid w:val="00844024"/>
    <w:rsid w:val="00912BCA"/>
    <w:rsid w:val="009A261B"/>
    <w:rsid w:val="00A9029B"/>
    <w:rsid w:val="00AA2E17"/>
    <w:rsid w:val="00AC15A4"/>
    <w:rsid w:val="00B0336C"/>
    <w:rsid w:val="00B82626"/>
    <w:rsid w:val="00C22330"/>
    <w:rsid w:val="00D0309F"/>
    <w:rsid w:val="00D241E9"/>
    <w:rsid w:val="00D7750D"/>
    <w:rsid w:val="00D8445F"/>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CE2DE-8F88-44EA-93F5-3AF68376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4646</Words>
  <Characters>24069</Characters>
  <Application>Microsoft Office Word</Application>
  <DocSecurity>0</DocSecurity>
  <Lines>437</Lines>
  <Paragraphs>130</Paragraphs>
  <ScaleCrop>false</ScaleCrop>
  <Company/>
  <LinksUpToDate>false</LinksUpToDate>
  <CharactersWithSpaces>28585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121/21</dc:title>
  <dc:creator/>
  <cp:lastModifiedBy/>
  <cp:revision>1</cp:revision>
  <dcterms:created xsi:type="dcterms:W3CDTF">2021-09-01T18:11:00Z</dcterms:created>
  <dcterms:modified xsi:type="dcterms:W3CDTF">2021-09-01T18:11:00Z</dcterms:modified>
</cp:coreProperties>
</file>