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6EFDB" id="Rectangle 1" o:spid="_x0000_s1026" style="position:absolute;margin-left:-32.75pt;margin-top:-34.6pt;width:121.5pt;height:716.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58245"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253E26A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C5C50">
                              <w:rPr>
                                <w:rFonts w:asciiTheme="majorHAnsi" w:hAnsiTheme="majorHAnsi" w:cs="Arial"/>
                                <w:b/>
                                <w:bCs/>
                                <w:color w:val="0D0D0D" w:themeColor="text1" w:themeTint="F2"/>
                                <w:sz w:val="36"/>
                                <w:szCs w:val="22"/>
                                <w:lang w:val="es-ES_tradnl"/>
                              </w:rPr>
                              <w:t>373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D265D">
                              <w:rPr>
                                <w:rFonts w:asciiTheme="majorHAnsi" w:hAnsiTheme="majorHAnsi" w:cs="Arial"/>
                                <w:b/>
                                <w:bCs/>
                                <w:color w:val="0D0D0D" w:themeColor="text1" w:themeTint="F2"/>
                                <w:sz w:val="36"/>
                                <w:szCs w:val="22"/>
                                <w:lang w:val="es-ES_tradnl"/>
                              </w:rPr>
                              <w:t>1</w:t>
                            </w:r>
                          </w:p>
                          <w:p w14:paraId="5EA9C1DE" w14:textId="36F5C52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E43DE">
                              <w:rPr>
                                <w:rFonts w:asciiTheme="majorHAnsi" w:hAnsiTheme="majorHAnsi" w:cs="Arial"/>
                                <w:b/>
                                <w:color w:val="0D0D0D" w:themeColor="text1" w:themeTint="F2"/>
                                <w:sz w:val="36"/>
                                <w:szCs w:val="22"/>
                                <w:lang w:val="es-ES_tradnl"/>
                              </w:rPr>
                              <w:t>590-13</w:t>
                            </w:r>
                            <w:r w:rsidR="00246D1F" w:rsidRPr="004E2649">
                              <w:rPr>
                                <w:rFonts w:asciiTheme="majorHAnsi" w:hAnsiTheme="majorHAnsi" w:cs="Arial"/>
                                <w:b/>
                                <w:color w:val="0D0D0D" w:themeColor="text1" w:themeTint="F2"/>
                                <w:sz w:val="36"/>
                                <w:szCs w:val="22"/>
                                <w:lang w:val="es-ES_tradnl"/>
                              </w:rPr>
                              <w:t xml:space="preserve"> </w:t>
                            </w:r>
                          </w:p>
                          <w:p w14:paraId="317F581C" w14:textId="0D983F2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47C40913" w:rsidR="005B52B0" w:rsidRPr="0010736F" w:rsidRDefault="00A61D1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OSCAR DARÍO SOTO POLO Y FAMILIARES</w:t>
                            </w:r>
                          </w:p>
                          <w:bookmarkEnd w:id="0"/>
                          <w:p w14:paraId="0409BA94" w14:textId="248D796A" w:rsidR="005B52B0" w:rsidRPr="0010736F" w:rsidRDefault="00A61D1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EEA9" id="Text Box 5" o:spid="_x0000_s1027" type="#_x0000_t202" style="position:absolute;left:0;text-align:left;margin-left:106.5pt;margin-top:8.45pt;width:349.7pt;height:171.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E10340D" w14:textId="253E26AB"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C5C50">
                        <w:rPr>
                          <w:rFonts w:asciiTheme="majorHAnsi" w:hAnsiTheme="majorHAnsi" w:cs="Arial"/>
                          <w:b/>
                          <w:bCs/>
                          <w:color w:val="0D0D0D" w:themeColor="text1" w:themeTint="F2"/>
                          <w:sz w:val="36"/>
                          <w:szCs w:val="22"/>
                          <w:lang w:val="es-ES_tradnl"/>
                        </w:rPr>
                        <w:t>373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AD265D">
                        <w:rPr>
                          <w:rFonts w:asciiTheme="majorHAnsi" w:hAnsiTheme="majorHAnsi" w:cs="Arial"/>
                          <w:b/>
                          <w:bCs/>
                          <w:color w:val="0D0D0D" w:themeColor="text1" w:themeTint="F2"/>
                          <w:sz w:val="36"/>
                          <w:szCs w:val="22"/>
                          <w:lang w:val="es-ES_tradnl"/>
                        </w:rPr>
                        <w:t>1</w:t>
                      </w:r>
                    </w:p>
                    <w:p w14:paraId="5EA9C1DE" w14:textId="36F5C520"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E43DE">
                        <w:rPr>
                          <w:rFonts w:asciiTheme="majorHAnsi" w:hAnsiTheme="majorHAnsi" w:cs="Arial"/>
                          <w:b/>
                          <w:color w:val="0D0D0D" w:themeColor="text1" w:themeTint="F2"/>
                          <w:sz w:val="36"/>
                          <w:szCs w:val="22"/>
                          <w:lang w:val="es-ES_tradnl"/>
                        </w:rPr>
                        <w:t>590-13</w:t>
                      </w:r>
                      <w:r w:rsidR="00246D1F" w:rsidRPr="004E2649">
                        <w:rPr>
                          <w:rFonts w:asciiTheme="majorHAnsi" w:hAnsiTheme="majorHAnsi" w:cs="Arial"/>
                          <w:b/>
                          <w:color w:val="0D0D0D" w:themeColor="text1" w:themeTint="F2"/>
                          <w:sz w:val="36"/>
                          <w:szCs w:val="22"/>
                          <w:lang w:val="es-ES_tradnl"/>
                        </w:rPr>
                        <w:t xml:space="preserve"> </w:t>
                      </w:r>
                    </w:p>
                    <w:p w14:paraId="317F581C" w14:textId="0D983F2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47C40913" w:rsidR="005B52B0" w:rsidRPr="0010736F" w:rsidRDefault="00A61D1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OSCAR DARÍO SOTO POLO Y FAMILIARES</w:t>
                      </w:r>
                    </w:p>
                    <w:bookmarkEnd w:id="1"/>
                    <w:p w14:paraId="0409BA94" w14:textId="248D796A" w:rsidR="005B52B0" w:rsidRPr="0010736F" w:rsidRDefault="00A61D1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24E21DBC" w:rsidR="00627C9F" w:rsidRPr="00EC5C50"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EC5C50">
                              <w:rPr>
                                <w:rFonts w:asciiTheme="minorHAnsi" w:hAnsiTheme="minorHAnsi"/>
                                <w:color w:val="FFFFFF" w:themeColor="background1"/>
                                <w:sz w:val="22"/>
                                <w:lang w:val="pt-BR"/>
                              </w:rPr>
                              <w:t>/V/II</w:t>
                            </w:r>
                          </w:p>
                          <w:p w14:paraId="28E8B0DD" w14:textId="7FCCCF26" w:rsidR="00627C9F" w:rsidRPr="00EC5C50" w:rsidRDefault="00627C9F" w:rsidP="007A5817">
                            <w:pPr>
                              <w:spacing w:line="276" w:lineRule="auto"/>
                              <w:jc w:val="right"/>
                              <w:rPr>
                                <w:rFonts w:asciiTheme="minorHAnsi" w:hAnsiTheme="minorHAnsi"/>
                                <w:color w:val="FFFFFF" w:themeColor="background1"/>
                                <w:sz w:val="22"/>
                                <w:lang w:val="pt-BR"/>
                              </w:rPr>
                            </w:pPr>
                            <w:r w:rsidRPr="00EC5C50">
                              <w:rPr>
                                <w:rFonts w:asciiTheme="minorHAnsi" w:hAnsiTheme="minorHAnsi"/>
                                <w:color w:val="FFFFFF" w:themeColor="background1"/>
                                <w:sz w:val="22"/>
                                <w:lang w:val="pt-BR"/>
                              </w:rPr>
                              <w:t xml:space="preserve">Doc. </w:t>
                            </w:r>
                            <w:r w:rsidR="00482F00">
                              <w:rPr>
                                <w:rFonts w:asciiTheme="minorHAnsi" w:hAnsiTheme="minorHAnsi"/>
                                <w:color w:val="FFFFFF" w:themeColor="background1"/>
                                <w:sz w:val="22"/>
                                <w:lang w:val="pt-BR"/>
                              </w:rPr>
                              <w:t>383</w:t>
                            </w:r>
                          </w:p>
                          <w:p w14:paraId="01D5CFED" w14:textId="0A9E4ADB" w:rsidR="00627C9F" w:rsidRPr="00C25ADB" w:rsidRDefault="00482F0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noviembre</w:t>
                            </w:r>
                            <w:r w:rsidR="00627C9F" w:rsidRPr="00EC5C50">
                              <w:rPr>
                                <w:rFonts w:asciiTheme="minorHAnsi" w:hAnsiTheme="minorHAnsi"/>
                                <w:color w:val="FFFFFF" w:themeColor="background1"/>
                                <w:sz w:val="22"/>
                                <w:lang w:val="es-PA"/>
                              </w:rPr>
                              <w:t xml:space="preserve"> 20</w:t>
                            </w:r>
                            <w:r w:rsidR="00C23BA4" w:rsidRPr="00EC5C50">
                              <w:rPr>
                                <w:rFonts w:asciiTheme="minorHAnsi" w:hAnsiTheme="minorHAnsi"/>
                                <w:color w:val="FFFFFF" w:themeColor="background1"/>
                                <w:sz w:val="22"/>
                                <w:lang w:val="es-PA"/>
                              </w:rPr>
                              <w:t>2</w:t>
                            </w:r>
                            <w:r w:rsidR="00AD265D" w:rsidRPr="00EC5C50">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24E21DBC" w:rsidR="00627C9F" w:rsidRPr="00EC5C50"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w:t>
                      </w:r>
                      <w:r w:rsidRPr="00EC5C50">
                        <w:rPr>
                          <w:rFonts w:asciiTheme="minorHAnsi" w:hAnsiTheme="minorHAnsi"/>
                          <w:color w:val="FFFFFF" w:themeColor="background1"/>
                          <w:sz w:val="22"/>
                          <w:lang w:val="pt-BR"/>
                        </w:rPr>
                        <w:t>/V/II</w:t>
                      </w:r>
                    </w:p>
                    <w:p w14:paraId="28E8B0DD" w14:textId="7FCCCF26" w:rsidR="00627C9F" w:rsidRPr="00EC5C50" w:rsidRDefault="00627C9F" w:rsidP="007A5817">
                      <w:pPr>
                        <w:spacing w:line="276" w:lineRule="auto"/>
                        <w:jc w:val="right"/>
                        <w:rPr>
                          <w:rFonts w:asciiTheme="minorHAnsi" w:hAnsiTheme="minorHAnsi"/>
                          <w:color w:val="FFFFFF" w:themeColor="background1"/>
                          <w:sz w:val="22"/>
                          <w:lang w:val="pt-BR"/>
                        </w:rPr>
                      </w:pPr>
                      <w:r w:rsidRPr="00EC5C50">
                        <w:rPr>
                          <w:rFonts w:asciiTheme="minorHAnsi" w:hAnsiTheme="minorHAnsi"/>
                          <w:color w:val="FFFFFF" w:themeColor="background1"/>
                          <w:sz w:val="22"/>
                          <w:lang w:val="pt-BR"/>
                        </w:rPr>
                        <w:t xml:space="preserve">Doc. </w:t>
                      </w:r>
                      <w:r w:rsidR="00482F00">
                        <w:rPr>
                          <w:rFonts w:asciiTheme="minorHAnsi" w:hAnsiTheme="minorHAnsi"/>
                          <w:color w:val="FFFFFF" w:themeColor="background1"/>
                          <w:sz w:val="22"/>
                          <w:lang w:val="pt-BR"/>
                        </w:rPr>
                        <w:t>383</w:t>
                      </w:r>
                    </w:p>
                    <w:p w14:paraId="01D5CFED" w14:textId="0A9E4ADB" w:rsidR="00627C9F" w:rsidRPr="00C25ADB" w:rsidRDefault="00482F0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29 noviembre</w:t>
                      </w:r>
                      <w:r w:rsidR="00627C9F" w:rsidRPr="00EC5C50">
                        <w:rPr>
                          <w:rFonts w:asciiTheme="minorHAnsi" w:hAnsiTheme="minorHAnsi"/>
                          <w:color w:val="FFFFFF" w:themeColor="background1"/>
                          <w:sz w:val="22"/>
                          <w:lang w:val="es-PA"/>
                        </w:rPr>
                        <w:t xml:space="preserve"> 20</w:t>
                      </w:r>
                      <w:r w:rsidR="00C23BA4" w:rsidRPr="00EC5C50">
                        <w:rPr>
                          <w:rFonts w:asciiTheme="minorHAnsi" w:hAnsiTheme="minorHAnsi"/>
                          <w:color w:val="FFFFFF" w:themeColor="background1"/>
                          <w:sz w:val="22"/>
                          <w:lang w:val="es-PA"/>
                        </w:rPr>
                        <w:t>2</w:t>
                      </w:r>
                      <w:r w:rsidR="00AD265D" w:rsidRPr="00EC5C50">
                        <w:rPr>
                          <w:rFonts w:asciiTheme="minorHAnsi" w:hAnsiTheme="minorHAnsi"/>
                          <w:color w:val="FFFFFF" w:themeColor="background1"/>
                          <w:sz w:val="22"/>
                          <w:lang w:val="es-PA"/>
                        </w:rPr>
                        <w:t>1</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020BBFF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w:t>
                            </w:r>
                            <w:r w:rsidRPr="00C321DF">
                              <w:rPr>
                                <w:rFonts w:asciiTheme="majorHAnsi" w:hAnsiTheme="majorHAnsi"/>
                                <w:color w:val="0D0D0D" w:themeColor="text1" w:themeTint="F2"/>
                                <w:sz w:val="18"/>
                                <w:szCs w:val="22"/>
                                <w:lang w:val="es-ES"/>
                              </w:rPr>
                              <w:t xml:space="preserve">Comisión el </w:t>
                            </w:r>
                            <w:r w:rsidR="00C321DF">
                              <w:rPr>
                                <w:rFonts w:asciiTheme="majorHAnsi" w:hAnsiTheme="majorHAnsi"/>
                                <w:color w:val="0D0D0D" w:themeColor="text1" w:themeTint="F2"/>
                                <w:sz w:val="18"/>
                                <w:szCs w:val="22"/>
                                <w:lang w:val="es-ES"/>
                              </w:rPr>
                              <w:t>29</w:t>
                            </w:r>
                            <w:r w:rsidRPr="00C321DF">
                              <w:rPr>
                                <w:rFonts w:asciiTheme="majorHAnsi" w:hAnsiTheme="majorHAnsi"/>
                                <w:color w:val="0D0D0D" w:themeColor="text1" w:themeTint="F2"/>
                                <w:sz w:val="18"/>
                                <w:szCs w:val="22"/>
                                <w:lang w:val="es-ES"/>
                              </w:rPr>
                              <w:t xml:space="preserve"> de </w:t>
                            </w:r>
                            <w:r w:rsidR="00C321DF">
                              <w:rPr>
                                <w:rFonts w:asciiTheme="majorHAnsi" w:hAnsiTheme="majorHAnsi"/>
                                <w:color w:val="0D0D0D" w:themeColor="text1" w:themeTint="F2"/>
                                <w:sz w:val="18"/>
                                <w:szCs w:val="22"/>
                                <w:lang w:val="es-ES"/>
                              </w:rPr>
                              <w:t>noviembre</w:t>
                            </w:r>
                            <w:r w:rsidR="00F81BB8" w:rsidRPr="00C321DF">
                              <w:rPr>
                                <w:rFonts w:asciiTheme="majorHAnsi" w:hAnsiTheme="majorHAnsi"/>
                                <w:color w:val="0D0D0D" w:themeColor="text1" w:themeTint="F2"/>
                                <w:sz w:val="18"/>
                                <w:szCs w:val="22"/>
                                <w:lang w:val="es-ES"/>
                              </w:rPr>
                              <w:t xml:space="preserve"> </w:t>
                            </w:r>
                            <w:r w:rsidRPr="00C321DF">
                              <w:rPr>
                                <w:rFonts w:asciiTheme="majorHAnsi" w:hAnsiTheme="majorHAnsi"/>
                                <w:color w:val="0D0D0D" w:themeColor="text1" w:themeTint="F2"/>
                                <w:sz w:val="18"/>
                                <w:szCs w:val="22"/>
                                <w:lang w:val="es-ES"/>
                              </w:rPr>
                              <w:t>de 20</w:t>
                            </w:r>
                            <w:r w:rsidR="00C23BA4" w:rsidRPr="00C321DF">
                              <w:rPr>
                                <w:rFonts w:asciiTheme="majorHAnsi" w:hAnsiTheme="majorHAnsi"/>
                                <w:color w:val="0D0D0D" w:themeColor="text1" w:themeTint="F2"/>
                                <w:sz w:val="18"/>
                                <w:szCs w:val="22"/>
                                <w:lang w:val="es-ES"/>
                              </w:rPr>
                              <w:t>2</w:t>
                            </w:r>
                            <w:r w:rsidR="00AD265D" w:rsidRPr="00C321DF">
                              <w:rPr>
                                <w:rFonts w:asciiTheme="majorHAnsi" w:hAnsiTheme="majorHAnsi"/>
                                <w:color w:val="0D0D0D" w:themeColor="text1" w:themeTint="F2"/>
                                <w:sz w:val="18"/>
                                <w:szCs w:val="22"/>
                                <w:lang w:val="es-ES"/>
                              </w:rPr>
                              <w:t>1</w:t>
                            </w:r>
                            <w:r w:rsidR="002D578E">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0A289"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020BBFF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w:t>
                      </w:r>
                      <w:r w:rsidRPr="00C321DF">
                        <w:rPr>
                          <w:rFonts w:asciiTheme="majorHAnsi" w:hAnsiTheme="majorHAnsi"/>
                          <w:color w:val="0D0D0D" w:themeColor="text1" w:themeTint="F2"/>
                          <w:sz w:val="18"/>
                          <w:szCs w:val="22"/>
                          <w:lang w:val="es-ES"/>
                        </w:rPr>
                        <w:t xml:space="preserve">Comisión el </w:t>
                      </w:r>
                      <w:r w:rsidR="00C321DF">
                        <w:rPr>
                          <w:rFonts w:asciiTheme="majorHAnsi" w:hAnsiTheme="majorHAnsi"/>
                          <w:color w:val="0D0D0D" w:themeColor="text1" w:themeTint="F2"/>
                          <w:sz w:val="18"/>
                          <w:szCs w:val="22"/>
                          <w:lang w:val="es-ES"/>
                        </w:rPr>
                        <w:t>29</w:t>
                      </w:r>
                      <w:r w:rsidRPr="00C321DF">
                        <w:rPr>
                          <w:rFonts w:asciiTheme="majorHAnsi" w:hAnsiTheme="majorHAnsi"/>
                          <w:color w:val="0D0D0D" w:themeColor="text1" w:themeTint="F2"/>
                          <w:sz w:val="18"/>
                          <w:szCs w:val="22"/>
                          <w:lang w:val="es-ES"/>
                        </w:rPr>
                        <w:t xml:space="preserve"> de </w:t>
                      </w:r>
                      <w:r w:rsidR="00C321DF">
                        <w:rPr>
                          <w:rFonts w:asciiTheme="majorHAnsi" w:hAnsiTheme="majorHAnsi"/>
                          <w:color w:val="0D0D0D" w:themeColor="text1" w:themeTint="F2"/>
                          <w:sz w:val="18"/>
                          <w:szCs w:val="22"/>
                          <w:lang w:val="es-ES"/>
                        </w:rPr>
                        <w:t>noviembre</w:t>
                      </w:r>
                      <w:r w:rsidR="00F81BB8" w:rsidRPr="00C321DF">
                        <w:rPr>
                          <w:rFonts w:asciiTheme="majorHAnsi" w:hAnsiTheme="majorHAnsi"/>
                          <w:color w:val="0D0D0D" w:themeColor="text1" w:themeTint="F2"/>
                          <w:sz w:val="18"/>
                          <w:szCs w:val="22"/>
                          <w:lang w:val="es-ES"/>
                        </w:rPr>
                        <w:t xml:space="preserve"> </w:t>
                      </w:r>
                      <w:r w:rsidRPr="00C321DF">
                        <w:rPr>
                          <w:rFonts w:asciiTheme="majorHAnsi" w:hAnsiTheme="majorHAnsi"/>
                          <w:color w:val="0D0D0D" w:themeColor="text1" w:themeTint="F2"/>
                          <w:sz w:val="18"/>
                          <w:szCs w:val="22"/>
                          <w:lang w:val="es-ES"/>
                        </w:rPr>
                        <w:t>de 20</w:t>
                      </w:r>
                      <w:r w:rsidR="00C23BA4" w:rsidRPr="00C321DF">
                        <w:rPr>
                          <w:rFonts w:asciiTheme="majorHAnsi" w:hAnsiTheme="majorHAnsi"/>
                          <w:color w:val="0D0D0D" w:themeColor="text1" w:themeTint="F2"/>
                          <w:sz w:val="18"/>
                          <w:szCs w:val="22"/>
                          <w:lang w:val="es-ES"/>
                        </w:rPr>
                        <w:t>2</w:t>
                      </w:r>
                      <w:r w:rsidR="00AD265D" w:rsidRPr="00C321DF">
                        <w:rPr>
                          <w:rFonts w:asciiTheme="majorHAnsi" w:hAnsiTheme="majorHAnsi"/>
                          <w:color w:val="0D0D0D" w:themeColor="text1" w:themeTint="F2"/>
                          <w:sz w:val="18"/>
                          <w:szCs w:val="22"/>
                          <w:lang w:val="es-ES"/>
                        </w:rPr>
                        <w:t>1</w:t>
                      </w:r>
                      <w:r w:rsidR="002D578E">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8240"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17D06463"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C321DF">
                              <w:rPr>
                                <w:rFonts w:asciiTheme="majorHAnsi" w:hAnsiTheme="majorHAnsi"/>
                                <w:color w:val="595959" w:themeColor="text1" w:themeTint="A6"/>
                                <w:sz w:val="18"/>
                                <w:szCs w:val="18"/>
                                <w:lang w:val="pt-BR"/>
                              </w:rPr>
                              <w:t xml:space="preserve">No. </w:t>
                            </w:r>
                            <w:r w:rsidR="00C321DF" w:rsidRPr="00C321DF">
                              <w:rPr>
                                <w:rFonts w:asciiTheme="majorHAnsi" w:hAnsiTheme="majorHAnsi"/>
                                <w:color w:val="595959" w:themeColor="text1" w:themeTint="A6"/>
                                <w:sz w:val="18"/>
                                <w:szCs w:val="18"/>
                                <w:lang w:val="pt-BR"/>
                              </w:rPr>
                              <w:t>373</w:t>
                            </w:r>
                            <w:r w:rsidR="007B05C4" w:rsidRPr="00C321DF">
                              <w:rPr>
                                <w:rFonts w:asciiTheme="majorHAnsi" w:hAnsiTheme="majorHAnsi"/>
                                <w:color w:val="595959" w:themeColor="text1" w:themeTint="A6"/>
                                <w:sz w:val="18"/>
                                <w:szCs w:val="18"/>
                                <w:lang w:val="pt-BR"/>
                              </w:rPr>
                              <w:t>/</w:t>
                            </w:r>
                            <w:r w:rsidR="00C321DF" w:rsidRPr="00C321DF">
                              <w:rPr>
                                <w:rFonts w:asciiTheme="majorHAnsi" w:hAnsiTheme="majorHAnsi"/>
                                <w:color w:val="595959" w:themeColor="text1" w:themeTint="A6"/>
                                <w:sz w:val="18"/>
                                <w:szCs w:val="18"/>
                                <w:lang w:val="pt-BR"/>
                              </w:rPr>
                              <w:t>21</w:t>
                            </w:r>
                            <w:r w:rsidRPr="00C321DF">
                              <w:rPr>
                                <w:rFonts w:asciiTheme="majorHAnsi" w:hAnsiTheme="majorHAnsi"/>
                                <w:color w:val="595959" w:themeColor="text1" w:themeTint="A6"/>
                                <w:sz w:val="18"/>
                                <w:szCs w:val="18"/>
                                <w:lang w:val="pt-BR"/>
                              </w:rPr>
                              <w:t xml:space="preserve">. </w:t>
                            </w:r>
                            <w:proofErr w:type="spellStart"/>
                            <w:r w:rsidR="000433C9" w:rsidRPr="00C321DF">
                              <w:rPr>
                                <w:rFonts w:asciiTheme="majorHAnsi" w:hAnsiTheme="majorHAnsi"/>
                                <w:color w:val="595959" w:themeColor="text1" w:themeTint="A6"/>
                                <w:sz w:val="18"/>
                                <w:szCs w:val="18"/>
                                <w:lang w:val="es-ES_tradnl"/>
                              </w:rPr>
                              <w:t>Petici</w:t>
                            </w:r>
                            <w:r w:rsidR="000433C9" w:rsidRPr="00C321DF">
                              <w:rPr>
                                <w:rFonts w:asciiTheme="majorHAnsi" w:hAnsiTheme="majorHAnsi"/>
                                <w:color w:val="595959" w:themeColor="text1" w:themeTint="A6"/>
                                <w:sz w:val="18"/>
                                <w:szCs w:val="18"/>
                                <w:lang w:val="es-ES"/>
                              </w:rPr>
                              <w:t>ón</w:t>
                            </w:r>
                            <w:proofErr w:type="spellEnd"/>
                            <w:r w:rsidR="000433C9" w:rsidRPr="00C321DF">
                              <w:rPr>
                                <w:rFonts w:asciiTheme="majorHAnsi" w:hAnsiTheme="majorHAnsi"/>
                                <w:color w:val="595959" w:themeColor="text1" w:themeTint="A6"/>
                                <w:sz w:val="18"/>
                                <w:szCs w:val="18"/>
                                <w:lang w:val="es-ES"/>
                              </w:rPr>
                              <w:t xml:space="preserve"> </w:t>
                            </w:r>
                            <w:r w:rsidR="00A61D14" w:rsidRPr="00C321DF">
                              <w:rPr>
                                <w:rFonts w:asciiTheme="majorHAnsi" w:hAnsiTheme="majorHAnsi"/>
                                <w:color w:val="595959" w:themeColor="text1" w:themeTint="A6"/>
                                <w:sz w:val="18"/>
                                <w:szCs w:val="18"/>
                                <w:lang w:val="es-ES"/>
                              </w:rPr>
                              <w:t>590-13</w:t>
                            </w:r>
                            <w:r w:rsidR="000433C9" w:rsidRPr="00C321DF">
                              <w:rPr>
                                <w:rFonts w:asciiTheme="majorHAnsi" w:hAnsiTheme="majorHAnsi"/>
                                <w:color w:val="595959" w:themeColor="text1" w:themeTint="A6"/>
                                <w:sz w:val="18"/>
                                <w:szCs w:val="18"/>
                                <w:lang w:val="es-ES"/>
                              </w:rPr>
                              <w:t xml:space="preserve">. </w:t>
                            </w:r>
                            <w:r w:rsidRPr="00C321DF">
                              <w:rPr>
                                <w:rFonts w:asciiTheme="majorHAnsi" w:hAnsiTheme="majorHAnsi"/>
                                <w:color w:val="595959" w:themeColor="text1" w:themeTint="A6"/>
                                <w:sz w:val="18"/>
                                <w:szCs w:val="18"/>
                                <w:lang w:val="es-ES_tradnl"/>
                              </w:rPr>
                              <w:t xml:space="preserve">Admisibilidad. </w:t>
                            </w:r>
                            <w:r w:rsidR="00A61D14" w:rsidRPr="00C321DF">
                              <w:rPr>
                                <w:rFonts w:asciiTheme="majorHAnsi" w:hAnsiTheme="majorHAnsi"/>
                                <w:color w:val="595959" w:themeColor="text1" w:themeTint="A6"/>
                                <w:sz w:val="18"/>
                                <w:szCs w:val="18"/>
                                <w:lang w:val="es-ES_tradnl"/>
                              </w:rPr>
                              <w:t>Oscar Darío Soto Polo y familiares</w:t>
                            </w:r>
                            <w:r w:rsidRPr="00C321DF">
                              <w:rPr>
                                <w:rFonts w:asciiTheme="majorHAnsi" w:hAnsiTheme="majorHAnsi"/>
                                <w:color w:val="595959" w:themeColor="text1" w:themeTint="A6"/>
                                <w:sz w:val="18"/>
                                <w:szCs w:val="18"/>
                                <w:lang w:val="es-ES_tradnl"/>
                              </w:rPr>
                              <w:t xml:space="preserve">. </w:t>
                            </w:r>
                            <w:r w:rsidR="00A61D14" w:rsidRPr="00C321DF">
                              <w:rPr>
                                <w:rFonts w:asciiTheme="majorHAnsi" w:hAnsiTheme="majorHAnsi"/>
                                <w:color w:val="595959" w:themeColor="text1" w:themeTint="A6"/>
                                <w:sz w:val="18"/>
                                <w:szCs w:val="18"/>
                                <w:lang w:val="es-ES_tradnl"/>
                              </w:rPr>
                              <w:t>Colombia</w:t>
                            </w:r>
                            <w:r w:rsidRPr="00C321DF">
                              <w:rPr>
                                <w:rFonts w:asciiTheme="majorHAnsi" w:hAnsiTheme="majorHAnsi"/>
                                <w:color w:val="595959" w:themeColor="text1" w:themeTint="A6"/>
                                <w:sz w:val="18"/>
                                <w:szCs w:val="18"/>
                                <w:lang w:val="es-ES_tradnl"/>
                              </w:rPr>
                              <w:t xml:space="preserve">. </w:t>
                            </w:r>
                            <w:r w:rsidR="00C321DF">
                              <w:rPr>
                                <w:rFonts w:asciiTheme="majorHAnsi" w:hAnsiTheme="majorHAnsi"/>
                                <w:color w:val="595959" w:themeColor="text1" w:themeTint="A6"/>
                                <w:sz w:val="18"/>
                                <w:szCs w:val="18"/>
                                <w:lang w:val="es-ES"/>
                              </w:rPr>
                              <w:t>29 de noviembre de 2021</w:t>
                            </w:r>
                            <w:r w:rsidRPr="00C321DF">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4375F82" w14:textId="17D06463"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C321DF">
                        <w:rPr>
                          <w:rFonts w:asciiTheme="majorHAnsi" w:hAnsiTheme="majorHAnsi"/>
                          <w:color w:val="595959" w:themeColor="text1" w:themeTint="A6"/>
                          <w:sz w:val="18"/>
                          <w:szCs w:val="18"/>
                          <w:lang w:val="pt-BR"/>
                        </w:rPr>
                        <w:t xml:space="preserve">No. </w:t>
                      </w:r>
                      <w:r w:rsidR="00C321DF" w:rsidRPr="00C321DF">
                        <w:rPr>
                          <w:rFonts w:asciiTheme="majorHAnsi" w:hAnsiTheme="majorHAnsi"/>
                          <w:color w:val="595959" w:themeColor="text1" w:themeTint="A6"/>
                          <w:sz w:val="18"/>
                          <w:szCs w:val="18"/>
                          <w:lang w:val="pt-BR"/>
                        </w:rPr>
                        <w:t>373</w:t>
                      </w:r>
                      <w:r w:rsidR="007B05C4" w:rsidRPr="00C321DF">
                        <w:rPr>
                          <w:rFonts w:asciiTheme="majorHAnsi" w:hAnsiTheme="majorHAnsi"/>
                          <w:color w:val="595959" w:themeColor="text1" w:themeTint="A6"/>
                          <w:sz w:val="18"/>
                          <w:szCs w:val="18"/>
                          <w:lang w:val="pt-BR"/>
                        </w:rPr>
                        <w:t>/</w:t>
                      </w:r>
                      <w:r w:rsidR="00C321DF" w:rsidRPr="00C321DF">
                        <w:rPr>
                          <w:rFonts w:asciiTheme="majorHAnsi" w:hAnsiTheme="majorHAnsi"/>
                          <w:color w:val="595959" w:themeColor="text1" w:themeTint="A6"/>
                          <w:sz w:val="18"/>
                          <w:szCs w:val="18"/>
                          <w:lang w:val="pt-BR"/>
                        </w:rPr>
                        <w:t>21</w:t>
                      </w:r>
                      <w:r w:rsidRPr="00C321DF">
                        <w:rPr>
                          <w:rFonts w:asciiTheme="majorHAnsi" w:hAnsiTheme="majorHAnsi"/>
                          <w:color w:val="595959" w:themeColor="text1" w:themeTint="A6"/>
                          <w:sz w:val="18"/>
                          <w:szCs w:val="18"/>
                          <w:lang w:val="pt-BR"/>
                        </w:rPr>
                        <w:t xml:space="preserve">. </w:t>
                      </w:r>
                      <w:proofErr w:type="spellStart"/>
                      <w:r w:rsidR="000433C9" w:rsidRPr="00C321DF">
                        <w:rPr>
                          <w:rFonts w:asciiTheme="majorHAnsi" w:hAnsiTheme="majorHAnsi"/>
                          <w:color w:val="595959" w:themeColor="text1" w:themeTint="A6"/>
                          <w:sz w:val="18"/>
                          <w:szCs w:val="18"/>
                          <w:lang w:val="es-ES_tradnl"/>
                        </w:rPr>
                        <w:t>Petici</w:t>
                      </w:r>
                      <w:r w:rsidR="000433C9" w:rsidRPr="00C321DF">
                        <w:rPr>
                          <w:rFonts w:asciiTheme="majorHAnsi" w:hAnsiTheme="majorHAnsi"/>
                          <w:color w:val="595959" w:themeColor="text1" w:themeTint="A6"/>
                          <w:sz w:val="18"/>
                          <w:szCs w:val="18"/>
                          <w:lang w:val="es-ES"/>
                        </w:rPr>
                        <w:t>ón</w:t>
                      </w:r>
                      <w:proofErr w:type="spellEnd"/>
                      <w:r w:rsidR="000433C9" w:rsidRPr="00C321DF">
                        <w:rPr>
                          <w:rFonts w:asciiTheme="majorHAnsi" w:hAnsiTheme="majorHAnsi"/>
                          <w:color w:val="595959" w:themeColor="text1" w:themeTint="A6"/>
                          <w:sz w:val="18"/>
                          <w:szCs w:val="18"/>
                          <w:lang w:val="es-ES"/>
                        </w:rPr>
                        <w:t xml:space="preserve"> </w:t>
                      </w:r>
                      <w:r w:rsidR="00A61D14" w:rsidRPr="00C321DF">
                        <w:rPr>
                          <w:rFonts w:asciiTheme="majorHAnsi" w:hAnsiTheme="majorHAnsi"/>
                          <w:color w:val="595959" w:themeColor="text1" w:themeTint="A6"/>
                          <w:sz w:val="18"/>
                          <w:szCs w:val="18"/>
                          <w:lang w:val="es-ES"/>
                        </w:rPr>
                        <w:t>590-13</w:t>
                      </w:r>
                      <w:r w:rsidR="000433C9" w:rsidRPr="00C321DF">
                        <w:rPr>
                          <w:rFonts w:asciiTheme="majorHAnsi" w:hAnsiTheme="majorHAnsi"/>
                          <w:color w:val="595959" w:themeColor="text1" w:themeTint="A6"/>
                          <w:sz w:val="18"/>
                          <w:szCs w:val="18"/>
                          <w:lang w:val="es-ES"/>
                        </w:rPr>
                        <w:t xml:space="preserve">. </w:t>
                      </w:r>
                      <w:r w:rsidRPr="00C321DF">
                        <w:rPr>
                          <w:rFonts w:asciiTheme="majorHAnsi" w:hAnsiTheme="majorHAnsi"/>
                          <w:color w:val="595959" w:themeColor="text1" w:themeTint="A6"/>
                          <w:sz w:val="18"/>
                          <w:szCs w:val="18"/>
                          <w:lang w:val="es-ES_tradnl"/>
                        </w:rPr>
                        <w:t xml:space="preserve">Admisibilidad. </w:t>
                      </w:r>
                      <w:r w:rsidR="00A61D14" w:rsidRPr="00C321DF">
                        <w:rPr>
                          <w:rFonts w:asciiTheme="majorHAnsi" w:hAnsiTheme="majorHAnsi"/>
                          <w:color w:val="595959" w:themeColor="text1" w:themeTint="A6"/>
                          <w:sz w:val="18"/>
                          <w:szCs w:val="18"/>
                          <w:lang w:val="es-ES_tradnl"/>
                        </w:rPr>
                        <w:t>Oscar Darío Soto Polo y familiares</w:t>
                      </w:r>
                      <w:r w:rsidRPr="00C321DF">
                        <w:rPr>
                          <w:rFonts w:asciiTheme="majorHAnsi" w:hAnsiTheme="majorHAnsi"/>
                          <w:color w:val="595959" w:themeColor="text1" w:themeTint="A6"/>
                          <w:sz w:val="18"/>
                          <w:szCs w:val="18"/>
                          <w:lang w:val="es-ES_tradnl"/>
                        </w:rPr>
                        <w:t xml:space="preserve">. </w:t>
                      </w:r>
                      <w:r w:rsidR="00A61D14" w:rsidRPr="00C321DF">
                        <w:rPr>
                          <w:rFonts w:asciiTheme="majorHAnsi" w:hAnsiTheme="majorHAnsi"/>
                          <w:color w:val="595959" w:themeColor="text1" w:themeTint="A6"/>
                          <w:sz w:val="18"/>
                          <w:szCs w:val="18"/>
                          <w:lang w:val="es-ES_tradnl"/>
                        </w:rPr>
                        <w:t>Colombia</w:t>
                      </w:r>
                      <w:r w:rsidRPr="00C321DF">
                        <w:rPr>
                          <w:rFonts w:asciiTheme="majorHAnsi" w:hAnsiTheme="majorHAnsi"/>
                          <w:color w:val="595959" w:themeColor="text1" w:themeTint="A6"/>
                          <w:sz w:val="18"/>
                          <w:szCs w:val="18"/>
                          <w:lang w:val="es-ES_tradnl"/>
                        </w:rPr>
                        <w:t xml:space="preserve">. </w:t>
                      </w:r>
                      <w:r w:rsidR="00C321DF">
                        <w:rPr>
                          <w:rFonts w:asciiTheme="majorHAnsi" w:hAnsiTheme="majorHAnsi"/>
                          <w:color w:val="595959" w:themeColor="text1" w:themeTint="A6"/>
                          <w:sz w:val="18"/>
                          <w:szCs w:val="18"/>
                          <w:lang w:val="es-ES"/>
                        </w:rPr>
                        <w:t>29 de noviembre de 2021</w:t>
                      </w:r>
                      <w:r w:rsidRPr="00C321DF">
                        <w:rPr>
                          <w:rFonts w:asciiTheme="majorHAnsi" w:hAnsiTheme="majorHAnsi"/>
                          <w:color w:val="595959" w:themeColor="text1" w:themeTint="A6"/>
                          <w:sz w:val="18"/>
                          <w:szCs w:val="18"/>
                          <w:lang w:val="es-ES"/>
                        </w:rPr>
                        <w:t>.</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58246" behindDoc="0" locked="0" layoutInCell="1" allowOverlap="1" wp14:anchorId="3AF423C5" wp14:editId="430D0BE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188E79AF" w:rsidR="00D72DC6" w:rsidRPr="00D72DC6" w:rsidRDefault="006A7557" w:rsidP="00F02AD1">
                            <w:pPr>
                              <w:rPr>
                                <w:color w:val="FFFFFF" w:themeColor="background1"/>
                                <w14:textFill>
                                  <w14:noFill/>
                                </w14:textFill>
                              </w:rPr>
                            </w:pPr>
                            <w:r>
                              <w:rPr>
                                <w:noProof/>
                                <w:color w:val="FFFFFF" w:themeColor="background1"/>
                              </w:rPr>
                              <w:drawing>
                                <wp:inline distT="0" distB="0" distL="0" distR="0" wp14:anchorId="2CDEF156" wp14:editId="7FDD4402">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1" type="#_x0000_t202" style="position:absolute;left:0;text-align:left;margin-left:104.7pt;margin-top:50.3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2786CDA1" w14:textId="188E79AF" w:rsidR="00D72DC6" w:rsidRPr="00D72DC6" w:rsidRDefault="006A7557" w:rsidP="00F02AD1">
                      <w:pPr>
                        <w:rPr>
                          <w:color w:val="FFFFFF" w:themeColor="background1"/>
                          <w14:textFill>
                            <w14:noFill/>
                          </w14:textFill>
                        </w:rPr>
                      </w:pPr>
                      <w:r>
                        <w:rPr>
                          <w:noProof/>
                          <w:color w:val="FFFFFF" w:themeColor="background1"/>
                        </w:rPr>
                        <w:drawing>
                          <wp:inline distT="0" distB="0" distL="0" distR="0" wp14:anchorId="2CDEF156" wp14:editId="7FDD4402">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668EF78F" wp14:editId="15BC03D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2"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5"/>
          <w:headerReference w:type="default" r:id="rId16"/>
          <w:footerReference w:type="default" r:id="rId17"/>
          <w:footerReference w:type="first" r:id="rId18"/>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677724F6"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251EC4D6" w14:textId="77777777" w:rsidTr="004A6A54">
        <w:tc>
          <w:tcPr>
            <w:tcW w:w="3600" w:type="dxa"/>
            <w:tcBorders>
              <w:top w:val="single" w:sz="4" w:space="0" w:color="auto"/>
              <w:bottom w:val="single" w:sz="6" w:space="0" w:color="auto"/>
            </w:tcBorders>
            <w:shd w:val="clear" w:color="auto" w:fill="386294"/>
            <w:vAlign w:val="center"/>
          </w:tcPr>
          <w:p w14:paraId="60D1F158" w14:textId="77777777" w:rsidR="003239B8" w:rsidRPr="000D05CB" w:rsidRDefault="003239B8" w:rsidP="008D2290">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7124A019" w14:textId="12932C48" w:rsidR="003239B8" w:rsidRPr="000D05CB" w:rsidRDefault="007357F0" w:rsidP="008D2290">
            <w:pPr>
              <w:jc w:val="both"/>
              <w:rPr>
                <w:rFonts w:ascii="Cambria" w:hAnsi="Cambria"/>
                <w:bCs/>
                <w:sz w:val="20"/>
                <w:szCs w:val="20"/>
              </w:rPr>
            </w:pPr>
            <w:proofErr w:type="spellStart"/>
            <w:r>
              <w:rPr>
                <w:rFonts w:ascii="Cambria" w:hAnsi="Cambria"/>
                <w:bCs/>
                <w:sz w:val="20"/>
                <w:szCs w:val="20"/>
              </w:rPr>
              <w:t>Comisión</w:t>
            </w:r>
            <w:proofErr w:type="spellEnd"/>
            <w:r>
              <w:rPr>
                <w:rFonts w:ascii="Cambria" w:hAnsi="Cambria"/>
                <w:bCs/>
                <w:sz w:val="20"/>
                <w:szCs w:val="20"/>
              </w:rPr>
              <w:t xml:space="preserve"> </w:t>
            </w:r>
            <w:proofErr w:type="spellStart"/>
            <w:r>
              <w:rPr>
                <w:rFonts w:ascii="Cambria" w:hAnsi="Cambria"/>
                <w:bCs/>
                <w:sz w:val="20"/>
                <w:szCs w:val="20"/>
              </w:rPr>
              <w:t>Colombiana</w:t>
            </w:r>
            <w:proofErr w:type="spellEnd"/>
            <w:r>
              <w:rPr>
                <w:rFonts w:ascii="Cambria" w:hAnsi="Cambria"/>
                <w:bCs/>
                <w:sz w:val="20"/>
                <w:szCs w:val="20"/>
              </w:rPr>
              <w:t xml:space="preserve"> de </w:t>
            </w:r>
            <w:proofErr w:type="spellStart"/>
            <w:r>
              <w:rPr>
                <w:rFonts w:ascii="Cambria" w:hAnsi="Cambria"/>
                <w:bCs/>
                <w:sz w:val="20"/>
                <w:szCs w:val="20"/>
              </w:rPr>
              <w:t>Juristas</w:t>
            </w:r>
            <w:proofErr w:type="spellEnd"/>
          </w:p>
        </w:tc>
      </w:tr>
      <w:tr w:rsidR="003239B8" w:rsidRPr="002D578E" w14:paraId="73B5DC3A" w14:textId="77777777" w:rsidTr="004A6A54">
        <w:tc>
          <w:tcPr>
            <w:tcW w:w="3600" w:type="dxa"/>
            <w:tcBorders>
              <w:top w:val="single" w:sz="6" w:space="0" w:color="auto"/>
              <w:bottom w:val="single" w:sz="6" w:space="0" w:color="auto"/>
            </w:tcBorders>
            <w:shd w:val="clear" w:color="auto" w:fill="386294"/>
            <w:vAlign w:val="center"/>
          </w:tcPr>
          <w:p w14:paraId="287212FF" w14:textId="77777777" w:rsidR="003239B8" w:rsidRPr="000D05CB" w:rsidRDefault="005104C4"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3B4F7E87" w14:textId="7C2D4451" w:rsidR="003239B8" w:rsidRPr="000D05CB" w:rsidRDefault="007357F0" w:rsidP="008D2290">
            <w:pPr>
              <w:jc w:val="both"/>
              <w:rPr>
                <w:rFonts w:ascii="Cambria" w:hAnsi="Cambria"/>
                <w:bCs/>
                <w:sz w:val="20"/>
                <w:szCs w:val="20"/>
                <w:lang w:val="es-ES"/>
              </w:rPr>
            </w:pPr>
            <w:r>
              <w:rPr>
                <w:rFonts w:ascii="Cambria" w:hAnsi="Cambria"/>
                <w:bCs/>
                <w:sz w:val="20"/>
                <w:szCs w:val="20"/>
                <w:lang w:val="es-ES"/>
              </w:rPr>
              <w:t>Oscar Darío Soto Polo y familiares</w:t>
            </w:r>
            <w:r>
              <w:rPr>
                <w:rStyle w:val="FootnoteReference"/>
                <w:rFonts w:ascii="Cambria" w:hAnsi="Cambria"/>
                <w:bCs/>
                <w:sz w:val="20"/>
                <w:szCs w:val="20"/>
                <w:lang w:val="es-ES"/>
              </w:rPr>
              <w:footnoteReference w:id="2"/>
            </w:r>
          </w:p>
        </w:tc>
      </w:tr>
      <w:tr w:rsidR="003239B8" w14:paraId="675EB5A9" w14:textId="77777777" w:rsidTr="004A6A54">
        <w:tc>
          <w:tcPr>
            <w:tcW w:w="3600" w:type="dxa"/>
            <w:tcBorders>
              <w:top w:val="single" w:sz="6" w:space="0" w:color="auto"/>
              <w:bottom w:val="single" w:sz="6" w:space="0" w:color="auto"/>
            </w:tcBorders>
            <w:shd w:val="clear" w:color="auto" w:fill="386294"/>
            <w:vAlign w:val="center"/>
          </w:tcPr>
          <w:p w14:paraId="22CE9F73"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6BC7B459" w14:textId="131E6880" w:rsidR="003239B8" w:rsidRPr="000D05CB" w:rsidRDefault="00E622E8" w:rsidP="008D2290">
            <w:pPr>
              <w:jc w:val="both"/>
              <w:rPr>
                <w:rFonts w:ascii="Cambria" w:hAnsi="Cambria"/>
                <w:bCs/>
                <w:sz w:val="20"/>
                <w:szCs w:val="20"/>
              </w:rPr>
            </w:pPr>
            <w:r>
              <w:rPr>
                <w:rFonts w:ascii="Cambria" w:hAnsi="Cambria"/>
                <w:bCs/>
                <w:sz w:val="20"/>
                <w:szCs w:val="20"/>
              </w:rPr>
              <w:t>Colombia</w:t>
            </w:r>
          </w:p>
        </w:tc>
      </w:tr>
      <w:tr w:rsidR="00223A29" w:rsidRPr="002D578E" w14:paraId="0DD95EE1" w14:textId="77777777" w:rsidTr="004A6A54">
        <w:tc>
          <w:tcPr>
            <w:tcW w:w="3600" w:type="dxa"/>
            <w:tcBorders>
              <w:top w:val="single" w:sz="6" w:space="0" w:color="auto"/>
              <w:bottom w:val="single" w:sz="6" w:space="0" w:color="auto"/>
            </w:tcBorders>
            <w:shd w:val="clear" w:color="auto" w:fill="386294"/>
            <w:vAlign w:val="center"/>
          </w:tcPr>
          <w:p w14:paraId="376C1400"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4848044A" w14:textId="26F9AC8C" w:rsidR="00223A29" w:rsidRPr="00E622E8" w:rsidRDefault="00E622E8" w:rsidP="008D2290">
            <w:pPr>
              <w:jc w:val="both"/>
              <w:rPr>
                <w:rFonts w:ascii="Cambria" w:hAnsi="Cambria"/>
                <w:bCs/>
                <w:sz w:val="20"/>
                <w:szCs w:val="20"/>
                <w:lang w:val="es-CO"/>
              </w:rPr>
            </w:pPr>
            <w:r w:rsidRPr="00E622E8">
              <w:rPr>
                <w:rFonts w:ascii="Cambria" w:hAnsi="Cambria"/>
                <w:bCs/>
                <w:sz w:val="20"/>
                <w:szCs w:val="20"/>
                <w:lang w:val="es-CO"/>
              </w:rPr>
              <w:t xml:space="preserve">Artículos 4 (vida), </w:t>
            </w:r>
            <w:r>
              <w:rPr>
                <w:rFonts w:ascii="Cambria" w:hAnsi="Cambria"/>
                <w:bCs/>
                <w:sz w:val="20"/>
                <w:szCs w:val="20"/>
                <w:lang w:val="es-CO"/>
              </w:rPr>
              <w:t xml:space="preserve">5 (integridad personal), 8 (garantías judiciales), </w:t>
            </w:r>
            <w:r w:rsidRPr="00E622E8">
              <w:rPr>
                <w:rFonts w:ascii="Cambria" w:hAnsi="Cambria"/>
                <w:bCs/>
                <w:sz w:val="20"/>
                <w:szCs w:val="20"/>
                <w:lang w:val="es-CO"/>
              </w:rPr>
              <w:t>16 (</w:t>
            </w:r>
            <w:r>
              <w:rPr>
                <w:rFonts w:ascii="Cambria" w:hAnsi="Cambria"/>
                <w:bCs/>
                <w:sz w:val="20"/>
                <w:szCs w:val="20"/>
                <w:lang w:val="es-CO"/>
              </w:rPr>
              <w:t>l</w:t>
            </w:r>
            <w:r w:rsidRPr="00E622E8">
              <w:rPr>
                <w:rFonts w:ascii="Cambria" w:hAnsi="Cambria"/>
                <w:bCs/>
                <w:sz w:val="20"/>
                <w:szCs w:val="20"/>
                <w:lang w:val="es-CO"/>
              </w:rPr>
              <w:t>ibertad de a</w:t>
            </w:r>
            <w:r>
              <w:rPr>
                <w:rFonts w:ascii="Cambria" w:hAnsi="Cambria"/>
                <w:bCs/>
                <w:sz w:val="20"/>
                <w:szCs w:val="20"/>
                <w:lang w:val="es-CO"/>
              </w:rPr>
              <w:t>sociación), 17 (protección de la familia), 19 (derechos de</w:t>
            </w:r>
            <w:r w:rsidR="00DB0633">
              <w:rPr>
                <w:rFonts w:ascii="Cambria" w:hAnsi="Cambria"/>
                <w:bCs/>
                <w:sz w:val="20"/>
                <w:szCs w:val="20"/>
                <w:lang w:val="es-CO"/>
              </w:rPr>
              <w:t>l</w:t>
            </w:r>
            <w:r>
              <w:rPr>
                <w:rFonts w:ascii="Cambria" w:hAnsi="Cambria"/>
                <w:bCs/>
                <w:sz w:val="20"/>
                <w:szCs w:val="20"/>
                <w:lang w:val="es-CO"/>
              </w:rPr>
              <w:t xml:space="preserve"> niño) y 25 (protección judicial) de la Convención Americana sobre Derechos Humanos, en relación con su artículo 1.1 (obligación de respetar los derechos) </w:t>
            </w:r>
          </w:p>
        </w:tc>
      </w:tr>
    </w:tbl>
    <w:p w14:paraId="6719A8F7"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2CF459F4" w14:textId="77777777" w:rsidTr="004A6A54">
        <w:tc>
          <w:tcPr>
            <w:tcW w:w="3600" w:type="dxa"/>
            <w:tcBorders>
              <w:top w:val="single" w:sz="6" w:space="0" w:color="auto"/>
              <w:bottom w:val="single" w:sz="6" w:space="0" w:color="auto"/>
            </w:tcBorders>
            <w:shd w:val="clear" w:color="auto" w:fill="386294"/>
            <w:vAlign w:val="center"/>
          </w:tcPr>
          <w:p w14:paraId="5E73F3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21574B66" w14:textId="37A7246C" w:rsidR="004C2312" w:rsidRPr="003239B8" w:rsidRDefault="000E3635" w:rsidP="002625EA">
            <w:pPr>
              <w:jc w:val="both"/>
              <w:rPr>
                <w:rFonts w:ascii="Cambria" w:hAnsi="Cambria"/>
                <w:bCs/>
                <w:sz w:val="20"/>
                <w:szCs w:val="20"/>
                <w:lang w:val="es-ES"/>
              </w:rPr>
            </w:pPr>
            <w:r>
              <w:rPr>
                <w:rFonts w:ascii="Cambria" w:hAnsi="Cambria"/>
                <w:bCs/>
                <w:sz w:val="20"/>
                <w:szCs w:val="20"/>
                <w:lang w:val="es-ES"/>
              </w:rPr>
              <w:t>2 de abril de 2013</w:t>
            </w:r>
          </w:p>
        </w:tc>
      </w:tr>
      <w:tr w:rsidR="004C2312" w:rsidRPr="00FE43DE" w14:paraId="009C173E" w14:textId="77777777" w:rsidTr="004A6A54">
        <w:tc>
          <w:tcPr>
            <w:tcW w:w="3600" w:type="dxa"/>
            <w:tcBorders>
              <w:top w:val="single" w:sz="6" w:space="0" w:color="auto"/>
              <w:bottom w:val="single" w:sz="6" w:space="0" w:color="auto"/>
            </w:tcBorders>
            <w:shd w:val="clear" w:color="auto" w:fill="386294"/>
            <w:vAlign w:val="center"/>
          </w:tcPr>
          <w:p w14:paraId="0FC2308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27CD0DED" w14:textId="73AF51B3" w:rsidR="004C2312" w:rsidRPr="003239B8" w:rsidRDefault="000E3635" w:rsidP="008D2290">
            <w:pPr>
              <w:jc w:val="both"/>
              <w:rPr>
                <w:rFonts w:ascii="Cambria" w:hAnsi="Cambria"/>
                <w:bCs/>
                <w:sz w:val="20"/>
                <w:szCs w:val="20"/>
                <w:lang w:val="es-ES"/>
              </w:rPr>
            </w:pPr>
            <w:r>
              <w:rPr>
                <w:rFonts w:ascii="Cambria" w:hAnsi="Cambria"/>
                <w:bCs/>
                <w:sz w:val="20"/>
                <w:szCs w:val="20"/>
                <w:lang w:val="es-ES"/>
              </w:rPr>
              <w:t>27 de julio de 2018</w:t>
            </w:r>
          </w:p>
        </w:tc>
      </w:tr>
      <w:tr w:rsidR="004C2312" w:rsidRPr="004A6A54" w14:paraId="00267AB8" w14:textId="77777777" w:rsidTr="004A6A54">
        <w:tc>
          <w:tcPr>
            <w:tcW w:w="3600" w:type="dxa"/>
            <w:tcBorders>
              <w:top w:val="single" w:sz="6" w:space="0" w:color="auto"/>
              <w:bottom w:val="single" w:sz="6" w:space="0" w:color="auto"/>
            </w:tcBorders>
            <w:shd w:val="clear" w:color="auto" w:fill="386294"/>
            <w:vAlign w:val="center"/>
          </w:tcPr>
          <w:p w14:paraId="7F34465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37B66E1" w14:textId="5E229A70" w:rsidR="004C2312" w:rsidRPr="003239B8" w:rsidRDefault="000E3635" w:rsidP="008D2290">
            <w:pPr>
              <w:jc w:val="both"/>
              <w:rPr>
                <w:rFonts w:ascii="Cambria" w:hAnsi="Cambria"/>
                <w:bCs/>
                <w:sz w:val="20"/>
                <w:szCs w:val="20"/>
                <w:lang w:val="es-ES"/>
              </w:rPr>
            </w:pPr>
            <w:r>
              <w:rPr>
                <w:rFonts w:ascii="Cambria" w:hAnsi="Cambria"/>
                <w:bCs/>
                <w:sz w:val="20"/>
                <w:szCs w:val="20"/>
                <w:lang w:val="es-ES"/>
              </w:rPr>
              <w:t>1º de marzo de 2019</w:t>
            </w:r>
          </w:p>
        </w:tc>
      </w:tr>
      <w:tr w:rsidR="004C2312" w:rsidRPr="00FE43DE" w14:paraId="23EBE41E" w14:textId="77777777" w:rsidTr="004A6A54">
        <w:tc>
          <w:tcPr>
            <w:tcW w:w="3600" w:type="dxa"/>
            <w:tcBorders>
              <w:top w:val="single" w:sz="6" w:space="0" w:color="auto"/>
              <w:bottom w:val="single" w:sz="6" w:space="0" w:color="auto"/>
            </w:tcBorders>
            <w:shd w:val="clear" w:color="auto" w:fill="386294"/>
            <w:vAlign w:val="center"/>
          </w:tcPr>
          <w:p w14:paraId="5F3E8210"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7C1099DE" w14:textId="667D9EBD" w:rsidR="004C2312" w:rsidRPr="003239B8" w:rsidRDefault="00B81CDD" w:rsidP="008D2290">
            <w:pPr>
              <w:jc w:val="both"/>
              <w:rPr>
                <w:rFonts w:ascii="Cambria" w:hAnsi="Cambria"/>
                <w:bCs/>
                <w:sz w:val="20"/>
                <w:szCs w:val="20"/>
                <w:lang w:val="es-ES"/>
              </w:rPr>
            </w:pPr>
            <w:r>
              <w:rPr>
                <w:rFonts w:ascii="Cambria" w:hAnsi="Cambria"/>
                <w:bCs/>
                <w:sz w:val="20"/>
                <w:szCs w:val="20"/>
                <w:lang w:val="es-ES"/>
              </w:rPr>
              <w:t>8 de mayo de 2019</w:t>
            </w:r>
          </w:p>
        </w:tc>
      </w:tr>
      <w:tr w:rsidR="004C2312" w:rsidRPr="009111EC" w14:paraId="567FB8A3" w14:textId="77777777" w:rsidTr="004A6A54">
        <w:tc>
          <w:tcPr>
            <w:tcW w:w="3600" w:type="dxa"/>
            <w:tcBorders>
              <w:top w:val="single" w:sz="6" w:space="0" w:color="auto"/>
              <w:bottom w:val="single" w:sz="6" w:space="0" w:color="auto"/>
            </w:tcBorders>
            <w:shd w:val="clear" w:color="auto" w:fill="386294"/>
            <w:vAlign w:val="center"/>
          </w:tcPr>
          <w:p w14:paraId="2B9B2027" w14:textId="77777777" w:rsidR="004C2312" w:rsidRPr="00706824" w:rsidRDefault="004C2312" w:rsidP="008E3BFE">
            <w:pPr>
              <w:jc w:val="center"/>
              <w:rPr>
                <w:rFonts w:ascii="Cambria" w:hAnsi="Cambria"/>
                <w:b/>
                <w:bCs/>
                <w:color w:val="FFFFFF" w:themeColor="background1"/>
                <w:sz w:val="20"/>
                <w:szCs w:val="20"/>
              </w:rPr>
            </w:pPr>
            <w:proofErr w:type="spellStart"/>
            <w:r w:rsidRPr="00706824">
              <w:rPr>
                <w:rFonts w:ascii="Cambria" w:hAnsi="Cambria"/>
                <w:b/>
                <w:bCs/>
                <w:color w:val="FFFFFF" w:themeColor="background1"/>
                <w:sz w:val="20"/>
                <w:szCs w:val="20"/>
              </w:rPr>
              <w:t>Observaciones</w:t>
            </w:r>
            <w:proofErr w:type="spellEnd"/>
            <w:r w:rsidRPr="00706824">
              <w:rPr>
                <w:rFonts w:ascii="Cambria" w:hAnsi="Cambria"/>
                <w:b/>
                <w:bCs/>
                <w:color w:val="FFFFFF" w:themeColor="background1"/>
                <w:sz w:val="20"/>
                <w:szCs w:val="20"/>
              </w:rPr>
              <w:t xml:space="preserve"> </w:t>
            </w:r>
            <w:proofErr w:type="spellStart"/>
            <w:r w:rsidRPr="00706824">
              <w:rPr>
                <w:rFonts w:ascii="Cambria" w:hAnsi="Cambria"/>
                <w:b/>
                <w:bCs/>
                <w:color w:val="FFFFFF" w:themeColor="background1"/>
                <w:sz w:val="20"/>
                <w:szCs w:val="20"/>
              </w:rPr>
              <w:t>adicionales</w:t>
            </w:r>
            <w:proofErr w:type="spellEnd"/>
            <w:r w:rsidRPr="00706824">
              <w:rPr>
                <w:rFonts w:ascii="Cambria" w:hAnsi="Cambria"/>
                <w:b/>
                <w:bCs/>
                <w:color w:val="FFFFFF" w:themeColor="background1"/>
                <w:sz w:val="20"/>
                <w:szCs w:val="20"/>
              </w:rPr>
              <w:t xml:space="preserve"> del Estado:</w:t>
            </w:r>
          </w:p>
        </w:tc>
        <w:tc>
          <w:tcPr>
            <w:tcW w:w="5760" w:type="dxa"/>
            <w:vAlign w:val="center"/>
          </w:tcPr>
          <w:p w14:paraId="792D360E" w14:textId="30E50842" w:rsidR="004C2312" w:rsidRPr="009111EC" w:rsidRDefault="001A035D" w:rsidP="008D2290">
            <w:pPr>
              <w:jc w:val="both"/>
              <w:rPr>
                <w:rFonts w:ascii="Cambria" w:hAnsi="Cambria"/>
                <w:bCs/>
                <w:sz w:val="20"/>
                <w:szCs w:val="20"/>
              </w:rPr>
            </w:pPr>
            <w:r>
              <w:rPr>
                <w:rFonts w:ascii="Cambria" w:hAnsi="Cambria"/>
                <w:bCs/>
                <w:sz w:val="20"/>
                <w:szCs w:val="20"/>
              </w:rPr>
              <w:t xml:space="preserve">22 de </w:t>
            </w:r>
            <w:proofErr w:type="spellStart"/>
            <w:r>
              <w:rPr>
                <w:rFonts w:ascii="Cambria" w:hAnsi="Cambria"/>
                <w:bCs/>
                <w:sz w:val="20"/>
                <w:szCs w:val="20"/>
              </w:rPr>
              <w:t>junio</w:t>
            </w:r>
            <w:proofErr w:type="spellEnd"/>
            <w:r>
              <w:rPr>
                <w:rFonts w:ascii="Cambria" w:hAnsi="Cambria"/>
                <w:bCs/>
                <w:sz w:val="20"/>
                <w:szCs w:val="20"/>
              </w:rPr>
              <w:t xml:space="preserve"> de 2021</w:t>
            </w:r>
          </w:p>
        </w:tc>
      </w:tr>
      <w:tr w:rsidR="001E49E7" w:rsidRPr="007B76D3" w14:paraId="017FAD97" w14:textId="77777777" w:rsidTr="004A6A54">
        <w:tc>
          <w:tcPr>
            <w:tcW w:w="3600" w:type="dxa"/>
            <w:tcBorders>
              <w:top w:val="single" w:sz="6" w:space="0" w:color="auto"/>
              <w:bottom w:val="single" w:sz="6" w:space="0" w:color="auto"/>
            </w:tcBorders>
            <w:shd w:val="clear" w:color="auto" w:fill="386294"/>
            <w:vAlign w:val="center"/>
          </w:tcPr>
          <w:p w14:paraId="7CDB214C"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14:paraId="7D9969E0" w14:textId="29DA81E4" w:rsidR="001E49E7" w:rsidRPr="003239B8" w:rsidRDefault="000E3635" w:rsidP="002625EA">
            <w:pPr>
              <w:jc w:val="both"/>
              <w:rPr>
                <w:rFonts w:ascii="Cambria" w:hAnsi="Cambria"/>
                <w:bCs/>
                <w:sz w:val="20"/>
                <w:szCs w:val="20"/>
                <w:lang w:val="es-ES"/>
              </w:rPr>
            </w:pPr>
            <w:r>
              <w:rPr>
                <w:rFonts w:ascii="Cambria" w:hAnsi="Cambria"/>
                <w:bCs/>
                <w:sz w:val="20"/>
                <w:szCs w:val="20"/>
                <w:lang w:val="es-ES"/>
              </w:rPr>
              <w:t>1º de mayo de 2017</w:t>
            </w:r>
          </w:p>
        </w:tc>
      </w:tr>
      <w:tr w:rsidR="001E49E7" w:rsidRPr="00FE43DE" w14:paraId="72CC498C" w14:textId="77777777" w:rsidTr="004A6A54">
        <w:tc>
          <w:tcPr>
            <w:tcW w:w="3600" w:type="dxa"/>
            <w:tcBorders>
              <w:top w:val="single" w:sz="6" w:space="0" w:color="auto"/>
              <w:bottom w:val="single" w:sz="6" w:space="0" w:color="auto"/>
            </w:tcBorders>
            <w:shd w:val="clear" w:color="auto" w:fill="386294"/>
            <w:vAlign w:val="center"/>
          </w:tcPr>
          <w:p w14:paraId="1A332D09"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14:paraId="38536812" w14:textId="1533AC95" w:rsidR="001E49E7" w:rsidRPr="003239B8" w:rsidRDefault="000E3635" w:rsidP="002625EA">
            <w:pPr>
              <w:jc w:val="both"/>
              <w:rPr>
                <w:rFonts w:ascii="Cambria" w:hAnsi="Cambria"/>
                <w:bCs/>
                <w:sz w:val="20"/>
                <w:szCs w:val="20"/>
                <w:lang w:val="es-ES"/>
              </w:rPr>
            </w:pPr>
            <w:r>
              <w:rPr>
                <w:rFonts w:ascii="Cambria" w:hAnsi="Cambria"/>
                <w:bCs/>
                <w:sz w:val="20"/>
                <w:szCs w:val="20"/>
                <w:lang w:val="es-ES"/>
              </w:rPr>
              <w:t>31 de mayo de 2017</w:t>
            </w:r>
          </w:p>
        </w:tc>
      </w:tr>
    </w:tbl>
    <w:p w14:paraId="3206ED7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2F522E0E" w14:textId="31E91BE0" w:rsidR="003239B8" w:rsidRPr="00B3745F" w:rsidRDefault="00B81CDD"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35BA3CEC" w14:textId="4A1740B1" w:rsidR="003239B8" w:rsidRPr="00B3745F" w:rsidRDefault="00B81CDD"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4853F616" w14:textId="65CE2602" w:rsidR="003239B8" w:rsidRPr="00B3745F" w:rsidRDefault="00B81CDD"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2D578E"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497D5E0E" w14:textId="4C6F209B" w:rsidR="003239B8" w:rsidRPr="00B3745F" w:rsidRDefault="007357F0" w:rsidP="008D2290">
            <w:pPr>
              <w:jc w:val="both"/>
              <w:rPr>
                <w:rFonts w:ascii="Cambria" w:hAnsi="Cambria"/>
                <w:bCs/>
                <w:sz w:val="20"/>
                <w:szCs w:val="20"/>
                <w:lang w:val="es-ES"/>
              </w:rPr>
            </w:pPr>
            <w:r w:rsidRPr="007403B5">
              <w:rPr>
                <w:rFonts w:asciiTheme="majorHAnsi" w:hAnsiTheme="majorHAnsi"/>
                <w:bCs/>
                <w:sz w:val="20"/>
                <w:szCs w:val="20"/>
                <w:lang w:val="es-ES"/>
              </w:rPr>
              <w:t>Sí, Convención Americana (depósito del instrumento de ratificación realizado el 31 de julio de 1973)</w:t>
            </w:r>
          </w:p>
        </w:tc>
      </w:tr>
    </w:tbl>
    <w:p w14:paraId="090C088B" w14:textId="30950E0B"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FE43DE"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60F0641" w14:textId="360B428C" w:rsidR="00EE00E9" w:rsidRPr="00DC24E3" w:rsidRDefault="00B81CDD" w:rsidP="008D2290">
            <w:pPr>
              <w:jc w:val="both"/>
              <w:rPr>
                <w:rFonts w:ascii="Cambria" w:hAnsi="Cambria"/>
                <w:bCs/>
                <w:sz w:val="20"/>
                <w:szCs w:val="20"/>
                <w:lang w:val="es-ES"/>
              </w:rPr>
            </w:pPr>
            <w:r>
              <w:rPr>
                <w:rFonts w:ascii="Cambria" w:hAnsi="Cambria"/>
                <w:bCs/>
                <w:sz w:val="20"/>
                <w:szCs w:val="20"/>
                <w:lang w:val="es-ES"/>
              </w:rPr>
              <w:t>No</w:t>
            </w:r>
          </w:p>
        </w:tc>
      </w:tr>
      <w:tr w:rsidR="003239B8" w:rsidRPr="002D578E"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384DA76B" w14:textId="05960306" w:rsidR="003239B8" w:rsidRPr="00B81CDD" w:rsidRDefault="00B81CDD" w:rsidP="008D2290">
            <w:pPr>
              <w:jc w:val="both"/>
              <w:rPr>
                <w:rFonts w:ascii="Cambria" w:hAnsi="Cambria"/>
                <w:bCs/>
                <w:sz w:val="20"/>
                <w:szCs w:val="20"/>
                <w:lang w:val="es-CO"/>
              </w:rPr>
            </w:pPr>
            <w:r>
              <w:rPr>
                <w:rFonts w:ascii="Cambria" w:hAnsi="Cambria"/>
                <w:bCs/>
                <w:sz w:val="20"/>
                <w:szCs w:val="20"/>
                <w:lang w:val="es-CO"/>
              </w:rPr>
              <w:t>Artículos 4 (vida), 5 (integridad personal), 8 (garantías judiciales), 16 (libertad de asociación)</w:t>
            </w:r>
            <w:r w:rsidR="00CA1CF8">
              <w:rPr>
                <w:rFonts w:ascii="Cambria" w:hAnsi="Cambria"/>
                <w:bCs/>
                <w:sz w:val="20"/>
                <w:szCs w:val="20"/>
                <w:lang w:val="es-CO"/>
              </w:rPr>
              <w:t>, 17 (protección a la familia)</w:t>
            </w:r>
            <w:r w:rsidR="00DB0633">
              <w:rPr>
                <w:rFonts w:ascii="Cambria" w:hAnsi="Cambria"/>
                <w:bCs/>
                <w:sz w:val="20"/>
                <w:szCs w:val="20"/>
                <w:lang w:val="es-CO"/>
              </w:rPr>
              <w:t>, 19 (derechos del niño)</w:t>
            </w:r>
            <w:r>
              <w:rPr>
                <w:rFonts w:ascii="Cambria" w:hAnsi="Cambria"/>
                <w:bCs/>
                <w:sz w:val="20"/>
                <w:szCs w:val="20"/>
                <w:lang w:val="es-CO"/>
              </w:rPr>
              <w:t xml:space="preserve"> y 25 (protección judicial) de la Convención Americana, en relación con su artículo 1.1 (obligación de respetar los derechos)</w:t>
            </w:r>
          </w:p>
        </w:tc>
      </w:tr>
      <w:tr w:rsidR="003239B8" w:rsidRPr="002D578E"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181E1FE" w14:textId="4C3629CB" w:rsidR="003239B8" w:rsidRPr="00DC24E3" w:rsidRDefault="00B81CDD" w:rsidP="00B81CDD">
            <w:pPr>
              <w:jc w:val="both"/>
              <w:rPr>
                <w:rFonts w:ascii="Cambria" w:hAnsi="Cambria"/>
                <w:bCs/>
                <w:sz w:val="20"/>
                <w:szCs w:val="20"/>
                <w:lang w:val="es-ES"/>
              </w:rPr>
            </w:pPr>
            <w:r w:rsidRPr="00B81CDD">
              <w:rPr>
                <w:rFonts w:ascii="Cambria" w:hAnsi="Cambria"/>
                <w:bCs/>
                <w:sz w:val="20"/>
                <w:szCs w:val="20"/>
                <w:lang w:val="es-CO"/>
              </w:rPr>
              <w:t>Sí, aplica la excepción d</w:t>
            </w:r>
            <w:r>
              <w:rPr>
                <w:rFonts w:ascii="Cambria" w:hAnsi="Cambria"/>
                <w:bCs/>
                <w:sz w:val="20"/>
                <w:szCs w:val="20"/>
                <w:lang w:val="es-CO"/>
              </w:rPr>
              <w:t>el artículo 46.2.c), en los términos de la Sección VI</w:t>
            </w:r>
          </w:p>
        </w:tc>
      </w:tr>
      <w:tr w:rsidR="003239B8" w:rsidRPr="002D578E"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B338EAC" w14:textId="36C7907F" w:rsidR="003239B8" w:rsidRPr="004177C4" w:rsidRDefault="004177C4" w:rsidP="008D2290">
            <w:pPr>
              <w:rPr>
                <w:rFonts w:ascii="Cambria" w:hAnsi="Cambria"/>
                <w:bCs/>
                <w:sz w:val="20"/>
                <w:szCs w:val="20"/>
                <w:lang w:val="es-CO"/>
              </w:rPr>
            </w:pPr>
            <w:r w:rsidRPr="004177C4">
              <w:rPr>
                <w:rFonts w:ascii="Cambria" w:hAnsi="Cambria"/>
                <w:bCs/>
                <w:sz w:val="20"/>
                <w:szCs w:val="20"/>
                <w:lang w:val="es-CO"/>
              </w:rPr>
              <w:t>Sí, en los términos d</w:t>
            </w:r>
            <w:r>
              <w:rPr>
                <w:rFonts w:ascii="Cambria" w:hAnsi="Cambria"/>
                <w:bCs/>
                <w:sz w:val="20"/>
                <w:szCs w:val="20"/>
                <w:lang w:val="es-CO"/>
              </w:rPr>
              <w:t>e la Sección VI</w:t>
            </w:r>
          </w:p>
        </w:tc>
      </w:tr>
    </w:tbl>
    <w:p w14:paraId="20F8626A" w14:textId="77777777" w:rsidR="003239B8" w:rsidRPr="00A819DD" w:rsidRDefault="00223A29" w:rsidP="003239B8">
      <w:pPr>
        <w:spacing w:before="240" w:after="240"/>
        <w:ind w:firstLine="720"/>
        <w:jc w:val="both"/>
        <w:rPr>
          <w:rFonts w:asciiTheme="majorHAnsi" w:hAnsiTheme="majorHAnsi"/>
          <w:b/>
          <w:sz w:val="20"/>
          <w:szCs w:val="20"/>
          <w:lang w:val="es-ES_tradnl"/>
        </w:rPr>
      </w:pPr>
      <w:r w:rsidRPr="00A819DD">
        <w:rPr>
          <w:rFonts w:asciiTheme="majorHAnsi" w:hAnsiTheme="majorHAnsi"/>
          <w:b/>
          <w:sz w:val="20"/>
          <w:szCs w:val="20"/>
          <w:lang w:val="es-ES_tradnl"/>
        </w:rPr>
        <w:t xml:space="preserve">V. </w:t>
      </w:r>
      <w:r w:rsidRPr="00A819DD">
        <w:rPr>
          <w:rFonts w:asciiTheme="majorHAnsi" w:hAnsiTheme="majorHAnsi"/>
          <w:b/>
          <w:sz w:val="20"/>
          <w:szCs w:val="20"/>
          <w:lang w:val="es-ES_tradnl"/>
        </w:rPr>
        <w:tab/>
      </w:r>
      <w:r w:rsidR="003239B8" w:rsidRPr="00A819DD">
        <w:rPr>
          <w:rFonts w:asciiTheme="majorHAnsi" w:hAnsiTheme="majorHAnsi"/>
          <w:b/>
          <w:sz w:val="20"/>
          <w:szCs w:val="20"/>
          <w:lang w:val="es-ES_tradnl"/>
        </w:rPr>
        <w:t xml:space="preserve">HECHOS ALEGADOS </w:t>
      </w:r>
    </w:p>
    <w:p w14:paraId="294F59DD" w14:textId="4602C73A" w:rsidR="00A11E44" w:rsidRPr="00A819DD" w:rsidRDefault="004177C4" w:rsidP="004177C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819DD">
        <w:rPr>
          <w:rFonts w:ascii="Cambria" w:hAnsi="Cambria"/>
          <w:sz w:val="20"/>
          <w:szCs w:val="20"/>
          <w:lang w:val="es-ES_tradnl"/>
        </w:rPr>
        <w:t xml:space="preserve">1. </w:t>
      </w:r>
      <w:r w:rsidR="004F2D6A" w:rsidRPr="00A819DD">
        <w:rPr>
          <w:rFonts w:ascii="Cambria" w:hAnsi="Cambria"/>
          <w:sz w:val="20"/>
          <w:szCs w:val="20"/>
          <w:lang w:val="es-ES_tradnl"/>
        </w:rPr>
        <w:tab/>
      </w:r>
      <w:r w:rsidR="007357F0" w:rsidRPr="00A819DD">
        <w:rPr>
          <w:rFonts w:ascii="Cambria" w:hAnsi="Cambria"/>
          <w:sz w:val="20"/>
          <w:szCs w:val="20"/>
          <w:lang w:val="es-ES_tradnl"/>
        </w:rPr>
        <w:t xml:space="preserve">La parte peticionaria solicita que el Estado colombiano sea declarado internacionalmente responsable por el asesinato del señor Oscar Darío Soto Polo y por la impunidad en la que se </w:t>
      </w:r>
      <w:r w:rsidR="004F2D6A" w:rsidRPr="00A819DD">
        <w:rPr>
          <w:rFonts w:ascii="Cambria" w:hAnsi="Cambria"/>
          <w:sz w:val="20"/>
          <w:szCs w:val="20"/>
          <w:lang w:val="es-ES_tradnl"/>
        </w:rPr>
        <w:t>encontraría</w:t>
      </w:r>
      <w:r w:rsidR="007357F0" w:rsidRPr="00A819DD">
        <w:rPr>
          <w:rFonts w:ascii="Cambria" w:hAnsi="Cambria"/>
          <w:sz w:val="20"/>
          <w:szCs w:val="20"/>
          <w:lang w:val="es-ES_tradnl"/>
        </w:rPr>
        <w:t xml:space="preserve"> el </w:t>
      </w:r>
      <w:r w:rsidR="007357F0" w:rsidRPr="00A819DD">
        <w:rPr>
          <w:rFonts w:ascii="Cambria" w:hAnsi="Cambria"/>
          <w:sz w:val="20"/>
          <w:szCs w:val="20"/>
          <w:lang w:val="es-ES_tradnl"/>
        </w:rPr>
        <w:lastRenderedPageBreak/>
        <w:t>crimen en la actualidad, al no haberse determinado, juzgado y sancionado a todos los responsables materiales e intelectuales de su homicidio.</w:t>
      </w:r>
    </w:p>
    <w:p w14:paraId="761D936B" w14:textId="2297826A" w:rsidR="00CB6AF3" w:rsidRPr="00A819DD" w:rsidRDefault="004177C4" w:rsidP="004177C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819DD">
        <w:rPr>
          <w:rFonts w:ascii="Cambria" w:hAnsi="Cambria"/>
          <w:sz w:val="20"/>
          <w:szCs w:val="20"/>
          <w:lang w:val="es-ES_tradnl"/>
        </w:rPr>
        <w:t xml:space="preserve">2. </w:t>
      </w:r>
      <w:r w:rsidR="006D389F" w:rsidRPr="00A819DD">
        <w:rPr>
          <w:rFonts w:ascii="Cambria" w:hAnsi="Cambria"/>
          <w:sz w:val="20"/>
          <w:szCs w:val="20"/>
          <w:lang w:val="es-ES_tradnl"/>
        </w:rPr>
        <w:tab/>
      </w:r>
      <w:r w:rsidR="00215072" w:rsidRPr="00A819DD">
        <w:rPr>
          <w:rFonts w:ascii="Cambria" w:hAnsi="Cambria"/>
          <w:sz w:val="20"/>
          <w:szCs w:val="20"/>
          <w:lang w:val="es-ES_tradnl"/>
        </w:rPr>
        <w:t>Los peticionarios narran</w:t>
      </w:r>
      <w:r w:rsidR="007357F0" w:rsidRPr="00A819DD">
        <w:rPr>
          <w:rFonts w:ascii="Cambria" w:hAnsi="Cambria"/>
          <w:sz w:val="20"/>
          <w:szCs w:val="20"/>
          <w:lang w:val="es-ES_tradnl"/>
        </w:rPr>
        <w:t xml:space="preserve"> que el señor Oscar Darío Soto Polo era un líder sindical en el departamento de Córdoba, </w:t>
      </w:r>
      <w:r w:rsidR="00DE67BE" w:rsidRPr="00A819DD">
        <w:rPr>
          <w:rFonts w:ascii="Cambria" w:hAnsi="Cambria"/>
          <w:sz w:val="20"/>
          <w:szCs w:val="20"/>
          <w:lang w:val="es-ES_tradnl"/>
        </w:rPr>
        <w:t>que al momento de su muerte era Presidente de la Seccional de Montería del Sindicato Nacional de Trabajadores de la Industria de las Bebidas en Colombia (SINALTRAINBEC)</w:t>
      </w:r>
      <w:r w:rsidR="0011167B" w:rsidRPr="00A819DD">
        <w:rPr>
          <w:rFonts w:ascii="Cambria" w:hAnsi="Cambria"/>
          <w:sz w:val="20"/>
          <w:szCs w:val="20"/>
          <w:lang w:val="es-ES_tradnl"/>
        </w:rPr>
        <w:t>,</w:t>
      </w:r>
      <w:r w:rsidR="00DE67BE" w:rsidRPr="00A819DD">
        <w:rPr>
          <w:rFonts w:ascii="Cambria" w:hAnsi="Cambria"/>
          <w:sz w:val="20"/>
          <w:szCs w:val="20"/>
          <w:lang w:val="es-ES_tradnl"/>
        </w:rPr>
        <w:t xml:space="preserve"> y miembro del </w:t>
      </w:r>
      <w:r w:rsidR="00215072" w:rsidRPr="00A819DD">
        <w:rPr>
          <w:rFonts w:ascii="Cambria" w:hAnsi="Cambria"/>
          <w:sz w:val="20"/>
          <w:szCs w:val="20"/>
          <w:lang w:val="es-ES_tradnl"/>
        </w:rPr>
        <w:t>C</w:t>
      </w:r>
      <w:r w:rsidR="00DE67BE" w:rsidRPr="00A819DD">
        <w:rPr>
          <w:rFonts w:ascii="Cambria" w:hAnsi="Cambria"/>
          <w:sz w:val="20"/>
          <w:szCs w:val="20"/>
          <w:lang w:val="es-ES_tradnl"/>
        </w:rPr>
        <w:t xml:space="preserve">omité </w:t>
      </w:r>
      <w:r w:rsidR="00215072" w:rsidRPr="00A819DD">
        <w:rPr>
          <w:rFonts w:ascii="Cambria" w:hAnsi="Cambria"/>
          <w:sz w:val="20"/>
          <w:szCs w:val="20"/>
          <w:lang w:val="es-ES_tradnl"/>
        </w:rPr>
        <w:t>E</w:t>
      </w:r>
      <w:r w:rsidR="00DE67BE" w:rsidRPr="00A819DD">
        <w:rPr>
          <w:rFonts w:ascii="Cambria" w:hAnsi="Cambria"/>
          <w:sz w:val="20"/>
          <w:szCs w:val="20"/>
          <w:lang w:val="es-ES_tradnl"/>
        </w:rPr>
        <w:t xml:space="preserve">jecutivo de la Central Unitaria de Trabajadores (CUT); trabajaba como operario de la empresa embotelladora Román, </w:t>
      </w:r>
      <w:r w:rsidRPr="00A819DD">
        <w:rPr>
          <w:rFonts w:ascii="Cambria" w:hAnsi="Cambria"/>
          <w:sz w:val="20"/>
          <w:szCs w:val="20"/>
          <w:lang w:val="es-ES_tradnl"/>
        </w:rPr>
        <w:t xml:space="preserve">la cual </w:t>
      </w:r>
      <w:r w:rsidR="00DE67BE" w:rsidRPr="00A819DD">
        <w:rPr>
          <w:rFonts w:ascii="Cambria" w:hAnsi="Cambria"/>
          <w:sz w:val="20"/>
          <w:szCs w:val="20"/>
          <w:lang w:val="es-ES_tradnl"/>
        </w:rPr>
        <w:t>procesaba las bebidas de la marca “Coca-Cola” en Colombia</w:t>
      </w:r>
      <w:r w:rsidR="007357F0" w:rsidRPr="00A819DD">
        <w:rPr>
          <w:rFonts w:ascii="Cambria" w:hAnsi="Cambria"/>
          <w:sz w:val="20"/>
          <w:szCs w:val="20"/>
          <w:lang w:val="es-ES_tradnl"/>
        </w:rPr>
        <w:t xml:space="preserve">. El </w:t>
      </w:r>
      <w:r w:rsidR="00DE67BE" w:rsidRPr="00A819DD">
        <w:rPr>
          <w:rFonts w:ascii="Cambria" w:hAnsi="Cambria"/>
          <w:sz w:val="20"/>
          <w:szCs w:val="20"/>
          <w:lang w:val="es-ES_tradnl"/>
        </w:rPr>
        <w:t xml:space="preserve">21 de junio de </w:t>
      </w:r>
      <w:r w:rsidR="007357F0" w:rsidRPr="00A819DD">
        <w:rPr>
          <w:rFonts w:ascii="Cambria" w:hAnsi="Cambria"/>
          <w:sz w:val="20"/>
          <w:szCs w:val="20"/>
          <w:lang w:val="es-ES_tradnl"/>
        </w:rPr>
        <w:t xml:space="preserve">2001 mientras caminaba rumbo a su residencia en la ciudad de Montería junto a su hija de </w:t>
      </w:r>
      <w:r w:rsidR="006D389F" w:rsidRPr="00A819DD">
        <w:rPr>
          <w:rFonts w:ascii="Cambria" w:hAnsi="Cambria"/>
          <w:sz w:val="20"/>
          <w:szCs w:val="20"/>
          <w:lang w:val="es-ES_tradnl"/>
        </w:rPr>
        <w:t>ocho</w:t>
      </w:r>
      <w:r w:rsidR="007357F0" w:rsidRPr="00A819DD">
        <w:rPr>
          <w:rFonts w:ascii="Cambria" w:hAnsi="Cambria"/>
          <w:sz w:val="20"/>
          <w:szCs w:val="20"/>
          <w:lang w:val="es-ES_tradnl"/>
        </w:rPr>
        <w:t xml:space="preserve"> años, el señor Soto fue víctima de un atentado perpetrado por dos sicarios que se desplazaban en una motocicleta, quienes le dispararon a quemarropa causando instantáneamente su muerte. La niña pudo escapar con vida, pues huyó corriendo </w:t>
      </w:r>
      <w:r w:rsidR="00C76853" w:rsidRPr="00A819DD">
        <w:rPr>
          <w:rFonts w:ascii="Cambria" w:hAnsi="Cambria"/>
          <w:sz w:val="20"/>
          <w:szCs w:val="20"/>
          <w:lang w:val="es-ES_tradnl"/>
        </w:rPr>
        <w:t xml:space="preserve">a esconderse </w:t>
      </w:r>
      <w:r w:rsidR="007357F0" w:rsidRPr="00A819DD">
        <w:rPr>
          <w:rFonts w:ascii="Cambria" w:hAnsi="Cambria"/>
          <w:sz w:val="20"/>
          <w:szCs w:val="20"/>
          <w:lang w:val="es-ES_tradnl"/>
        </w:rPr>
        <w:t>al ver a los asesinos aproximarse</w:t>
      </w:r>
      <w:r w:rsidR="00C76853" w:rsidRPr="00A819DD">
        <w:rPr>
          <w:rFonts w:ascii="Cambria" w:hAnsi="Cambria"/>
          <w:sz w:val="20"/>
          <w:szCs w:val="20"/>
          <w:lang w:val="es-ES_tradnl"/>
        </w:rPr>
        <w:t xml:space="preserve"> a su padre</w:t>
      </w:r>
      <w:r w:rsidR="007357F0" w:rsidRPr="00A819DD">
        <w:rPr>
          <w:rFonts w:ascii="Cambria" w:hAnsi="Cambria"/>
          <w:sz w:val="20"/>
          <w:szCs w:val="20"/>
          <w:lang w:val="es-ES_tradnl"/>
        </w:rPr>
        <w:t xml:space="preserve">. </w:t>
      </w:r>
      <w:r w:rsidR="00CB6AF3" w:rsidRPr="00A819DD">
        <w:rPr>
          <w:rFonts w:ascii="Cambria" w:hAnsi="Cambria"/>
          <w:sz w:val="20"/>
          <w:szCs w:val="20"/>
          <w:lang w:val="es-ES_tradnl"/>
        </w:rPr>
        <w:t xml:space="preserve">Según la petición, los autores materiales del ataque fueron dos miembros de los grupos paramilitares que para ese entonces operaban en el departamento de Córdoba. </w:t>
      </w:r>
    </w:p>
    <w:p w14:paraId="4BDEF043" w14:textId="74EF7B3A" w:rsidR="00CB6AF3" w:rsidRPr="00A819DD" w:rsidRDefault="004177C4" w:rsidP="00C61AE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819DD">
        <w:rPr>
          <w:rFonts w:ascii="Cambria" w:hAnsi="Cambria"/>
          <w:sz w:val="20"/>
          <w:szCs w:val="20"/>
          <w:lang w:val="es-ES_tradnl"/>
        </w:rPr>
        <w:t xml:space="preserve">3. </w:t>
      </w:r>
      <w:r w:rsidR="00F96DAF" w:rsidRPr="00A819DD">
        <w:rPr>
          <w:rFonts w:ascii="Cambria" w:hAnsi="Cambria"/>
          <w:sz w:val="20"/>
          <w:szCs w:val="20"/>
          <w:lang w:val="es-ES_tradnl"/>
        </w:rPr>
        <w:tab/>
      </w:r>
      <w:r w:rsidR="00CB6AF3" w:rsidRPr="00A819DD">
        <w:rPr>
          <w:rFonts w:ascii="Cambria" w:hAnsi="Cambria"/>
          <w:sz w:val="20"/>
          <w:szCs w:val="20"/>
          <w:lang w:val="es-ES_tradnl"/>
        </w:rPr>
        <w:t xml:space="preserve">La parte peticionaria indica que </w:t>
      </w:r>
      <w:r w:rsidR="005D6F83" w:rsidRPr="00A819DD">
        <w:rPr>
          <w:rFonts w:ascii="Cambria" w:hAnsi="Cambria"/>
          <w:sz w:val="20"/>
          <w:szCs w:val="20"/>
          <w:lang w:val="es-ES_tradnl"/>
        </w:rPr>
        <w:t>los autores intelectuales d</w:t>
      </w:r>
      <w:r w:rsidR="00CB6AF3" w:rsidRPr="00A819DD">
        <w:rPr>
          <w:rFonts w:ascii="Cambria" w:hAnsi="Cambria"/>
          <w:sz w:val="20"/>
          <w:szCs w:val="20"/>
          <w:lang w:val="es-ES_tradnl"/>
        </w:rPr>
        <w:t xml:space="preserve">el homicidio del señor Soto </w:t>
      </w:r>
      <w:r w:rsidR="005D6F83" w:rsidRPr="00A819DD">
        <w:rPr>
          <w:rFonts w:ascii="Cambria" w:hAnsi="Cambria"/>
          <w:sz w:val="20"/>
          <w:szCs w:val="20"/>
          <w:lang w:val="es-ES_tradnl"/>
        </w:rPr>
        <w:t xml:space="preserve">incluyen </w:t>
      </w:r>
      <w:r w:rsidR="00CB6AF3" w:rsidRPr="00A819DD">
        <w:rPr>
          <w:rFonts w:ascii="Cambria" w:hAnsi="Cambria"/>
          <w:sz w:val="20"/>
          <w:szCs w:val="20"/>
          <w:lang w:val="es-ES_tradnl"/>
        </w:rPr>
        <w:t xml:space="preserve">agentes estatales, específicamente miembros del Departamento Administrativo de Seguridad (DAS). Para sustentar esta acusación </w:t>
      </w:r>
      <w:r w:rsidR="00EC2CFA" w:rsidRPr="00A819DD">
        <w:rPr>
          <w:rFonts w:ascii="Cambria" w:hAnsi="Cambria"/>
          <w:sz w:val="20"/>
          <w:szCs w:val="20"/>
          <w:lang w:val="es-ES_tradnl"/>
        </w:rPr>
        <w:t>–</w:t>
      </w:r>
      <w:r w:rsidR="00CB6AF3" w:rsidRPr="00A819DD">
        <w:rPr>
          <w:rFonts w:ascii="Cambria" w:hAnsi="Cambria"/>
          <w:sz w:val="20"/>
          <w:szCs w:val="20"/>
          <w:lang w:val="es-ES_tradnl"/>
        </w:rPr>
        <w:t>que no ha sido demostrada judicialmente en sede interna</w:t>
      </w:r>
      <w:r w:rsidR="00EC2CFA" w:rsidRPr="00A819DD">
        <w:rPr>
          <w:rFonts w:ascii="Cambria" w:hAnsi="Cambria"/>
          <w:sz w:val="20"/>
          <w:szCs w:val="20"/>
          <w:lang w:val="es-ES_tradnl"/>
        </w:rPr>
        <w:t>–</w:t>
      </w:r>
      <w:r w:rsidR="00CB6AF3" w:rsidRPr="00A819DD">
        <w:rPr>
          <w:rFonts w:ascii="Cambria" w:hAnsi="Cambria"/>
          <w:sz w:val="20"/>
          <w:szCs w:val="20"/>
          <w:lang w:val="es-ES_tradnl"/>
        </w:rPr>
        <w:t xml:space="preserve"> los peticionarios traen a colación dos motivos</w:t>
      </w:r>
      <w:r w:rsidRPr="00A819DD">
        <w:rPr>
          <w:rFonts w:ascii="Cambria" w:hAnsi="Cambria"/>
          <w:sz w:val="20"/>
          <w:szCs w:val="20"/>
          <w:lang w:val="es-ES_tradnl"/>
        </w:rPr>
        <w:t xml:space="preserve"> de tipo indiciario</w:t>
      </w:r>
      <w:r w:rsidR="00CA1CF8" w:rsidRPr="00A819DD">
        <w:rPr>
          <w:rFonts w:ascii="Cambria" w:hAnsi="Cambria"/>
          <w:sz w:val="20"/>
          <w:szCs w:val="20"/>
          <w:lang w:val="es-ES_tradnl"/>
        </w:rPr>
        <w:t>, que presentan a la CIDH para su valoración</w:t>
      </w:r>
      <w:r w:rsidR="00CB6AF3" w:rsidRPr="00A819DD">
        <w:rPr>
          <w:rFonts w:ascii="Cambria" w:hAnsi="Cambria"/>
          <w:sz w:val="20"/>
          <w:szCs w:val="20"/>
          <w:lang w:val="es-ES_tradnl"/>
        </w:rPr>
        <w:t>: (</w:t>
      </w:r>
      <w:r w:rsidR="002C4537" w:rsidRPr="00A819DD">
        <w:rPr>
          <w:rFonts w:ascii="Cambria" w:hAnsi="Cambria"/>
          <w:sz w:val="20"/>
          <w:szCs w:val="20"/>
          <w:lang w:val="es-ES_tradnl"/>
        </w:rPr>
        <w:t>a</w:t>
      </w:r>
      <w:r w:rsidR="00CB6AF3" w:rsidRPr="00A819DD">
        <w:rPr>
          <w:rFonts w:ascii="Cambria" w:hAnsi="Cambria"/>
          <w:sz w:val="20"/>
          <w:szCs w:val="20"/>
          <w:lang w:val="es-ES_tradnl"/>
        </w:rPr>
        <w:t xml:space="preserve">) el que en las semanas previas al crimen, y en el día mismo en que se cometió el asesinato, agentes del DAS realizaron </w:t>
      </w:r>
      <w:r w:rsidRPr="00A819DD">
        <w:rPr>
          <w:rFonts w:ascii="Cambria" w:hAnsi="Cambria"/>
          <w:sz w:val="20"/>
          <w:szCs w:val="20"/>
          <w:lang w:val="es-ES_tradnl"/>
        </w:rPr>
        <w:t xml:space="preserve">inusuales </w:t>
      </w:r>
      <w:r w:rsidR="00CB6AF3" w:rsidRPr="00A819DD">
        <w:rPr>
          <w:rFonts w:ascii="Cambria" w:hAnsi="Cambria"/>
          <w:sz w:val="20"/>
          <w:szCs w:val="20"/>
          <w:lang w:val="es-ES_tradnl"/>
        </w:rPr>
        <w:t xml:space="preserve">visitas </w:t>
      </w:r>
      <w:r w:rsidR="00CB6AF3" w:rsidRPr="00A819DD">
        <w:rPr>
          <w:rFonts w:ascii="Cambria" w:hAnsi="Cambria"/>
          <w:i/>
          <w:iCs/>
          <w:sz w:val="20"/>
          <w:szCs w:val="20"/>
          <w:lang w:val="es-ES_tradnl"/>
        </w:rPr>
        <w:t>motu proprio</w:t>
      </w:r>
      <w:r w:rsidR="00CB6AF3" w:rsidRPr="00A819DD">
        <w:rPr>
          <w:rFonts w:ascii="Cambria" w:hAnsi="Cambria"/>
          <w:sz w:val="20"/>
          <w:szCs w:val="20"/>
          <w:lang w:val="es-ES_tradnl"/>
        </w:rPr>
        <w:t xml:space="preserve"> </w:t>
      </w:r>
      <w:r w:rsidR="00DE67BE" w:rsidRPr="00A819DD">
        <w:rPr>
          <w:rFonts w:ascii="Cambria" w:hAnsi="Cambria"/>
          <w:sz w:val="20"/>
          <w:szCs w:val="20"/>
          <w:lang w:val="es-ES_tradnl"/>
        </w:rPr>
        <w:t>a la sede del sindicato SINALTRAINBEC</w:t>
      </w:r>
      <w:r w:rsidR="00CB6AF3" w:rsidRPr="00A819DD">
        <w:rPr>
          <w:rFonts w:ascii="Cambria" w:hAnsi="Cambria"/>
          <w:sz w:val="20"/>
          <w:szCs w:val="20"/>
          <w:lang w:val="es-ES_tradnl"/>
        </w:rPr>
        <w:t>, inform</w:t>
      </w:r>
      <w:r w:rsidR="00DE67BE" w:rsidRPr="00A819DD">
        <w:rPr>
          <w:rFonts w:ascii="Cambria" w:hAnsi="Cambria"/>
          <w:sz w:val="20"/>
          <w:szCs w:val="20"/>
          <w:lang w:val="es-ES_tradnl"/>
        </w:rPr>
        <w:t>á</w:t>
      </w:r>
      <w:r w:rsidR="00CB6AF3" w:rsidRPr="00A819DD">
        <w:rPr>
          <w:rFonts w:ascii="Cambria" w:hAnsi="Cambria"/>
          <w:sz w:val="20"/>
          <w:szCs w:val="20"/>
          <w:lang w:val="es-ES_tradnl"/>
        </w:rPr>
        <w:t>ndo</w:t>
      </w:r>
      <w:r w:rsidR="00DE67BE" w:rsidRPr="00A819DD">
        <w:rPr>
          <w:rFonts w:ascii="Cambria" w:hAnsi="Cambria"/>
          <w:sz w:val="20"/>
          <w:szCs w:val="20"/>
          <w:lang w:val="es-ES_tradnl"/>
        </w:rPr>
        <w:t>le</w:t>
      </w:r>
      <w:r w:rsidR="00CA1CF8" w:rsidRPr="00A819DD">
        <w:rPr>
          <w:rFonts w:ascii="Cambria" w:hAnsi="Cambria"/>
          <w:sz w:val="20"/>
          <w:szCs w:val="20"/>
          <w:lang w:val="es-ES_tradnl"/>
        </w:rPr>
        <w:t xml:space="preserve"> a sus directivas</w:t>
      </w:r>
      <w:r w:rsidR="00CB6AF3" w:rsidRPr="00A819DD">
        <w:rPr>
          <w:rFonts w:ascii="Cambria" w:hAnsi="Cambria"/>
          <w:sz w:val="20"/>
          <w:szCs w:val="20"/>
          <w:lang w:val="es-ES_tradnl"/>
        </w:rPr>
        <w:t xml:space="preserve"> que el sindicato había sido amenazado</w:t>
      </w:r>
      <w:r w:rsidR="00CA1CF8" w:rsidRPr="00A819DD">
        <w:rPr>
          <w:rFonts w:ascii="Cambria" w:hAnsi="Cambria"/>
          <w:sz w:val="20"/>
          <w:szCs w:val="20"/>
          <w:lang w:val="es-ES_tradnl"/>
        </w:rPr>
        <w:t>,</w:t>
      </w:r>
      <w:r w:rsidR="00DE67BE" w:rsidRPr="00A819DD">
        <w:rPr>
          <w:rFonts w:ascii="Cambria" w:hAnsi="Cambria"/>
          <w:sz w:val="20"/>
          <w:szCs w:val="20"/>
          <w:lang w:val="es-ES_tradnl"/>
        </w:rPr>
        <w:t xml:space="preserve"> y desarrollando entrevistas con sus miembros, incluyendo en varias oportunidades al señor Soto</w:t>
      </w:r>
      <w:r w:rsidR="002C4537" w:rsidRPr="00A819DD">
        <w:rPr>
          <w:rFonts w:ascii="Cambria" w:hAnsi="Cambria"/>
          <w:sz w:val="20"/>
          <w:szCs w:val="20"/>
          <w:lang w:val="es-ES_tradnl"/>
        </w:rPr>
        <w:t xml:space="preserve">, </w:t>
      </w:r>
      <w:r w:rsidR="00C76853" w:rsidRPr="00A819DD">
        <w:rPr>
          <w:rFonts w:ascii="Cambria" w:hAnsi="Cambria"/>
          <w:sz w:val="20"/>
          <w:szCs w:val="20"/>
          <w:lang w:val="es-ES_tradnl"/>
        </w:rPr>
        <w:t>visitas que tras el asesinato se realizaron en tres oportunidades más y abruptamente cesaron</w:t>
      </w:r>
      <w:r w:rsidR="00CB6AF3" w:rsidRPr="00A819DD">
        <w:rPr>
          <w:rFonts w:ascii="Cambria" w:hAnsi="Cambria"/>
          <w:sz w:val="20"/>
          <w:szCs w:val="20"/>
          <w:lang w:val="es-ES_tradnl"/>
        </w:rPr>
        <w:t>; y (</w:t>
      </w:r>
      <w:r w:rsidR="002C4537" w:rsidRPr="00A819DD">
        <w:rPr>
          <w:rFonts w:ascii="Cambria" w:hAnsi="Cambria"/>
          <w:sz w:val="20"/>
          <w:szCs w:val="20"/>
          <w:lang w:val="es-ES_tradnl"/>
        </w:rPr>
        <w:t>b</w:t>
      </w:r>
      <w:r w:rsidR="00CB6AF3" w:rsidRPr="00A819DD">
        <w:rPr>
          <w:rFonts w:ascii="Cambria" w:hAnsi="Cambria"/>
          <w:sz w:val="20"/>
          <w:szCs w:val="20"/>
          <w:lang w:val="es-ES_tradnl"/>
        </w:rPr>
        <w:t xml:space="preserve">) el contexto general de surgimiento y consolidación del paramilitarismo en Córdoba para la fecha de los hechos, contexto histórico que la petición describe en gran detalle, enfatizando los vínculos que unían a los grupos paramilitares con las autoridades estatales a todo nivel en la región, y la amplia aceptación social de la que presuntamente gozaban entre la ciudadanía. </w:t>
      </w:r>
      <w:r w:rsidR="005D6F83" w:rsidRPr="00A819DD">
        <w:rPr>
          <w:rFonts w:ascii="Cambria" w:hAnsi="Cambria"/>
          <w:sz w:val="20"/>
          <w:szCs w:val="20"/>
          <w:lang w:val="es-ES_tradnl"/>
        </w:rPr>
        <w:t>Los peticionarios consideran</w:t>
      </w:r>
      <w:r w:rsidR="00C76853" w:rsidRPr="00A819DD">
        <w:rPr>
          <w:rFonts w:ascii="Cambria" w:hAnsi="Cambria"/>
          <w:sz w:val="20"/>
          <w:szCs w:val="20"/>
          <w:lang w:val="es-ES_tradnl"/>
        </w:rPr>
        <w:t xml:space="preserve"> </w:t>
      </w:r>
      <w:r w:rsidR="005166D7" w:rsidRPr="00A819DD">
        <w:rPr>
          <w:rFonts w:ascii="Cambria" w:hAnsi="Cambria"/>
          <w:sz w:val="20"/>
          <w:szCs w:val="20"/>
          <w:lang w:val="es-ES_tradnl"/>
        </w:rPr>
        <w:t>que</w:t>
      </w:r>
      <w:r w:rsidR="00C76853" w:rsidRPr="00A819DD">
        <w:rPr>
          <w:rFonts w:ascii="Cambria" w:hAnsi="Cambria"/>
          <w:sz w:val="20"/>
          <w:szCs w:val="20"/>
          <w:lang w:val="es-ES_tradnl"/>
        </w:rPr>
        <w:t xml:space="preserve"> el crimen </w:t>
      </w:r>
      <w:r w:rsidR="00CA1CF8" w:rsidRPr="00A819DD">
        <w:rPr>
          <w:rFonts w:ascii="Cambria" w:hAnsi="Cambria"/>
          <w:sz w:val="20"/>
          <w:szCs w:val="20"/>
          <w:lang w:val="es-ES_tradnl"/>
        </w:rPr>
        <w:t xml:space="preserve">habría </w:t>
      </w:r>
      <w:r w:rsidR="00C76853" w:rsidRPr="00A819DD">
        <w:rPr>
          <w:rFonts w:ascii="Cambria" w:hAnsi="Cambria"/>
          <w:sz w:val="20"/>
          <w:szCs w:val="20"/>
          <w:lang w:val="es-ES_tradnl"/>
        </w:rPr>
        <w:t>form</w:t>
      </w:r>
      <w:r w:rsidR="00CA1CF8" w:rsidRPr="00A819DD">
        <w:rPr>
          <w:rFonts w:ascii="Cambria" w:hAnsi="Cambria"/>
          <w:sz w:val="20"/>
          <w:szCs w:val="20"/>
          <w:lang w:val="es-ES_tradnl"/>
        </w:rPr>
        <w:t>ado</w:t>
      </w:r>
      <w:r w:rsidR="00C76853" w:rsidRPr="00A819DD">
        <w:rPr>
          <w:rFonts w:ascii="Cambria" w:hAnsi="Cambria"/>
          <w:sz w:val="20"/>
          <w:szCs w:val="20"/>
          <w:lang w:val="es-ES_tradnl"/>
        </w:rPr>
        <w:t xml:space="preserve"> </w:t>
      </w:r>
      <w:r w:rsidR="00DE67BE" w:rsidRPr="00A819DD">
        <w:rPr>
          <w:rFonts w:ascii="Cambria" w:hAnsi="Cambria"/>
          <w:sz w:val="20"/>
          <w:szCs w:val="20"/>
          <w:lang w:val="es-ES_tradnl"/>
        </w:rPr>
        <w:t>parte del proceso de persecución y exterminio de líderes sindicales</w:t>
      </w:r>
      <w:r w:rsidR="00C61AE1" w:rsidRPr="00A819DD">
        <w:rPr>
          <w:rFonts w:ascii="Cambria" w:hAnsi="Cambria"/>
          <w:sz w:val="20"/>
          <w:szCs w:val="20"/>
          <w:lang w:val="es-ES_tradnl"/>
        </w:rPr>
        <w:t xml:space="preserve"> </w:t>
      </w:r>
      <w:r w:rsidR="00DE67BE" w:rsidRPr="00A819DD">
        <w:rPr>
          <w:rFonts w:ascii="Cambria" w:hAnsi="Cambria"/>
          <w:sz w:val="20"/>
          <w:szCs w:val="20"/>
          <w:lang w:val="es-ES_tradnl"/>
        </w:rPr>
        <w:t>cordobeses emprendido por los paramilitares con el consentimiento y la participación de las autoridades estatales</w:t>
      </w:r>
      <w:r w:rsidR="00C76853" w:rsidRPr="00A819DD">
        <w:rPr>
          <w:rFonts w:ascii="Cambria" w:hAnsi="Cambria"/>
          <w:sz w:val="20"/>
          <w:szCs w:val="20"/>
          <w:lang w:val="es-ES_tradnl"/>
        </w:rPr>
        <w:t>, en particular de la Fuerza Pública y los organismos de inteligencia y seguridad</w:t>
      </w:r>
      <w:r w:rsidR="00C61AE1" w:rsidRPr="00A819DD">
        <w:rPr>
          <w:rFonts w:ascii="Cambria" w:hAnsi="Cambria"/>
          <w:sz w:val="20"/>
          <w:szCs w:val="20"/>
          <w:lang w:val="es-ES_tradnl"/>
        </w:rPr>
        <w:t>.</w:t>
      </w:r>
    </w:p>
    <w:p w14:paraId="59DA98D8" w14:textId="33080266" w:rsidR="004F3FE0" w:rsidRPr="00A819DD" w:rsidRDefault="004177C4" w:rsidP="004177C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819DD">
        <w:rPr>
          <w:rFonts w:ascii="Cambria" w:hAnsi="Cambria"/>
          <w:sz w:val="20"/>
          <w:szCs w:val="20"/>
          <w:lang w:val="es-ES_tradnl"/>
        </w:rPr>
        <w:t xml:space="preserve">4. </w:t>
      </w:r>
      <w:r w:rsidR="00320E04" w:rsidRPr="00A819DD">
        <w:rPr>
          <w:rFonts w:ascii="Cambria" w:hAnsi="Cambria"/>
          <w:sz w:val="20"/>
          <w:szCs w:val="20"/>
          <w:lang w:val="es-ES_tradnl"/>
        </w:rPr>
        <w:tab/>
      </w:r>
      <w:r w:rsidR="00CB6AF3" w:rsidRPr="00A819DD">
        <w:rPr>
          <w:rFonts w:ascii="Cambria" w:hAnsi="Cambria"/>
          <w:sz w:val="20"/>
          <w:szCs w:val="20"/>
          <w:lang w:val="es-ES_tradnl"/>
        </w:rPr>
        <w:t xml:space="preserve">Tras el asesinato del señor Soto, la Fiscalía General de la Nación </w:t>
      </w:r>
      <w:r w:rsidR="008423CB" w:rsidRPr="00A819DD">
        <w:rPr>
          <w:rFonts w:ascii="Cambria" w:hAnsi="Cambria"/>
          <w:sz w:val="20"/>
          <w:szCs w:val="20"/>
          <w:lang w:val="es-ES_tradnl"/>
        </w:rPr>
        <w:t>emprendió</w:t>
      </w:r>
      <w:r w:rsidR="00CB6AF3" w:rsidRPr="00A819DD">
        <w:rPr>
          <w:rFonts w:ascii="Cambria" w:hAnsi="Cambria"/>
          <w:sz w:val="20"/>
          <w:szCs w:val="20"/>
          <w:lang w:val="es-ES_tradnl"/>
        </w:rPr>
        <w:t xml:space="preserve"> una investigación</w:t>
      </w:r>
      <w:r w:rsidR="009970EB" w:rsidRPr="00A819DD">
        <w:rPr>
          <w:rFonts w:ascii="Cambria" w:hAnsi="Cambria"/>
          <w:sz w:val="20"/>
          <w:szCs w:val="20"/>
          <w:lang w:val="es-ES_tradnl"/>
        </w:rPr>
        <w:t xml:space="preserve"> penal</w:t>
      </w:r>
      <w:r w:rsidR="00C76853" w:rsidRPr="00A819DD">
        <w:rPr>
          <w:rFonts w:ascii="Cambria" w:hAnsi="Cambria"/>
          <w:sz w:val="20"/>
          <w:szCs w:val="20"/>
          <w:lang w:val="es-ES_tradnl"/>
        </w:rPr>
        <w:t>, inicialmente a través de la Fiscalía 17 Delegada ante los jueces penales del circuito</w:t>
      </w:r>
      <w:r w:rsidR="00D9458F" w:rsidRPr="00A819DD">
        <w:rPr>
          <w:rFonts w:ascii="Cambria" w:hAnsi="Cambria"/>
          <w:sz w:val="20"/>
          <w:szCs w:val="20"/>
          <w:lang w:val="es-ES_tradnl"/>
        </w:rPr>
        <w:t>;</w:t>
      </w:r>
      <w:r w:rsidR="00C76853" w:rsidRPr="00A819DD">
        <w:rPr>
          <w:rFonts w:ascii="Cambria" w:hAnsi="Cambria"/>
          <w:sz w:val="20"/>
          <w:szCs w:val="20"/>
          <w:lang w:val="es-ES_tradnl"/>
        </w:rPr>
        <w:t xml:space="preserve"> posteriormente de la Fiscalía Primera Delegada ante el Juzgado Penal del Circuito Especializado de Montería</w:t>
      </w:r>
      <w:r w:rsidR="00D9458F" w:rsidRPr="00A819DD">
        <w:rPr>
          <w:rFonts w:ascii="Cambria" w:hAnsi="Cambria"/>
          <w:sz w:val="20"/>
          <w:szCs w:val="20"/>
          <w:lang w:val="es-ES_tradnl"/>
        </w:rPr>
        <w:t>;</w:t>
      </w:r>
      <w:r w:rsidR="002071F1" w:rsidRPr="00A819DD">
        <w:rPr>
          <w:rFonts w:ascii="Cambria" w:hAnsi="Cambria"/>
          <w:sz w:val="20"/>
          <w:szCs w:val="20"/>
          <w:lang w:val="es-ES_tradnl"/>
        </w:rPr>
        <w:t xml:space="preserve"> luego de la Fiscal Segunda de la Unidad Nacional de Derechos Humanos</w:t>
      </w:r>
      <w:r w:rsidR="00D9458F" w:rsidRPr="00A819DD">
        <w:rPr>
          <w:rFonts w:ascii="Cambria" w:hAnsi="Cambria"/>
          <w:sz w:val="20"/>
          <w:szCs w:val="20"/>
          <w:lang w:val="es-ES_tradnl"/>
        </w:rPr>
        <w:t>;</w:t>
      </w:r>
      <w:r w:rsidR="002071F1" w:rsidRPr="00A819DD">
        <w:rPr>
          <w:rFonts w:ascii="Cambria" w:hAnsi="Cambria"/>
          <w:sz w:val="20"/>
          <w:szCs w:val="20"/>
          <w:lang w:val="es-ES_tradnl"/>
        </w:rPr>
        <w:t xml:space="preserve"> y eventualmente, a partir de noviembre de 2011, de la Fiscalía 105 Especializada de la Unidad Nacional de Derechos Humanos y DIH</w:t>
      </w:r>
      <w:r w:rsidR="00CB6AF3" w:rsidRPr="00A819DD">
        <w:rPr>
          <w:rFonts w:ascii="Cambria" w:hAnsi="Cambria"/>
          <w:sz w:val="20"/>
          <w:szCs w:val="20"/>
          <w:lang w:val="es-ES_tradnl"/>
        </w:rPr>
        <w:t xml:space="preserve">. La petición </w:t>
      </w:r>
      <w:r w:rsidR="00D11C26" w:rsidRPr="00A819DD">
        <w:rPr>
          <w:rFonts w:ascii="Cambria" w:hAnsi="Cambria"/>
          <w:sz w:val="20"/>
          <w:szCs w:val="20"/>
          <w:lang w:val="es-ES_tradnl"/>
        </w:rPr>
        <w:t xml:space="preserve">y las observaciones adicionales del peticionario </w:t>
      </w:r>
      <w:r w:rsidR="00CB6AF3" w:rsidRPr="00A819DD">
        <w:rPr>
          <w:rFonts w:ascii="Cambria" w:hAnsi="Cambria"/>
          <w:sz w:val="20"/>
          <w:szCs w:val="20"/>
          <w:lang w:val="es-ES_tradnl"/>
        </w:rPr>
        <w:t>describe</w:t>
      </w:r>
      <w:r w:rsidR="00D11C26" w:rsidRPr="00A819DD">
        <w:rPr>
          <w:rFonts w:ascii="Cambria" w:hAnsi="Cambria"/>
          <w:sz w:val="20"/>
          <w:szCs w:val="20"/>
          <w:lang w:val="es-ES_tradnl"/>
        </w:rPr>
        <w:t>n</w:t>
      </w:r>
      <w:r w:rsidR="00CB6AF3" w:rsidRPr="00A819DD">
        <w:rPr>
          <w:rFonts w:ascii="Cambria" w:hAnsi="Cambria"/>
          <w:sz w:val="20"/>
          <w:szCs w:val="20"/>
          <w:lang w:val="es-ES_tradnl"/>
        </w:rPr>
        <w:t xml:space="preserve"> las numerosas actuaciones de recaudo probatorio efectuadas por la </w:t>
      </w:r>
      <w:r w:rsidR="00CB7FF4" w:rsidRPr="00A819DD">
        <w:rPr>
          <w:rFonts w:ascii="Cambria" w:hAnsi="Cambria"/>
          <w:sz w:val="20"/>
          <w:szCs w:val="20"/>
          <w:lang w:val="es-ES_tradnl"/>
        </w:rPr>
        <w:t>f</w:t>
      </w:r>
      <w:r w:rsidR="00CB6AF3" w:rsidRPr="00A819DD">
        <w:rPr>
          <w:rFonts w:ascii="Cambria" w:hAnsi="Cambria"/>
          <w:sz w:val="20"/>
          <w:szCs w:val="20"/>
          <w:lang w:val="es-ES_tradnl"/>
        </w:rPr>
        <w:t xml:space="preserve">iscalía a partir del año 2001, </w:t>
      </w:r>
      <w:r w:rsidR="00CB7FF4" w:rsidRPr="00A819DD">
        <w:rPr>
          <w:rFonts w:ascii="Cambria" w:hAnsi="Cambria"/>
          <w:sz w:val="20"/>
          <w:szCs w:val="20"/>
          <w:lang w:val="es-ES_tradnl"/>
        </w:rPr>
        <w:t xml:space="preserve">y </w:t>
      </w:r>
      <w:r w:rsidR="00C76853" w:rsidRPr="00A819DD">
        <w:rPr>
          <w:rFonts w:ascii="Cambria" w:hAnsi="Cambria"/>
          <w:sz w:val="20"/>
          <w:szCs w:val="20"/>
          <w:lang w:val="es-ES_tradnl"/>
        </w:rPr>
        <w:t xml:space="preserve">en forma constante </w:t>
      </w:r>
      <w:r w:rsidR="00CB6AF3" w:rsidRPr="00A819DD">
        <w:rPr>
          <w:rFonts w:ascii="Cambria" w:hAnsi="Cambria"/>
          <w:sz w:val="20"/>
          <w:szCs w:val="20"/>
          <w:lang w:val="es-ES_tradnl"/>
        </w:rPr>
        <w:t>hasta el año 2018</w:t>
      </w:r>
      <w:r w:rsidR="002071F1" w:rsidRPr="00A819DD">
        <w:rPr>
          <w:rFonts w:ascii="Cambria" w:hAnsi="Cambria"/>
          <w:sz w:val="20"/>
          <w:szCs w:val="20"/>
          <w:lang w:val="es-ES_tradnl"/>
        </w:rPr>
        <w:t xml:space="preserve">, con </w:t>
      </w:r>
      <w:r w:rsidR="00C47721" w:rsidRPr="00A819DD">
        <w:rPr>
          <w:rFonts w:ascii="Cambria" w:hAnsi="Cambria"/>
          <w:sz w:val="20"/>
          <w:szCs w:val="20"/>
          <w:lang w:val="es-ES_tradnl"/>
        </w:rPr>
        <w:t xml:space="preserve">dos </w:t>
      </w:r>
      <w:r w:rsidR="002071F1" w:rsidRPr="00A819DD">
        <w:rPr>
          <w:rFonts w:ascii="Cambria" w:hAnsi="Cambria"/>
          <w:sz w:val="20"/>
          <w:szCs w:val="20"/>
          <w:lang w:val="es-ES_tradnl"/>
        </w:rPr>
        <w:t>intervalo</w:t>
      </w:r>
      <w:r w:rsidR="00C47721" w:rsidRPr="00A819DD">
        <w:rPr>
          <w:rFonts w:ascii="Cambria" w:hAnsi="Cambria"/>
          <w:sz w:val="20"/>
          <w:szCs w:val="20"/>
          <w:lang w:val="es-ES_tradnl"/>
        </w:rPr>
        <w:t>s</w:t>
      </w:r>
      <w:r w:rsidR="002071F1" w:rsidRPr="00A819DD">
        <w:rPr>
          <w:rFonts w:ascii="Cambria" w:hAnsi="Cambria"/>
          <w:sz w:val="20"/>
          <w:szCs w:val="20"/>
          <w:lang w:val="es-ES_tradnl"/>
        </w:rPr>
        <w:t xml:space="preserve"> de inactividad</w:t>
      </w:r>
      <w:r w:rsidR="00CB7FF4" w:rsidRPr="00A819DD">
        <w:rPr>
          <w:rFonts w:ascii="Cambria" w:hAnsi="Cambria"/>
          <w:sz w:val="20"/>
          <w:szCs w:val="20"/>
          <w:lang w:val="es-ES_tradnl"/>
        </w:rPr>
        <w:t>,</w:t>
      </w:r>
      <w:r w:rsidR="002071F1" w:rsidRPr="00A819DD">
        <w:rPr>
          <w:rFonts w:ascii="Cambria" w:hAnsi="Cambria"/>
          <w:sz w:val="20"/>
          <w:szCs w:val="20"/>
          <w:lang w:val="es-ES_tradnl"/>
        </w:rPr>
        <w:t xml:space="preserve"> entre 2004 y 2005</w:t>
      </w:r>
      <w:r w:rsidR="00C47721" w:rsidRPr="00A819DD">
        <w:rPr>
          <w:rFonts w:ascii="Cambria" w:hAnsi="Cambria"/>
          <w:sz w:val="20"/>
          <w:szCs w:val="20"/>
          <w:lang w:val="es-ES_tradnl"/>
        </w:rPr>
        <w:t xml:space="preserve"> el primero, y </w:t>
      </w:r>
      <w:r w:rsidR="00CB7FF4" w:rsidRPr="00A819DD">
        <w:rPr>
          <w:rFonts w:ascii="Cambria" w:hAnsi="Cambria"/>
          <w:sz w:val="20"/>
          <w:szCs w:val="20"/>
          <w:lang w:val="es-ES_tradnl"/>
        </w:rPr>
        <w:t xml:space="preserve">entre </w:t>
      </w:r>
      <w:r w:rsidR="00C47721" w:rsidRPr="00A819DD">
        <w:rPr>
          <w:rFonts w:ascii="Cambria" w:hAnsi="Cambria"/>
          <w:sz w:val="20"/>
          <w:szCs w:val="20"/>
          <w:lang w:val="es-ES_tradnl"/>
        </w:rPr>
        <w:t>2008 y 2009 el segundo</w:t>
      </w:r>
      <w:r w:rsidR="00CB6AF3" w:rsidRPr="00A819DD">
        <w:rPr>
          <w:rFonts w:ascii="Cambria" w:hAnsi="Cambria"/>
          <w:sz w:val="20"/>
          <w:szCs w:val="20"/>
          <w:lang w:val="es-ES_tradnl"/>
        </w:rPr>
        <w:t xml:space="preserve">. Según se informa a la CIDH, </w:t>
      </w:r>
      <w:r w:rsidR="002071F1" w:rsidRPr="00A819DD">
        <w:rPr>
          <w:rFonts w:ascii="Cambria" w:hAnsi="Cambria"/>
          <w:sz w:val="20"/>
          <w:szCs w:val="20"/>
          <w:lang w:val="es-ES_tradnl"/>
        </w:rPr>
        <w:t>el 28 de octubre de 2009 la Fiscal Segunda profirió auto de apertura de instrucción contra el paramilitar Víctor Alfonso Rojas, alias “Jawi”, como presunto coautor del delito de homicidio en persona protegida contra el señor Soto, en concurso con concierto para delinquir. Este paramilitar rindió diligencia de indagatoria en febrero de 2010</w:t>
      </w:r>
      <w:r w:rsidR="005A0E3E" w:rsidRPr="00A819DD">
        <w:rPr>
          <w:rFonts w:ascii="Cambria" w:hAnsi="Cambria"/>
          <w:sz w:val="20"/>
          <w:szCs w:val="20"/>
          <w:lang w:val="es-ES_tradnl"/>
        </w:rPr>
        <w:t>,</w:t>
      </w:r>
      <w:r w:rsidR="002071F1" w:rsidRPr="00A819DD">
        <w:rPr>
          <w:rFonts w:ascii="Cambria" w:hAnsi="Cambria"/>
          <w:sz w:val="20"/>
          <w:szCs w:val="20"/>
          <w:lang w:val="es-ES_tradnl"/>
        </w:rPr>
        <w:t xml:space="preserve"> </w:t>
      </w:r>
      <w:r w:rsidR="005A0E3E" w:rsidRPr="00A819DD">
        <w:rPr>
          <w:rFonts w:ascii="Cambria" w:hAnsi="Cambria"/>
          <w:sz w:val="20"/>
          <w:szCs w:val="20"/>
          <w:lang w:val="es-ES_tradnl"/>
        </w:rPr>
        <w:t xml:space="preserve">y </w:t>
      </w:r>
      <w:r w:rsidR="002071F1" w:rsidRPr="00A819DD">
        <w:rPr>
          <w:rFonts w:ascii="Cambria" w:hAnsi="Cambria"/>
          <w:sz w:val="20"/>
          <w:szCs w:val="20"/>
          <w:lang w:val="es-ES_tradnl"/>
        </w:rPr>
        <w:t xml:space="preserve">en febrero de 2012 la </w:t>
      </w:r>
      <w:r w:rsidR="00CB7FF4" w:rsidRPr="00A819DD">
        <w:rPr>
          <w:rFonts w:ascii="Cambria" w:hAnsi="Cambria"/>
          <w:sz w:val="20"/>
          <w:szCs w:val="20"/>
          <w:lang w:val="es-ES_tradnl"/>
        </w:rPr>
        <w:t>f</w:t>
      </w:r>
      <w:r w:rsidR="002071F1" w:rsidRPr="00A819DD">
        <w:rPr>
          <w:rFonts w:ascii="Cambria" w:hAnsi="Cambria"/>
          <w:sz w:val="20"/>
          <w:szCs w:val="20"/>
          <w:lang w:val="es-ES_tradnl"/>
        </w:rPr>
        <w:t xml:space="preserve">iscalía ordenó su detención preventiva. En julio de 2012 la DIJIN presentó a la </w:t>
      </w:r>
      <w:r w:rsidR="00BE5327" w:rsidRPr="00A819DD">
        <w:rPr>
          <w:rFonts w:ascii="Cambria" w:hAnsi="Cambria"/>
          <w:sz w:val="20"/>
          <w:szCs w:val="20"/>
          <w:lang w:val="es-ES_tradnl"/>
        </w:rPr>
        <w:t>f</w:t>
      </w:r>
      <w:r w:rsidR="002071F1" w:rsidRPr="00A819DD">
        <w:rPr>
          <w:rFonts w:ascii="Cambria" w:hAnsi="Cambria"/>
          <w:sz w:val="20"/>
          <w:szCs w:val="20"/>
          <w:lang w:val="es-ES_tradnl"/>
        </w:rPr>
        <w:t xml:space="preserve">iscalía un informe de policía judicial señalando que los presuntos autores materiales del homicidio del señor Soto, los paramilitares conocidos como alias “Torito” y alias “Pingua”, fueron asesinados el 2 de noviembre de 2003. </w:t>
      </w:r>
    </w:p>
    <w:p w14:paraId="7E7C83D7" w14:textId="514569EC" w:rsidR="00C12980" w:rsidRPr="00A819DD" w:rsidRDefault="004177C4" w:rsidP="004177C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819DD">
        <w:rPr>
          <w:rFonts w:ascii="Cambria" w:hAnsi="Cambria"/>
          <w:sz w:val="20"/>
          <w:szCs w:val="20"/>
          <w:lang w:val="es-ES_tradnl"/>
        </w:rPr>
        <w:t xml:space="preserve">5. </w:t>
      </w:r>
      <w:r w:rsidR="00AF59B9" w:rsidRPr="00A819DD">
        <w:rPr>
          <w:rFonts w:ascii="Cambria" w:hAnsi="Cambria"/>
          <w:sz w:val="20"/>
          <w:szCs w:val="20"/>
          <w:lang w:val="es-ES_tradnl"/>
        </w:rPr>
        <w:tab/>
      </w:r>
      <w:r w:rsidR="002071F1" w:rsidRPr="00A819DD">
        <w:rPr>
          <w:rFonts w:ascii="Cambria" w:hAnsi="Cambria"/>
          <w:sz w:val="20"/>
          <w:szCs w:val="20"/>
          <w:lang w:val="es-ES_tradnl"/>
        </w:rPr>
        <w:t xml:space="preserve">Posteriormente, </w:t>
      </w:r>
      <w:r w:rsidR="004F3FE0" w:rsidRPr="00A819DD">
        <w:rPr>
          <w:rFonts w:ascii="Cambria" w:hAnsi="Cambria"/>
          <w:sz w:val="20"/>
          <w:szCs w:val="20"/>
          <w:lang w:val="es-ES_tradnl"/>
        </w:rPr>
        <w:t xml:space="preserve">según información aportada por el Estado, </w:t>
      </w:r>
      <w:r w:rsidR="000E3635" w:rsidRPr="00A819DD">
        <w:rPr>
          <w:rFonts w:ascii="Cambria" w:hAnsi="Cambria"/>
          <w:sz w:val="20"/>
          <w:szCs w:val="20"/>
          <w:lang w:val="es-ES_tradnl"/>
        </w:rPr>
        <w:t>el 30 de noviembre de 2015 el Fiscal 105 profirió resolución de acusación contra alias “Jawi” como autor intelectual del asesinato del señor Soto</w:t>
      </w:r>
      <w:r w:rsidR="004F3FE0" w:rsidRPr="00A819DD">
        <w:rPr>
          <w:rFonts w:ascii="Cambria" w:hAnsi="Cambria"/>
          <w:sz w:val="20"/>
          <w:szCs w:val="20"/>
          <w:lang w:val="es-ES_tradnl"/>
        </w:rPr>
        <w:t>. Adicionalmente</w:t>
      </w:r>
      <w:r w:rsidR="00ED1DE3" w:rsidRPr="00A819DD">
        <w:rPr>
          <w:rFonts w:ascii="Cambria" w:hAnsi="Cambria"/>
          <w:sz w:val="20"/>
          <w:szCs w:val="20"/>
          <w:lang w:val="es-ES_tradnl"/>
        </w:rPr>
        <w:t>,</w:t>
      </w:r>
      <w:r w:rsidR="004F3FE0" w:rsidRPr="00A819DD">
        <w:rPr>
          <w:rFonts w:ascii="Cambria" w:hAnsi="Cambria"/>
          <w:sz w:val="20"/>
          <w:szCs w:val="20"/>
          <w:lang w:val="es-ES_tradnl"/>
        </w:rPr>
        <w:t xml:space="preserve"> bajo el sistema de </w:t>
      </w:r>
      <w:r w:rsidR="00CA1CF8" w:rsidRPr="00A819DD">
        <w:rPr>
          <w:rFonts w:ascii="Cambria" w:hAnsi="Cambria"/>
          <w:sz w:val="20"/>
          <w:szCs w:val="20"/>
          <w:lang w:val="es-ES_tradnl"/>
        </w:rPr>
        <w:t xml:space="preserve">justicia transicional de </w:t>
      </w:r>
      <w:r w:rsidR="004F3FE0" w:rsidRPr="00A819DD">
        <w:rPr>
          <w:rFonts w:ascii="Cambria" w:hAnsi="Cambria"/>
          <w:sz w:val="20"/>
          <w:szCs w:val="20"/>
          <w:lang w:val="es-ES_tradnl"/>
        </w:rPr>
        <w:t>“Justicia y Paz”, la Fiscalía 11 Delegada de la Dirección de Justicia Transicional impuso medida de aseguramiento a dos paramilitares sometidos a dicho sistema, por su posible responsabilidad como coautores del homicidio</w:t>
      </w:r>
      <w:r w:rsidR="00ED1DE3" w:rsidRPr="00A819DD">
        <w:rPr>
          <w:rFonts w:ascii="Cambria" w:hAnsi="Cambria"/>
          <w:sz w:val="20"/>
          <w:szCs w:val="20"/>
          <w:lang w:val="es-ES_tradnl"/>
        </w:rPr>
        <w:t>.</w:t>
      </w:r>
      <w:r w:rsidR="004F3FE0" w:rsidRPr="00A819DD">
        <w:rPr>
          <w:rFonts w:ascii="Cambria" w:hAnsi="Cambria"/>
          <w:sz w:val="20"/>
          <w:szCs w:val="20"/>
          <w:lang w:val="es-ES_tradnl"/>
        </w:rPr>
        <w:t xml:space="preserve"> </w:t>
      </w:r>
      <w:r w:rsidR="00ED1DE3" w:rsidRPr="00A819DD">
        <w:rPr>
          <w:rFonts w:ascii="Cambria" w:hAnsi="Cambria"/>
          <w:sz w:val="20"/>
          <w:szCs w:val="20"/>
          <w:lang w:val="es-ES_tradnl"/>
        </w:rPr>
        <w:t>E</w:t>
      </w:r>
      <w:r w:rsidR="004F3FE0" w:rsidRPr="00A819DD">
        <w:rPr>
          <w:rFonts w:ascii="Cambria" w:hAnsi="Cambria"/>
          <w:sz w:val="20"/>
          <w:szCs w:val="20"/>
          <w:lang w:val="es-ES_tradnl"/>
        </w:rPr>
        <w:t xml:space="preserve">n </w:t>
      </w:r>
      <w:r w:rsidR="00CA1CF8" w:rsidRPr="00A819DD">
        <w:rPr>
          <w:rFonts w:ascii="Cambria" w:hAnsi="Cambria"/>
          <w:sz w:val="20"/>
          <w:szCs w:val="20"/>
          <w:lang w:val="es-ES_tradnl"/>
        </w:rPr>
        <w:t>es</w:t>
      </w:r>
      <w:r w:rsidR="00ED1DE3" w:rsidRPr="00A819DD">
        <w:rPr>
          <w:rFonts w:ascii="Cambria" w:hAnsi="Cambria"/>
          <w:sz w:val="20"/>
          <w:szCs w:val="20"/>
          <w:lang w:val="es-ES_tradnl"/>
        </w:rPr>
        <w:t>t</w:t>
      </w:r>
      <w:r w:rsidR="00CA1CF8" w:rsidRPr="00A819DD">
        <w:rPr>
          <w:rFonts w:ascii="Cambria" w:hAnsi="Cambria"/>
          <w:sz w:val="20"/>
          <w:szCs w:val="20"/>
          <w:lang w:val="es-ES_tradnl"/>
        </w:rPr>
        <w:t xml:space="preserve">e </w:t>
      </w:r>
      <w:r w:rsidR="004F3FE0" w:rsidRPr="00A819DD">
        <w:rPr>
          <w:rFonts w:ascii="Cambria" w:hAnsi="Cambria"/>
          <w:sz w:val="20"/>
          <w:szCs w:val="20"/>
          <w:lang w:val="es-ES_tradnl"/>
        </w:rPr>
        <w:t xml:space="preserve">proceso, uno de los asegurados confesó que el señor Soto había sido asesinado en cumplimiento de una orden dada por la cúpula de las autodefensas de Córdoba, versión confirmada a su vez por el otro </w:t>
      </w:r>
      <w:r w:rsidR="00CA1CF8" w:rsidRPr="00A819DD">
        <w:rPr>
          <w:rFonts w:ascii="Cambria" w:hAnsi="Cambria"/>
          <w:sz w:val="20"/>
          <w:szCs w:val="20"/>
          <w:lang w:val="es-ES_tradnl"/>
        </w:rPr>
        <w:t>asegurado</w:t>
      </w:r>
      <w:r w:rsidR="004F3FE0" w:rsidRPr="00A819DD">
        <w:rPr>
          <w:rFonts w:ascii="Cambria" w:hAnsi="Cambria"/>
          <w:sz w:val="20"/>
          <w:szCs w:val="20"/>
          <w:lang w:val="es-ES_tradnl"/>
        </w:rPr>
        <w:t xml:space="preserve">. El 16 de junio de 2016 el comandante paramilitar Salvatore Mancuso aceptó su participación en los hechos por línea de mando; y en audiencia del 8 y 12 de mayo de 2017, el Tribunal Superior del Distrito Judicial de Barranquilla – Sala de Justicia </w:t>
      </w:r>
      <w:r w:rsidR="004F3FE0" w:rsidRPr="00A819DD">
        <w:rPr>
          <w:rFonts w:ascii="Cambria" w:hAnsi="Cambria"/>
          <w:sz w:val="20"/>
          <w:szCs w:val="20"/>
          <w:lang w:val="es-ES_tradnl"/>
        </w:rPr>
        <w:lastRenderedPageBreak/>
        <w:t xml:space="preserve">y Paz imputó los hechos a los postulados Salvatore Mancuso y José Luis Hernández Salazar. </w:t>
      </w:r>
      <w:r w:rsidR="00D11C26" w:rsidRPr="00A819DD">
        <w:rPr>
          <w:rFonts w:ascii="Cambria" w:hAnsi="Cambria"/>
          <w:sz w:val="20"/>
          <w:szCs w:val="20"/>
          <w:lang w:val="es-ES_tradnl"/>
        </w:rPr>
        <w:t xml:space="preserve">El 14 de noviembre de 2018 el Juzgado Once Penal del Circuito Especializado de Bogotá profirió </w:t>
      </w:r>
      <w:r w:rsidR="00C12980" w:rsidRPr="00A819DD">
        <w:rPr>
          <w:rFonts w:ascii="Cambria" w:hAnsi="Cambria"/>
          <w:sz w:val="20"/>
          <w:szCs w:val="20"/>
          <w:lang w:val="es-ES_tradnl"/>
        </w:rPr>
        <w:t xml:space="preserve">sentencia </w:t>
      </w:r>
      <w:r w:rsidR="00CA1CF8" w:rsidRPr="00A819DD">
        <w:rPr>
          <w:rFonts w:ascii="Cambria" w:hAnsi="Cambria"/>
          <w:sz w:val="20"/>
          <w:szCs w:val="20"/>
          <w:lang w:val="es-ES_tradnl"/>
        </w:rPr>
        <w:t xml:space="preserve">condenatoria </w:t>
      </w:r>
      <w:r w:rsidR="00C12980" w:rsidRPr="00A819DD">
        <w:rPr>
          <w:rFonts w:ascii="Cambria" w:hAnsi="Cambria"/>
          <w:sz w:val="20"/>
          <w:szCs w:val="20"/>
          <w:lang w:val="es-ES_tradnl"/>
        </w:rPr>
        <w:t>anticipada</w:t>
      </w:r>
      <w:r w:rsidR="00D11C26" w:rsidRPr="00A819DD">
        <w:rPr>
          <w:rFonts w:ascii="Cambria" w:hAnsi="Cambria"/>
          <w:sz w:val="20"/>
          <w:szCs w:val="20"/>
          <w:lang w:val="es-ES_tradnl"/>
        </w:rPr>
        <w:t xml:space="preserve"> en contra de alias “Jawi”</w:t>
      </w:r>
      <w:r w:rsidR="00C47721" w:rsidRPr="00A819DD">
        <w:rPr>
          <w:rFonts w:ascii="Cambria" w:hAnsi="Cambria"/>
          <w:sz w:val="20"/>
          <w:szCs w:val="20"/>
          <w:lang w:val="es-ES_tradnl"/>
        </w:rPr>
        <w:t xml:space="preserve"> como coautor d</w:t>
      </w:r>
      <w:r w:rsidR="00C12980" w:rsidRPr="00A819DD">
        <w:rPr>
          <w:rFonts w:ascii="Cambria" w:hAnsi="Cambria"/>
          <w:sz w:val="20"/>
          <w:szCs w:val="20"/>
          <w:lang w:val="es-ES_tradnl"/>
        </w:rPr>
        <w:t xml:space="preserve">e homicidio </w:t>
      </w:r>
      <w:r w:rsidR="00C47721" w:rsidRPr="00A819DD">
        <w:rPr>
          <w:rFonts w:ascii="Cambria" w:hAnsi="Cambria"/>
          <w:sz w:val="20"/>
          <w:szCs w:val="20"/>
          <w:lang w:val="es-ES_tradnl"/>
        </w:rPr>
        <w:t xml:space="preserve">agravado en perjuicio </w:t>
      </w:r>
      <w:r w:rsidR="00C12980" w:rsidRPr="00A819DD">
        <w:rPr>
          <w:rFonts w:ascii="Cambria" w:hAnsi="Cambria"/>
          <w:sz w:val="20"/>
          <w:szCs w:val="20"/>
          <w:lang w:val="es-ES_tradnl"/>
        </w:rPr>
        <w:t>del señor Soto. Pese a estos desarrollos investigativos y judiciales, a la fecha presente no ha sido posible identificar, vincular al proceso penal, juzgar o sancionar a los demás autores intelectuales y materiales del homicidio; específicamente, no se ha imputado a agente estatal alguno en relación con la muerte del señor Soto,</w:t>
      </w:r>
      <w:r w:rsidR="00CA1CF8" w:rsidRPr="00A819DD">
        <w:rPr>
          <w:rFonts w:ascii="Cambria" w:hAnsi="Cambria"/>
          <w:sz w:val="20"/>
          <w:szCs w:val="20"/>
          <w:lang w:val="es-ES_tradnl"/>
        </w:rPr>
        <w:t xml:space="preserve"> y sólo se ha condenado a una persona,</w:t>
      </w:r>
      <w:r w:rsidR="00C12980" w:rsidRPr="00A819DD">
        <w:rPr>
          <w:rFonts w:ascii="Cambria" w:hAnsi="Cambria"/>
          <w:sz w:val="20"/>
          <w:szCs w:val="20"/>
          <w:lang w:val="es-ES_tradnl"/>
        </w:rPr>
        <w:t xml:space="preserve"> </w:t>
      </w:r>
      <w:r w:rsidR="00F76B82" w:rsidRPr="00A819DD">
        <w:rPr>
          <w:rFonts w:ascii="Cambria" w:hAnsi="Cambria"/>
          <w:sz w:val="20"/>
          <w:szCs w:val="20"/>
          <w:lang w:val="es-ES_tradnl"/>
        </w:rPr>
        <w:t>–</w:t>
      </w:r>
      <w:r w:rsidR="00CA1CF8" w:rsidRPr="00A819DD">
        <w:rPr>
          <w:rFonts w:ascii="Cambria" w:hAnsi="Cambria"/>
          <w:sz w:val="20"/>
          <w:szCs w:val="20"/>
          <w:lang w:val="es-ES_tradnl"/>
        </w:rPr>
        <w:t>mientras que</w:t>
      </w:r>
      <w:r w:rsidR="00C12980" w:rsidRPr="00A819DD">
        <w:rPr>
          <w:rFonts w:ascii="Cambria" w:hAnsi="Cambria"/>
          <w:sz w:val="20"/>
          <w:szCs w:val="20"/>
          <w:lang w:val="es-ES_tradnl"/>
        </w:rPr>
        <w:t xml:space="preserve"> las hipótesis de atribución del crimen al Estado presentadas por los peticionarios ante la CIDH no han sido materia de constatación o decisión judicial a nivel doméstico</w:t>
      </w:r>
      <w:r w:rsidR="00F76B82" w:rsidRPr="00A819DD">
        <w:rPr>
          <w:rFonts w:ascii="Cambria" w:hAnsi="Cambria"/>
          <w:sz w:val="20"/>
          <w:szCs w:val="20"/>
          <w:lang w:val="es-ES_tradnl"/>
        </w:rPr>
        <w:t>–</w:t>
      </w:r>
      <w:r w:rsidR="00C12980" w:rsidRPr="00A819DD">
        <w:rPr>
          <w:rFonts w:ascii="Cambria" w:hAnsi="Cambria"/>
          <w:sz w:val="20"/>
          <w:szCs w:val="20"/>
          <w:lang w:val="es-ES_tradnl"/>
        </w:rPr>
        <w:t>.</w:t>
      </w:r>
    </w:p>
    <w:p w14:paraId="5EBAC2C0" w14:textId="3B50ACE0" w:rsidR="000E3635" w:rsidRPr="00A819DD" w:rsidRDefault="004177C4" w:rsidP="004177C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819DD">
        <w:rPr>
          <w:rFonts w:ascii="Cambria" w:hAnsi="Cambria"/>
          <w:sz w:val="20"/>
          <w:szCs w:val="20"/>
          <w:lang w:val="es-ES_tradnl"/>
        </w:rPr>
        <w:t xml:space="preserve">6. </w:t>
      </w:r>
      <w:r w:rsidR="00F76B82" w:rsidRPr="00A819DD">
        <w:rPr>
          <w:rFonts w:ascii="Cambria" w:hAnsi="Cambria"/>
          <w:sz w:val="20"/>
          <w:szCs w:val="20"/>
          <w:lang w:val="es-ES_tradnl"/>
        </w:rPr>
        <w:tab/>
      </w:r>
      <w:r w:rsidR="000E3635" w:rsidRPr="00A819DD">
        <w:rPr>
          <w:rFonts w:ascii="Cambria" w:hAnsi="Cambria"/>
          <w:sz w:val="20"/>
          <w:szCs w:val="20"/>
          <w:lang w:val="es-ES_tradnl"/>
        </w:rPr>
        <w:t xml:space="preserve">En su respuesta, el Estado informó que </w:t>
      </w:r>
      <w:r w:rsidR="00CA1CF8" w:rsidRPr="00A819DD">
        <w:rPr>
          <w:rFonts w:ascii="Cambria" w:hAnsi="Cambria"/>
          <w:sz w:val="20"/>
          <w:szCs w:val="20"/>
          <w:lang w:val="es-ES_tradnl"/>
        </w:rPr>
        <w:t xml:space="preserve">también </w:t>
      </w:r>
      <w:r w:rsidR="000E3635" w:rsidRPr="00A819DD">
        <w:rPr>
          <w:rFonts w:ascii="Cambria" w:hAnsi="Cambria"/>
          <w:sz w:val="20"/>
          <w:szCs w:val="20"/>
          <w:lang w:val="es-ES_tradnl"/>
        </w:rPr>
        <w:t xml:space="preserve">se inició una investigación penal contra un miembro de la </w:t>
      </w:r>
      <w:r w:rsidR="004754ED" w:rsidRPr="00A819DD">
        <w:rPr>
          <w:rFonts w:ascii="Cambria" w:hAnsi="Cambria"/>
          <w:sz w:val="20"/>
          <w:szCs w:val="20"/>
          <w:lang w:val="es-ES_tradnl"/>
        </w:rPr>
        <w:t>p</w:t>
      </w:r>
      <w:r w:rsidR="000E3635" w:rsidRPr="00A819DD">
        <w:rPr>
          <w:rFonts w:ascii="Cambria" w:hAnsi="Cambria"/>
          <w:sz w:val="20"/>
          <w:szCs w:val="20"/>
          <w:lang w:val="es-ES_tradnl"/>
        </w:rPr>
        <w:t>olicía y un miembro de la SIJIN por su posible participación en el asesinato del señor Soto</w:t>
      </w:r>
      <w:r w:rsidR="004754ED" w:rsidRPr="00A819DD">
        <w:rPr>
          <w:rFonts w:ascii="Cambria" w:hAnsi="Cambria"/>
          <w:sz w:val="20"/>
          <w:szCs w:val="20"/>
          <w:lang w:val="es-ES_tradnl"/>
        </w:rPr>
        <w:t xml:space="preserve"> (r</w:t>
      </w:r>
      <w:r w:rsidR="000E3635" w:rsidRPr="00A819DD">
        <w:rPr>
          <w:rFonts w:ascii="Cambria" w:hAnsi="Cambria"/>
          <w:sz w:val="20"/>
          <w:szCs w:val="20"/>
          <w:lang w:val="es-ES_tradnl"/>
        </w:rPr>
        <w:t>adicado 3210</w:t>
      </w:r>
      <w:r w:rsidR="004754ED" w:rsidRPr="00A819DD">
        <w:rPr>
          <w:rFonts w:ascii="Cambria" w:hAnsi="Cambria"/>
          <w:sz w:val="20"/>
          <w:szCs w:val="20"/>
          <w:lang w:val="es-ES_tradnl"/>
        </w:rPr>
        <w:t>)</w:t>
      </w:r>
      <w:r w:rsidR="000E3635" w:rsidRPr="00A819DD">
        <w:rPr>
          <w:rFonts w:ascii="Cambria" w:hAnsi="Cambria"/>
          <w:sz w:val="20"/>
          <w:szCs w:val="20"/>
          <w:lang w:val="es-ES_tradnl"/>
        </w:rPr>
        <w:t xml:space="preserve">. El 19 de septiembre de 2014, el Fiscal 105 Especializado de la Unidad de Derechos Humanos y DIH resolvió la situación jurídica de los dos procesados, imponiéndoles la medida de aseguramiento de detención preventiva en establecimiento carcelario por considerar que las pruebas daban cuenta de su posible responsabilidad como coautores intelectuales. Sin embargo, esta medida fue revocada el 2 de marzo de 2015, por cuanto la Fiscalía determinó que los testigos de cargo que habían declarado en contra de los procesados formaban parte de una red criminal de extorsión y compra de testigos, lo cual privaba de credibilidad sus declaraciones. </w:t>
      </w:r>
      <w:r w:rsidR="004754ED" w:rsidRPr="00A819DD">
        <w:rPr>
          <w:rFonts w:ascii="Cambria" w:hAnsi="Cambria"/>
          <w:sz w:val="20"/>
          <w:szCs w:val="20"/>
          <w:lang w:val="es-ES_tradnl"/>
        </w:rPr>
        <w:t>–</w:t>
      </w:r>
      <w:r w:rsidR="00CA1CF8" w:rsidRPr="00A819DD">
        <w:rPr>
          <w:rFonts w:ascii="Cambria" w:hAnsi="Cambria"/>
          <w:sz w:val="20"/>
          <w:szCs w:val="20"/>
          <w:lang w:val="es-ES_tradnl"/>
        </w:rPr>
        <w:t>No se ha provisto más información a la Comisión Interamericana sobre el desenlace de este proceso penal</w:t>
      </w:r>
      <w:r w:rsidR="004754ED" w:rsidRPr="00A819DD">
        <w:rPr>
          <w:rFonts w:ascii="Cambria" w:hAnsi="Cambria"/>
          <w:sz w:val="20"/>
          <w:szCs w:val="20"/>
          <w:lang w:val="es-ES_tradnl"/>
        </w:rPr>
        <w:t>–</w:t>
      </w:r>
      <w:r w:rsidR="00CA1CF8" w:rsidRPr="00A819DD">
        <w:rPr>
          <w:rFonts w:ascii="Cambria" w:hAnsi="Cambria"/>
          <w:sz w:val="20"/>
          <w:szCs w:val="20"/>
          <w:lang w:val="es-ES_tradnl"/>
        </w:rPr>
        <w:t>.</w:t>
      </w:r>
    </w:p>
    <w:p w14:paraId="771396EC" w14:textId="6FDC0C42" w:rsidR="00F25B2F" w:rsidRPr="00A819DD" w:rsidRDefault="004177C4" w:rsidP="004177C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819DD">
        <w:rPr>
          <w:rFonts w:ascii="Cambria" w:hAnsi="Cambria"/>
          <w:sz w:val="20"/>
          <w:szCs w:val="20"/>
          <w:lang w:val="es-ES_tradnl"/>
        </w:rPr>
        <w:t xml:space="preserve">7. </w:t>
      </w:r>
      <w:r w:rsidR="004754ED" w:rsidRPr="00A819DD">
        <w:rPr>
          <w:rFonts w:ascii="Cambria" w:hAnsi="Cambria"/>
          <w:sz w:val="20"/>
          <w:szCs w:val="20"/>
          <w:lang w:val="es-ES_tradnl"/>
        </w:rPr>
        <w:tab/>
      </w:r>
      <w:r w:rsidR="00F25B2F" w:rsidRPr="00A819DD">
        <w:rPr>
          <w:rFonts w:ascii="Cambria" w:hAnsi="Cambria"/>
          <w:sz w:val="20"/>
          <w:szCs w:val="20"/>
          <w:lang w:val="es-ES_tradnl"/>
        </w:rPr>
        <w:t xml:space="preserve">Al momento de presentación de la petición ante la CIDH, los peticionarios alegaban que se había presentado un retardo injustificado en la decisión de los recursos internos, puesto que para entonces el proceso penal </w:t>
      </w:r>
      <w:r w:rsidR="00CA1CF8" w:rsidRPr="00A819DD">
        <w:rPr>
          <w:rFonts w:ascii="Cambria" w:hAnsi="Cambria"/>
          <w:sz w:val="20"/>
          <w:szCs w:val="20"/>
          <w:lang w:val="es-ES_tradnl"/>
        </w:rPr>
        <w:t xml:space="preserve">ante la jurisdicción ordinaria </w:t>
      </w:r>
      <w:r w:rsidR="00F25B2F" w:rsidRPr="00A819DD">
        <w:rPr>
          <w:rFonts w:ascii="Cambria" w:hAnsi="Cambria"/>
          <w:sz w:val="20"/>
          <w:szCs w:val="20"/>
          <w:lang w:val="es-ES_tradnl"/>
        </w:rPr>
        <w:t>estaba aún en etapa de instrucción</w:t>
      </w:r>
      <w:r w:rsidR="009D1606" w:rsidRPr="00A819DD">
        <w:rPr>
          <w:rFonts w:ascii="Cambria" w:hAnsi="Cambria"/>
          <w:sz w:val="20"/>
          <w:szCs w:val="20"/>
          <w:lang w:val="es-ES_tradnl"/>
        </w:rPr>
        <w:t>,</w:t>
      </w:r>
      <w:r w:rsidR="00F25B2F" w:rsidRPr="00A819DD">
        <w:rPr>
          <w:rFonts w:ascii="Cambria" w:hAnsi="Cambria"/>
          <w:sz w:val="20"/>
          <w:szCs w:val="20"/>
          <w:lang w:val="es-ES_tradnl"/>
        </w:rPr>
        <w:t xml:space="preserve"> y la única persona investigada era el paramilitar alias “Jawi”</w:t>
      </w:r>
      <w:r w:rsidR="009D1606" w:rsidRPr="00A819DD">
        <w:rPr>
          <w:rFonts w:ascii="Cambria" w:hAnsi="Cambria"/>
          <w:sz w:val="20"/>
          <w:szCs w:val="20"/>
          <w:lang w:val="es-ES_tradnl"/>
        </w:rPr>
        <w:t>;</w:t>
      </w:r>
      <w:r w:rsidR="00F25B2F" w:rsidRPr="00A819DD">
        <w:rPr>
          <w:rFonts w:ascii="Cambria" w:hAnsi="Cambria"/>
          <w:sz w:val="20"/>
          <w:szCs w:val="20"/>
          <w:lang w:val="es-ES_tradnl"/>
        </w:rPr>
        <w:t xml:space="preserve"> sin que existiera una sentencia que garantizara el derecho a la verdad de los familiares de la víctima</w:t>
      </w:r>
      <w:r w:rsidR="009D1606" w:rsidRPr="00A819DD">
        <w:rPr>
          <w:rFonts w:ascii="Cambria" w:hAnsi="Cambria"/>
          <w:sz w:val="20"/>
          <w:szCs w:val="20"/>
          <w:lang w:val="es-ES_tradnl"/>
        </w:rPr>
        <w:t>.</w:t>
      </w:r>
      <w:r w:rsidR="00F25B2F" w:rsidRPr="00A819DD">
        <w:rPr>
          <w:rFonts w:ascii="Cambria" w:hAnsi="Cambria"/>
          <w:sz w:val="20"/>
          <w:szCs w:val="20"/>
          <w:lang w:val="es-ES_tradnl"/>
        </w:rPr>
        <w:t xml:space="preserve"> </w:t>
      </w:r>
      <w:r w:rsidR="009D1606" w:rsidRPr="00A819DD">
        <w:rPr>
          <w:rFonts w:ascii="Cambria" w:hAnsi="Cambria"/>
          <w:sz w:val="20"/>
          <w:szCs w:val="20"/>
          <w:lang w:val="es-ES_tradnl"/>
        </w:rPr>
        <w:t>T</w:t>
      </w:r>
      <w:r w:rsidR="00F25B2F" w:rsidRPr="00A819DD">
        <w:rPr>
          <w:rFonts w:ascii="Cambria" w:hAnsi="Cambria"/>
          <w:sz w:val="20"/>
          <w:szCs w:val="20"/>
          <w:lang w:val="es-ES_tradnl"/>
        </w:rPr>
        <w:t>ambién reclamaban por el período de inactividad procesal entre el 2004 y el 2005, así como por el incumplimiento del término máximo de duración de la etapa de instrucción iniciada en octubre de 2009</w:t>
      </w:r>
      <w:r w:rsidR="006B08AA" w:rsidRPr="00A819DD">
        <w:rPr>
          <w:rFonts w:ascii="Cambria" w:hAnsi="Cambria"/>
          <w:sz w:val="20"/>
          <w:szCs w:val="20"/>
          <w:lang w:val="es-ES_tradnl"/>
        </w:rPr>
        <w:t>,</w:t>
      </w:r>
      <w:r w:rsidR="00F25B2F" w:rsidRPr="00A819DD">
        <w:rPr>
          <w:rFonts w:ascii="Cambria" w:hAnsi="Cambria"/>
          <w:sz w:val="20"/>
          <w:szCs w:val="20"/>
          <w:lang w:val="es-ES_tradnl"/>
        </w:rPr>
        <w:t xml:space="preserve"> en contravía del artículo 329 del Código de Procedimiento Penal que fija un plazo de </w:t>
      </w:r>
      <w:r w:rsidR="006B08AA" w:rsidRPr="00A819DD">
        <w:rPr>
          <w:rFonts w:ascii="Cambria" w:hAnsi="Cambria"/>
          <w:sz w:val="20"/>
          <w:szCs w:val="20"/>
          <w:lang w:val="es-ES_tradnl"/>
        </w:rPr>
        <w:t>dieciocho</w:t>
      </w:r>
      <w:r w:rsidR="00F25B2F" w:rsidRPr="00A819DD">
        <w:rPr>
          <w:rFonts w:ascii="Cambria" w:hAnsi="Cambria"/>
          <w:sz w:val="20"/>
          <w:szCs w:val="20"/>
          <w:lang w:val="es-ES_tradnl"/>
        </w:rPr>
        <w:t xml:space="preserve"> meses</w:t>
      </w:r>
      <w:r w:rsidR="00CA1CF8" w:rsidRPr="00A819DD">
        <w:rPr>
          <w:rFonts w:ascii="Cambria" w:hAnsi="Cambria"/>
          <w:sz w:val="20"/>
          <w:szCs w:val="20"/>
          <w:lang w:val="es-ES_tradnl"/>
        </w:rPr>
        <w:t xml:space="preserve"> para su finalización</w:t>
      </w:r>
      <w:r w:rsidR="00F25B2F" w:rsidRPr="00A819DD">
        <w:rPr>
          <w:rFonts w:ascii="Cambria" w:hAnsi="Cambria"/>
          <w:sz w:val="20"/>
          <w:szCs w:val="20"/>
          <w:lang w:val="es-ES_tradnl"/>
        </w:rPr>
        <w:t xml:space="preserve">. </w:t>
      </w:r>
    </w:p>
    <w:p w14:paraId="5DBE3C3D" w14:textId="12CF6C24" w:rsidR="00C76853" w:rsidRPr="00A819DD" w:rsidRDefault="004177C4" w:rsidP="004177C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819DD">
        <w:rPr>
          <w:rFonts w:ascii="Cambria" w:hAnsi="Cambria"/>
          <w:sz w:val="20"/>
          <w:szCs w:val="20"/>
          <w:lang w:val="es-ES_tradnl"/>
        </w:rPr>
        <w:t xml:space="preserve">8. </w:t>
      </w:r>
      <w:r w:rsidR="006B08AA" w:rsidRPr="00A819DD">
        <w:rPr>
          <w:rFonts w:ascii="Cambria" w:hAnsi="Cambria"/>
          <w:sz w:val="20"/>
          <w:szCs w:val="20"/>
          <w:lang w:val="es-ES_tradnl"/>
        </w:rPr>
        <w:tab/>
      </w:r>
      <w:r w:rsidR="00C76853" w:rsidRPr="00A819DD">
        <w:rPr>
          <w:rFonts w:ascii="Cambria" w:hAnsi="Cambria"/>
          <w:sz w:val="20"/>
          <w:szCs w:val="20"/>
          <w:lang w:val="es-ES_tradnl"/>
        </w:rPr>
        <w:t xml:space="preserve">Los peticionarios también describen algunas diligencias en las que la Fiscalía recibió las declaraciones de la niña </w:t>
      </w:r>
      <w:r w:rsidR="002071F1" w:rsidRPr="00A819DD">
        <w:rPr>
          <w:rFonts w:ascii="Cambria" w:hAnsi="Cambria"/>
          <w:sz w:val="20"/>
          <w:szCs w:val="20"/>
          <w:lang w:val="es-ES_tradnl"/>
        </w:rPr>
        <w:t>Karina Soto Lara sobre el asesinato de su padre</w:t>
      </w:r>
      <w:r w:rsidR="006B08AA" w:rsidRPr="00A819DD">
        <w:rPr>
          <w:rFonts w:ascii="Cambria" w:hAnsi="Cambria"/>
          <w:sz w:val="20"/>
          <w:szCs w:val="20"/>
          <w:lang w:val="es-ES_tradnl"/>
        </w:rPr>
        <w:t>;</w:t>
      </w:r>
      <w:r w:rsidR="002071F1" w:rsidRPr="00A819DD">
        <w:rPr>
          <w:rFonts w:ascii="Cambria" w:hAnsi="Cambria"/>
          <w:sz w:val="20"/>
          <w:szCs w:val="20"/>
          <w:lang w:val="es-ES_tradnl"/>
        </w:rPr>
        <w:t xml:space="preserve"> e indica</w:t>
      </w:r>
      <w:r w:rsidRPr="00A819DD">
        <w:rPr>
          <w:rFonts w:ascii="Cambria" w:hAnsi="Cambria"/>
          <w:sz w:val="20"/>
          <w:szCs w:val="20"/>
          <w:lang w:val="es-ES_tradnl"/>
        </w:rPr>
        <w:t>n</w:t>
      </w:r>
      <w:r w:rsidR="002071F1" w:rsidRPr="00A819DD">
        <w:rPr>
          <w:rFonts w:ascii="Cambria" w:hAnsi="Cambria"/>
          <w:sz w:val="20"/>
          <w:szCs w:val="20"/>
          <w:lang w:val="es-ES_tradnl"/>
        </w:rPr>
        <w:t xml:space="preserve"> que durante las mismas no se tomaron medidas de ningún tipo para evitar </w:t>
      </w:r>
      <w:r w:rsidRPr="00A819DD">
        <w:rPr>
          <w:rFonts w:ascii="Cambria" w:hAnsi="Cambria"/>
          <w:sz w:val="20"/>
          <w:szCs w:val="20"/>
          <w:lang w:val="es-ES_tradnl"/>
        </w:rPr>
        <w:t xml:space="preserve">la </w:t>
      </w:r>
      <w:r w:rsidR="002071F1" w:rsidRPr="00A819DD">
        <w:rPr>
          <w:rFonts w:ascii="Cambria" w:hAnsi="Cambria"/>
          <w:sz w:val="20"/>
          <w:szCs w:val="20"/>
          <w:lang w:val="es-ES_tradnl"/>
        </w:rPr>
        <w:t xml:space="preserve">revictimización </w:t>
      </w:r>
      <w:r w:rsidRPr="00A819DD">
        <w:rPr>
          <w:rFonts w:ascii="Cambria" w:hAnsi="Cambria"/>
          <w:sz w:val="20"/>
          <w:szCs w:val="20"/>
          <w:lang w:val="es-ES_tradnl"/>
        </w:rPr>
        <w:t xml:space="preserve">de la niña, </w:t>
      </w:r>
      <w:r w:rsidR="002071F1" w:rsidRPr="00A819DD">
        <w:rPr>
          <w:rFonts w:ascii="Cambria" w:hAnsi="Cambria"/>
          <w:sz w:val="20"/>
          <w:szCs w:val="20"/>
          <w:lang w:val="es-ES_tradnl"/>
        </w:rPr>
        <w:t xml:space="preserve">o mitigar el impacto psicológico severo que tuvo en ella rememorar las traumáticas circunstancias del crimen que presenció. </w:t>
      </w:r>
    </w:p>
    <w:p w14:paraId="2C9941DC" w14:textId="6A43B4DC" w:rsidR="00DE67BE" w:rsidRPr="00A819DD" w:rsidRDefault="004177C4" w:rsidP="004177C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819DD">
        <w:rPr>
          <w:rFonts w:ascii="Cambria" w:hAnsi="Cambria"/>
          <w:sz w:val="20"/>
          <w:szCs w:val="20"/>
          <w:lang w:val="es-ES_tradnl"/>
        </w:rPr>
        <w:t xml:space="preserve">9. </w:t>
      </w:r>
      <w:r w:rsidR="006B08AA" w:rsidRPr="00A819DD">
        <w:rPr>
          <w:rFonts w:ascii="Cambria" w:hAnsi="Cambria"/>
          <w:sz w:val="20"/>
          <w:szCs w:val="20"/>
          <w:lang w:val="es-ES_tradnl"/>
        </w:rPr>
        <w:tab/>
      </w:r>
      <w:r w:rsidR="00DE67BE" w:rsidRPr="00A819DD">
        <w:rPr>
          <w:rFonts w:ascii="Cambria" w:hAnsi="Cambria"/>
          <w:sz w:val="20"/>
          <w:szCs w:val="20"/>
          <w:lang w:val="es-ES_tradnl"/>
        </w:rPr>
        <w:t>La parte peticionaria alega que con ocasión del asesinato, el Estado debe ser declarado responsable por la violación de los derechos a la vida y a la libertad de asociación en perjuicio del señor Soto</w:t>
      </w:r>
      <w:r w:rsidR="006B08AA" w:rsidRPr="00A819DD">
        <w:rPr>
          <w:rFonts w:ascii="Cambria" w:hAnsi="Cambria"/>
          <w:sz w:val="20"/>
          <w:szCs w:val="20"/>
          <w:lang w:val="es-ES_tradnl"/>
        </w:rPr>
        <w:t>,</w:t>
      </w:r>
      <w:r w:rsidR="00E622E8" w:rsidRPr="00A819DD">
        <w:rPr>
          <w:rFonts w:ascii="Cambria" w:hAnsi="Cambria"/>
          <w:sz w:val="20"/>
          <w:szCs w:val="20"/>
          <w:lang w:val="es-ES_tradnl"/>
        </w:rPr>
        <w:t xml:space="preserve"> por su asesinato por paramilitares con la participación, aquiescencia o consentimiento del Estado</w:t>
      </w:r>
      <w:r w:rsidR="006B08AA" w:rsidRPr="00A819DD">
        <w:rPr>
          <w:rFonts w:ascii="Cambria" w:hAnsi="Cambria"/>
          <w:sz w:val="20"/>
          <w:szCs w:val="20"/>
          <w:lang w:val="es-ES_tradnl"/>
        </w:rPr>
        <w:t>,</w:t>
      </w:r>
      <w:r w:rsidR="00E622E8" w:rsidRPr="00A819DD">
        <w:rPr>
          <w:rFonts w:ascii="Cambria" w:hAnsi="Cambria"/>
          <w:sz w:val="20"/>
          <w:szCs w:val="20"/>
          <w:lang w:val="es-ES_tradnl"/>
        </w:rPr>
        <w:t xml:space="preserve"> y por su </w:t>
      </w:r>
      <w:r w:rsidR="00CA1CF8" w:rsidRPr="00A819DD">
        <w:rPr>
          <w:rFonts w:ascii="Cambria" w:hAnsi="Cambria"/>
          <w:sz w:val="20"/>
          <w:szCs w:val="20"/>
          <w:lang w:val="es-ES_tradnl"/>
        </w:rPr>
        <w:t xml:space="preserve">condición </w:t>
      </w:r>
      <w:r w:rsidR="00E622E8" w:rsidRPr="00A819DD">
        <w:rPr>
          <w:rFonts w:ascii="Cambria" w:hAnsi="Cambria"/>
          <w:sz w:val="20"/>
          <w:szCs w:val="20"/>
          <w:lang w:val="es-ES_tradnl"/>
        </w:rPr>
        <w:t>de sindicalista</w:t>
      </w:r>
      <w:r w:rsidR="00DE67BE" w:rsidRPr="00A819DD">
        <w:rPr>
          <w:rFonts w:ascii="Cambria" w:hAnsi="Cambria"/>
          <w:sz w:val="20"/>
          <w:szCs w:val="20"/>
          <w:lang w:val="es-ES_tradnl"/>
        </w:rPr>
        <w:t>; de los derechos del niño y el derecho a la integridad personal, en perjuicio de la entonces niña Karina Soto Lara</w:t>
      </w:r>
      <w:r w:rsidR="006B08AA" w:rsidRPr="00A819DD">
        <w:rPr>
          <w:rFonts w:ascii="Cambria" w:hAnsi="Cambria"/>
          <w:sz w:val="20"/>
          <w:szCs w:val="20"/>
          <w:lang w:val="es-ES_tradnl"/>
        </w:rPr>
        <w:t xml:space="preserve">, </w:t>
      </w:r>
      <w:r w:rsidR="00E622E8" w:rsidRPr="00A819DD">
        <w:rPr>
          <w:rFonts w:ascii="Cambria" w:hAnsi="Cambria"/>
          <w:sz w:val="20"/>
          <w:szCs w:val="20"/>
          <w:lang w:val="es-ES_tradnl"/>
        </w:rPr>
        <w:t>especialmente por haber presenciado el asesinato de su padre</w:t>
      </w:r>
      <w:r w:rsidR="00DE67BE" w:rsidRPr="00A819DD">
        <w:rPr>
          <w:rFonts w:ascii="Cambria" w:hAnsi="Cambria"/>
          <w:sz w:val="20"/>
          <w:szCs w:val="20"/>
          <w:lang w:val="es-ES_tradnl"/>
        </w:rPr>
        <w:t>; y de los derechos a la integridad personal, la protección de la familia, las garantías judiciales y la protección judicial, en perjuicio de los familiares del señor</w:t>
      </w:r>
      <w:r w:rsidR="006B08AA" w:rsidRPr="00A819DD">
        <w:rPr>
          <w:rFonts w:ascii="Cambria" w:hAnsi="Cambria"/>
          <w:sz w:val="20"/>
          <w:szCs w:val="20"/>
          <w:lang w:val="es-ES_tradnl"/>
        </w:rPr>
        <w:t>.</w:t>
      </w:r>
      <w:r w:rsidR="00DE67BE" w:rsidRPr="00A819DD">
        <w:rPr>
          <w:rFonts w:ascii="Cambria" w:hAnsi="Cambria"/>
          <w:sz w:val="20"/>
          <w:szCs w:val="20"/>
          <w:lang w:val="es-ES_tradnl"/>
        </w:rPr>
        <w:t xml:space="preserve"> </w:t>
      </w:r>
    </w:p>
    <w:p w14:paraId="43973D37" w14:textId="77777777" w:rsidR="008848E1" w:rsidRPr="00A819DD" w:rsidRDefault="004177C4" w:rsidP="004177C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819DD">
        <w:rPr>
          <w:rFonts w:ascii="Cambria" w:hAnsi="Cambria"/>
          <w:sz w:val="20"/>
          <w:szCs w:val="20"/>
          <w:lang w:val="es-ES_tradnl"/>
        </w:rPr>
        <w:t xml:space="preserve">10. </w:t>
      </w:r>
      <w:r w:rsidR="006B08AA" w:rsidRPr="00A819DD">
        <w:rPr>
          <w:rFonts w:ascii="Cambria" w:hAnsi="Cambria"/>
          <w:sz w:val="20"/>
          <w:szCs w:val="20"/>
          <w:lang w:val="es-ES_tradnl"/>
        </w:rPr>
        <w:tab/>
      </w:r>
      <w:r w:rsidR="00CB6AF3" w:rsidRPr="00A819DD">
        <w:rPr>
          <w:rFonts w:ascii="Cambria" w:hAnsi="Cambria"/>
          <w:sz w:val="20"/>
          <w:szCs w:val="20"/>
          <w:lang w:val="es-ES_tradnl"/>
        </w:rPr>
        <w:t xml:space="preserve">El Estado, </w:t>
      </w:r>
      <w:r w:rsidR="00B8783D" w:rsidRPr="00A819DD">
        <w:rPr>
          <w:rFonts w:ascii="Cambria" w:hAnsi="Cambria"/>
          <w:sz w:val="20"/>
          <w:szCs w:val="20"/>
          <w:lang w:val="es-ES_tradnl"/>
        </w:rPr>
        <w:t>por su parte</w:t>
      </w:r>
      <w:r w:rsidR="00CB6AF3" w:rsidRPr="00A819DD">
        <w:rPr>
          <w:rFonts w:ascii="Cambria" w:hAnsi="Cambria"/>
          <w:sz w:val="20"/>
          <w:szCs w:val="20"/>
          <w:lang w:val="es-ES_tradnl"/>
        </w:rPr>
        <w:t>, pide que la petición sea declarada inadmisible por falta de agotamiento de los recursos domésticos, en la medida en que</w:t>
      </w:r>
      <w:r w:rsidR="00B8783D" w:rsidRPr="00A819DD">
        <w:rPr>
          <w:rFonts w:ascii="Cambria" w:hAnsi="Cambria"/>
          <w:sz w:val="20"/>
          <w:szCs w:val="20"/>
          <w:lang w:val="es-ES_tradnl"/>
        </w:rPr>
        <w:t>:</w:t>
      </w:r>
      <w:r w:rsidR="00CB6AF3" w:rsidRPr="00A819DD">
        <w:rPr>
          <w:rFonts w:ascii="Cambria" w:hAnsi="Cambria"/>
          <w:sz w:val="20"/>
          <w:szCs w:val="20"/>
          <w:lang w:val="es-ES_tradnl"/>
        </w:rPr>
        <w:t xml:space="preserve"> (</w:t>
      </w:r>
      <w:r w:rsidR="00B8783D" w:rsidRPr="00A819DD">
        <w:rPr>
          <w:rFonts w:ascii="Cambria" w:hAnsi="Cambria"/>
          <w:sz w:val="20"/>
          <w:szCs w:val="20"/>
          <w:lang w:val="es-ES_tradnl"/>
        </w:rPr>
        <w:t>a</w:t>
      </w:r>
      <w:r w:rsidR="00CB6AF3" w:rsidRPr="00A819DD">
        <w:rPr>
          <w:rFonts w:ascii="Cambria" w:hAnsi="Cambria"/>
          <w:sz w:val="20"/>
          <w:szCs w:val="20"/>
          <w:lang w:val="es-ES_tradnl"/>
        </w:rPr>
        <w:t xml:space="preserve">) no </w:t>
      </w:r>
      <w:r w:rsidR="00B8783D" w:rsidRPr="00A819DD">
        <w:rPr>
          <w:rFonts w:ascii="Cambria" w:hAnsi="Cambria"/>
          <w:sz w:val="20"/>
          <w:szCs w:val="20"/>
          <w:lang w:val="es-ES_tradnl"/>
        </w:rPr>
        <w:t>habrían concluido</w:t>
      </w:r>
      <w:r w:rsidR="00CB6AF3" w:rsidRPr="00A819DD">
        <w:rPr>
          <w:rFonts w:ascii="Cambria" w:hAnsi="Cambria"/>
          <w:sz w:val="20"/>
          <w:szCs w:val="20"/>
          <w:lang w:val="es-ES_tradnl"/>
        </w:rPr>
        <w:t xml:space="preserve"> </w:t>
      </w:r>
      <w:r w:rsidR="004F3FE0" w:rsidRPr="00A819DD">
        <w:rPr>
          <w:rFonts w:ascii="Cambria" w:hAnsi="Cambria"/>
          <w:sz w:val="20"/>
          <w:szCs w:val="20"/>
          <w:lang w:val="es-ES_tradnl"/>
        </w:rPr>
        <w:t xml:space="preserve">los </w:t>
      </w:r>
      <w:r w:rsidR="00CB6AF3" w:rsidRPr="00A819DD">
        <w:rPr>
          <w:rFonts w:ascii="Cambria" w:hAnsi="Cambria"/>
          <w:sz w:val="20"/>
          <w:szCs w:val="20"/>
          <w:lang w:val="es-ES_tradnl"/>
        </w:rPr>
        <w:t>proceso</w:t>
      </w:r>
      <w:r w:rsidR="004F3FE0" w:rsidRPr="00A819DD">
        <w:rPr>
          <w:rFonts w:ascii="Cambria" w:hAnsi="Cambria"/>
          <w:sz w:val="20"/>
          <w:szCs w:val="20"/>
          <w:lang w:val="es-ES_tradnl"/>
        </w:rPr>
        <w:t>s</w:t>
      </w:r>
      <w:r w:rsidR="00CB6AF3" w:rsidRPr="00A819DD">
        <w:rPr>
          <w:rFonts w:ascii="Cambria" w:hAnsi="Cambria"/>
          <w:sz w:val="20"/>
          <w:szCs w:val="20"/>
          <w:lang w:val="es-ES_tradnl"/>
        </w:rPr>
        <w:t xml:space="preserve"> penal</w:t>
      </w:r>
      <w:r w:rsidR="004F3FE0" w:rsidRPr="00A819DD">
        <w:rPr>
          <w:rFonts w:ascii="Cambria" w:hAnsi="Cambria"/>
          <w:sz w:val="20"/>
          <w:szCs w:val="20"/>
          <w:lang w:val="es-ES_tradnl"/>
        </w:rPr>
        <w:t>es</w:t>
      </w:r>
      <w:r w:rsidR="00CB6AF3" w:rsidRPr="00A819DD">
        <w:rPr>
          <w:rFonts w:ascii="Cambria" w:hAnsi="Cambria"/>
          <w:sz w:val="20"/>
          <w:szCs w:val="20"/>
          <w:lang w:val="es-ES_tradnl"/>
        </w:rPr>
        <w:t xml:space="preserve"> activamente desarrollado</w:t>
      </w:r>
      <w:r w:rsidR="004F3FE0" w:rsidRPr="00A819DD">
        <w:rPr>
          <w:rFonts w:ascii="Cambria" w:hAnsi="Cambria"/>
          <w:sz w:val="20"/>
          <w:szCs w:val="20"/>
          <w:lang w:val="es-ES_tradnl"/>
        </w:rPr>
        <w:t>s</w:t>
      </w:r>
      <w:r w:rsidR="00CB6AF3" w:rsidRPr="00A819DD">
        <w:rPr>
          <w:rFonts w:ascii="Cambria" w:hAnsi="Cambria"/>
          <w:sz w:val="20"/>
          <w:szCs w:val="20"/>
          <w:lang w:val="es-ES_tradnl"/>
        </w:rPr>
        <w:t xml:space="preserve"> por la Fiscalía General de la Nación</w:t>
      </w:r>
      <w:r w:rsidR="004F3FE0" w:rsidRPr="00A819DD">
        <w:rPr>
          <w:rFonts w:ascii="Cambria" w:hAnsi="Cambria"/>
          <w:sz w:val="20"/>
          <w:szCs w:val="20"/>
          <w:lang w:val="es-ES_tradnl"/>
        </w:rPr>
        <w:t xml:space="preserve"> y el sistema de “Justicia y Paz”</w:t>
      </w:r>
      <w:r w:rsidR="00B8783D" w:rsidRPr="00A819DD">
        <w:rPr>
          <w:rFonts w:ascii="Cambria" w:hAnsi="Cambria"/>
          <w:sz w:val="20"/>
          <w:szCs w:val="20"/>
          <w:lang w:val="es-ES_tradnl"/>
        </w:rPr>
        <w:t>;</w:t>
      </w:r>
      <w:r w:rsidR="00CB6AF3" w:rsidRPr="00A819DD">
        <w:rPr>
          <w:rFonts w:ascii="Cambria" w:hAnsi="Cambria"/>
          <w:sz w:val="20"/>
          <w:szCs w:val="20"/>
          <w:lang w:val="es-ES_tradnl"/>
        </w:rPr>
        <w:t xml:space="preserve"> y (</w:t>
      </w:r>
      <w:r w:rsidR="00B8783D" w:rsidRPr="00A819DD">
        <w:rPr>
          <w:rFonts w:ascii="Cambria" w:hAnsi="Cambria"/>
          <w:sz w:val="20"/>
          <w:szCs w:val="20"/>
          <w:lang w:val="es-ES_tradnl"/>
        </w:rPr>
        <w:t>b</w:t>
      </w:r>
      <w:r w:rsidR="00CB6AF3" w:rsidRPr="00A819DD">
        <w:rPr>
          <w:rFonts w:ascii="Cambria" w:hAnsi="Cambria"/>
          <w:sz w:val="20"/>
          <w:szCs w:val="20"/>
          <w:lang w:val="es-ES_tradnl"/>
        </w:rPr>
        <w:t>) los familiares del señor Soto no han promovido una acción de reparación directa ante la jurisdicción contencioso-administrativa para efectos de recibir una reparación de los daños sufridos en razón del crimen.</w:t>
      </w:r>
      <w:r w:rsidR="007357F0" w:rsidRPr="00A819DD">
        <w:rPr>
          <w:rFonts w:ascii="Cambria" w:hAnsi="Cambria"/>
          <w:sz w:val="20"/>
          <w:szCs w:val="20"/>
          <w:lang w:val="es-ES_tradnl"/>
        </w:rPr>
        <w:t xml:space="preserve"> </w:t>
      </w:r>
    </w:p>
    <w:p w14:paraId="0A2DE470" w14:textId="7CDEFCFD" w:rsidR="008848E1" w:rsidRPr="00A819DD" w:rsidRDefault="008848E1" w:rsidP="008848E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819DD">
        <w:rPr>
          <w:rFonts w:ascii="Cambria" w:hAnsi="Cambria"/>
          <w:sz w:val="20"/>
          <w:szCs w:val="20"/>
          <w:lang w:val="es-ES_tradnl"/>
        </w:rPr>
        <w:t>11.</w:t>
      </w:r>
      <w:r w:rsidRPr="00A819DD">
        <w:rPr>
          <w:rFonts w:ascii="Cambria" w:hAnsi="Cambria"/>
          <w:sz w:val="20"/>
          <w:szCs w:val="20"/>
          <w:lang w:val="es-ES_tradnl"/>
        </w:rPr>
        <w:tab/>
      </w:r>
      <w:r w:rsidR="004F3FE0" w:rsidRPr="00A819DD">
        <w:rPr>
          <w:rFonts w:ascii="Cambria" w:hAnsi="Cambria"/>
          <w:sz w:val="20"/>
          <w:szCs w:val="20"/>
          <w:lang w:val="es-ES_tradnl"/>
        </w:rPr>
        <w:t>En cuanto al punto (</w:t>
      </w:r>
      <w:r w:rsidRPr="00A819DD">
        <w:rPr>
          <w:rFonts w:ascii="Cambria" w:hAnsi="Cambria"/>
          <w:sz w:val="20"/>
          <w:szCs w:val="20"/>
          <w:lang w:val="es-ES_tradnl"/>
        </w:rPr>
        <w:t>a</w:t>
      </w:r>
      <w:r w:rsidR="004F3FE0" w:rsidRPr="00A819DD">
        <w:rPr>
          <w:rFonts w:ascii="Cambria" w:hAnsi="Cambria"/>
          <w:sz w:val="20"/>
          <w:szCs w:val="20"/>
          <w:lang w:val="es-ES_tradnl"/>
        </w:rPr>
        <w:t>) el Estado recapitula los distintos procesos penales arriba reseñados, desarrollados por la Fiscalía General de la Nación y la jurisdicción transicional de “Justicia y Paz”</w:t>
      </w:r>
      <w:r w:rsidR="00B8783D" w:rsidRPr="00A819DD">
        <w:rPr>
          <w:rFonts w:ascii="Cambria" w:hAnsi="Cambria"/>
          <w:sz w:val="20"/>
          <w:szCs w:val="20"/>
          <w:lang w:val="es-ES_tradnl"/>
        </w:rPr>
        <w:t>;</w:t>
      </w:r>
      <w:r w:rsidR="004F3FE0" w:rsidRPr="00A819DD">
        <w:rPr>
          <w:rFonts w:ascii="Cambria" w:hAnsi="Cambria"/>
          <w:sz w:val="20"/>
          <w:szCs w:val="20"/>
          <w:lang w:val="es-ES_tradnl"/>
        </w:rPr>
        <w:t xml:space="preserve"> y tras presentar en detalle las numerosas actuaciones realizadas por la justicia colombiana, invoca los criterios interamericanos </w:t>
      </w:r>
      <w:r w:rsidR="004177C4" w:rsidRPr="00A819DD">
        <w:rPr>
          <w:rFonts w:ascii="Cambria" w:hAnsi="Cambria"/>
          <w:sz w:val="20"/>
          <w:szCs w:val="20"/>
          <w:lang w:val="es-ES_tradnl"/>
        </w:rPr>
        <w:t xml:space="preserve">sobre </w:t>
      </w:r>
      <w:r w:rsidR="004F3FE0" w:rsidRPr="00A819DD">
        <w:rPr>
          <w:rFonts w:ascii="Cambria" w:hAnsi="Cambria"/>
          <w:sz w:val="20"/>
          <w:szCs w:val="20"/>
          <w:lang w:val="es-ES_tradnl"/>
        </w:rPr>
        <w:t>determinación del plazo razonable y diligencia en la investigación penal, para alegar</w:t>
      </w:r>
      <w:r w:rsidR="00B8783D" w:rsidRPr="00A819DD">
        <w:rPr>
          <w:rFonts w:ascii="Cambria" w:hAnsi="Cambria"/>
          <w:sz w:val="20"/>
          <w:szCs w:val="20"/>
          <w:lang w:val="es-ES_tradnl"/>
        </w:rPr>
        <w:t xml:space="preserve"> </w:t>
      </w:r>
      <w:r w:rsidR="004F3FE0" w:rsidRPr="00A819DD">
        <w:rPr>
          <w:rFonts w:ascii="Cambria" w:hAnsi="Cambria"/>
          <w:sz w:val="20"/>
          <w:szCs w:val="20"/>
          <w:lang w:val="es-ES_tradnl"/>
        </w:rPr>
        <w:t xml:space="preserve">que no se ha incurrido en un retardo injustificado en la tramitación de los procesos </w:t>
      </w:r>
      <w:r w:rsidR="00A819DD" w:rsidRPr="00A819DD">
        <w:rPr>
          <w:rFonts w:ascii="Cambria" w:hAnsi="Cambria"/>
          <w:sz w:val="20"/>
          <w:szCs w:val="20"/>
          <w:lang w:val="es-ES_tradnl"/>
        </w:rPr>
        <w:t>penales. También</w:t>
      </w:r>
      <w:r w:rsidR="003D31BB" w:rsidRPr="00A819DD">
        <w:rPr>
          <w:rFonts w:ascii="Cambria" w:hAnsi="Cambria"/>
          <w:sz w:val="20"/>
          <w:szCs w:val="20"/>
          <w:lang w:val="es-ES_tradnl"/>
        </w:rPr>
        <w:t xml:space="preserve"> </w:t>
      </w:r>
      <w:r w:rsidRPr="00A819DD">
        <w:rPr>
          <w:rFonts w:ascii="Cambria" w:hAnsi="Cambria"/>
          <w:sz w:val="20"/>
          <w:szCs w:val="20"/>
          <w:lang w:val="es-ES_tradnl"/>
        </w:rPr>
        <w:t>controvierte</w:t>
      </w:r>
      <w:r w:rsidR="003D31BB" w:rsidRPr="00A819DD">
        <w:rPr>
          <w:rFonts w:ascii="Cambria" w:hAnsi="Cambria"/>
          <w:sz w:val="20"/>
          <w:szCs w:val="20"/>
          <w:lang w:val="es-ES_tradnl"/>
        </w:rPr>
        <w:t xml:space="preserve"> los argumentos de la petición</w:t>
      </w:r>
      <w:r w:rsidR="00071A91" w:rsidRPr="00A819DD">
        <w:rPr>
          <w:rFonts w:ascii="Cambria" w:hAnsi="Cambria"/>
          <w:sz w:val="20"/>
          <w:szCs w:val="20"/>
          <w:lang w:val="es-ES_tradnl"/>
        </w:rPr>
        <w:t xml:space="preserve"> sobre tal retardo</w:t>
      </w:r>
      <w:r w:rsidR="003D31BB" w:rsidRPr="00A819DD">
        <w:rPr>
          <w:rFonts w:ascii="Cambria" w:hAnsi="Cambria"/>
          <w:sz w:val="20"/>
          <w:szCs w:val="20"/>
          <w:lang w:val="es-ES_tradnl"/>
        </w:rPr>
        <w:t>, enfatizando que la investigación ante los jueces de “Justicia y Paz” ya superó la etapa de instrucción, y que existe más de una persona vinculada a dicho proceso</w:t>
      </w:r>
      <w:r w:rsidRPr="00A819DD">
        <w:rPr>
          <w:rFonts w:ascii="Cambria" w:hAnsi="Cambria"/>
          <w:sz w:val="20"/>
          <w:szCs w:val="20"/>
          <w:lang w:val="es-ES_tradnl"/>
        </w:rPr>
        <w:t>,</w:t>
      </w:r>
      <w:r w:rsidR="003D31BB" w:rsidRPr="00A819DD">
        <w:rPr>
          <w:rFonts w:ascii="Cambria" w:hAnsi="Cambria"/>
          <w:sz w:val="20"/>
          <w:szCs w:val="20"/>
          <w:lang w:val="es-ES_tradnl"/>
        </w:rPr>
        <w:t xml:space="preserve"> </w:t>
      </w:r>
      <w:r w:rsidR="003D31BB" w:rsidRPr="00A819DD">
        <w:rPr>
          <w:rFonts w:ascii="Cambria" w:hAnsi="Cambria"/>
          <w:sz w:val="20"/>
          <w:szCs w:val="20"/>
          <w:lang w:val="es-ES_tradnl"/>
        </w:rPr>
        <w:lastRenderedPageBreak/>
        <w:t xml:space="preserve">porque se ha imputado el homicidio al máximo comandante de los paramilitares en Colombia, </w:t>
      </w:r>
      <w:r w:rsidR="004177C4" w:rsidRPr="00A819DD">
        <w:rPr>
          <w:rFonts w:ascii="Cambria" w:hAnsi="Cambria"/>
          <w:sz w:val="20"/>
          <w:szCs w:val="20"/>
          <w:lang w:val="es-ES_tradnl"/>
        </w:rPr>
        <w:t xml:space="preserve">así como </w:t>
      </w:r>
      <w:r w:rsidR="003D31BB" w:rsidRPr="00A819DD">
        <w:rPr>
          <w:rFonts w:ascii="Cambria" w:hAnsi="Cambria"/>
          <w:sz w:val="20"/>
          <w:szCs w:val="20"/>
          <w:lang w:val="es-ES_tradnl"/>
        </w:rPr>
        <w:t xml:space="preserve">a otro integrante de dicho grupo. </w:t>
      </w:r>
    </w:p>
    <w:p w14:paraId="015CFD71" w14:textId="3C14A165" w:rsidR="007357F0" w:rsidRPr="00A819DD" w:rsidRDefault="008848E1" w:rsidP="004177C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819DD">
        <w:rPr>
          <w:rFonts w:ascii="Cambria" w:hAnsi="Cambria"/>
          <w:sz w:val="20"/>
          <w:szCs w:val="20"/>
          <w:lang w:val="es-ES_tradnl"/>
        </w:rPr>
        <w:t>12.</w:t>
      </w:r>
      <w:r w:rsidRPr="00A819DD">
        <w:rPr>
          <w:rFonts w:ascii="Cambria" w:hAnsi="Cambria"/>
          <w:sz w:val="20"/>
          <w:szCs w:val="20"/>
          <w:lang w:val="es-ES_tradnl"/>
        </w:rPr>
        <w:tab/>
      </w:r>
      <w:r w:rsidR="003D31BB" w:rsidRPr="00A819DD">
        <w:rPr>
          <w:rFonts w:ascii="Cambria" w:hAnsi="Cambria"/>
          <w:sz w:val="20"/>
          <w:szCs w:val="20"/>
          <w:lang w:val="es-ES_tradnl"/>
        </w:rPr>
        <w:t>En cuanto al punto (</w:t>
      </w:r>
      <w:r w:rsidRPr="00A819DD">
        <w:rPr>
          <w:rFonts w:ascii="Cambria" w:hAnsi="Cambria"/>
          <w:sz w:val="20"/>
          <w:szCs w:val="20"/>
          <w:lang w:val="es-ES_tradnl"/>
        </w:rPr>
        <w:t>b</w:t>
      </w:r>
      <w:r w:rsidR="003D31BB" w:rsidRPr="00A819DD">
        <w:rPr>
          <w:rFonts w:ascii="Cambria" w:hAnsi="Cambria"/>
          <w:sz w:val="20"/>
          <w:szCs w:val="20"/>
          <w:lang w:val="es-ES_tradnl"/>
        </w:rPr>
        <w:t xml:space="preserve">), el Estado alega que la acción de reparación directa en Colombia es un recurso idóneo en este tipo de casos, ya que la jurisdicción contencioso-administrativa aplica criterios de reparación consistentes con la jurisprudencia interamericana; e indica que dicho curso de acción judicial aún no ha sido </w:t>
      </w:r>
      <w:r w:rsidR="004177C4" w:rsidRPr="00A819DD">
        <w:rPr>
          <w:rFonts w:ascii="Cambria" w:hAnsi="Cambria"/>
          <w:sz w:val="20"/>
          <w:szCs w:val="20"/>
          <w:lang w:val="es-ES_tradnl"/>
        </w:rPr>
        <w:t xml:space="preserve">emprendido </w:t>
      </w:r>
      <w:r w:rsidR="003D31BB" w:rsidRPr="00A819DD">
        <w:rPr>
          <w:rFonts w:ascii="Cambria" w:hAnsi="Cambria"/>
          <w:sz w:val="20"/>
          <w:szCs w:val="20"/>
          <w:lang w:val="es-ES_tradnl"/>
        </w:rPr>
        <w:t>por los familiares del señor Soto</w:t>
      </w:r>
      <w:r w:rsidRPr="00A819DD">
        <w:rPr>
          <w:rFonts w:ascii="Cambria" w:hAnsi="Cambria"/>
          <w:sz w:val="20"/>
          <w:szCs w:val="20"/>
          <w:lang w:val="es-ES_tradnl"/>
        </w:rPr>
        <w:t>;</w:t>
      </w:r>
      <w:r w:rsidR="003D31BB" w:rsidRPr="00A819DD">
        <w:rPr>
          <w:rFonts w:ascii="Cambria" w:hAnsi="Cambria"/>
          <w:sz w:val="20"/>
          <w:szCs w:val="20"/>
          <w:lang w:val="es-ES_tradnl"/>
        </w:rPr>
        <w:t xml:space="preserve"> qu</w:t>
      </w:r>
      <w:r w:rsidRPr="00A819DD">
        <w:rPr>
          <w:rFonts w:ascii="Cambria" w:hAnsi="Cambria"/>
          <w:sz w:val="20"/>
          <w:szCs w:val="20"/>
          <w:lang w:val="es-ES_tradnl"/>
        </w:rPr>
        <w:t>i</w:t>
      </w:r>
      <w:r w:rsidR="003D31BB" w:rsidRPr="00A819DD">
        <w:rPr>
          <w:rFonts w:ascii="Cambria" w:hAnsi="Cambria"/>
          <w:sz w:val="20"/>
          <w:szCs w:val="20"/>
          <w:lang w:val="es-ES_tradnl"/>
        </w:rPr>
        <w:t>e</w:t>
      </w:r>
      <w:r w:rsidRPr="00A819DD">
        <w:rPr>
          <w:rFonts w:ascii="Cambria" w:hAnsi="Cambria"/>
          <w:sz w:val="20"/>
          <w:szCs w:val="20"/>
          <w:lang w:val="es-ES_tradnl"/>
        </w:rPr>
        <w:t>nes</w:t>
      </w:r>
      <w:r w:rsidR="003D31BB" w:rsidRPr="00A819DD">
        <w:rPr>
          <w:rFonts w:ascii="Cambria" w:hAnsi="Cambria"/>
          <w:sz w:val="20"/>
          <w:szCs w:val="20"/>
          <w:lang w:val="es-ES_tradnl"/>
        </w:rPr>
        <w:t xml:space="preserve"> pueden recurrir </w:t>
      </w:r>
      <w:r w:rsidRPr="00A819DD">
        <w:rPr>
          <w:rFonts w:ascii="Cambria" w:hAnsi="Cambria"/>
          <w:sz w:val="20"/>
          <w:szCs w:val="20"/>
          <w:lang w:val="es-ES_tradnl"/>
        </w:rPr>
        <w:t xml:space="preserve">a este </w:t>
      </w:r>
      <w:r w:rsidR="003D31BB" w:rsidRPr="00A819DD">
        <w:rPr>
          <w:rFonts w:ascii="Cambria" w:hAnsi="Cambria"/>
          <w:sz w:val="20"/>
          <w:szCs w:val="20"/>
          <w:lang w:val="es-ES_tradnl"/>
        </w:rPr>
        <w:t xml:space="preserve">pese a haber recibido ya una indemnización administrativa. </w:t>
      </w:r>
      <w:r w:rsidR="00071A91" w:rsidRPr="00A819DD">
        <w:rPr>
          <w:rFonts w:ascii="Cambria" w:hAnsi="Cambria"/>
          <w:sz w:val="20"/>
          <w:szCs w:val="20"/>
          <w:lang w:val="es-ES_tradnl"/>
        </w:rPr>
        <w:t>El Estado también indica en su contestación que los familiares del señor Soto han sido inscritos en el Registro Único de Víctimas, y han recibido una indemnización administrativa por valor de CoP$</w:t>
      </w:r>
      <w:r w:rsidRPr="00A819DD">
        <w:rPr>
          <w:rFonts w:ascii="Cambria" w:hAnsi="Cambria"/>
          <w:sz w:val="20"/>
          <w:szCs w:val="20"/>
          <w:lang w:val="es-ES_tradnl"/>
        </w:rPr>
        <w:t xml:space="preserve">. </w:t>
      </w:r>
      <w:r w:rsidR="00071A91" w:rsidRPr="00A819DD">
        <w:rPr>
          <w:rFonts w:ascii="Cambria" w:hAnsi="Cambria"/>
          <w:sz w:val="20"/>
          <w:szCs w:val="20"/>
          <w:lang w:val="es-ES_tradnl"/>
        </w:rPr>
        <w:t>26’000.000</w:t>
      </w:r>
      <w:r w:rsidRPr="00A819DD">
        <w:rPr>
          <w:rFonts w:ascii="Cambria" w:hAnsi="Cambria"/>
          <w:sz w:val="20"/>
          <w:szCs w:val="20"/>
          <w:lang w:val="es-ES_tradnl"/>
        </w:rPr>
        <w:t>;</w:t>
      </w:r>
      <w:r w:rsidR="00071A91" w:rsidRPr="00A819DD">
        <w:rPr>
          <w:rFonts w:ascii="Cambria" w:hAnsi="Cambria"/>
          <w:sz w:val="20"/>
          <w:szCs w:val="20"/>
          <w:lang w:val="es-ES_tradnl"/>
        </w:rPr>
        <w:t xml:space="preserve"> calculados por el Estado como US</w:t>
      </w:r>
      <w:r w:rsidRPr="00A819DD">
        <w:rPr>
          <w:rFonts w:ascii="Cambria" w:hAnsi="Cambria"/>
          <w:sz w:val="20"/>
          <w:szCs w:val="20"/>
          <w:lang w:val="es-ES_tradnl"/>
        </w:rPr>
        <w:t>D</w:t>
      </w:r>
      <w:r w:rsidR="00071A91" w:rsidRPr="00A819DD">
        <w:rPr>
          <w:rFonts w:ascii="Cambria" w:hAnsi="Cambria"/>
          <w:sz w:val="20"/>
          <w:szCs w:val="20"/>
          <w:lang w:val="es-ES_tradnl"/>
        </w:rPr>
        <w:t>$</w:t>
      </w:r>
      <w:r w:rsidRPr="00A819DD">
        <w:rPr>
          <w:rFonts w:ascii="Cambria" w:hAnsi="Cambria"/>
          <w:sz w:val="20"/>
          <w:szCs w:val="20"/>
          <w:lang w:val="es-ES_tradnl"/>
        </w:rPr>
        <w:t xml:space="preserve">. </w:t>
      </w:r>
      <w:r w:rsidR="00071A91" w:rsidRPr="00A819DD">
        <w:rPr>
          <w:rFonts w:ascii="Cambria" w:hAnsi="Cambria"/>
          <w:sz w:val="20"/>
          <w:szCs w:val="20"/>
          <w:lang w:val="es-ES_tradnl"/>
        </w:rPr>
        <w:t>9,000 aproximadamente.</w:t>
      </w:r>
    </w:p>
    <w:p w14:paraId="52CBE2B6" w14:textId="1F99D1CA" w:rsidR="001A035D" w:rsidRPr="00A819DD" w:rsidRDefault="004177C4" w:rsidP="008848E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A819DD">
        <w:rPr>
          <w:rFonts w:ascii="Cambria" w:hAnsi="Cambria"/>
          <w:sz w:val="20"/>
          <w:szCs w:val="20"/>
          <w:lang w:val="es-ES_tradnl"/>
        </w:rPr>
        <w:t>1</w:t>
      </w:r>
      <w:r w:rsidR="008848E1" w:rsidRPr="00A819DD">
        <w:rPr>
          <w:rFonts w:ascii="Cambria" w:hAnsi="Cambria"/>
          <w:sz w:val="20"/>
          <w:szCs w:val="20"/>
          <w:lang w:val="es-ES_tradnl"/>
        </w:rPr>
        <w:t>3</w:t>
      </w:r>
      <w:r w:rsidRPr="00A819DD">
        <w:rPr>
          <w:rFonts w:ascii="Cambria" w:hAnsi="Cambria"/>
          <w:sz w:val="20"/>
          <w:szCs w:val="20"/>
          <w:lang w:val="es-ES_tradnl"/>
        </w:rPr>
        <w:t>.</w:t>
      </w:r>
      <w:r w:rsidR="004F3FE0" w:rsidRPr="00A819DD">
        <w:rPr>
          <w:rFonts w:ascii="Cambria" w:hAnsi="Cambria"/>
          <w:sz w:val="20"/>
          <w:szCs w:val="20"/>
          <w:lang w:val="es-ES_tradnl"/>
        </w:rPr>
        <w:t xml:space="preserve"> </w:t>
      </w:r>
      <w:r w:rsidR="008848E1" w:rsidRPr="00A819DD">
        <w:rPr>
          <w:rFonts w:ascii="Cambria" w:hAnsi="Cambria"/>
          <w:sz w:val="20"/>
          <w:szCs w:val="20"/>
          <w:lang w:val="es-ES_tradnl"/>
        </w:rPr>
        <w:tab/>
      </w:r>
      <w:r w:rsidR="001A035D" w:rsidRPr="00A819DD">
        <w:rPr>
          <w:rFonts w:ascii="Cambria" w:hAnsi="Cambria"/>
          <w:sz w:val="20"/>
          <w:szCs w:val="20"/>
          <w:lang w:val="es-ES_tradnl"/>
        </w:rPr>
        <w:t xml:space="preserve">Por otra parte, Colombia pide a la CIDH </w:t>
      </w:r>
      <w:r w:rsidR="008848E1" w:rsidRPr="00A819DD">
        <w:rPr>
          <w:rFonts w:ascii="Cambria" w:hAnsi="Cambria"/>
          <w:sz w:val="20"/>
          <w:szCs w:val="20"/>
          <w:lang w:val="es-ES_tradnl"/>
        </w:rPr>
        <w:t xml:space="preserve">en los siguientes términos </w:t>
      </w:r>
      <w:r w:rsidR="001A035D" w:rsidRPr="00A819DD">
        <w:rPr>
          <w:rFonts w:ascii="Cambria" w:hAnsi="Cambria"/>
          <w:sz w:val="20"/>
          <w:szCs w:val="20"/>
          <w:lang w:val="es-ES_tradnl"/>
        </w:rPr>
        <w:t xml:space="preserve">que no tenga en cuenta los elementos de tipo contextual presentados por los peticionarios para efectos de deducir </w:t>
      </w:r>
      <w:r w:rsidR="00071A91" w:rsidRPr="00A819DD">
        <w:rPr>
          <w:rFonts w:ascii="Cambria" w:hAnsi="Cambria"/>
          <w:sz w:val="20"/>
          <w:szCs w:val="20"/>
          <w:lang w:val="es-ES_tradnl"/>
        </w:rPr>
        <w:t xml:space="preserve">de ellos </w:t>
      </w:r>
      <w:r w:rsidR="001A035D" w:rsidRPr="00A819DD">
        <w:rPr>
          <w:rFonts w:ascii="Cambria" w:hAnsi="Cambria"/>
          <w:sz w:val="20"/>
          <w:szCs w:val="20"/>
          <w:lang w:val="es-ES_tradnl"/>
        </w:rPr>
        <w:t xml:space="preserve">responsabilidad del Estado por el crimen: </w:t>
      </w:r>
    </w:p>
    <w:p w14:paraId="6E174E3F" w14:textId="02586EB8" w:rsidR="004F3FE0" w:rsidRPr="002D578E" w:rsidRDefault="001A035D" w:rsidP="00AA204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567" w:right="571"/>
        <w:jc w:val="both"/>
        <w:rPr>
          <w:rFonts w:ascii="Cambria" w:hAnsi="Cambria"/>
          <w:sz w:val="20"/>
          <w:szCs w:val="20"/>
          <w:lang w:val="es-ES_tradnl"/>
        </w:rPr>
      </w:pPr>
      <w:r w:rsidRPr="002D578E">
        <w:rPr>
          <w:rFonts w:ascii="Cambria" w:hAnsi="Cambria"/>
          <w:sz w:val="20"/>
          <w:szCs w:val="20"/>
          <w:lang w:val="es-ES_tradnl"/>
        </w:rPr>
        <w:t xml:space="preserve">las aseveraciones realizadas por el peticionario que ligan su caso con las presuntas violaciones a derechos humanos cometidas por miembros de las AUC, con aquiescencia de miembros del DAS, carecen de prueba alguna, y son presentadas de manera genérica. De manera específica debe recordarse que el Estado sí investigó la hipótesis que vinculaba actores estatales, pero esta fue descartada al haberse soportado en testigos que resultaron hacer parte de una red criminal de falsas declaraciones. || El Estado observa que no se encontró que el homicidio del señor Oscar Darío Soto estuviese ligado a una presunta connivencia entre el DAS, o alguna autoridad estatal, con el grupo paramilitar. || Por lo expuesto, este tipo de afirmaciones desbordan los hechos objeto de la petición, razón por la cual el Estado colombiano solicita que no sean tenidas en cuenta para el presente trámite. || Así las cosas, el Estado solicita de manera respetuosa delimitar los supuestos fácticos </w:t>
      </w:r>
      <w:r w:rsidR="00AA204A" w:rsidRPr="002D578E">
        <w:rPr>
          <w:rFonts w:ascii="Cambria" w:hAnsi="Cambria"/>
          <w:sz w:val="20"/>
          <w:szCs w:val="20"/>
          <w:lang w:val="es-ES_tradnl"/>
        </w:rPr>
        <w:t xml:space="preserve">de la presente petición a aquellos que se encuentren debidamente probados. </w:t>
      </w:r>
      <w:r w:rsidR="008848E1" w:rsidRPr="002D578E">
        <w:rPr>
          <w:rFonts w:ascii="Cambria" w:hAnsi="Cambria"/>
          <w:sz w:val="20"/>
          <w:szCs w:val="20"/>
          <w:lang w:val="es-ES_tradnl"/>
        </w:rPr>
        <w:t>[</w:t>
      </w:r>
      <w:r w:rsidR="00AA204A" w:rsidRPr="002D578E">
        <w:rPr>
          <w:rFonts w:ascii="Cambria" w:hAnsi="Cambria"/>
          <w:sz w:val="20"/>
          <w:szCs w:val="20"/>
          <w:lang w:val="es-ES_tradnl"/>
        </w:rPr>
        <w:t>…</w:t>
      </w:r>
      <w:r w:rsidR="008848E1" w:rsidRPr="002D578E">
        <w:rPr>
          <w:rFonts w:ascii="Cambria" w:hAnsi="Cambria"/>
          <w:sz w:val="20"/>
          <w:szCs w:val="20"/>
          <w:lang w:val="es-ES_tradnl"/>
        </w:rPr>
        <w:t>]</w:t>
      </w:r>
    </w:p>
    <w:p w14:paraId="643745C8" w14:textId="77777777" w:rsidR="003239B8" w:rsidRPr="00A819DD" w:rsidRDefault="003239B8" w:rsidP="003239B8">
      <w:pPr>
        <w:spacing w:before="240" w:after="240"/>
        <w:ind w:firstLine="720"/>
        <w:jc w:val="both"/>
        <w:rPr>
          <w:rFonts w:ascii="Cambria" w:hAnsi="Cambria"/>
          <w:sz w:val="20"/>
          <w:szCs w:val="20"/>
          <w:lang w:val="es-ES_tradnl"/>
        </w:rPr>
      </w:pPr>
      <w:r w:rsidRPr="00A819DD">
        <w:rPr>
          <w:rFonts w:asciiTheme="majorHAnsi" w:eastAsia="Cambria" w:hAnsiTheme="majorHAnsi" w:cs="Cambria"/>
          <w:b/>
          <w:bCs/>
          <w:color w:val="000000"/>
          <w:sz w:val="20"/>
          <w:szCs w:val="20"/>
          <w:u w:color="000000"/>
          <w:lang w:val="es-ES_tradnl" w:eastAsia="es-ES"/>
        </w:rPr>
        <w:t>VI.</w:t>
      </w:r>
      <w:r w:rsidRPr="00A819DD">
        <w:rPr>
          <w:rFonts w:asciiTheme="majorHAnsi" w:eastAsia="Cambria" w:hAnsiTheme="majorHAnsi" w:cs="Cambria"/>
          <w:b/>
          <w:bCs/>
          <w:color w:val="000000"/>
          <w:sz w:val="20"/>
          <w:szCs w:val="20"/>
          <w:u w:color="000000"/>
          <w:lang w:val="es-ES_tradnl" w:eastAsia="es-ES"/>
        </w:rPr>
        <w:tab/>
      </w:r>
      <w:r w:rsidR="004A6A54" w:rsidRPr="00A819DD">
        <w:rPr>
          <w:rFonts w:asciiTheme="majorHAnsi" w:hAnsiTheme="majorHAnsi"/>
          <w:b/>
          <w:bCs/>
          <w:sz w:val="20"/>
          <w:szCs w:val="20"/>
          <w:lang w:val="es-ES_tradnl"/>
        </w:rPr>
        <w:t xml:space="preserve">ANÁLISIS DE </w:t>
      </w:r>
      <w:r w:rsidR="00C21FEF" w:rsidRPr="00A819DD">
        <w:rPr>
          <w:rFonts w:asciiTheme="majorHAnsi" w:hAnsiTheme="majorHAnsi"/>
          <w:b/>
          <w:sz w:val="20"/>
          <w:szCs w:val="20"/>
          <w:lang w:val="es-ES_tradnl"/>
        </w:rPr>
        <w:t>AGOTAMIENTO DE LOS RECURSOS INTERNOS Y PLAZO DE PRESENTACIÓN</w:t>
      </w:r>
      <w:r w:rsidR="00C21FEF" w:rsidRPr="00A819DD">
        <w:rPr>
          <w:rFonts w:asciiTheme="majorHAnsi" w:eastAsia="Cambria" w:hAnsiTheme="majorHAnsi" w:cs="Cambria"/>
          <w:b/>
          <w:bCs/>
          <w:color w:val="000000"/>
          <w:sz w:val="20"/>
          <w:szCs w:val="20"/>
          <w:u w:color="000000"/>
          <w:lang w:val="es-ES_tradnl" w:eastAsia="es-ES"/>
        </w:rPr>
        <w:t xml:space="preserve"> </w:t>
      </w:r>
    </w:p>
    <w:p w14:paraId="542D357F" w14:textId="473B83A8" w:rsidR="007357F0" w:rsidRPr="00A819DD" w:rsidRDefault="007357F0" w:rsidP="007357F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819DD">
        <w:rPr>
          <w:rFonts w:asciiTheme="majorHAnsi" w:hAnsiTheme="majorHAnsi"/>
          <w:sz w:val="20"/>
          <w:szCs w:val="20"/>
          <w:lang w:val="es-ES_tradnl"/>
        </w:rPr>
        <w:t>1</w:t>
      </w:r>
      <w:r w:rsidR="00965FF4" w:rsidRPr="00A819DD">
        <w:rPr>
          <w:rFonts w:asciiTheme="majorHAnsi" w:hAnsiTheme="majorHAnsi"/>
          <w:sz w:val="20"/>
          <w:szCs w:val="20"/>
          <w:lang w:val="es-ES_tradnl"/>
        </w:rPr>
        <w:t>4</w:t>
      </w:r>
      <w:r w:rsidRPr="00A819DD">
        <w:rPr>
          <w:rFonts w:asciiTheme="majorHAnsi" w:hAnsiTheme="majorHAnsi"/>
          <w:sz w:val="20"/>
          <w:szCs w:val="20"/>
          <w:lang w:val="es-ES_tradnl"/>
        </w:rPr>
        <w:t xml:space="preserve">. </w:t>
      </w:r>
      <w:r w:rsidR="00965FF4" w:rsidRPr="00A819DD">
        <w:rPr>
          <w:rFonts w:asciiTheme="majorHAnsi" w:hAnsiTheme="majorHAnsi"/>
          <w:sz w:val="20"/>
          <w:szCs w:val="20"/>
          <w:lang w:val="es-ES_tradnl"/>
        </w:rPr>
        <w:tab/>
      </w:r>
      <w:r w:rsidRPr="00A819DD">
        <w:rPr>
          <w:rFonts w:asciiTheme="majorHAnsi" w:hAnsiTheme="majorHAnsi"/>
          <w:sz w:val="20"/>
          <w:szCs w:val="20"/>
          <w:lang w:val="es-ES_tradnl"/>
        </w:rPr>
        <w:t>La doctrina uniforme de la Comisión Interamericana indica que en los casos en que se reclama por la muerte de personas y la impunidad resultante, el recurso idóneo que se debe agotar a nivel doméstico es la vía penal, mediante la realización oficiosa y diligente de investigaciones que determinen los responsables de la violación del derecho a la vida y les sometan a juzgamiento y sanción de conformidad con la Convención Americana</w:t>
      </w:r>
      <w:r w:rsidRPr="00A819DD">
        <w:rPr>
          <w:rStyle w:val="FootnoteReference"/>
          <w:rFonts w:asciiTheme="majorHAnsi" w:hAnsiTheme="majorHAnsi"/>
          <w:sz w:val="20"/>
          <w:szCs w:val="20"/>
          <w:lang w:val="es-ES_tradnl"/>
        </w:rPr>
        <w:footnoteReference w:id="4"/>
      </w:r>
      <w:r w:rsidRPr="00A819DD">
        <w:rPr>
          <w:rFonts w:asciiTheme="majorHAnsi" w:hAnsiTheme="majorHAnsi"/>
          <w:sz w:val="20"/>
          <w:szCs w:val="20"/>
          <w:lang w:val="es-ES_tradnl"/>
        </w:rPr>
        <w:t>; esta carga debe ser asumida por el Estado como un deber jurídico propio, y no como una gestión de intereses de particulares o que dependa de la iniciativa de éstos ni de la aportación de pruebas por parte de los mismos</w:t>
      </w:r>
      <w:r w:rsidRPr="00A819DD">
        <w:rPr>
          <w:rStyle w:val="FootnoteReference"/>
          <w:rFonts w:asciiTheme="majorHAnsi" w:hAnsiTheme="majorHAnsi"/>
          <w:sz w:val="20"/>
          <w:szCs w:val="20"/>
          <w:lang w:val="es-ES_tradnl"/>
        </w:rPr>
        <w:footnoteReference w:id="5"/>
      </w:r>
      <w:r w:rsidRPr="00A819DD">
        <w:rPr>
          <w:rFonts w:asciiTheme="majorHAnsi" w:hAnsiTheme="majorHAnsi"/>
          <w:sz w:val="20"/>
          <w:szCs w:val="20"/>
          <w:lang w:val="es-ES_tradnl"/>
        </w:rPr>
        <w:t xml:space="preserve">. </w:t>
      </w:r>
      <w:r w:rsidRPr="00A819DD">
        <w:rPr>
          <w:rFonts w:asciiTheme="majorHAnsi" w:hAnsiTheme="majorHAnsi" w:cstheme="minorHAnsi"/>
          <w:sz w:val="20"/>
          <w:szCs w:val="20"/>
          <w:lang w:val="es-ES_tradnl"/>
        </w:rPr>
        <w:t>Lo que resulta especialmente importante para el caso bajo revisión, es que la obligación de investigar incluye a la totalidad de los autores materiales e intelectuales, así como a eventuales encubridores</w:t>
      </w:r>
      <w:r w:rsidRPr="00A819DD">
        <w:rPr>
          <w:rStyle w:val="Reference"/>
          <w:rFonts w:asciiTheme="majorHAnsi" w:eastAsia="Symbol" w:hAnsiTheme="majorHAnsi" w:cstheme="minorHAnsi"/>
          <w:lang w:val="es-ES_tradnl"/>
        </w:rPr>
        <w:footnoteReference w:id="6"/>
      </w:r>
      <w:r w:rsidRPr="00A819DD">
        <w:rPr>
          <w:rFonts w:asciiTheme="majorHAnsi" w:hAnsiTheme="majorHAnsi" w:cstheme="minorHAnsi"/>
          <w:sz w:val="20"/>
          <w:szCs w:val="20"/>
          <w:lang w:val="es-ES_tradnl"/>
        </w:rPr>
        <w:t>.</w:t>
      </w:r>
      <w:r w:rsidRPr="00A819DD">
        <w:rPr>
          <w:rFonts w:asciiTheme="majorHAnsi" w:hAnsiTheme="majorHAnsi"/>
          <w:sz w:val="20"/>
          <w:szCs w:val="20"/>
          <w:lang w:val="es-ES_tradnl"/>
        </w:rPr>
        <w:t xml:space="preserve"> La Comisión también ha observado que como regla general, una investigación penal debe realizarse prontamente para proteger los intereses de las víctimas, preservar la prueba e incluso salvaguardar los derechos de toda persona que en el contexto de la investigación sea considerada sospechosa; según ha señalado la Corte Interamericana, si bien toda investigación penal debe cumplir con una serie de requisitos legales, la regla del previo agotamiento de los recursos internos no debe conducir a que la actuación internacional en auxilio de las víctimas se detenga o se demore hasta la inutilidad</w:t>
      </w:r>
      <w:r w:rsidRPr="00A819DD">
        <w:rPr>
          <w:rStyle w:val="FootnoteReference"/>
          <w:rFonts w:asciiTheme="majorHAnsi" w:hAnsiTheme="majorHAnsi"/>
          <w:sz w:val="20"/>
          <w:szCs w:val="20"/>
          <w:lang w:val="es-ES_tradnl"/>
        </w:rPr>
        <w:footnoteReference w:id="7"/>
      </w:r>
      <w:r w:rsidRPr="00A819DD">
        <w:rPr>
          <w:rFonts w:asciiTheme="majorHAnsi" w:hAnsiTheme="majorHAnsi"/>
          <w:sz w:val="20"/>
          <w:szCs w:val="20"/>
          <w:lang w:val="es-ES_tradnl"/>
        </w:rPr>
        <w:t>.</w:t>
      </w:r>
    </w:p>
    <w:p w14:paraId="096806FC" w14:textId="77777777" w:rsidR="00D16751" w:rsidRPr="00A819DD" w:rsidRDefault="007357F0" w:rsidP="0053266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819DD">
        <w:rPr>
          <w:rFonts w:asciiTheme="majorHAnsi" w:hAnsiTheme="majorHAnsi"/>
          <w:sz w:val="20"/>
          <w:szCs w:val="20"/>
          <w:lang w:val="es-ES_tradnl"/>
        </w:rPr>
        <w:t>1</w:t>
      </w:r>
      <w:r w:rsidR="008D7263" w:rsidRPr="00A819DD">
        <w:rPr>
          <w:rFonts w:asciiTheme="majorHAnsi" w:hAnsiTheme="majorHAnsi"/>
          <w:sz w:val="20"/>
          <w:szCs w:val="20"/>
          <w:lang w:val="es-ES_tradnl"/>
        </w:rPr>
        <w:t>5</w:t>
      </w:r>
      <w:r w:rsidRPr="00A819DD">
        <w:rPr>
          <w:rFonts w:asciiTheme="majorHAnsi" w:hAnsiTheme="majorHAnsi"/>
          <w:sz w:val="20"/>
          <w:szCs w:val="20"/>
          <w:lang w:val="es-ES_tradnl"/>
        </w:rPr>
        <w:t xml:space="preserve">. </w:t>
      </w:r>
      <w:r w:rsidR="008D7263" w:rsidRPr="00A819DD">
        <w:rPr>
          <w:rFonts w:asciiTheme="majorHAnsi" w:hAnsiTheme="majorHAnsi"/>
          <w:sz w:val="20"/>
          <w:szCs w:val="20"/>
          <w:lang w:val="es-ES_tradnl"/>
        </w:rPr>
        <w:tab/>
      </w:r>
      <w:r w:rsidRPr="00A819DD">
        <w:rPr>
          <w:rFonts w:asciiTheme="majorHAnsi" w:hAnsiTheme="majorHAnsi"/>
          <w:sz w:val="20"/>
          <w:szCs w:val="20"/>
          <w:lang w:val="es-ES_tradnl"/>
        </w:rPr>
        <w:t xml:space="preserve">En el caso actual, la investigación penal se inició en </w:t>
      </w:r>
      <w:r w:rsidR="004177C4" w:rsidRPr="00A819DD">
        <w:rPr>
          <w:rFonts w:asciiTheme="majorHAnsi" w:hAnsiTheme="majorHAnsi"/>
          <w:sz w:val="20"/>
          <w:szCs w:val="20"/>
          <w:lang w:val="es-ES_tradnl"/>
        </w:rPr>
        <w:t xml:space="preserve">junio </w:t>
      </w:r>
      <w:r w:rsidRPr="00A819DD">
        <w:rPr>
          <w:rFonts w:asciiTheme="majorHAnsi" w:hAnsiTheme="majorHAnsi"/>
          <w:sz w:val="20"/>
          <w:szCs w:val="20"/>
          <w:lang w:val="es-ES_tradnl"/>
        </w:rPr>
        <w:t xml:space="preserve">de </w:t>
      </w:r>
      <w:r w:rsidR="004177C4" w:rsidRPr="00A819DD">
        <w:rPr>
          <w:rFonts w:asciiTheme="majorHAnsi" w:hAnsiTheme="majorHAnsi"/>
          <w:sz w:val="20"/>
          <w:szCs w:val="20"/>
          <w:lang w:val="es-ES_tradnl"/>
        </w:rPr>
        <w:t>2001</w:t>
      </w:r>
      <w:r w:rsidRPr="00A819DD">
        <w:rPr>
          <w:rFonts w:asciiTheme="majorHAnsi" w:hAnsiTheme="majorHAnsi"/>
          <w:sz w:val="20"/>
          <w:szCs w:val="20"/>
          <w:lang w:val="es-ES_tradnl"/>
        </w:rPr>
        <w:t xml:space="preserve">, y aunque en el curso de los siguientes </w:t>
      </w:r>
      <w:r w:rsidR="004177C4" w:rsidRPr="00A819DD">
        <w:rPr>
          <w:rFonts w:asciiTheme="majorHAnsi" w:hAnsiTheme="majorHAnsi"/>
          <w:sz w:val="20"/>
          <w:szCs w:val="20"/>
          <w:lang w:val="es-ES_tradnl"/>
        </w:rPr>
        <w:t xml:space="preserve">veinte </w:t>
      </w:r>
      <w:r w:rsidRPr="00A819DD">
        <w:rPr>
          <w:rFonts w:asciiTheme="majorHAnsi" w:hAnsiTheme="majorHAnsi"/>
          <w:sz w:val="20"/>
          <w:szCs w:val="20"/>
          <w:lang w:val="es-ES_tradnl"/>
        </w:rPr>
        <w:t>años las autoridades investigativas han realizado múltiples actuaciones de tipo probatorio</w:t>
      </w:r>
      <w:r w:rsidR="004177C4" w:rsidRPr="00A819DD">
        <w:rPr>
          <w:rFonts w:asciiTheme="majorHAnsi" w:hAnsiTheme="majorHAnsi"/>
          <w:sz w:val="20"/>
          <w:szCs w:val="20"/>
          <w:lang w:val="es-ES_tradnl"/>
        </w:rPr>
        <w:t xml:space="preserve"> </w:t>
      </w:r>
      <w:r w:rsidR="002474B7" w:rsidRPr="00A819DD">
        <w:rPr>
          <w:rFonts w:asciiTheme="majorHAnsi" w:hAnsiTheme="majorHAnsi"/>
          <w:sz w:val="20"/>
          <w:szCs w:val="20"/>
          <w:lang w:val="es-ES_tradnl"/>
        </w:rPr>
        <w:t>–</w:t>
      </w:r>
      <w:r w:rsidR="004177C4" w:rsidRPr="00A819DD">
        <w:rPr>
          <w:rFonts w:asciiTheme="majorHAnsi" w:hAnsiTheme="majorHAnsi"/>
          <w:sz w:val="20"/>
          <w:szCs w:val="20"/>
          <w:lang w:val="es-ES_tradnl"/>
        </w:rPr>
        <w:lastRenderedPageBreak/>
        <w:t>que están descritas en las presentaciones de ambas partes al presente procedimiento</w:t>
      </w:r>
      <w:r w:rsidR="002474B7" w:rsidRPr="00A819DD">
        <w:rPr>
          <w:rFonts w:asciiTheme="majorHAnsi" w:hAnsiTheme="majorHAnsi"/>
          <w:sz w:val="20"/>
          <w:szCs w:val="20"/>
          <w:lang w:val="es-ES_tradnl"/>
        </w:rPr>
        <w:t>–</w:t>
      </w:r>
      <w:r w:rsidRPr="00A819DD">
        <w:rPr>
          <w:rFonts w:asciiTheme="majorHAnsi" w:hAnsiTheme="majorHAnsi"/>
          <w:sz w:val="20"/>
          <w:szCs w:val="20"/>
          <w:lang w:val="es-ES_tradnl"/>
        </w:rPr>
        <w:t>, lo cierto es que tra</w:t>
      </w:r>
      <w:r w:rsidR="004177C4" w:rsidRPr="00A819DD">
        <w:rPr>
          <w:rFonts w:asciiTheme="majorHAnsi" w:hAnsiTheme="majorHAnsi"/>
          <w:sz w:val="20"/>
          <w:szCs w:val="20"/>
          <w:lang w:val="es-ES_tradnl"/>
        </w:rPr>
        <w:t xml:space="preserve">nscurridas dos </w:t>
      </w:r>
      <w:r w:rsidRPr="00A819DD">
        <w:rPr>
          <w:rFonts w:asciiTheme="majorHAnsi" w:hAnsiTheme="majorHAnsi"/>
          <w:sz w:val="20"/>
          <w:szCs w:val="20"/>
          <w:lang w:val="es-ES_tradnl"/>
        </w:rPr>
        <w:t xml:space="preserve">décadas, aún no ha sido posible identificar, juzgar y sancionar a todos los responsables del homicidio del señor </w:t>
      </w:r>
      <w:r w:rsidR="00532667" w:rsidRPr="00A819DD">
        <w:rPr>
          <w:rFonts w:asciiTheme="majorHAnsi" w:hAnsiTheme="majorHAnsi"/>
          <w:sz w:val="20"/>
          <w:szCs w:val="20"/>
          <w:lang w:val="es-ES_tradnl"/>
        </w:rPr>
        <w:t>Oscar Darío Soto</w:t>
      </w:r>
      <w:r w:rsidRPr="00A819DD">
        <w:rPr>
          <w:rFonts w:asciiTheme="majorHAnsi" w:hAnsiTheme="majorHAnsi"/>
          <w:sz w:val="20"/>
          <w:szCs w:val="20"/>
          <w:lang w:val="es-ES_tradnl"/>
        </w:rPr>
        <w:t xml:space="preserve">. La CIDH toma </w:t>
      </w:r>
      <w:r w:rsidR="00071A91" w:rsidRPr="00A819DD">
        <w:rPr>
          <w:rFonts w:asciiTheme="majorHAnsi" w:hAnsiTheme="majorHAnsi"/>
          <w:sz w:val="20"/>
          <w:szCs w:val="20"/>
          <w:lang w:val="es-ES_tradnl"/>
        </w:rPr>
        <w:t xml:space="preserve">atenta </w:t>
      </w:r>
      <w:r w:rsidRPr="00A819DD">
        <w:rPr>
          <w:rFonts w:asciiTheme="majorHAnsi" w:hAnsiTheme="majorHAnsi"/>
          <w:sz w:val="20"/>
          <w:szCs w:val="20"/>
          <w:lang w:val="es-ES_tradnl"/>
        </w:rPr>
        <w:t xml:space="preserve">nota de la adopción de una </w:t>
      </w:r>
      <w:r w:rsidR="00532667" w:rsidRPr="00A819DD">
        <w:rPr>
          <w:rFonts w:asciiTheme="majorHAnsi" w:hAnsiTheme="majorHAnsi"/>
          <w:sz w:val="20"/>
          <w:szCs w:val="20"/>
          <w:lang w:val="es-ES_tradnl"/>
        </w:rPr>
        <w:t xml:space="preserve">sentencia anticipada en contra del paramilitar alias “Jawi”, así como de la imposición de medida de aseguramiento contra dos paramilitares más ante el sistema de “Justicia y Paz”, y de la imputación de responsabilidad por el crimen al máximo comandante de las AUC en Colombia. Estos son desarrollos significativos que habrán de ser valorados en la etapa de fondo del presente procedimiento. </w:t>
      </w:r>
      <w:r w:rsidRPr="00A819DD">
        <w:rPr>
          <w:rFonts w:asciiTheme="majorHAnsi" w:hAnsiTheme="majorHAnsi"/>
          <w:sz w:val="20"/>
          <w:szCs w:val="20"/>
          <w:lang w:val="es-ES_tradnl"/>
        </w:rPr>
        <w:t xml:space="preserve">También toma nota </w:t>
      </w:r>
      <w:r w:rsidR="00532667" w:rsidRPr="00A819DD">
        <w:rPr>
          <w:rFonts w:asciiTheme="majorHAnsi" w:hAnsiTheme="majorHAnsi"/>
          <w:sz w:val="20"/>
          <w:szCs w:val="20"/>
          <w:lang w:val="es-ES_tradnl"/>
        </w:rPr>
        <w:t xml:space="preserve">la CIDH </w:t>
      </w:r>
      <w:r w:rsidRPr="00A819DD">
        <w:rPr>
          <w:rFonts w:asciiTheme="majorHAnsi" w:hAnsiTheme="majorHAnsi"/>
          <w:sz w:val="20"/>
          <w:szCs w:val="20"/>
          <w:lang w:val="es-ES_tradnl"/>
        </w:rPr>
        <w:t xml:space="preserve">de la continuidad en las actividades de recaudo probatorio por parte de la Fiscalía </w:t>
      </w:r>
      <w:r w:rsidR="00532667" w:rsidRPr="00A819DD">
        <w:rPr>
          <w:rFonts w:asciiTheme="majorHAnsi" w:hAnsiTheme="majorHAnsi"/>
          <w:sz w:val="20"/>
          <w:szCs w:val="20"/>
          <w:lang w:val="es-ES_tradnl"/>
        </w:rPr>
        <w:t xml:space="preserve">y del sistema de “Justicia y Paz” </w:t>
      </w:r>
      <w:r w:rsidRPr="00A819DD">
        <w:rPr>
          <w:rFonts w:asciiTheme="majorHAnsi" w:hAnsiTheme="majorHAnsi"/>
          <w:sz w:val="20"/>
          <w:szCs w:val="20"/>
          <w:lang w:val="es-ES_tradnl"/>
        </w:rPr>
        <w:t>hasta el 201</w:t>
      </w:r>
      <w:r w:rsidR="00532667" w:rsidRPr="00A819DD">
        <w:rPr>
          <w:rFonts w:asciiTheme="majorHAnsi" w:hAnsiTheme="majorHAnsi"/>
          <w:sz w:val="20"/>
          <w:szCs w:val="20"/>
          <w:lang w:val="es-ES_tradnl"/>
        </w:rPr>
        <w:t>8</w:t>
      </w:r>
      <w:r w:rsidRPr="00A819DD">
        <w:rPr>
          <w:rFonts w:asciiTheme="majorHAnsi" w:hAnsiTheme="majorHAnsi"/>
          <w:sz w:val="20"/>
          <w:szCs w:val="20"/>
          <w:lang w:val="es-ES_tradnl"/>
        </w:rPr>
        <w:t>, descritas por el Estado</w:t>
      </w:r>
      <w:r w:rsidR="00532667" w:rsidRPr="00A819DD">
        <w:rPr>
          <w:rFonts w:asciiTheme="majorHAnsi" w:hAnsiTheme="majorHAnsi"/>
          <w:sz w:val="20"/>
          <w:szCs w:val="20"/>
          <w:lang w:val="es-ES_tradnl"/>
        </w:rPr>
        <w:t xml:space="preserve"> y también por los peticionarios</w:t>
      </w:r>
      <w:r w:rsidRPr="00A819DD">
        <w:rPr>
          <w:rFonts w:asciiTheme="majorHAnsi" w:hAnsiTheme="majorHAnsi"/>
          <w:sz w:val="20"/>
          <w:szCs w:val="20"/>
          <w:lang w:val="es-ES_tradnl"/>
        </w:rPr>
        <w:t xml:space="preserve">. </w:t>
      </w:r>
    </w:p>
    <w:p w14:paraId="656A2C1D" w14:textId="768329A1" w:rsidR="007357F0" w:rsidRPr="00A819DD" w:rsidRDefault="00D16751" w:rsidP="0053266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819DD">
        <w:rPr>
          <w:rFonts w:asciiTheme="majorHAnsi" w:hAnsiTheme="majorHAnsi"/>
          <w:sz w:val="20"/>
          <w:szCs w:val="20"/>
          <w:lang w:val="es-ES_tradnl"/>
        </w:rPr>
        <w:t>16.</w:t>
      </w:r>
      <w:r w:rsidRPr="00A819DD">
        <w:rPr>
          <w:rFonts w:asciiTheme="majorHAnsi" w:hAnsiTheme="majorHAnsi"/>
          <w:sz w:val="20"/>
          <w:szCs w:val="20"/>
          <w:lang w:val="es-ES_tradnl"/>
        </w:rPr>
        <w:tab/>
      </w:r>
      <w:r w:rsidR="007357F0" w:rsidRPr="00A819DD">
        <w:rPr>
          <w:rFonts w:asciiTheme="majorHAnsi" w:hAnsiTheme="majorHAnsi"/>
          <w:sz w:val="20"/>
          <w:szCs w:val="20"/>
          <w:lang w:val="es-ES_tradnl"/>
        </w:rPr>
        <w:t xml:space="preserve">Pese a </w:t>
      </w:r>
      <w:r w:rsidR="00532667" w:rsidRPr="00A819DD">
        <w:rPr>
          <w:rFonts w:asciiTheme="majorHAnsi" w:hAnsiTheme="majorHAnsi"/>
          <w:sz w:val="20"/>
          <w:szCs w:val="20"/>
          <w:lang w:val="es-ES_tradnl"/>
        </w:rPr>
        <w:t>estos avances</w:t>
      </w:r>
      <w:r w:rsidR="007357F0" w:rsidRPr="00A819DD">
        <w:rPr>
          <w:rFonts w:asciiTheme="majorHAnsi" w:hAnsiTheme="majorHAnsi"/>
          <w:sz w:val="20"/>
          <w:szCs w:val="20"/>
          <w:lang w:val="es-ES_tradnl"/>
        </w:rPr>
        <w:t xml:space="preserve">, </w:t>
      </w:r>
      <w:r w:rsidR="00532667" w:rsidRPr="00A819DD">
        <w:rPr>
          <w:rFonts w:asciiTheme="majorHAnsi" w:hAnsiTheme="majorHAnsi"/>
          <w:sz w:val="20"/>
          <w:szCs w:val="20"/>
          <w:lang w:val="es-ES_tradnl"/>
        </w:rPr>
        <w:t xml:space="preserve">más allá de la única sentencia condenatoria que se ha adoptado en relación con el crimen, </w:t>
      </w:r>
      <w:r w:rsidR="007357F0" w:rsidRPr="00A819DD">
        <w:rPr>
          <w:rFonts w:asciiTheme="majorHAnsi" w:hAnsiTheme="majorHAnsi"/>
          <w:sz w:val="20"/>
          <w:szCs w:val="20"/>
          <w:lang w:val="es-ES_tradnl"/>
        </w:rPr>
        <w:t xml:space="preserve">ninguno de los </w:t>
      </w:r>
      <w:r w:rsidR="00532667" w:rsidRPr="00A819DD">
        <w:rPr>
          <w:rFonts w:asciiTheme="majorHAnsi" w:hAnsiTheme="majorHAnsi"/>
          <w:sz w:val="20"/>
          <w:szCs w:val="20"/>
          <w:lang w:val="es-ES_tradnl"/>
        </w:rPr>
        <w:t xml:space="preserve">demás </w:t>
      </w:r>
      <w:r w:rsidR="007357F0" w:rsidRPr="00A819DD">
        <w:rPr>
          <w:rFonts w:asciiTheme="majorHAnsi" w:hAnsiTheme="majorHAnsi"/>
          <w:sz w:val="20"/>
          <w:szCs w:val="20"/>
          <w:lang w:val="es-ES_tradnl"/>
        </w:rPr>
        <w:t xml:space="preserve">presuntos responsables ha sido </w:t>
      </w:r>
      <w:r w:rsidR="00532667" w:rsidRPr="00A819DD">
        <w:rPr>
          <w:rFonts w:asciiTheme="majorHAnsi" w:hAnsiTheme="majorHAnsi"/>
          <w:sz w:val="20"/>
          <w:szCs w:val="20"/>
          <w:lang w:val="es-ES_tradnl"/>
        </w:rPr>
        <w:t>juzgado o sancionado</w:t>
      </w:r>
      <w:r w:rsidR="007357F0" w:rsidRPr="00A819DD">
        <w:rPr>
          <w:rFonts w:asciiTheme="majorHAnsi" w:hAnsiTheme="majorHAnsi"/>
          <w:sz w:val="20"/>
          <w:szCs w:val="20"/>
          <w:lang w:val="es-ES_tradnl"/>
        </w:rPr>
        <w:t>, como tampoco se han investigado en forma exhaustiva o concluyente los graves señalamientos realizad</w:t>
      </w:r>
      <w:r w:rsidR="00071A91" w:rsidRPr="00A819DD">
        <w:rPr>
          <w:rFonts w:asciiTheme="majorHAnsi" w:hAnsiTheme="majorHAnsi"/>
          <w:sz w:val="20"/>
          <w:szCs w:val="20"/>
          <w:lang w:val="es-ES_tradnl"/>
        </w:rPr>
        <w:t>o</w:t>
      </w:r>
      <w:r w:rsidR="007357F0" w:rsidRPr="00A819DD">
        <w:rPr>
          <w:rFonts w:asciiTheme="majorHAnsi" w:hAnsiTheme="majorHAnsi"/>
          <w:sz w:val="20"/>
          <w:szCs w:val="20"/>
          <w:lang w:val="es-ES_tradnl"/>
        </w:rPr>
        <w:t>s por las víctimas y sus representantes sobre posible participación de agentes del</w:t>
      </w:r>
      <w:r w:rsidR="00532667" w:rsidRPr="00A819DD">
        <w:rPr>
          <w:rFonts w:asciiTheme="majorHAnsi" w:hAnsiTheme="majorHAnsi"/>
          <w:sz w:val="20"/>
          <w:szCs w:val="20"/>
          <w:lang w:val="es-ES_tradnl"/>
        </w:rPr>
        <w:t xml:space="preserve"> DAS </w:t>
      </w:r>
      <w:r w:rsidR="007357F0" w:rsidRPr="00A819DD">
        <w:rPr>
          <w:rFonts w:asciiTheme="majorHAnsi" w:hAnsiTheme="majorHAnsi"/>
          <w:sz w:val="20"/>
          <w:szCs w:val="20"/>
          <w:lang w:val="es-ES_tradnl"/>
        </w:rPr>
        <w:t xml:space="preserve">en el homicidio; a este respecto salta a la vista que no se ha vinculado al proceso en tanto sindicado a ningún </w:t>
      </w:r>
      <w:r w:rsidR="00532667" w:rsidRPr="00A819DD">
        <w:rPr>
          <w:rFonts w:asciiTheme="majorHAnsi" w:hAnsiTheme="majorHAnsi"/>
          <w:sz w:val="20"/>
          <w:szCs w:val="20"/>
          <w:lang w:val="es-ES_tradnl"/>
        </w:rPr>
        <w:t>agente estatal, sea de dicho organismo de seguridad o de la Fuerza Pública</w:t>
      </w:r>
      <w:r w:rsidR="00071A91" w:rsidRPr="00A819DD">
        <w:rPr>
          <w:rFonts w:asciiTheme="majorHAnsi" w:hAnsiTheme="majorHAnsi"/>
          <w:sz w:val="20"/>
          <w:szCs w:val="20"/>
          <w:lang w:val="es-ES_tradnl"/>
        </w:rPr>
        <w:t>, y que la investigación penal en la que se impuso una medida de aseguramiento a dos agentes estatales por su participación en el homicidio aparentemente cesó tras la revocatoria de dicha medida</w:t>
      </w:r>
      <w:r w:rsidRPr="00A819DD">
        <w:rPr>
          <w:rFonts w:asciiTheme="majorHAnsi" w:hAnsiTheme="majorHAnsi"/>
          <w:sz w:val="20"/>
          <w:szCs w:val="20"/>
          <w:lang w:val="es-ES_tradnl"/>
        </w:rPr>
        <w:t>,</w:t>
      </w:r>
      <w:r w:rsidR="00071A91" w:rsidRPr="00A819DD">
        <w:rPr>
          <w:rFonts w:asciiTheme="majorHAnsi" w:hAnsiTheme="majorHAnsi"/>
          <w:sz w:val="20"/>
          <w:szCs w:val="20"/>
          <w:lang w:val="es-ES_tradnl"/>
        </w:rPr>
        <w:t xml:space="preserve"> al haberse demostrado que las declaraciones en su contra provenían de testigos falsos</w:t>
      </w:r>
      <w:r w:rsidR="007357F0" w:rsidRPr="00A819DD">
        <w:rPr>
          <w:rFonts w:asciiTheme="majorHAnsi" w:hAnsiTheme="majorHAnsi"/>
          <w:sz w:val="20"/>
          <w:szCs w:val="20"/>
          <w:lang w:val="es-ES_tradnl"/>
        </w:rPr>
        <w:t>. Si bien estos asuntos deben ser dilucidados en detalle en la etapa de fondo del presente procedimiento, para los propósitos del examen de admisibilidad correspondiente a la etapa actual</w:t>
      </w:r>
      <w:r w:rsidR="00071A91" w:rsidRPr="00A819DD">
        <w:rPr>
          <w:rFonts w:asciiTheme="majorHAnsi" w:hAnsiTheme="majorHAnsi"/>
          <w:sz w:val="20"/>
          <w:szCs w:val="20"/>
          <w:lang w:val="es-ES_tradnl"/>
        </w:rPr>
        <w:t xml:space="preserve"> del procedimiento interamericano</w:t>
      </w:r>
      <w:r w:rsidR="007357F0" w:rsidRPr="00A819DD">
        <w:rPr>
          <w:rFonts w:asciiTheme="majorHAnsi" w:hAnsiTheme="majorHAnsi"/>
          <w:sz w:val="20"/>
          <w:szCs w:val="20"/>
          <w:lang w:val="es-ES_tradnl"/>
        </w:rPr>
        <w:t xml:space="preserve">, la Comisión considera que una tardanza de </w:t>
      </w:r>
      <w:r w:rsidR="00532667" w:rsidRPr="00A819DD">
        <w:rPr>
          <w:rFonts w:asciiTheme="majorHAnsi" w:hAnsiTheme="majorHAnsi"/>
          <w:sz w:val="20"/>
          <w:szCs w:val="20"/>
          <w:lang w:val="es-ES_tradnl"/>
        </w:rPr>
        <w:t xml:space="preserve">veinte </w:t>
      </w:r>
      <w:r w:rsidR="007357F0" w:rsidRPr="00A819DD">
        <w:rPr>
          <w:rFonts w:asciiTheme="majorHAnsi" w:hAnsiTheme="majorHAnsi"/>
          <w:sz w:val="20"/>
          <w:szCs w:val="20"/>
          <w:lang w:val="es-ES_tradnl"/>
        </w:rPr>
        <w:t xml:space="preserve">años en la identificación, juzgamiento y sanción de </w:t>
      </w:r>
      <w:r w:rsidR="00532667" w:rsidRPr="00A819DD">
        <w:rPr>
          <w:rFonts w:asciiTheme="majorHAnsi" w:hAnsiTheme="majorHAnsi"/>
          <w:sz w:val="20"/>
          <w:szCs w:val="20"/>
          <w:lang w:val="es-ES_tradnl"/>
        </w:rPr>
        <w:t xml:space="preserve">todos </w:t>
      </w:r>
      <w:r w:rsidR="007357F0" w:rsidRPr="00A819DD">
        <w:rPr>
          <w:rFonts w:asciiTheme="majorHAnsi" w:hAnsiTheme="majorHAnsi"/>
          <w:sz w:val="20"/>
          <w:szCs w:val="20"/>
          <w:lang w:val="es-ES_tradnl"/>
        </w:rPr>
        <w:t>los responsables del asesinato configura la excepción de retraso injustificado en la resolución de los recursos domésticos, prevista en el artículo 46.2.c) de la Convención.</w:t>
      </w:r>
    </w:p>
    <w:p w14:paraId="20E108FD" w14:textId="152877B1" w:rsidR="0030697A" w:rsidRPr="00A819DD" w:rsidRDefault="0030697A" w:rsidP="00DD51F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eastAsia="es-CO"/>
        </w:rPr>
      </w:pPr>
      <w:r w:rsidRPr="00A819DD">
        <w:rPr>
          <w:rFonts w:asciiTheme="majorHAnsi" w:hAnsiTheme="majorHAnsi"/>
          <w:sz w:val="20"/>
          <w:szCs w:val="20"/>
          <w:lang w:val="es-ES_tradnl" w:eastAsia="es-CO"/>
        </w:rPr>
        <w:tab/>
        <w:t xml:space="preserve">17. </w:t>
      </w:r>
      <w:r w:rsidRPr="00A819DD">
        <w:rPr>
          <w:rFonts w:asciiTheme="majorHAnsi" w:hAnsiTheme="majorHAnsi"/>
          <w:sz w:val="20"/>
          <w:szCs w:val="20"/>
          <w:lang w:val="es-ES_tradnl" w:eastAsia="es-CO"/>
        </w:rPr>
        <w:tab/>
        <w:t>Además, teniendo en cuenta que el homicidio del señor Soto se cometió en junio de 2001</w:t>
      </w:r>
      <w:r w:rsidR="00DD51F0" w:rsidRPr="00A819DD">
        <w:rPr>
          <w:rFonts w:asciiTheme="majorHAnsi" w:hAnsiTheme="majorHAnsi"/>
          <w:sz w:val="20"/>
          <w:szCs w:val="20"/>
          <w:lang w:val="es-ES_tradnl" w:eastAsia="es-CO"/>
        </w:rPr>
        <w:t>;</w:t>
      </w:r>
      <w:r w:rsidRPr="00A819DD">
        <w:rPr>
          <w:rFonts w:asciiTheme="majorHAnsi" w:hAnsiTheme="majorHAnsi"/>
          <w:sz w:val="20"/>
          <w:szCs w:val="20"/>
          <w:lang w:val="es-ES_tradnl" w:eastAsia="es-CO"/>
        </w:rPr>
        <w:t xml:space="preserve"> que desde entonces las labores investigativas de la Fiscalía General de la Nación y del sistema de “Justicia y Paz” han sido significativas</w:t>
      </w:r>
      <w:r w:rsidR="00DD51F0" w:rsidRPr="00A819DD">
        <w:rPr>
          <w:rFonts w:asciiTheme="majorHAnsi" w:hAnsiTheme="majorHAnsi"/>
          <w:sz w:val="20"/>
          <w:szCs w:val="20"/>
          <w:lang w:val="es-ES_tradnl" w:eastAsia="es-CO"/>
        </w:rPr>
        <w:t>,</w:t>
      </w:r>
      <w:r w:rsidRPr="00A819DD">
        <w:rPr>
          <w:rFonts w:asciiTheme="majorHAnsi" w:hAnsiTheme="majorHAnsi"/>
          <w:sz w:val="20"/>
          <w:szCs w:val="20"/>
          <w:lang w:val="es-ES_tradnl" w:eastAsia="es-CO"/>
        </w:rPr>
        <w:t xml:space="preserve"> pero </w:t>
      </w:r>
      <w:r w:rsidR="00DD51F0" w:rsidRPr="00A819DD">
        <w:rPr>
          <w:rFonts w:asciiTheme="majorHAnsi" w:hAnsiTheme="majorHAnsi"/>
          <w:i/>
          <w:iCs/>
          <w:sz w:val="20"/>
          <w:szCs w:val="20"/>
          <w:lang w:val="es-ES_tradnl" w:eastAsia="es-CO"/>
        </w:rPr>
        <w:t>prima facie</w:t>
      </w:r>
      <w:r w:rsidR="00DD51F0" w:rsidRPr="00A819DD">
        <w:rPr>
          <w:rFonts w:asciiTheme="majorHAnsi" w:hAnsiTheme="majorHAnsi"/>
          <w:sz w:val="20"/>
          <w:szCs w:val="20"/>
          <w:lang w:val="es-ES_tradnl" w:eastAsia="es-CO"/>
        </w:rPr>
        <w:t xml:space="preserve"> insuficientes</w:t>
      </w:r>
      <w:r w:rsidRPr="00A819DD">
        <w:rPr>
          <w:rFonts w:asciiTheme="majorHAnsi" w:hAnsiTheme="majorHAnsi"/>
          <w:sz w:val="20"/>
          <w:szCs w:val="20"/>
          <w:lang w:val="es-ES_tradnl" w:eastAsia="es-CO"/>
        </w:rPr>
        <w:t xml:space="preserve"> para lograr la judicialización y sanción de todos los presuntos responsables</w:t>
      </w:r>
      <w:r w:rsidR="00DD51F0" w:rsidRPr="00A819DD">
        <w:rPr>
          <w:rFonts w:asciiTheme="majorHAnsi" w:hAnsiTheme="majorHAnsi"/>
          <w:sz w:val="20"/>
          <w:szCs w:val="20"/>
          <w:lang w:val="es-ES_tradnl" w:eastAsia="es-CO"/>
        </w:rPr>
        <w:t>;</w:t>
      </w:r>
      <w:r w:rsidRPr="00A819DD">
        <w:rPr>
          <w:rFonts w:asciiTheme="majorHAnsi" w:hAnsiTheme="majorHAnsi"/>
          <w:sz w:val="20"/>
          <w:szCs w:val="20"/>
          <w:lang w:val="es-ES_tradnl" w:eastAsia="es-CO"/>
        </w:rPr>
        <w:t xml:space="preserve"> que los efectos del crimen y de la impunidad que lo rodea se perpetúan hasta el día de hoy</w:t>
      </w:r>
      <w:r w:rsidR="00DD51F0" w:rsidRPr="00A819DD">
        <w:rPr>
          <w:rFonts w:asciiTheme="majorHAnsi" w:hAnsiTheme="majorHAnsi"/>
          <w:sz w:val="20"/>
          <w:szCs w:val="20"/>
          <w:lang w:val="es-ES_tradnl" w:eastAsia="es-CO"/>
        </w:rPr>
        <w:t>;</w:t>
      </w:r>
      <w:r w:rsidRPr="00A819DD">
        <w:rPr>
          <w:rFonts w:asciiTheme="majorHAnsi" w:hAnsiTheme="majorHAnsi"/>
          <w:sz w:val="20"/>
          <w:szCs w:val="20"/>
          <w:lang w:val="es-ES_tradnl" w:eastAsia="es-CO"/>
        </w:rPr>
        <w:t xml:space="preserve"> y que la petición fue recibida en abril de 2013 en la Secretaría Ejecutiva de la CIDH, la Comisión concluye que la petición fue presentada en un tiempo razonable, a la luz del artículo 32.2 </w:t>
      </w:r>
      <w:r w:rsidR="00DD51F0" w:rsidRPr="00A819DD">
        <w:rPr>
          <w:rFonts w:asciiTheme="majorHAnsi" w:hAnsiTheme="majorHAnsi"/>
          <w:sz w:val="20"/>
          <w:szCs w:val="20"/>
          <w:lang w:val="es-ES_tradnl" w:eastAsia="es-CO"/>
        </w:rPr>
        <w:t>de su</w:t>
      </w:r>
      <w:r w:rsidRPr="00A819DD">
        <w:rPr>
          <w:rFonts w:asciiTheme="majorHAnsi" w:hAnsiTheme="majorHAnsi"/>
          <w:sz w:val="20"/>
          <w:szCs w:val="20"/>
          <w:lang w:val="es-ES_tradnl" w:eastAsia="es-CO"/>
        </w:rPr>
        <w:t xml:space="preserve"> Reglamento.</w:t>
      </w:r>
    </w:p>
    <w:p w14:paraId="352B52B7" w14:textId="0321735F" w:rsidR="007357F0" w:rsidRPr="00A819DD" w:rsidRDefault="007357F0" w:rsidP="00D16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_tradnl"/>
        </w:rPr>
      </w:pPr>
      <w:r w:rsidRPr="00A819DD">
        <w:rPr>
          <w:rFonts w:asciiTheme="majorHAnsi" w:hAnsiTheme="majorHAnsi"/>
          <w:sz w:val="20"/>
          <w:szCs w:val="20"/>
          <w:lang w:val="es-ES_tradnl"/>
        </w:rPr>
        <w:t>1</w:t>
      </w:r>
      <w:r w:rsidR="00DD51F0" w:rsidRPr="00A819DD">
        <w:rPr>
          <w:rFonts w:asciiTheme="majorHAnsi" w:hAnsiTheme="majorHAnsi"/>
          <w:sz w:val="20"/>
          <w:szCs w:val="20"/>
          <w:lang w:val="es-ES_tradnl"/>
        </w:rPr>
        <w:t>8</w:t>
      </w:r>
      <w:r w:rsidRPr="00A819DD">
        <w:rPr>
          <w:rFonts w:asciiTheme="majorHAnsi" w:hAnsiTheme="majorHAnsi"/>
          <w:sz w:val="20"/>
          <w:szCs w:val="20"/>
          <w:lang w:val="es-ES_tradnl"/>
        </w:rPr>
        <w:t xml:space="preserve">. </w:t>
      </w:r>
      <w:r w:rsidR="00D16751" w:rsidRPr="00A819DD">
        <w:rPr>
          <w:rFonts w:asciiTheme="majorHAnsi" w:hAnsiTheme="majorHAnsi"/>
          <w:sz w:val="20"/>
          <w:szCs w:val="20"/>
          <w:lang w:val="es-ES_tradnl"/>
        </w:rPr>
        <w:tab/>
      </w:r>
      <w:r w:rsidR="00DD51F0" w:rsidRPr="00A819DD">
        <w:rPr>
          <w:rFonts w:asciiTheme="majorHAnsi" w:hAnsiTheme="majorHAnsi"/>
          <w:sz w:val="20"/>
          <w:szCs w:val="20"/>
          <w:lang w:val="es-ES_tradnl"/>
        </w:rPr>
        <w:t>En relación con lo anterior, es pertinente recordar que e</w:t>
      </w:r>
      <w:r w:rsidRPr="00A819DD">
        <w:rPr>
          <w:rFonts w:asciiTheme="majorHAnsi" w:hAnsiTheme="majorHAnsi"/>
          <w:sz w:val="20"/>
          <w:szCs w:val="20"/>
          <w:lang w:val="es-ES_tradnl"/>
        </w:rPr>
        <w:t>l artículo 46.2</w:t>
      </w:r>
      <w:r w:rsidR="0030697A" w:rsidRPr="00A819DD">
        <w:rPr>
          <w:rFonts w:asciiTheme="majorHAnsi" w:hAnsiTheme="majorHAnsi"/>
          <w:sz w:val="20"/>
          <w:szCs w:val="20"/>
          <w:lang w:val="es-ES_tradnl"/>
        </w:rPr>
        <w:t xml:space="preserve"> de la Convención Americana</w:t>
      </w:r>
      <w:r w:rsidRPr="00A819DD">
        <w:rPr>
          <w:rFonts w:asciiTheme="majorHAnsi" w:hAnsiTheme="majorHAnsi"/>
          <w:sz w:val="20"/>
          <w:szCs w:val="20"/>
          <w:lang w:val="es-ES_tradnl"/>
        </w:rPr>
        <w:t xml:space="preserve">, por su naturaleza y objeto, es una norma con contenido autónomo frente a las normas sustantivas de la Convención Americana. Por lo tanto, la determinación de si las excepciones a la regla de agotamiento de los recursos internos resultan aplicables al caso en cuestión debe llevarse a cabo de manera previa y separada del análisis del fondo del asunto, ya que depende de un estándar de apreciación distinto de aquél utilizado para determinar la posible violación de los artículos 8 y 25 de la Convención. </w:t>
      </w:r>
    </w:p>
    <w:p w14:paraId="5A110BD3" w14:textId="684971F4" w:rsidR="007357F0" w:rsidRPr="00A819DD" w:rsidRDefault="007357F0" w:rsidP="007357F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_tradnl"/>
        </w:rPr>
      </w:pPr>
      <w:r w:rsidRPr="00A819DD">
        <w:rPr>
          <w:rFonts w:asciiTheme="majorHAnsi" w:hAnsiTheme="majorHAnsi"/>
          <w:sz w:val="20"/>
          <w:szCs w:val="20"/>
          <w:lang w:val="es-ES_tradnl"/>
        </w:rPr>
        <w:t>1</w:t>
      </w:r>
      <w:r w:rsidR="00DD51F0" w:rsidRPr="00A819DD">
        <w:rPr>
          <w:rFonts w:asciiTheme="majorHAnsi" w:hAnsiTheme="majorHAnsi"/>
          <w:sz w:val="20"/>
          <w:szCs w:val="20"/>
          <w:lang w:val="es-ES_tradnl"/>
        </w:rPr>
        <w:t>9</w:t>
      </w:r>
      <w:r w:rsidRPr="00A819DD">
        <w:rPr>
          <w:rFonts w:asciiTheme="majorHAnsi" w:hAnsiTheme="majorHAnsi"/>
          <w:sz w:val="20"/>
          <w:szCs w:val="20"/>
          <w:lang w:val="es-ES_tradnl"/>
        </w:rPr>
        <w:t xml:space="preserve">. </w:t>
      </w:r>
      <w:r w:rsidR="0030697A" w:rsidRPr="00A819DD">
        <w:rPr>
          <w:rFonts w:asciiTheme="majorHAnsi" w:hAnsiTheme="majorHAnsi"/>
          <w:sz w:val="20"/>
          <w:szCs w:val="20"/>
          <w:lang w:val="es-ES_tradnl"/>
        </w:rPr>
        <w:tab/>
      </w:r>
      <w:r w:rsidRPr="00A819DD">
        <w:rPr>
          <w:rFonts w:asciiTheme="majorHAnsi" w:hAnsiTheme="majorHAnsi"/>
          <w:sz w:val="20"/>
          <w:szCs w:val="20"/>
          <w:lang w:val="es-ES_tradnl"/>
        </w:rPr>
        <w:t>Está igualmente consolidada la postura de la CIDH según la cual la vía judicial de la responsabilidad administrativa</w:t>
      </w:r>
      <w:r w:rsidR="0030697A" w:rsidRPr="00A819DD">
        <w:rPr>
          <w:rFonts w:asciiTheme="majorHAnsi" w:hAnsiTheme="majorHAnsi"/>
          <w:sz w:val="20"/>
          <w:szCs w:val="20"/>
          <w:lang w:val="es-ES_tradnl"/>
        </w:rPr>
        <w:t>,</w:t>
      </w:r>
      <w:r w:rsidRPr="00A819DD">
        <w:rPr>
          <w:rFonts w:asciiTheme="majorHAnsi" w:hAnsiTheme="majorHAnsi"/>
          <w:sz w:val="20"/>
          <w:szCs w:val="20"/>
          <w:lang w:val="es-ES_tradnl"/>
        </w:rPr>
        <w:t xml:space="preserve"> por ejemplo a través de la acción contencioso-administrativa de reparación directa en Colombia, o la de la responsabilidad civil, no son recursos judiciales idóneos para ventilar estos reclamos, puesto que la privación de la vida humana es ante todo un crimen, frente al cual se debe hacer justicia por parte del sistema penal nacional</w:t>
      </w:r>
      <w:r w:rsidRPr="00A819DD">
        <w:rPr>
          <w:rStyle w:val="FootnoteReference"/>
          <w:rFonts w:asciiTheme="majorHAnsi" w:hAnsiTheme="majorHAnsi"/>
          <w:sz w:val="20"/>
          <w:szCs w:val="20"/>
          <w:lang w:val="es-ES_tradnl"/>
        </w:rPr>
        <w:footnoteReference w:id="8"/>
      </w:r>
      <w:r w:rsidR="0030697A" w:rsidRPr="00A819DD">
        <w:rPr>
          <w:rFonts w:asciiTheme="majorHAnsi" w:hAnsiTheme="majorHAnsi"/>
          <w:sz w:val="20"/>
          <w:szCs w:val="20"/>
          <w:lang w:val="es-ES_tradnl"/>
        </w:rPr>
        <w:t>.</w:t>
      </w:r>
      <w:r w:rsidRPr="00A819DD">
        <w:rPr>
          <w:rFonts w:asciiTheme="majorHAnsi" w:hAnsiTheme="majorHAnsi"/>
          <w:sz w:val="20"/>
          <w:szCs w:val="20"/>
          <w:lang w:val="es-ES_tradnl" w:eastAsia="es-CO"/>
        </w:rPr>
        <w:t xml:space="preserve"> En esa medida, los argumentos del Estado referentes a la falta de agotamiento</w:t>
      </w:r>
      <w:r w:rsidR="0030697A" w:rsidRPr="00A819DD">
        <w:rPr>
          <w:rFonts w:asciiTheme="majorHAnsi" w:hAnsiTheme="majorHAnsi"/>
          <w:sz w:val="20"/>
          <w:szCs w:val="20"/>
          <w:lang w:val="es-ES_tradnl" w:eastAsia="es-CO"/>
        </w:rPr>
        <w:t xml:space="preserve"> de los recursos internos relativos a </w:t>
      </w:r>
      <w:r w:rsidRPr="00A819DD">
        <w:rPr>
          <w:rFonts w:asciiTheme="majorHAnsi" w:hAnsiTheme="majorHAnsi"/>
          <w:sz w:val="20"/>
          <w:szCs w:val="20"/>
          <w:lang w:val="es-ES_tradnl" w:eastAsia="es-CO"/>
        </w:rPr>
        <w:t xml:space="preserve">la vía de la acción de reparación directa </w:t>
      </w:r>
      <w:r w:rsidR="0030697A" w:rsidRPr="00A819DD">
        <w:rPr>
          <w:rFonts w:asciiTheme="majorHAnsi" w:hAnsiTheme="majorHAnsi"/>
          <w:sz w:val="20"/>
          <w:szCs w:val="20"/>
          <w:lang w:val="es-ES_tradnl" w:eastAsia="es-CO"/>
        </w:rPr>
        <w:t xml:space="preserve">no constituyen óbice para que la CIDH considere cumplido este requisito respecto del objeto fundamental de la presente petición. </w:t>
      </w:r>
    </w:p>
    <w:p w14:paraId="5BEFB3A9" w14:textId="77777777" w:rsidR="003239B8" w:rsidRPr="00A819DD" w:rsidRDefault="003239B8" w:rsidP="003239B8">
      <w:pPr>
        <w:pStyle w:val="ListParagraph"/>
        <w:spacing w:before="240" w:after="240"/>
        <w:jc w:val="both"/>
        <w:rPr>
          <w:rFonts w:asciiTheme="majorHAnsi" w:hAnsiTheme="majorHAnsi"/>
          <w:b/>
          <w:sz w:val="20"/>
          <w:szCs w:val="20"/>
          <w:lang w:val="es-ES_tradnl"/>
        </w:rPr>
      </w:pPr>
      <w:r w:rsidRPr="00A819DD">
        <w:rPr>
          <w:rFonts w:asciiTheme="majorHAnsi" w:hAnsiTheme="majorHAnsi"/>
          <w:b/>
          <w:bCs/>
          <w:sz w:val="20"/>
          <w:szCs w:val="20"/>
          <w:lang w:val="es-ES_tradnl"/>
        </w:rPr>
        <w:t>VII.</w:t>
      </w:r>
      <w:r w:rsidRPr="00A819DD">
        <w:rPr>
          <w:rFonts w:asciiTheme="majorHAnsi" w:hAnsiTheme="majorHAnsi"/>
          <w:b/>
          <w:bCs/>
          <w:sz w:val="20"/>
          <w:szCs w:val="20"/>
          <w:lang w:val="es-ES_tradnl"/>
        </w:rPr>
        <w:tab/>
      </w:r>
      <w:r w:rsidR="004A6A54" w:rsidRPr="00A819DD">
        <w:rPr>
          <w:rFonts w:asciiTheme="majorHAnsi" w:hAnsiTheme="majorHAnsi"/>
          <w:b/>
          <w:bCs/>
          <w:sz w:val="20"/>
          <w:szCs w:val="20"/>
          <w:lang w:val="es-ES_tradnl"/>
        </w:rPr>
        <w:t xml:space="preserve">ANÁLISIS DE </w:t>
      </w:r>
      <w:r w:rsidR="00C21FEF" w:rsidRPr="00A819DD">
        <w:rPr>
          <w:rFonts w:asciiTheme="majorHAnsi" w:hAnsiTheme="majorHAnsi"/>
          <w:b/>
          <w:bCs/>
          <w:sz w:val="20"/>
          <w:szCs w:val="20"/>
          <w:lang w:val="es-ES_tradnl"/>
        </w:rPr>
        <w:t>CARACTERIZACIÓN DE LOS HECHOS ALEGADOS</w:t>
      </w:r>
    </w:p>
    <w:p w14:paraId="4B618380" w14:textId="63C90658" w:rsidR="007357F0" w:rsidRPr="00A819DD" w:rsidRDefault="00DD51F0" w:rsidP="007357F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A819DD">
        <w:rPr>
          <w:rFonts w:asciiTheme="majorHAnsi" w:hAnsiTheme="majorHAnsi" w:cs="Calibri"/>
          <w:sz w:val="20"/>
          <w:szCs w:val="20"/>
          <w:lang w:val="es-ES_tradnl"/>
        </w:rPr>
        <w:t>20</w:t>
      </w:r>
      <w:r w:rsidR="007357F0" w:rsidRPr="00A819DD">
        <w:rPr>
          <w:rFonts w:asciiTheme="majorHAnsi" w:hAnsiTheme="majorHAnsi" w:cs="Calibri"/>
          <w:sz w:val="20"/>
          <w:szCs w:val="20"/>
          <w:lang w:val="es-ES_tradnl"/>
        </w:rPr>
        <w:t xml:space="preserve">. </w:t>
      </w:r>
      <w:r w:rsidRPr="00A819DD">
        <w:rPr>
          <w:rFonts w:asciiTheme="majorHAnsi" w:hAnsiTheme="majorHAnsi" w:cs="Calibri"/>
          <w:sz w:val="20"/>
          <w:szCs w:val="20"/>
          <w:lang w:val="es-ES_tradnl"/>
        </w:rPr>
        <w:tab/>
      </w:r>
      <w:r w:rsidR="007357F0" w:rsidRPr="00A819DD">
        <w:rPr>
          <w:rFonts w:asciiTheme="majorHAnsi" w:hAnsiTheme="majorHAnsi" w:cs="Calibri"/>
          <w:sz w:val="20"/>
          <w:szCs w:val="20"/>
          <w:lang w:val="es-ES_tradnl"/>
        </w:rPr>
        <w:t xml:space="preserve">La CIDH observa que los peticionarios han expuesto con claridad las razones por las que consideran que se pudo haber violado, en este caso, los diversos derechos humanos que se invocaron como vulnerados en la denuncia, razones que se reseñaron en el párrafo </w:t>
      </w:r>
      <w:r w:rsidR="00532667" w:rsidRPr="00A819DD">
        <w:rPr>
          <w:rFonts w:asciiTheme="majorHAnsi" w:hAnsiTheme="majorHAnsi" w:cs="Calibri"/>
          <w:sz w:val="20"/>
          <w:szCs w:val="20"/>
          <w:lang w:val="es-ES_tradnl"/>
        </w:rPr>
        <w:t>9</w:t>
      </w:r>
      <w:r w:rsidR="007357F0" w:rsidRPr="00A819DD">
        <w:rPr>
          <w:rFonts w:asciiTheme="majorHAnsi" w:hAnsiTheme="majorHAnsi" w:cs="Calibri"/>
          <w:sz w:val="20"/>
          <w:szCs w:val="20"/>
          <w:lang w:val="es-ES_tradnl"/>
        </w:rPr>
        <w:t xml:space="preserve">, </w:t>
      </w:r>
      <w:r w:rsidR="007357F0" w:rsidRPr="00A819DD">
        <w:rPr>
          <w:rFonts w:asciiTheme="majorHAnsi" w:hAnsiTheme="majorHAnsi" w:cs="Calibri"/>
          <w:i/>
          <w:iCs/>
          <w:sz w:val="20"/>
          <w:szCs w:val="20"/>
          <w:lang w:val="es-ES_tradnl"/>
        </w:rPr>
        <w:t>supra</w:t>
      </w:r>
      <w:r w:rsidR="007357F0" w:rsidRPr="00A819DD">
        <w:rPr>
          <w:rFonts w:asciiTheme="majorHAnsi" w:hAnsiTheme="majorHAnsi" w:cs="Calibri"/>
          <w:sz w:val="20"/>
          <w:szCs w:val="20"/>
          <w:lang w:val="es-ES_tradnl"/>
        </w:rPr>
        <w:t xml:space="preserve">; cumpliendo así con el requisito procesal de caracterización de lesiones a la Convención Americana. A la luz del parámetro de análisis </w:t>
      </w:r>
      <w:r w:rsidR="007357F0" w:rsidRPr="00A819DD">
        <w:rPr>
          <w:rFonts w:asciiTheme="majorHAnsi" w:hAnsiTheme="majorHAnsi" w:cs="Calibri"/>
          <w:i/>
          <w:iCs/>
          <w:sz w:val="20"/>
          <w:szCs w:val="20"/>
          <w:lang w:val="es-ES_tradnl"/>
        </w:rPr>
        <w:t xml:space="preserve">prima </w:t>
      </w:r>
      <w:r w:rsidR="007357F0" w:rsidRPr="00A819DD">
        <w:rPr>
          <w:rFonts w:asciiTheme="majorHAnsi" w:hAnsiTheme="majorHAnsi" w:cs="Calibri"/>
          <w:i/>
          <w:iCs/>
          <w:sz w:val="20"/>
          <w:szCs w:val="20"/>
          <w:lang w:val="es-ES_tradnl"/>
        </w:rPr>
        <w:lastRenderedPageBreak/>
        <w:t>facie</w:t>
      </w:r>
      <w:r w:rsidR="007357F0" w:rsidRPr="00A819DD">
        <w:rPr>
          <w:rFonts w:asciiTheme="majorHAnsi" w:hAnsiTheme="majorHAnsi" w:cs="Calibri"/>
          <w:sz w:val="20"/>
          <w:szCs w:val="20"/>
          <w:lang w:val="es-ES_tradnl"/>
        </w:rPr>
        <w:t>, los argumentos planteados en la petición son suficientes para caracterizar en forma preliminar una posible violación de múltiples artículos de la Convención Americana, cuyos méritos fácticos, probatorios y jurídicos deben ser materia de un análisis cuidadoso en la etapa de fondo del presente procedimiento.</w:t>
      </w:r>
    </w:p>
    <w:p w14:paraId="4DEF017B" w14:textId="27EAC7F5" w:rsidR="00532667" w:rsidRPr="00A819DD" w:rsidRDefault="00DD51F0" w:rsidP="00C615D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sidRPr="00A819DD">
        <w:rPr>
          <w:rFonts w:asciiTheme="majorHAnsi" w:hAnsiTheme="majorHAnsi"/>
          <w:sz w:val="20"/>
          <w:szCs w:val="20"/>
          <w:lang w:val="es-ES_tradnl"/>
        </w:rPr>
        <w:t>21</w:t>
      </w:r>
      <w:r w:rsidR="007357F0" w:rsidRPr="00A819DD">
        <w:rPr>
          <w:rFonts w:asciiTheme="majorHAnsi" w:hAnsiTheme="majorHAnsi"/>
          <w:sz w:val="20"/>
          <w:szCs w:val="20"/>
          <w:lang w:val="es-ES_tradnl"/>
        </w:rPr>
        <w:t xml:space="preserve">. </w:t>
      </w:r>
      <w:r w:rsidRPr="00A819DD">
        <w:rPr>
          <w:rFonts w:asciiTheme="majorHAnsi" w:hAnsiTheme="majorHAnsi"/>
          <w:sz w:val="20"/>
          <w:szCs w:val="20"/>
          <w:lang w:val="es-ES_tradnl"/>
        </w:rPr>
        <w:tab/>
      </w:r>
      <w:r w:rsidR="007357F0" w:rsidRPr="00A819DD">
        <w:rPr>
          <w:rFonts w:asciiTheme="majorHAnsi" w:hAnsiTheme="majorHAnsi"/>
          <w:sz w:val="20"/>
          <w:szCs w:val="20"/>
          <w:lang w:val="es-ES_tradnl"/>
        </w:rPr>
        <w:t xml:space="preserve">En efecto, la Comisión recuerda que </w:t>
      </w:r>
      <w:r w:rsidR="007357F0" w:rsidRPr="00A819DD">
        <w:rPr>
          <w:rFonts w:asciiTheme="majorHAnsi" w:hAnsiTheme="majorHAnsi" w:cs="Calibri"/>
          <w:sz w:val="20"/>
          <w:szCs w:val="20"/>
          <w:lang w:val="es-ES_tradnl"/>
        </w:rPr>
        <w:t xml:space="preserve">el criterio de evaluación de la fase de admisibilidad difiere del que se utiliza para pronunciarse sobre el fondo de una petición; la Comisión debe realizar una evaluación </w:t>
      </w:r>
      <w:r w:rsidR="007357F0" w:rsidRPr="00A819DD">
        <w:rPr>
          <w:rFonts w:asciiTheme="majorHAnsi" w:hAnsiTheme="majorHAnsi" w:cs="Calibri"/>
          <w:i/>
          <w:iCs/>
          <w:sz w:val="20"/>
          <w:szCs w:val="20"/>
          <w:lang w:val="es-ES_tradnl"/>
        </w:rPr>
        <w:t>prima facie</w:t>
      </w:r>
      <w:r w:rsidR="007357F0" w:rsidRPr="00A819DD">
        <w:rPr>
          <w:rFonts w:asciiTheme="majorHAnsi" w:hAnsiTheme="majorHAnsi" w:cs="Calibri"/>
          <w:sz w:val="20"/>
          <w:szCs w:val="20"/>
          <w:lang w:val="es-ES_tradnl"/>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r w:rsidR="007357F0" w:rsidRPr="00A819DD">
        <w:rPr>
          <w:rStyle w:val="FootnoteReference"/>
          <w:rFonts w:asciiTheme="majorHAnsi" w:hAnsiTheme="majorHAnsi" w:cs="Calibri"/>
          <w:sz w:val="20"/>
          <w:szCs w:val="20"/>
          <w:lang w:val="es-ES_tradnl"/>
        </w:rPr>
        <w:footnoteReference w:id="9"/>
      </w:r>
      <w:r w:rsidR="007357F0" w:rsidRPr="00A819DD">
        <w:rPr>
          <w:rFonts w:asciiTheme="majorHAnsi" w:hAnsiTheme="majorHAnsi" w:cs="Calibri"/>
          <w:sz w:val="20"/>
          <w:szCs w:val="20"/>
          <w:lang w:val="es-ES_tradnl"/>
        </w:rPr>
        <w:t xml:space="preserve">. En esta medida, trasciende el alcance del examen de admisibilidad el entrar a examinar el alegato del Estado sobre </w:t>
      </w:r>
      <w:r w:rsidR="00532667" w:rsidRPr="00A819DD">
        <w:rPr>
          <w:rFonts w:asciiTheme="majorHAnsi" w:hAnsiTheme="majorHAnsi" w:cs="Calibri"/>
          <w:sz w:val="20"/>
          <w:szCs w:val="20"/>
          <w:lang w:val="es-ES_tradnl"/>
        </w:rPr>
        <w:t xml:space="preserve">la irrelevancia del contexto descrito por los peticionarios en sus presentaciones para deducir de allí la responsabilidad internacional de Colombia. En la misma línea, excede el ámbito del examen </w:t>
      </w:r>
      <w:r w:rsidR="00532667" w:rsidRPr="00A819DD">
        <w:rPr>
          <w:rFonts w:asciiTheme="majorHAnsi" w:hAnsiTheme="majorHAnsi" w:cs="Calibri"/>
          <w:i/>
          <w:iCs/>
          <w:sz w:val="20"/>
          <w:szCs w:val="20"/>
          <w:lang w:val="es-ES_tradnl"/>
        </w:rPr>
        <w:t>prima facie</w:t>
      </w:r>
      <w:r w:rsidR="00532667" w:rsidRPr="00A819DD">
        <w:rPr>
          <w:rFonts w:asciiTheme="majorHAnsi" w:hAnsiTheme="majorHAnsi" w:cs="Calibri"/>
          <w:sz w:val="20"/>
          <w:szCs w:val="20"/>
          <w:lang w:val="es-ES_tradnl"/>
        </w:rPr>
        <w:t xml:space="preserve"> de admisibilidad el entrar a establecer, en este momento procesal, si están dadas las circunstancias fácticas y jurídicas para atribuir la responsabilidad </w:t>
      </w:r>
      <w:r w:rsidR="00C615D6" w:rsidRPr="00A819DD">
        <w:rPr>
          <w:rFonts w:asciiTheme="majorHAnsi" w:hAnsiTheme="majorHAnsi" w:cs="Calibri"/>
          <w:sz w:val="20"/>
          <w:szCs w:val="20"/>
          <w:lang w:val="es-ES_tradnl"/>
        </w:rPr>
        <w:t xml:space="preserve">por </w:t>
      </w:r>
      <w:r w:rsidR="00532667" w:rsidRPr="00A819DD">
        <w:rPr>
          <w:rFonts w:asciiTheme="majorHAnsi" w:hAnsiTheme="majorHAnsi" w:cs="Calibri"/>
          <w:sz w:val="20"/>
          <w:szCs w:val="20"/>
          <w:lang w:val="es-ES_tradnl"/>
        </w:rPr>
        <w:t xml:space="preserve">este crimen, </w:t>
      </w:r>
      <w:r w:rsidR="00C615D6" w:rsidRPr="00A819DD">
        <w:rPr>
          <w:rFonts w:asciiTheme="majorHAnsi" w:hAnsiTheme="majorHAnsi" w:cs="Calibri"/>
          <w:sz w:val="20"/>
          <w:szCs w:val="20"/>
          <w:lang w:val="es-ES_tradnl"/>
        </w:rPr>
        <w:t xml:space="preserve">que fue </w:t>
      </w:r>
      <w:r w:rsidR="00532667" w:rsidRPr="00A819DD">
        <w:rPr>
          <w:rFonts w:asciiTheme="majorHAnsi" w:hAnsiTheme="majorHAnsi" w:cs="Calibri"/>
          <w:sz w:val="20"/>
          <w:szCs w:val="20"/>
          <w:lang w:val="es-ES_tradnl"/>
        </w:rPr>
        <w:t>ejecutado materialmente por paramilitares, al Estado colombiano</w:t>
      </w:r>
      <w:r w:rsidR="00C615D6" w:rsidRPr="00A819DD">
        <w:rPr>
          <w:rFonts w:asciiTheme="majorHAnsi" w:hAnsiTheme="majorHAnsi" w:cs="Calibri"/>
          <w:sz w:val="20"/>
          <w:szCs w:val="20"/>
          <w:lang w:val="es-ES_tradnl"/>
        </w:rPr>
        <w:t xml:space="preserve"> a título de participación, consentimiento, tolerancia, aquiescencia u omisión.</w:t>
      </w:r>
      <w:r w:rsidR="00532667" w:rsidRPr="00A819DD">
        <w:rPr>
          <w:rFonts w:asciiTheme="majorHAnsi" w:hAnsiTheme="majorHAnsi" w:cs="Calibri"/>
          <w:sz w:val="20"/>
          <w:szCs w:val="20"/>
          <w:lang w:val="es-ES_tradnl"/>
        </w:rPr>
        <w:t xml:space="preserve"> </w:t>
      </w:r>
    </w:p>
    <w:p w14:paraId="0125B6B7" w14:textId="17B5714B" w:rsidR="001A520D" w:rsidRPr="00A819DD" w:rsidRDefault="00DD51F0" w:rsidP="00C615D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_tradnl"/>
        </w:rPr>
      </w:pPr>
      <w:r w:rsidRPr="00A819DD">
        <w:rPr>
          <w:rFonts w:asciiTheme="majorHAnsi" w:hAnsiTheme="majorHAnsi"/>
          <w:sz w:val="20"/>
          <w:szCs w:val="20"/>
          <w:lang w:val="es-ES_tradnl"/>
        </w:rPr>
        <w:t>22</w:t>
      </w:r>
      <w:r w:rsidR="007357F0" w:rsidRPr="00A819DD">
        <w:rPr>
          <w:rFonts w:asciiTheme="majorHAnsi" w:hAnsiTheme="majorHAnsi"/>
          <w:sz w:val="20"/>
          <w:szCs w:val="20"/>
          <w:lang w:val="es-ES_tradnl"/>
        </w:rPr>
        <w:t xml:space="preserve">. </w:t>
      </w:r>
      <w:r w:rsidRPr="00A819DD">
        <w:rPr>
          <w:rFonts w:asciiTheme="majorHAnsi" w:hAnsiTheme="majorHAnsi"/>
          <w:sz w:val="20"/>
          <w:szCs w:val="20"/>
          <w:lang w:val="es-ES_tradnl"/>
        </w:rPr>
        <w:tab/>
      </w:r>
      <w:r w:rsidR="007357F0" w:rsidRPr="00A819DD">
        <w:rPr>
          <w:rFonts w:asciiTheme="majorHAnsi" w:hAnsiTheme="majorHAnsi"/>
          <w:sz w:val="20"/>
          <w:szCs w:val="20"/>
          <w:lang w:val="es-ES_tradnl"/>
        </w:rPr>
        <w:t xml:space="preserve">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podrían caracterizar violaciones de los artículos </w:t>
      </w:r>
      <w:r w:rsidR="007357F0" w:rsidRPr="00A819DD">
        <w:rPr>
          <w:rFonts w:ascii="Cambria" w:hAnsi="Cambria"/>
          <w:bCs/>
          <w:sz w:val="20"/>
          <w:szCs w:val="20"/>
          <w:lang w:val="es-ES_tradnl"/>
        </w:rPr>
        <w:t>4 (vida), 5 (integridad personal), 8 (garantías judiciales), 16 (libertad de asociación), 17 (protección a la familia)</w:t>
      </w:r>
      <w:r w:rsidR="00970632" w:rsidRPr="00A819DD">
        <w:rPr>
          <w:rFonts w:ascii="Cambria" w:hAnsi="Cambria"/>
          <w:bCs/>
          <w:sz w:val="20"/>
          <w:szCs w:val="20"/>
          <w:lang w:val="es-ES_tradnl"/>
        </w:rPr>
        <w:t>, 19 (derechos del niño)</w:t>
      </w:r>
      <w:r w:rsidR="007357F0" w:rsidRPr="00A819DD">
        <w:rPr>
          <w:rFonts w:ascii="Cambria" w:hAnsi="Cambria"/>
          <w:bCs/>
          <w:sz w:val="20"/>
          <w:szCs w:val="20"/>
          <w:lang w:val="es-ES_tradnl"/>
        </w:rPr>
        <w:t xml:space="preserve"> y 25 (protección judicial) de la Convención Americana, en relación con su artículo 1.1 (obligación de respetar los derechos)</w:t>
      </w:r>
      <w:r w:rsidR="00C615D6" w:rsidRPr="00A819DD">
        <w:rPr>
          <w:rFonts w:ascii="Cambria" w:hAnsi="Cambria"/>
          <w:bCs/>
          <w:sz w:val="20"/>
          <w:szCs w:val="20"/>
          <w:lang w:val="es-ES_tradnl"/>
        </w:rPr>
        <w:t>, en perjuicio de Oscar Darío Soto Polo</w:t>
      </w:r>
      <w:r w:rsidR="00970632" w:rsidRPr="00A819DD">
        <w:rPr>
          <w:rFonts w:ascii="Cambria" w:hAnsi="Cambria"/>
          <w:bCs/>
          <w:sz w:val="20"/>
          <w:szCs w:val="20"/>
          <w:lang w:val="es-ES_tradnl"/>
        </w:rPr>
        <w:t xml:space="preserve">, su hija </w:t>
      </w:r>
      <w:r w:rsidR="00C615D6" w:rsidRPr="00A819DD">
        <w:rPr>
          <w:rFonts w:ascii="Cambria" w:hAnsi="Cambria"/>
          <w:bCs/>
          <w:sz w:val="20"/>
          <w:szCs w:val="20"/>
          <w:lang w:val="es-ES_tradnl"/>
        </w:rPr>
        <w:t xml:space="preserve"> </w:t>
      </w:r>
      <w:r w:rsidR="00970632" w:rsidRPr="00A819DD">
        <w:rPr>
          <w:rFonts w:ascii="Cambria" w:hAnsi="Cambria"/>
          <w:sz w:val="20"/>
          <w:szCs w:val="20"/>
          <w:lang w:val="es-ES_tradnl"/>
        </w:rPr>
        <w:t>Karina Soto Lara,</w:t>
      </w:r>
      <w:r w:rsidR="00970632" w:rsidRPr="00A819DD">
        <w:rPr>
          <w:rFonts w:ascii="Cambria" w:hAnsi="Cambria"/>
          <w:bCs/>
          <w:sz w:val="20"/>
          <w:szCs w:val="20"/>
          <w:lang w:val="es-ES_tradnl"/>
        </w:rPr>
        <w:t xml:space="preserve"> </w:t>
      </w:r>
      <w:r w:rsidR="00C615D6" w:rsidRPr="00A819DD">
        <w:rPr>
          <w:rFonts w:ascii="Cambria" w:hAnsi="Cambria"/>
          <w:bCs/>
          <w:sz w:val="20"/>
          <w:szCs w:val="20"/>
          <w:lang w:val="es-ES_tradnl"/>
        </w:rPr>
        <w:t xml:space="preserve">y sus familiares </w:t>
      </w:r>
      <w:r w:rsidR="00970632" w:rsidRPr="00A819DD">
        <w:rPr>
          <w:rFonts w:ascii="Cambria" w:hAnsi="Cambria"/>
          <w:bCs/>
          <w:sz w:val="20"/>
          <w:szCs w:val="20"/>
          <w:lang w:val="es-ES_tradnl"/>
        </w:rPr>
        <w:t>debidamente identificados en el trámite del presente caso, en los términos del presente informe</w:t>
      </w:r>
      <w:r w:rsidR="007357F0" w:rsidRPr="00A819DD">
        <w:rPr>
          <w:rFonts w:ascii="Cambria" w:hAnsi="Cambria"/>
          <w:bCs/>
          <w:sz w:val="20"/>
          <w:szCs w:val="20"/>
          <w:lang w:val="es-ES_tradnl"/>
        </w:rPr>
        <w:t>.</w:t>
      </w:r>
    </w:p>
    <w:p w14:paraId="1EDF3A5D" w14:textId="77777777" w:rsidR="003239B8" w:rsidRPr="00A819DD" w:rsidRDefault="003239B8" w:rsidP="003239B8">
      <w:pPr>
        <w:pStyle w:val="ListParagraph"/>
        <w:spacing w:before="240" w:after="240"/>
        <w:jc w:val="both"/>
        <w:rPr>
          <w:rFonts w:asciiTheme="majorHAnsi" w:hAnsiTheme="majorHAnsi"/>
          <w:b/>
          <w:bCs/>
          <w:sz w:val="20"/>
          <w:szCs w:val="20"/>
          <w:lang w:val="es-ES_tradnl"/>
        </w:rPr>
      </w:pPr>
      <w:r w:rsidRPr="00A819DD">
        <w:rPr>
          <w:rFonts w:asciiTheme="majorHAnsi" w:hAnsiTheme="majorHAnsi"/>
          <w:b/>
          <w:bCs/>
          <w:sz w:val="20"/>
          <w:szCs w:val="20"/>
          <w:lang w:val="es-ES_tradnl"/>
        </w:rPr>
        <w:t xml:space="preserve">VIII. </w:t>
      </w:r>
      <w:r w:rsidRPr="00A819DD">
        <w:rPr>
          <w:rFonts w:asciiTheme="majorHAnsi" w:hAnsiTheme="majorHAnsi"/>
          <w:b/>
          <w:bCs/>
          <w:sz w:val="20"/>
          <w:szCs w:val="20"/>
          <w:lang w:val="es-ES_tradnl"/>
        </w:rPr>
        <w:tab/>
        <w:t>DECISIÓN</w:t>
      </w:r>
    </w:p>
    <w:p w14:paraId="494A0BEA" w14:textId="6413B55D" w:rsidR="000419AD" w:rsidRPr="00A819DD"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A819DD">
        <w:rPr>
          <w:rFonts w:asciiTheme="majorHAnsi" w:hAnsiTheme="majorHAnsi"/>
          <w:sz w:val="20"/>
          <w:szCs w:val="20"/>
          <w:lang w:val="es-ES_tradnl"/>
        </w:rPr>
        <w:t xml:space="preserve">Declarar admisible la presente petición en relación con </w:t>
      </w:r>
      <w:r w:rsidR="00C615D6" w:rsidRPr="00A819DD">
        <w:rPr>
          <w:rFonts w:asciiTheme="majorHAnsi" w:hAnsiTheme="majorHAnsi"/>
          <w:sz w:val="20"/>
          <w:szCs w:val="20"/>
          <w:lang w:val="es-ES_tradnl"/>
        </w:rPr>
        <w:t>los artículos 4, 5, 8, 16, 17</w:t>
      </w:r>
      <w:r w:rsidR="00970632" w:rsidRPr="00A819DD">
        <w:rPr>
          <w:rFonts w:asciiTheme="majorHAnsi" w:hAnsiTheme="majorHAnsi"/>
          <w:sz w:val="20"/>
          <w:szCs w:val="20"/>
          <w:lang w:val="es-ES_tradnl"/>
        </w:rPr>
        <w:t>, 19</w:t>
      </w:r>
      <w:r w:rsidR="00C615D6" w:rsidRPr="00A819DD">
        <w:rPr>
          <w:rFonts w:asciiTheme="majorHAnsi" w:hAnsiTheme="majorHAnsi"/>
          <w:sz w:val="20"/>
          <w:szCs w:val="20"/>
          <w:lang w:val="es-ES_tradnl"/>
        </w:rPr>
        <w:t xml:space="preserve"> y 25 de la Convención Americana, en conexión con su artículo 1.1</w:t>
      </w:r>
      <w:r w:rsidR="001D3BF1">
        <w:rPr>
          <w:rFonts w:asciiTheme="majorHAnsi" w:hAnsiTheme="majorHAnsi"/>
          <w:sz w:val="20"/>
          <w:szCs w:val="20"/>
          <w:lang w:val="es-ES_tradnl"/>
        </w:rPr>
        <w:t>, y;</w:t>
      </w:r>
    </w:p>
    <w:p w14:paraId="018D6747" w14:textId="4FD7B1B5"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A819DD">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76214759" w14:textId="5018AB2C" w:rsidR="0050314C" w:rsidRPr="00A37B82" w:rsidRDefault="0050314C" w:rsidP="0050314C">
      <w:pPr>
        <w:ind w:firstLine="720"/>
        <w:jc w:val="both"/>
        <w:rPr>
          <w:rFonts w:asciiTheme="majorHAnsi" w:hAnsiTheme="majorHAnsi" w:cs="Arial"/>
          <w:noProof/>
          <w:spacing w:val="-2"/>
          <w:sz w:val="20"/>
          <w:szCs w:val="20"/>
          <w:lang w:val="es-CL"/>
        </w:rPr>
      </w:pPr>
      <w:bookmarkStart w:id="1"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29</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bookmarkEnd w:id="1"/>
    <w:p w14:paraId="75BB12D8" w14:textId="77777777" w:rsidR="0050314C" w:rsidRPr="00A37B82" w:rsidRDefault="0050314C" w:rsidP="0050314C">
      <w:pPr>
        <w:suppressAutoHyphens/>
        <w:ind w:firstLine="720"/>
        <w:jc w:val="both"/>
        <w:rPr>
          <w:rFonts w:asciiTheme="majorHAnsi" w:hAnsiTheme="majorHAnsi" w:cs="Arial"/>
          <w:noProof/>
          <w:spacing w:val="-2"/>
          <w:sz w:val="20"/>
          <w:szCs w:val="20"/>
          <w:lang w:val="es-CL"/>
        </w:rPr>
      </w:pPr>
    </w:p>
    <w:sectPr w:rsidR="0050314C"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A46F2" w14:textId="77777777" w:rsidR="005104C4" w:rsidRDefault="005104C4">
      <w:r>
        <w:separator/>
      </w:r>
    </w:p>
  </w:endnote>
  <w:endnote w:type="continuationSeparator" w:id="0">
    <w:p w14:paraId="5E780B11" w14:textId="77777777" w:rsidR="005104C4" w:rsidRDefault="005104C4">
      <w:r>
        <w:continuationSeparator/>
      </w:r>
    </w:p>
  </w:endnote>
  <w:endnote w:type="continuationNotice" w:id="1">
    <w:p w14:paraId="3BB8AA26" w14:textId="77777777" w:rsidR="005104C4" w:rsidRDefault="005104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31FBE7F"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047F8" w14:textId="77777777" w:rsidR="005104C4" w:rsidRPr="000F35ED" w:rsidRDefault="005104C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D08EE80" w14:textId="77777777" w:rsidR="005104C4" w:rsidRPr="000F35ED" w:rsidRDefault="005104C4" w:rsidP="000F35ED">
      <w:pPr>
        <w:rPr>
          <w:rFonts w:asciiTheme="majorHAnsi" w:hAnsiTheme="majorHAnsi"/>
          <w:sz w:val="16"/>
          <w:szCs w:val="16"/>
        </w:rPr>
      </w:pPr>
      <w:r w:rsidRPr="000F35ED">
        <w:rPr>
          <w:rFonts w:asciiTheme="majorHAnsi" w:hAnsiTheme="majorHAnsi"/>
          <w:sz w:val="16"/>
          <w:szCs w:val="16"/>
        </w:rPr>
        <w:separator/>
      </w:r>
    </w:p>
    <w:p w14:paraId="1AB2683D" w14:textId="77777777" w:rsidR="005104C4" w:rsidRPr="000F35ED" w:rsidRDefault="005104C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7604F46F" w14:textId="77777777" w:rsidR="005104C4" w:rsidRPr="000F35ED" w:rsidRDefault="005104C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FA2C02C" w14:textId="4D381E06" w:rsidR="007357F0" w:rsidRPr="007357F0" w:rsidRDefault="007357F0" w:rsidP="00403C2C">
      <w:pPr>
        <w:pStyle w:val="FootnoteText"/>
        <w:ind w:firstLine="720"/>
        <w:jc w:val="both"/>
        <w:rPr>
          <w:rFonts w:ascii="Cambria" w:hAnsi="Cambria"/>
          <w:sz w:val="16"/>
          <w:szCs w:val="16"/>
          <w:lang w:val="es-CO"/>
        </w:rPr>
      </w:pPr>
      <w:r w:rsidRPr="007357F0">
        <w:rPr>
          <w:rStyle w:val="FootnoteReference"/>
          <w:rFonts w:ascii="Cambria" w:hAnsi="Cambria"/>
          <w:sz w:val="16"/>
          <w:szCs w:val="16"/>
        </w:rPr>
        <w:footnoteRef/>
      </w:r>
      <w:r w:rsidRPr="007357F0">
        <w:rPr>
          <w:rFonts w:ascii="Cambria" w:hAnsi="Cambria"/>
          <w:sz w:val="16"/>
          <w:szCs w:val="16"/>
          <w:lang w:val="es-CO"/>
        </w:rPr>
        <w:t xml:space="preserve"> La petición identifica como familiares del señor Oscar Darío Soto Polo a las siguientes personas: (1) Luz Marina Lara Castro, compañera permanente; (2) Naguid Soto Lara, hija; (3) </w:t>
      </w:r>
      <w:r w:rsidR="004F2D6A" w:rsidRPr="007357F0">
        <w:rPr>
          <w:rFonts w:ascii="Cambria" w:hAnsi="Cambria"/>
          <w:sz w:val="16"/>
          <w:szCs w:val="16"/>
          <w:lang w:val="es-CO"/>
        </w:rPr>
        <w:t>Iván</w:t>
      </w:r>
      <w:r w:rsidRPr="007357F0">
        <w:rPr>
          <w:rFonts w:ascii="Cambria" w:hAnsi="Cambria"/>
          <w:sz w:val="16"/>
          <w:szCs w:val="16"/>
          <w:lang w:val="es-CO"/>
        </w:rPr>
        <w:t xml:space="preserve"> Darío Soto Lara, hijo; </w:t>
      </w:r>
      <w:r w:rsidR="00215072">
        <w:rPr>
          <w:rFonts w:ascii="Cambria" w:hAnsi="Cambria"/>
          <w:sz w:val="16"/>
          <w:szCs w:val="16"/>
          <w:lang w:val="es-CO"/>
        </w:rPr>
        <w:t xml:space="preserve">y </w:t>
      </w:r>
      <w:r w:rsidRPr="007357F0">
        <w:rPr>
          <w:rFonts w:ascii="Cambria" w:hAnsi="Cambria"/>
          <w:sz w:val="16"/>
          <w:szCs w:val="16"/>
          <w:lang w:val="es-CO"/>
        </w:rPr>
        <w:t>(4) Karina Soto Lara, hija.</w:t>
      </w:r>
    </w:p>
  </w:footnote>
  <w:footnote w:id="3">
    <w:p w14:paraId="60B3D662" w14:textId="77777777" w:rsidR="008E3BFE" w:rsidRPr="00306F33" w:rsidRDefault="008E3BFE" w:rsidP="00403C2C">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4">
    <w:p w14:paraId="14F415D2" w14:textId="77777777" w:rsidR="007357F0" w:rsidRPr="002774D2" w:rsidRDefault="007357F0" w:rsidP="00403C2C">
      <w:pPr>
        <w:pStyle w:val="FootnoteText"/>
        <w:ind w:firstLine="720"/>
        <w:jc w:val="both"/>
        <w:rPr>
          <w:rFonts w:asciiTheme="majorHAnsi" w:hAnsiTheme="majorHAnsi"/>
          <w:sz w:val="16"/>
          <w:szCs w:val="16"/>
          <w:lang w:val="es-CO"/>
        </w:rPr>
      </w:pPr>
      <w:r w:rsidRPr="002774D2">
        <w:rPr>
          <w:rStyle w:val="FootnoteReference"/>
          <w:rFonts w:asciiTheme="majorHAnsi" w:hAnsiTheme="majorHAnsi"/>
          <w:sz w:val="16"/>
          <w:szCs w:val="16"/>
        </w:rPr>
        <w:footnoteRef/>
      </w:r>
      <w:r w:rsidRPr="002774D2">
        <w:rPr>
          <w:rFonts w:asciiTheme="majorHAnsi" w:hAnsiTheme="majorHAnsi"/>
          <w:sz w:val="16"/>
          <w:szCs w:val="16"/>
          <w:lang w:val="es-CO"/>
        </w:rPr>
        <w:t xml:space="preserve"> </w:t>
      </w:r>
      <w:r w:rsidRPr="002774D2">
        <w:rPr>
          <w:rFonts w:asciiTheme="majorHAnsi" w:hAnsiTheme="majorHAnsi" w:cstheme="minorHAnsi"/>
          <w:sz w:val="16"/>
          <w:szCs w:val="16"/>
          <w:lang w:val="es-ES"/>
        </w:rPr>
        <w:t xml:space="preserve">CIDH, Informe No. 72/18, Petición 1131-08. Admisibilidad. Moisés de Jesús Hernández Pinto y familia. Guatemala. 20 de junio de 2018, párr. 10. </w:t>
      </w:r>
      <w:r w:rsidRPr="002774D2">
        <w:rPr>
          <w:rFonts w:asciiTheme="majorHAnsi" w:hAnsiTheme="majorHAnsi" w:cstheme="minorHAnsi"/>
          <w:sz w:val="16"/>
          <w:szCs w:val="16"/>
          <w:lang w:val="es-US"/>
        </w:rPr>
        <w:t xml:space="preserve">CIDH, Informe Nº 70/14. Petición 1453-06. Admisibilidad. Maicon de Souza Silva. Renato da Silva Paixão y otros. 25 de julio de 2014, párr. 18; </w:t>
      </w:r>
      <w:r w:rsidRPr="002774D2">
        <w:rPr>
          <w:rFonts w:asciiTheme="majorHAnsi" w:hAnsiTheme="majorHAnsi"/>
          <w:sz w:val="16"/>
          <w:szCs w:val="16"/>
          <w:lang w:val="es-CO"/>
        </w:rPr>
        <w:t xml:space="preserve">Informe No. 3/12, Petición 12.224, Admisibilidad, Santiago Antezana Cueto y otros, Perú, 27 de enero de 2012, pár. 24; Informe No. 124/17, Petición 21-08, Admisibilidad, Fernanda López Medina y otros, Perú, 7 de septiembre de 2017, párs. </w:t>
      </w:r>
      <w:r w:rsidRPr="002774D2">
        <w:rPr>
          <w:rFonts w:asciiTheme="majorHAnsi" w:hAnsiTheme="majorHAnsi" w:cstheme="minorHAnsi"/>
          <w:sz w:val="16"/>
          <w:szCs w:val="16"/>
          <w:lang w:val="es-US"/>
        </w:rPr>
        <w:t>3, 9-11.</w:t>
      </w:r>
    </w:p>
  </w:footnote>
  <w:footnote w:id="5">
    <w:p w14:paraId="72F5D108" w14:textId="77777777" w:rsidR="007357F0" w:rsidRPr="002774D2" w:rsidRDefault="007357F0" w:rsidP="00403C2C">
      <w:pPr>
        <w:pStyle w:val="FootnoteText"/>
        <w:ind w:firstLine="720"/>
        <w:jc w:val="both"/>
        <w:rPr>
          <w:rFonts w:asciiTheme="majorHAnsi" w:hAnsiTheme="majorHAnsi" w:cstheme="minorHAnsi"/>
          <w:sz w:val="16"/>
          <w:szCs w:val="16"/>
          <w:lang w:val="es-US"/>
        </w:rPr>
      </w:pPr>
      <w:r w:rsidRPr="002774D2">
        <w:rPr>
          <w:rStyle w:val="FootnoteReference"/>
          <w:rFonts w:asciiTheme="majorHAnsi" w:hAnsiTheme="majorHAnsi" w:cstheme="minorHAnsi"/>
          <w:sz w:val="16"/>
          <w:szCs w:val="16"/>
        </w:rPr>
        <w:footnoteRef/>
      </w:r>
      <w:r w:rsidRPr="002774D2">
        <w:rPr>
          <w:rFonts w:asciiTheme="majorHAnsi" w:hAnsiTheme="majorHAnsi" w:cstheme="minorHAnsi"/>
          <w:sz w:val="16"/>
          <w:szCs w:val="16"/>
          <w:lang w:val="es-US"/>
        </w:rPr>
        <w:t xml:space="preserve"> CIDH, Informe No. 159/17, Petición 712-08. Admisibilidad. Sebastián Larroza Velázquez y familia. </w:t>
      </w:r>
      <w:r w:rsidRPr="004E6E1C">
        <w:rPr>
          <w:rFonts w:asciiTheme="majorHAnsi" w:hAnsiTheme="majorHAnsi" w:cstheme="minorHAnsi"/>
          <w:sz w:val="16"/>
          <w:szCs w:val="16"/>
          <w:lang w:val="es-CO"/>
        </w:rPr>
        <w:t>Paraguay. 30 de noviembre de 2017, párr. 14.</w:t>
      </w:r>
    </w:p>
  </w:footnote>
  <w:footnote w:id="6">
    <w:p w14:paraId="38E89A9C" w14:textId="30577F76" w:rsidR="007357F0" w:rsidRPr="004F2D6A" w:rsidRDefault="007357F0" w:rsidP="00403C2C">
      <w:pPr>
        <w:pStyle w:val="Referencetext"/>
        <w:tabs>
          <w:tab w:val="left" w:pos="0"/>
        </w:tabs>
        <w:spacing w:after="0"/>
        <w:ind w:right="0" w:firstLine="720"/>
        <w:rPr>
          <w:rFonts w:ascii="Cambria" w:hAnsi="Cambria" w:cstheme="minorHAnsi"/>
          <w:sz w:val="16"/>
          <w:lang w:val="es-US"/>
        </w:rPr>
      </w:pPr>
      <w:r w:rsidRPr="00D27613">
        <w:rPr>
          <w:rStyle w:val="FootnoteReference"/>
          <w:rFonts w:ascii="Cambria" w:eastAsia="Symbol" w:hAnsi="Cambria" w:cstheme="minorHAnsi"/>
          <w:sz w:val="16"/>
        </w:rPr>
        <w:footnoteRef/>
      </w:r>
      <w:r w:rsidR="00C30057" w:rsidRPr="00EE3E17">
        <w:rPr>
          <w:rFonts w:ascii="Cambria" w:hAnsi="Cambria" w:cstheme="minorHAnsi"/>
          <w:sz w:val="16"/>
          <w:lang w:val="es-419"/>
        </w:rPr>
        <w:t xml:space="preserve"> </w:t>
      </w:r>
      <w:r w:rsidRPr="00EE3E17">
        <w:rPr>
          <w:rFonts w:ascii="Cambria" w:hAnsi="Cambria" w:cstheme="minorHAnsi"/>
          <w:sz w:val="16"/>
          <w:lang w:val="es-419"/>
        </w:rPr>
        <w:t xml:space="preserve">Corte IDH, </w:t>
      </w:r>
      <w:r w:rsidRPr="00EE3E17">
        <w:rPr>
          <w:rFonts w:ascii="Cambria" w:hAnsi="Cambria" w:cstheme="minorHAnsi"/>
          <w:i/>
          <w:sz w:val="16"/>
          <w:lang w:val="es-419"/>
        </w:rPr>
        <w:t>Caso Juan Humberto Sánchez</w:t>
      </w:r>
      <w:r w:rsidRPr="00EE3E17">
        <w:rPr>
          <w:rFonts w:ascii="Cambria" w:hAnsi="Cambria" w:cstheme="minorHAnsi"/>
          <w:sz w:val="16"/>
          <w:lang w:val="es-419"/>
        </w:rPr>
        <w:t xml:space="preserve">. </w:t>
      </w:r>
      <w:r w:rsidRPr="004F2D6A">
        <w:rPr>
          <w:rFonts w:ascii="Cambria" w:hAnsi="Cambria" w:cstheme="minorHAnsi"/>
          <w:sz w:val="16"/>
          <w:lang w:val="es-US"/>
        </w:rPr>
        <w:t>Serie C No. 99, párr. 186.</w:t>
      </w:r>
    </w:p>
  </w:footnote>
  <w:footnote w:id="7">
    <w:p w14:paraId="4E8016DB" w14:textId="3807C3E7" w:rsidR="007357F0" w:rsidRPr="00F03B32" w:rsidRDefault="007357F0" w:rsidP="00403C2C">
      <w:pPr>
        <w:pStyle w:val="FootnoteText"/>
        <w:ind w:firstLine="720"/>
        <w:jc w:val="both"/>
        <w:rPr>
          <w:rFonts w:asciiTheme="majorHAnsi" w:hAnsiTheme="majorHAnsi"/>
          <w:sz w:val="16"/>
          <w:szCs w:val="16"/>
          <w:lang w:val="es-CO"/>
        </w:rPr>
      </w:pPr>
      <w:r w:rsidRPr="00F03B32">
        <w:rPr>
          <w:rStyle w:val="FootnoteReference"/>
          <w:rFonts w:asciiTheme="majorHAnsi" w:hAnsiTheme="majorHAnsi"/>
          <w:sz w:val="16"/>
          <w:szCs w:val="16"/>
        </w:rPr>
        <w:footnoteRef/>
      </w:r>
      <w:r w:rsidRPr="00F03B32">
        <w:rPr>
          <w:rFonts w:asciiTheme="majorHAnsi" w:hAnsiTheme="majorHAnsi"/>
          <w:sz w:val="16"/>
          <w:szCs w:val="16"/>
          <w:lang w:val="es-CO"/>
        </w:rPr>
        <w:t xml:space="preserve"> CIDH, Informe No. 34/15, Petición 191-07 y otras. Admisibilidad. Álvaro Enrique </w:t>
      </w:r>
      <w:r w:rsidR="00A819DD" w:rsidRPr="00F03B32">
        <w:rPr>
          <w:rFonts w:asciiTheme="majorHAnsi" w:hAnsiTheme="majorHAnsi"/>
          <w:sz w:val="16"/>
          <w:szCs w:val="16"/>
          <w:lang w:val="es-CO"/>
        </w:rPr>
        <w:t>Rodríguez</w:t>
      </w:r>
      <w:r w:rsidRPr="00F03B32">
        <w:rPr>
          <w:rFonts w:asciiTheme="majorHAnsi" w:hAnsiTheme="majorHAnsi"/>
          <w:sz w:val="16"/>
          <w:szCs w:val="16"/>
          <w:lang w:val="es-CO"/>
        </w:rPr>
        <w:t xml:space="preserve"> Buitrago y otros. Colombia. 22 de julio de 2015, párr. 245.</w:t>
      </w:r>
    </w:p>
  </w:footnote>
  <w:footnote w:id="8">
    <w:p w14:paraId="22F9B4A4" w14:textId="77777777" w:rsidR="007357F0" w:rsidRDefault="007357F0" w:rsidP="00403C2C">
      <w:pPr>
        <w:pStyle w:val="FootnoteText"/>
        <w:ind w:firstLine="720"/>
        <w:jc w:val="both"/>
        <w:rPr>
          <w:rFonts w:asciiTheme="majorHAnsi" w:hAnsiTheme="majorHAnsi" w:cstheme="minorHAnsi"/>
          <w:sz w:val="16"/>
          <w:szCs w:val="16"/>
          <w:lang w:val="es-CO"/>
        </w:rPr>
      </w:pPr>
      <w:r>
        <w:rPr>
          <w:rStyle w:val="FootnoteReference"/>
          <w:rFonts w:asciiTheme="majorHAnsi" w:hAnsiTheme="majorHAnsi" w:cstheme="minorHAnsi"/>
          <w:sz w:val="16"/>
          <w:szCs w:val="16"/>
        </w:rPr>
        <w:footnoteRef/>
      </w:r>
      <w:r>
        <w:rPr>
          <w:rFonts w:asciiTheme="majorHAnsi" w:hAnsiTheme="majorHAnsi" w:cstheme="minorHAnsi"/>
          <w:sz w:val="16"/>
          <w:szCs w:val="16"/>
          <w:lang w:val="es-CO"/>
        </w:rPr>
        <w:t xml:space="preserve"> CIDH, Informe Nº 107/17. Petición 535-07. Admisibilidad. Vitelio Capera Cruz y familia. Colombia. 7 de septiembre de 2017, párr. 9. </w:t>
      </w:r>
      <w:r>
        <w:rPr>
          <w:rFonts w:asciiTheme="majorHAnsi" w:hAnsiTheme="majorHAnsi" w:cstheme="minorHAnsi"/>
          <w:sz w:val="16"/>
          <w:szCs w:val="16"/>
          <w:lang w:val="es-ES"/>
        </w:rPr>
        <w:t>CIDH, Informe No. 44/18, Petición 840-07. Admisibilidad. Masacre de Pijiguay. Colombia. 4 de mayo de 2018, párr. 11.</w:t>
      </w:r>
    </w:p>
  </w:footnote>
  <w:footnote w:id="9">
    <w:p w14:paraId="680B7A76" w14:textId="77777777" w:rsidR="007357F0" w:rsidRPr="006132CC" w:rsidRDefault="007357F0" w:rsidP="00403C2C">
      <w:pPr>
        <w:pStyle w:val="FootnoteText"/>
        <w:ind w:firstLine="720"/>
        <w:jc w:val="both"/>
        <w:rPr>
          <w:rFonts w:ascii="Cambria" w:hAnsi="Cambria"/>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69/08</w:t>
      </w:r>
      <w:r>
        <w:rPr>
          <w:rFonts w:ascii="Cambria" w:hAnsi="Cambria"/>
          <w:sz w:val="16"/>
          <w:szCs w:val="16"/>
          <w:lang w:val="es-ES_tradnl"/>
        </w:rPr>
        <w:t>, Petición 681-00</w:t>
      </w:r>
      <w:r w:rsidRPr="006132CC">
        <w:rPr>
          <w:rFonts w:ascii="Cambria" w:hAnsi="Cambria"/>
          <w:sz w:val="16"/>
          <w:szCs w:val="16"/>
          <w:lang w:val="es-ES_tradnl"/>
        </w:rPr>
        <w:t>. Admisibilidad. Guillermo Patricio Lynn. Argentina. 16 de octubre de 2008, párr. 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5104C4"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337EF"/>
    <w:rsid w:val="00040C3A"/>
    <w:rsid w:val="000419AD"/>
    <w:rsid w:val="000433C9"/>
    <w:rsid w:val="00043AD6"/>
    <w:rsid w:val="000657E0"/>
    <w:rsid w:val="00071174"/>
    <w:rsid w:val="000716C5"/>
    <w:rsid w:val="00071A91"/>
    <w:rsid w:val="00075E23"/>
    <w:rsid w:val="0009344A"/>
    <w:rsid w:val="000A392E"/>
    <w:rsid w:val="000A575F"/>
    <w:rsid w:val="000D05CB"/>
    <w:rsid w:val="000D10DB"/>
    <w:rsid w:val="000E3635"/>
    <w:rsid w:val="000E5EB5"/>
    <w:rsid w:val="000F35ED"/>
    <w:rsid w:val="00107131"/>
    <w:rsid w:val="0010736F"/>
    <w:rsid w:val="0011167B"/>
    <w:rsid w:val="00113F73"/>
    <w:rsid w:val="00121CC2"/>
    <w:rsid w:val="00122793"/>
    <w:rsid w:val="00131425"/>
    <w:rsid w:val="00133EE5"/>
    <w:rsid w:val="001630FD"/>
    <w:rsid w:val="00167A34"/>
    <w:rsid w:val="001752A0"/>
    <w:rsid w:val="001A035D"/>
    <w:rsid w:val="001A520D"/>
    <w:rsid w:val="001A7870"/>
    <w:rsid w:val="001B3A00"/>
    <w:rsid w:val="001C1B41"/>
    <w:rsid w:val="001D3BF1"/>
    <w:rsid w:val="001D65EF"/>
    <w:rsid w:val="001E49E7"/>
    <w:rsid w:val="001F2521"/>
    <w:rsid w:val="001F7201"/>
    <w:rsid w:val="002071F1"/>
    <w:rsid w:val="0021327D"/>
    <w:rsid w:val="00215072"/>
    <w:rsid w:val="00223A29"/>
    <w:rsid w:val="002250A3"/>
    <w:rsid w:val="00235217"/>
    <w:rsid w:val="00246D1F"/>
    <w:rsid w:val="00247403"/>
    <w:rsid w:val="002474B7"/>
    <w:rsid w:val="00247542"/>
    <w:rsid w:val="00266B61"/>
    <w:rsid w:val="0026712A"/>
    <w:rsid w:val="002704DB"/>
    <w:rsid w:val="002A0AAE"/>
    <w:rsid w:val="002A5820"/>
    <w:rsid w:val="002C1ABF"/>
    <w:rsid w:val="002C4537"/>
    <w:rsid w:val="002D2B26"/>
    <w:rsid w:val="002D578E"/>
    <w:rsid w:val="002D7EA2"/>
    <w:rsid w:val="002E187C"/>
    <w:rsid w:val="00302733"/>
    <w:rsid w:val="00305835"/>
    <w:rsid w:val="0030697A"/>
    <w:rsid w:val="00306F33"/>
    <w:rsid w:val="00314078"/>
    <w:rsid w:val="0031535D"/>
    <w:rsid w:val="00317E5E"/>
    <w:rsid w:val="00320E04"/>
    <w:rsid w:val="003239B8"/>
    <w:rsid w:val="0033169F"/>
    <w:rsid w:val="00344977"/>
    <w:rsid w:val="00346C95"/>
    <w:rsid w:val="00356185"/>
    <w:rsid w:val="00360380"/>
    <w:rsid w:val="0037519E"/>
    <w:rsid w:val="00386CF0"/>
    <w:rsid w:val="00387102"/>
    <w:rsid w:val="003A14E5"/>
    <w:rsid w:val="003B70FB"/>
    <w:rsid w:val="003C676B"/>
    <w:rsid w:val="003D31BB"/>
    <w:rsid w:val="003D3BC2"/>
    <w:rsid w:val="003E6CA1"/>
    <w:rsid w:val="003F4A37"/>
    <w:rsid w:val="003F5154"/>
    <w:rsid w:val="00403C2C"/>
    <w:rsid w:val="00405F9C"/>
    <w:rsid w:val="004065A8"/>
    <w:rsid w:val="004165C2"/>
    <w:rsid w:val="004177C4"/>
    <w:rsid w:val="0041781C"/>
    <w:rsid w:val="00441ECB"/>
    <w:rsid w:val="00445193"/>
    <w:rsid w:val="00462C1B"/>
    <w:rsid w:val="00467B7E"/>
    <w:rsid w:val="00473BB4"/>
    <w:rsid w:val="004754ED"/>
    <w:rsid w:val="00477592"/>
    <w:rsid w:val="00482F00"/>
    <w:rsid w:val="00485E30"/>
    <w:rsid w:val="00486F1C"/>
    <w:rsid w:val="0049419D"/>
    <w:rsid w:val="004A6A54"/>
    <w:rsid w:val="004B421C"/>
    <w:rsid w:val="004C20D2"/>
    <w:rsid w:val="004C2312"/>
    <w:rsid w:val="004C4B62"/>
    <w:rsid w:val="004C54C9"/>
    <w:rsid w:val="004D4ABA"/>
    <w:rsid w:val="004D6025"/>
    <w:rsid w:val="004E2649"/>
    <w:rsid w:val="004F2D6A"/>
    <w:rsid w:val="004F3FE0"/>
    <w:rsid w:val="004F626F"/>
    <w:rsid w:val="00501399"/>
    <w:rsid w:val="0050314C"/>
    <w:rsid w:val="005047ED"/>
    <w:rsid w:val="0050633D"/>
    <w:rsid w:val="00507BC4"/>
    <w:rsid w:val="005104C4"/>
    <w:rsid w:val="005128E4"/>
    <w:rsid w:val="005133DB"/>
    <w:rsid w:val="00514504"/>
    <w:rsid w:val="005166D7"/>
    <w:rsid w:val="00521E1F"/>
    <w:rsid w:val="00525560"/>
    <w:rsid w:val="00532667"/>
    <w:rsid w:val="00544C49"/>
    <w:rsid w:val="005516A1"/>
    <w:rsid w:val="005559EF"/>
    <w:rsid w:val="00563557"/>
    <w:rsid w:val="0057402A"/>
    <w:rsid w:val="005771D0"/>
    <w:rsid w:val="0059191A"/>
    <w:rsid w:val="005921FF"/>
    <w:rsid w:val="005A0E3E"/>
    <w:rsid w:val="005A24ED"/>
    <w:rsid w:val="005A6D0E"/>
    <w:rsid w:val="005B52B0"/>
    <w:rsid w:val="005B6806"/>
    <w:rsid w:val="005C4225"/>
    <w:rsid w:val="005D6F83"/>
    <w:rsid w:val="005F0DAD"/>
    <w:rsid w:val="005F0F33"/>
    <w:rsid w:val="00600DEB"/>
    <w:rsid w:val="00627C9F"/>
    <w:rsid w:val="006311E9"/>
    <w:rsid w:val="00632354"/>
    <w:rsid w:val="00635421"/>
    <w:rsid w:val="00642810"/>
    <w:rsid w:val="00652333"/>
    <w:rsid w:val="0068009E"/>
    <w:rsid w:val="00692219"/>
    <w:rsid w:val="006A17D2"/>
    <w:rsid w:val="006A73E6"/>
    <w:rsid w:val="006A7557"/>
    <w:rsid w:val="006B08AA"/>
    <w:rsid w:val="006B2D5C"/>
    <w:rsid w:val="006C0ECF"/>
    <w:rsid w:val="006C4EB1"/>
    <w:rsid w:val="006D389F"/>
    <w:rsid w:val="006E0166"/>
    <w:rsid w:val="006E2FFB"/>
    <w:rsid w:val="006E5AFD"/>
    <w:rsid w:val="006E7B34"/>
    <w:rsid w:val="0070697F"/>
    <w:rsid w:val="007103C4"/>
    <w:rsid w:val="0072199C"/>
    <w:rsid w:val="00722C9F"/>
    <w:rsid w:val="007253B8"/>
    <w:rsid w:val="007357F0"/>
    <w:rsid w:val="0073741F"/>
    <w:rsid w:val="0076643F"/>
    <w:rsid w:val="00773B67"/>
    <w:rsid w:val="00777F63"/>
    <w:rsid w:val="007A5817"/>
    <w:rsid w:val="007B05C4"/>
    <w:rsid w:val="007B60E9"/>
    <w:rsid w:val="007B6CC3"/>
    <w:rsid w:val="007B76D3"/>
    <w:rsid w:val="007C3334"/>
    <w:rsid w:val="007D2B98"/>
    <w:rsid w:val="007E21BC"/>
    <w:rsid w:val="007E7C82"/>
    <w:rsid w:val="007F2AA1"/>
    <w:rsid w:val="007F588D"/>
    <w:rsid w:val="00803F1C"/>
    <w:rsid w:val="0080600E"/>
    <w:rsid w:val="00806DF0"/>
    <w:rsid w:val="00814688"/>
    <w:rsid w:val="00817612"/>
    <w:rsid w:val="008338A4"/>
    <w:rsid w:val="00834D49"/>
    <w:rsid w:val="00837C45"/>
    <w:rsid w:val="008423CB"/>
    <w:rsid w:val="00844730"/>
    <w:rsid w:val="008457C2"/>
    <w:rsid w:val="00857A82"/>
    <w:rsid w:val="00873836"/>
    <w:rsid w:val="008848E1"/>
    <w:rsid w:val="00885737"/>
    <w:rsid w:val="00890650"/>
    <w:rsid w:val="008944DC"/>
    <w:rsid w:val="00897E12"/>
    <w:rsid w:val="008A7E0F"/>
    <w:rsid w:val="008B12F5"/>
    <w:rsid w:val="008C5E2D"/>
    <w:rsid w:val="008D7263"/>
    <w:rsid w:val="008D768D"/>
    <w:rsid w:val="008E3759"/>
    <w:rsid w:val="008E3BFE"/>
    <w:rsid w:val="008F1912"/>
    <w:rsid w:val="0090270B"/>
    <w:rsid w:val="009041DC"/>
    <w:rsid w:val="00912809"/>
    <w:rsid w:val="00917B5A"/>
    <w:rsid w:val="00920A58"/>
    <w:rsid w:val="00920A8C"/>
    <w:rsid w:val="00934A2C"/>
    <w:rsid w:val="00965FF4"/>
    <w:rsid w:val="0096706E"/>
    <w:rsid w:val="00970632"/>
    <w:rsid w:val="00974491"/>
    <w:rsid w:val="00975C4E"/>
    <w:rsid w:val="00981FBA"/>
    <w:rsid w:val="009928D7"/>
    <w:rsid w:val="009970EB"/>
    <w:rsid w:val="00997BC5"/>
    <w:rsid w:val="009A4F41"/>
    <w:rsid w:val="009B2649"/>
    <w:rsid w:val="009B381B"/>
    <w:rsid w:val="009D1606"/>
    <w:rsid w:val="009D1753"/>
    <w:rsid w:val="009D7611"/>
    <w:rsid w:val="009E0B61"/>
    <w:rsid w:val="009E53DE"/>
    <w:rsid w:val="00A11212"/>
    <w:rsid w:val="00A11E44"/>
    <w:rsid w:val="00A30100"/>
    <w:rsid w:val="00A328B3"/>
    <w:rsid w:val="00A50FCF"/>
    <w:rsid w:val="00A528D1"/>
    <w:rsid w:val="00A610CD"/>
    <w:rsid w:val="00A61D14"/>
    <w:rsid w:val="00A758AA"/>
    <w:rsid w:val="00A819DD"/>
    <w:rsid w:val="00AA09A2"/>
    <w:rsid w:val="00AA204A"/>
    <w:rsid w:val="00AA7996"/>
    <w:rsid w:val="00AB2293"/>
    <w:rsid w:val="00AC19CB"/>
    <w:rsid w:val="00AD265D"/>
    <w:rsid w:val="00AD7990"/>
    <w:rsid w:val="00AE5488"/>
    <w:rsid w:val="00AE6F91"/>
    <w:rsid w:val="00AF5571"/>
    <w:rsid w:val="00AF59B9"/>
    <w:rsid w:val="00B07341"/>
    <w:rsid w:val="00B30539"/>
    <w:rsid w:val="00B314DB"/>
    <w:rsid w:val="00B361F2"/>
    <w:rsid w:val="00B3718B"/>
    <w:rsid w:val="00B3745F"/>
    <w:rsid w:val="00B4632A"/>
    <w:rsid w:val="00B530F1"/>
    <w:rsid w:val="00B81CDD"/>
    <w:rsid w:val="00B8783D"/>
    <w:rsid w:val="00B93D7F"/>
    <w:rsid w:val="00BA276C"/>
    <w:rsid w:val="00BB019D"/>
    <w:rsid w:val="00BB306F"/>
    <w:rsid w:val="00BD0FF5"/>
    <w:rsid w:val="00BD382C"/>
    <w:rsid w:val="00BD4B89"/>
    <w:rsid w:val="00BD5922"/>
    <w:rsid w:val="00BE5327"/>
    <w:rsid w:val="00BF02CB"/>
    <w:rsid w:val="00BF6FD8"/>
    <w:rsid w:val="00C03680"/>
    <w:rsid w:val="00C054DF"/>
    <w:rsid w:val="00C12980"/>
    <w:rsid w:val="00C1683F"/>
    <w:rsid w:val="00C21762"/>
    <w:rsid w:val="00C21FEF"/>
    <w:rsid w:val="00C23BA4"/>
    <w:rsid w:val="00C24468"/>
    <w:rsid w:val="00C24543"/>
    <w:rsid w:val="00C256A2"/>
    <w:rsid w:val="00C25ADB"/>
    <w:rsid w:val="00C30057"/>
    <w:rsid w:val="00C321DF"/>
    <w:rsid w:val="00C47721"/>
    <w:rsid w:val="00C51515"/>
    <w:rsid w:val="00C5660B"/>
    <w:rsid w:val="00C615D6"/>
    <w:rsid w:val="00C61AE1"/>
    <w:rsid w:val="00C66B72"/>
    <w:rsid w:val="00C76853"/>
    <w:rsid w:val="00C87AC4"/>
    <w:rsid w:val="00C9567A"/>
    <w:rsid w:val="00CA1CF8"/>
    <w:rsid w:val="00CB212D"/>
    <w:rsid w:val="00CB2660"/>
    <w:rsid w:val="00CB6AF3"/>
    <w:rsid w:val="00CB7FF4"/>
    <w:rsid w:val="00CC5E90"/>
    <w:rsid w:val="00CD046C"/>
    <w:rsid w:val="00CE076C"/>
    <w:rsid w:val="00CE5199"/>
    <w:rsid w:val="00CE66D5"/>
    <w:rsid w:val="00CF637A"/>
    <w:rsid w:val="00CF66BF"/>
    <w:rsid w:val="00D015D9"/>
    <w:rsid w:val="00D059DE"/>
    <w:rsid w:val="00D05ABD"/>
    <w:rsid w:val="00D11C26"/>
    <w:rsid w:val="00D13FCE"/>
    <w:rsid w:val="00D16751"/>
    <w:rsid w:val="00D306D1"/>
    <w:rsid w:val="00D30800"/>
    <w:rsid w:val="00D34786"/>
    <w:rsid w:val="00D37BFC"/>
    <w:rsid w:val="00D47A8E"/>
    <w:rsid w:val="00D52D14"/>
    <w:rsid w:val="00D712D3"/>
    <w:rsid w:val="00D71422"/>
    <w:rsid w:val="00D72DC6"/>
    <w:rsid w:val="00D7558D"/>
    <w:rsid w:val="00D81D92"/>
    <w:rsid w:val="00D876F9"/>
    <w:rsid w:val="00D9458F"/>
    <w:rsid w:val="00DA7B5F"/>
    <w:rsid w:val="00DB0633"/>
    <w:rsid w:val="00DC11E7"/>
    <w:rsid w:val="00DC24E3"/>
    <w:rsid w:val="00DC7023"/>
    <w:rsid w:val="00DC769A"/>
    <w:rsid w:val="00DD3D86"/>
    <w:rsid w:val="00DD4AD2"/>
    <w:rsid w:val="00DD51F0"/>
    <w:rsid w:val="00DE2862"/>
    <w:rsid w:val="00DE67BE"/>
    <w:rsid w:val="00DF1EC4"/>
    <w:rsid w:val="00E0340B"/>
    <w:rsid w:val="00E04A90"/>
    <w:rsid w:val="00E0551F"/>
    <w:rsid w:val="00E219C7"/>
    <w:rsid w:val="00E4118C"/>
    <w:rsid w:val="00E43157"/>
    <w:rsid w:val="00E461CE"/>
    <w:rsid w:val="00E573E4"/>
    <w:rsid w:val="00E622E8"/>
    <w:rsid w:val="00E64C3D"/>
    <w:rsid w:val="00E720CA"/>
    <w:rsid w:val="00E84EB5"/>
    <w:rsid w:val="00E85662"/>
    <w:rsid w:val="00E8789F"/>
    <w:rsid w:val="00E97B71"/>
    <w:rsid w:val="00EA3D34"/>
    <w:rsid w:val="00EB454D"/>
    <w:rsid w:val="00EB6034"/>
    <w:rsid w:val="00EC2CFA"/>
    <w:rsid w:val="00EC5C50"/>
    <w:rsid w:val="00ED1DE3"/>
    <w:rsid w:val="00ED549D"/>
    <w:rsid w:val="00ED5E10"/>
    <w:rsid w:val="00ED76BE"/>
    <w:rsid w:val="00EE00E9"/>
    <w:rsid w:val="00EE3E17"/>
    <w:rsid w:val="00EF1AAA"/>
    <w:rsid w:val="00EF619B"/>
    <w:rsid w:val="00F00B55"/>
    <w:rsid w:val="00F02AD1"/>
    <w:rsid w:val="00F253CC"/>
    <w:rsid w:val="00F25B2F"/>
    <w:rsid w:val="00F37106"/>
    <w:rsid w:val="00F42D73"/>
    <w:rsid w:val="00F44E25"/>
    <w:rsid w:val="00F519CF"/>
    <w:rsid w:val="00F56BA5"/>
    <w:rsid w:val="00F60E22"/>
    <w:rsid w:val="00F7542E"/>
    <w:rsid w:val="00F76B82"/>
    <w:rsid w:val="00F81395"/>
    <w:rsid w:val="00F81BB8"/>
    <w:rsid w:val="00F90C64"/>
    <w:rsid w:val="00F917D1"/>
    <w:rsid w:val="00F9653B"/>
    <w:rsid w:val="00F96DAF"/>
    <w:rsid w:val="00FB62CF"/>
    <w:rsid w:val="00FD3C3B"/>
    <w:rsid w:val="00FE07DD"/>
    <w:rsid w:val="00FE43DE"/>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7357F0"/>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7357F0"/>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7357F0"/>
    <w:rPr>
      <w:rFonts w:ascii="Univers" w:hAnsi="Univers"/>
      <w:dstrike w:val="0"/>
      <w:sz w:val="20"/>
      <w:szCs w:val="20"/>
      <w:vertAlign w:val="superscript"/>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image" Target="media/image20.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529DA"/>
    <w:rsid w:val="002A3923"/>
    <w:rsid w:val="00394049"/>
    <w:rsid w:val="003B0C71"/>
    <w:rsid w:val="00464178"/>
    <w:rsid w:val="004B5BBB"/>
    <w:rsid w:val="004F2DF8"/>
    <w:rsid w:val="00517E2A"/>
    <w:rsid w:val="00537A1C"/>
    <w:rsid w:val="006F24A1"/>
    <w:rsid w:val="00772F07"/>
    <w:rsid w:val="00794422"/>
    <w:rsid w:val="009A261B"/>
    <w:rsid w:val="00AA2E17"/>
    <w:rsid w:val="00AC15A4"/>
    <w:rsid w:val="00B0336C"/>
    <w:rsid w:val="00B82626"/>
    <w:rsid w:val="00D241E9"/>
    <w:rsid w:val="00D7750D"/>
    <w:rsid w:val="00E4713A"/>
    <w:rsid w:val="00F00D2F"/>
    <w:rsid w:val="00F128DF"/>
    <w:rsid w:val="00FC5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3D0D0-AF79-4673-8085-2489B1E93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3895</Words>
  <Characters>20141</Characters>
  <Application>Microsoft Office Word</Application>
  <DocSecurity>0</DocSecurity>
  <Lines>314</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373/21</dc:title>
  <dc:creator/>
  <cp:lastModifiedBy/>
  <cp:revision>1</cp:revision>
  <dcterms:created xsi:type="dcterms:W3CDTF">2022-02-15T20:24:00Z</dcterms:created>
  <dcterms:modified xsi:type="dcterms:W3CDTF">2022-02-15T20:25:00Z</dcterms:modified>
</cp:coreProperties>
</file>