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6269" w14:textId="77777777" w:rsidR="000673D0" w:rsidRPr="0090270B" w:rsidRDefault="000673D0" w:rsidP="000673D0">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400E6E85" wp14:editId="04B2C54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D29F1"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5946E9EA" wp14:editId="1088AD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BCBE" w14:textId="77777777" w:rsidR="00185162" w:rsidRDefault="00185162"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6E9E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A26BCBE" w14:textId="77777777" w:rsidR="00185162" w:rsidRDefault="00185162"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Pr>
          <w:rFonts w:asciiTheme="majorHAnsi" w:hAnsiTheme="majorHAnsi" w:cs="Univers"/>
          <w:b/>
          <w:bCs/>
          <w:sz w:val="22"/>
          <w:szCs w:val="22"/>
          <w:lang w:val="es-ES_tradnl"/>
        </w:rPr>
        <w:t xml:space="preserve"> </w:t>
      </w:r>
    </w:p>
    <w:p w14:paraId="397534B4"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6073C012"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539C54D8" w14:textId="77777777" w:rsidR="000673D0" w:rsidRPr="0090270B" w:rsidRDefault="000673D0" w:rsidP="000673D0">
      <w:pPr>
        <w:tabs>
          <w:tab w:val="center" w:pos="5400"/>
        </w:tabs>
        <w:suppressAutoHyphens/>
        <w:rPr>
          <w:rFonts w:asciiTheme="majorHAnsi" w:hAnsiTheme="majorHAnsi"/>
          <w:sz w:val="22"/>
          <w:szCs w:val="22"/>
          <w:lang w:val="es-ES_tradnl"/>
        </w:rPr>
      </w:pPr>
    </w:p>
    <w:p w14:paraId="2F6FC84C" w14:textId="77777777" w:rsidR="000673D0" w:rsidRPr="0090270B" w:rsidRDefault="000673D0" w:rsidP="000673D0">
      <w:pPr>
        <w:tabs>
          <w:tab w:val="center" w:pos="5400"/>
        </w:tabs>
        <w:suppressAutoHyphens/>
        <w:rPr>
          <w:rFonts w:asciiTheme="majorHAnsi" w:hAnsiTheme="majorHAnsi"/>
          <w:sz w:val="22"/>
          <w:szCs w:val="22"/>
          <w:lang w:val="es-ES_tradnl"/>
        </w:rPr>
      </w:pPr>
    </w:p>
    <w:p w14:paraId="6E63DFAD" w14:textId="77777777" w:rsidR="000673D0" w:rsidRPr="0090270B" w:rsidRDefault="000673D0" w:rsidP="000673D0">
      <w:pPr>
        <w:tabs>
          <w:tab w:val="center" w:pos="5400"/>
        </w:tabs>
        <w:suppressAutoHyphens/>
        <w:rPr>
          <w:rFonts w:asciiTheme="majorHAnsi" w:hAnsiTheme="majorHAnsi"/>
          <w:sz w:val="22"/>
          <w:szCs w:val="22"/>
          <w:lang w:val="es-ES_tradnl"/>
        </w:rPr>
      </w:pPr>
    </w:p>
    <w:p w14:paraId="0888E86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748C1A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D3A4F1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0F9891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00C04E0"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823EBF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51FBCA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D95BB77"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6683F5A4" wp14:editId="6F73916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0532B" w14:textId="79FE590C" w:rsidR="00185162" w:rsidRPr="004E2649" w:rsidRDefault="00185162"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E87632">
                              <w:rPr>
                                <w:rFonts w:asciiTheme="majorHAnsi" w:hAnsiTheme="majorHAnsi" w:cs="Arial"/>
                                <w:b/>
                                <w:bCs/>
                                <w:color w:val="0D0D0D" w:themeColor="text1" w:themeTint="F2"/>
                                <w:sz w:val="36"/>
                                <w:szCs w:val="22"/>
                                <w:lang w:val="es-ES_tradnl"/>
                              </w:rPr>
                              <w:t>241</w:t>
                            </w:r>
                            <w:r>
                              <w:rPr>
                                <w:rFonts w:asciiTheme="majorHAnsi" w:hAnsiTheme="majorHAnsi" w:cs="Arial"/>
                                <w:b/>
                                <w:bCs/>
                                <w:color w:val="0D0D0D" w:themeColor="text1" w:themeTint="F2"/>
                                <w:sz w:val="36"/>
                                <w:szCs w:val="22"/>
                                <w:lang w:val="es-ES_tradnl"/>
                              </w:rPr>
                              <w:t>/2</w:t>
                            </w:r>
                            <w:r w:rsidR="008C3E5C">
                              <w:rPr>
                                <w:rFonts w:asciiTheme="majorHAnsi" w:hAnsiTheme="majorHAnsi" w:cs="Arial"/>
                                <w:b/>
                                <w:bCs/>
                                <w:color w:val="0D0D0D" w:themeColor="text1" w:themeTint="F2"/>
                                <w:sz w:val="36"/>
                                <w:szCs w:val="22"/>
                                <w:lang w:val="es-ES_tradnl"/>
                              </w:rPr>
                              <w:t>1</w:t>
                            </w:r>
                          </w:p>
                          <w:p w14:paraId="5626D0A4" w14:textId="7CBF63B7" w:rsidR="00185162" w:rsidRPr="00D85CEC" w:rsidRDefault="00185162"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Pr>
                                <w:rFonts w:ascii="Cambria" w:hAnsi="Cambria" w:cs="Arial"/>
                                <w:b/>
                                <w:color w:val="0D0D0D"/>
                                <w:sz w:val="36"/>
                                <w:szCs w:val="22"/>
                                <w:lang w:val="es-ES_tradnl"/>
                              </w:rPr>
                              <w:t>762-10</w:t>
                            </w:r>
                          </w:p>
                          <w:p w14:paraId="2A1EFAA5" w14:textId="77777777" w:rsidR="00185162" w:rsidRPr="00D85CEC" w:rsidRDefault="00185162"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01826855" w14:textId="77777777" w:rsidR="00185162" w:rsidRPr="00D85CEC" w:rsidRDefault="00185162"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0" w:name="_ftnref1"/>
                          </w:p>
                          <w:p w14:paraId="02E936EF" w14:textId="37AA2BD4" w:rsidR="00185162" w:rsidRPr="00EF4A26" w:rsidRDefault="00185162"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GEOVANNI AGUIRRE SOTO</w:t>
                            </w:r>
                          </w:p>
                          <w:bookmarkEnd w:id="0"/>
                          <w:p w14:paraId="47ED2F30" w14:textId="77777777" w:rsidR="00185162" w:rsidRPr="00D85CEC" w:rsidRDefault="00185162"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D85CEC">
                              <w:rPr>
                                <w:rFonts w:ascii="Cambria" w:hAnsi="Cambria" w:cs="Arial"/>
                                <w:color w:val="0D0D0D"/>
                                <w:szCs w:val="22"/>
                                <w:lang w:val="es-ES_tradnl"/>
                              </w:rPr>
                              <w:t>COLOMBIA</w:t>
                            </w:r>
                          </w:p>
                          <w:p w14:paraId="6D9AEAC1" w14:textId="77777777" w:rsidR="00185162" w:rsidRPr="00AE5488" w:rsidRDefault="00185162" w:rsidP="000673D0">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3F5A4"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6250532B" w14:textId="79FE590C" w:rsidR="00185162" w:rsidRPr="004E2649" w:rsidRDefault="00185162"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E87632">
                        <w:rPr>
                          <w:rFonts w:asciiTheme="majorHAnsi" w:hAnsiTheme="majorHAnsi" w:cs="Arial"/>
                          <w:b/>
                          <w:bCs/>
                          <w:color w:val="0D0D0D" w:themeColor="text1" w:themeTint="F2"/>
                          <w:sz w:val="36"/>
                          <w:szCs w:val="22"/>
                          <w:lang w:val="es-ES_tradnl"/>
                        </w:rPr>
                        <w:t>241</w:t>
                      </w:r>
                      <w:r>
                        <w:rPr>
                          <w:rFonts w:asciiTheme="majorHAnsi" w:hAnsiTheme="majorHAnsi" w:cs="Arial"/>
                          <w:b/>
                          <w:bCs/>
                          <w:color w:val="0D0D0D" w:themeColor="text1" w:themeTint="F2"/>
                          <w:sz w:val="36"/>
                          <w:szCs w:val="22"/>
                          <w:lang w:val="es-ES_tradnl"/>
                        </w:rPr>
                        <w:t>/2</w:t>
                      </w:r>
                      <w:r w:rsidR="008C3E5C">
                        <w:rPr>
                          <w:rFonts w:asciiTheme="majorHAnsi" w:hAnsiTheme="majorHAnsi" w:cs="Arial"/>
                          <w:b/>
                          <w:bCs/>
                          <w:color w:val="0D0D0D" w:themeColor="text1" w:themeTint="F2"/>
                          <w:sz w:val="36"/>
                          <w:szCs w:val="22"/>
                          <w:lang w:val="es-ES_tradnl"/>
                        </w:rPr>
                        <w:t>1</w:t>
                      </w:r>
                    </w:p>
                    <w:p w14:paraId="5626D0A4" w14:textId="7CBF63B7" w:rsidR="00185162" w:rsidRPr="00D85CEC" w:rsidRDefault="00185162"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Pr>
                          <w:rFonts w:ascii="Cambria" w:hAnsi="Cambria" w:cs="Arial"/>
                          <w:b/>
                          <w:color w:val="0D0D0D"/>
                          <w:sz w:val="36"/>
                          <w:szCs w:val="22"/>
                          <w:lang w:val="es-ES_tradnl"/>
                        </w:rPr>
                        <w:t>762-10</w:t>
                      </w:r>
                    </w:p>
                    <w:p w14:paraId="2A1EFAA5" w14:textId="77777777" w:rsidR="00185162" w:rsidRPr="00D85CEC" w:rsidRDefault="00185162"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01826855" w14:textId="77777777" w:rsidR="00185162" w:rsidRPr="00D85CEC" w:rsidRDefault="00185162"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14:paraId="02E936EF" w14:textId="37AA2BD4" w:rsidR="00185162" w:rsidRPr="00EF4A26" w:rsidRDefault="00185162"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GEOVANNI AGUIRRE SOTO</w:t>
                      </w:r>
                    </w:p>
                    <w:bookmarkEnd w:id="1"/>
                    <w:p w14:paraId="47ED2F30" w14:textId="77777777" w:rsidR="00185162" w:rsidRPr="00D85CEC" w:rsidRDefault="00185162"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D85CEC">
                        <w:rPr>
                          <w:rFonts w:ascii="Cambria" w:hAnsi="Cambria" w:cs="Arial"/>
                          <w:color w:val="0D0D0D"/>
                          <w:szCs w:val="22"/>
                          <w:lang w:val="es-ES_tradnl"/>
                        </w:rPr>
                        <w:t>COLOMBIA</w:t>
                      </w:r>
                    </w:p>
                    <w:p w14:paraId="6D9AEAC1" w14:textId="77777777" w:rsidR="00185162" w:rsidRPr="00AE5488" w:rsidRDefault="00185162" w:rsidP="000673D0">
                      <w:pPr>
                        <w:rPr>
                          <w:color w:val="0D0D0D" w:themeColor="text1" w:themeTint="F2"/>
                          <w:lang w:val="es-ES_tradnl"/>
                        </w:rPr>
                      </w:pPr>
                    </w:p>
                  </w:txbxContent>
                </v:textbox>
              </v:shape>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3F9E3426" wp14:editId="334368E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CE493" w14:textId="17BAD3EE" w:rsidR="00185162" w:rsidRPr="004E2649" w:rsidRDefault="00185162" w:rsidP="000673D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449BBFC" w14:textId="4F4664F7" w:rsidR="00185162" w:rsidRPr="004E2649" w:rsidRDefault="00185162" w:rsidP="000673D0">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E87632">
                              <w:rPr>
                                <w:rFonts w:asciiTheme="minorHAnsi" w:hAnsiTheme="minorHAnsi"/>
                                <w:color w:val="FFFFFF" w:themeColor="background1"/>
                                <w:sz w:val="22"/>
                                <w:lang w:val="pt-BR"/>
                              </w:rPr>
                              <w:t>249</w:t>
                            </w:r>
                          </w:p>
                          <w:p w14:paraId="0BBD91A2" w14:textId="3E3B20BF" w:rsidR="00185162" w:rsidRPr="00C25ADB" w:rsidRDefault="00E87632"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 septiembre</w:t>
                            </w:r>
                            <w:r w:rsidR="00185162" w:rsidRPr="00C25ADB">
                              <w:rPr>
                                <w:rFonts w:asciiTheme="minorHAnsi" w:hAnsiTheme="minorHAnsi"/>
                                <w:color w:val="FFFFFF" w:themeColor="background1"/>
                                <w:sz w:val="22"/>
                                <w:lang w:val="es-PA"/>
                              </w:rPr>
                              <w:t xml:space="preserve"> 202</w:t>
                            </w:r>
                            <w:r w:rsidR="00B522AF">
                              <w:rPr>
                                <w:rFonts w:asciiTheme="minorHAnsi" w:hAnsiTheme="minorHAnsi"/>
                                <w:color w:val="FFFFFF" w:themeColor="background1"/>
                                <w:sz w:val="22"/>
                                <w:lang w:val="es-PA"/>
                              </w:rPr>
                              <w:t>1</w:t>
                            </w:r>
                          </w:p>
                          <w:p w14:paraId="0288BA97" w14:textId="77777777" w:rsidR="00185162" w:rsidRPr="00C25ADB" w:rsidRDefault="00185162"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E3426"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B2CE493" w14:textId="17BAD3EE" w:rsidR="00185162" w:rsidRPr="004E2649" w:rsidRDefault="00185162" w:rsidP="000673D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449BBFC" w14:textId="4F4664F7" w:rsidR="00185162" w:rsidRPr="004E2649" w:rsidRDefault="00185162" w:rsidP="000673D0">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E87632">
                        <w:rPr>
                          <w:rFonts w:asciiTheme="minorHAnsi" w:hAnsiTheme="minorHAnsi"/>
                          <w:color w:val="FFFFFF" w:themeColor="background1"/>
                          <w:sz w:val="22"/>
                          <w:lang w:val="pt-BR"/>
                        </w:rPr>
                        <w:t>249</w:t>
                      </w:r>
                    </w:p>
                    <w:p w14:paraId="0BBD91A2" w14:textId="3E3B20BF" w:rsidR="00185162" w:rsidRPr="00C25ADB" w:rsidRDefault="00E87632"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 septiembre</w:t>
                      </w:r>
                      <w:r w:rsidR="00185162" w:rsidRPr="00C25ADB">
                        <w:rPr>
                          <w:rFonts w:asciiTheme="minorHAnsi" w:hAnsiTheme="minorHAnsi"/>
                          <w:color w:val="FFFFFF" w:themeColor="background1"/>
                          <w:sz w:val="22"/>
                          <w:lang w:val="es-PA"/>
                        </w:rPr>
                        <w:t xml:space="preserve"> 202</w:t>
                      </w:r>
                      <w:r w:rsidR="00B522AF">
                        <w:rPr>
                          <w:rFonts w:asciiTheme="minorHAnsi" w:hAnsiTheme="minorHAnsi"/>
                          <w:color w:val="FFFFFF" w:themeColor="background1"/>
                          <w:sz w:val="22"/>
                          <w:lang w:val="es-PA"/>
                        </w:rPr>
                        <w:t>1</w:t>
                      </w:r>
                    </w:p>
                    <w:p w14:paraId="0288BA97" w14:textId="77777777" w:rsidR="00185162" w:rsidRPr="00C25ADB" w:rsidRDefault="00185162"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445D224"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59BB07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0CE2CD6" w14:textId="77777777" w:rsidR="000673D0" w:rsidRPr="0090270B" w:rsidRDefault="000673D0" w:rsidP="000673D0">
      <w:pPr>
        <w:tabs>
          <w:tab w:val="center" w:pos="5400"/>
        </w:tabs>
        <w:suppressAutoHyphens/>
        <w:jc w:val="center"/>
        <w:rPr>
          <w:rFonts w:asciiTheme="majorHAnsi" w:hAnsiTheme="majorHAnsi" w:cs="Arial"/>
          <w:sz w:val="22"/>
          <w:szCs w:val="22"/>
          <w:lang w:val="es-ES_tradnl"/>
        </w:rPr>
      </w:pPr>
    </w:p>
    <w:p w14:paraId="709AD286"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E8B552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24E26A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B2E007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ED5356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46F0F55"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3ABF1F8"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66E728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62BE70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D49DBE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58695F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7333B02"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36B8A5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FA680C0"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51A5FD1F"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EC710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74B88FB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6EB44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D06DC3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2B3BDED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2E086F1"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AA5A52A"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FBE1F63"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BC6FEB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26A618"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1BECB0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3C1C2A41" wp14:editId="1F8DCC4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53FBA" w14:textId="30232525" w:rsidR="00185162" w:rsidRPr="00890650" w:rsidRDefault="00185162"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E87632">
                              <w:rPr>
                                <w:rFonts w:asciiTheme="majorHAnsi" w:hAnsiTheme="majorHAnsi"/>
                                <w:color w:val="0D0D0D" w:themeColor="text1" w:themeTint="F2"/>
                                <w:sz w:val="18"/>
                                <w:szCs w:val="22"/>
                                <w:lang w:val="es-ES"/>
                              </w:rPr>
                              <w:t>17</w:t>
                            </w:r>
                            <w:r w:rsidRPr="00890650">
                              <w:rPr>
                                <w:rFonts w:asciiTheme="majorHAnsi" w:hAnsiTheme="majorHAnsi"/>
                                <w:color w:val="0D0D0D" w:themeColor="text1" w:themeTint="F2"/>
                                <w:sz w:val="18"/>
                                <w:szCs w:val="22"/>
                                <w:lang w:val="es-ES"/>
                              </w:rPr>
                              <w:t xml:space="preserve"> de </w:t>
                            </w:r>
                            <w:r w:rsidR="00E87632">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8C3E5C">
                              <w:rPr>
                                <w:rFonts w:asciiTheme="majorHAnsi" w:hAnsiTheme="majorHAnsi"/>
                                <w:color w:val="0D0D0D" w:themeColor="text1" w:themeTint="F2"/>
                                <w:sz w:val="18"/>
                                <w:szCs w:val="22"/>
                                <w:lang w:val="es-ES"/>
                              </w:rPr>
                              <w:t>1</w:t>
                            </w:r>
                            <w:r w:rsidR="00003C42">
                              <w:rPr>
                                <w:rFonts w:asciiTheme="majorHAnsi" w:hAnsiTheme="majorHAnsi"/>
                                <w:color w:val="0D0D0D" w:themeColor="text1" w:themeTint="F2"/>
                                <w:sz w:val="18"/>
                                <w:szCs w:val="22"/>
                                <w:lang w:val="es-ES"/>
                              </w:rPr>
                              <w:t>.</w:t>
                            </w:r>
                          </w:p>
                          <w:p w14:paraId="4F6ABB5B" w14:textId="77777777" w:rsidR="00185162" w:rsidRPr="007A5817" w:rsidRDefault="00185162"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185162" w:rsidRPr="00167A34" w:rsidRDefault="00185162" w:rsidP="000673D0">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C2A41"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7053FBA" w14:textId="30232525" w:rsidR="00185162" w:rsidRPr="00890650" w:rsidRDefault="00185162"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E87632">
                        <w:rPr>
                          <w:rFonts w:asciiTheme="majorHAnsi" w:hAnsiTheme="majorHAnsi"/>
                          <w:color w:val="0D0D0D" w:themeColor="text1" w:themeTint="F2"/>
                          <w:sz w:val="18"/>
                          <w:szCs w:val="22"/>
                          <w:lang w:val="es-ES"/>
                        </w:rPr>
                        <w:t>17</w:t>
                      </w:r>
                      <w:r w:rsidRPr="00890650">
                        <w:rPr>
                          <w:rFonts w:asciiTheme="majorHAnsi" w:hAnsiTheme="majorHAnsi"/>
                          <w:color w:val="0D0D0D" w:themeColor="text1" w:themeTint="F2"/>
                          <w:sz w:val="18"/>
                          <w:szCs w:val="22"/>
                          <w:lang w:val="es-ES"/>
                        </w:rPr>
                        <w:t xml:space="preserve"> de </w:t>
                      </w:r>
                      <w:r w:rsidR="00E87632">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8C3E5C">
                        <w:rPr>
                          <w:rFonts w:asciiTheme="majorHAnsi" w:hAnsiTheme="majorHAnsi"/>
                          <w:color w:val="0D0D0D" w:themeColor="text1" w:themeTint="F2"/>
                          <w:sz w:val="18"/>
                          <w:szCs w:val="22"/>
                          <w:lang w:val="es-ES"/>
                        </w:rPr>
                        <w:t>1</w:t>
                      </w:r>
                      <w:r w:rsidR="00003C42">
                        <w:rPr>
                          <w:rFonts w:asciiTheme="majorHAnsi" w:hAnsiTheme="majorHAnsi"/>
                          <w:color w:val="0D0D0D" w:themeColor="text1" w:themeTint="F2"/>
                          <w:sz w:val="18"/>
                          <w:szCs w:val="22"/>
                          <w:lang w:val="es-ES"/>
                        </w:rPr>
                        <w:t>.</w:t>
                      </w:r>
                    </w:p>
                    <w:p w14:paraId="4F6ABB5B" w14:textId="77777777" w:rsidR="00185162" w:rsidRPr="007A5817" w:rsidRDefault="00185162"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185162" w:rsidRPr="00167A34" w:rsidRDefault="00185162" w:rsidP="000673D0">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F806D85"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F638D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CEFA9C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1514C6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6ECD0BB"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1DE21F94" wp14:editId="06E2203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F2B52A" w14:textId="76F2748B" w:rsidR="00185162" w:rsidRPr="007B05C4" w:rsidRDefault="00185162" w:rsidP="000673D0">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87632" w:rsidRPr="00E87632">
                              <w:rPr>
                                <w:rFonts w:asciiTheme="majorHAnsi" w:hAnsiTheme="majorHAnsi"/>
                                <w:color w:val="595959" w:themeColor="text1" w:themeTint="A6"/>
                                <w:sz w:val="18"/>
                                <w:szCs w:val="18"/>
                                <w:lang w:val="pt-BR"/>
                              </w:rPr>
                              <w:t>241</w:t>
                            </w:r>
                            <w:r w:rsidRPr="00E87632">
                              <w:rPr>
                                <w:rFonts w:asciiTheme="majorHAnsi" w:hAnsiTheme="majorHAnsi"/>
                                <w:color w:val="595959" w:themeColor="text1" w:themeTint="A6"/>
                                <w:sz w:val="18"/>
                                <w:szCs w:val="18"/>
                                <w:lang w:val="pt-BR"/>
                              </w:rPr>
                              <w:t>/2</w:t>
                            </w:r>
                            <w:r w:rsidR="008C3E5C" w:rsidRPr="00E87632">
                              <w:rPr>
                                <w:rFonts w:asciiTheme="majorHAnsi" w:hAnsiTheme="majorHAnsi"/>
                                <w:color w:val="595959" w:themeColor="text1" w:themeTint="A6"/>
                                <w:sz w:val="18"/>
                                <w:szCs w:val="18"/>
                                <w:lang w:val="pt-BR"/>
                              </w:rPr>
                              <w:t>1</w:t>
                            </w:r>
                            <w:r w:rsidRPr="00E87632">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762-10. </w:t>
                            </w:r>
                            <w:r>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Geovanni Aguirre Soto</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E87632">
                              <w:rPr>
                                <w:rFonts w:asciiTheme="majorHAnsi" w:hAnsiTheme="majorHAnsi"/>
                                <w:color w:val="595959" w:themeColor="text1" w:themeTint="A6"/>
                                <w:sz w:val="18"/>
                                <w:szCs w:val="18"/>
                                <w:lang w:val="es-ES"/>
                              </w:rPr>
                              <w:t>17 de septiembre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1F94"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CF2B52A" w14:textId="76F2748B" w:rsidR="00185162" w:rsidRPr="007B05C4" w:rsidRDefault="00185162" w:rsidP="000673D0">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87632" w:rsidRPr="00E87632">
                        <w:rPr>
                          <w:rFonts w:asciiTheme="majorHAnsi" w:hAnsiTheme="majorHAnsi"/>
                          <w:color w:val="595959" w:themeColor="text1" w:themeTint="A6"/>
                          <w:sz w:val="18"/>
                          <w:szCs w:val="18"/>
                          <w:lang w:val="pt-BR"/>
                        </w:rPr>
                        <w:t>241</w:t>
                      </w:r>
                      <w:r w:rsidRPr="00E87632">
                        <w:rPr>
                          <w:rFonts w:asciiTheme="majorHAnsi" w:hAnsiTheme="majorHAnsi"/>
                          <w:color w:val="595959" w:themeColor="text1" w:themeTint="A6"/>
                          <w:sz w:val="18"/>
                          <w:szCs w:val="18"/>
                          <w:lang w:val="pt-BR"/>
                        </w:rPr>
                        <w:t>/2</w:t>
                      </w:r>
                      <w:r w:rsidR="008C3E5C" w:rsidRPr="00E87632">
                        <w:rPr>
                          <w:rFonts w:asciiTheme="majorHAnsi" w:hAnsiTheme="majorHAnsi"/>
                          <w:color w:val="595959" w:themeColor="text1" w:themeTint="A6"/>
                          <w:sz w:val="18"/>
                          <w:szCs w:val="18"/>
                          <w:lang w:val="pt-BR"/>
                        </w:rPr>
                        <w:t>1</w:t>
                      </w:r>
                      <w:r w:rsidRPr="00E87632">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762-10. </w:t>
                      </w:r>
                      <w:r>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Geovanni Aguirre Soto</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E87632">
                        <w:rPr>
                          <w:rFonts w:asciiTheme="majorHAnsi" w:hAnsiTheme="majorHAnsi"/>
                          <w:color w:val="595959" w:themeColor="text1" w:themeTint="A6"/>
                          <w:sz w:val="18"/>
                          <w:szCs w:val="18"/>
                          <w:lang w:val="es-ES"/>
                        </w:rPr>
                        <w:t>17 de septiembre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16104A1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9F6F1A8" w14:textId="77777777" w:rsidR="000673D0" w:rsidRDefault="000673D0" w:rsidP="000673D0">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2BF9F72E" wp14:editId="2F8C717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CB564" w14:textId="535EB2B3" w:rsidR="00185162" w:rsidRPr="00D72DC6" w:rsidRDefault="008C3529" w:rsidP="000673D0">
                            <w:pPr>
                              <w:rPr>
                                <w:color w:val="FFFFFF" w:themeColor="background1"/>
                                <w14:textFill>
                                  <w14:noFill/>
                                </w14:textFill>
                              </w:rPr>
                            </w:pPr>
                            <w:r>
                              <w:rPr>
                                <w:noProof/>
                              </w:rPr>
                              <w:drawing>
                                <wp:inline distT="0" distB="0" distL="0" distR="0" wp14:anchorId="72FA5DD5" wp14:editId="09EEA84C">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F72E" id="Text Box 9"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561CB564" w14:textId="535EB2B3" w:rsidR="00185162" w:rsidRPr="00D72DC6" w:rsidRDefault="008C3529" w:rsidP="000673D0">
                      <w:pPr>
                        <w:rPr>
                          <w:color w:val="FFFFFF" w:themeColor="background1"/>
                          <w14:textFill>
                            <w14:noFill/>
                          </w14:textFill>
                        </w:rPr>
                      </w:pPr>
                      <w:r>
                        <w:rPr>
                          <w:noProof/>
                        </w:rPr>
                        <w:drawing>
                          <wp:inline distT="0" distB="0" distL="0" distR="0" wp14:anchorId="72FA5DD5" wp14:editId="09EEA84C">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39E975DD" wp14:editId="4C5B696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89E4B" w14:textId="77777777" w:rsidR="00185162" w:rsidRPr="004B7EB6" w:rsidRDefault="00185162"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75DD" id="Text Box 4"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0B589E4B" w14:textId="77777777" w:rsidR="00185162" w:rsidRPr="004B7EB6" w:rsidRDefault="00185162"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A16E54" w14:textId="77777777" w:rsidR="000673D0" w:rsidRDefault="000673D0" w:rsidP="000673D0">
      <w:pPr>
        <w:tabs>
          <w:tab w:val="center" w:pos="5400"/>
        </w:tabs>
        <w:suppressAutoHyphens/>
        <w:jc w:val="center"/>
        <w:rPr>
          <w:rFonts w:asciiTheme="majorHAnsi" w:hAnsiTheme="majorHAnsi"/>
          <w:b/>
          <w:sz w:val="20"/>
          <w:lang w:val="es-ES_tradnl"/>
        </w:rPr>
        <w:sectPr w:rsidR="000673D0"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0912847B" w14:textId="77777777" w:rsidR="000673D0" w:rsidRPr="000673D0" w:rsidRDefault="000673D0" w:rsidP="000673D0">
      <w:pPr>
        <w:spacing w:after="240"/>
        <w:ind w:firstLine="720"/>
        <w:jc w:val="both"/>
        <w:rPr>
          <w:rFonts w:asciiTheme="majorHAnsi" w:hAnsiTheme="majorHAnsi"/>
          <w:b/>
          <w:bCs/>
          <w:sz w:val="20"/>
          <w:szCs w:val="20"/>
          <w:lang w:val="es-ES"/>
        </w:rPr>
      </w:pPr>
      <w:r w:rsidRPr="000673D0">
        <w:rPr>
          <w:rFonts w:asciiTheme="majorHAnsi" w:hAnsiTheme="majorHAnsi"/>
          <w:b/>
          <w:bCs/>
          <w:sz w:val="20"/>
          <w:szCs w:val="20"/>
          <w:lang w:val="es-ES"/>
        </w:rPr>
        <w:lastRenderedPageBreak/>
        <w:t>I.</w:t>
      </w:r>
      <w:r w:rsidRPr="000673D0">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003C42" w14:paraId="325744E4" w14:textId="77777777" w:rsidTr="00B46185">
        <w:tc>
          <w:tcPr>
            <w:tcW w:w="3600" w:type="dxa"/>
            <w:tcBorders>
              <w:top w:val="single" w:sz="4" w:space="0" w:color="auto"/>
              <w:bottom w:val="single" w:sz="6" w:space="0" w:color="auto"/>
            </w:tcBorders>
            <w:shd w:val="clear" w:color="auto" w:fill="386294"/>
            <w:vAlign w:val="center"/>
          </w:tcPr>
          <w:p w14:paraId="26710EBE" w14:textId="77777777" w:rsidR="000673D0" w:rsidRPr="009C6CB7" w:rsidRDefault="000673D0" w:rsidP="00B46185">
            <w:pPr>
              <w:jc w:val="center"/>
              <w:rPr>
                <w:rFonts w:asciiTheme="majorHAnsi" w:hAnsiTheme="majorHAnsi"/>
                <w:b/>
                <w:bCs/>
                <w:color w:val="FFFFFF" w:themeColor="background1"/>
                <w:sz w:val="19"/>
                <w:szCs w:val="19"/>
              </w:rPr>
            </w:pPr>
            <w:proofErr w:type="spellStart"/>
            <w:r w:rsidRPr="009C6CB7">
              <w:rPr>
                <w:rFonts w:asciiTheme="majorHAnsi" w:hAnsiTheme="majorHAnsi"/>
                <w:b/>
                <w:bCs/>
                <w:color w:val="FFFFFF" w:themeColor="background1"/>
                <w:sz w:val="19"/>
                <w:szCs w:val="19"/>
              </w:rPr>
              <w:t>Parte</w:t>
            </w:r>
            <w:proofErr w:type="spellEnd"/>
            <w:r w:rsidRPr="009C6CB7">
              <w:rPr>
                <w:rFonts w:asciiTheme="majorHAnsi" w:hAnsiTheme="majorHAnsi"/>
                <w:b/>
                <w:bCs/>
                <w:color w:val="FFFFFF" w:themeColor="background1"/>
                <w:sz w:val="19"/>
                <w:szCs w:val="19"/>
              </w:rPr>
              <w:t xml:space="preserve"> </w:t>
            </w:r>
            <w:proofErr w:type="spellStart"/>
            <w:r w:rsidRPr="009C6CB7">
              <w:rPr>
                <w:rFonts w:asciiTheme="majorHAnsi" w:hAnsiTheme="majorHAnsi"/>
                <w:b/>
                <w:bCs/>
                <w:color w:val="FFFFFF" w:themeColor="background1"/>
                <w:sz w:val="19"/>
                <w:szCs w:val="19"/>
              </w:rPr>
              <w:t>peticionaria</w:t>
            </w:r>
            <w:proofErr w:type="spellEnd"/>
            <w:r w:rsidRPr="009C6CB7">
              <w:rPr>
                <w:rFonts w:asciiTheme="majorHAnsi" w:hAnsiTheme="majorHAnsi"/>
                <w:b/>
                <w:bCs/>
                <w:color w:val="FFFFFF" w:themeColor="background1"/>
                <w:sz w:val="19"/>
                <w:szCs w:val="19"/>
              </w:rPr>
              <w:t>:</w:t>
            </w:r>
          </w:p>
        </w:tc>
        <w:tc>
          <w:tcPr>
            <w:tcW w:w="5760" w:type="dxa"/>
            <w:vAlign w:val="center"/>
          </w:tcPr>
          <w:p w14:paraId="5A4F615E" w14:textId="11BC9B5D" w:rsidR="000673D0" w:rsidRPr="009C6CB7" w:rsidRDefault="00653F7C" w:rsidP="00B46185">
            <w:pPr>
              <w:jc w:val="both"/>
              <w:rPr>
                <w:rFonts w:asciiTheme="majorHAnsi" w:hAnsiTheme="majorHAnsi"/>
                <w:bCs/>
                <w:sz w:val="19"/>
                <w:szCs w:val="19"/>
                <w:lang w:val="es-PA"/>
              </w:rPr>
            </w:pPr>
            <w:r>
              <w:rPr>
                <w:rFonts w:ascii="Cambria" w:hAnsi="Cambria"/>
                <w:bCs/>
                <w:sz w:val="19"/>
                <w:szCs w:val="19"/>
                <w:lang w:val="es-ES"/>
              </w:rPr>
              <w:t>María Cecil</w:t>
            </w:r>
            <w:r w:rsidR="007D57EE">
              <w:rPr>
                <w:rFonts w:ascii="Cambria" w:hAnsi="Cambria"/>
                <w:bCs/>
                <w:sz w:val="19"/>
                <w:szCs w:val="19"/>
                <w:lang w:val="es-ES"/>
              </w:rPr>
              <w:t>i</w:t>
            </w:r>
            <w:r>
              <w:rPr>
                <w:rFonts w:ascii="Cambria" w:hAnsi="Cambria"/>
                <w:bCs/>
                <w:sz w:val="19"/>
                <w:szCs w:val="19"/>
                <w:lang w:val="es-ES"/>
              </w:rPr>
              <w:t>a Soto de Aguirre</w:t>
            </w:r>
            <w:r>
              <w:rPr>
                <w:rStyle w:val="FootnoteReference"/>
                <w:rFonts w:ascii="Cambria" w:hAnsi="Cambria"/>
                <w:bCs/>
                <w:sz w:val="19"/>
                <w:szCs w:val="19"/>
                <w:lang w:val="es-ES"/>
              </w:rPr>
              <w:footnoteReference w:id="2"/>
            </w:r>
            <w:r>
              <w:rPr>
                <w:rFonts w:ascii="Cambria" w:hAnsi="Cambria"/>
                <w:bCs/>
                <w:sz w:val="19"/>
                <w:szCs w:val="19"/>
                <w:lang w:val="es-ES"/>
              </w:rPr>
              <w:t xml:space="preserve"> y Germán Aguirre Valencia</w:t>
            </w:r>
          </w:p>
        </w:tc>
      </w:tr>
      <w:tr w:rsidR="000673D0" w:rsidRPr="00003C42" w14:paraId="79A5B539" w14:textId="77777777" w:rsidTr="00B46185">
        <w:tc>
          <w:tcPr>
            <w:tcW w:w="3600" w:type="dxa"/>
            <w:tcBorders>
              <w:top w:val="single" w:sz="6" w:space="0" w:color="auto"/>
              <w:bottom w:val="single" w:sz="6" w:space="0" w:color="auto"/>
            </w:tcBorders>
            <w:shd w:val="clear" w:color="auto" w:fill="386294"/>
            <w:vAlign w:val="center"/>
          </w:tcPr>
          <w:p w14:paraId="58FAAE53" w14:textId="77777777" w:rsidR="000673D0" w:rsidRPr="009C6CB7" w:rsidRDefault="0025193C" w:rsidP="00B46185">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6F10F8106C6B41A68AE460B6FEC61D9E"/>
                </w:placeholder>
                <w:dropDownList>
                  <w:listItem w:value="Choose an item."/>
                  <w:listItem w:displayText="Presunta víctima" w:value="Presunta víctima"/>
                  <w:listItem w:displayText="Presuntas víctimas" w:value="Presuntas víctimas"/>
                </w:dropDownList>
              </w:sdtPr>
              <w:sdtEndPr/>
              <w:sdtContent>
                <w:r w:rsidR="000673D0" w:rsidRPr="009C6CB7">
                  <w:rPr>
                    <w:rFonts w:asciiTheme="majorHAnsi" w:hAnsiTheme="majorHAnsi"/>
                    <w:b/>
                    <w:bCs/>
                    <w:color w:val="FFFFFF" w:themeColor="background1"/>
                    <w:sz w:val="19"/>
                    <w:szCs w:val="19"/>
                  </w:rPr>
                  <w:t>Presunta víctima</w:t>
                </w:r>
              </w:sdtContent>
            </w:sdt>
            <w:r w:rsidR="000673D0" w:rsidRPr="009C6CB7">
              <w:rPr>
                <w:rFonts w:asciiTheme="majorHAnsi" w:hAnsiTheme="majorHAnsi"/>
                <w:b/>
                <w:bCs/>
                <w:color w:val="FFFFFF" w:themeColor="background1"/>
                <w:sz w:val="19"/>
                <w:szCs w:val="19"/>
              </w:rPr>
              <w:t>:</w:t>
            </w:r>
          </w:p>
        </w:tc>
        <w:tc>
          <w:tcPr>
            <w:tcW w:w="5760" w:type="dxa"/>
            <w:vAlign w:val="center"/>
          </w:tcPr>
          <w:p w14:paraId="23FE9BA4" w14:textId="07B33208" w:rsidR="000673D0" w:rsidRPr="009C6CB7" w:rsidRDefault="00653F7C" w:rsidP="00B46185">
            <w:pPr>
              <w:jc w:val="both"/>
              <w:rPr>
                <w:rFonts w:asciiTheme="majorHAnsi" w:hAnsiTheme="majorHAnsi"/>
                <w:bCs/>
                <w:sz w:val="19"/>
                <w:szCs w:val="19"/>
                <w:lang w:val="es-ES"/>
              </w:rPr>
            </w:pPr>
            <w:r>
              <w:rPr>
                <w:rFonts w:asciiTheme="majorHAnsi" w:hAnsiTheme="majorHAnsi"/>
                <w:bCs/>
                <w:sz w:val="19"/>
                <w:szCs w:val="19"/>
                <w:lang w:val="es-ES"/>
              </w:rPr>
              <w:t>Geovanni Aguirre Soto</w:t>
            </w:r>
            <w:r w:rsidR="00EF4A26">
              <w:rPr>
                <w:rFonts w:asciiTheme="majorHAnsi" w:hAnsiTheme="majorHAnsi"/>
                <w:bCs/>
                <w:sz w:val="19"/>
                <w:szCs w:val="19"/>
                <w:lang w:val="es-ES"/>
              </w:rPr>
              <w:t xml:space="preserve"> y familiares</w:t>
            </w:r>
            <w:r w:rsidR="00EF4A26">
              <w:rPr>
                <w:rStyle w:val="FootnoteReference"/>
                <w:rFonts w:asciiTheme="majorHAnsi" w:hAnsiTheme="majorHAnsi"/>
                <w:bCs/>
                <w:sz w:val="19"/>
                <w:szCs w:val="19"/>
                <w:lang w:val="es-ES"/>
              </w:rPr>
              <w:footnoteReference w:id="3"/>
            </w:r>
          </w:p>
        </w:tc>
      </w:tr>
      <w:tr w:rsidR="000673D0" w:rsidRPr="009C6CB7" w14:paraId="45362DF7" w14:textId="77777777" w:rsidTr="00B46185">
        <w:tc>
          <w:tcPr>
            <w:tcW w:w="3600" w:type="dxa"/>
            <w:tcBorders>
              <w:top w:val="single" w:sz="6" w:space="0" w:color="auto"/>
              <w:bottom w:val="single" w:sz="6" w:space="0" w:color="auto"/>
            </w:tcBorders>
            <w:shd w:val="clear" w:color="auto" w:fill="386294"/>
            <w:vAlign w:val="center"/>
          </w:tcPr>
          <w:p w14:paraId="652632F5" w14:textId="77777777" w:rsidR="000673D0" w:rsidRPr="009C6CB7" w:rsidRDefault="000673D0" w:rsidP="00B46185">
            <w:pPr>
              <w:jc w:val="center"/>
              <w:rPr>
                <w:rFonts w:asciiTheme="majorHAnsi" w:hAnsiTheme="majorHAnsi"/>
                <w:b/>
                <w:bCs/>
                <w:color w:val="FFFFFF" w:themeColor="background1"/>
                <w:sz w:val="19"/>
                <w:szCs w:val="19"/>
              </w:rPr>
            </w:pPr>
            <w:r w:rsidRPr="009C6CB7">
              <w:rPr>
                <w:rFonts w:asciiTheme="majorHAnsi" w:hAnsiTheme="majorHAnsi"/>
                <w:b/>
                <w:bCs/>
                <w:color w:val="FFFFFF" w:themeColor="background1"/>
                <w:sz w:val="19"/>
                <w:szCs w:val="19"/>
              </w:rPr>
              <w:t xml:space="preserve">Estado </w:t>
            </w:r>
            <w:proofErr w:type="spellStart"/>
            <w:r w:rsidRPr="009C6CB7">
              <w:rPr>
                <w:rFonts w:asciiTheme="majorHAnsi" w:hAnsiTheme="majorHAnsi"/>
                <w:b/>
                <w:bCs/>
                <w:color w:val="FFFFFF" w:themeColor="background1"/>
                <w:sz w:val="19"/>
                <w:szCs w:val="19"/>
              </w:rPr>
              <w:t>denunciado</w:t>
            </w:r>
            <w:proofErr w:type="spellEnd"/>
            <w:r w:rsidRPr="009C6CB7">
              <w:rPr>
                <w:rFonts w:asciiTheme="majorHAnsi" w:hAnsiTheme="majorHAnsi"/>
                <w:b/>
                <w:bCs/>
                <w:color w:val="FFFFFF" w:themeColor="background1"/>
                <w:sz w:val="19"/>
                <w:szCs w:val="19"/>
              </w:rPr>
              <w:t>:</w:t>
            </w:r>
          </w:p>
        </w:tc>
        <w:tc>
          <w:tcPr>
            <w:tcW w:w="5760" w:type="dxa"/>
            <w:vAlign w:val="center"/>
          </w:tcPr>
          <w:p w14:paraId="057DC689" w14:textId="0D9D4510" w:rsidR="000673D0" w:rsidRPr="009C6CB7" w:rsidRDefault="0024546E" w:rsidP="00B46185">
            <w:pPr>
              <w:jc w:val="both"/>
              <w:rPr>
                <w:rFonts w:asciiTheme="majorHAnsi" w:hAnsiTheme="majorHAnsi"/>
                <w:bCs/>
                <w:sz w:val="19"/>
                <w:szCs w:val="19"/>
              </w:rPr>
            </w:pPr>
            <w:r>
              <w:rPr>
                <w:rFonts w:asciiTheme="majorHAnsi" w:hAnsiTheme="majorHAnsi"/>
                <w:bCs/>
                <w:sz w:val="19"/>
                <w:szCs w:val="19"/>
              </w:rPr>
              <w:t>Colombia</w:t>
            </w:r>
          </w:p>
        </w:tc>
      </w:tr>
      <w:tr w:rsidR="000673D0" w:rsidRPr="00003C42" w14:paraId="4329FE9B" w14:textId="77777777" w:rsidTr="00B46185">
        <w:tc>
          <w:tcPr>
            <w:tcW w:w="3600" w:type="dxa"/>
            <w:tcBorders>
              <w:top w:val="single" w:sz="6" w:space="0" w:color="auto"/>
              <w:bottom w:val="single" w:sz="6" w:space="0" w:color="auto"/>
            </w:tcBorders>
            <w:shd w:val="clear" w:color="auto" w:fill="386294"/>
            <w:vAlign w:val="center"/>
          </w:tcPr>
          <w:p w14:paraId="4A8E3F69" w14:textId="77777777" w:rsidR="000673D0" w:rsidRPr="009C6CB7" w:rsidRDefault="000673D0" w:rsidP="00B46185">
            <w:pPr>
              <w:jc w:val="center"/>
              <w:rPr>
                <w:rFonts w:asciiTheme="majorHAnsi" w:hAnsiTheme="majorHAnsi"/>
                <w:b/>
                <w:bCs/>
                <w:color w:val="FFFFFF" w:themeColor="background1"/>
                <w:sz w:val="19"/>
                <w:szCs w:val="19"/>
              </w:rPr>
            </w:pPr>
            <w:r w:rsidRPr="009C6CB7">
              <w:rPr>
                <w:rFonts w:asciiTheme="majorHAnsi" w:hAnsiTheme="majorHAnsi"/>
                <w:b/>
                <w:bCs/>
                <w:color w:val="FFFFFF" w:themeColor="background1"/>
                <w:sz w:val="19"/>
                <w:szCs w:val="19"/>
              </w:rPr>
              <w:t xml:space="preserve">Derechos </w:t>
            </w:r>
            <w:proofErr w:type="spellStart"/>
            <w:r w:rsidRPr="009C6CB7">
              <w:rPr>
                <w:rFonts w:asciiTheme="majorHAnsi" w:hAnsiTheme="majorHAnsi"/>
                <w:b/>
                <w:bCs/>
                <w:color w:val="FFFFFF" w:themeColor="background1"/>
                <w:sz w:val="19"/>
                <w:szCs w:val="19"/>
              </w:rPr>
              <w:t>invocados</w:t>
            </w:r>
            <w:proofErr w:type="spellEnd"/>
            <w:r w:rsidRPr="009C6CB7">
              <w:rPr>
                <w:rFonts w:asciiTheme="majorHAnsi" w:hAnsiTheme="majorHAnsi"/>
                <w:b/>
                <w:bCs/>
                <w:color w:val="FFFFFF" w:themeColor="background1"/>
                <w:sz w:val="19"/>
                <w:szCs w:val="19"/>
              </w:rPr>
              <w:t>:</w:t>
            </w:r>
          </w:p>
        </w:tc>
        <w:tc>
          <w:tcPr>
            <w:tcW w:w="5760" w:type="dxa"/>
            <w:vAlign w:val="center"/>
          </w:tcPr>
          <w:p w14:paraId="4E238173" w14:textId="5B7ED161" w:rsidR="000673D0" w:rsidRPr="00B522AF" w:rsidRDefault="00B522AF" w:rsidP="00653F7C">
            <w:pPr>
              <w:jc w:val="both"/>
              <w:rPr>
                <w:rFonts w:asciiTheme="majorHAnsi" w:hAnsiTheme="majorHAnsi"/>
                <w:bCs/>
                <w:color w:val="FF0000"/>
                <w:sz w:val="19"/>
                <w:szCs w:val="19"/>
                <w:lang w:val="es-PE"/>
              </w:rPr>
            </w:pPr>
            <w:r w:rsidRPr="00B522AF">
              <w:rPr>
                <w:rFonts w:asciiTheme="majorHAnsi" w:hAnsiTheme="majorHAnsi"/>
                <w:bCs/>
                <w:sz w:val="19"/>
                <w:szCs w:val="19"/>
                <w:lang w:val="es-PE"/>
              </w:rPr>
              <w:t>Artículos 4 (derecho a la vida), 5 (derecho a la integridad personal), 8 (garantías judiciales) y 25 (protección judicial)</w:t>
            </w:r>
            <w:r w:rsidR="00653F7C" w:rsidRPr="00B522AF">
              <w:rPr>
                <w:rFonts w:asciiTheme="majorHAnsi" w:hAnsiTheme="majorHAnsi"/>
                <w:bCs/>
                <w:sz w:val="19"/>
                <w:szCs w:val="19"/>
                <w:lang w:val="es-PE"/>
              </w:rPr>
              <w:t xml:space="preserve"> a</w:t>
            </w:r>
            <w:r w:rsidR="00F308F1" w:rsidRPr="00B522AF">
              <w:rPr>
                <w:rFonts w:asciiTheme="majorHAnsi" w:hAnsiTheme="majorHAnsi"/>
                <w:bCs/>
                <w:sz w:val="19"/>
                <w:szCs w:val="19"/>
                <w:lang w:val="es-PE"/>
              </w:rPr>
              <w:t xml:space="preserve"> la Convención Americana Sobre Derechos Humanos</w:t>
            </w:r>
            <w:r w:rsidR="00F308F1" w:rsidRPr="00B522AF">
              <w:rPr>
                <w:rStyle w:val="FootnoteReference"/>
                <w:rFonts w:asciiTheme="majorHAnsi" w:hAnsiTheme="majorHAnsi"/>
                <w:bCs/>
                <w:sz w:val="19"/>
                <w:szCs w:val="19"/>
                <w:lang w:val="es-PE"/>
              </w:rPr>
              <w:footnoteReference w:id="4"/>
            </w:r>
            <w:r w:rsidR="00F308F1" w:rsidRPr="00B522AF">
              <w:rPr>
                <w:rFonts w:asciiTheme="majorHAnsi" w:hAnsiTheme="majorHAnsi"/>
                <w:bCs/>
                <w:sz w:val="19"/>
                <w:szCs w:val="19"/>
                <w:lang w:val="es-PE"/>
              </w:rPr>
              <w:t>;</w:t>
            </w:r>
            <w:r w:rsidR="00653F7C" w:rsidRPr="00B522AF">
              <w:rPr>
                <w:rFonts w:asciiTheme="majorHAnsi" w:hAnsiTheme="majorHAnsi"/>
                <w:bCs/>
                <w:sz w:val="19"/>
                <w:szCs w:val="19"/>
                <w:lang w:val="es-PE"/>
              </w:rPr>
              <w:t xml:space="preserve"> la Convención Interamericana para Prevenir y Sancionar la Tortura; la Convención Interamericana sobre Desaparición Forzada de Personas; </w:t>
            </w:r>
            <w:r w:rsidRPr="00B522AF">
              <w:rPr>
                <w:rFonts w:asciiTheme="majorHAnsi" w:hAnsiTheme="majorHAnsi"/>
                <w:bCs/>
                <w:sz w:val="19"/>
                <w:szCs w:val="19"/>
                <w:lang w:val="es-PE"/>
              </w:rPr>
              <w:t>y la</w:t>
            </w:r>
            <w:r w:rsidR="00F308F1" w:rsidRPr="00B522AF">
              <w:rPr>
                <w:rFonts w:asciiTheme="majorHAnsi" w:hAnsiTheme="majorHAnsi"/>
                <w:bCs/>
                <w:sz w:val="19"/>
                <w:szCs w:val="19"/>
                <w:lang w:val="es-PE"/>
              </w:rPr>
              <w:t xml:space="preserve"> Declaración Americana de Derechos y Deberes del Hombre</w:t>
            </w:r>
            <w:r w:rsidR="00F308F1" w:rsidRPr="00B522AF">
              <w:rPr>
                <w:rStyle w:val="FootnoteReference"/>
                <w:rFonts w:asciiTheme="majorHAnsi" w:hAnsiTheme="majorHAnsi"/>
                <w:bCs/>
                <w:sz w:val="19"/>
                <w:szCs w:val="19"/>
                <w:lang w:val="es-PE"/>
              </w:rPr>
              <w:footnoteReference w:id="5"/>
            </w:r>
            <w:r w:rsidRPr="00B522AF">
              <w:rPr>
                <w:rFonts w:asciiTheme="majorHAnsi" w:hAnsiTheme="majorHAnsi"/>
                <w:bCs/>
                <w:sz w:val="19"/>
                <w:szCs w:val="19"/>
                <w:lang w:val="es-PE"/>
              </w:rPr>
              <w:t>.</w:t>
            </w:r>
            <w:r w:rsidR="008C3E5C" w:rsidRPr="00B522AF">
              <w:rPr>
                <w:rFonts w:asciiTheme="majorHAnsi" w:hAnsiTheme="majorHAnsi"/>
                <w:bCs/>
                <w:sz w:val="19"/>
                <w:szCs w:val="19"/>
                <w:lang w:val="es-PE"/>
              </w:rPr>
              <w:t xml:space="preserve"> </w:t>
            </w:r>
          </w:p>
        </w:tc>
      </w:tr>
    </w:tbl>
    <w:p w14:paraId="3D195461" w14:textId="77777777"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II.</w:t>
      </w:r>
      <w:r w:rsidRPr="009C6CB7">
        <w:rPr>
          <w:rFonts w:asciiTheme="majorHAnsi" w:hAnsiTheme="majorHAnsi"/>
          <w:b/>
          <w:bCs/>
          <w:sz w:val="19"/>
          <w:szCs w:val="19"/>
          <w:lang w:val="es-ES"/>
        </w:rPr>
        <w:tab/>
        <w:t>TRÁMITE ANTE LA CIDH</w:t>
      </w:r>
      <w:r w:rsidRPr="009C6CB7">
        <w:rPr>
          <w:rStyle w:val="FootnoteReference"/>
          <w:rFonts w:asciiTheme="majorHAnsi" w:hAnsiTheme="majorHAnsi"/>
          <w:b/>
          <w:sz w:val="19"/>
          <w:szCs w:val="19"/>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9C6CB7" w14:paraId="6D778EBA" w14:textId="77777777" w:rsidTr="00B46185">
        <w:tc>
          <w:tcPr>
            <w:tcW w:w="3600" w:type="dxa"/>
            <w:tcBorders>
              <w:top w:val="single" w:sz="6" w:space="0" w:color="auto"/>
              <w:bottom w:val="single" w:sz="6" w:space="0" w:color="auto"/>
            </w:tcBorders>
            <w:shd w:val="clear" w:color="auto" w:fill="386294"/>
            <w:vAlign w:val="center"/>
          </w:tcPr>
          <w:p w14:paraId="0FC6DF70" w14:textId="77777777" w:rsidR="000673D0" w:rsidRPr="009C6CB7" w:rsidRDefault="000673D0" w:rsidP="00B46185">
            <w:pPr>
              <w:jc w:val="center"/>
              <w:rPr>
                <w:rFonts w:asciiTheme="majorHAnsi" w:hAnsiTheme="majorHAnsi"/>
                <w:b/>
                <w:bCs/>
                <w:color w:val="FFFFFF" w:themeColor="background1"/>
                <w:sz w:val="19"/>
                <w:szCs w:val="19"/>
                <w:lang w:val="es-ES"/>
              </w:rPr>
            </w:pPr>
            <w:r w:rsidRPr="009C6CB7">
              <w:rPr>
                <w:rFonts w:asciiTheme="majorHAnsi" w:hAnsiTheme="majorHAnsi"/>
                <w:b/>
                <w:bCs/>
                <w:color w:val="FFFFFF" w:themeColor="background1"/>
                <w:sz w:val="19"/>
                <w:szCs w:val="19"/>
                <w:lang w:val="es-ES"/>
              </w:rPr>
              <w:t>Presentación de la petición:</w:t>
            </w:r>
          </w:p>
        </w:tc>
        <w:tc>
          <w:tcPr>
            <w:tcW w:w="5760" w:type="dxa"/>
            <w:vAlign w:val="center"/>
          </w:tcPr>
          <w:p w14:paraId="5B768921" w14:textId="6CB79CA5" w:rsidR="000673D0" w:rsidRPr="009C6CB7" w:rsidRDefault="00467F11" w:rsidP="006C3525">
            <w:pPr>
              <w:jc w:val="both"/>
              <w:rPr>
                <w:rFonts w:asciiTheme="majorHAnsi" w:hAnsiTheme="majorHAnsi"/>
                <w:bCs/>
                <w:sz w:val="19"/>
                <w:szCs w:val="19"/>
                <w:lang w:val="es-ES"/>
              </w:rPr>
            </w:pPr>
            <w:r>
              <w:rPr>
                <w:rFonts w:asciiTheme="majorHAnsi" w:hAnsiTheme="majorHAnsi"/>
                <w:bCs/>
                <w:sz w:val="19"/>
                <w:szCs w:val="19"/>
                <w:lang w:val="es-ES"/>
              </w:rPr>
              <w:t>25 de mayo de 2010</w:t>
            </w:r>
          </w:p>
        </w:tc>
      </w:tr>
      <w:tr w:rsidR="000673D0" w:rsidRPr="009C6CB7" w14:paraId="5511A9CE" w14:textId="77777777" w:rsidTr="00B46185">
        <w:tc>
          <w:tcPr>
            <w:tcW w:w="3600" w:type="dxa"/>
            <w:tcBorders>
              <w:top w:val="single" w:sz="6" w:space="0" w:color="auto"/>
              <w:bottom w:val="single" w:sz="6" w:space="0" w:color="auto"/>
            </w:tcBorders>
            <w:shd w:val="clear" w:color="auto" w:fill="386294"/>
            <w:vAlign w:val="center"/>
          </w:tcPr>
          <w:p w14:paraId="1EAB6A50" w14:textId="77777777" w:rsidR="000673D0" w:rsidRPr="009C6CB7" w:rsidRDefault="000673D0" w:rsidP="00B46185">
            <w:pPr>
              <w:jc w:val="center"/>
              <w:rPr>
                <w:rFonts w:asciiTheme="majorHAnsi" w:hAnsiTheme="majorHAnsi"/>
                <w:b/>
                <w:bCs/>
                <w:color w:val="FFFFFF" w:themeColor="background1"/>
                <w:sz w:val="19"/>
                <w:szCs w:val="19"/>
                <w:lang w:val="es-ES"/>
              </w:rPr>
            </w:pPr>
            <w:r w:rsidRPr="009C6CB7">
              <w:rPr>
                <w:rFonts w:asciiTheme="majorHAnsi" w:hAnsiTheme="majorHAnsi"/>
                <w:b/>
                <w:color w:val="FFFFFF" w:themeColor="background1"/>
                <w:sz w:val="19"/>
                <w:szCs w:val="19"/>
                <w:lang w:val="es-ES"/>
              </w:rPr>
              <w:t>Notificación de la petición al Estado:</w:t>
            </w:r>
          </w:p>
        </w:tc>
        <w:tc>
          <w:tcPr>
            <w:tcW w:w="5760" w:type="dxa"/>
            <w:vAlign w:val="center"/>
          </w:tcPr>
          <w:p w14:paraId="311A328A" w14:textId="6D910784" w:rsidR="000673D0" w:rsidRPr="009C6CB7" w:rsidRDefault="00467F11" w:rsidP="006C3525">
            <w:pPr>
              <w:jc w:val="both"/>
              <w:rPr>
                <w:rFonts w:asciiTheme="majorHAnsi" w:hAnsiTheme="majorHAnsi"/>
                <w:bCs/>
                <w:sz w:val="19"/>
                <w:szCs w:val="19"/>
                <w:lang w:val="es-ES"/>
              </w:rPr>
            </w:pPr>
            <w:r>
              <w:rPr>
                <w:rFonts w:asciiTheme="majorHAnsi" w:hAnsiTheme="majorHAnsi"/>
                <w:bCs/>
                <w:sz w:val="19"/>
                <w:szCs w:val="19"/>
                <w:lang w:val="es-ES"/>
              </w:rPr>
              <w:t>18 de mayo de 2016</w:t>
            </w:r>
          </w:p>
        </w:tc>
      </w:tr>
      <w:tr w:rsidR="000673D0" w:rsidRPr="009C6CB7" w14:paraId="474D175D" w14:textId="77777777" w:rsidTr="00B46185">
        <w:tc>
          <w:tcPr>
            <w:tcW w:w="3600" w:type="dxa"/>
            <w:tcBorders>
              <w:top w:val="single" w:sz="6" w:space="0" w:color="auto"/>
              <w:bottom w:val="single" w:sz="6" w:space="0" w:color="auto"/>
            </w:tcBorders>
            <w:shd w:val="clear" w:color="auto" w:fill="386294"/>
            <w:vAlign w:val="center"/>
          </w:tcPr>
          <w:p w14:paraId="21AC1D3A" w14:textId="77777777" w:rsidR="000673D0" w:rsidRPr="009C6CB7" w:rsidRDefault="000673D0" w:rsidP="00B46185">
            <w:pPr>
              <w:jc w:val="center"/>
              <w:rPr>
                <w:rFonts w:asciiTheme="majorHAnsi" w:hAnsiTheme="majorHAnsi"/>
                <w:b/>
                <w:bCs/>
                <w:color w:val="FFFFFF" w:themeColor="background1"/>
                <w:sz w:val="19"/>
                <w:szCs w:val="19"/>
                <w:lang w:val="es-ES"/>
              </w:rPr>
            </w:pPr>
            <w:r w:rsidRPr="009C6CB7">
              <w:rPr>
                <w:rFonts w:asciiTheme="majorHAnsi" w:hAnsiTheme="majorHAnsi"/>
                <w:b/>
                <w:color w:val="FFFFFF" w:themeColor="background1"/>
                <w:sz w:val="19"/>
                <w:szCs w:val="19"/>
                <w:lang w:val="es-ES"/>
              </w:rPr>
              <w:t>Primera respuesta del Estado:</w:t>
            </w:r>
          </w:p>
        </w:tc>
        <w:tc>
          <w:tcPr>
            <w:tcW w:w="5760" w:type="dxa"/>
            <w:vAlign w:val="center"/>
          </w:tcPr>
          <w:p w14:paraId="62EA084B" w14:textId="1AD97235" w:rsidR="000673D0" w:rsidRPr="009C6CB7" w:rsidRDefault="00467F11" w:rsidP="006C3525">
            <w:pPr>
              <w:jc w:val="both"/>
              <w:rPr>
                <w:rFonts w:asciiTheme="majorHAnsi" w:hAnsiTheme="majorHAnsi"/>
                <w:bCs/>
                <w:sz w:val="19"/>
                <w:szCs w:val="19"/>
                <w:lang w:val="es-ES"/>
              </w:rPr>
            </w:pPr>
            <w:r>
              <w:rPr>
                <w:rFonts w:asciiTheme="majorHAnsi" w:hAnsiTheme="majorHAnsi"/>
                <w:bCs/>
                <w:sz w:val="19"/>
                <w:szCs w:val="19"/>
                <w:lang w:val="es-ES"/>
              </w:rPr>
              <w:t>6 de abril de 2018</w:t>
            </w:r>
          </w:p>
        </w:tc>
      </w:tr>
      <w:tr w:rsidR="0096697B" w:rsidRPr="00EF4A26" w14:paraId="5B03CD16" w14:textId="77777777" w:rsidTr="00B46185">
        <w:tc>
          <w:tcPr>
            <w:tcW w:w="3600" w:type="dxa"/>
            <w:tcBorders>
              <w:top w:val="single" w:sz="6" w:space="0" w:color="auto"/>
              <w:bottom w:val="single" w:sz="6" w:space="0" w:color="auto"/>
            </w:tcBorders>
            <w:shd w:val="clear" w:color="auto" w:fill="386294"/>
            <w:vAlign w:val="center"/>
          </w:tcPr>
          <w:p w14:paraId="61819B75" w14:textId="749FEB2C" w:rsidR="0096697B" w:rsidRPr="009C6CB7" w:rsidRDefault="0096697B" w:rsidP="00B46185">
            <w:pPr>
              <w:jc w:val="center"/>
              <w:rPr>
                <w:rFonts w:asciiTheme="majorHAnsi" w:hAnsiTheme="majorHAnsi"/>
                <w:b/>
                <w:color w:val="FFFFFF" w:themeColor="background1"/>
                <w:sz w:val="19"/>
                <w:szCs w:val="19"/>
                <w:lang w:val="es-ES"/>
              </w:rPr>
            </w:pPr>
            <w:r w:rsidRPr="009C6CB7">
              <w:rPr>
                <w:rFonts w:asciiTheme="majorHAnsi" w:hAnsiTheme="majorHAnsi"/>
                <w:b/>
                <w:bCs/>
                <w:color w:val="FFFFFF" w:themeColor="background1"/>
                <w:sz w:val="19"/>
                <w:szCs w:val="19"/>
                <w:lang w:val="es-ES"/>
              </w:rPr>
              <w:t>Observaciones adicionales de la parte peticionaria:</w:t>
            </w:r>
          </w:p>
        </w:tc>
        <w:tc>
          <w:tcPr>
            <w:tcW w:w="5760" w:type="dxa"/>
            <w:vAlign w:val="center"/>
          </w:tcPr>
          <w:p w14:paraId="4435B23E" w14:textId="1E487D8F" w:rsidR="0096697B" w:rsidRPr="009C6CB7" w:rsidRDefault="00467F11" w:rsidP="006C3525">
            <w:pPr>
              <w:jc w:val="both"/>
              <w:rPr>
                <w:rFonts w:asciiTheme="majorHAnsi" w:hAnsiTheme="majorHAnsi"/>
                <w:bCs/>
                <w:sz w:val="19"/>
                <w:szCs w:val="19"/>
                <w:lang w:val="es-ES"/>
              </w:rPr>
            </w:pPr>
            <w:r>
              <w:rPr>
                <w:rFonts w:asciiTheme="majorHAnsi" w:hAnsiTheme="majorHAnsi"/>
                <w:bCs/>
                <w:sz w:val="19"/>
                <w:szCs w:val="19"/>
                <w:lang w:val="es-ES"/>
              </w:rPr>
              <w:t>7 de diciembre de 2020</w:t>
            </w:r>
            <w:r w:rsidR="0030535D">
              <w:rPr>
                <w:rFonts w:asciiTheme="majorHAnsi" w:hAnsiTheme="majorHAnsi"/>
                <w:bCs/>
                <w:sz w:val="19"/>
                <w:szCs w:val="19"/>
                <w:lang w:val="es-ES"/>
              </w:rPr>
              <w:t xml:space="preserve"> </w:t>
            </w:r>
          </w:p>
        </w:tc>
      </w:tr>
      <w:tr w:rsidR="00467F11" w:rsidRPr="00EF4A26" w14:paraId="54EB7F16" w14:textId="77777777" w:rsidTr="00B46185">
        <w:tc>
          <w:tcPr>
            <w:tcW w:w="3600" w:type="dxa"/>
            <w:tcBorders>
              <w:top w:val="single" w:sz="6" w:space="0" w:color="auto"/>
              <w:bottom w:val="single" w:sz="6" w:space="0" w:color="auto"/>
            </w:tcBorders>
            <w:shd w:val="clear" w:color="auto" w:fill="386294"/>
            <w:vAlign w:val="center"/>
          </w:tcPr>
          <w:p w14:paraId="739D5AD9" w14:textId="0EB3B427" w:rsidR="00467F11" w:rsidRPr="009C6CB7" w:rsidRDefault="00100421" w:rsidP="00B46185">
            <w:pPr>
              <w:jc w:val="center"/>
              <w:rPr>
                <w:rFonts w:asciiTheme="majorHAnsi" w:hAnsiTheme="majorHAnsi"/>
                <w:b/>
                <w:bCs/>
                <w:color w:val="FFFFFF" w:themeColor="background1"/>
                <w:sz w:val="19"/>
                <w:szCs w:val="19"/>
                <w:lang w:val="es-ES"/>
              </w:rPr>
            </w:pPr>
            <w:r>
              <w:rPr>
                <w:rFonts w:ascii="Cambria" w:hAnsi="Cambria"/>
                <w:b/>
                <w:bCs/>
                <w:color w:val="FFFFFF" w:themeColor="background1"/>
                <w:sz w:val="20"/>
                <w:szCs w:val="20"/>
                <w:lang w:val="es-ES"/>
              </w:rPr>
              <w:t>A</w:t>
            </w:r>
            <w:r w:rsidRPr="003239B8">
              <w:rPr>
                <w:rFonts w:ascii="Cambria" w:hAnsi="Cambria"/>
                <w:b/>
                <w:bCs/>
                <w:color w:val="FFFFFF" w:themeColor="background1"/>
                <w:sz w:val="20"/>
                <w:szCs w:val="20"/>
                <w:lang w:val="es-ES"/>
              </w:rPr>
              <w:t>dvertencia sobre posible archivo:</w:t>
            </w:r>
          </w:p>
        </w:tc>
        <w:tc>
          <w:tcPr>
            <w:tcW w:w="5760" w:type="dxa"/>
            <w:vAlign w:val="center"/>
          </w:tcPr>
          <w:p w14:paraId="76B33B01" w14:textId="1B5C0897" w:rsidR="00467F11" w:rsidRDefault="00100421" w:rsidP="006C3525">
            <w:pPr>
              <w:jc w:val="both"/>
              <w:rPr>
                <w:rFonts w:asciiTheme="majorHAnsi" w:hAnsiTheme="majorHAnsi"/>
                <w:bCs/>
                <w:sz w:val="19"/>
                <w:szCs w:val="19"/>
                <w:lang w:val="es-ES"/>
              </w:rPr>
            </w:pPr>
            <w:r>
              <w:rPr>
                <w:rFonts w:asciiTheme="majorHAnsi" w:hAnsiTheme="majorHAnsi"/>
                <w:bCs/>
                <w:sz w:val="19"/>
                <w:szCs w:val="19"/>
                <w:lang w:val="es-ES"/>
              </w:rPr>
              <w:t>7 de octubre de 2020</w:t>
            </w:r>
          </w:p>
        </w:tc>
      </w:tr>
      <w:tr w:rsidR="00100421" w:rsidRPr="00100421" w14:paraId="0B2DF315" w14:textId="77777777" w:rsidTr="00B46185">
        <w:tc>
          <w:tcPr>
            <w:tcW w:w="3600" w:type="dxa"/>
            <w:tcBorders>
              <w:top w:val="single" w:sz="6" w:space="0" w:color="auto"/>
              <w:bottom w:val="single" w:sz="6" w:space="0" w:color="auto"/>
            </w:tcBorders>
            <w:shd w:val="clear" w:color="auto" w:fill="386294"/>
            <w:vAlign w:val="center"/>
          </w:tcPr>
          <w:p w14:paraId="01EB94D9" w14:textId="0B7A889A" w:rsidR="00100421" w:rsidRDefault="00100421" w:rsidP="00B46185">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Pr="003239B8">
              <w:rPr>
                <w:rFonts w:ascii="Cambria" w:hAnsi="Cambria"/>
                <w:b/>
                <w:bCs/>
                <w:color w:val="FFFFFF" w:themeColor="background1"/>
                <w:sz w:val="20"/>
                <w:szCs w:val="20"/>
                <w:lang w:val="es-ES"/>
              </w:rPr>
              <w:t xml:space="preserve">espuesta de la parte peticionaria ante advertencia </w:t>
            </w:r>
            <w:r>
              <w:rPr>
                <w:rFonts w:ascii="Cambria" w:hAnsi="Cambria"/>
                <w:b/>
                <w:bCs/>
                <w:color w:val="FFFFFF" w:themeColor="background1"/>
                <w:sz w:val="20"/>
                <w:szCs w:val="20"/>
                <w:lang w:val="es-ES"/>
              </w:rPr>
              <w:t xml:space="preserve">de </w:t>
            </w:r>
            <w:r w:rsidRPr="003239B8">
              <w:rPr>
                <w:rFonts w:ascii="Cambria" w:hAnsi="Cambria"/>
                <w:b/>
                <w:bCs/>
                <w:color w:val="FFFFFF" w:themeColor="background1"/>
                <w:sz w:val="20"/>
                <w:szCs w:val="20"/>
                <w:lang w:val="es-ES"/>
              </w:rPr>
              <w:t>posible archivo:</w:t>
            </w:r>
          </w:p>
        </w:tc>
        <w:tc>
          <w:tcPr>
            <w:tcW w:w="5760" w:type="dxa"/>
            <w:vAlign w:val="center"/>
          </w:tcPr>
          <w:p w14:paraId="45B9FD0F" w14:textId="4C7E551F" w:rsidR="00100421" w:rsidRDefault="00100421" w:rsidP="00100421">
            <w:pPr>
              <w:jc w:val="both"/>
              <w:rPr>
                <w:rFonts w:asciiTheme="majorHAnsi" w:hAnsiTheme="majorHAnsi"/>
                <w:bCs/>
                <w:sz w:val="19"/>
                <w:szCs w:val="19"/>
                <w:lang w:val="es-ES"/>
              </w:rPr>
            </w:pPr>
            <w:r>
              <w:rPr>
                <w:rFonts w:asciiTheme="majorHAnsi" w:hAnsiTheme="majorHAnsi"/>
                <w:bCs/>
                <w:sz w:val="19"/>
                <w:szCs w:val="19"/>
                <w:lang w:val="es-ES"/>
              </w:rPr>
              <w:t>7 de diciembre de 2020</w:t>
            </w:r>
          </w:p>
        </w:tc>
      </w:tr>
    </w:tbl>
    <w:p w14:paraId="738616C2" w14:textId="77777777"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 xml:space="preserve">III. </w:t>
      </w:r>
      <w:r w:rsidRPr="009C6CB7">
        <w:rPr>
          <w:rFonts w:asciiTheme="majorHAnsi" w:hAnsiTheme="majorHAnsi"/>
          <w:b/>
          <w:bCs/>
          <w:sz w:val="19"/>
          <w:szCs w:val="19"/>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59"/>
        <w:gridCol w:w="5683"/>
      </w:tblGrid>
      <w:tr w:rsidR="000673D0" w:rsidRPr="009C6CB7" w14:paraId="3225DD29" w14:textId="77777777" w:rsidTr="00100421">
        <w:trPr>
          <w:cantSplit/>
        </w:trPr>
        <w:tc>
          <w:tcPr>
            <w:tcW w:w="3559" w:type="dxa"/>
            <w:tcBorders>
              <w:top w:val="single" w:sz="4" w:space="0" w:color="auto"/>
              <w:bottom w:val="single" w:sz="6" w:space="0" w:color="auto"/>
            </w:tcBorders>
            <w:shd w:val="clear" w:color="auto" w:fill="386294"/>
            <w:vAlign w:val="center"/>
          </w:tcPr>
          <w:p w14:paraId="7A2417B8" w14:textId="77777777" w:rsidR="000673D0" w:rsidRPr="009C6CB7" w:rsidRDefault="000673D0" w:rsidP="00B46185">
            <w:pPr>
              <w:jc w:val="center"/>
              <w:rPr>
                <w:rFonts w:asciiTheme="majorHAnsi" w:hAnsiTheme="majorHAnsi"/>
                <w:b/>
                <w:bCs/>
                <w:i/>
                <w:color w:val="FFFFFF" w:themeColor="background1"/>
                <w:sz w:val="19"/>
                <w:szCs w:val="19"/>
              </w:rPr>
            </w:pPr>
            <w:proofErr w:type="spellStart"/>
            <w:r w:rsidRPr="009C6CB7">
              <w:rPr>
                <w:rFonts w:asciiTheme="majorHAnsi" w:hAnsiTheme="majorHAnsi"/>
                <w:b/>
                <w:bCs/>
                <w:color w:val="FFFFFF" w:themeColor="background1"/>
                <w:sz w:val="19"/>
                <w:szCs w:val="19"/>
              </w:rPr>
              <w:t>Competencia</w:t>
            </w:r>
            <w:proofErr w:type="spellEnd"/>
            <w:r w:rsidRPr="009C6CB7">
              <w:rPr>
                <w:rFonts w:asciiTheme="majorHAnsi" w:hAnsiTheme="majorHAnsi"/>
                <w:b/>
                <w:bCs/>
                <w:i/>
                <w:color w:val="FFFFFF" w:themeColor="background1"/>
                <w:sz w:val="19"/>
                <w:szCs w:val="19"/>
              </w:rPr>
              <w:t xml:space="preserve"> </w:t>
            </w:r>
            <w:proofErr w:type="spellStart"/>
            <w:r w:rsidRPr="009C6CB7">
              <w:rPr>
                <w:rFonts w:asciiTheme="majorHAnsi" w:hAnsiTheme="majorHAnsi"/>
                <w:b/>
                <w:bCs/>
                <w:i/>
                <w:color w:val="FFFFFF" w:themeColor="background1"/>
                <w:sz w:val="19"/>
                <w:szCs w:val="19"/>
              </w:rPr>
              <w:t>Ratione</w:t>
            </w:r>
            <w:proofErr w:type="spellEnd"/>
            <w:r w:rsidRPr="009C6CB7">
              <w:rPr>
                <w:rFonts w:asciiTheme="majorHAnsi" w:hAnsiTheme="majorHAnsi"/>
                <w:b/>
                <w:bCs/>
                <w:i/>
                <w:color w:val="FFFFFF" w:themeColor="background1"/>
                <w:sz w:val="19"/>
                <w:szCs w:val="19"/>
              </w:rPr>
              <w:t xml:space="preserve"> personae:</w:t>
            </w:r>
          </w:p>
        </w:tc>
        <w:tc>
          <w:tcPr>
            <w:tcW w:w="5683" w:type="dxa"/>
            <w:vAlign w:val="center"/>
          </w:tcPr>
          <w:p w14:paraId="55AEE8CD" w14:textId="77777777" w:rsidR="000673D0" w:rsidRPr="009C6CB7" w:rsidRDefault="000673D0" w:rsidP="00B46185">
            <w:pPr>
              <w:rPr>
                <w:rFonts w:asciiTheme="majorHAnsi" w:hAnsiTheme="majorHAnsi"/>
                <w:bCs/>
                <w:sz w:val="19"/>
                <w:szCs w:val="19"/>
              </w:rPr>
            </w:pPr>
            <w:r w:rsidRPr="009C6CB7">
              <w:rPr>
                <w:rFonts w:asciiTheme="majorHAnsi" w:hAnsiTheme="majorHAnsi"/>
                <w:bCs/>
                <w:sz w:val="19"/>
                <w:szCs w:val="19"/>
              </w:rPr>
              <w:t>Sí</w:t>
            </w:r>
          </w:p>
        </w:tc>
      </w:tr>
      <w:tr w:rsidR="000673D0" w:rsidRPr="009C6CB7" w14:paraId="10BCE6F2" w14:textId="77777777" w:rsidTr="00100421">
        <w:trPr>
          <w:cantSplit/>
        </w:trPr>
        <w:tc>
          <w:tcPr>
            <w:tcW w:w="3559" w:type="dxa"/>
            <w:tcBorders>
              <w:top w:val="single" w:sz="6" w:space="0" w:color="auto"/>
              <w:bottom w:val="single" w:sz="6" w:space="0" w:color="auto"/>
            </w:tcBorders>
            <w:shd w:val="clear" w:color="auto" w:fill="386294"/>
            <w:vAlign w:val="center"/>
          </w:tcPr>
          <w:p w14:paraId="71A23BD1" w14:textId="77777777" w:rsidR="000673D0" w:rsidRPr="009C6CB7" w:rsidRDefault="000673D0" w:rsidP="00B46185">
            <w:pPr>
              <w:jc w:val="center"/>
              <w:rPr>
                <w:rFonts w:asciiTheme="majorHAnsi" w:hAnsiTheme="majorHAnsi"/>
                <w:b/>
                <w:bCs/>
                <w:color w:val="FFFFFF" w:themeColor="background1"/>
                <w:sz w:val="19"/>
                <w:szCs w:val="19"/>
              </w:rPr>
            </w:pPr>
            <w:proofErr w:type="spellStart"/>
            <w:r w:rsidRPr="009C6CB7">
              <w:rPr>
                <w:rFonts w:asciiTheme="majorHAnsi" w:hAnsiTheme="majorHAnsi"/>
                <w:b/>
                <w:bCs/>
                <w:color w:val="FFFFFF" w:themeColor="background1"/>
                <w:sz w:val="19"/>
                <w:szCs w:val="19"/>
              </w:rPr>
              <w:t>Competencia</w:t>
            </w:r>
            <w:proofErr w:type="spellEnd"/>
            <w:r w:rsidRPr="009C6CB7">
              <w:rPr>
                <w:rFonts w:asciiTheme="majorHAnsi" w:hAnsiTheme="majorHAnsi"/>
                <w:b/>
                <w:bCs/>
                <w:i/>
                <w:color w:val="FFFFFF" w:themeColor="background1"/>
                <w:sz w:val="19"/>
                <w:szCs w:val="19"/>
              </w:rPr>
              <w:t xml:space="preserve"> </w:t>
            </w:r>
            <w:proofErr w:type="spellStart"/>
            <w:r w:rsidRPr="009C6CB7">
              <w:rPr>
                <w:rFonts w:asciiTheme="majorHAnsi" w:hAnsiTheme="majorHAnsi"/>
                <w:b/>
                <w:bCs/>
                <w:i/>
                <w:color w:val="FFFFFF" w:themeColor="background1"/>
                <w:sz w:val="19"/>
                <w:szCs w:val="19"/>
              </w:rPr>
              <w:t>Ratione</w:t>
            </w:r>
            <w:proofErr w:type="spellEnd"/>
            <w:r w:rsidRPr="009C6CB7">
              <w:rPr>
                <w:rFonts w:asciiTheme="majorHAnsi" w:hAnsiTheme="majorHAnsi"/>
                <w:b/>
                <w:bCs/>
                <w:i/>
                <w:color w:val="FFFFFF" w:themeColor="background1"/>
                <w:sz w:val="19"/>
                <w:szCs w:val="19"/>
              </w:rPr>
              <w:t xml:space="preserve"> loci</w:t>
            </w:r>
            <w:r w:rsidRPr="009C6CB7">
              <w:rPr>
                <w:rFonts w:asciiTheme="majorHAnsi" w:hAnsiTheme="majorHAnsi"/>
                <w:b/>
                <w:bCs/>
                <w:color w:val="FFFFFF" w:themeColor="background1"/>
                <w:sz w:val="19"/>
                <w:szCs w:val="19"/>
              </w:rPr>
              <w:t>:</w:t>
            </w:r>
          </w:p>
        </w:tc>
        <w:tc>
          <w:tcPr>
            <w:tcW w:w="5683" w:type="dxa"/>
            <w:vAlign w:val="center"/>
          </w:tcPr>
          <w:p w14:paraId="77DDBD87" w14:textId="77777777" w:rsidR="000673D0" w:rsidRPr="009C6CB7" w:rsidRDefault="000673D0" w:rsidP="00B46185">
            <w:pPr>
              <w:rPr>
                <w:rFonts w:asciiTheme="majorHAnsi" w:hAnsiTheme="majorHAnsi"/>
                <w:bCs/>
                <w:sz w:val="19"/>
                <w:szCs w:val="19"/>
              </w:rPr>
            </w:pPr>
            <w:r w:rsidRPr="009C6CB7">
              <w:rPr>
                <w:rFonts w:asciiTheme="majorHAnsi" w:hAnsiTheme="majorHAnsi"/>
                <w:bCs/>
                <w:sz w:val="19"/>
                <w:szCs w:val="19"/>
              </w:rPr>
              <w:t>Sí</w:t>
            </w:r>
          </w:p>
        </w:tc>
      </w:tr>
      <w:tr w:rsidR="000673D0" w:rsidRPr="008C3E5C" w14:paraId="351D9A06" w14:textId="77777777" w:rsidTr="00100421">
        <w:trPr>
          <w:cantSplit/>
        </w:trPr>
        <w:tc>
          <w:tcPr>
            <w:tcW w:w="3559" w:type="dxa"/>
            <w:tcBorders>
              <w:top w:val="single" w:sz="6" w:space="0" w:color="auto"/>
              <w:bottom w:val="single" w:sz="6" w:space="0" w:color="auto"/>
            </w:tcBorders>
            <w:shd w:val="clear" w:color="auto" w:fill="386294"/>
            <w:vAlign w:val="center"/>
          </w:tcPr>
          <w:p w14:paraId="39F491FA" w14:textId="77777777" w:rsidR="000673D0" w:rsidRPr="009C6CB7" w:rsidRDefault="000673D0" w:rsidP="00B46185">
            <w:pPr>
              <w:jc w:val="center"/>
              <w:rPr>
                <w:rFonts w:asciiTheme="majorHAnsi" w:hAnsiTheme="majorHAnsi"/>
                <w:b/>
                <w:bCs/>
                <w:color w:val="FFFFFF" w:themeColor="background1"/>
                <w:sz w:val="19"/>
                <w:szCs w:val="19"/>
              </w:rPr>
            </w:pPr>
            <w:proofErr w:type="spellStart"/>
            <w:r w:rsidRPr="009C6CB7">
              <w:rPr>
                <w:rFonts w:asciiTheme="majorHAnsi" w:hAnsiTheme="majorHAnsi"/>
                <w:b/>
                <w:bCs/>
                <w:color w:val="FFFFFF" w:themeColor="background1"/>
                <w:sz w:val="19"/>
                <w:szCs w:val="19"/>
              </w:rPr>
              <w:t>Competencia</w:t>
            </w:r>
            <w:proofErr w:type="spellEnd"/>
            <w:r w:rsidRPr="009C6CB7">
              <w:rPr>
                <w:rFonts w:asciiTheme="majorHAnsi" w:hAnsiTheme="majorHAnsi"/>
                <w:b/>
                <w:bCs/>
                <w:i/>
                <w:color w:val="FFFFFF" w:themeColor="background1"/>
                <w:sz w:val="19"/>
                <w:szCs w:val="19"/>
              </w:rPr>
              <w:t xml:space="preserve"> </w:t>
            </w:r>
            <w:proofErr w:type="spellStart"/>
            <w:r w:rsidRPr="009C6CB7">
              <w:rPr>
                <w:rFonts w:asciiTheme="majorHAnsi" w:hAnsiTheme="majorHAnsi"/>
                <w:b/>
                <w:bCs/>
                <w:i/>
                <w:color w:val="FFFFFF" w:themeColor="background1"/>
                <w:sz w:val="19"/>
                <w:szCs w:val="19"/>
              </w:rPr>
              <w:t>Ratione</w:t>
            </w:r>
            <w:proofErr w:type="spellEnd"/>
            <w:r w:rsidRPr="009C6CB7">
              <w:rPr>
                <w:rFonts w:asciiTheme="majorHAnsi" w:hAnsiTheme="majorHAnsi"/>
                <w:b/>
                <w:bCs/>
                <w:i/>
                <w:color w:val="FFFFFF" w:themeColor="background1"/>
                <w:sz w:val="19"/>
                <w:szCs w:val="19"/>
              </w:rPr>
              <w:t xml:space="preserve"> </w:t>
            </w:r>
            <w:proofErr w:type="spellStart"/>
            <w:r w:rsidRPr="009C6CB7">
              <w:rPr>
                <w:rFonts w:asciiTheme="majorHAnsi" w:hAnsiTheme="majorHAnsi"/>
                <w:b/>
                <w:bCs/>
                <w:i/>
                <w:color w:val="FFFFFF" w:themeColor="background1"/>
                <w:sz w:val="19"/>
                <w:szCs w:val="19"/>
              </w:rPr>
              <w:t>temporis</w:t>
            </w:r>
            <w:proofErr w:type="spellEnd"/>
            <w:r w:rsidRPr="009C6CB7">
              <w:rPr>
                <w:rFonts w:asciiTheme="majorHAnsi" w:hAnsiTheme="majorHAnsi"/>
                <w:b/>
                <w:bCs/>
                <w:color w:val="FFFFFF" w:themeColor="background1"/>
                <w:sz w:val="19"/>
                <w:szCs w:val="19"/>
              </w:rPr>
              <w:t>:</w:t>
            </w:r>
          </w:p>
        </w:tc>
        <w:tc>
          <w:tcPr>
            <w:tcW w:w="5683" w:type="dxa"/>
            <w:vAlign w:val="center"/>
          </w:tcPr>
          <w:p w14:paraId="76910945" w14:textId="3603DCE6" w:rsidR="000673D0" w:rsidRPr="009C6CB7" w:rsidRDefault="000673D0" w:rsidP="00CF41C4">
            <w:pPr>
              <w:rPr>
                <w:rFonts w:asciiTheme="majorHAnsi" w:hAnsiTheme="majorHAnsi"/>
                <w:bCs/>
                <w:sz w:val="19"/>
                <w:szCs w:val="19"/>
                <w:lang w:val="es-PA"/>
              </w:rPr>
            </w:pPr>
            <w:r w:rsidRPr="009C6CB7">
              <w:rPr>
                <w:rFonts w:asciiTheme="majorHAnsi" w:hAnsiTheme="majorHAnsi"/>
                <w:bCs/>
                <w:sz w:val="19"/>
                <w:szCs w:val="19"/>
                <w:lang w:val="es-PA"/>
              </w:rPr>
              <w:t>Sí</w:t>
            </w:r>
            <w:r w:rsidR="0030535D">
              <w:rPr>
                <w:rFonts w:asciiTheme="majorHAnsi" w:hAnsiTheme="majorHAnsi"/>
                <w:sz w:val="19"/>
                <w:szCs w:val="19"/>
                <w:lang w:val="es-PA"/>
              </w:rPr>
              <w:t xml:space="preserve"> </w:t>
            </w:r>
          </w:p>
        </w:tc>
      </w:tr>
      <w:tr w:rsidR="000673D0" w:rsidRPr="00003C42" w14:paraId="160B34C2" w14:textId="77777777" w:rsidTr="00100421">
        <w:trPr>
          <w:cantSplit/>
        </w:trPr>
        <w:tc>
          <w:tcPr>
            <w:tcW w:w="3559" w:type="dxa"/>
            <w:tcBorders>
              <w:top w:val="single" w:sz="6" w:space="0" w:color="auto"/>
              <w:bottom w:val="single" w:sz="6" w:space="0" w:color="auto"/>
            </w:tcBorders>
            <w:shd w:val="clear" w:color="auto" w:fill="386294"/>
            <w:vAlign w:val="center"/>
          </w:tcPr>
          <w:p w14:paraId="4BAA98B1" w14:textId="77777777" w:rsidR="000673D0" w:rsidRPr="009C6CB7" w:rsidRDefault="000673D0" w:rsidP="00B46185">
            <w:pPr>
              <w:jc w:val="center"/>
              <w:rPr>
                <w:rFonts w:asciiTheme="majorHAnsi" w:hAnsiTheme="majorHAnsi"/>
                <w:b/>
                <w:bCs/>
                <w:color w:val="FFFFFF" w:themeColor="background1"/>
                <w:sz w:val="19"/>
                <w:szCs w:val="19"/>
              </w:rPr>
            </w:pPr>
            <w:proofErr w:type="spellStart"/>
            <w:r w:rsidRPr="009C6CB7">
              <w:rPr>
                <w:rFonts w:asciiTheme="majorHAnsi" w:hAnsiTheme="majorHAnsi"/>
                <w:b/>
                <w:bCs/>
                <w:color w:val="FFFFFF" w:themeColor="background1"/>
                <w:sz w:val="19"/>
                <w:szCs w:val="19"/>
              </w:rPr>
              <w:t>Competencia</w:t>
            </w:r>
            <w:proofErr w:type="spellEnd"/>
            <w:r w:rsidRPr="009C6CB7">
              <w:rPr>
                <w:rFonts w:asciiTheme="majorHAnsi" w:hAnsiTheme="majorHAnsi"/>
                <w:b/>
                <w:bCs/>
                <w:i/>
                <w:color w:val="FFFFFF" w:themeColor="background1"/>
                <w:sz w:val="19"/>
                <w:szCs w:val="19"/>
              </w:rPr>
              <w:t xml:space="preserve"> </w:t>
            </w:r>
            <w:proofErr w:type="spellStart"/>
            <w:r w:rsidRPr="009C6CB7">
              <w:rPr>
                <w:rFonts w:asciiTheme="majorHAnsi" w:hAnsiTheme="majorHAnsi"/>
                <w:b/>
                <w:bCs/>
                <w:i/>
                <w:color w:val="FFFFFF" w:themeColor="background1"/>
                <w:sz w:val="19"/>
                <w:szCs w:val="19"/>
              </w:rPr>
              <w:t>Ratione</w:t>
            </w:r>
            <w:proofErr w:type="spellEnd"/>
            <w:r w:rsidRPr="009C6CB7">
              <w:rPr>
                <w:rFonts w:asciiTheme="majorHAnsi" w:hAnsiTheme="majorHAnsi"/>
                <w:b/>
                <w:bCs/>
                <w:i/>
                <w:color w:val="FFFFFF" w:themeColor="background1"/>
                <w:sz w:val="19"/>
                <w:szCs w:val="19"/>
              </w:rPr>
              <w:t xml:space="preserve"> </w:t>
            </w:r>
            <w:proofErr w:type="spellStart"/>
            <w:r w:rsidRPr="009C6CB7">
              <w:rPr>
                <w:rFonts w:asciiTheme="majorHAnsi" w:hAnsiTheme="majorHAnsi"/>
                <w:b/>
                <w:bCs/>
                <w:i/>
                <w:color w:val="FFFFFF" w:themeColor="background1"/>
                <w:sz w:val="19"/>
                <w:szCs w:val="19"/>
              </w:rPr>
              <w:t>materiae</w:t>
            </w:r>
            <w:proofErr w:type="spellEnd"/>
            <w:r w:rsidRPr="009C6CB7">
              <w:rPr>
                <w:rFonts w:asciiTheme="majorHAnsi" w:hAnsiTheme="majorHAnsi"/>
                <w:b/>
                <w:bCs/>
                <w:color w:val="FFFFFF" w:themeColor="background1"/>
                <w:sz w:val="19"/>
                <w:szCs w:val="19"/>
              </w:rPr>
              <w:t>:</w:t>
            </w:r>
          </w:p>
        </w:tc>
        <w:tc>
          <w:tcPr>
            <w:tcW w:w="5683" w:type="dxa"/>
            <w:vAlign w:val="center"/>
          </w:tcPr>
          <w:p w14:paraId="78F36C0F" w14:textId="77777777" w:rsidR="0030535D" w:rsidRPr="00D85CEC" w:rsidRDefault="000673D0" w:rsidP="0030535D">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9C6CB7">
              <w:rPr>
                <w:rFonts w:asciiTheme="majorHAnsi" w:hAnsiTheme="majorHAnsi"/>
                <w:bCs/>
                <w:sz w:val="19"/>
                <w:szCs w:val="19"/>
                <w:lang w:val="es-ES"/>
              </w:rPr>
              <w:t xml:space="preserve">Sí, Convención Americana </w:t>
            </w:r>
            <w:r w:rsidR="0030535D" w:rsidRPr="00D85CEC">
              <w:rPr>
                <w:rFonts w:ascii="Cambria" w:hAnsi="Cambria"/>
                <w:bCs/>
                <w:sz w:val="20"/>
                <w:szCs w:val="20"/>
                <w:lang w:val="es-ES"/>
              </w:rPr>
              <w:t>(depósito del instrumento realizado el</w:t>
            </w:r>
          </w:p>
          <w:p w14:paraId="6AB0A733" w14:textId="54E488B8" w:rsidR="000673D0" w:rsidRPr="009C6CB7" w:rsidRDefault="0030535D" w:rsidP="0030535D">
            <w:pPr>
              <w:jc w:val="both"/>
              <w:rPr>
                <w:rFonts w:asciiTheme="majorHAnsi" w:hAnsiTheme="majorHAnsi"/>
                <w:bCs/>
                <w:sz w:val="19"/>
                <w:szCs w:val="19"/>
                <w:lang w:val="es-ES"/>
              </w:rPr>
            </w:pPr>
            <w:r w:rsidRPr="00D85CEC">
              <w:rPr>
                <w:rFonts w:ascii="Cambria" w:hAnsi="Cambria"/>
                <w:bCs/>
                <w:sz w:val="20"/>
                <w:szCs w:val="20"/>
                <w:lang w:val="es-ES"/>
              </w:rPr>
              <w:t>31 de julio de 1973)</w:t>
            </w:r>
            <w:r w:rsidR="00100421">
              <w:rPr>
                <w:rFonts w:ascii="Cambria" w:hAnsi="Cambria"/>
                <w:bCs/>
                <w:sz w:val="20"/>
                <w:szCs w:val="20"/>
                <w:lang w:val="es-ES"/>
              </w:rPr>
              <w:t>; Convención Interamericana para Prevenir y Sancionar la Tortura (depósito del instrumento realizado el 19 de enero de 1999); Convención Interamericana Sobre Desaparición Forzada de Personas (depósito del instrumento realizado el 12 de abril de 2005)</w:t>
            </w:r>
          </w:p>
        </w:tc>
      </w:tr>
    </w:tbl>
    <w:p w14:paraId="46F3B92A" w14:textId="369696BD"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 xml:space="preserve">IV. </w:t>
      </w:r>
      <w:r w:rsidRPr="009C6CB7">
        <w:rPr>
          <w:rFonts w:asciiTheme="majorHAnsi" w:hAnsiTheme="majorHAnsi"/>
          <w:b/>
          <w:bCs/>
          <w:sz w:val="19"/>
          <w:szCs w:val="19"/>
          <w:lang w:val="es-ES"/>
        </w:rPr>
        <w:tab/>
        <w:t>DUPLICACIÓN</w:t>
      </w:r>
      <w:r w:rsidRPr="009C6CB7">
        <w:rPr>
          <w:rFonts w:asciiTheme="majorHAnsi" w:hAnsiTheme="majorHAnsi"/>
          <w:b/>
          <w:bCs/>
          <w:color w:val="FFFFFF" w:themeColor="background1"/>
          <w:sz w:val="19"/>
          <w:szCs w:val="19"/>
          <w:lang w:val="es-ES"/>
        </w:rPr>
        <w:t xml:space="preserve"> </w:t>
      </w:r>
      <w:r w:rsidRPr="009C6CB7">
        <w:rPr>
          <w:rFonts w:asciiTheme="majorHAnsi" w:hAnsiTheme="majorHAnsi"/>
          <w:b/>
          <w:bCs/>
          <w:sz w:val="19"/>
          <w:szCs w:val="19"/>
          <w:lang w:val="es-ES"/>
        </w:rPr>
        <w:t>DE PROCEDIMIENTOS Y COSA JUZGADA</w:t>
      </w:r>
      <w:r w:rsidR="002E4781" w:rsidRPr="009C6CB7">
        <w:rPr>
          <w:rFonts w:asciiTheme="majorHAnsi" w:hAnsiTheme="majorHAnsi"/>
          <w:b/>
          <w:bCs/>
          <w:i/>
          <w:sz w:val="19"/>
          <w:szCs w:val="19"/>
          <w:lang w:val="es-ES"/>
        </w:rPr>
        <w:t xml:space="preserve"> </w:t>
      </w:r>
      <w:r w:rsidR="00CF41C4">
        <w:rPr>
          <w:rFonts w:asciiTheme="majorHAnsi" w:hAnsiTheme="majorHAnsi"/>
          <w:b/>
          <w:bCs/>
          <w:sz w:val="19"/>
          <w:szCs w:val="19"/>
          <w:lang w:val="es-ES"/>
        </w:rPr>
        <w:t xml:space="preserve">INTERNACIONAL, </w:t>
      </w:r>
      <w:r w:rsidRPr="009C6CB7">
        <w:rPr>
          <w:rFonts w:asciiTheme="majorHAnsi" w:hAnsiTheme="majorHAnsi"/>
          <w:b/>
          <w:bCs/>
          <w:sz w:val="19"/>
          <w:szCs w:val="19"/>
          <w:lang w:val="es-ES"/>
        </w:rPr>
        <w:t xml:space="preserve">CARACTERIZACIÓN, </w:t>
      </w:r>
      <w:r w:rsidRPr="009C6CB7">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0673D0" w:rsidRPr="009C6CB7" w14:paraId="3755C687" w14:textId="77777777" w:rsidTr="00B46185">
        <w:trPr>
          <w:cantSplit/>
        </w:trPr>
        <w:tc>
          <w:tcPr>
            <w:tcW w:w="3600" w:type="dxa"/>
            <w:tcBorders>
              <w:top w:val="single" w:sz="4" w:space="0" w:color="auto"/>
              <w:bottom w:val="single" w:sz="6" w:space="0" w:color="auto"/>
            </w:tcBorders>
            <w:shd w:val="clear" w:color="auto" w:fill="386294"/>
            <w:vAlign w:val="center"/>
          </w:tcPr>
          <w:p w14:paraId="0F134D10" w14:textId="77777777" w:rsidR="000673D0" w:rsidRPr="009C6CB7" w:rsidRDefault="000673D0" w:rsidP="00B46185">
            <w:pPr>
              <w:jc w:val="center"/>
              <w:rPr>
                <w:rFonts w:asciiTheme="majorHAnsi" w:hAnsiTheme="majorHAnsi"/>
                <w:b/>
                <w:bCs/>
                <w:color w:val="FFFFFF" w:themeColor="background1"/>
                <w:sz w:val="19"/>
                <w:szCs w:val="19"/>
                <w:lang w:val="es-ES"/>
              </w:rPr>
            </w:pPr>
            <w:r w:rsidRPr="009C6CB7">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14:paraId="72801941" w14:textId="77777777" w:rsidR="000673D0" w:rsidRPr="009C6CB7" w:rsidRDefault="000673D0" w:rsidP="00B46185">
            <w:pPr>
              <w:jc w:val="both"/>
              <w:rPr>
                <w:rFonts w:asciiTheme="majorHAnsi" w:hAnsiTheme="majorHAnsi"/>
                <w:bCs/>
                <w:sz w:val="19"/>
                <w:szCs w:val="19"/>
                <w:lang w:val="es-ES"/>
              </w:rPr>
            </w:pPr>
            <w:r w:rsidRPr="009C6CB7">
              <w:rPr>
                <w:rFonts w:asciiTheme="majorHAnsi" w:hAnsiTheme="majorHAnsi"/>
                <w:bCs/>
                <w:sz w:val="19"/>
                <w:szCs w:val="19"/>
                <w:lang w:val="es-ES"/>
              </w:rPr>
              <w:t>No</w:t>
            </w:r>
          </w:p>
        </w:tc>
      </w:tr>
      <w:tr w:rsidR="000673D0" w:rsidRPr="00003C42" w14:paraId="5733AA78" w14:textId="77777777" w:rsidTr="00B46185">
        <w:trPr>
          <w:cantSplit/>
        </w:trPr>
        <w:tc>
          <w:tcPr>
            <w:tcW w:w="3600" w:type="dxa"/>
            <w:tcBorders>
              <w:top w:val="single" w:sz="4" w:space="0" w:color="auto"/>
              <w:bottom w:val="single" w:sz="6" w:space="0" w:color="auto"/>
            </w:tcBorders>
            <w:shd w:val="clear" w:color="auto" w:fill="386294"/>
            <w:vAlign w:val="center"/>
          </w:tcPr>
          <w:p w14:paraId="70AE02E1" w14:textId="77777777" w:rsidR="000673D0" w:rsidRPr="009C6CB7" w:rsidRDefault="000673D0" w:rsidP="00B46185">
            <w:pPr>
              <w:jc w:val="center"/>
              <w:rPr>
                <w:rFonts w:asciiTheme="majorHAnsi" w:hAnsiTheme="majorHAnsi"/>
                <w:b/>
                <w:bCs/>
                <w:i/>
                <w:color w:val="FFFFFF" w:themeColor="background1"/>
                <w:sz w:val="19"/>
                <w:szCs w:val="19"/>
              </w:rPr>
            </w:pPr>
            <w:r w:rsidRPr="009C6CB7">
              <w:rPr>
                <w:rFonts w:asciiTheme="majorHAnsi" w:hAnsiTheme="majorHAnsi"/>
                <w:b/>
                <w:bCs/>
                <w:color w:val="FFFFFF" w:themeColor="background1"/>
                <w:sz w:val="19"/>
                <w:szCs w:val="19"/>
              </w:rPr>
              <w:t xml:space="preserve">Derechos </w:t>
            </w:r>
            <w:proofErr w:type="spellStart"/>
            <w:r w:rsidRPr="009C6CB7">
              <w:rPr>
                <w:rFonts w:asciiTheme="majorHAnsi" w:hAnsiTheme="majorHAnsi"/>
                <w:b/>
                <w:bCs/>
                <w:color w:val="FFFFFF" w:themeColor="background1"/>
                <w:sz w:val="19"/>
                <w:szCs w:val="19"/>
              </w:rPr>
              <w:t>declarados</w:t>
            </w:r>
            <w:proofErr w:type="spellEnd"/>
            <w:r w:rsidRPr="009C6CB7">
              <w:rPr>
                <w:rFonts w:asciiTheme="majorHAnsi" w:hAnsiTheme="majorHAnsi"/>
                <w:b/>
                <w:bCs/>
                <w:color w:val="FFFFFF" w:themeColor="background1"/>
                <w:sz w:val="19"/>
                <w:szCs w:val="19"/>
              </w:rPr>
              <w:t xml:space="preserve"> </w:t>
            </w:r>
            <w:proofErr w:type="spellStart"/>
            <w:r w:rsidRPr="009C6CB7">
              <w:rPr>
                <w:rFonts w:asciiTheme="majorHAnsi" w:hAnsiTheme="majorHAnsi"/>
                <w:b/>
                <w:bCs/>
                <w:color w:val="FFFFFF" w:themeColor="background1"/>
                <w:sz w:val="19"/>
                <w:szCs w:val="19"/>
              </w:rPr>
              <w:t>admisibles</w:t>
            </w:r>
            <w:proofErr w:type="spellEnd"/>
            <w:r w:rsidRPr="009C6CB7">
              <w:rPr>
                <w:rFonts w:asciiTheme="majorHAnsi" w:hAnsiTheme="majorHAnsi"/>
                <w:b/>
                <w:bCs/>
                <w:i/>
                <w:color w:val="FFFFFF" w:themeColor="background1"/>
                <w:sz w:val="19"/>
                <w:szCs w:val="19"/>
              </w:rPr>
              <w:t>:</w:t>
            </w:r>
          </w:p>
        </w:tc>
        <w:tc>
          <w:tcPr>
            <w:tcW w:w="5760" w:type="dxa"/>
            <w:vAlign w:val="center"/>
          </w:tcPr>
          <w:p w14:paraId="5EB169C6" w14:textId="1303B794" w:rsidR="000673D0" w:rsidRPr="009C6CB7" w:rsidRDefault="00BD49A4" w:rsidP="00100421">
            <w:pPr>
              <w:jc w:val="both"/>
              <w:rPr>
                <w:rFonts w:asciiTheme="majorHAnsi" w:hAnsiTheme="majorHAnsi"/>
                <w:bCs/>
                <w:sz w:val="19"/>
                <w:szCs w:val="19"/>
                <w:lang w:val="es-PA" w:eastAsia="es-ES"/>
              </w:rPr>
            </w:pPr>
            <w:r>
              <w:rPr>
                <w:rFonts w:ascii="Cambria" w:hAnsi="Cambria"/>
                <w:bCs/>
                <w:sz w:val="19"/>
                <w:szCs w:val="19"/>
                <w:lang w:val="es-ES"/>
              </w:rPr>
              <w:t xml:space="preserve">Artículos 3 (personalidad jurídica), 4(vida), 5 (integridad personal), 7 (libertad personal), 8 (garantías judiciales) y 25 (protección judicial) </w:t>
            </w:r>
            <w:r w:rsidRPr="00FF3503">
              <w:rPr>
                <w:rFonts w:ascii="Cambria" w:hAnsi="Cambria"/>
                <w:bCs/>
                <w:sz w:val="19"/>
                <w:szCs w:val="19"/>
                <w:lang w:val="es-PA"/>
              </w:rPr>
              <w:t xml:space="preserve">de la </w:t>
            </w:r>
            <w:r>
              <w:rPr>
                <w:rFonts w:ascii="Cambria" w:hAnsi="Cambria"/>
                <w:bCs/>
                <w:sz w:val="19"/>
                <w:szCs w:val="19"/>
                <w:lang w:val="es-PA"/>
              </w:rPr>
              <w:t>Convención Americana en relación con sus artículos 1.1. (obligación de respetar los derechos) y 2(deber de adoptar disposiciones de derecho interno); artículos 1 y 6 de la Convención Interamericana para Prevenir y Sancionar la Tortura; y artículo I de la Convención Interamericana sobre Desaparición Forzada de Personas</w:t>
            </w:r>
          </w:p>
        </w:tc>
      </w:tr>
      <w:tr w:rsidR="000673D0" w:rsidRPr="00003C42" w14:paraId="56C738B6" w14:textId="77777777" w:rsidTr="00B46185">
        <w:trPr>
          <w:cantSplit/>
        </w:trPr>
        <w:tc>
          <w:tcPr>
            <w:tcW w:w="3600" w:type="dxa"/>
            <w:tcBorders>
              <w:top w:val="single" w:sz="6" w:space="0" w:color="auto"/>
              <w:bottom w:val="single" w:sz="6" w:space="0" w:color="auto"/>
            </w:tcBorders>
            <w:shd w:val="clear" w:color="auto" w:fill="386294"/>
            <w:vAlign w:val="center"/>
          </w:tcPr>
          <w:p w14:paraId="741F99C1" w14:textId="77777777" w:rsidR="000673D0" w:rsidRPr="009C6CB7" w:rsidRDefault="000673D0" w:rsidP="00B46185">
            <w:pPr>
              <w:jc w:val="center"/>
              <w:rPr>
                <w:rFonts w:asciiTheme="majorHAnsi" w:hAnsiTheme="majorHAnsi"/>
                <w:b/>
                <w:bCs/>
                <w:color w:val="FFFFFF" w:themeColor="background1"/>
                <w:sz w:val="19"/>
                <w:szCs w:val="19"/>
                <w:lang w:val="es-ES"/>
              </w:rPr>
            </w:pPr>
            <w:r w:rsidRPr="009C6CB7">
              <w:rPr>
                <w:rFonts w:asciiTheme="majorHAnsi" w:hAnsiTheme="majorHAnsi"/>
                <w:b/>
                <w:bCs/>
                <w:color w:val="FFFFFF" w:themeColor="background1"/>
                <w:sz w:val="19"/>
                <w:szCs w:val="19"/>
                <w:lang w:val="es-ES"/>
              </w:rPr>
              <w:lastRenderedPageBreak/>
              <w:t>Agotamiento de recursos internos o procedencia de una excepción:</w:t>
            </w:r>
          </w:p>
        </w:tc>
        <w:tc>
          <w:tcPr>
            <w:tcW w:w="5760" w:type="dxa"/>
            <w:vAlign w:val="center"/>
          </w:tcPr>
          <w:p w14:paraId="7B5A6AFC" w14:textId="1320A75F" w:rsidR="000673D0" w:rsidRPr="009C6CB7" w:rsidRDefault="00CF41C4" w:rsidP="00CF41C4">
            <w:pPr>
              <w:rPr>
                <w:rFonts w:asciiTheme="majorHAnsi" w:hAnsiTheme="majorHAnsi"/>
                <w:bCs/>
                <w:sz w:val="19"/>
                <w:szCs w:val="19"/>
                <w:lang w:val="es-ES"/>
              </w:rPr>
            </w:pPr>
            <w:r>
              <w:rPr>
                <w:rFonts w:asciiTheme="majorHAnsi" w:hAnsiTheme="majorHAnsi"/>
                <w:bCs/>
                <w:sz w:val="19"/>
                <w:szCs w:val="19"/>
                <w:lang w:val="es-ES"/>
              </w:rPr>
              <w:t>Sí, en los términos de la Sección VI</w:t>
            </w:r>
          </w:p>
        </w:tc>
      </w:tr>
      <w:tr w:rsidR="000673D0" w:rsidRPr="00003C42" w14:paraId="64377EF5" w14:textId="77777777" w:rsidTr="00B46185">
        <w:trPr>
          <w:cantSplit/>
        </w:trPr>
        <w:tc>
          <w:tcPr>
            <w:tcW w:w="3600" w:type="dxa"/>
            <w:tcBorders>
              <w:top w:val="single" w:sz="6" w:space="0" w:color="auto"/>
              <w:bottom w:val="single" w:sz="6" w:space="0" w:color="auto"/>
            </w:tcBorders>
            <w:shd w:val="clear" w:color="auto" w:fill="386294"/>
            <w:vAlign w:val="center"/>
          </w:tcPr>
          <w:p w14:paraId="33D77F00" w14:textId="77777777" w:rsidR="000673D0" w:rsidRPr="009C6CB7" w:rsidRDefault="000673D0" w:rsidP="00B46185">
            <w:pPr>
              <w:jc w:val="center"/>
              <w:rPr>
                <w:rFonts w:asciiTheme="majorHAnsi" w:hAnsiTheme="majorHAnsi"/>
                <w:b/>
                <w:bCs/>
                <w:color w:val="FFFFFF" w:themeColor="background1"/>
                <w:sz w:val="19"/>
                <w:szCs w:val="19"/>
              </w:rPr>
            </w:pPr>
            <w:r w:rsidRPr="009C6CB7">
              <w:rPr>
                <w:rFonts w:asciiTheme="majorHAnsi" w:hAnsiTheme="majorHAnsi"/>
                <w:b/>
                <w:bCs/>
                <w:color w:val="FFFFFF" w:themeColor="background1"/>
                <w:sz w:val="19"/>
                <w:szCs w:val="19"/>
                <w:lang w:val="es-PA"/>
              </w:rPr>
              <w:t xml:space="preserve">Presentación dentro de </w:t>
            </w:r>
            <w:proofErr w:type="spellStart"/>
            <w:r w:rsidRPr="009C6CB7">
              <w:rPr>
                <w:rFonts w:asciiTheme="majorHAnsi" w:hAnsiTheme="majorHAnsi"/>
                <w:b/>
                <w:bCs/>
                <w:color w:val="FFFFFF" w:themeColor="background1"/>
                <w:sz w:val="19"/>
                <w:szCs w:val="19"/>
                <w:lang w:val="es-PA"/>
              </w:rPr>
              <w:t>plaz</w:t>
            </w:r>
            <w:proofErr w:type="spellEnd"/>
            <w:r w:rsidRPr="009C6CB7">
              <w:rPr>
                <w:rFonts w:asciiTheme="majorHAnsi" w:hAnsiTheme="majorHAnsi"/>
                <w:b/>
                <w:bCs/>
                <w:color w:val="FFFFFF" w:themeColor="background1"/>
                <w:sz w:val="19"/>
                <w:szCs w:val="19"/>
              </w:rPr>
              <w:t>o:</w:t>
            </w:r>
          </w:p>
        </w:tc>
        <w:tc>
          <w:tcPr>
            <w:tcW w:w="5760" w:type="dxa"/>
            <w:vAlign w:val="center"/>
          </w:tcPr>
          <w:p w14:paraId="6D2FF784" w14:textId="55230A02" w:rsidR="000673D0" w:rsidRPr="00CF41C4" w:rsidRDefault="00D06F66" w:rsidP="00CF41C4">
            <w:pPr>
              <w:rPr>
                <w:rFonts w:asciiTheme="majorHAnsi" w:hAnsiTheme="majorHAnsi"/>
                <w:bCs/>
                <w:sz w:val="19"/>
                <w:szCs w:val="19"/>
                <w:lang w:val="es-PA"/>
              </w:rPr>
            </w:pPr>
            <w:r w:rsidRPr="00CF41C4">
              <w:rPr>
                <w:rFonts w:asciiTheme="majorHAnsi" w:hAnsiTheme="majorHAnsi"/>
                <w:bCs/>
                <w:sz w:val="19"/>
                <w:szCs w:val="19"/>
                <w:lang w:val="es-PA"/>
              </w:rPr>
              <w:t xml:space="preserve">Sí, </w:t>
            </w:r>
            <w:r w:rsidR="00CF41C4">
              <w:rPr>
                <w:rFonts w:asciiTheme="majorHAnsi" w:hAnsiTheme="majorHAnsi"/>
                <w:bCs/>
                <w:sz w:val="19"/>
                <w:szCs w:val="19"/>
                <w:lang w:val="es-PA"/>
              </w:rPr>
              <w:t>en los términos de la Sección VI</w:t>
            </w:r>
          </w:p>
        </w:tc>
      </w:tr>
    </w:tbl>
    <w:p w14:paraId="2E23A674" w14:textId="77777777" w:rsidR="00A45B39" w:rsidRDefault="00A45B39" w:rsidP="00A45B39">
      <w:pPr>
        <w:ind w:firstLine="720"/>
        <w:jc w:val="both"/>
        <w:rPr>
          <w:rFonts w:asciiTheme="majorHAnsi" w:hAnsiTheme="majorHAnsi"/>
          <w:b/>
          <w:sz w:val="20"/>
          <w:szCs w:val="20"/>
          <w:lang w:val="es-UY"/>
        </w:rPr>
      </w:pPr>
    </w:p>
    <w:p w14:paraId="18E6423B" w14:textId="2E167217" w:rsidR="003239B8" w:rsidRPr="000673D0" w:rsidRDefault="00223A29" w:rsidP="00A45B39">
      <w:pPr>
        <w:ind w:firstLine="720"/>
        <w:jc w:val="both"/>
        <w:rPr>
          <w:rFonts w:asciiTheme="majorHAnsi" w:hAnsiTheme="majorHAnsi"/>
          <w:b/>
          <w:sz w:val="20"/>
          <w:szCs w:val="20"/>
          <w:lang w:val="es-UY"/>
        </w:rPr>
      </w:pPr>
      <w:r w:rsidRPr="000673D0">
        <w:rPr>
          <w:rFonts w:asciiTheme="majorHAnsi" w:hAnsiTheme="majorHAnsi"/>
          <w:b/>
          <w:sz w:val="20"/>
          <w:szCs w:val="20"/>
          <w:lang w:val="es-UY"/>
        </w:rPr>
        <w:t xml:space="preserve">V. </w:t>
      </w:r>
      <w:r w:rsidRPr="000673D0">
        <w:rPr>
          <w:rFonts w:asciiTheme="majorHAnsi" w:hAnsiTheme="majorHAnsi"/>
          <w:b/>
          <w:sz w:val="20"/>
          <w:szCs w:val="20"/>
          <w:lang w:val="es-UY"/>
        </w:rPr>
        <w:tab/>
      </w:r>
      <w:r w:rsidR="003239B8" w:rsidRPr="000673D0">
        <w:rPr>
          <w:rFonts w:asciiTheme="majorHAnsi" w:hAnsiTheme="majorHAnsi"/>
          <w:b/>
          <w:sz w:val="20"/>
          <w:szCs w:val="20"/>
          <w:lang w:val="es-UY"/>
        </w:rPr>
        <w:t xml:space="preserve">HECHOS ALEGADOS </w:t>
      </w:r>
    </w:p>
    <w:p w14:paraId="532435D7" w14:textId="77777777" w:rsidR="00A45B39" w:rsidRPr="00A45B39" w:rsidRDefault="00A45B39" w:rsidP="00A45B3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UY"/>
        </w:rPr>
      </w:pPr>
    </w:p>
    <w:p w14:paraId="6CBA6EB4" w14:textId="28B56D06" w:rsidR="00DA13A2" w:rsidRPr="003B20E8" w:rsidRDefault="004350A0" w:rsidP="00A45B3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r>
        <w:rPr>
          <w:rFonts w:ascii="Cambria" w:hAnsi="Cambria"/>
          <w:bCs/>
          <w:sz w:val="20"/>
          <w:szCs w:val="20"/>
          <w:lang w:val="es-PA"/>
        </w:rPr>
        <w:t>La parte peticionaria</w:t>
      </w:r>
      <w:r w:rsidR="007D57EE">
        <w:rPr>
          <w:rFonts w:ascii="Cambria" w:hAnsi="Cambria"/>
          <w:bCs/>
          <w:sz w:val="20"/>
          <w:szCs w:val="20"/>
          <w:lang w:val="es-PA"/>
        </w:rPr>
        <w:t xml:space="preserve"> denuncia </w:t>
      </w:r>
      <w:r>
        <w:rPr>
          <w:rFonts w:ascii="Cambria" w:hAnsi="Cambria"/>
          <w:bCs/>
          <w:sz w:val="20"/>
          <w:szCs w:val="20"/>
          <w:lang w:val="es-PA"/>
        </w:rPr>
        <w:t>vulneraciones</w:t>
      </w:r>
      <w:r w:rsidR="007D57EE">
        <w:rPr>
          <w:rFonts w:ascii="Cambria" w:hAnsi="Cambria"/>
          <w:bCs/>
          <w:sz w:val="20"/>
          <w:szCs w:val="20"/>
          <w:lang w:val="es-PA"/>
        </w:rPr>
        <w:t xml:space="preserve"> a los derechos humanos de la presunta víctima y sus familiares</w:t>
      </w:r>
      <w:r>
        <w:rPr>
          <w:rFonts w:ascii="Cambria" w:hAnsi="Cambria"/>
          <w:bCs/>
          <w:sz w:val="20"/>
          <w:szCs w:val="20"/>
          <w:lang w:val="es-PA"/>
        </w:rPr>
        <w:t>,</w:t>
      </w:r>
      <w:r w:rsidR="007D57EE">
        <w:rPr>
          <w:rFonts w:ascii="Cambria" w:hAnsi="Cambria"/>
          <w:bCs/>
          <w:sz w:val="20"/>
          <w:szCs w:val="20"/>
          <w:lang w:val="es-PA"/>
        </w:rPr>
        <w:t xml:space="preserve"> </w:t>
      </w:r>
      <w:r w:rsidR="007D57EE" w:rsidRPr="004350A0">
        <w:rPr>
          <w:rFonts w:ascii="Cambria" w:hAnsi="Cambria"/>
          <w:bCs/>
          <w:sz w:val="20"/>
          <w:szCs w:val="20"/>
          <w:lang w:val="es-PA"/>
        </w:rPr>
        <w:t xml:space="preserve">alegando que este fue retenido ilegalmente, torturado y finalmente asesinado por agentes de la policía. También denuncian que el Estado no ha brindado reparación </w:t>
      </w:r>
      <w:r w:rsidR="003B20E8" w:rsidRPr="004350A0">
        <w:rPr>
          <w:rFonts w:ascii="Cambria" w:hAnsi="Cambria"/>
          <w:bCs/>
          <w:sz w:val="20"/>
          <w:szCs w:val="20"/>
          <w:lang w:val="es-PA"/>
        </w:rPr>
        <w:t>a las personas familiares de</w:t>
      </w:r>
      <w:r w:rsidRPr="004350A0">
        <w:rPr>
          <w:rFonts w:ascii="Cambria" w:hAnsi="Cambria"/>
          <w:bCs/>
          <w:sz w:val="20"/>
          <w:szCs w:val="20"/>
          <w:lang w:val="es-PA"/>
        </w:rPr>
        <w:t>l</w:t>
      </w:r>
      <w:r w:rsidR="003B20E8" w:rsidRPr="004350A0">
        <w:rPr>
          <w:rFonts w:ascii="Cambria" w:hAnsi="Cambria"/>
          <w:bCs/>
          <w:sz w:val="20"/>
          <w:szCs w:val="20"/>
          <w:lang w:val="es-PA"/>
        </w:rPr>
        <w:t xml:space="preserve"> </w:t>
      </w:r>
      <w:r w:rsidRPr="004350A0">
        <w:rPr>
          <w:rFonts w:ascii="Cambria" w:hAnsi="Cambria"/>
          <w:bCs/>
          <w:sz w:val="20"/>
          <w:szCs w:val="20"/>
          <w:lang w:val="es-PA"/>
        </w:rPr>
        <w:t xml:space="preserve">señor </w:t>
      </w:r>
      <w:r w:rsidRPr="004350A0">
        <w:rPr>
          <w:rFonts w:asciiTheme="majorHAnsi" w:hAnsiTheme="majorHAnsi"/>
          <w:bCs/>
          <w:sz w:val="20"/>
          <w:szCs w:val="20"/>
          <w:lang w:val="es-ES"/>
        </w:rPr>
        <w:t xml:space="preserve">Aguirre Soto </w:t>
      </w:r>
      <w:r w:rsidR="007D57EE" w:rsidRPr="004350A0">
        <w:rPr>
          <w:rFonts w:ascii="Cambria" w:hAnsi="Cambria"/>
          <w:bCs/>
          <w:sz w:val="20"/>
          <w:szCs w:val="20"/>
          <w:lang w:val="es-PA"/>
        </w:rPr>
        <w:t>por los perjuicios</w:t>
      </w:r>
      <w:r w:rsidR="007D57EE">
        <w:rPr>
          <w:rFonts w:ascii="Cambria" w:hAnsi="Cambria"/>
          <w:bCs/>
          <w:sz w:val="20"/>
          <w:szCs w:val="20"/>
          <w:lang w:val="es-PA"/>
        </w:rPr>
        <w:t xml:space="preserve"> que </w:t>
      </w:r>
      <w:r w:rsidR="003B20E8">
        <w:rPr>
          <w:rFonts w:ascii="Cambria" w:hAnsi="Cambria"/>
          <w:bCs/>
          <w:sz w:val="20"/>
          <w:szCs w:val="20"/>
          <w:lang w:val="es-PA"/>
        </w:rPr>
        <w:t xml:space="preserve">les causaron sus agentes, y que la acción judicial interpuesta para procurar esa reparación no tuvo éxito porque los abogados que contrataron para interponerla incumplieron sus deberes incurriendo en una defensa por omisión de la Policía. </w:t>
      </w:r>
    </w:p>
    <w:p w14:paraId="38AEEF2C" w14:textId="77777777" w:rsidR="00A45B39" w:rsidRPr="00A45B39" w:rsidRDefault="00A45B39" w:rsidP="00A45B3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UY"/>
        </w:rPr>
      </w:pPr>
    </w:p>
    <w:p w14:paraId="5C897E46" w14:textId="2F325335" w:rsidR="003B20E8" w:rsidRPr="00A30D88" w:rsidRDefault="004350A0" w:rsidP="00A45B3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r>
        <w:rPr>
          <w:rFonts w:ascii="Cambria" w:hAnsi="Cambria"/>
          <w:bCs/>
          <w:sz w:val="20"/>
          <w:szCs w:val="20"/>
          <w:lang w:val="es-PA"/>
        </w:rPr>
        <w:t>Relata</w:t>
      </w:r>
      <w:r w:rsidR="003B20E8">
        <w:rPr>
          <w:rFonts w:ascii="Cambria" w:hAnsi="Cambria"/>
          <w:bCs/>
          <w:sz w:val="20"/>
          <w:szCs w:val="20"/>
          <w:lang w:val="es-PA"/>
        </w:rPr>
        <w:t xml:space="preserve"> que el 8 de junio de 2002 la presunta víctima</w:t>
      </w:r>
      <w:r w:rsidR="00105536">
        <w:rPr>
          <w:rFonts w:ascii="Cambria" w:hAnsi="Cambria"/>
          <w:bCs/>
          <w:sz w:val="20"/>
          <w:szCs w:val="20"/>
          <w:lang w:val="es-PA"/>
        </w:rPr>
        <w:t xml:space="preserve"> se encontraba en Medellín donde</w:t>
      </w:r>
      <w:r w:rsidR="003B20E8">
        <w:rPr>
          <w:rFonts w:ascii="Cambria" w:hAnsi="Cambria"/>
          <w:bCs/>
          <w:sz w:val="20"/>
          <w:szCs w:val="20"/>
          <w:lang w:val="es-PA"/>
        </w:rPr>
        <w:t xml:space="preserve"> fue detenido sin razón alguna por</w:t>
      </w:r>
      <w:r w:rsidR="00105536">
        <w:rPr>
          <w:rFonts w:ascii="Cambria" w:hAnsi="Cambria"/>
          <w:bCs/>
          <w:sz w:val="20"/>
          <w:szCs w:val="20"/>
          <w:lang w:val="es-PA"/>
        </w:rPr>
        <w:t xml:space="preserve"> 2</w:t>
      </w:r>
      <w:r w:rsidR="003B20E8">
        <w:rPr>
          <w:rFonts w:ascii="Cambria" w:hAnsi="Cambria"/>
          <w:bCs/>
          <w:sz w:val="20"/>
          <w:szCs w:val="20"/>
          <w:lang w:val="es-PA"/>
        </w:rPr>
        <w:t xml:space="preserve"> agentes de la Policía Nacional</w:t>
      </w:r>
      <w:r w:rsidR="00105536">
        <w:rPr>
          <w:rFonts w:ascii="Cambria" w:hAnsi="Cambria"/>
          <w:bCs/>
          <w:sz w:val="20"/>
          <w:szCs w:val="20"/>
          <w:lang w:val="es-PA"/>
        </w:rPr>
        <w:t>,</w:t>
      </w:r>
      <w:r w:rsidR="003B20E8">
        <w:rPr>
          <w:rFonts w:ascii="Cambria" w:hAnsi="Cambria"/>
          <w:bCs/>
          <w:sz w:val="20"/>
          <w:szCs w:val="20"/>
          <w:lang w:val="es-PA"/>
        </w:rPr>
        <w:t xml:space="preserve"> quienes luego lo entregaron a otros agentes</w:t>
      </w:r>
      <w:r w:rsidR="00105536">
        <w:rPr>
          <w:rFonts w:ascii="Cambria" w:hAnsi="Cambria"/>
          <w:bCs/>
          <w:sz w:val="20"/>
          <w:szCs w:val="20"/>
          <w:lang w:val="es-PA"/>
        </w:rPr>
        <w:t xml:space="preserve"> policiales adscritos a las Seccional de Investigación Criminal (en adelante “SIJIN”). Alega que los agentes de la SIJIN requisaron a la presunta víctima, le quitaron sus pertenencias y documento de identidad, y lo trasladaron hasta un parqueadero público. Indica que, según versión del vigilante del parqueadero, los agentes de la </w:t>
      </w:r>
      <w:r w:rsidR="00A30D88">
        <w:rPr>
          <w:rFonts w:ascii="Cambria" w:hAnsi="Cambria"/>
          <w:bCs/>
          <w:sz w:val="20"/>
          <w:szCs w:val="20"/>
          <w:lang w:val="es-PA"/>
        </w:rPr>
        <w:t>SIJ</w:t>
      </w:r>
      <w:r w:rsidR="00105536">
        <w:rPr>
          <w:rFonts w:ascii="Cambria" w:hAnsi="Cambria"/>
          <w:bCs/>
          <w:sz w:val="20"/>
          <w:szCs w:val="20"/>
          <w:lang w:val="es-PA"/>
        </w:rPr>
        <w:t xml:space="preserve">IN introdujeron a la presunta víctima en el maletero de un carro particular que se encontraba allí guardado para luego partir en ese carro con rumbo desconocido. Señala que el día </w:t>
      </w:r>
      <w:r w:rsidR="00A30D88">
        <w:rPr>
          <w:rFonts w:ascii="Cambria" w:hAnsi="Cambria"/>
          <w:bCs/>
          <w:sz w:val="20"/>
          <w:szCs w:val="20"/>
          <w:lang w:val="es-PA"/>
        </w:rPr>
        <w:t xml:space="preserve">siguiente, 9 de junio de 2002, la presunta víctima fue encontrado muerto en el baúl de un auto con señales de tortura tales como fracturas y algunas partes del cuerpo calcinadas. Agrega que se determinó que la forma de deceso se debió a “heridas ocasionadas al parecer con arma cortopunzante” </w:t>
      </w:r>
    </w:p>
    <w:p w14:paraId="4B1A37FB" w14:textId="77777777" w:rsidR="00A45B39" w:rsidRPr="00A45B39" w:rsidRDefault="00A45B39" w:rsidP="00A45B3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UY"/>
        </w:rPr>
      </w:pPr>
    </w:p>
    <w:p w14:paraId="2029D3C1" w14:textId="2A1A3970" w:rsidR="00C216A0" w:rsidRPr="00C216A0" w:rsidRDefault="00A30D88" w:rsidP="00A45B3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r>
        <w:rPr>
          <w:rFonts w:ascii="Cambria" w:hAnsi="Cambria"/>
          <w:bCs/>
          <w:sz w:val="20"/>
          <w:szCs w:val="20"/>
          <w:lang w:val="es-PA"/>
        </w:rPr>
        <w:t>Continúa relatando que las personas familiares de la presunta víctima contrataron a 2 abogados para que instauraran una demanda de reparación directa a fin de que el Estado y el Ministerio de Defensa – Policía Nacional respondieran patrimonialmente por la muerte de la presunta víctima.</w:t>
      </w:r>
      <w:r w:rsidR="00362B87">
        <w:rPr>
          <w:rFonts w:ascii="Cambria" w:hAnsi="Cambria"/>
          <w:bCs/>
          <w:sz w:val="20"/>
          <w:szCs w:val="20"/>
          <w:lang w:val="es-PA"/>
        </w:rPr>
        <w:t xml:space="preserve"> Indica que los dos abogados asumieron el caso el 10 de octubre de 2002 y</w:t>
      </w:r>
      <w:r>
        <w:rPr>
          <w:rFonts w:ascii="Cambria" w:hAnsi="Cambria"/>
          <w:bCs/>
          <w:sz w:val="20"/>
          <w:szCs w:val="20"/>
          <w:lang w:val="es-PA"/>
        </w:rPr>
        <w:t xml:space="preserve"> </w:t>
      </w:r>
      <w:r w:rsidR="00362B87">
        <w:rPr>
          <w:rFonts w:ascii="Cambria" w:hAnsi="Cambria"/>
          <w:bCs/>
          <w:sz w:val="20"/>
          <w:szCs w:val="20"/>
          <w:lang w:val="es-PA"/>
        </w:rPr>
        <w:t>s</w:t>
      </w:r>
      <w:r w:rsidR="00F04985">
        <w:rPr>
          <w:rFonts w:ascii="Cambria" w:hAnsi="Cambria"/>
          <w:bCs/>
          <w:sz w:val="20"/>
          <w:szCs w:val="20"/>
          <w:lang w:val="es-PA"/>
        </w:rPr>
        <w:t>ostiene que estos no cumplieron con sus deberes durante el desarrollo del proceso de reparación directa</w:t>
      </w:r>
      <w:r w:rsidR="004350A0">
        <w:rPr>
          <w:rFonts w:ascii="Cambria" w:hAnsi="Cambria"/>
          <w:bCs/>
          <w:sz w:val="20"/>
          <w:szCs w:val="20"/>
          <w:lang w:val="es-PA"/>
        </w:rPr>
        <w:t>,</w:t>
      </w:r>
      <w:r w:rsidR="00F04985">
        <w:rPr>
          <w:rFonts w:ascii="Cambria" w:hAnsi="Cambria"/>
          <w:bCs/>
          <w:sz w:val="20"/>
          <w:szCs w:val="20"/>
          <w:lang w:val="es-PA"/>
        </w:rPr>
        <w:t xml:space="preserve"> omitiendo allegar los documentos probatorios que eran pertinentes para el caso. Considera que estos abogados, con su omisión, defendieron a la Policía de ser responsabilizada de violaciones a los derechos fundamentales. Añade </w:t>
      </w:r>
      <w:r w:rsidR="00362B87">
        <w:rPr>
          <w:rFonts w:ascii="Cambria" w:hAnsi="Cambria"/>
          <w:bCs/>
          <w:sz w:val="20"/>
          <w:szCs w:val="20"/>
          <w:lang w:val="es-PA"/>
        </w:rPr>
        <w:t xml:space="preserve">que el 22 de diciembre de 2009 los abogados entregaron a las personas familiares de la presunta víctima copia del fallo emitido por el Tribunal Administrativo de Antioquía el 22 de mayo de 2009 por el cual se negaron todas las súplicas de la demanda de reparación directa. </w:t>
      </w:r>
      <w:r w:rsidR="00056F9F">
        <w:rPr>
          <w:rFonts w:ascii="Cambria" w:hAnsi="Cambria"/>
          <w:bCs/>
          <w:sz w:val="20"/>
          <w:szCs w:val="20"/>
          <w:lang w:val="es-PA"/>
        </w:rPr>
        <w:t xml:space="preserve">Indica que los abogados solo comunicaron la existencia de este fallo luego de que sus poderdantes se lo solicitaran, y que los abogados no tuvieron la diligencia de notificar el fallo a sus </w:t>
      </w:r>
      <w:r w:rsidR="004350A0">
        <w:rPr>
          <w:rFonts w:ascii="Cambria" w:hAnsi="Cambria"/>
          <w:bCs/>
          <w:sz w:val="20"/>
          <w:szCs w:val="20"/>
          <w:lang w:val="es-PA"/>
        </w:rPr>
        <w:t>representados</w:t>
      </w:r>
      <w:r w:rsidR="00056F9F">
        <w:rPr>
          <w:rFonts w:ascii="Cambria" w:hAnsi="Cambria"/>
          <w:bCs/>
          <w:sz w:val="20"/>
          <w:szCs w:val="20"/>
          <w:lang w:val="es-PA"/>
        </w:rPr>
        <w:t xml:space="preserve"> de forma más oportuna y por iniciativa propia</w:t>
      </w:r>
      <w:r w:rsidR="00C216A0">
        <w:rPr>
          <w:rFonts w:ascii="Cambria" w:hAnsi="Cambria"/>
          <w:bCs/>
          <w:sz w:val="20"/>
          <w:szCs w:val="20"/>
          <w:lang w:val="es-PA"/>
        </w:rPr>
        <w:t>. También señala que los abogados solo han entregado a las personas familiares copias de “algunas partes” de los expedientes de los procesos llevados a los policías implicados en la muerte de la presunta víctima</w:t>
      </w:r>
      <w:r w:rsidR="004350A0">
        <w:rPr>
          <w:rFonts w:ascii="Cambria" w:hAnsi="Cambria"/>
          <w:bCs/>
          <w:sz w:val="20"/>
          <w:szCs w:val="20"/>
          <w:lang w:val="es-PA"/>
        </w:rPr>
        <w:t>,</w:t>
      </w:r>
      <w:r w:rsidR="00C216A0">
        <w:rPr>
          <w:rFonts w:ascii="Cambria" w:hAnsi="Cambria"/>
          <w:bCs/>
          <w:sz w:val="20"/>
          <w:szCs w:val="20"/>
          <w:lang w:val="es-PA"/>
        </w:rPr>
        <w:t xml:space="preserve"> pero que no les han brindado información sobre el expediente del proceso de reparación directa para el cual fueron contratados. </w:t>
      </w:r>
    </w:p>
    <w:p w14:paraId="570ECCE6" w14:textId="77777777" w:rsidR="00A45B39" w:rsidRDefault="00A45B39" w:rsidP="00A45B3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UY"/>
        </w:rPr>
      </w:pPr>
    </w:p>
    <w:p w14:paraId="49CB3E07" w14:textId="47E27E29" w:rsidR="00C216A0" w:rsidRDefault="00C216A0" w:rsidP="00A45B3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r>
        <w:rPr>
          <w:rFonts w:ascii="Cambria" w:hAnsi="Cambria"/>
          <w:sz w:val="20"/>
          <w:szCs w:val="20"/>
          <w:lang w:val="es-UY"/>
        </w:rPr>
        <w:t>Manifiesta que la pretensión de la petición es que se sancione a los policías responsables de la muerte de la presunta víctima y que el Estado responda patrimonialmente por el daño antijur</w:t>
      </w:r>
      <w:r w:rsidR="008A2FAB">
        <w:rPr>
          <w:rFonts w:ascii="Cambria" w:hAnsi="Cambria"/>
          <w:sz w:val="20"/>
          <w:szCs w:val="20"/>
          <w:lang w:val="es-UY"/>
        </w:rPr>
        <w:t>ídico causado por sus agentes a las personas familiares de este. También indica</w:t>
      </w:r>
      <w:r w:rsidR="004350A0">
        <w:rPr>
          <w:rFonts w:ascii="Cambria" w:hAnsi="Cambria"/>
          <w:sz w:val="20"/>
          <w:szCs w:val="20"/>
          <w:lang w:val="es-UY"/>
        </w:rPr>
        <w:t xml:space="preserve"> que</w:t>
      </w:r>
      <w:r w:rsidR="008A2FAB">
        <w:rPr>
          <w:rFonts w:ascii="Cambria" w:hAnsi="Cambria"/>
          <w:sz w:val="20"/>
          <w:szCs w:val="20"/>
          <w:lang w:val="es-UY"/>
        </w:rPr>
        <w:t xml:space="preserve"> las personas familiares de</w:t>
      </w:r>
      <w:r w:rsidR="004350A0">
        <w:rPr>
          <w:rFonts w:ascii="Cambria" w:hAnsi="Cambria"/>
          <w:sz w:val="20"/>
          <w:szCs w:val="20"/>
          <w:lang w:val="es-UY"/>
        </w:rPr>
        <w:t xml:space="preserve">l señor </w:t>
      </w:r>
      <w:r w:rsidR="004350A0" w:rsidRPr="004350A0">
        <w:rPr>
          <w:rFonts w:ascii="Cambria" w:hAnsi="Cambria"/>
          <w:sz w:val="20"/>
          <w:szCs w:val="20"/>
          <w:lang w:val="es-UY"/>
        </w:rPr>
        <w:t>Aguirre Soto</w:t>
      </w:r>
      <w:r w:rsidR="008A2FAB">
        <w:rPr>
          <w:rFonts w:ascii="Cambria" w:hAnsi="Cambria"/>
          <w:sz w:val="20"/>
          <w:szCs w:val="20"/>
          <w:lang w:val="es-UY"/>
        </w:rPr>
        <w:t xml:space="preserve"> han consultado con </w:t>
      </w:r>
      <w:r w:rsidR="007E11B8">
        <w:rPr>
          <w:rFonts w:ascii="Cambria" w:hAnsi="Cambria"/>
          <w:sz w:val="20"/>
          <w:szCs w:val="20"/>
          <w:lang w:val="es-UY"/>
        </w:rPr>
        <w:t>autoridades del Estado y con abogados particulares</w:t>
      </w:r>
      <w:r w:rsidR="008A2FAB">
        <w:rPr>
          <w:rFonts w:ascii="Cambria" w:hAnsi="Cambria"/>
          <w:sz w:val="20"/>
          <w:szCs w:val="20"/>
          <w:lang w:val="es-UY"/>
        </w:rPr>
        <w:t xml:space="preserve"> </w:t>
      </w:r>
      <w:r w:rsidR="007E11B8">
        <w:rPr>
          <w:rFonts w:ascii="Cambria" w:hAnsi="Cambria"/>
          <w:sz w:val="20"/>
          <w:szCs w:val="20"/>
          <w:lang w:val="es-UY"/>
        </w:rPr>
        <w:t>quienes les han sugerido que</w:t>
      </w:r>
      <w:r w:rsidR="008A2FAB">
        <w:rPr>
          <w:rFonts w:ascii="Cambria" w:hAnsi="Cambria"/>
          <w:sz w:val="20"/>
          <w:szCs w:val="20"/>
          <w:lang w:val="es-UY"/>
        </w:rPr>
        <w:t xml:space="preserve"> demanden a los abogados que llevaron el caso de reparación directa por negligencia </w:t>
      </w:r>
      <w:r w:rsidR="007E11B8">
        <w:rPr>
          <w:rFonts w:ascii="Cambria" w:hAnsi="Cambria"/>
          <w:sz w:val="20"/>
          <w:szCs w:val="20"/>
          <w:lang w:val="es-UY"/>
        </w:rPr>
        <w:t>y</w:t>
      </w:r>
      <w:r w:rsidR="008A2FAB">
        <w:rPr>
          <w:rFonts w:ascii="Cambria" w:hAnsi="Cambria"/>
          <w:sz w:val="20"/>
          <w:szCs w:val="20"/>
          <w:lang w:val="es-UY"/>
        </w:rPr>
        <w:t xml:space="preserve"> que presenten nuevamente la demanda con otros abogados</w:t>
      </w:r>
      <w:r w:rsidR="007E11B8">
        <w:rPr>
          <w:rFonts w:ascii="Cambria" w:hAnsi="Cambria"/>
          <w:sz w:val="20"/>
          <w:szCs w:val="20"/>
          <w:lang w:val="es-UY"/>
        </w:rPr>
        <w:t xml:space="preserve">, Sin embargo, sostiene que no les ha sido posible seguir estas recomendaciones porque ningún profesional o entidad ha querido retomar el caso o asumir la demanda contra los abogados originales. </w:t>
      </w:r>
    </w:p>
    <w:p w14:paraId="7FEAE690" w14:textId="77777777" w:rsidR="00A45B39" w:rsidRDefault="00A45B39" w:rsidP="00A45B3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UY"/>
        </w:rPr>
      </w:pPr>
    </w:p>
    <w:p w14:paraId="2A113FEE" w14:textId="6DD783DF" w:rsidR="007E11B8" w:rsidRDefault="007E11B8" w:rsidP="00A45B3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r>
        <w:rPr>
          <w:rFonts w:ascii="Cambria" w:hAnsi="Cambria"/>
          <w:sz w:val="20"/>
          <w:szCs w:val="20"/>
          <w:lang w:val="es-UY"/>
        </w:rPr>
        <w:t xml:space="preserve">El Estado, por su parte, considera que la petición </w:t>
      </w:r>
      <w:r w:rsidR="00895D4B">
        <w:rPr>
          <w:rFonts w:ascii="Cambria" w:hAnsi="Cambria"/>
          <w:sz w:val="20"/>
          <w:szCs w:val="20"/>
          <w:lang w:val="es-UY"/>
        </w:rPr>
        <w:t>debe ser inadmitida por extemporánea</w:t>
      </w:r>
      <w:r w:rsidR="00532250">
        <w:rPr>
          <w:rFonts w:ascii="Cambria" w:hAnsi="Cambria"/>
          <w:sz w:val="20"/>
          <w:szCs w:val="20"/>
          <w:lang w:val="es-UY"/>
        </w:rPr>
        <w:t xml:space="preserve">. Explica </w:t>
      </w:r>
      <w:r w:rsidR="004350A0">
        <w:rPr>
          <w:rFonts w:ascii="Cambria" w:hAnsi="Cambria"/>
          <w:sz w:val="20"/>
          <w:szCs w:val="20"/>
          <w:lang w:val="es-UY"/>
        </w:rPr>
        <w:t xml:space="preserve">que </w:t>
      </w:r>
      <w:r w:rsidR="00431513">
        <w:rPr>
          <w:rFonts w:ascii="Cambria" w:hAnsi="Cambria"/>
          <w:sz w:val="20"/>
          <w:szCs w:val="20"/>
          <w:lang w:val="es-UY"/>
        </w:rPr>
        <w:t>a nivel doméstico</w:t>
      </w:r>
      <w:r w:rsidR="00895D4B">
        <w:rPr>
          <w:rFonts w:ascii="Cambria" w:hAnsi="Cambria"/>
          <w:sz w:val="20"/>
          <w:szCs w:val="20"/>
          <w:lang w:val="es-UY"/>
        </w:rPr>
        <w:t xml:space="preserve"> se adelantaron 3 procesos</w:t>
      </w:r>
      <w:r w:rsidR="00431513">
        <w:rPr>
          <w:rFonts w:ascii="Cambria" w:hAnsi="Cambria"/>
          <w:sz w:val="20"/>
          <w:szCs w:val="20"/>
          <w:lang w:val="es-UY"/>
        </w:rPr>
        <w:t xml:space="preserve"> relacionados con los hechos planteados en la petición</w:t>
      </w:r>
      <w:r w:rsidR="00895D4B">
        <w:rPr>
          <w:rFonts w:ascii="Cambria" w:hAnsi="Cambria"/>
          <w:sz w:val="20"/>
          <w:szCs w:val="20"/>
          <w:lang w:val="es-UY"/>
        </w:rPr>
        <w:t>:</w:t>
      </w:r>
      <w:r w:rsidR="00532250">
        <w:rPr>
          <w:rFonts w:ascii="Cambria" w:hAnsi="Cambria"/>
          <w:sz w:val="20"/>
          <w:szCs w:val="20"/>
          <w:lang w:val="es-UY"/>
        </w:rPr>
        <w:t xml:space="preserve"> uno penal, uno disciplinario y uno pertinente a una demanda de reparación d</w:t>
      </w:r>
      <w:r w:rsidR="00431513">
        <w:rPr>
          <w:rFonts w:ascii="Cambria" w:hAnsi="Cambria"/>
          <w:sz w:val="20"/>
          <w:szCs w:val="20"/>
          <w:lang w:val="es-UY"/>
        </w:rPr>
        <w:t xml:space="preserve">irecta. Indica </w:t>
      </w:r>
      <w:r w:rsidR="00895D4B">
        <w:rPr>
          <w:rFonts w:ascii="Cambria" w:hAnsi="Cambria"/>
          <w:sz w:val="20"/>
          <w:szCs w:val="20"/>
          <w:lang w:val="es-UY"/>
        </w:rPr>
        <w:t>que todos estos procesos concluyeron de forma definitiva más de 6 meses antes de la fecha en que la petición fue presentada. Por esta razón, sostiene que la petición fue presentada fuera del plazo para la presentación de peticiones</w:t>
      </w:r>
      <w:r w:rsidR="004350A0">
        <w:rPr>
          <w:rFonts w:ascii="Cambria" w:hAnsi="Cambria"/>
          <w:sz w:val="20"/>
          <w:szCs w:val="20"/>
          <w:lang w:val="es-UY"/>
        </w:rPr>
        <w:t>,</w:t>
      </w:r>
      <w:r w:rsidR="00895D4B">
        <w:rPr>
          <w:rFonts w:ascii="Cambria" w:hAnsi="Cambria"/>
          <w:sz w:val="20"/>
          <w:szCs w:val="20"/>
          <w:lang w:val="es-UY"/>
        </w:rPr>
        <w:t xml:space="preserve"> previsto en el artículo 46.1(b) de la Convención Americana. </w:t>
      </w:r>
    </w:p>
    <w:p w14:paraId="0C8C0339" w14:textId="77777777" w:rsidR="00A45B39" w:rsidRDefault="00A45B39" w:rsidP="00A45B3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UY"/>
        </w:rPr>
      </w:pPr>
    </w:p>
    <w:p w14:paraId="4DBE6BE2" w14:textId="0E80B99C" w:rsidR="00595B47" w:rsidRDefault="00431513" w:rsidP="00A45B3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UY"/>
        </w:rPr>
      </w:pPr>
      <w:r w:rsidRPr="00B522AF">
        <w:rPr>
          <w:rFonts w:ascii="Cambria" w:hAnsi="Cambria"/>
          <w:sz w:val="20"/>
          <w:szCs w:val="20"/>
          <w:lang w:val="es-UY"/>
        </w:rPr>
        <w:t>En cuanto al proceso penal</w:t>
      </w:r>
      <w:r w:rsidR="00A45B39">
        <w:rPr>
          <w:rFonts w:ascii="Cambria" w:hAnsi="Cambria"/>
          <w:sz w:val="20"/>
          <w:szCs w:val="20"/>
          <w:lang w:val="es-UY"/>
        </w:rPr>
        <w:t>,</w:t>
      </w:r>
      <w:r w:rsidRPr="00B522AF">
        <w:rPr>
          <w:rFonts w:ascii="Cambria" w:hAnsi="Cambria"/>
          <w:sz w:val="20"/>
          <w:szCs w:val="20"/>
          <w:lang w:val="es-UY"/>
        </w:rPr>
        <w:t xml:space="preserve"> indica que el 9 de junio de 2002 se inició una investigación penal con miras a esclarecer la muerte de la presunta víctima y que en el desarrollo de esta investigación se vinculó a múltiples agentes de la Policía Nacional, dictándose medidas de aseguramiento contra varios de ellos. Explica que</w:t>
      </w:r>
      <w:r w:rsidR="00185162" w:rsidRPr="00B522AF">
        <w:rPr>
          <w:rFonts w:ascii="Cambria" w:hAnsi="Cambria"/>
          <w:sz w:val="20"/>
          <w:szCs w:val="20"/>
          <w:lang w:val="es-UY"/>
        </w:rPr>
        <w:t xml:space="preserve"> el 3 de marzo de 2005</w:t>
      </w:r>
      <w:r w:rsidRPr="00B522AF">
        <w:rPr>
          <w:rFonts w:ascii="Cambria" w:hAnsi="Cambria"/>
          <w:sz w:val="20"/>
          <w:szCs w:val="20"/>
          <w:lang w:val="es-UY"/>
        </w:rPr>
        <w:t xml:space="preserve"> la autoridad a cargo de la investigación </w:t>
      </w:r>
      <w:r w:rsidR="001255B8" w:rsidRPr="00B522AF">
        <w:rPr>
          <w:rFonts w:ascii="Cambria" w:hAnsi="Cambria"/>
          <w:sz w:val="20"/>
          <w:szCs w:val="20"/>
          <w:lang w:val="es-UY"/>
        </w:rPr>
        <w:t xml:space="preserve">calificó el mérito sumarial precluyendo la investigación a favor de la mayoría de los agentes policiales vinculados </w:t>
      </w:r>
      <w:r w:rsidR="001255B8" w:rsidRPr="00B522AF">
        <w:rPr>
          <w:rFonts w:ascii="Cambria" w:hAnsi="Cambria"/>
          <w:i/>
          <w:iCs/>
          <w:sz w:val="20"/>
          <w:szCs w:val="20"/>
          <w:lang w:val="es-UY"/>
        </w:rPr>
        <w:t>“por cuanto su participación se limitó a cumplir las órdenes del superior jerárquico, que según los esquemas policiales y planilla del servicio de 8 de junio de 2002 así lo indican, sin volver a tener a contacto con ninguno de sus superiores y el cadáver de Aguirre Soto</w:t>
      </w:r>
      <w:r w:rsidR="001255B8" w:rsidRPr="00B522AF">
        <w:rPr>
          <w:rFonts w:ascii="Cambria" w:hAnsi="Cambria"/>
          <w:sz w:val="20"/>
          <w:szCs w:val="20"/>
          <w:lang w:val="es-UY"/>
        </w:rPr>
        <w:t xml:space="preserve">”. </w:t>
      </w:r>
      <w:r w:rsidR="00185162" w:rsidRPr="00B522AF">
        <w:rPr>
          <w:rFonts w:ascii="Cambria" w:hAnsi="Cambria"/>
          <w:sz w:val="20"/>
          <w:szCs w:val="20"/>
          <w:lang w:val="es-UY"/>
        </w:rPr>
        <w:t>En la misma resolución</w:t>
      </w:r>
      <w:r w:rsidR="001255B8" w:rsidRPr="00B522AF">
        <w:rPr>
          <w:rFonts w:ascii="Cambria" w:hAnsi="Cambria"/>
          <w:sz w:val="20"/>
          <w:szCs w:val="20"/>
          <w:lang w:val="es-UY"/>
        </w:rPr>
        <w:t>, la autoridad de investigación también determin</w:t>
      </w:r>
      <w:r w:rsidR="00D147D5" w:rsidRPr="00B522AF">
        <w:rPr>
          <w:rFonts w:ascii="Cambria" w:hAnsi="Cambria"/>
          <w:sz w:val="20"/>
          <w:szCs w:val="20"/>
          <w:lang w:val="es-UY"/>
        </w:rPr>
        <w:t xml:space="preserve">ó formular acusación contra uno de los vinculados por los delitos de </w:t>
      </w:r>
      <w:proofErr w:type="gramStart"/>
      <w:r w:rsidR="00D147D5" w:rsidRPr="00B522AF">
        <w:rPr>
          <w:rFonts w:ascii="Cambria" w:hAnsi="Cambria"/>
          <w:sz w:val="20"/>
          <w:szCs w:val="20"/>
          <w:lang w:val="es-UY"/>
        </w:rPr>
        <w:t>homicidio agravado y tortura agravada</w:t>
      </w:r>
      <w:proofErr w:type="gramEnd"/>
      <w:r w:rsidR="00D147D5" w:rsidRPr="00B522AF">
        <w:rPr>
          <w:rFonts w:ascii="Cambria" w:hAnsi="Cambria"/>
          <w:sz w:val="20"/>
          <w:szCs w:val="20"/>
          <w:lang w:val="es-UY"/>
        </w:rPr>
        <w:t>.</w:t>
      </w:r>
      <w:r w:rsidR="00185162" w:rsidRPr="00B522AF">
        <w:rPr>
          <w:rFonts w:ascii="Cambria" w:hAnsi="Cambria"/>
          <w:sz w:val="20"/>
          <w:szCs w:val="20"/>
          <w:lang w:val="es-UY"/>
        </w:rPr>
        <w:t xml:space="preserve"> </w:t>
      </w:r>
      <w:r w:rsidR="00D147D5" w:rsidRPr="00B522AF">
        <w:rPr>
          <w:rFonts w:ascii="Cambria" w:hAnsi="Cambria"/>
          <w:sz w:val="20"/>
          <w:szCs w:val="20"/>
          <w:lang w:val="es-UY"/>
        </w:rPr>
        <w:t xml:space="preserve">Aporta información que indica </w:t>
      </w:r>
      <w:r w:rsidR="00FB276B" w:rsidRPr="00B522AF">
        <w:rPr>
          <w:rFonts w:ascii="Cambria" w:hAnsi="Cambria"/>
          <w:sz w:val="20"/>
          <w:szCs w:val="20"/>
          <w:lang w:val="es-UY"/>
        </w:rPr>
        <w:t>que,</w:t>
      </w:r>
      <w:r w:rsidR="00D147D5" w:rsidRPr="00B522AF">
        <w:rPr>
          <w:rFonts w:ascii="Cambria" w:hAnsi="Cambria"/>
          <w:sz w:val="20"/>
          <w:szCs w:val="20"/>
          <w:lang w:val="es-UY"/>
        </w:rPr>
        <w:t xml:space="preserve"> a la fecha de la muerte de la presunta </w:t>
      </w:r>
      <w:r w:rsidR="004350A0" w:rsidRPr="00B522AF">
        <w:rPr>
          <w:rFonts w:ascii="Cambria" w:hAnsi="Cambria"/>
          <w:sz w:val="20"/>
          <w:szCs w:val="20"/>
          <w:lang w:val="es-UY"/>
        </w:rPr>
        <w:t>víctima,</w:t>
      </w:r>
      <w:r w:rsidR="00D147D5" w:rsidRPr="00B522AF">
        <w:rPr>
          <w:rFonts w:ascii="Cambria" w:hAnsi="Cambria"/>
          <w:sz w:val="20"/>
          <w:szCs w:val="20"/>
          <w:lang w:val="es-UY"/>
        </w:rPr>
        <w:t xml:space="preserve"> </w:t>
      </w:r>
      <w:r w:rsidR="00185162" w:rsidRPr="00B522AF">
        <w:rPr>
          <w:rFonts w:ascii="Cambria" w:hAnsi="Cambria"/>
          <w:sz w:val="20"/>
          <w:szCs w:val="20"/>
          <w:lang w:val="es-UY"/>
        </w:rPr>
        <w:t>el agente que fue</w:t>
      </w:r>
      <w:r w:rsidR="00D147D5" w:rsidRPr="00B522AF">
        <w:rPr>
          <w:rFonts w:ascii="Cambria" w:hAnsi="Cambria"/>
          <w:sz w:val="20"/>
          <w:szCs w:val="20"/>
          <w:lang w:val="es-UY"/>
        </w:rPr>
        <w:t xml:space="preserve"> </w:t>
      </w:r>
      <w:r w:rsidR="008503D1" w:rsidRPr="00B522AF">
        <w:rPr>
          <w:rFonts w:ascii="Cambria" w:hAnsi="Cambria"/>
          <w:sz w:val="20"/>
          <w:szCs w:val="20"/>
          <w:lang w:val="es-UY"/>
        </w:rPr>
        <w:t xml:space="preserve">acusado habría tenido rango de </w:t>
      </w:r>
      <w:r w:rsidR="00FB276B" w:rsidRPr="00B522AF">
        <w:rPr>
          <w:rFonts w:ascii="Cambria" w:hAnsi="Cambria"/>
          <w:sz w:val="20"/>
          <w:szCs w:val="20"/>
          <w:lang w:val="es-UY"/>
        </w:rPr>
        <w:t>t</w:t>
      </w:r>
      <w:r w:rsidR="00D147D5" w:rsidRPr="00B522AF">
        <w:rPr>
          <w:rFonts w:ascii="Cambria" w:hAnsi="Cambria"/>
          <w:sz w:val="20"/>
          <w:szCs w:val="20"/>
          <w:lang w:val="es-UY"/>
        </w:rPr>
        <w:t>eniente y se habría encontrado fungiendo como jefe de la sección de automotores de la SIJIN.</w:t>
      </w:r>
      <w:r w:rsidR="00185162" w:rsidRPr="00B522AF">
        <w:rPr>
          <w:rFonts w:ascii="Cambria" w:hAnsi="Cambria"/>
          <w:sz w:val="20"/>
          <w:szCs w:val="20"/>
          <w:lang w:val="es-UY"/>
        </w:rPr>
        <w:t xml:space="preserve"> </w:t>
      </w:r>
    </w:p>
    <w:p w14:paraId="7B5D5E6D" w14:textId="77777777" w:rsidR="00A45B39" w:rsidRPr="00B522AF" w:rsidRDefault="00A45B39" w:rsidP="00A45B3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UY"/>
        </w:rPr>
      </w:pPr>
    </w:p>
    <w:p w14:paraId="3899B62E" w14:textId="2B4B9DD0" w:rsidR="00431513" w:rsidRPr="00B522AF" w:rsidRDefault="00595B47" w:rsidP="00A45B3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B522AF">
        <w:rPr>
          <w:rFonts w:asciiTheme="majorHAnsi" w:hAnsiTheme="majorHAnsi"/>
          <w:sz w:val="20"/>
          <w:szCs w:val="20"/>
          <w:lang w:val="es-UY"/>
        </w:rPr>
        <w:t>Continúa relatando</w:t>
      </w:r>
      <w:r w:rsidR="00185162" w:rsidRPr="00B522AF">
        <w:rPr>
          <w:rFonts w:asciiTheme="majorHAnsi" w:hAnsiTheme="majorHAnsi"/>
          <w:sz w:val="20"/>
          <w:szCs w:val="20"/>
          <w:lang w:val="es-UY"/>
        </w:rPr>
        <w:t xml:space="preserve"> que el agente acusado apeló exitosamente la acusación en su contra resultando en que la investigación fuera precluida a su favor el 2 de mayo de 2005. Aporta copia de la resolución en que el </w:t>
      </w:r>
      <w:r w:rsidR="00FB276B" w:rsidRPr="00B522AF">
        <w:rPr>
          <w:rFonts w:asciiTheme="majorHAnsi" w:hAnsiTheme="majorHAnsi"/>
          <w:sz w:val="20"/>
          <w:szCs w:val="20"/>
          <w:lang w:val="es-UY"/>
        </w:rPr>
        <w:t>f</w:t>
      </w:r>
      <w:r w:rsidR="00185162" w:rsidRPr="00B522AF">
        <w:rPr>
          <w:rFonts w:asciiTheme="majorHAnsi" w:hAnsiTheme="majorHAnsi"/>
          <w:sz w:val="20"/>
          <w:szCs w:val="20"/>
          <w:lang w:val="es-UY"/>
        </w:rPr>
        <w:t xml:space="preserve">iscal </w:t>
      </w:r>
      <w:r w:rsidR="00FB276B" w:rsidRPr="00B522AF">
        <w:rPr>
          <w:rFonts w:asciiTheme="majorHAnsi" w:hAnsiTheme="majorHAnsi"/>
          <w:sz w:val="20"/>
          <w:szCs w:val="20"/>
          <w:lang w:val="es-UY"/>
        </w:rPr>
        <w:t>q</w:t>
      </w:r>
      <w:r w:rsidR="00185162" w:rsidRPr="00B522AF">
        <w:rPr>
          <w:rFonts w:asciiTheme="majorHAnsi" w:hAnsiTheme="majorHAnsi"/>
          <w:sz w:val="20"/>
          <w:szCs w:val="20"/>
          <w:lang w:val="es-UY"/>
        </w:rPr>
        <w:t xml:space="preserve">uinto </w:t>
      </w:r>
      <w:r w:rsidR="00FB276B" w:rsidRPr="00B522AF">
        <w:rPr>
          <w:rFonts w:asciiTheme="majorHAnsi" w:hAnsiTheme="majorHAnsi"/>
          <w:sz w:val="20"/>
          <w:szCs w:val="20"/>
          <w:lang w:val="es-UY"/>
        </w:rPr>
        <w:t>d</w:t>
      </w:r>
      <w:r w:rsidR="00185162" w:rsidRPr="00B522AF">
        <w:rPr>
          <w:rFonts w:asciiTheme="majorHAnsi" w:hAnsiTheme="majorHAnsi"/>
          <w:sz w:val="20"/>
          <w:szCs w:val="20"/>
          <w:lang w:val="es-UY"/>
        </w:rPr>
        <w:t xml:space="preserve">elegado resolvió el referido recurso de apelación, </w:t>
      </w:r>
      <w:r w:rsidR="00FB276B" w:rsidRPr="00B522AF">
        <w:rPr>
          <w:rFonts w:asciiTheme="majorHAnsi" w:hAnsiTheme="majorHAnsi"/>
          <w:sz w:val="20"/>
          <w:szCs w:val="20"/>
          <w:lang w:val="es-UY"/>
        </w:rPr>
        <w:t>concluyendo</w:t>
      </w:r>
      <w:r w:rsidR="00C432EC" w:rsidRPr="00B522AF">
        <w:rPr>
          <w:rFonts w:asciiTheme="majorHAnsi" w:hAnsiTheme="majorHAnsi"/>
          <w:sz w:val="20"/>
          <w:szCs w:val="20"/>
          <w:lang w:val="es-UY"/>
        </w:rPr>
        <w:t xml:space="preserve"> que el </w:t>
      </w:r>
      <w:r w:rsidR="00FB276B" w:rsidRPr="00B522AF">
        <w:rPr>
          <w:rFonts w:asciiTheme="majorHAnsi" w:hAnsiTheme="majorHAnsi"/>
          <w:sz w:val="20"/>
          <w:szCs w:val="20"/>
          <w:lang w:val="es-UY"/>
        </w:rPr>
        <w:t>t</w:t>
      </w:r>
      <w:r w:rsidR="00C432EC" w:rsidRPr="00B522AF">
        <w:rPr>
          <w:rFonts w:asciiTheme="majorHAnsi" w:hAnsiTheme="majorHAnsi"/>
          <w:sz w:val="20"/>
          <w:szCs w:val="20"/>
          <w:lang w:val="es-UY"/>
        </w:rPr>
        <w:t xml:space="preserve">eniente acusado había seguido órdenes de un oficial de rango superior (un </w:t>
      </w:r>
      <w:r w:rsidR="00FB276B" w:rsidRPr="00B522AF">
        <w:rPr>
          <w:rFonts w:asciiTheme="majorHAnsi" w:hAnsiTheme="majorHAnsi"/>
          <w:sz w:val="20"/>
          <w:szCs w:val="20"/>
          <w:lang w:val="es-UY"/>
        </w:rPr>
        <w:t>m</w:t>
      </w:r>
      <w:r w:rsidR="00C432EC" w:rsidRPr="00B522AF">
        <w:rPr>
          <w:rFonts w:asciiTheme="majorHAnsi" w:hAnsiTheme="majorHAnsi"/>
          <w:sz w:val="20"/>
          <w:szCs w:val="20"/>
          <w:lang w:val="es-UY"/>
        </w:rPr>
        <w:t>ayor) quien le pidió su colaboración para la captura de la presunta víctima. También se observa que el fiscal de segunda instancia decidi</w:t>
      </w:r>
      <w:r w:rsidR="00813118" w:rsidRPr="00B522AF">
        <w:rPr>
          <w:rFonts w:asciiTheme="majorHAnsi" w:hAnsiTheme="majorHAnsi"/>
          <w:sz w:val="20"/>
          <w:szCs w:val="20"/>
          <w:lang w:val="es-UY"/>
        </w:rPr>
        <w:t>ó revocar la acusación tras considerar que el</w:t>
      </w:r>
      <w:r w:rsidR="00FB276B" w:rsidRPr="00B522AF">
        <w:rPr>
          <w:rFonts w:asciiTheme="majorHAnsi" w:hAnsiTheme="majorHAnsi"/>
          <w:sz w:val="20"/>
          <w:szCs w:val="20"/>
          <w:lang w:val="es-UY"/>
        </w:rPr>
        <w:t xml:space="preserve"> t</w:t>
      </w:r>
      <w:r w:rsidR="00813118" w:rsidRPr="00B522AF">
        <w:rPr>
          <w:rFonts w:asciiTheme="majorHAnsi" w:hAnsiTheme="majorHAnsi"/>
          <w:sz w:val="20"/>
          <w:szCs w:val="20"/>
          <w:lang w:val="es-UY"/>
        </w:rPr>
        <w:t xml:space="preserve">eniente había entregado la presunta víctima al </w:t>
      </w:r>
      <w:r w:rsidR="00FB276B" w:rsidRPr="00B522AF">
        <w:rPr>
          <w:rFonts w:asciiTheme="majorHAnsi" w:hAnsiTheme="majorHAnsi"/>
          <w:sz w:val="20"/>
          <w:szCs w:val="20"/>
          <w:lang w:val="es-UY"/>
        </w:rPr>
        <w:t>m</w:t>
      </w:r>
      <w:r w:rsidR="00813118" w:rsidRPr="00B522AF">
        <w:rPr>
          <w:rFonts w:asciiTheme="majorHAnsi" w:hAnsiTheme="majorHAnsi"/>
          <w:sz w:val="20"/>
          <w:szCs w:val="20"/>
          <w:lang w:val="es-UY"/>
        </w:rPr>
        <w:t>ayor encontrándose este con vida y que “</w:t>
      </w:r>
      <w:r w:rsidR="00813118" w:rsidRPr="00B522AF">
        <w:rPr>
          <w:rFonts w:asciiTheme="majorHAnsi" w:hAnsiTheme="majorHAnsi"/>
          <w:i/>
          <w:iCs/>
          <w:sz w:val="20"/>
          <w:szCs w:val="20"/>
          <w:lang w:val="es-UY"/>
        </w:rPr>
        <w:t>si posteriormente él apareció torturado y muerto resulta especulativo y apriorístico atribuirle actos de complicidad en la muerte y sufrimientos al sindicado, ya que eso de manera simple y llana implica desconocer el cumplimiento de órdenes que los superiores prospectan sobre sus subalternos y dentro de una institución como la Policía Nacional en la que existe una orden de mando jerarquizada</w:t>
      </w:r>
      <w:r w:rsidR="00813118" w:rsidRPr="00B522AF">
        <w:rPr>
          <w:rFonts w:asciiTheme="majorHAnsi" w:hAnsiTheme="majorHAnsi"/>
          <w:sz w:val="20"/>
          <w:szCs w:val="20"/>
          <w:lang w:val="es-UY"/>
        </w:rPr>
        <w:t xml:space="preserve">”. De la documentación aportada también se desprende que el </w:t>
      </w:r>
      <w:r w:rsidR="00FB276B" w:rsidRPr="00B522AF">
        <w:rPr>
          <w:rFonts w:asciiTheme="majorHAnsi" w:hAnsiTheme="majorHAnsi"/>
          <w:sz w:val="20"/>
          <w:szCs w:val="20"/>
          <w:lang w:val="es-UY"/>
        </w:rPr>
        <w:t>m</w:t>
      </w:r>
      <w:r w:rsidR="00813118" w:rsidRPr="00B522AF">
        <w:rPr>
          <w:rFonts w:asciiTheme="majorHAnsi" w:hAnsiTheme="majorHAnsi"/>
          <w:sz w:val="20"/>
          <w:szCs w:val="20"/>
          <w:lang w:val="es-UY"/>
        </w:rPr>
        <w:t>ayor</w:t>
      </w:r>
      <w:r w:rsidR="002340D1" w:rsidRPr="00B522AF">
        <w:rPr>
          <w:rFonts w:asciiTheme="majorHAnsi" w:hAnsiTheme="majorHAnsi"/>
          <w:sz w:val="20"/>
          <w:szCs w:val="20"/>
          <w:lang w:val="es-UY"/>
        </w:rPr>
        <w:t>,</w:t>
      </w:r>
      <w:r w:rsidR="00813118" w:rsidRPr="00B522AF">
        <w:rPr>
          <w:rFonts w:asciiTheme="majorHAnsi" w:hAnsiTheme="majorHAnsi"/>
          <w:sz w:val="20"/>
          <w:szCs w:val="20"/>
          <w:lang w:val="es-UY"/>
        </w:rPr>
        <w:t xml:space="preserve"> a quien presuntamente se habría entregado a la presunta víctima</w:t>
      </w:r>
      <w:r w:rsidR="002340D1" w:rsidRPr="00B522AF">
        <w:rPr>
          <w:rFonts w:asciiTheme="majorHAnsi" w:hAnsiTheme="majorHAnsi"/>
          <w:sz w:val="20"/>
          <w:szCs w:val="20"/>
          <w:lang w:val="es-UY"/>
        </w:rPr>
        <w:t>,</w:t>
      </w:r>
      <w:r w:rsidR="00813118" w:rsidRPr="00B522AF">
        <w:rPr>
          <w:rFonts w:asciiTheme="majorHAnsi" w:hAnsiTheme="majorHAnsi"/>
          <w:sz w:val="20"/>
          <w:szCs w:val="20"/>
          <w:lang w:val="es-UY"/>
        </w:rPr>
        <w:t xml:space="preserve"> había fallecido para el momento en que se desarrollar</w:t>
      </w:r>
      <w:r w:rsidRPr="00B522AF">
        <w:rPr>
          <w:rFonts w:asciiTheme="majorHAnsi" w:hAnsiTheme="majorHAnsi"/>
          <w:sz w:val="20"/>
          <w:szCs w:val="20"/>
          <w:lang w:val="es-UY"/>
        </w:rPr>
        <w:t>on las investigaciones penales. La documentación también indica que “</w:t>
      </w:r>
      <w:r w:rsidRPr="00B522AF">
        <w:rPr>
          <w:rFonts w:asciiTheme="majorHAnsi" w:hAnsiTheme="majorHAnsi" w:cs="ArialMT"/>
          <w:i/>
          <w:iCs/>
          <w:sz w:val="20"/>
          <w:szCs w:val="20"/>
          <w:lang w:val="es-PA" w:eastAsia="es-ES"/>
        </w:rPr>
        <w:t>al proceso no concurrieron las víctimas indirectas del hecho, no se constituyero</w:t>
      </w:r>
      <w:r w:rsidR="00D87AE4" w:rsidRPr="00B522AF">
        <w:rPr>
          <w:rFonts w:asciiTheme="majorHAnsi" w:hAnsiTheme="majorHAnsi" w:cs="ArialMT"/>
          <w:i/>
          <w:iCs/>
          <w:sz w:val="20"/>
          <w:szCs w:val="20"/>
          <w:lang w:val="es-PA" w:eastAsia="es-ES"/>
        </w:rPr>
        <w:t>n en parte civil y por lo mismo</w:t>
      </w:r>
      <w:r w:rsidRPr="00B522AF">
        <w:rPr>
          <w:rFonts w:asciiTheme="majorHAnsi" w:hAnsiTheme="majorHAnsi" w:cs="ArialMT"/>
          <w:i/>
          <w:iCs/>
          <w:sz w:val="20"/>
          <w:szCs w:val="20"/>
          <w:lang w:val="es-PA" w:eastAsia="es-ES"/>
        </w:rPr>
        <w:t xml:space="preserve"> no les fueron notificadas en forma personal las decisiones adoptadas en la investigación</w:t>
      </w:r>
      <w:r w:rsidRPr="00B522AF">
        <w:rPr>
          <w:rFonts w:asciiTheme="majorHAnsi" w:hAnsiTheme="majorHAnsi" w:cs="ArialMT"/>
          <w:sz w:val="20"/>
          <w:szCs w:val="20"/>
          <w:lang w:val="es-PA" w:eastAsia="es-ES"/>
        </w:rPr>
        <w:t>”.</w:t>
      </w:r>
    </w:p>
    <w:p w14:paraId="388B82CF" w14:textId="77777777" w:rsidR="00A45B39" w:rsidRDefault="00A45B39" w:rsidP="00A45B3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UY"/>
        </w:rPr>
      </w:pPr>
    </w:p>
    <w:p w14:paraId="206AAE30" w14:textId="47FC63BF" w:rsidR="00611B77" w:rsidRPr="00B522AF" w:rsidRDefault="00595B47" w:rsidP="00A45B3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B522AF">
        <w:rPr>
          <w:rFonts w:asciiTheme="majorHAnsi" w:hAnsiTheme="majorHAnsi"/>
          <w:sz w:val="20"/>
          <w:szCs w:val="20"/>
          <w:lang w:val="es-UY"/>
        </w:rPr>
        <w:t>Respecto al proceso disciplinario,</w:t>
      </w:r>
      <w:r w:rsidR="00A24BFA" w:rsidRPr="00B522AF">
        <w:rPr>
          <w:rFonts w:asciiTheme="majorHAnsi" w:hAnsiTheme="majorHAnsi"/>
          <w:sz w:val="20"/>
          <w:szCs w:val="20"/>
          <w:lang w:val="es-PA"/>
        </w:rPr>
        <w:t xml:space="preserve"> indica que este inició el 19 de diciembre de 2002 y que el 3 de febrero de 2006 se emitió auto de apertura de investigación por la comisión de posibles faltas disciplinarias contra 3 agentes de la policía, incluyendo el </w:t>
      </w:r>
      <w:r w:rsidR="00FB276B" w:rsidRPr="00B522AF">
        <w:rPr>
          <w:rFonts w:asciiTheme="majorHAnsi" w:hAnsiTheme="majorHAnsi"/>
          <w:sz w:val="20"/>
          <w:szCs w:val="20"/>
          <w:lang w:val="es-PA"/>
        </w:rPr>
        <w:t>t</w:t>
      </w:r>
      <w:r w:rsidR="00A24BFA" w:rsidRPr="00B522AF">
        <w:rPr>
          <w:rFonts w:asciiTheme="majorHAnsi" w:hAnsiTheme="majorHAnsi"/>
          <w:sz w:val="20"/>
          <w:szCs w:val="20"/>
          <w:lang w:val="es-PA"/>
        </w:rPr>
        <w:t xml:space="preserve">eniente </w:t>
      </w:r>
      <w:r w:rsidR="00FB276B" w:rsidRPr="00B522AF">
        <w:rPr>
          <w:rFonts w:asciiTheme="majorHAnsi" w:hAnsiTheme="majorHAnsi"/>
          <w:sz w:val="20"/>
          <w:szCs w:val="20"/>
          <w:lang w:val="es-PA"/>
        </w:rPr>
        <w:t>- c</w:t>
      </w:r>
      <w:r w:rsidR="00A24BFA" w:rsidRPr="00B522AF">
        <w:rPr>
          <w:rFonts w:asciiTheme="majorHAnsi" w:hAnsiTheme="majorHAnsi"/>
          <w:sz w:val="20"/>
          <w:szCs w:val="20"/>
          <w:lang w:val="es-PA"/>
        </w:rPr>
        <w:t>apitán para la fecha en que se desarrolló la investigación disciplinaria</w:t>
      </w:r>
      <w:r w:rsidR="00FB276B" w:rsidRPr="00B522AF">
        <w:rPr>
          <w:rFonts w:asciiTheme="majorHAnsi" w:hAnsiTheme="majorHAnsi"/>
          <w:sz w:val="20"/>
          <w:szCs w:val="20"/>
          <w:lang w:val="es-PA"/>
        </w:rPr>
        <w:t xml:space="preserve"> - </w:t>
      </w:r>
      <w:r w:rsidR="00A24BFA" w:rsidRPr="00B522AF">
        <w:rPr>
          <w:rFonts w:asciiTheme="majorHAnsi" w:hAnsiTheme="majorHAnsi"/>
          <w:sz w:val="20"/>
          <w:szCs w:val="20"/>
          <w:lang w:val="es-PA"/>
        </w:rPr>
        <w:t xml:space="preserve">que presuntamente entregó a la presunta víctima a </w:t>
      </w:r>
      <w:r w:rsidR="00FB276B" w:rsidRPr="00B522AF">
        <w:rPr>
          <w:rFonts w:asciiTheme="majorHAnsi" w:hAnsiTheme="majorHAnsi"/>
          <w:sz w:val="20"/>
          <w:szCs w:val="20"/>
          <w:lang w:val="es-PA"/>
        </w:rPr>
        <w:t>un</w:t>
      </w:r>
      <w:r w:rsidR="00A24BFA" w:rsidRPr="00B522AF">
        <w:rPr>
          <w:rFonts w:asciiTheme="majorHAnsi" w:hAnsiTheme="majorHAnsi"/>
          <w:sz w:val="20"/>
          <w:szCs w:val="20"/>
          <w:lang w:val="es-PA"/>
        </w:rPr>
        <w:t xml:space="preserve"> </w:t>
      </w:r>
      <w:r w:rsidR="00FB276B" w:rsidRPr="00B522AF">
        <w:rPr>
          <w:rFonts w:asciiTheme="majorHAnsi" w:hAnsiTheme="majorHAnsi"/>
          <w:sz w:val="20"/>
          <w:szCs w:val="20"/>
          <w:lang w:val="es-PA"/>
        </w:rPr>
        <w:t>m</w:t>
      </w:r>
      <w:r w:rsidR="00A24BFA" w:rsidRPr="00B522AF">
        <w:rPr>
          <w:rFonts w:asciiTheme="majorHAnsi" w:hAnsiTheme="majorHAnsi"/>
          <w:sz w:val="20"/>
          <w:szCs w:val="20"/>
          <w:lang w:val="es-PA"/>
        </w:rPr>
        <w:t>ayor.</w:t>
      </w:r>
      <w:r w:rsidR="00FB276B" w:rsidRPr="00B522AF">
        <w:rPr>
          <w:rFonts w:asciiTheme="majorHAnsi" w:hAnsiTheme="majorHAnsi"/>
          <w:sz w:val="20"/>
          <w:szCs w:val="20"/>
          <w:lang w:val="es-PA"/>
        </w:rPr>
        <w:t xml:space="preserve"> </w:t>
      </w:r>
      <w:r w:rsidR="00175B48" w:rsidRPr="00B522AF">
        <w:rPr>
          <w:rFonts w:asciiTheme="majorHAnsi" w:hAnsiTheme="majorHAnsi"/>
          <w:sz w:val="20"/>
          <w:szCs w:val="20"/>
          <w:lang w:val="es-PA"/>
        </w:rPr>
        <w:t>Explica</w:t>
      </w:r>
      <w:r w:rsidR="00FB276B" w:rsidRPr="00B522AF">
        <w:rPr>
          <w:rFonts w:asciiTheme="majorHAnsi" w:hAnsiTheme="majorHAnsi"/>
          <w:sz w:val="20"/>
          <w:szCs w:val="20"/>
          <w:lang w:val="es-PA"/>
        </w:rPr>
        <w:t xml:space="preserve"> </w:t>
      </w:r>
      <w:r w:rsidR="00175B48" w:rsidRPr="00B522AF">
        <w:rPr>
          <w:rFonts w:asciiTheme="majorHAnsi" w:hAnsiTheme="majorHAnsi"/>
          <w:sz w:val="20"/>
          <w:szCs w:val="20"/>
          <w:lang w:val="es-PA"/>
        </w:rPr>
        <w:t xml:space="preserve">que la investigación conllevó a que el Procurador General de la Nación emitiera el 1 de marzo de 2007 fallo de instancia única declarando a los oficiales responsables de faltas disciplinarias gravísimas e imponiéndoles sanción de destitución e inhabilidad general para ejercer funciones públicas por 20 años. </w:t>
      </w:r>
    </w:p>
    <w:p w14:paraId="5EA7114C" w14:textId="77777777" w:rsidR="00A45B39" w:rsidRPr="00A45B39" w:rsidRDefault="00A45B39" w:rsidP="00A45B3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UY"/>
        </w:rPr>
      </w:pPr>
    </w:p>
    <w:p w14:paraId="3DC3B16E" w14:textId="5B2612AB" w:rsidR="00D9544F" w:rsidRPr="00B522AF" w:rsidRDefault="00175B48" w:rsidP="00A45B3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B522AF">
        <w:rPr>
          <w:rFonts w:asciiTheme="majorHAnsi" w:hAnsiTheme="majorHAnsi"/>
          <w:sz w:val="20"/>
          <w:szCs w:val="20"/>
          <w:lang w:val="es-PA"/>
        </w:rPr>
        <w:t xml:space="preserve">Aporta copia del fallo </w:t>
      </w:r>
      <w:r w:rsidR="00611B77" w:rsidRPr="00B522AF">
        <w:rPr>
          <w:rFonts w:asciiTheme="majorHAnsi" w:hAnsiTheme="majorHAnsi"/>
          <w:sz w:val="20"/>
          <w:szCs w:val="20"/>
          <w:lang w:val="es-PA"/>
        </w:rPr>
        <w:t>que impuso la sanción disciplinaria</w:t>
      </w:r>
      <w:r w:rsidRPr="00B522AF">
        <w:rPr>
          <w:rFonts w:asciiTheme="majorHAnsi" w:hAnsiTheme="majorHAnsi"/>
          <w:sz w:val="20"/>
          <w:szCs w:val="20"/>
          <w:lang w:val="es-PA"/>
        </w:rPr>
        <w:t xml:space="preserve"> en la que se observa que se determinó que las faltas gravísimas del </w:t>
      </w:r>
      <w:r w:rsidR="00FB276B" w:rsidRPr="00B522AF">
        <w:rPr>
          <w:rFonts w:asciiTheme="majorHAnsi" w:hAnsiTheme="majorHAnsi"/>
          <w:sz w:val="20"/>
          <w:szCs w:val="20"/>
          <w:lang w:val="es-PA"/>
        </w:rPr>
        <w:t>t</w:t>
      </w:r>
      <w:r w:rsidRPr="00B522AF">
        <w:rPr>
          <w:rFonts w:asciiTheme="majorHAnsi" w:hAnsiTheme="majorHAnsi"/>
          <w:sz w:val="20"/>
          <w:szCs w:val="20"/>
          <w:lang w:val="es-PA"/>
        </w:rPr>
        <w:t>eniente “</w:t>
      </w:r>
      <w:r w:rsidRPr="00B522AF">
        <w:rPr>
          <w:rFonts w:asciiTheme="majorHAnsi" w:hAnsiTheme="majorHAnsi"/>
          <w:i/>
          <w:iCs/>
          <w:sz w:val="20"/>
          <w:szCs w:val="20"/>
          <w:lang w:val="es-PA"/>
        </w:rPr>
        <w:t>se materializan en el compromiso disciplinario en el homicidio de Giovanni Aguirre Soto, las torturas, tratos crueles inhumanos y degradantes a los que fuera sometido y no colocarlo a disposición de un funcionario judicial</w:t>
      </w:r>
      <w:r w:rsidRPr="00B522AF">
        <w:rPr>
          <w:rFonts w:asciiTheme="majorHAnsi" w:hAnsiTheme="majorHAnsi"/>
          <w:sz w:val="20"/>
          <w:szCs w:val="20"/>
          <w:lang w:val="es-PA"/>
        </w:rPr>
        <w:t>”, mientras que las faltas gravísimas de los otros dos oficiales “</w:t>
      </w:r>
      <w:r w:rsidRPr="00B522AF">
        <w:rPr>
          <w:rFonts w:asciiTheme="majorHAnsi" w:hAnsiTheme="majorHAnsi"/>
          <w:i/>
          <w:iCs/>
          <w:sz w:val="20"/>
          <w:szCs w:val="20"/>
          <w:lang w:val="es-PA"/>
        </w:rPr>
        <w:t>se concretan en el confinamiento del capturado Giovanni Aguirre Soto en el baúl de un automotor y no colocarlo  a disposición de un funcionario judicial</w:t>
      </w:r>
      <w:r w:rsidRPr="00B522AF">
        <w:rPr>
          <w:rFonts w:asciiTheme="majorHAnsi" w:hAnsiTheme="majorHAnsi"/>
          <w:sz w:val="20"/>
          <w:szCs w:val="20"/>
          <w:lang w:val="es-PA"/>
        </w:rPr>
        <w:t xml:space="preserve">”. </w:t>
      </w:r>
      <w:r w:rsidR="00866ACF" w:rsidRPr="00B522AF">
        <w:rPr>
          <w:rFonts w:asciiTheme="majorHAnsi" w:hAnsiTheme="majorHAnsi"/>
          <w:sz w:val="20"/>
          <w:szCs w:val="20"/>
          <w:lang w:val="es-PA"/>
        </w:rPr>
        <w:t xml:space="preserve">En la copia también se observa que para determinar la responsabilidad del </w:t>
      </w:r>
      <w:r w:rsidR="00FB276B" w:rsidRPr="00B522AF">
        <w:rPr>
          <w:rFonts w:asciiTheme="majorHAnsi" w:hAnsiTheme="majorHAnsi"/>
          <w:sz w:val="20"/>
          <w:szCs w:val="20"/>
          <w:lang w:val="es-PA"/>
        </w:rPr>
        <w:t>t</w:t>
      </w:r>
      <w:r w:rsidR="00866ACF" w:rsidRPr="00B522AF">
        <w:rPr>
          <w:rFonts w:asciiTheme="majorHAnsi" w:hAnsiTheme="majorHAnsi"/>
          <w:sz w:val="20"/>
          <w:szCs w:val="20"/>
          <w:lang w:val="es-PA"/>
        </w:rPr>
        <w:t xml:space="preserve">eniente el </w:t>
      </w:r>
      <w:r w:rsidR="00FB276B" w:rsidRPr="00B522AF">
        <w:rPr>
          <w:rFonts w:asciiTheme="majorHAnsi" w:hAnsiTheme="majorHAnsi"/>
          <w:sz w:val="20"/>
          <w:szCs w:val="20"/>
          <w:lang w:val="es-PA"/>
        </w:rPr>
        <w:t>p</w:t>
      </w:r>
      <w:r w:rsidR="00866ACF" w:rsidRPr="00B522AF">
        <w:rPr>
          <w:rFonts w:asciiTheme="majorHAnsi" w:hAnsiTheme="majorHAnsi"/>
          <w:sz w:val="20"/>
          <w:szCs w:val="20"/>
          <w:lang w:val="es-PA"/>
        </w:rPr>
        <w:t>rocurador valor</w:t>
      </w:r>
      <w:r w:rsidR="00140C2E" w:rsidRPr="00B522AF">
        <w:rPr>
          <w:rFonts w:asciiTheme="majorHAnsi" w:hAnsiTheme="majorHAnsi"/>
          <w:sz w:val="20"/>
          <w:szCs w:val="20"/>
          <w:lang w:val="es-PA"/>
        </w:rPr>
        <w:t>ó que este no había seguido los protocolos para documenta</w:t>
      </w:r>
      <w:r w:rsidR="00390D2B" w:rsidRPr="00B522AF">
        <w:rPr>
          <w:rFonts w:asciiTheme="majorHAnsi" w:hAnsiTheme="majorHAnsi"/>
          <w:sz w:val="20"/>
          <w:szCs w:val="20"/>
          <w:lang w:val="es-PA"/>
        </w:rPr>
        <w:t>r y dejar registro de</w:t>
      </w:r>
      <w:r w:rsidR="00140C2E" w:rsidRPr="00B522AF">
        <w:rPr>
          <w:rFonts w:asciiTheme="majorHAnsi" w:hAnsiTheme="majorHAnsi"/>
          <w:sz w:val="20"/>
          <w:szCs w:val="20"/>
          <w:lang w:val="es-PA"/>
        </w:rPr>
        <w:t xml:space="preserve"> la captura de la presunta víctima o </w:t>
      </w:r>
      <w:r w:rsidR="00390D2B" w:rsidRPr="00B522AF">
        <w:rPr>
          <w:rFonts w:asciiTheme="majorHAnsi" w:hAnsiTheme="majorHAnsi"/>
          <w:sz w:val="20"/>
          <w:szCs w:val="20"/>
          <w:lang w:val="es-PA"/>
        </w:rPr>
        <w:t>su entrega a otro oficial reflexionado que “</w:t>
      </w:r>
      <w:r w:rsidR="00390D2B" w:rsidRPr="00B522AF">
        <w:rPr>
          <w:rFonts w:asciiTheme="majorHAnsi" w:hAnsiTheme="majorHAnsi"/>
          <w:i/>
          <w:iCs/>
          <w:sz w:val="20"/>
          <w:szCs w:val="20"/>
          <w:lang w:val="es-PA"/>
        </w:rPr>
        <w:t>se trataba de ocultar la captura ya que ella estaba ligada al posterior homicidio</w:t>
      </w:r>
      <w:r w:rsidR="00D9544F" w:rsidRPr="00B522AF">
        <w:rPr>
          <w:rFonts w:asciiTheme="majorHAnsi" w:hAnsiTheme="majorHAnsi"/>
          <w:sz w:val="20"/>
          <w:szCs w:val="20"/>
          <w:lang w:val="es-PA"/>
        </w:rPr>
        <w:t>”</w:t>
      </w:r>
      <w:r w:rsidR="00390D2B" w:rsidRPr="00B522AF">
        <w:rPr>
          <w:rFonts w:asciiTheme="majorHAnsi" w:hAnsiTheme="majorHAnsi"/>
          <w:sz w:val="20"/>
          <w:szCs w:val="20"/>
          <w:lang w:val="es-PA"/>
        </w:rPr>
        <w:t xml:space="preserve">. En adición, se valoró </w:t>
      </w:r>
      <w:proofErr w:type="gramStart"/>
      <w:r w:rsidR="00390D2B" w:rsidRPr="00B522AF">
        <w:rPr>
          <w:rFonts w:asciiTheme="majorHAnsi" w:hAnsiTheme="majorHAnsi"/>
          <w:sz w:val="20"/>
          <w:szCs w:val="20"/>
          <w:lang w:val="es-PA"/>
        </w:rPr>
        <w:t>que</w:t>
      </w:r>
      <w:proofErr w:type="gramEnd"/>
      <w:r w:rsidR="00390D2B" w:rsidRPr="00B522AF">
        <w:rPr>
          <w:rFonts w:asciiTheme="majorHAnsi" w:hAnsiTheme="majorHAnsi"/>
          <w:sz w:val="20"/>
          <w:szCs w:val="20"/>
          <w:lang w:val="es-PA"/>
        </w:rPr>
        <w:t xml:space="preserve"> si bien el </w:t>
      </w:r>
      <w:r w:rsidR="00D9544F" w:rsidRPr="00B522AF">
        <w:rPr>
          <w:rFonts w:asciiTheme="majorHAnsi" w:hAnsiTheme="majorHAnsi"/>
          <w:sz w:val="20"/>
          <w:szCs w:val="20"/>
          <w:lang w:val="es-PA"/>
        </w:rPr>
        <w:t>m</w:t>
      </w:r>
      <w:r w:rsidR="00390D2B" w:rsidRPr="00B522AF">
        <w:rPr>
          <w:rFonts w:asciiTheme="majorHAnsi" w:hAnsiTheme="majorHAnsi"/>
          <w:sz w:val="20"/>
          <w:szCs w:val="20"/>
          <w:lang w:val="es-PA"/>
        </w:rPr>
        <w:t xml:space="preserve">ayor era un oficial </w:t>
      </w:r>
      <w:r w:rsidR="00D9544F" w:rsidRPr="00B522AF">
        <w:rPr>
          <w:rFonts w:asciiTheme="majorHAnsi" w:hAnsiTheme="majorHAnsi"/>
          <w:sz w:val="20"/>
          <w:szCs w:val="20"/>
          <w:lang w:val="es-PA"/>
        </w:rPr>
        <w:t xml:space="preserve">con más jerarquía, </w:t>
      </w:r>
      <w:r w:rsidR="00390D2B" w:rsidRPr="00B522AF">
        <w:rPr>
          <w:rFonts w:asciiTheme="majorHAnsi" w:hAnsiTheme="majorHAnsi"/>
          <w:sz w:val="20"/>
          <w:szCs w:val="20"/>
          <w:lang w:val="es-PA"/>
        </w:rPr>
        <w:t xml:space="preserve">no era superior jerárquico funcional del </w:t>
      </w:r>
      <w:r w:rsidR="00D9544F" w:rsidRPr="00B522AF">
        <w:rPr>
          <w:rFonts w:asciiTheme="majorHAnsi" w:hAnsiTheme="majorHAnsi"/>
          <w:sz w:val="20"/>
          <w:szCs w:val="20"/>
          <w:lang w:val="es-PA"/>
        </w:rPr>
        <w:t>t</w:t>
      </w:r>
      <w:r w:rsidR="00390D2B" w:rsidRPr="00B522AF">
        <w:rPr>
          <w:rFonts w:asciiTheme="majorHAnsi" w:hAnsiTheme="majorHAnsi"/>
          <w:sz w:val="20"/>
          <w:szCs w:val="20"/>
          <w:lang w:val="es-PA"/>
        </w:rPr>
        <w:t>eniente y que</w:t>
      </w:r>
      <w:r w:rsidR="00D9544F" w:rsidRPr="00B522AF">
        <w:rPr>
          <w:rFonts w:asciiTheme="majorHAnsi" w:hAnsiTheme="majorHAnsi"/>
          <w:sz w:val="20"/>
          <w:szCs w:val="20"/>
          <w:lang w:val="es-PA"/>
        </w:rPr>
        <w:t>, en consecuencia, este último</w:t>
      </w:r>
      <w:r w:rsidR="00390D2B" w:rsidRPr="00B522AF">
        <w:rPr>
          <w:rFonts w:asciiTheme="majorHAnsi" w:hAnsiTheme="majorHAnsi"/>
          <w:sz w:val="20"/>
          <w:szCs w:val="20"/>
          <w:lang w:val="es-PA"/>
        </w:rPr>
        <w:t xml:space="preserve"> no estaba “</w:t>
      </w:r>
      <w:r w:rsidR="00390D2B" w:rsidRPr="00B522AF">
        <w:rPr>
          <w:rFonts w:asciiTheme="majorHAnsi" w:hAnsiTheme="majorHAnsi"/>
          <w:i/>
          <w:iCs/>
          <w:sz w:val="20"/>
          <w:szCs w:val="20"/>
          <w:lang w:val="es-PA"/>
        </w:rPr>
        <w:t>obligado a cumplir una orden ilegal e ilegítima que vulneraba de manera flagrante los derechos del capturado, por lo menos en ese momento los relativos a la libertad individual y física</w:t>
      </w:r>
      <w:r w:rsidR="00D9544F" w:rsidRPr="00B522AF">
        <w:rPr>
          <w:rFonts w:asciiTheme="majorHAnsi" w:hAnsiTheme="majorHAnsi"/>
          <w:sz w:val="20"/>
          <w:szCs w:val="20"/>
          <w:lang w:val="es-PA"/>
        </w:rPr>
        <w:t>”</w:t>
      </w:r>
      <w:r w:rsidR="00390D2B" w:rsidRPr="00B522AF">
        <w:rPr>
          <w:rFonts w:asciiTheme="majorHAnsi" w:hAnsiTheme="majorHAnsi"/>
          <w:sz w:val="20"/>
          <w:szCs w:val="20"/>
          <w:lang w:val="es-PA"/>
        </w:rPr>
        <w:t xml:space="preserve">. </w:t>
      </w:r>
    </w:p>
    <w:p w14:paraId="6462E78F" w14:textId="77777777" w:rsidR="00A45B39" w:rsidRPr="00A45B39" w:rsidRDefault="00A45B39" w:rsidP="00A45B3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UY"/>
        </w:rPr>
      </w:pPr>
    </w:p>
    <w:p w14:paraId="6D8BACB7" w14:textId="3EDC4437" w:rsidR="00611B77" w:rsidRDefault="001251D7" w:rsidP="00A45B3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B522AF">
        <w:rPr>
          <w:rFonts w:asciiTheme="majorHAnsi" w:hAnsiTheme="majorHAnsi"/>
          <w:sz w:val="20"/>
          <w:szCs w:val="20"/>
          <w:lang w:val="es-PA"/>
        </w:rPr>
        <w:t>Respecto a los otros dos oficiales</w:t>
      </w:r>
      <w:r w:rsidR="00A45B39">
        <w:rPr>
          <w:rFonts w:asciiTheme="majorHAnsi" w:hAnsiTheme="majorHAnsi"/>
          <w:sz w:val="20"/>
          <w:szCs w:val="20"/>
          <w:lang w:val="es-PA"/>
        </w:rPr>
        <w:t>,</w:t>
      </w:r>
      <w:r w:rsidRPr="00B522AF">
        <w:rPr>
          <w:rFonts w:asciiTheme="majorHAnsi" w:hAnsiTheme="majorHAnsi"/>
          <w:sz w:val="20"/>
          <w:szCs w:val="20"/>
          <w:lang w:val="es-PA"/>
        </w:rPr>
        <w:t xml:space="preserve"> el fallo valoró que “</w:t>
      </w:r>
      <w:r w:rsidRPr="00B522AF">
        <w:rPr>
          <w:rFonts w:asciiTheme="majorHAnsi" w:hAnsiTheme="majorHAnsi"/>
          <w:i/>
          <w:iCs/>
          <w:sz w:val="20"/>
          <w:szCs w:val="20"/>
          <w:lang w:val="es-PA"/>
        </w:rPr>
        <w:t>frente a la supuesta peligrosidad del capturado en ese momento debe indicar este órgano de control que ya se encontraba esposado y sometido por lo que daba igual subirlo al automotor como un ser humano con un tratamiento digno, que introducirlo como un objeto al baúl</w:t>
      </w:r>
      <w:r w:rsidRPr="00B522AF">
        <w:rPr>
          <w:rFonts w:asciiTheme="majorHAnsi" w:hAnsiTheme="majorHAnsi"/>
          <w:sz w:val="20"/>
          <w:szCs w:val="20"/>
          <w:lang w:val="es-PA"/>
        </w:rPr>
        <w:t>”.</w:t>
      </w:r>
      <w:r w:rsidR="00611B77" w:rsidRPr="00B522AF">
        <w:rPr>
          <w:rFonts w:asciiTheme="majorHAnsi" w:hAnsiTheme="majorHAnsi"/>
          <w:sz w:val="20"/>
          <w:szCs w:val="20"/>
          <w:lang w:val="es-PA"/>
        </w:rPr>
        <w:t xml:space="preserve">  El fallo también rechazó el argumento de que el cumplimiento de órdenes superiores les eximiera de responsabilidad porque “</w:t>
      </w:r>
      <w:r w:rsidR="00611B77" w:rsidRPr="00B522AF">
        <w:rPr>
          <w:rFonts w:asciiTheme="majorHAnsi" w:hAnsiTheme="majorHAnsi"/>
          <w:i/>
          <w:iCs/>
          <w:sz w:val="20"/>
          <w:szCs w:val="20"/>
          <w:lang w:val="es-PA"/>
        </w:rPr>
        <w:t xml:space="preserve">el confinamiento en el baúl de un automotor de una persona </w:t>
      </w:r>
      <w:r w:rsidR="00D9544F" w:rsidRPr="00B522AF">
        <w:rPr>
          <w:rFonts w:asciiTheme="majorHAnsi" w:hAnsiTheme="majorHAnsi"/>
          <w:i/>
          <w:iCs/>
          <w:sz w:val="20"/>
          <w:szCs w:val="20"/>
          <w:lang w:val="es-PA"/>
        </w:rPr>
        <w:t>capturada</w:t>
      </w:r>
      <w:r w:rsidR="00611B77" w:rsidRPr="00B522AF">
        <w:rPr>
          <w:rFonts w:asciiTheme="majorHAnsi" w:hAnsiTheme="majorHAnsi"/>
          <w:i/>
          <w:iCs/>
          <w:sz w:val="20"/>
          <w:szCs w:val="20"/>
          <w:lang w:val="es-PA"/>
        </w:rPr>
        <w:t xml:space="preserve"> constituye sin más consideración un atentado contra su dignidad y la integridad física</w:t>
      </w:r>
      <w:r w:rsidR="00611B77" w:rsidRPr="00B522AF">
        <w:rPr>
          <w:rFonts w:asciiTheme="majorHAnsi" w:hAnsiTheme="majorHAnsi"/>
          <w:sz w:val="20"/>
          <w:szCs w:val="20"/>
          <w:lang w:val="es-PA"/>
        </w:rPr>
        <w:t>”.</w:t>
      </w:r>
      <w:r w:rsidR="00611B77" w:rsidRPr="00B522AF">
        <w:rPr>
          <w:rFonts w:asciiTheme="majorHAnsi" w:hAnsiTheme="majorHAnsi"/>
          <w:sz w:val="20"/>
          <w:szCs w:val="20"/>
          <w:lang w:val="es-UY"/>
        </w:rPr>
        <w:t xml:space="preserve"> Explica que el fallo </w:t>
      </w:r>
      <w:r w:rsidR="00611B77" w:rsidRPr="00B522AF">
        <w:rPr>
          <w:rFonts w:asciiTheme="majorHAnsi" w:hAnsiTheme="majorHAnsi"/>
          <w:sz w:val="20"/>
          <w:szCs w:val="20"/>
          <w:lang w:val="es-UY"/>
        </w:rPr>
        <w:lastRenderedPageBreak/>
        <w:t xml:space="preserve">disciplinario fue impugnado mediante recurso de reposición el cual fue rechazado el 7 de mayo de 2007 en decisión definitiva que quedó ejecutoriada el 23 de mayo de 2007. Resalta que transcurrieron más de 3 años entre la fecha de la decisión definitiva del proceso disciplinario y la de la presentación de la petición. </w:t>
      </w:r>
    </w:p>
    <w:p w14:paraId="2331CD18" w14:textId="77777777" w:rsidR="00A45B39" w:rsidRPr="00B522AF" w:rsidRDefault="00A45B39" w:rsidP="00A45B3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p>
    <w:p w14:paraId="7556A817" w14:textId="39C2A6E6" w:rsidR="00FB276B" w:rsidRPr="00A45B39" w:rsidRDefault="001251D7" w:rsidP="00A45B3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B522AF">
        <w:rPr>
          <w:rFonts w:asciiTheme="majorHAnsi" w:hAnsiTheme="majorHAnsi"/>
          <w:sz w:val="20"/>
          <w:szCs w:val="20"/>
          <w:lang w:val="es-PA"/>
        </w:rPr>
        <w:t xml:space="preserve"> </w:t>
      </w:r>
      <w:r w:rsidR="00611B77" w:rsidRPr="00B522AF">
        <w:rPr>
          <w:rFonts w:asciiTheme="majorHAnsi" w:hAnsiTheme="majorHAnsi"/>
          <w:sz w:val="20"/>
          <w:szCs w:val="20"/>
          <w:lang w:val="es-PA"/>
        </w:rPr>
        <w:t>En lo referente al proceso contencioso administrativo de reparaci</w:t>
      </w:r>
      <w:r w:rsidR="00C80DA0" w:rsidRPr="00B522AF">
        <w:rPr>
          <w:rFonts w:asciiTheme="majorHAnsi" w:hAnsiTheme="majorHAnsi"/>
          <w:sz w:val="20"/>
          <w:szCs w:val="20"/>
          <w:lang w:val="es-PA"/>
        </w:rPr>
        <w:t xml:space="preserve">ón directa, indica que la demanda fue admitida el 21 de noviembre de 2002 y que el 22 de mayo de 2009 el Tribunal Administrativo de Antioquía negó las pretensiones de la demanda. Indica que el Tribunal Administrativo resaltó en su fallo </w:t>
      </w:r>
      <w:r w:rsidR="00C80DA0" w:rsidRPr="00B522AF">
        <w:rPr>
          <w:rFonts w:asciiTheme="majorHAnsi" w:hAnsiTheme="majorHAnsi"/>
          <w:i/>
          <w:iCs/>
          <w:sz w:val="20"/>
          <w:szCs w:val="20"/>
          <w:lang w:val="es-PA"/>
        </w:rPr>
        <w:t>“el abandono probatorio a que fue sometida esta causa por la parte demandante, ésta instancia, ya que además de la insuficiente prueba analizada, se limitó a solicitar la totalidad del proceso penal</w:t>
      </w:r>
      <w:r w:rsidR="00D9544F" w:rsidRPr="00B522AF">
        <w:rPr>
          <w:rFonts w:asciiTheme="majorHAnsi" w:hAnsiTheme="majorHAnsi"/>
          <w:i/>
          <w:iCs/>
          <w:sz w:val="20"/>
          <w:szCs w:val="20"/>
          <w:lang w:val="es-PA"/>
        </w:rPr>
        <w:t xml:space="preserve"> </w:t>
      </w:r>
      <w:r w:rsidR="00D9544F" w:rsidRPr="00B522AF">
        <w:rPr>
          <w:rFonts w:asciiTheme="majorHAnsi" w:hAnsiTheme="majorHAnsi"/>
          <w:sz w:val="20"/>
          <w:szCs w:val="20"/>
          <w:lang w:val="es-PA"/>
        </w:rPr>
        <w:t>(</w:t>
      </w:r>
      <w:r w:rsidR="00C80DA0" w:rsidRPr="00B522AF">
        <w:rPr>
          <w:rFonts w:asciiTheme="majorHAnsi" w:hAnsiTheme="majorHAnsi"/>
          <w:sz w:val="20"/>
          <w:szCs w:val="20"/>
          <w:lang w:val="es-PA"/>
        </w:rPr>
        <w:t>…</w:t>
      </w:r>
      <w:r w:rsidR="00D9544F" w:rsidRPr="00B522AF">
        <w:rPr>
          <w:rFonts w:asciiTheme="majorHAnsi" w:hAnsiTheme="majorHAnsi"/>
          <w:sz w:val="20"/>
          <w:szCs w:val="20"/>
          <w:lang w:val="es-PA"/>
        </w:rPr>
        <w:t>)</w:t>
      </w:r>
      <w:r w:rsidR="00C80DA0" w:rsidRPr="00B522AF">
        <w:rPr>
          <w:rFonts w:asciiTheme="majorHAnsi" w:hAnsiTheme="majorHAnsi"/>
          <w:sz w:val="20"/>
          <w:szCs w:val="20"/>
          <w:lang w:val="es-PA"/>
        </w:rPr>
        <w:t>”. Explica que</w:t>
      </w:r>
      <w:r w:rsidR="00D9544F" w:rsidRPr="00B522AF">
        <w:rPr>
          <w:rFonts w:asciiTheme="majorHAnsi" w:hAnsiTheme="majorHAnsi"/>
          <w:sz w:val="20"/>
          <w:szCs w:val="20"/>
          <w:lang w:val="es-PA"/>
        </w:rPr>
        <w:t xml:space="preserve"> la parte demandante apeló esta decisión el </w:t>
      </w:r>
      <w:r w:rsidR="00C80DA0" w:rsidRPr="00B522AF">
        <w:rPr>
          <w:rFonts w:asciiTheme="majorHAnsi" w:hAnsiTheme="majorHAnsi"/>
          <w:sz w:val="20"/>
          <w:szCs w:val="20"/>
          <w:lang w:val="es-PA"/>
        </w:rPr>
        <w:t>23 de junio de 2009</w:t>
      </w:r>
      <w:r w:rsidR="00D9544F" w:rsidRPr="00B522AF">
        <w:rPr>
          <w:rFonts w:asciiTheme="majorHAnsi" w:hAnsiTheme="majorHAnsi"/>
          <w:sz w:val="20"/>
          <w:szCs w:val="20"/>
          <w:lang w:val="es-PA"/>
        </w:rPr>
        <w:t xml:space="preserve">, pero que el 14 de octubre de 2009 la autoridad jurisdiccional negó tal recurso, la considerar que la demanda no cumplía la cuantía mínima para que el proceso fuera de doble instancia. Señala que tal decisión cerró proceso y que las autoridades notificaron la misma a las partes el 20 de octubre de 2009, quedando ejecutoriada el 23 de octubre de 2009. </w:t>
      </w:r>
      <w:r w:rsidR="00C35693" w:rsidRPr="00B522AF">
        <w:rPr>
          <w:rFonts w:asciiTheme="majorHAnsi" w:hAnsiTheme="majorHAnsi"/>
          <w:sz w:val="20"/>
          <w:szCs w:val="20"/>
          <w:lang w:val="es-PA"/>
        </w:rPr>
        <w:t>Resalta que entre la fecha en que la decisión definitiva del proceso de reparación directa quedó ejecutoriada y la fecha de presentación de la petición transcurrieron más de 7 meses. Señala que la fecha relevante para el cálculo del plazo previsto en el artículo 46.1(b) es aquella en la que el Estado notificó la decisión final y no aquella en la que se alega que las personas familiares de la presunta víctima recibieron el fallo por parte de sus apoderados</w:t>
      </w:r>
      <w:r w:rsidR="005941C1" w:rsidRPr="00B522AF">
        <w:rPr>
          <w:rFonts w:asciiTheme="majorHAnsi" w:hAnsiTheme="majorHAnsi"/>
          <w:sz w:val="20"/>
          <w:szCs w:val="20"/>
          <w:lang w:val="es-PA"/>
        </w:rPr>
        <w:t>.</w:t>
      </w:r>
    </w:p>
    <w:p w14:paraId="7B899A25" w14:textId="77777777" w:rsidR="00A45B39" w:rsidRPr="00B522AF" w:rsidRDefault="00A45B39" w:rsidP="00A45B3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UY"/>
        </w:rPr>
      </w:pPr>
    </w:p>
    <w:p w14:paraId="538CB81B" w14:textId="71E7BCEB" w:rsidR="00FB276B" w:rsidRPr="00B522AF" w:rsidRDefault="00FB276B" w:rsidP="00A45B3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UY"/>
        </w:rPr>
      </w:pPr>
      <w:r w:rsidRPr="00B522AF">
        <w:rPr>
          <w:rFonts w:asciiTheme="majorHAnsi" w:hAnsiTheme="majorHAnsi"/>
          <w:b/>
          <w:bCs/>
          <w:color w:val="auto"/>
          <w:sz w:val="20"/>
          <w:szCs w:val="20"/>
          <w:lang w:val="es-ES"/>
        </w:rPr>
        <w:t>VI.</w:t>
      </w:r>
      <w:r w:rsidRPr="00B522AF">
        <w:rPr>
          <w:rFonts w:asciiTheme="majorHAnsi" w:hAnsiTheme="majorHAnsi"/>
          <w:b/>
          <w:bCs/>
          <w:color w:val="auto"/>
          <w:sz w:val="20"/>
          <w:szCs w:val="20"/>
          <w:lang w:val="es-ES"/>
        </w:rPr>
        <w:tab/>
      </w:r>
      <w:r w:rsidRPr="00B522AF">
        <w:rPr>
          <w:rFonts w:asciiTheme="majorHAnsi" w:hAnsiTheme="majorHAnsi"/>
          <w:b/>
          <w:bCs/>
          <w:color w:val="auto"/>
          <w:sz w:val="20"/>
          <w:szCs w:val="20"/>
          <w:lang w:val="es-ES_tradnl"/>
        </w:rPr>
        <w:t xml:space="preserve">ANÁLISIS DE </w:t>
      </w:r>
      <w:r w:rsidRPr="00B522AF">
        <w:rPr>
          <w:rFonts w:asciiTheme="majorHAnsi" w:hAnsiTheme="majorHAnsi"/>
          <w:b/>
          <w:color w:val="auto"/>
          <w:sz w:val="20"/>
          <w:szCs w:val="20"/>
          <w:lang w:val="es-ES"/>
        </w:rPr>
        <w:t>AGOTAMIENTO DE LOS RECURSOS INTERNOS Y PLAZO DE PRESENTACIÓN</w:t>
      </w:r>
      <w:r w:rsidRPr="00B522AF">
        <w:rPr>
          <w:rFonts w:asciiTheme="majorHAnsi" w:hAnsiTheme="majorHAnsi"/>
          <w:b/>
          <w:bCs/>
          <w:color w:val="auto"/>
          <w:sz w:val="20"/>
          <w:szCs w:val="20"/>
          <w:lang w:val="es-ES"/>
        </w:rPr>
        <w:t xml:space="preserve"> </w:t>
      </w:r>
    </w:p>
    <w:p w14:paraId="2DAA4FD4" w14:textId="77777777" w:rsidR="00A45B39" w:rsidRPr="00A45B39" w:rsidRDefault="00A45B39" w:rsidP="00A45B3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UY"/>
        </w:rPr>
      </w:pPr>
    </w:p>
    <w:p w14:paraId="5AC2B53C" w14:textId="79C55260" w:rsidR="00FB276B" w:rsidRPr="00A45B39" w:rsidRDefault="003150AC" w:rsidP="00A45B3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B522AF">
        <w:rPr>
          <w:rFonts w:ascii="Cambria" w:hAnsi="Cambria"/>
          <w:sz w:val="20"/>
          <w:szCs w:val="20"/>
          <w:lang w:val="es-ES"/>
        </w:rPr>
        <w:t xml:space="preserve">La Comisión </w:t>
      </w:r>
      <w:r w:rsidR="00C35693" w:rsidRPr="00B522AF">
        <w:rPr>
          <w:rFonts w:ascii="Cambria" w:hAnsi="Cambria"/>
          <w:sz w:val="20"/>
          <w:szCs w:val="20"/>
          <w:lang w:val="es-ES"/>
        </w:rPr>
        <w:t xml:space="preserve">toma nota que el Estado ha indicado que </w:t>
      </w:r>
      <w:r w:rsidR="002219A1" w:rsidRPr="00B522AF">
        <w:rPr>
          <w:rFonts w:ascii="Cambria" w:hAnsi="Cambria"/>
          <w:sz w:val="20"/>
          <w:szCs w:val="20"/>
          <w:lang w:val="es-ES"/>
        </w:rPr>
        <w:t>los procesos penales, disciplinarios y de reparación directa relacionados con el objeto de la petición se encontraban todos definitivamente resueltos a nivel interno más de 6 meses antes de que la petición fuera presentada, por lo que esta debe ser inadmitida por incumplimiento del plazo previsto el artículo 46.1(b) de la Convención Americana para la presentación de peticiones.</w:t>
      </w:r>
      <w:r w:rsidR="00B522AF" w:rsidRPr="00B522AF">
        <w:rPr>
          <w:rFonts w:ascii="Cambria" w:hAnsi="Cambria"/>
          <w:sz w:val="20"/>
          <w:szCs w:val="20"/>
          <w:lang w:val="es-ES"/>
        </w:rPr>
        <w:t xml:space="preserve"> Por su lado, l</w:t>
      </w:r>
      <w:r w:rsidRPr="00B522AF">
        <w:rPr>
          <w:rFonts w:ascii="Cambria" w:hAnsi="Cambria"/>
          <w:sz w:val="20"/>
          <w:szCs w:val="20"/>
          <w:lang w:val="es-ES"/>
        </w:rPr>
        <w:t>a parte peticionaria no ha presentado argumentos respecto a si la petición cumple o no con los requisitos de agotamiento de los recursos internos y presentación dentro de plazo</w:t>
      </w:r>
      <w:r w:rsidR="0015065E" w:rsidRPr="00B522AF">
        <w:rPr>
          <w:rStyle w:val="FootnoteReference"/>
          <w:rFonts w:ascii="Cambria" w:hAnsi="Cambria" w:cs="Calibri"/>
          <w:sz w:val="20"/>
          <w:szCs w:val="20"/>
          <w:lang w:val="es-ES"/>
        </w:rPr>
        <w:footnoteReference w:id="7"/>
      </w:r>
      <w:r w:rsidR="0015065E" w:rsidRPr="00B522AF">
        <w:rPr>
          <w:rFonts w:ascii="Cambria" w:hAnsi="Cambria" w:cs="Calibri"/>
          <w:sz w:val="20"/>
          <w:szCs w:val="20"/>
          <w:lang w:val="es-ES"/>
        </w:rPr>
        <w:t>.</w:t>
      </w:r>
    </w:p>
    <w:p w14:paraId="21F62F54" w14:textId="77777777" w:rsidR="00A45B39" w:rsidRPr="00B522AF" w:rsidRDefault="00A45B39" w:rsidP="00A45B3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UY"/>
        </w:rPr>
      </w:pPr>
    </w:p>
    <w:p w14:paraId="3B4B7C0C" w14:textId="7C826621" w:rsidR="0015065E" w:rsidRPr="00A45B39" w:rsidRDefault="002219A1" w:rsidP="00A45B3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B522AF">
        <w:rPr>
          <w:rFonts w:ascii="Cambria" w:hAnsi="Cambria"/>
          <w:sz w:val="20"/>
          <w:szCs w:val="20"/>
          <w:lang w:val="es-ES"/>
        </w:rPr>
        <w:t xml:space="preserve">La Comisión recuerda su criterio sostenido respecto a que </w:t>
      </w:r>
      <w:r w:rsidR="006D6A85" w:rsidRPr="00B522AF">
        <w:rPr>
          <w:rFonts w:ascii="Cambria" w:hAnsi="Cambria"/>
          <w:sz w:val="20"/>
          <w:szCs w:val="20"/>
          <w:lang w:val="es-ES"/>
        </w:rPr>
        <w:t>“</w:t>
      </w:r>
      <w:r w:rsidR="006D6A85" w:rsidRPr="00B522AF">
        <w:rPr>
          <w:rFonts w:ascii="Cambria" w:hAnsi="Cambria" w:cs="Calibri"/>
          <w:sz w:val="20"/>
          <w:szCs w:val="20"/>
          <w:lang w:val="es-ES_tradnl"/>
        </w:rPr>
        <w:t>en situaciones […] que incluyen delitos contra la vida e integridad, los recursos internos que deben tomarse en cuenta a los efectos de la admisibilidad de las peticiones son los relacionados con la investigación penal y sanción de los responsables</w:t>
      </w:r>
      <w:r w:rsidR="00FF0BE3" w:rsidRPr="00B522AF">
        <w:rPr>
          <w:rFonts w:ascii="Cambria" w:hAnsi="Cambria" w:cs="Calibri"/>
          <w:sz w:val="20"/>
          <w:szCs w:val="20"/>
          <w:lang w:val="es-ES_tradnl"/>
        </w:rPr>
        <w:t>.</w:t>
      </w:r>
      <w:r w:rsidR="006D6A85" w:rsidRPr="00B522AF">
        <w:rPr>
          <w:rFonts w:ascii="Cambria" w:hAnsi="Cambria" w:cs="Calibri"/>
          <w:sz w:val="20"/>
          <w:szCs w:val="20"/>
          <w:lang w:val="es-ES_tradnl"/>
        </w:rPr>
        <w:t>”</w:t>
      </w:r>
      <w:r w:rsidR="006D6A85" w:rsidRPr="00B522AF">
        <w:rPr>
          <w:rStyle w:val="FootnoteReference"/>
          <w:rFonts w:ascii="Cambria" w:hAnsi="Cambria" w:cs="Calibri"/>
          <w:sz w:val="20"/>
          <w:szCs w:val="20"/>
        </w:rPr>
        <w:footnoteReference w:id="8"/>
      </w:r>
      <w:r w:rsidR="0015065E" w:rsidRPr="00B522AF">
        <w:rPr>
          <w:rFonts w:ascii="Cambria" w:hAnsi="Cambria" w:cs="Calibri"/>
          <w:sz w:val="20"/>
          <w:szCs w:val="20"/>
          <w:lang w:val="es-ES_tradnl"/>
        </w:rPr>
        <w:t xml:space="preserve"> </w:t>
      </w:r>
      <w:r w:rsidR="00530A71" w:rsidRPr="00B522AF">
        <w:rPr>
          <w:rFonts w:ascii="Cambria" w:hAnsi="Cambria" w:cs="Calibri"/>
          <w:sz w:val="20"/>
          <w:szCs w:val="20"/>
          <w:lang w:val="es-ES"/>
        </w:rPr>
        <w:t xml:space="preserve">La Comisión también ha </w:t>
      </w:r>
      <w:r w:rsidR="00D25BE9" w:rsidRPr="00B522AF">
        <w:rPr>
          <w:rFonts w:ascii="Cambria" w:hAnsi="Cambria" w:cs="Calibri"/>
          <w:sz w:val="20"/>
          <w:szCs w:val="20"/>
          <w:lang w:val="es-ES"/>
        </w:rPr>
        <w:t>determinado</w:t>
      </w:r>
      <w:r w:rsidR="00530A71" w:rsidRPr="00B522AF">
        <w:rPr>
          <w:rFonts w:ascii="Cambria" w:hAnsi="Cambria" w:cs="Calibri"/>
          <w:sz w:val="20"/>
          <w:szCs w:val="20"/>
          <w:lang w:val="es-ES"/>
        </w:rPr>
        <w:t xml:space="preserve"> que </w:t>
      </w:r>
      <w:r w:rsidR="00FF0BE3" w:rsidRPr="00B522AF">
        <w:rPr>
          <w:rFonts w:ascii="Cambria" w:hAnsi="Cambria" w:cs="Calibri"/>
          <w:sz w:val="20"/>
          <w:szCs w:val="20"/>
          <w:lang w:val="es-ES"/>
        </w:rPr>
        <w:t>“</w:t>
      </w:r>
      <w:r w:rsidR="00530A71" w:rsidRPr="00B522AF">
        <w:rPr>
          <w:rFonts w:ascii="Cambria" w:hAnsi="Cambria" w:cs="Calibri"/>
          <w:sz w:val="20"/>
          <w:szCs w:val="20"/>
          <w:lang w:val="es-ES_tradnl"/>
        </w:rPr>
        <w:t>toda vez que se cometa un delito perseguible de oficio, como el de homicidio, el Estado es el que tiene la obligación de promover e impulsar el proceso penal y que, en esos casos, este constituye una vía idónea para esclarecer los hechos, juzgar a los responsables y establecer las sanciones penales correspondientes”</w:t>
      </w:r>
      <w:r w:rsidR="00530A71" w:rsidRPr="00B522AF">
        <w:rPr>
          <w:rFonts w:ascii="Cambria" w:hAnsi="Cambria" w:cs="Calibri"/>
          <w:sz w:val="20"/>
          <w:szCs w:val="20"/>
          <w:lang w:val="es-ES"/>
        </w:rPr>
        <w:t xml:space="preserve"> </w:t>
      </w:r>
      <w:r w:rsidR="00530A71" w:rsidRPr="00B522AF">
        <w:rPr>
          <w:rStyle w:val="FootnoteReference"/>
          <w:rFonts w:ascii="Cambria" w:hAnsi="Cambria" w:cs="Calibri"/>
          <w:sz w:val="20"/>
          <w:szCs w:val="20"/>
        </w:rPr>
        <w:footnoteReference w:id="9"/>
      </w:r>
      <w:r w:rsidR="00D25BE9" w:rsidRPr="00B522AF">
        <w:rPr>
          <w:rFonts w:ascii="Cambria" w:hAnsi="Cambria" w:cs="Calibri"/>
          <w:sz w:val="20"/>
          <w:szCs w:val="20"/>
          <w:lang w:val="es-ES_tradnl"/>
        </w:rPr>
        <w:t xml:space="preserve">, y que </w:t>
      </w:r>
      <w:r w:rsidR="00FF0BE3" w:rsidRPr="00B522AF">
        <w:rPr>
          <w:rFonts w:ascii="Cambria" w:hAnsi="Cambria" w:cs="Calibri"/>
          <w:sz w:val="20"/>
          <w:szCs w:val="20"/>
          <w:lang w:val="es-ES_tradnl"/>
        </w:rPr>
        <w:t>“</w:t>
      </w:r>
      <w:r w:rsidR="00FF0BE3" w:rsidRPr="00B522AF">
        <w:rPr>
          <w:rFonts w:ascii="Cambria" w:hAnsi="Cambria" w:cs="Calibri"/>
          <w:sz w:val="20"/>
          <w:szCs w:val="20"/>
          <w:lang w:val="es-MX"/>
        </w:rPr>
        <w:t>l</w:t>
      </w:r>
      <w:r w:rsidR="00FF0BE3" w:rsidRPr="00B522AF">
        <w:rPr>
          <w:rFonts w:ascii="Cambria" w:hAnsi="Cambria" w:cs="Calibri"/>
          <w:sz w:val="20"/>
          <w:szCs w:val="20"/>
          <w:lang w:val="es-ES"/>
        </w:rPr>
        <w:t xml:space="preserve">a jurisdicción disciplinaria no constituye una vía idónea para juzgar, sancionar y reparar las consecuencias de violaciones a los derechos humanos” </w:t>
      </w:r>
      <w:r w:rsidR="00FF0BE3" w:rsidRPr="00B522AF">
        <w:rPr>
          <w:rStyle w:val="FootnoteReference"/>
          <w:rFonts w:ascii="Cambria" w:hAnsi="Cambria" w:cs="Calibri"/>
          <w:sz w:val="20"/>
          <w:szCs w:val="20"/>
          <w:lang w:val="es-ES"/>
        </w:rPr>
        <w:footnoteReference w:id="10"/>
      </w:r>
      <w:r w:rsidR="00FF0BE3" w:rsidRPr="00B522AF">
        <w:rPr>
          <w:rFonts w:ascii="Cambria" w:hAnsi="Cambria" w:cs="Calibri"/>
          <w:sz w:val="20"/>
          <w:szCs w:val="20"/>
          <w:lang w:val="es-ES"/>
        </w:rPr>
        <w:t>.</w:t>
      </w:r>
      <w:r w:rsidR="00D25BE9" w:rsidRPr="00B522AF">
        <w:rPr>
          <w:rFonts w:ascii="Cambria" w:hAnsi="Cambria" w:cs="Calibri"/>
          <w:sz w:val="20"/>
          <w:szCs w:val="20"/>
          <w:lang w:val="es-ES"/>
        </w:rPr>
        <w:t xml:space="preserve"> En adición, la Comisión resalta que “</w:t>
      </w:r>
      <w:r w:rsidR="00D25BE9" w:rsidRPr="00B522AF">
        <w:rPr>
          <w:rFonts w:ascii="Cambria" w:hAnsi="Cambria" w:cs="Calibri"/>
          <w:sz w:val="20"/>
          <w:szCs w:val="20"/>
          <w:lang w:val="es-ES_tradnl"/>
        </w:rPr>
        <w:t>el mecanismo establecido en los artículos 44 a 51 de la Convención Americana no tiene por propósito establecer la responsabilidad penal individual de las personas que, ya sea como civiles o agentes del Estado, puedan haber estado involucradas en la comisión de un crimen, sino el de establecer la responsabilidad estatal por la violación de la Convención Americana y otros instrumentos aplicables”</w:t>
      </w:r>
      <w:r w:rsidR="00D25BE9" w:rsidRPr="00B522AF">
        <w:rPr>
          <w:rStyle w:val="FootnoteReference"/>
          <w:rFonts w:ascii="Cambria" w:hAnsi="Cambria" w:cs="Calibri"/>
          <w:sz w:val="20"/>
          <w:szCs w:val="20"/>
        </w:rPr>
        <w:footnoteReference w:id="11"/>
      </w:r>
      <w:r w:rsidR="00D25BE9" w:rsidRPr="00B522AF">
        <w:rPr>
          <w:rFonts w:ascii="Cambria" w:hAnsi="Cambria" w:cs="Calibri"/>
          <w:sz w:val="20"/>
          <w:szCs w:val="20"/>
          <w:lang w:val="es-ES_tradnl"/>
        </w:rPr>
        <w:t xml:space="preserve">. </w:t>
      </w:r>
      <w:r w:rsidR="00D25BE9" w:rsidRPr="00B522AF">
        <w:rPr>
          <w:rFonts w:ascii="Cambria" w:hAnsi="Cambria" w:cs="Calibri"/>
          <w:sz w:val="20"/>
          <w:szCs w:val="20"/>
          <w:lang w:val="es-ES"/>
        </w:rPr>
        <w:t xml:space="preserve"> </w:t>
      </w:r>
    </w:p>
    <w:p w14:paraId="3194FE2B" w14:textId="77777777" w:rsidR="00A45B39" w:rsidRPr="00B522AF" w:rsidRDefault="00A45B39" w:rsidP="00A45B3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UY"/>
        </w:rPr>
      </w:pPr>
    </w:p>
    <w:p w14:paraId="1B3D2802" w14:textId="3BE78CF7" w:rsidR="00F656EA" w:rsidRPr="00A45B39" w:rsidRDefault="006D6A85" w:rsidP="00A45B3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B522AF">
        <w:rPr>
          <w:rFonts w:ascii="Cambria" w:hAnsi="Cambria" w:cs="Calibri"/>
          <w:sz w:val="20"/>
          <w:szCs w:val="20"/>
          <w:lang w:val="es-ES_tradnl"/>
        </w:rPr>
        <w:t xml:space="preserve">  En el presente caso, el Estado </w:t>
      </w:r>
      <w:r w:rsidR="00D25BE9" w:rsidRPr="00B522AF">
        <w:rPr>
          <w:rFonts w:ascii="Cambria" w:hAnsi="Cambria" w:cs="Calibri"/>
          <w:sz w:val="20"/>
          <w:szCs w:val="20"/>
          <w:lang w:val="es-ES_tradnl"/>
        </w:rPr>
        <w:t>ha hecho referencia a un proceso penal adelantado contra múltiples agentes del Estado por posible</w:t>
      </w:r>
      <w:r w:rsidR="00DC66BD" w:rsidRPr="00B522AF">
        <w:rPr>
          <w:rFonts w:ascii="Cambria" w:hAnsi="Cambria" w:cs="Calibri"/>
          <w:sz w:val="20"/>
          <w:szCs w:val="20"/>
          <w:lang w:val="es-ES_tradnl"/>
        </w:rPr>
        <w:t>s</w:t>
      </w:r>
      <w:r w:rsidR="00D25BE9" w:rsidRPr="00B522AF">
        <w:rPr>
          <w:rFonts w:ascii="Cambria" w:hAnsi="Cambria" w:cs="Calibri"/>
          <w:sz w:val="20"/>
          <w:szCs w:val="20"/>
          <w:lang w:val="es-ES_tradnl"/>
        </w:rPr>
        <w:t xml:space="preserve"> responsabilidad</w:t>
      </w:r>
      <w:r w:rsidR="00DC66BD" w:rsidRPr="00B522AF">
        <w:rPr>
          <w:rFonts w:ascii="Cambria" w:hAnsi="Cambria" w:cs="Calibri"/>
          <w:sz w:val="20"/>
          <w:szCs w:val="20"/>
          <w:lang w:val="es-ES_tradnl"/>
        </w:rPr>
        <w:t>es</w:t>
      </w:r>
      <w:r w:rsidR="00D25BE9" w:rsidRPr="00B522AF">
        <w:rPr>
          <w:rFonts w:ascii="Cambria" w:hAnsi="Cambria" w:cs="Calibri"/>
          <w:sz w:val="20"/>
          <w:szCs w:val="20"/>
          <w:lang w:val="es-ES_tradnl"/>
        </w:rPr>
        <w:t xml:space="preserve"> en la muerte y tortura de la presunta víctima. Este proceso concluyó con decisiones de preclusión de la investigación emitidas a favor de los investigados. La última de las decisiones de preclusión se emitió el 2 de mayo de 2005 y la petición fue presentada el 25 de mayo de 2010. Por esta razón, el Estado argumenta que la petición no cumple con los requisitos del artículo 46.1(b) de la Convención Americana según el cual las peticiones deben ser presentadas “</w:t>
      </w:r>
      <w:r w:rsidR="00D25BE9" w:rsidRPr="00B522AF">
        <w:rPr>
          <w:rFonts w:asciiTheme="majorHAnsi" w:hAnsiTheme="majorHAnsi"/>
          <w:sz w:val="20"/>
          <w:szCs w:val="20"/>
          <w:lang w:val="es-ES_tradnl"/>
        </w:rPr>
        <w:t xml:space="preserve">dentro del plazo de seis meses, a partir de la fecha en que el presunto lesionado en sus derechos haya sido notificado de la decisión definitiva”.  </w:t>
      </w:r>
      <w:r w:rsidR="00F656EA" w:rsidRPr="00B522AF">
        <w:rPr>
          <w:rFonts w:asciiTheme="majorHAnsi" w:hAnsiTheme="majorHAnsi"/>
          <w:sz w:val="20"/>
          <w:szCs w:val="20"/>
          <w:lang w:val="es-ES_tradnl"/>
        </w:rPr>
        <w:lastRenderedPageBreak/>
        <w:t>El Estado no ha aportado ni surge del expediente información respecto a la fecha en que las decisiones definitivas de las referidas investigaciones habría</w:t>
      </w:r>
      <w:r w:rsidR="00630F08" w:rsidRPr="00B522AF">
        <w:rPr>
          <w:rFonts w:asciiTheme="majorHAnsi" w:hAnsiTheme="majorHAnsi"/>
          <w:sz w:val="20"/>
          <w:szCs w:val="20"/>
          <w:lang w:val="es-ES_tradnl"/>
        </w:rPr>
        <w:t>n s</w:t>
      </w:r>
      <w:r w:rsidR="00F656EA" w:rsidRPr="00B522AF">
        <w:rPr>
          <w:rFonts w:asciiTheme="majorHAnsi" w:hAnsiTheme="majorHAnsi"/>
          <w:sz w:val="20"/>
          <w:szCs w:val="20"/>
          <w:lang w:val="es-ES_tradnl"/>
        </w:rPr>
        <w:t>ido comunicada</w:t>
      </w:r>
      <w:r w:rsidR="00630F08" w:rsidRPr="00B522AF">
        <w:rPr>
          <w:rFonts w:asciiTheme="majorHAnsi" w:hAnsiTheme="majorHAnsi"/>
          <w:sz w:val="20"/>
          <w:szCs w:val="20"/>
          <w:lang w:val="es-ES_tradnl"/>
        </w:rPr>
        <w:t>s</w:t>
      </w:r>
      <w:r w:rsidR="00F656EA" w:rsidRPr="00B522AF">
        <w:rPr>
          <w:rFonts w:asciiTheme="majorHAnsi" w:hAnsiTheme="majorHAnsi"/>
          <w:sz w:val="20"/>
          <w:szCs w:val="20"/>
          <w:lang w:val="es-ES_tradnl"/>
        </w:rPr>
        <w:t xml:space="preserve"> a las personas familiares de la presunta víctima o si en efecto lo fueron. </w:t>
      </w:r>
      <w:r w:rsidR="00D87AE4" w:rsidRPr="00B522AF">
        <w:rPr>
          <w:rFonts w:asciiTheme="majorHAnsi" w:hAnsiTheme="majorHAnsi"/>
          <w:sz w:val="20"/>
          <w:szCs w:val="20"/>
          <w:lang w:val="es-ES_tradnl"/>
        </w:rPr>
        <w:t>Por el contrario,</w:t>
      </w:r>
      <w:r w:rsidR="005941C1" w:rsidRPr="00B522AF">
        <w:rPr>
          <w:rFonts w:asciiTheme="majorHAnsi" w:hAnsiTheme="majorHAnsi"/>
          <w:sz w:val="20"/>
          <w:szCs w:val="20"/>
          <w:lang w:val="es-ES_tradnl"/>
        </w:rPr>
        <w:t xml:space="preserve"> la documentación aportada por</w:t>
      </w:r>
      <w:r w:rsidR="00F656EA" w:rsidRPr="00B522AF">
        <w:rPr>
          <w:rFonts w:asciiTheme="majorHAnsi" w:hAnsiTheme="majorHAnsi"/>
          <w:sz w:val="20"/>
          <w:szCs w:val="20"/>
          <w:lang w:val="es-ES_tradnl"/>
        </w:rPr>
        <w:t xml:space="preserve"> el Estado</w:t>
      </w:r>
      <w:r w:rsidR="005941C1" w:rsidRPr="00B522AF">
        <w:rPr>
          <w:rFonts w:asciiTheme="majorHAnsi" w:hAnsiTheme="majorHAnsi"/>
          <w:sz w:val="20"/>
          <w:szCs w:val="20"/>
          <w:lang w:val="es-ES_tradnl"/>
        </w:rPr>
        <w:t xml:space="preserve"> indica que </w:t>
      </w:r>
      <w:r w:rsidR="00D87AE4" w:rsidRPr="00B522AF">
        <w:rPr>
          <w:rFonts w:asciiTheme="majorHAnsi" w:hAnsiTheme="majorHAnsi"/>
          <w:i/>
          <w:iCs/>
          <w:sz w:val="20"/>
          <w:szCs w:val="20"/>
          <w:lang w:val="es-ES_tradnl"/>
        </w:rPr>
        <w:t>“</w:t>
      </w:r>
      <w:r w:rsidR="00D87AE4" w:rsidRPr="00B522AF">
        <w:rPr>
          <w:rFonts w:asciiTheme="majorHAnsi" w:hAnsiTheme="majorHAnsi" w:cs="ArialMT"/>
          <w:i/>
          <w:iCs/>
          <w:sz w:val="20"/>
          <w:szCs w:val="20"/>
          <w:lang w:val="es-PA" w:eastAsia="es-ES"/>
        </w:rPr>
        <w:t>al proceso no concurrieron las víctimas indirectas del hecho, no se constituyeron en parte civil y por lo mismo no les fueron notificadas en forma personal las decisiones adoptadas en la investigación</w:t>
      </w:r>
      <w:r w:rsidR="00D87AE4" w:rsidRPr="00B522AF">
        <w:rPr>
          <w:rFonts w:asciiTheme="majorHAnsi" w:hAnsiTheme="majorHAnsi" w:cs="ArialMT"/>
          <w:sz w:val="20"/>
          <w:szCs w:val="20"/>
          <w:lang w:val="es-PA" w:eastAsia="es-ES"/>
        </w:rPr>
        <w:t>”.</w:t>
      </w:r>
      <w:r w:rsidR="000B6740" w:rsidRPr="00B522AF">
        <w:rPr>
          <w:rFonts w:asciiTheme="majorHAnsi" w:hAnsiTheme="majorHAnsi" w:cs="ArialMT"/>
          <w:sz w:val="20"/>
          <w:szCs w:val="20"/>
          <w:lang w:val="es-PA" w:eastAsia="es-ES"/>
        </w:rPr>
        <w:t xml:space="preserve"> </w:t>
      </w:r>
      <w:r w:rsidR="001F1AA9" w:rsidRPr="00B522AF">
        <w:rPr>
          <w:rFonts w:asciiTheme="majorHAnsi" w:hAnsiTheme="majorHAnsi" w:cs="ArialMT"/>
          <w:sz w:val="20"/>
          <w:szCs w:val="20"/>
          <w:lang w:val="es-PA" w:eastAsia="es-ES"/>
        </w:rPr>
        <w:t xml:space="preserve">No obstante, la Comisión considera que el objeto de la presente petición no versa sobre la responsabilidad individual de los agentes que fueron investigados sino sobre la posible responsabilidad del Estado por falta de diligencia en el cumplimiento de su deber de </w:t>
      </w:r>
      <w:r w:rsidR="00DC66BD" w:rsidRPr="00B522AF">
        <w:rPr>
          <w:rFonts w:asciiTheme="majorHAnsi" w:hAnsiTheme="majorHAnsi" w:cs="ArialMT"/>
          <w:sz w:val="20"/>
          <w:szCs w:val="20"/>
          <w:lang w:val="es-PA" w:eastAsia="es-ES"/>
        </w:rPr>
        <w:t xml:space="preserve">esclarecer las circunstancias relacionadas con la muerte y tortura de la presunta víctima, sancionar a las personas responsables y, de resultar procedente, de brindar reparación a las personas familiares de la presunta víctima. </w:t>
      </w:r>
      <w:r w:rsidR="001F1AA9" w:rsidRPr="00B522AF">
        <w:rPr>
          <w:rFonts w:asciiTheme="majorHAnsi" w:hAnsiTheme="majorHAnsi" w:cs="ArialMT"/>
          <w:sz w:val="20"/>
          <w:szCs w:val="20"/>
          <w:lang w:val="es-PA" w:eastAsia="es-ES"/>
        </w:rPr>
        <w:t xml:space="preserve"> </w:t>
      </w:r>
    </w:p>
    <w:p w14:paraId="3D17B54D" w14:textId="77777777" w:rsidR="00A45B39" w:rsidRPr="00B522AF" w:rsidRDefault="00A45B39" w:rsidP="00A45B3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UY"/>
        </w:rPr>
      </w:pPr>
    </w:p>
    <w:p w14:paraId="3DCC98DC" w14:textId="77777777" w:rsidR="00A45B39" w:rsidRPr="00A45B39" w:rsidRDefault="00A00BF6" w:rsidP="00A45B3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Y"/>
        </w:rPr>
      </w:pPr>
      <w:r w:rsidRPr="00B522AF">
        <w:rPr>
          <w:rFonts w:asciiTheme="majorHAnsi" w:hAnsiTheme="majorHAnsi" w:cs="ArialMT"/>
          <w:sz w:val="20"/>
          <w:szCs w:val="20"/>
          <w:lang w:val="es-PA" w:eastAsia="es-ES"/>
        </w:rPr>
        <w:t xml:space="preserve"> </w:t>
      </w:r>
      <w:r w:rsidR="00DC66BD" w:rsidRPr="00B522AF">
        <w:rPr>
          <w:rFonts w:asciiTheme="majorHAnsi" w:hAnsiTheme="majorHAnsi" w:cs="ArialMT"/>
          <w:sz w:val="20"/>
          <w:szCs w:val="20"/>
          <w:lang w:val="es-PA" w:eastAsia="es-ES"/>
        </w:rPr>
        <w:t xml:space="preserve">La Comisión observa que la presunta víctima fue encontrado muerto y con señas de tortura en mayo de 2002 y que no surge del expediente que las autoridades estatales hayan realizado ningún tipo de determinación concreta respecto a las </w:t>
      </w:r>
      <w:r w:rsidR="00D44492" w:rsidRPr="00B522AF">
        <w:rPr>
          <w:rFonts w:asciiTheme="majorHAnsi" w:hAnsiTheme="majorHAnsi" w:cs="ArialMT"/>
          <w:sz w:val="20"/>
          <w:szCs w:val="20"/>
          <w:lang w:val="es-PA" w:eastAsia="es-ES"/>
        </w:rPr>
        <w:t>circunstancias de su muerte. Si bien algunas personas fueron sancionadas disciplinariamente, tampoco surge del expediente que se hayan proferido sanciones penales en relación con la muerte o tortura de la presunta víctima. En adición, el Estado no ha proporcionado ni surge del expediente información sobre que, luego de q</w:t>
      </w:r>
      <w:r w:rsidR="009A22B2" w:rsidRPr="00B522AF">
        <w:rPr>
          <w:rFonts w:asciiTheme="majorHAnsi" w:hAnsiTheme="majorHAnsi" w:cs="ArialMT"/>
          <w:sz w:val="20"/>
          <w:szCs w:val="20"/>
          <w:lang w:val="es-PA" w:eastAsia="es-ES"/>
        </w:rPr>
        <w:t>ue los agentes investigados fueron favorecidos con decisiones de preclusión</w:t>
      </w:r>
      <w:r w:rsidR="00D44492" w:rsidRPr="00B522AF">
        <w:rPr>
          <w:rFonts w:asciiTheme="majorHAnsi" w:hAnsiTheme="majorHAnsi" w:cs="ArialMT"/>
          <w:sz w:val="20"/>
          <w:szCs w:val="20"/>
          <w:lang w:val="es-PA" w:eastAsia="es-ES"/>
        </w:rPr>
        <w:t xml:space="preserve">, se realizaran investigaciones penales adicionales a fines de esclarecer </w:t>
      </w:r>
      <w:r w:rsidR="009A22B2" w:rsidRPr="00B522AF">
        <w:rPr>
          <w:rFonts w:asciiTheme="majorHAnsi" w:hAnsiTheme="majorHAnsi" w:cs="ArialMT"/>
          <w:sz w:val="20"/>
          <w:szCs w:val="20"/>
          <w:lang w:val="es-PA" w:eastAsia="es-ES"/>
        </w:rPr>
        <w:t>las circunstancias concreta de la presunta víctima o determinar si existían otras personas con vida que pudieran tener responsabilidad por lo ocurrido. Por estas razones, la Comisión estima que las decisiones de preclusión emitidas a favor de algunos agentes del Estado, más allá de que estas puedan implicar o no posibles violaciones la Convención Americana, no pueden ser consideradas decisiones definitivas respecto al objeto de la presente petición que habiliten la aplicación del plazo de presentación previsto en el artículo 46.1(b) de la Convención Americana.</w:t>
      </w:r>
      <w:r w:rsidR="00EE5E97" w:rsidRPr="00B522AF">
        <w:rPr>
          <w:rFonts w:asciiTheme="majorHAnsi" w:hAnsiTheme="majorHAnsi" w:cs="ArialMT"/>
          <w:sz w:val="20"/>
          <w:szCs w:val="20"/>
          <w:lang w:val="es-PA" w:eastAsia="es-ES"/>
        </w:rPr>
        <w:t xml:space="preserve"> En consecuencia, la Comisión considera que la excepción al requisito de agotamiento de los recursos internos prevista en el artículo 46.2(c) de la Convención Americana resulta aplicable a la presente petición dados los más de 19 años transcurridos desde la muerte de la presunta víctima sin</w:t>
      </w:r>
      <w:r w:rsidR="00937EDB" w:rsidRPr="00B522AF">
        <w:rPr>
          <w:rFonts w:asciiTheme="majorHAnsi" w:hAnsiTheme="majorHAnsi" w:cs="ArialMT"/>
          <w:sz w:val="20"/>
          <w:szCs w:val="20"/>
          <w:lang w:val="es-PA" w:eastAsia="es-ES"/>
        </w:rPr>
        <w:t xml:space="preserve"> información respecto a</w:t>
      </w:r>
      <w:r w:rsidR="00EE5E97" w:rsidRPr="00B522AF">
        <w:rPr>
          <w:rFonts w:asciiTheme="majorHAnsi" w:hAnsiTheme="majorHAnsi" w:cs="ArialMT"/>
          <w:sz w:val="20"/>
          <w:szCs w:val="20"/>
          <w:lang w:val="es-PA" w:eastAsia="es-ES"/>
        </w:rPr>
        <w:t xml:space="preserve"> que las autoridades estatales hayan esclarecido los hechos ni proferido sanciones penales ni realizado desde 2005 gestiones encaminadas a esos fines.</w:t>
      </w:r>
      <w:r w:rsidR="00937EDB" w:rsidRPr="00B522AF">
        <w:rPr>
          <w:rFonts w:asciiTheme="majorHAnsi" w:hAnsiTheme="majorHAnsi" w:cs="ArialMT"/>
          <w:sz w:val="20"/>
          <w:szCs w:val="20"/>
          <w:lang w:val="es-PA" w:eastAsia="es-ES"/>
        </w:rPr>
        <w:t xml:space="preserve"> Dado que la petición fue presentada estando vigente la alegada situación de impunidad, la Comisión también concluye que esta fue presentada dentro de plazo razonable en los términos del artículo 32.2 de su </w:t>
      </w:r>
      <w:r w:rsidR="00A45B39">
        <w:rPr>
          <w:rFonts w:asciiTheme="majorHAnsi" w:hAnsiTheme="majorHAnsi" w:cs="ArialMT"/>
          <w:sz w:val="20"/>
          <w:szCs w:val="20"/>
          <w:lang w:val="es-PA" w:eastAsia="es-ES"/>
        </w:rPr>
        <w:t>R</w:t>
      </w:r>
      <w:r w:rsidR="00937EDB" w:rsidRPr="00B522AF">
        <w:rPr>
          <w:rFonts w:asciiTheme="majorHAnsi" w:hAnsiTheme="majorHAnsi" w:cs="ArialMT"/>
          <w:sz w:val="20"/>
          <w:szCs w:val="20"/>
          <w:lang w:val="es-PA" w:eastAsia="es-ES"/>
        </w:rPr>
        <w:t>eglamento.</w:t>
      </w:r>
    </w:p>
    <w:p w14:paraId="0A2E3E23" w14:textId="1FF60FE5" w:rsidR="005941C1" w:rsidRPr="00B522AF" w:rsidRDefault="00EE5E97" w:rsidP="00A45B3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UY"/>
        </w:rPr>
      </w:pPr>
      <w:r w:rsidRPr="00B522AF">
        <w:rPr>
          <w:rFonts w:asciiTheme="majorHAnsi" w:hAnsiTheme="majorHAnsi" w:cs="ArialMT"/>
          <w:sz w:val="20"/>
          <w:szCs w:val="20"/>
          <w:lang w:val="es-PA" w:eastAsia="es-ES"/>
        </w:rPr>
        <w:t xml:space="preserve"> </w:t>
      </w:r>
    </w:p>
    <w:p w14:paraId="218004BF" w14:textId="6D111380" w:rsidR="00D9544F" w:rsidRPr="00A45B39" w:rsidRDefault="00442B8B" w:rsidP="00A45B3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522AF">
        <w:rPr>
          <w:rFonts w:asciiTheme="majorHAnsi" w:hAnsiTheme="majorHAnsi" w:cs="Calibri"/>
          <w:sz w:val="20"/>
          <w:szCs w:val="20"/>
          <w:lang w:val="es-VE"/>
        </w:rPr>
        <w:t>Finalmente, en relación con el proceso de reparación directa iniciado en la jurisdicción contencioso-administrativa, la Comisión reitera que dicha vía no constituye un recurso idóneo a efectos de analizar la admisibilidad de un reclamo de la naturaleza del presente, ya que la misma no es adecuada para proporcionar una reparación integral y justicia a los familiares</w:t>
      </w:r>
      <w:r w:rsidRPr="00B522AF">
        <w:rPr>
          <w:rStyle w:val="FootnoteReference"/>
          <w:rFonts w:asciiTheme="majorHAnsi" w:hAnsiTheme="majorHAnsi" w:cs="Calibri"/>
          <w:sz w:val="20"/>
          <w:szCs w:val="20"/>
          <w:lang w:val="es-VE"/>
        </w:rPr>
        <w:footnoteReference w:id="12"/>
      </w:r>
      <w:r w:rsidRPr="00B522AF">
        <w:rPr>
          <w:rFonts w:asciiTheme="majorHAnsi" w:hAnsiTheme="majorHAnsi" w:cs="Calibri"/>
          <w:sz w:val="20"/>
          <w:szCs w:val="20"/>
          <w:lang w:val="es-VE"/>
        </w:rPr>
        <w:t>. Sin perjuicio de lo mencionado, en el presente caso se observa que la parte peticionaria alega, además, violaciones concretas en el marco de la demanda de reparación directa</w:t>
      </w:r>
      <w:r w:rsidRPr="00B522AF">
        <w:rPr>
          <w:rFonts w:asciiTheme="majorHAnsi" w:hAnsiTheme="majorHAnsi"/>
          <w:sz w:val="20"/>
          <w:szCs w:val="20"/>
          <w:lang w:val="es-ES"/>
        </w:rPr>
        <w:t>, toda vez</w:t>
      </w:r>
      <w:r w:rsidR="00810EB0" w:rsidRPr="00B522AF">
        <w:rPr>
          <w:rFonts w:asciiTheme="majorHAnsi" w:hAnsiTheme="majorHAnsi"/>
          <w:sz w:val="20"/>
          <w:szCs w:val="20"/>
          <w:lang w:val="es-ES"/>
        </w:rPr>
        <w:t xml:space="preserve"> que surge del expediente que a las personas familiares de la presunta víctima se </w:t>
      </w:r>
      <w:proofErr w:type="gramStart"/>
      <w:r w:rsidR="00810EB0" w:rsidRPr="00B522AF">
        <w:rPr>
          <w:rFonts w:asciiTheme="majorHAnsi" w:hAnsiTheme="majorHAnsi"/>
          <w:sz w:val="20"/>
          <w:szCs w:val="20"/>
          <w:lang w:val="es-ES"/>
        </w:rPr>
        <w:t>les</w:t>
      </w:r>
      <w:proofErr w:type="gramEnd"/>
      <w:r w:rsidR="00810EB0" w:rsidRPr="00B522AF">
        <w:rPr>
          <w:rFonts w:asciiTheme="majorHAnsi" w:hAnsiTheme="majorHAnsi"/>
          <w:sz w:val="20"/>
          <w:szCs w:val="20"/>
          <w:lang w:val="es-ES"/>
        </w:rPr>
        <w:t xml:space="preserve"> negó el acceso a una segunda instancia para la revisión de su demanda de reparación directa en base a un criterio de cuantía. Ante esta circunstancia, la Comisión considera pertinente </w:t>
      </w:r>
      <w:r w:rsidR="00810EB0" w:rsidRPr="00B522AF">
        <w:rPr>
          <w:rFonts w:asciiTheme="majorHAnsi" w:hAnsiTheme="majorHAnsi" w:cs="Calibri"/>
          <w:sz w:val="20"/>
          <w:szCs w:val="20"/>
          <w:lang w:val="es-ES"/>
        </w:rPr>
        <w:t xml:space="preserve">recordar que ya ha determinado que la imposibilidad de recurrir una sentencia que decide indemnizaciones por violaciones al derecho a la vida en base a criterios de cuantía puede, </w:t>
      </w:r>
      <w:r w:rsidR="00810EB0" w:rsidRPr="00B522AF">
        <w:rPr>
          <w:rFonts w:asciiTheme="majorHAnsi" w:hAnsiTheme="majorHAnsi" w:cs="Calibri"/>
          <w:i/>
          <w:sz w:val="20"/>
          <w:szCs w:val="20"/>
          <w:lang w:val="es-ES"/>
        </w:rPr>
        <w:t>prima facie</w:t>
      </w:r>
      <w:r w:rsidR="00810EB0" w:rsidRPr="00B522AF">
        <w:rPr>
          <w:rFonts w:asciiTheme="majorHAnsi" w:hAnsiTheme="majorHAnsi" w:cs="Calibri"/>
          <w:sz w:val="20"/>
          <w:szCs w:val="20"/>
          <w:lang w:val="es-ES"/>
        </w:rPr>
        <w:t>, caracterizar violaciones a la Convención Americana</w:t>
      </w:r>
      <w:r w:rsidR="00810EB0" w:rsidRPr="00B522AF">
        <w:rPr>
          <w:rStyle w:val="FootnoteReference"/>
          <w:rFonts w:asciiTheme="majorHAnsi" w:hAnsiTheme="majorHAnsi" w:cs="Calibri"/>
          <w:sz w:val="20"/>
          <w:szCs w:val="20"/>
          <w:lang w:val="es-ES"/>
        </w:rPr>
        <w:footnoteReference w:id="13"/>
      </w:r>
      <w:r w:rsidR="00810EB0" w:rsidRPr="00B522AF">
        <w:rPr>
          <w:rFonts w:asciiTheme="majorHAnsi" w:hAnsiTheme="majorHAnsi" w:cs="Calibri"/>
          <w:sz w:val="20"/>
          <w:szCs w:val="20"/>
          <w:lang w:val="es-ES"/>
        </w:rPr>
        <w:t xml:space="preserve">. La Comisión estima que la posible violación a los derechos de las personas familiares de la presunta víctima por el rechazo de su recurso de apelación en base un criterio de cuantía </w:t>
      </w:r>
      <w:r w:rsidR="00605991" w:rsidRPr="00B522AF">
        <w:rPr>
          <w:rFonts w:asciiTheme="majorHAnsi" w:hAnsiTheme="majorHAnsi" w:cs="Calibri"/>
          <w:sz w:val="20"/>
          <w:szCs w:val="20"/>
          <w:lang w:val="es-ES"/>
        </w:rPr>
        <w:t xml:space="preserve">sería un asunto autónomo al resto de los planteados en la petición y por lo tanto requiere un análisis separado sobre su admisibilidad. </w:t>
      </w:r>
    </w:p>
    <w:p w14:paraId="4325FEB3" w14:textId="77777777" w:rsidR="00A45B39" w:rsidRPr="00B522AF" w:rsidRDefault="00A45B39" w:rsidP="00A45B3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1B9E25A2" w14:textId="4DBD03B9" w:rsidR="00937EDB" w:rsidRPr="00A45B39" w:rsidRDefault="00605991" w:rsidP="00A45B3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522AF">
        <w:rPr>
          <w:rFonts w:asciiTheme="majorHAnsi" w:hAnsiTheme="majorHAnsi" w:cs="Calibri"/>
          <w:sz w:val="20"/>
          <w:szCs w:val="20"/>
          <w:lang w:val="es-ES"/>
        </w:rPr>
        <w:t xml:space="preserve">En este sentido, la Comisión </w:t>
      </w:r>
      <w:r w:rsidR="00A657D0" w:rsidRPr="00B522AF">
        <w:rPr>
          <w:rFonts w:asciiTheme="majorHAnsi" w:hAnsiTheme="majorHAnsi" w:cs="Calibri"/>
          <w:sz w:val="20"/>
          <w:szCs w:val="20"/>
          <w:lang w:val="es-ES"/>
        </w:rPr>
        <w:t xml:space="preserve">estima, para efectos de admisibilidad, que </w:t>
      </w:r>
      <w:r w:rsidR="006B30D6" w:rsidRPr="00B522AF">
        <w:rPr>
          <w:rFonts w:asciiTheme="majorHAnsi" w:hAnsiTheme="majorHAnsi" w:cs="Calibri"/>
          <w:sz w:val="20"/>
          <w:szCs w:val="20"/>
          <w:lang w:val="es-ES"/>
        </w:rPr>
        <w:t>el rechazo de su recurso de apelación en base al criterio de cuantía</w:t>
      </w:r>
      <w:r w:rsidR="00A657D0" w:rsidRPr="00B522AF">
        <w:rPr>
          <w:rFonts w:asciiTheme="majorHAnsi" w:hAnsiTheme="majorHAnsi" w:cs="Calibri"/>
          <w:sz w:val="20"/>
          <w:szCs w:val="20"/>
          <w:lang w:val="es-ES"/>
        </w:rPr>
        <w:t xml:space="preserve"> justifica la aplicación a este extremo de la petición </w:t>
      </w:r>
      <w:r w:rsidR="00A657D0" w:rsidRPr="00B522AF">
        <w:rPr>
          <w:rFonts w:asciiTheme="majorHAnsi" w:hAnsiTheme="majorHAnsi" w:cs="Calibri"/>
          <w:sz w:val="20"/>
          <w:szCs w:val="20"/>
          <w:lang w:val="es-PA"/>
        </w:rPr>
        <w:t>de la excepción al requisito de agotamiento de los recursos internos prevista en el artículo 46.2(b) de la Convención Americana</w:t>
      </w:r>
      <w:r w:rsidR="006B30D6" w:rsidRPr="00B522AF">
        <w:rPr>
          <w:rFonts w:asciiTheme="majorHAnsi" w:hAnsiTheme="majorHAnsi" w:cs="Calibri"/>
          <w:sz w:val="20"/>
          <w:szCs w:val="20"/>
          <w:lang w:val="es-ES"/>
        </w:rPr>
        <w:t>.</w:t>
      </w:r>
      <w:r w:rsidR="00A657D0" w:rsidRPr="00B522AF">
        <w:rPr>
          <w:rFonts w:asciiTheme="majorHAnsi" w:hAnsiTheme="majorHAnsi" w:cs="Calibri"/>
          <w:sz w:val="20"/>
          <w:szCs w:val="20"/>
          <w:lang w:val="es-ES"/>
        </w:rPr>
        <w:t xml:space="preserve"> Dada las circunstancias y naturaleza del presente caso, la Comisión también concluye que </w:t>
      </w:r>
      <w:r w:rsidR="00D34E24" w:rsidRPr="00B522AF">
        <w:rPr>
          <w:rFonts w:asciiTheme="majorHAnsi" w:hAnsiTheme="majorHAnsi" w:cs="Calibri"/>
          <w:sz w:val="20"/>
          <w:szCs w:val="20"/>
          <w:lang w:val="es-ES"/>
        </w:rPr>
        <w:t xml:space="preserve">las reclamaciones relacionadas con el proceso de reparación directa fueron planteadas dentro de plazo razonable en los términos del artículo 32.2 de su reglamento. </w:t>
      </w:r>
    </w:p>
    <w:p w14:paraId="6744A300" w14:textId="77777777" w:rsidR="00A45B39" w:rsidRPr="00B522AF" w:rsidRDefault="00A45B39" w:rsidP="00A45B3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6060D1CF" w14:textId="7D6A49B3" w:rsidR="00FB276B" w:rsidRPr="00B522AF" w:rsidRDefault="00937EDB" w:rsidP="00A45B3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522AF">
        <w:rPr>
          <w:rFonts w:asciiTheme="majorHAnsi" w:hAnsiTheme="majorHAnsi" w:cs="Calibri"/>
          <w:sz w:val="20"/>
          <w:szCs w:val="20"/>
          <w:lang w:val="es-ES"/>
        </w:rPr>
        <w:lastRenderedPageBreak/>
        <w:t>Las determinaciones realizadas en esta sección</w:t>
      </w:r>
      <w:r w:rsidR="00D34E24" w:rsidRPr="00B522AF">
        <w:rPr>
          <w:rFonts w:asciiTheme="majorHAnsi" w:hAnsiTheme="majorHAnsi" w:cs="Calibri"/>
          <w:sz w:val="20"/>
          <w:szCs w:val="20"/>
          <w:lang w:val="es-ES"/>
        </w:rPr>
        <w:t xml:space="preserve"> no prejuzgan sobre el fondo del asunto ni la veracidad de lo alegado. En este sentido, la Comisión recuerda que </w:t>
      </w:r>
      <w:r w:rsidR="00D34E24" w:rsidRPr="00B522AF">
        <w:rPr>
          <w:rFonts w:asciiTheme="majorHAnsi" w:hAnsiTheme="majorHAnsi"/>
          <w:sz w:val="20"/>
          <w:szCs w:val="20"/>
          <w:lang w:val="es-MX"/>
        </w:rPr>
        <w:t>las disposiciones de la Convención Americana que establecen excepciones al requisito de agotamientos de recursos internos</w:t>
      </w:r>
      <w:r w:rsidR="00D34E24" w:rsidRPr="00B522AF">
        <w:rPr>
          <w:rFonts w:ascii="Cambria" w:hAnsi="Cambria" w:cs="Calibri"/>
          <w:sz w:val="20"/>
          <w:szCs w:val="20"/>
          <w:lang w:val="es-ES_tradnl"/>
        </w:rPr>
        <w:t xml:space="preserve"> son de contenido autónomo </w:t>
      </w:r>
      <w:r w:rsidR="00D34E24" w:rsidRPr="00B522AF">
        <w:rPr>
          <w:rFonts w:ascii="Cambria" w:hAnsi="Cambria" w:cs="Calibri"/>
          <w:i/>
          <w:sz w:val="20"/>
          <w:szCs w:val="20"/>
          <w:lang w:val="es-ES_tradnl"/>
        </w:rPr>
        <w:t>vis à vis</w:t>
      </w:r>
      <w:r w:rsidR="00D34E24" w:rsidRPr="00B522AF">
        <w:rPr>
          <w:rFonts w:ascii="Cambria" w:hAnsi="Cambria" w:cs="Calibri"/>
          <w:sz w:val="20"/>
          <w:szCs w:val="20"/>
          <w:lang w:val="es-ES_tradnl"/>
        </w:rPr>
        <w:t xml:space="preserve"> las normas sustantivas de dicho tratado. En consecuencia, la determinación de la aplicabilidad de tales excepciones debe llevarse a cabo de manera previa y separada del análisis del fondo, ya que depende de un estándar de apreciación distinto del utilizado para determinar la posible violación de los artículos 8 y 25 de la Convención Americana</w:t>
      </w:r>
      <w:r w:rsidR="00E96579" w:rsidRPr="00B522AF">
        <w:rPr>
          <w:rFonts w:asciiTheme="majorHAnsi" w:hAnsiTheme="majorHAnsi" w:cs="Calibri"/>
          <w:b/>
          <w:sz w:val="20"/>
          <w:szCs w:val="20"/>
          <w:lang w:val="es-ES"/>
        </w:rPr>
        <w:tab/>
      </w:r>
    </w:p>
    <w:p w14:paraId="239C7EC5" w14:textId="77777777" w:rsidR="00A45B39" w:rsidRDefault="00A45B39" w:rsidP="00A45B3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color w:val="auto"/>
          <w:sz w:val="20"/>
          <w:szCs w:val="20"/>
          <w:lang w:val="es-ES"/>
        </w:rPr>
      </w:pPr>
    </w:p>
    <w:p w14:paraId="174BD50D" w14:textId="23A8F3C4" w:rsidR="00FB276B" w:rsidRPr="00B522AF" w:rsidRDefault="00FB276B" w:rsidP="00A45B3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color w:val="auto"/>
          <w:sz w:val="20"/>
          <w:szCs w:val="20"/>
          <w:lang w:val="es-ES"/>
        </w:rPr>
      </w:pPr>
      <w:r w:rsidRPr="00B522AF">
        <w:rPr>
          <w:rFonts w:asciiTheme="majorHAnsi" w:hAnsiTheme="majorHAnsi"/>
          <w:b/>
          <w:bCs/>
          <w:color w:val="auto"/>
          <w:sz w:val="20"/>
          <w:szCs w:val="20"/>
          <w:lang w:val="es-ES"/>
        </w:rPr>
        <w:t>VII.</w:t>
      </w:r>
      <w:r w:rsidRPr="00B522AF">
        <w:rPr>
          <w:rFonts w:asciiTheme="majorHAnsi" w:hAnsiTheme="majorHAnsi"/>
          <w:b/>
          <w:bCs/>
          <w:color w:val="auto"/>
          <w:sz w:val="20"/>
          <w:szCs w:val="20"/>
          <w:lang w:val="es-ES"/>
        </w:rPr>
        <w:tab/>
      </w:r>
      <w:r w:rsidRPr="00B522AF">
        <w:rPr>
          <w:rFonts w:asciiTheme="majorHAnsi" w:hAnsiTheme="majorHAnsi"/>
          <w:b/>
          <w:bCs/>
          <w:color w:val="auto"/>
          <w:sz w:val="20"/>
          <w:szCs w:val="20"/>
          <w:lang w:val="es-ES_tradnl"/>
        </w:rPr>
        <w:t xml:space="preserve">ANÁLISIS DE </w:t>
      </w:r>
      <w:r w:rsidRPr="00B522AF">
        <w:rPr>
          <w:rFonts w:asciiTheme="majorHAnsi" w:hAnsiTheme="majorHAnsi"/>
          <w:b/>
          <w:bCs/>
          <w:color w:val="auto"/>
          <w:sz w:val="20"/>
          <w:szCs w:val="20"/>
          <w:lang w:val="es-ES"/>
        </w:rPr>
        <w:t xml:space="preserve">CARACTERIZACIÓN </w:t>
      </w:r>
      <w:r w:rsidRPr="00B522AF">
        <w:rPr>
          <w:rFonts w:asciiTheme="majorHAnsi" w:hAnsiTheme="majorHAnsi"/>
          <w:b/>
          <w:bCs/>
          <w:color w:val="auto"/>
          <w:sz w:val="20"/>
          <w:szCs w:val="20"/>
          <w:lang w:val="es-UY"/>
        </w:rPr>
        <w:t>DE LOS HECHOS ALEGADOS</w:t>
      </w:r>
    </w:p>
    <w:p w14:paraId="42C52C5F" w14:textId="77777777" w:rsidR="00A45B39" w:rsidRDefault="00A45B39" w:rsidP="00A45B3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0BED3EC2" w14:textId="2144005F" w:rsidR="00FB276B" w:rsidRPr="00A45B39" w:rsidRDefault="003F0B77" w:rsidP="00A45B3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522AF">
        <w:rPr>
          <w:rFonts w:asciiTheme="majorHAnsi" w:hAnsiTheme="majorHAnsi"/>
          <w:sz w:val="20"/>
          <w:szCs w:val="20"/>
          <w:lang w:val="es-ES"/>
        </w:rPr>
        <w:t>Dada la naturaleza de las alegaciones</w:t>
      </w:r>
      <w:r w:rsidR="000B5692" w:rsidRPr="00B522AF">
        <w:rPr>
          <w:rFonts w:asciiTheme="majorHAnsi" w:hAnsiTheme="majorHAnsi"/>
          <w:sz w:val="20"/>
          <w:szCs w:val="20"/>
          <w:lang w:val="es-ES"/>
        </w:rPr>
        <w:t xml:space="preserve"> y la información en expediente</w:t>
      </w:r>
      <w:r w:rsidRPr="00B522AF">
        <w:rPr>
          <w:rFonts w:asciiTheme="majorHAnsi" w:hAnsiTheme="majorHAnsi"/>
          <w:sz w:val="20"/>
          <w:szCs w:val="20"/>
          <w:lang w:val="es-ES"/>
        </w:rPr>
        <w:t>, la Comisión</w:t>
      </w:r>
      <w:r w:rsidR="00EF560E" w:rsidRPr="00B522AF">
        <w:rPr>
          <w:rFonts w:asciiTheme="majorHAnsi" w:hAnsiTheme="majorHAnsi"/>
          <w:sz w:val="20"/>
          <w:szCs w:val="20"/>
          <w:lang w:val="es-ES"/>
        </w:rPr>
        <w:t xml:space="preserve"> </w:t>
      </w:r>
      <w:r w:rsidRPr="00B522AF">
        <w:rPr>
          <w:rFonts w:asciiTheme="majorHAnsi" w:hAnsiTheme="majorHAnsi"/>
          <w:sz w:val="20"/>
          <w:szCs w:val="20"/>
          <w:lang w:val="es-ES"/>
        </w:rPr>
        <w:t>considera pertinente recordar</w:t>
      </w:r>
      <w:r w:rsidR="00EF560E" w:rsidRPr="00B522AF">
        <w:rPr>
          <w:rFonts w:asciiTheme="majorHAnsi" w:hAnsiTheme="majorHAnsi"/>
          <w:sz w:val="20"/>
          <w:szCs w:val="20"/>
          <w:lang w:val="es-ES"/>
        </w:rPr>
        <w:t xml:space="preserve"> en casos como el presente “</w:t>
      </w:r>
      <w:r w:rsidR="00EF560E" w:rsidRPr="00B522AF">
        <w:rPr>
          <w:rFonts w:asciiTheme="majorHAnsi" w:hAnsiTheme="majorHAnsi"/>
          <w:sz w:val="20"/>
          <w:szCs w:val="20"/>
          <w:lang w:val="es-PA"/>
        </w:rPr>
        <w:t xml:space="preserve">que involucran posibles violaciones a los derechos humanos, esto es, perseguibles de oficio, y más aún cuando agentes del Estado estarían implicados en los hechos alegados, el Estado tiene la obligación de investigarlos. Esta carga debe ser asumida por el Estado como un deber jurídico propio, y no como una gestión de intereses de particulares o que dependa de la iniciativa de éstos o de la aportación de pruebas por parte de </w:t>
      </w:r>
      <w:proofErr w:type="gramStart"/>
      <w:r w:rsidR="00EF560E" w:rsidRPr="00B522AF">
        <w:rPr>
          <w:rFonts w:asciiTheme="majorHAnsi" w:hAnsiTheme="majorHAnsi"/>
          <w:sz w:val="20"/>
          <w:szCs w:val="20"/>
          <w:lang w:val="es-PA"/>
        </w:rPr>
        <w:t>los mismos</w:t>
      </w:r>
      <w:proofErr w:type="gramEnd"/>
      <w:r w:rsidR="00EF560E" w:rsidRPr="00B522AF">
        <w:rPr>
          <w:rFonts w:asciiTheme="majorHAnsi" w:hAnsiTheme="majorHAnsi"/>
          <w:sz w:val="20"/>
          <w:szCs w:val="20"/>
          <w:lang w:val="es-PA"/>
        </w:rPr>
        <w:t>”</w:t>
      </w:r>
      <w:r w:rsidR="00EF560E" w:rsidRPr="00B522AF">
        <w:rPr>
          <w:rStyle w:val="FootnoteReference"/>
          <w:rFonts w:asciiTheme="majorHAnsi" w:hAnsiTheme="majorHAnsi"/>
          <w:sz w:val="20"/>
          <w:szCs w:val="20"/>
          <w:lang w:val="es-PA"/>
        </w:rPr>
        <w:footnoteReference w:id="14"/>
      </w:r>
      <w:r w:rsidR="00EF560E" w:rsidRPr="00B522AF">
        <w:rPr>
          <w:rFonts w:asciiTheme="majorHAnsi" w:hAnsiTheme="majorHAnsi"/>
          <w:sz w:val="20"/>
          <w:szCs w:val="20"/>
          <w:lang w:val="es-PA"/>
        </w:rPr>
        <w:t>. De igual forma,</w:t>
      </w:r>
      <w:r w:rsidRPr="00B522AF">
        <w:rPr>
          <w:rFonts w:asciiTheme="majorHAnsi" w:hAnsiTheme="majorHAnsi"/>
          <w:sz w:val="20"/>
          <w:szCs w:val="20"/>
          <w:lang w:val="es-ES"/>
        </w:rPr>
        <w:t xml:space="preserve"> </w:t>
      </w:r>
      <w:r w:rsidR="000B5692" w:rsidRPr="00B522AF">
        <w:rPr>
          <w:rFonts w:asciiTheme="majorHAnsi" w:hAnsiTheme="majorHAnsi"/>
          <w:sz w:val="20"/>
          <w:szCs w:val="20"/>
          <w:lang w:val="es-ES"/>
        </w:rPr>
        <w:t>que la Corte Interamericana ha determinado que “</w:t>
      </w:r>
      <w:r w:rsidR="000B5692" w:rsidRPr="00B522AF">
        <w:rPr>
          <w:rFonts w:asciiTheme="majorHAnsi" w:hAnsiTheme="majorHAnsi" w:cs="Verdana"/>
          <w:i/>
          <w:iCs/>
          <w:sz w:val="20"/>
          <w:szCs w:val="20"/>
          <w:lang w:val="es-PA" w:eastAsia="es-ES"/>
        </w:rPr>
        <w:t>los términos de la garantía establecida en el artículo 7.5 de la Convención son claros en cuanto a que la persona detenida debe ser llevada sin demora ante un juez o autoridad judicial competente, conforme a los principios de control judicial e inmediación procesal. Esto es esencial para la protección del derecho a la libertad personal y para otorgar protección a otros derechos, como la vida y la integridad personal</w:t>
      </w:r>
      <w:r w:rsidR="000B5692" w:rsidRPr="00B522AF">
        <w:rPr>
          <w:rFonts w:asciiTheme="majorHAnsi" w:hAnsiTheme="majorHAnsi" w:cs="Verdana"/>
          <w:sz w:val="20"/>
          <w:szCs w:val="20"/>
          <w:lang w:val="es-PA" w:eastAsia="es-ES"/>
        </w:rPr>
        <w:t>”</w:t>
      </w:r>
      <w:r w:rsidR="000B5692" w:rsidRPr="00B522AF">
        <w:rPr>
          <w:rStyle w:val="FootnoteReference"/>
          <w:rFonts w:asciiTheme="majorHAnsi" w:hAnsiTheme="majorHAnsi" w:cs="Verdana"/>
          <w:sz w:val="20"/>
          <w:szCs w:val="20"/>
          <w:lang w:val="es-PA" w:eastAsia="es-ES"/>
        </w:rPr>
        <w:footnoteReference w:id="15"/>
      </w:r>
      <w:r w:rsidR="000B5692" w:rsidRPr="00B522AF">
        <w:rPr>
          <w:rFonts w:asciiTheme="majorHAnsi" w:hAnsiTheme="majorHAnsi" w:cs="Verdana"/>
          <w:sz w:val="20"/>
          <w:szCs w:val="20"/>
          <w:lang w:val="es-PA" w:eastAsia="es-ES"/>
        </w:rPr>
        <w:t>. La Comisión también valora que el artículo 4 de la Convención Interamericana para Prevenir y Sancionar la Tortura establece que “</w:t>
      </w:r>
      <w:r w:rsidR="00442B8B" w:rsidRPr="00B522AF">
        <w:rPr>
          <w:rFonts w:asciiTheme="majorHAnsi" w:hAnsiTheme="majorHAnsi" w:cs="Tahoma"/>
          <w:i/>
          <w:iCs/>
          <w:sz w:val="20"/>
          <w:szCs w:val="20"/>
          <w:lang w:val="es-PA"/>
        </w:rPr>
        <w:t>e</w:t>
      </w:r>
      <w:r w:rsidR="000B5692" w:rsidRPr="00B522AF">
        <w:rPr>
          <w:rFonts w:asciiTheme="majorHAnsi" w:hAnsiTheme="majorHAnsi" w:cs="Tahoma"/>
          <w:i/>
          <w:iCs/>
          <w:sz w:val="20"/>
          <w:szCs w:val="20"/>
          <w:lang w:val="es-PA"/>
        </w:rPr>
        <w:t>l hecho de haber actuado bajo órdenes superiores no eximirá de la responsabilidad penal correspondiente</w:t>
      </w:r>
      <w:r w:rsidR="00442B8B" w:rsidRPr="00B522AF">
        <w:rPr>
          <w:rFonts w:asciiTheme="majorHAnsi" w:hAnsiTheme="majorHAnsi" w:cs="Tahoma"/>
          <w:sz w:val="20"/>
          <w:szCs w:val="20"/>
          <w:lang w:val="es-PA"/>
        </w:rPr>
        <w:t>”</w:t>
      </w:r>
      <w:r w:rsidR="000B5692" w:rsidRPr="00B522AF">
        <w:rPr>
          <w:rFonts w:asciiTheme="majorHAnsi" w:hAnsiTheme="majorHAnsi" w:cs="Tahoma"/>
          <w:sz w:val="20"/>
          <w:szCs w:val="20"/>
          <w:lang w:val="es-PA"/>
        </w:rPr>
        <w:t xml:space="preserve"> y que el artículo </w:t>
      </w:r>
      <w:r w:rsidR="00E56DAB" w:rsidRPr="00B522AF">
        <w:rPr>
          <w:rFonts w:asciiTheme="majorHAnsi" w:hAnsiTheme="majorHAnsi" w:cs="Tahoma"/>
          <w:sz w:val="20"/>
          <w:szCs w:val="20"/>
          <w:lang w:val="es-PA"/>
        </w:rPr>
        <w:t xml:space="preserve">VIII de la Convención Interamericana sobre Desaparición Forzada de Personas </w:t>
      </w:r>
      <w:r w:rsidR="00442B8B" w:rsidRPr="00B522AF">
        <w:rPr>
          <w:rFonts w:asciiTheme="majorHAnsi" w:hAnsiTheme="majorHAnsi" w:cs="Tahoma"/>
          <w:sz w:val="20"/>
          <w:szCs w:val="20"/>
          <w:lang w:val="es-PA"/>
        </w:rPr>
        <w:t xml:space="preserve">señala que </w:t>
      </w:r>
      <w:r w:rsidR="00E56DAB" w:rsidRPr="00B522AF">
        <w:rPr>
          <w:rFonts w:asciiTheme="majorHAnsi" w:hAnsiTheme="majorHAnsi" w:cs="Tahoma"/>
          <w:sz w:val="20"/>
          <w:szCs w:val="20"/>
          <w:lang w:val="es-PA"/>
        </w:rPr>
        <w:t>“</w:t>
      </w:r>
      <w:r w:rsidR="00442B8B" w:rsidRPr="00B522AF">
        <w:rPr>
          <w:rFonts w:asciiTheme="majorHAnsi" w:hAnsiTheme="majorHAnsi" w:cs="Tahoma"/>
          <w:i/>
          <w:iCs/>
          <w:sz w:val="20"/>
          <w:szCs w:val="20"/>
          <w:lang w:val="es-PA"/>
        </w:rPr>
        <w:t>n</w:t>
      </w:r>
      <w:r w:rsidR="00E56DAB" w:rsidRPr="00B522AF">
        <w:rPr>
          <w:rFonts w:asciiTheme="majorHAnsi" w:hAnsiTheme="majorHAnsi" w:cs="Tahoma"/>
          <w:i/>
          <w:iCs/>
          <w:sz w:val="20"/>
          <w:szCs w:val="20"/>
          <w:lang w:val="es-PA"/>
        </w:rPr>
        <w:t>o se admitirá la eximente de la obediencia debida a órdenes o instrucciones superiores que dispongan, autoricen o alienten la desaparición forzada</w:t>
      </w:r>
      <w:r w:rsidR="00E56DAB" w:rsidRPr="00B522AF">
        <w:rPr>
          <w:rFonts w:asciiTheme="majorHAnsi" w:hAnsiTheme="majorHAnsi" w:cs="Tahoma"/>
          <w:sz w:val="20"/>
          <w:szCs w:val="20"/>
          <w:lang w:val="es-PA"/>
        </w:rPr>
        <w:t xml:space="preserve">”. En adición, la Comisión </w:t>
      </w:r>
      <w:r w:rsidR="00442B8B" w:rsidRPr="00B522AF">
        <w:rPr>
          <w:rFonts w:asciiTheme="majorHAnsi" w:hAnsiTheme="majorHAnsi" w:cs="Tahoma"/>
          <w:sz w:val="20"/>
          <w:szCs w:val="20"/>
          <w:lang w:val="es-PA"/>
        </w:rPr>
        <w:t xml:space="preserve">reitera </w:t>
      </w:r>
      <w:r w:rsidR="00E56DAB" w:rsidRPr="00B522AF">
        <w:rPr>
          <w:rFonts w:asciiTheme="majorHAnsi" w:hAnsiTheme="majorHAnsi" w:cs="Calibri"/>
          <w:sz w:val="20"/>
          <w:szCs w:val="20"/>
          <w:lang w:val="es-ES"/>
        </w:rPr>
        <w:t xml:space="preserve">que la imposibilidad de recurrir una sentencia que decide indemnizaciones por violaciones al derecho a la vida en base a criterios de cuantía puede, </w:t>
      </w:r>
      <w:r w:rsidR="00E56DAB" w:rsidRPr="00B522AF">
        <w:rPr>
          <w:rFonts w:asciiTheme="majorHAnsi" w:hAnsiTheme="majorHAnsi" w:cs="Calibri"/>
          <w:i/>
          <w:sz w:val="20"/>
          <w:szCs w:val="20"/>
          <w:lang w:val="es-ES"/>
        </w:rPr>
        <w:t>prima facie</w:t>
      </w:r>
      <w:r w:rsidR="00E56DAB" w:rsidRPr="00B522AF">
        <w:rPr>
          <w:rFonts w:asciiTheme="majorHAnsi" w:hAnsiTheme="majorHAnsi" w:cs="Calibri"/>
          <w:sz w:val="20"/>
          <w:szCs w:val="20"/>
          <w:lang w:val="es-ES"/>
        </w:rPr>
        <w:t>, caracterizar violaciones a la Convención Americana</w:t>
      </w:r>
      <w:r w:rsidR="00E56DAB" w:rsidRPr="00B522AF">
        <w:rPr>
          <w:rStyle w:val="FootnoteReference"/>
          <w:rFonts w:asciiTheme="majorHAnsi" w:hAnsiTheme="majorHAnsi" w:cs="Calibri"/>
          <w:sz w:val="20"/>
          <w:szCs w:val="20"/>
          <w:lang w:val="es-ES"/>
        </w:rPr>
        <w:footnoteReference w:id="16"/>
      </w:r>
      <w:r w:rsidR="00E56DAB" w:rsidRPr="00B522AF">
        <w:rPr>
          <w:rFonts w:asciiTheme="majorHAnsi" w:hAnsiTheme="majorHAnsi" w:cs="Calibri"/>
          <w:sz w:val="20"/>
          <w:szCs w:val="20"/>
          <w:lang w:val="es-ES"/>
        </w:rPr>
        <w:t>.</w:t>
      </w:r>
    </w:p>
    <w:p w14:paraId="48CEF768" w14:textId="77777777" w:rsidR="00A45B39" w:rsidRPr="00B522AF" w:rsidRDefault="00A45B39" w:rsidP="00A45B3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77F9990D" w14:textId="52F49461" w:rsidR="00E56DAB" w:rsidRPr="00B522AF" w:rsidRDefault="00E56DAB" w:rsidP="00A45B3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522AF">
        <w:rPr>
          <w:rFonts w:asciiTheme="majorHAnsi" w:hAnsiTheme="majorHAnsi"/>
          <w:sz w:val="20"/>
          <w:szCs w:val="20"/>
          <w:lang w:val="es-ES"/>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w:t>
      </w:r>
      <w:r w:rsidRPr="00B522AF">
        <w:rPr>
          <w:rFonts w:asciiTheme="majorHAnsi" w:hAnsiTheme="majorHAnsi"/>
          <w:bCs/>
          <w:sz w:val="20"/>
          <w:szCs w:val="20"/>
          <w:lang w:val="es-ES"/>
        </w:rPr>
        <w:t xml:space="preserve">artículos </w:t>
      </w:r>
      <w:r w:rsidRPr="00B522AF">
        <w:rPr>
          <w:rFonts w:ascii="Cambria" w:hAnsi="Cambria"/>
          <w:bCs/>
          <w:sz w:val="19"/>
          <w:szCs w:val="19"/>
          <w:lang w:val="es-ES"/>
        </w:rPr>
        <w:t xml:space="preserve">3 (personalidad jurídica), 4(vida), 5 (integridad personal), 7 (libertad personal), 8 (garantías judiciales) y 25 (protección judicial) </w:t>
      </w:r>
      <w:r w:rsidRPr="00B522AF">
        <w:rPr>
          <w:rFonts w:ascii="Cambria" w:hAnsi="Cambria"/>
          <w:bCs/>
          <w:sz w:val="19"/>
          <w:szCs w:val="19"/>
          <w:lang w:val="es-PA"/>
        </w:rPr>
        <w:t xml:space="preserve">de la Convención Americana en relación con sus artículos 1.1. (obligación de respetar los derechos) y 2(deber de adoptar disposiciones de derecho interno); </w:t>
      </w:r>
      <w:r w:rsidR="00462C12" w:rsidRPr="00B522AF">
        <w:rPr>
          <w:rFonts w:ascii="Cambria" w:hAnsi="Cambria"/>
          <w:bCs/>
          <w:sz w:val="19"/>
          <w:szCs w:val="19"/>
          <w:lang w:val="es-PA"/>
        </w:rPr>
        <w:t xml:space="preserve">a los </w:t>
      </w:r>
      <w:r w:rsidRPr="00B522AF">
        <w:rPr>
          <w:rFonts w:ascii="Cambria" w:hAnsi="Cambria"/>
          <w:bCs/>
          <w:sz w:val="19"/>
          <w:szCs w:val="19"/>
          <w:lang w:val="es-PA"/>
        </w:rPr>
        <w:t xml:space="preserve">artículos 1 y 6 de la Convención Interamericana para Prevenir y Sancionar la Tortura; y </w:t>
      </w:r>
      <w:r w:rsidR="00462C12" w:rsidRPr="00B522AF">
        <w:rPr>
          <w:rFonts w:ascii="Cambria" w:hAnsi="Cambria"/>
          <w:bCs/>
          <w:sz w:val="19"/>
          <w:szCs w:val="19"/>
          <w:lang w:val="es-PA"/>
        </w:rPr>
        <w:t xml:space="preserve">al </w:t>
      </w:r>
      <w:r w:rsidRPr="00B522AF">
        <w:rPr>
          <w:rFonts w:ascii="Cambria" w:hAnsi="Cambria"/>
          <w:bCs/>
          <w:sz w:val="19"/>
          <w:szCs w:val="19"/>
          <w:lang w:val="es-PA"/>
        </w:rPr>
        <w:t>artículo I de la Convención Interamericana sobre Desaparición Forzada de Personas.</w:t>
      </w:r>
    </w:p>
    <w:p w14:paraId="6B7AB6B1" w14:textId="77777777" w:rsidR="00A45B39" w:rsidRPr="00A45B39" w:rsidRDefault="00A45B39" w:rsidP="00A45B3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p>
    <w:p w14:paraId="08CCA61B" w14:textId="5267E73A" w:rsidR="00E56DAB" w:rsidRPr="00A45B39" w:rsidRDefault="00E56DAB" w:rsidP="00A45B3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r w:rsidRPr="00B522AF">
        <w:rPr>
          <w:rFonts w:ascii="Cambria" w:hAnsi="Cambria"/>
          <w:bCs/>
          <w:sz w:val="20"/>
          <w:szCs w:val="20"/>
          <w:lang w:val="es-PA"/>
        </w:rPr>
        <w:t xml:space="preserve">En cuanto a las </w:t>
      </w:r>
      <w:r w:rsidR="00A45B39">
        <w:rPr>
          <w:rFonts w:ascii="Cambria" w:hAnsi="Cambria"/>
          <w:bCs/>
          <w:sz w:val="20"/>
          <w:szCs w:val="20"/>
          <w:lang w:val="es-PA"/>
        </w:rPr>
        <w:t xml:space="preserve">supuestas </w:t>
      </w:r>
      <w:r w:rsidRPr="00B522AF">
        <w:rPr>
          <w:rFonts w:ascii="Cambria" w:hAnsi="Cambria"/>
          <w:bCs/>
          <w:sz w:val="20"/>
          <w:szCs w:val="20"/>
          <w:lang w:val="es-PA"/>
        </w:rPr>
        <w:t xml:space="preserve">violaciones </w:t>
      </w:r>
      <w:r w:rsidR="00A45B39">
        <w:rPr>
          <w:rFonts w:ascii="Cambria" w:hAnsi="Cambria"/>
          <w:bCs/>
          <w:sz w:val="20"/>
          <w:szCs w:val="20"/>
          <w:lang w:val="es-PA"/>
        </w:rPr>
        <w:t>de</w:t>
      </w:r>
      <w:r w:rsidRPr="00B522AF">
        <w:rPr>
          <w:rFonts w:ascii="Cambria" w:hAnsi="Cambria"/>
          <w:bCs/>
          <w:sz w:val="20"/>
          <w:szCs w:val="20"/>
          <w:lang w:val="es-PA"/>
        </w:rPr>
        <w:t xml:space="preserve"> la Declaración Americana</w:t>
      </w:r>
      <w:r w:rsidR="00A45B39">
        <w:rPr>
          <w:rFonts w:ascii="Cambria" w:hAnsi="Cambria"/>
          <w:bCs/>
          <w:sz w:val="20"/>
          <w:szCs w:val="20"/>
          <w:lang w:val="es-PA"/>
        </w:rPr>
        <w:t>,</w:t>
      </w:r>
      <w:r w:rsidRPr="00B522AF">
        <w:rPr>
          <w:rFonts w:ascii="Cambria" w:hAnsi="Cambria"/>
          <w:bCs/>
          <w:sz w:val="20"/>
          <w:szCs w:val="20"/>
          <w:lang w:val="es-PA"/>
        </w:rPr>
        <w:t xml:space="preserve"> </w:t>
      </w:r>
      <w:r w:rsidRPr="00B522AF">
        <w:rPr>
          <w:rFonts w:asciiTheme="majorHAnsi" w:hAnsiTheme="majorHAnsi"/>
          <w:bCs/>
          <w:sz w:val="20"/>
          <w:szCs w:val="20"/>
          <w:lang w:val="es-ES"/>
        </w:rPr>
        <w:t xml:space="preserve">la Comisión ya ha determinado que </w:t>
      </w:r>
      <w:r w:rsidRPr="00B522AF">
        <w:rPr>
          <w:rFonts w:asciiTheme="majorHAnsi" w:hAnsiTheme="majorHAnsi" w:cs="Calibri"/>
          <w:sz w:val="20"/>
          <w:szCs w:val="20"/>
          <w:lang w:val="es-ES_tradnl"/>
        </w:rPr>
        <w:t>una vez que la Convención Americana entra en vigor en relación con un Estado, ésta y no la Declaración pasa a ser la fuente primaria de derecho aplicable por la Comisión, siempre que la petición se refiera a la presunta violación de derechos idénticos en ambos instrumentos y no se trate de una situación de violación continua. En el presente caso la Comisión considera que las alegadas violaciones a estos artículos no escapan el ámbito de protección de la Convención Americana, por lo que la Comisión examinará la petición a la luz de dicha Convención.</w:t>
      </w:r>
    </w:p>
    <w:p w14:paraId="771E9095" w14:textId="77777777" w:rsidR="00A45B39" w:rsidRPr="00B522AF" w:rsidRDefault="00A45B39" w:rsidP="00A45B3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p>
    <w:p w14:paraId="29BB41F5" w14:textId="268539CC" w:rsidR="003239B8" w:rsidRPr="00B522AF" w:rsidRDefault="003239B8" w:rsidP="00A45B3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rPr>
          <w:rFonts w:asciiTheme="majorHAnsi" w:hAnsiTheme="majorHAnsi"/>
          <w:b/>
          <w:bCs/>
          <w:sz w:val="20"/>
          <w:szCs w:val="20"/>
          <w:lang w:val="es-ES"/>
        </w:rPr>
      </w:pPr>
      <w:r w:rsidRPr="00B522AF">
        <w:rPr>
          <w:rFonts w:asciiTheme="majorHAnsi" w:hAnsiTheme="majorHAnsi"/>
          <w:b/>
          <w:bCs/>
          <w:sz w:val="20"/>
          <w:szCs w:val="20"/>
          <w:lang w:val="es-ES"/>
        </w:rPr>
        <w:t xml:space="preserve">VIII. </w:t>
      </w:r>
      <w:r w:rsidRPr="00B522AF">
        <w:rPr>
          <w:rFonts w:asciiTheme="majorHAnsi" w:hAnsiTheme="majorHAnsi"/>
          <w:b/>
          <w:bCs/>
          <w:sz w:val="20"/>
          <w:szCs w:val="20"/>
          <w:lang w:val="es-ES"/>
        </w:rPr>
        <w:tab/>
        <w:t>DECISIÓN</w:t>
      </w:r>
    </w:p>
    <w:p w14:paraId="600716FB" w14:textId="77777777" w:rsidR="00462C12" w:rsidRPr="00B522AF" w:rsidRDefault="00462C12" w:rsidP="00A45B3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rPr>
          <w:rFonts w:ascii="Verdana" w:hAnsi="Verdana" w:cs="Verdana"/>
          <w:sz w:val="20"/>
          <w:szCs w:val="20"/>
          <w:lang w:val="es-PA" w:eastAsia="es-ES"/>
        </w:rPr>
      </w:pPr>
    </w:p>
    <w:p w14:paraId="41AA5BF6" w14:textId="037CD043" w:rsidR="000419AD" w:rsidRPr="00B522AF" w:rsidRDefault="003239B8" w:rsidP="00A45B3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B522AF">
        <w:rPr>
          <w:rFonts w:asciiTheme="majorHAnsi" w:hAnsiTheme="majorHAnsi"/>
          <w:sz w:val="20"/>
          <w:szCs w:val="20"/>
          <w:lang w:val="es-ES"/>
        </w:rPr>
        <w:t>Declarar admisible la presente petición en relación con</w:t>
      </w:r>
      <w:r w:rsidR="00C72A01" w:rsidRPr="00B522AF">
        <w:rPr>
          <w:rFonts w:asciiTheme="majorHAnsi" w:hAnsiTheme="majorHAnsi"/>
          <w:sz w:val="20"/>
          <w:szCs w:val="20"/>
          <w:lang w:val="es-ES"/>
        </w:rPr>
        <w:t xml:space="preserve"> los artículos</w:t>
      </w:r>
      <w:r w:rsidR="00462C12" w:rsidRPr="00B522AF">
        <w:rPr>
          <w:rFonts w:asciiTheme="majorHAnsi" w:hAnsiTheme="majorHAnsi"/>
          <w:sz w:val="20"/>
          <w:szCs w:val="20"/>
          <w:lang w:val="es-ES"/>
        </w:rPr>
        <w:t xml:space="preserve"> 3,</w:t>
      </w:r>
      <w:r w:rsidR="00C72A01" w:rsidRPr="00B522AF">
        <w:rPr>
          <w:rFonts w:asciiTheme="majorHAnsi" w:hAnsiTheme="majorHAnsi"/>
          <w:sz w:val="20"/>
          <w:szCs w:val="20"/>
          <w:lang w:val="es-ES"/>
        </w:rPr>
        <w:t xml:space="preserve"> </w:t>
      </w:r>
      <w:r w:rsidR="00E638D2" w:rsidRPr="00B522AF">
        <w:rPr>
          <w:rFonts w:asciiTheme="majorHAnsi" w:hAnsiTheme="majorHAnsi"/>
          <w:sz w:val="20"/>
          <w:szCs w:val="20"/>
          <w:lang w:val="es-ES"/>
        </w:rPr>
        <w:t xml:space="preserve">4, 5, 7, 8, </w:t>
      </w:r>
      <w:r w:rsidR="00462C12" w:rsidRPr="00B522AF">
        <w:rPr>
          <w:rFonts w:asciiTheme="majorHAnsi" w:hAnsiTheme="majorHAnsi"/>
          <w:sz w:val="20"/>
          <w:szCs w:val="20"/>
          <w:lang w:val="es-ES"/>
        </w:rPr>
        <w:t xml:space="preserve">y 25 de la </w:t>
      </w:r>
      <w:r w:rsidR="00874720" w:rsidRPr="00B522AF">
        <w:rPr>
          <w:rFonts w:asciiTheme="majorHAnsi" w:hAnsiTheme="majorHAnsi"/>
          <w:sz w:val="20"/>
          <w:szCs w:val="20"/>
          <w:lang w:val="es-ES"/>
        </w:rPr>
        <w:t>Convención Americana en</w:t>
      </w:r>
      <w:r w:rsidR="00E638D2" w:rsidRPr="00B522AF">
        <w:rPr>
          <w:rFonts w:asciiTheme="majorHAnsi" w:hAnsiTheme="majorHAnsi"/>
          <w:sz w:val="20"/>
          <w:szCs w:val="20"/>
          <w:lang w:val="es-ES"/>
        </w:rPr>
        <w:t xml:space="preserve"> </w:t>
      </w:r>
      <w:r w:rsidR="00003C42">
        <w:rPr>
          <w:rFonts w:asciiTheme="majorHAnsi" w:hAnsiTheme="majorHAnsi"/>
          <w:sz w:val="20"/>
          <w:szCs w:val="20"/>
          <w:lang w:val="es-ES"/>
        </w:rPr>
        <w:t>concordancia</w:t>
      </w:r>
      <w:r w:rsidR="00E638D2" w:rsidRPr="00B522AF">
        <w:rPr>
          <w:rFonts w:asciiTheme="majorHAnsi" w:hAnsiTheme="majorHAnsi"/>
          <w:sz w:val="20"/>
          <w:szCs w:val="20"/>
          <w:lang w:val="es-ES"/>
        </w:rPr>
        <w:t xml:space="preserve"> con su</w:t>
      </w:r>
      <w:r w:rsidR="00462C12" w:rsidRPr="00B522AF">
        <w:rPr>
          <w:rFonts w:asciiTheme="majorHAnsi" w:hAnsiTheme="majorHAnsi"/>
          <w:sz w:val="20"/>
          <w:szCs w:val="20"/>
          <w:lang w:val="es-ES"/>
        </w:rPr>
        <w:t>s</w:t>
      </w:r>
      <w:r w:rsidR="00136EC3" w:rsidRPr="00B522AF">
        <w:rPr>
          <w:rFonts w:asciiTheme="majorHAnsi" w:hAnsiTheme="majorHAnsi"/>
          <w:sz w:val="20"/>
          <w:szCs w:val="20"/>
          <w:lang w:val="es-ES"/>
        </w:rPr>
        <w:t xml:space="preserve"> ar</w:t>
      </w:r>
      <w:r w:rsidR="00E638D2" w:rsidRPr="00B522AF">
        <w:rPr>
          <w:rFonts w:asciiTheme="majorHAnsi" w:hAnsiTheme="majorHAnsi"/>
          <w:sz w:val="20"/>
          <w:szCs w:val="20"/>
          <w:lang w:val="es-ES"/>
        </w:rPr>
        <w:t>tículo</w:t>
      </w:r>
      <w:r w:rsidR="00462C12" w:rsidRPr="00B522AF">
        <w:rPr>
          <w:rFonts w:asciiTheme="majorHAnsi" w:hAnsiTheme="majorHAnsi"/>
          <w:sz w:val="20"/>
          <w:szCs w:val="20"/>
          <w:lang w:val="es-ES"/>
        </w:rPr>
        <w:t>s</w:t>
      </w:r>
      <w:r w:rsidR="00136EC3" w:rsidRPr="00B522AF">
        <w:rPr>
          <w:rFonts w:asciiTheme="majorHAnsi" w:hAnsiTheme="majorHAnsi"/>
          <w:sz w:val="20"/>
          <w:szCs w:val="20"/>
          <w:lang w:val="es-ES"/>
        </w:rPr>
        <w:t xml:space="preserve"> 1.1. </w:t>
      </w:r>
      <w:r w:rsidR="00462C12" w:rsidRPr="00B522AF">
        <w:rPr>
          <w:rFonts w:asciiTheme="majorHAnsi" w:hAnsiTheme="majorHAnsi"/>
          <w:sz w:val="20"/>
          <w:szCs w:val="20"/>
          <w:lang w:val="es-ES"/>
        </w:rPr>
        <w:t xml:space="preserve">y 2; los artículos 1 y 6 de la Convención </w:t>
      </w:r>
      <w:r w:rsidR="00462C12" w:rsidRPr="00B522AF">
        <w:rPr>
          <w:rFonts w:asciiTheme="majorHAnsi" w:hAnsiTheme="majorHAnsi"/>
          <w:sz w:val="20"/>
          <w:szCs w:val="20"/>
          <w:lang w:val="es-ES"/>
        </w:rPr>
        <w:lastRenderedPageBreak/>
        <w:t xml:space="preserve">Interamericana para Prevenir y Sancionar la Tortura; y el artículo I de la Convención Interamericana sobre Desaparición Forzada de Personas. </w:t>
      </w:r>
    </w:p>
    <w:p w14:paraId="2713D914" w14:textId="77777777" w:rsidR="00A45B39" w:rsidRDefault="00A45B39" w:rsidP="00A45B3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7CD4DFBD" w14:textId="7419CE3E" w:rsidR="00A45B39" w:rsidRDefault="004A6A54" w:rsidP="00A45B3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B522AF">
        <w:rPr>
          <w:rFonts w:asciiTheme="majorHAnsi" w:hAnsiTheme="majorHAnsi"/>
          <w:sz w:val="20"/>
          <w:szCs w:val="20"/>
          <w:lang w:val="es-ES"/>
        </w:rPr>
        <w:t xml:space="preserve">Notificar a las partes la presente decisión; </w:t>
      </w:r>
      <w:r w:rsidR="00874720" w:rsidRPr="00B522AF">
        <w:rPr>
          <w:rFonts w:asciiTheme="majorHAnsi" w:hAnsiTheme="majorHAnsi"/>
          <w:sz w:val="20"/>
          <w:szCs w:val="20"/>
          <w:lang w:val="es-ES"/>
        </w:rPr>
        <w:t>proceder</w:t>
      </w:r>
      <w:r w:rsidRPr="00B522AF">
        <w:rPr>
          <w:rFonts w:asciiTheme="majorHAnsi" w:hAnsiTheme="majorHAnsi"/>
          <w:sz w:val="20"/>
          <w:szCs w:val="20"/>
          <w:lang w:val="es-ES"/>
        </w:rPr>
        <w:t xml:space="preserve"> con el análisis del fondo de la cuestión; y publicar esta decisión e incluirla en su Informe Anual a la Asamblea General de la Organización de los Estados Americanos.</w:t>
      </w:r>
    </w:p>
    <w:p w14:paraId="252998D7" w14:textId="77777777" w:rsidR="008F10C7" w:rsidRDefault="008F10C7" w:rsidP="008F10C7">
      <w:pPr>
        <w:pStyle w:val="ListParagraph"/>
        <w:rPr>
          <w:rFonts w:asciiTheme="majorHAnsi" w:hAnsiTheme="majorHAnsi"/>
          <w:sz w:val="20"/>
          <w:szCs w:val="20"/>
          <w:lang w:val="es-ES"/>
        </w:rPr>
      </w:pPr>
    </w:p>
    <w:p w14:paraId="47D92800" w14:textId="77777777" w:rsidR="008F10C7" w:rsidRPr="00A37B82" w:rsidRDefault="008F10C7" w:rsidP="008F10C7">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17</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70E0752B" w14:textId="77777777" w:rsidR="008F10C7" w:rsidRPr="00A37B82" w:rsidRDefault="008F10C7" w:rsidP="008F10C7">
      <w:pPr>
        <w:suppressAutoHyphens/>
        <w:ind w:firstLine="720"/>
        <w:jc w:val="both"/>
        <w:rPr>
          <w:rFonts w:asciiTheme="majorHAnsi" w:hAnsiTheme="majorHAnsi" w:cs="Arial"/>
          <w:noProof/>
          <w:spacing w:val="-2"/>
          <w:sz w:val="20"/>
          <w:szCs w:val="20"/>
          <w:lang w:val="es-CL"/>
        </w:rPr>
      </w:pPr>
    </w:p>
    <w:p w14:paraId="1D0A09E0" w14:textId="77777777" w:rsidR="008F10C7" w:rsidRDefault="008F10C7" w:rsidP="008F10C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04AA0FF5" w14:textId="77777777" w:rsidR="00A45B39" w:rsidRDefault="00A45B39">
      <w:pPr>
        <w:rPr>
          <w:rFonts w:asciiTheme="majorHAnsi" w:hAnsiTheme="majorHAnsi"/>
          <w:sz w:val="20"/>
          <w:szCs w:val="20"/>
          <w:lang w:val="es-ES"/>
        </w:rPr>
      </w:pPr>
      <w:r>
        <w:rPr>
          <w:rFonts w:asciiTheme="majorHAnsi" w:hAnsiTheme="majorHAnsi"/>
          <w:sz w:val="20"/>
          <w:szCs w:val="20"/>
          <w:lang w:val="es-ES"/>
        </w:rPr>
        <w:br w:type="page"/>
      </w:r>
    </w:p>
    <w:p w14:paraId="4472F444" w14:textId="77777777" w:rsidR="003239B8" w:rsidRPr="00B522AF" w:rsidRDefault="003239B8" w:rsidP="00A45B3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p>
    <w:p w14:paraId="258694DC" w14:textId="22AB63C5" w:rsidR="00427495" w:rsidRPr="00B522AF" w:rsidRDefault="00427495" w:rsidP="00A45B39">
      <w:pPr>
        <w:suppressAutoHyphens/>
        <w:spacing w:before="240" w:after="240"/>
        <w:jc w:val="center"/>
        <w:rPr>
          <w:rFonts w:asciiTheme="majorHAnsi" w:hAnsiTheme="majorHAnsi"/>
          <w:b/>
          <w:sz w:val="20"/>
          <w:szCs w:val="20"/>
          <w:lang w:val="es-ES"/>
        </w:rPr>
      </w:pPr>
      <w:r w:rsidRPr="00B522AF">
        <w:rPr>
          <w:rFonts w:asciiTheme="majorHAnsi" w:hAnsiTheme="majorHAnsi"/>
          <w:b/>
          <w:sz w:val="20"/>
          <w:szCs w:val="20"/>
          <w:lang w:val="es-ES"/>
        </w:rPr>
        <w:t>Anexo</w:t>
      </w:r>
    </w:p>
    <w:p w14:paraId="241F4E9D" w14:textId="119E94BD" w:rsidR="00427495" w:rsidRPr="00B522AF" w:rsidRDefault="00462C12" w:rsidP="00A45B39">
      <w:pPr>
        <w:suppressAutoHyphens/>
        <w:spacing w:before="240" w:after="240"/>
        <w:jc w:val="center"/>
        <w:rPr>
          <w:rFonts w:asciiTheme="majorHAnsi" w:hAnsiTheme="majorHAnsi"/>
          <w:sz w:val="20"/>
          <w:szCs w:val="20"/>
          <w:u w:val="single"/>
          <w:lang w:val="es-ES"/>
        </w:rPr>
      </w:pPr>
      <w:r w:rsidRPr="00B522AF">
        <w:rPr>
          <w:rFonts w:asciiTheme="majorHAnsi" w:hAnsiTheme="majorHAnsi"/>
          <w:sz w:val="20"/>
          <w:szCs w:val="20"/>
          <w:u w:val="single"/>
          <w:lang w:val="es-ES"/>
        </w:rPr>
        <w:t>Familiares de Geovanni Aguirre Soto</w:t>
      </w:r>
    </w:p>
    <w:p w14:paraId="0BBCD41B" w14:textId="6437450B" w:rsidR="00462C12" w:rsidRPr="00B522AF" w:rsidRDefault="00462C12" w:rsidP="00462C12">
      <w:pPr>
        <w:pStyle w:val="ListParagraph"/>
        <w:numPr>
          <w:ilvl w:val="0"/>
          <w:numId w:val="61"/>
        </w:numPr>
        <w:suppressAutoHyphens/>
        <w:spacing w:before="240" w:after="240"/>
        <w:jc w:val="both"/>
        <w:rPr>
          <w:rFonts w:asciiTheme="majorHAnsi" w:hAnsiTheme="majorHAnsi"/>
          <w:color w:val="auto"/>
          <w:sz w:val="20"/>
          <w:szCs w:val="20"/>
          <w:u w:val="single"/>
          <w:lang w:val="es-ES"/>
        </w:rPr>
      </w:pPr>
      <w:r w:rsidRPr="00B522AF">
        <w:rPr>
          <w:rFonts w:asciiTheme="majorHAnsi" w:hAnsiTheme="majorHAnsi"/>
          <w:color w:val="auto"/>
          <w:sz w:val="20"/>
          <w:szCs w:val="20"/>
          <w:lang w:val="es-ES"/>
        </w:rPr>
        <w:t>Germán Aguirre Valencia (padre)</w:t>
      </w:r>
    </w:p>
    <w:p w14:paraId="376091A9" w14:textId="4434DCAE" w:rsidR="00462C12" w:rsidRPr="00B522AF" w:rsidRDefault="00462C12" w:rsidP="00462C12">
      <w:pPr>
        <w:pStyle w:val="ListParagraph"/>
        <w:numPr>
          <w:ilvl w:val="0"/>
          <w:numId w:val="61"/>
        </w:numPr>
        <w:suppressAutoHyphens/>
        <w:spacing w:before="240" w:after="240"/>
        <w:jc w:val="both"/>
        <w:rPr>
          <w:rFonts w:asciiTheme="majorHAnsi" w:hAnsiTheme="majorHAnsi"/>
          <w:color w:val="auto"/>
          <w:sz w:val="20"/>
          <w:szCs w:val="20"/>
          <w:u w:val="single"/>
          <w:lang w:val="es-ES"/>
        </w:rPr>
      </w:pPr>
      <w:r w:rsidRPr="00B522AF">
        <w:rPr>
          <w:rFonts w:asciiTheme="majorHAnsi" w:hAnsiTheme="majorHAnsi"/>
          <w:color w:val="auto"/>
          <w:sz w:val="20"/>
          <w:szCs w:val="20"/>
          <w:lang w:val="es-ES"/>
        </w:rPr>
        <w:t>María Cecilia Soto de Aguirre (madre)</w:t>
      </w:r>
    </w:p>
    <w:p w14:paraId="3B02E497" w14:textId="0FCCA19F" w:rsidR="00462C12" w:rsidRPr="00B522AF" w:rsidRDefault="00462C12" w:rsidP="00462C12">
      <w:pPr>
        <w:pStyle w:val="ListParagraph"/>
        <w:numPr>
          <w:ilvl w:val="0"/>
          <w:numId w:val="61"/>
        </w:numPr>
        <w:suppressAutoHyphens/>
        <w:spacing w:before="240" w:after="240"/>
        <w:jc w:val="both"/>
        <w:rPr>
          <w:rFonts w:asciiTheme="majorHAnsi" w:hAnsiTheme="majorHAnsi"/>
          <w:color w:val="auto"/>
          <w:sz w:val="20"/>
          <w:szCs w:val="20"/>
          <w:u w:val="single"/>
          <w:lang w:val="es-ES"/>
        </w:rPr>
      </w:pPr>
      <w:r w:rsidRPr="00B522AF">
        <w:rPr>
          <w:rFonts w:asciiTheme="majorHAnsi" w:hAnsiTheme="majorHAnsi"/>
          <w:color w:val="auto"/>
          <w:sz w:val="20"/>
          <w:szCs w:val="20"/>
          <w:lang w:val="es-ES"/>
        </w:rPr>
        <w:t>Germán Alonso Aguirre Soto (hermano)</w:t>
      </w:r>
    </w:p>
    <w:p w14:paraId="386115D9" w14:textId="4CA0C506" w:rsidR="00462C12" w:rsidRPr="00B522AF" w:rsidRDefault="00462C12" w:rsidP="00462C12">
      <w:pPr>
        <w:pStyle w:val="ListParagraph"/>
        <w:numPr>
          <w:ilvl w:val="0"/>
          <w:numId w:val="61"/>
        </w:numPr>
        <w:suppressAutoHyphens/>
        <w:spacing w:before="240" w:after="240"/>
        <w:jc w:val="both"/>
        <w:rPr>
          <w:rFonts w:asciiTheme="majorHAnsi" w:hAnsiTheme="majorHAnsi"/>
          <w:color w:val="auto"/>
          <w:sz w:val="20"/>
          <w:szCs w:val="20"/>
          <w:u w:val="single"/>
          <w:lang w:val="es-ES"/>
        </w:rPr>
      </w:pPr>
      <w:r w:rsidRPr="00B522AF">
        <w:rPr>
          <w:rFonts w:asciiTheme="majorHAnsi" w:hAnsiTheme="majorHAnsi"/>
          <w:color w:val="auto"/>
          <w:sz w:val="20"/>
          <w:szCs w:val="20"/>
          <w:lang w:val="es-ES"/>
        </w:rPr>
        <w:t xml:space="preserve">Olga </w:t>
      </w:r>
      <w:proofErr w:type="spellStart"/>
      <w:r w:rsidRPr="00B522AF">
        <w:rPr>
          <w:rFonts w:asciiTheme="majorHAnsi" w:hAnsiTheme="majorHAnsi"/>
          <w:color w:val="auto"/>
          <w:sz w:val="20"/>
          <w:szCs w:val="20"/>
          <w:lang w:val="es-ES"/>
        </w:rPr>
        <w:t>Danery</w:t>
      </w:r>
      <w:proofErr w:type="spellEnd"/>
      <w:r w:rsidRPr="00B522AF">
        <w:rPr>
          <w:rFonts w:asciiTheme="majorHAnsi" w:hAnsiTheme="majorHAnsi"/>
          <w:color w:val="auto"/>
          <w:sz w:val="20"/>
          <w:szCs w:val="20"/>
          <w:lang w:val="es-ES"/>
        </w:rPr>
        <w:t xml:space="preserve"> Aguirre Soto (hermana)</w:t>
      </w:r>
    </w:p>
    <w:p w14:paraId="4EB357D6" w14:textId="15FF96C6" w:rsidR="00462C12" w:rsidRPr="00B522AF" w:rsidRDefault="00462C12" w:rsidP="00462C12">
      <w:pPr>
        <w:pStyle w:val="ListParagraph"/>
        <w:numPr>
          <w:ilvl w:val="0"/>
          <w:numId w:val="61"/>
        </w:numPr>
        <w:suppressAutoHyphens/>
        <w:spacing w:before="240" w:after="240"/>
        <w:jc w:val="both"/>
        <w:rPr>
          <w:rFonts w:asciiTheme="majorHAnsi" w:hAnsiTheme="majorHAnsi"/>
          <w:color w:val="auto"/>
          <w:sz w:val="20"/>
          <w:szCs w:val="20"/>
          <w:u w:val="single"/>
          <w:lang w:val="es-ES"/>
        </w:rPr>
      </w:pPr>
      <w:proofErr w:type="spellStart"/>
      <w:r w:rsidRPr="00B522AF">
        <w:rPr>
          <w:rFonts w:asciiTheme="majorHAnsi" w:hAnsiTheme="majorHAnsi"/>
          <w:color w:val="auto"/>
          <w:sz w:val="20"/>
          <w:szCs w:val="20"/>
          <w:lang w:val="es-ES"/>
        </w:rPr>
        <w:t>Yirley</w:t>
      </w:r>
      <w:proofErr w:type="spellEnd"/>
      <w:r w:rsidRPr="00B522AF">
        <w:rPr>
          <w:rFonts w:asciiTheme="majorHAnsi" w:hAnsiTheme="majorHAnsi"/>
          <w:color w:val="auto"/>
          <w:sz w:val="20"/>
          <w:szCs w:val="20"/>
          <w:lang w:val="es-ES"/>
        </w:rPr>
        <w:t xml:space="preserve"> Aguirre Soto (hermana)</w:t>
      </w:r>
    </w:p>
    <w:p w14:paraId="0947E2CE" w14:textId="51AB0407" w:rsidR="00462C12" w:rsidRPr="00462C12" w:rsidRDefault="00462C12" w:rsidP="00462C12">
      <w:pPr>
        <w:pStyle w:val="ListParagraph"/>
        <w:numPr>
          <w:ilvl w:val="0"/>
          <w:numId w:val="61"/>
        </w:numPr>
        <w:suppressAutoHyphens/>
        <w:spacing w:before="240" w:after="240"/>
        <w:jc w:val="both"/>
        <w:rPr>
          <w:rFonts w:asciiTheme="majorHAnsi" w:hAnsiTheme="majorHAnsi"/>
          <w:sz w:val="20"/>
          <w:szCs w:val="20"/>
          <w:u w:val="single"/>
          <w:lang w:val="es-ES"/>
        </w:rPr>
      </w:pPr>
      <w:proofErr w:type="spellStart"/>
      <w:r>
        <w:rPr>
          <w:rFonts w:asciiTheme="majorHAnsi" w:hAnsiTheme="majorHAnsi"/>
          <w:sz w:val="20"/>
          <w:szCs w:val="20"/>
          <w:lang w:val="es-ES"/>
        </w:rPr>
        <w:t>Wbeimar</w:t>
      </w:r>
      <w:proofErr w:type="spellEnd"/>
      <w:r>
        <w:rPr>
          <w:rFonts w:asciiTheme="majorHAnsi" w:hAnsiTheme="majorHAnsi"/>
          <w:sz w:val="20"/>
          <w:szCs w:val="20"/>
          <w:lang w:val="es-ES"/>
        </w:rPr>
        <w:t xml:space="preserve"> Aguirre Soto (hermano)</w:t>
      </w:r>
    </w:p>
    <w:p w14:paraId="6AC80CA6" w14:textId="18E00EB1" w:rsidR="00462C12" w:rsidRDefault="00462C12" w:rsidP="00974491">
      <w:pPr>
        <w:rPr>
          <w:rFonts w:ascii="Cambria" w:hAnsi="Cambria" w:cs="Calibri"/>
          <w:sz w:val="20"/>
          <w:szCs w:val="20"/>
          <w:lang w:val="es-ES"/>
        </w:rPr>
      </w:pPr>
    </w:p>
    <w:p w14:paraId="64E5CB12" w14:textId="77777777" w:rsidR="00462C12" w:rsidRPr="00462C12" w:rsidRDefault="00462C12" w:rsidP="00462C12">
      <w:pPr>
        <w:rPr>
          <w:rFonts w:ascii="Cambria" w:hAnsi="Cambria" w:cs="Calibri"/>
          <w:sz w:val="20"/>
          <w:szCs w:val="20"/>
          <w:lang w:val="es-ES"/>
        </w:rPr>
      </w:pPr>
    </w:p>
    <w:p w14:paraId="59A8A6D0" w14:textId="77777777" w:rsidR="00462C12" w:rsidRPr="00462C12" w:rsidRDefault="00462C12" w:rsidP="00462C12">
      <w:pPr>
        <w:rPr>
          <w:rFonts w:ascii="Cambria" w:hAnsi="Cambria" w:cs="Calibri"/>
          <w:sz w:val="20"/>
          <w:szCs w:val="20"/>
          <w:lang w:val="es-ES"/>
        </w:rPr>
      </w:pPr>
    </w:p>
    <w:p w14:paraId="4800C35C" w14:textId="77777777" w:rsidR="00462C12" w:rsidRPr="00462C12" w:rsidRDefault="00462C12" w:rsidP="00462C12">
      <w:pPr>
        <w:rPr>
          <w:rFonts w:ascii="Cambria" w:hAnsi="Cambria" w:cs="Calibri"/>
          <w:sz w:val="20"/>
          <w:szCs w:val="20"/>
          <w:lang w:val="es-ES"/>
        </w:rPr>
      </w:pPr>
    </w:p>
    <w:p w14:paraId="181D9411" w14:textId="2F4DDF57" w:rsidR="00722C9F" w:rsidRPr="00122253" w:rsidRDefault="00722C9F" w:rsidP="00462C12">
      <w:pPr>
        <w:rPr>
          <w:rFonts w:ascii="Cambria" w:hAnsi="Cambria" w:cs="Calibri"/>
          <w:sz w:val="20"/>
          <w:szCs w:val="20"/>
        </w:rPr>
      </w:pPr>
    </w:p>
    <w:sectPr w:rsidR="00722C9F" w:rsidRPr="00122253" w:rsidSect="00934A2C">
      <w:headerReference w:type="even" r:id="rId14"/>
      <w:headerReference w:type="default" r:id="rId15"/>
      <w:footerReference w:type="default" r:id="rId16"/>
      <w:footerReference w:type="first" r:id="rId17"/>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65F81" w14:textId="77777777" w:rsidR="0025193C" w:rsidRDefault="0025193C">
      <w:r>
        <w:separator/>
      </w:r>
    </w:p>
  </w:endnote>
  <w:endnote w:type="continuationSeparator" w:id="0">
    <w:p w14:paraId="72557C88" w14:textId="77777777" w:rsidR="0025193C" w:rsidRDefault="00251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76914"/>
      <w:docPartObj>
        <w:docPartGallery w:val="Page Numbers (Bottom of Page)"/>
        <w:docPartUnique/>
      </w:docPartObj>
    </w:sdtPr>
    <w:sdtEndPr>
      <w:rPr>
        <w:noProof/>
        <w:sz w:val="16"/>
        <w:szCs w:val="22"/>
      </w:rPr>
    </w:sdtEndPr>
    <w:sdtContent>
      <w:p w14:paraId="612FB856" w14:textId="77777777" w:rsidR="00185162" w:rsidRPr="00934A2C" w:rsidRDefault="00185162">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EBFA364" w14:textId="77777777" w:rsidR="00185162" w:rsidRDefault="001851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1C8E" w14:textId="77777777" w:rsidR="00185162" w:rsidRPr="00934A2C" w:rsidRDefault="00185162">
    <w:pPr>
      <w:pStyle w:val="Footer"/>
      <w:jc w:val="center"/>
      <w:rPr>
        <w:sz w:val="16"/>
        <w:szCs w:val="22"/>
      </w:rPr>
    </w:pPr>
  </w:p>
  <w:p w14:paraId="4EA5439C" w14:textId="77777777" w:rsidR="00185162" w:rsidRDefault="001851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32DEF2FD" w:rsidR="00185162" w:rsidRPr="00934A2C" w:rsidRDefault="00185162">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43E1B">
          <w:rPr>
            <w:noProof/>
            <w:sz w:val="16"/>
            <w:szCs w:val="22"/>
          </w:rPr>
          <w:t>7</w:t>
        </w:r>
        <w:r w:rsidRPr="00934A2C">
          <w:rPr>
            <w:noProof/>
            <w:sz w:val="16"/>
            <w:szCs w:val="22"/>
          </w:rPr>
          <w:fldChar w:fldCharType="end"/>
        </w:r>
      </w:p>
    </w:sdtContent>
  </w:sdt>
  <w:p w14:paraId="68530E6A" w14:textId="77777777" w:rsidR="00185162" w:rsidRDefault="001851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185162" w:rsidRPr="00934A2C" w:rsidRDefault="00185162">
    <w:pPr>
      <w:pStyle w:val="Footer"/>
      <w:jc w:val="center"/>
      <w:rPr>
        <w:sz w:val="16"/>
        <w:szCs w:val="22"/>
      </w:rPr>
    </w:pPr>
  </w:p>
  <w:p w14:paraId="49059CE3" w14:textId="77777777" w:rsidR="00185162" w:rsidRDefault="00185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8D9D2" w14:textId="77777777" w:rsidR="0025193C" w:rsidRPr="000F35ED" w:rsidRDefault="0025193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3F2D7D8" w14:textId="77777777" w:rsidR="0025193C" w:rsidRPr="000F35ED" w:rsidRDefault="0025193C" w:rsidP="000F35ED">
      <w:pPr>
        <w:rPr>
          <w:rFonts w:asciiTheme="majorHAnsi" w:hAnsiTheme="majorHAnsi"/>
          <w:sz w:val="16"/>
          <w:szCs w:val="16"/>
        </w:rPr>
      </w:pPr>
      <w:r w:rsidRPr="000F35ED">
        <w:rPr>
          <w:rFonts w:asciiTheme="majorHAnsi" w:hAnsiTheme="majorHAnsi"/>
          <w:sz w:val="16"/>
          <w:szCs w:val="16"/>
        </w:rPr>
        <w:separator/>
      </w:r>
    </w:p>
    <w:p w14:paraId="364F448C" w14:textId="77777777" w:rsidR="0025193C" w:rsidRPr="000F35ED" w:rsidRDefault="0025193C"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615FCC70" w14:textId="77777777" w:rsidR="0025193C" w:rsidRPr="000F35ED" w:rsidRDefault="0025193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69E2830" w14:textId="0863DB29" w:rsidR="00185162" w:rsidRPr="00653F7C" w:rsidRDefault="00185162" w:rsidP="008C3529">
      <w:pPr>
        <w:pStyle w:val="FootnoteText"/>
        <w:ind w:firstLine="720"/>
        <w:jc w:val="both"/>
        <w:rPr>
          <w:rFonts w:asciiTheme="majorHAnsi" w:hAnsiTheme="majorHAnsi"/>
          <w:sz w:val="16"/>
          <w:szCs w:val="16"/>
          <w:lang w:val="es-PA"/>
        </w:rPr>
      </w:pPr>
      <w:r>
        <w:rPr>
          <w:rStyle w:val="FootnoteReference"/>
        </w:rPr>
        <w:footnoteRef/>
      </w:r>
      <w:r w:rsidRPr="00653F7C">
        <w:rPr>
          <w:lang w:val="es-PA"/>
        </w:rPr>
        <w:t xml:space="preserve"> </w:t>
      </w:r>
      <w:r>
        <w:rPr>
          <w:rFonts w:asciiTheme="majorHAnsi" w:hAnsiTheme="majorHAnsi"/>
          <w:sz w:val="16"/>
          <w:szCs w:val="16"/>
          <w:lang w:val="es-PA"/>
        </w:rPr>
        <w:t>En su última comunicación fechada 27 de octubre de 2020 el co-peticionario Germán Aguirre Valencia informó el fallecimiento de la señora Soto de Aguirre</w:t>
      </w:r>
    </w:p>
  </w:footnote>
  <w:footnote w:id="3">
    <w:p w14:paraId="32DBFCAF" w14:textId="4A40394B" w:rsidR="00185162" w:rsidRPr="00D074A4" w:rsidRDefault="00185162" w:rsidP="008C3529">
      <w:pPr>
        <w:pStyle w:val="FootnoteText"/>
        <w:ind w:firstLine="720"/>
        <w:jc w:val="both"/>
        <w:rPr>
          <w:rFonts w:asciiTheme="majorHAnsi" w:hAnsiTheme="majorHAnsi"/>
          <w:sz w:val="16"/>
          <w:szCs w:val="16"/>
          <w:lang w:val="es-PA"/>
        </w:rPr>
      </w:pPr>
      <w:r w:rsidRPr="00D074A4">
        <w:rPr>
          <w:rStyle w:val="FootnoteReference"/>
          <w:rFonts w:asciiTheme="majorHAnsi" w:hAnsiTheme="majorHAnsi"/>
          <w:sz w:val="16"/>
          <w:szCs w:val="16"/>
        </w:rPr>
        <w:footnoteRef/>
      </w:r>
      <w:r w:rsidRPr="00D074A4">
        <w:rPr>
          <w:rFonts w:asciiTheme="majorHAnsi" w:hAnsiTheme="majorHAnsi"/>
          <w:sz w:val="16"/>
          <w:szCs w:val="16"/>
          <w:lang w:val="es-PA"/>
        </w:rPr>
        <w:t xml:space="preserve"> La petición l</w:t>
      </w:r>
      <w:r>
        <w:rPr>
          <w:rFonts w:asciiTheme="majorHAnsi" w:hAnsiTheme="majorHAnsi"/>
          <w:sz w:val="16"/>
          <w:szCs w:val="16"/>
          <w:lang w:val="es-PA"/>
        </w:rPr>
        <w:t xml:space="preserve">ista como presuntas víctimas a 6 </w:t>
      </w:r>
      <w:r w:rsidRPr="00D074A4">
        <w:rPr>
          <w:rFonts w:asciiTheme="majorHAnsi" w:hAnsiTheme="majorHAnsi"/>
          <w:sz w:val="16"/>
          <w:szCs w:val="16"/>
          <w:lang w:val="es-PA"/>
        </w:rPr>
        <w:t xml:space="preserve">personas familiares del señor </w:t>
      </w:r>
      <w:r>
        <w:rPr>
          <w:rFonts w:asciiTheme="majorHAnsi" w:hAnsiTheme="majorHAnsi"/>
          <w:sz w:val="16"/>
          <w:szCs w:val="16"/>
          <w:lang w:val="es-PA"/>
        </w:rPr>
        <w:t>Geovanni Aguirre Soto cuyos nombres se detallan en el anexo.</w:t>
      </w:r>
    </w:p>
  </w:footnote>
  <w:footnote w:id="4">
    <w:p w14:paraId="2CF14ED2" w14:textId="7638708D" w:rsidR="00185162" w:rsidRPr="00D074A4" w:rsidRDefault="00185162" w:rsidP="008C3529">
      <w:pPr>
        <w:pStyle w:val="FootnoteText"/>
        <w:ind w:firstLine="720"/>
        <w:jc w:val="both"/>
        <w:rPr>
          <w:rFonts w:asciiTheme="majorHAnsi" w:hAnsiTheme="majorHAnsi"/>
          <w:sz w:val="16"/>
          <w:szCs w:val="16"/>
          <w:lang w:val="es-PA"/>
        </w:rPr>
      </w:pPr>
      <w:r w:rsidRPr="00D074A4">
        <w:rPr>
          <w:rStyle w:val="FootnoteReference"/>
          <w:rFonts w:asciiTheme="majorHAnsi" w:hAnsiTheme="majorHAnsi"/>
          <w:sz w:val="16"/>
          <w:szCs w:val="16"/>
        </w:rPr>
        <w:footnoteRef/>
      </w:r>
      <w:r w:rsidRPr="00D074A4">
        <w:rPr>
          <w:rFonts w:asciiTheme="majorHAnsi" w:hAnsiTheme="majorHAnsi"/>
          <w:sz w:val="16"/>
          <w:szCs w:val="16"/>
          <w:lang w:val="es-PA"/>
        </w:rPr>
        <w:t xml:space="preserve"> En adelante “la Convención Americana”.</w:t>
      </w:r>
    </w:p>
  </w:footnote>
  <w:footnote w:id="5">
    <w:p w14:paraId="49154E26" w14:textId="32A8F5C6" w:rsidR="00185162" w:rsidRPr="00D074A4" w:rsidRDefault="00185162" w:rsidP="008C3529">
      <w:pPr>
        <w:pStyle w:val="FootnoteText"/>
        <w:ind w:firstLine="720"/>
        <w:jc w:val="both"/>
        <w:rPr>
          <w:rFonts w:asciiTheme="majorHAnsi" w:hAnsiTheme="majorHAnsi"/>
          <w:sz w:val="16"/>
          <w:szCs w:val="16"/>
          <w:lang w:val="es-PA"/>
        </w:rPr>
      </w:pPr>
      <w:r w:rsidRPr="00D074A4">
        <w:rPr>
          <w:rStyle w:val="FootnoteReference"/>
          <w:rFonts w:asciiTheme="majorHAnsi" w:hAnsiTheme="majorHAnsi"/>
          <w:sz w:val="16"/>
          <w:szCs w:val="16"/>
        </w:rPr>
        <w:footnoteRef/>
      </w:r>
      <w:r w:rsidRPr="00D074A4">
        <w:rPr>
          <w:rFonts w:asciiTheme="majorHAnsi" w:hAnsiTheme="majorHAnsi"/>
          <w:sz w:val="16"/>
          <w:szCs w:val="16"/>
          <w:lang w:val="es-PA"/>
        </w:rPr>
        <w:t xml:space="preserve"> En adelante “la Declaración Americana”</w:t>
      </w:r>
    </w:p>
  </w:footnote>
  <w:footnote w:id="6">
    <w:p w14:paraId="08CD6656" w14:textId="77777777" w:rsidR="00185162" w:rsidRPr="00D074A4" w:rsidRDefault="00185162" w:rsidP="008C3529">
      <w:pPr>
        <w:pStyle w:val="FootnoteText"/>
        <w:ind w:firstLine="720"/>
        <w:jc w:val="both"/>
        <w:rPr>
          <w:rFonts w:asciiTheme="majorHAnsi" w:hAnsiTheme="majorHAnsi"/>
          <w:sz w:val="16"/>
          <w:szCs w:val="16"/>
          <w:lang w:val="es-ES"/>
        </w:rPr>
      </w:pPr>
      <w:r w:rsidRPr="00D074A4">
        <w:rPr>
          <w:rStyle w:val="FootnoteReference"/>
          <w:rFonts w:asciiTheme="majorHAnsi" w:hAnsiTheme="majorHAnsi"/>
          <w:sz w:val="16"/>
          <w:szCs w:val="16"/>
        </w:rPr>
        <w:footnoteRef/>
      </w:r>
      <w:r w:rsidRPr="00D074A4">
        <w:rPr>
          <w:rFonts w:asciiTheme="majorHAnsi" w:hAnsiTheme="majorHAnsi"/>
          <w:sz w:val="16"/>
          <w:szCs w:val="16"/>
          <w:lang w:val="es-ES"/>
        </w:rPr>
        <w:t xml:space="preserve"> Las observaciones de cada parte fueron debidamente trasladadas a la parte contraria.</w:t>
      </w:r>
    </w:p>
  </w:footnote>
  <w:footnote w:id="7">
    <w:p w14:paraId="7AB87A3F" w14:textId="77777777" w:rsidR="0015065E" w:rsidRPr="006132CC" w:rsidRDefault="0015065E" w:rsidP="008C3529">
      <w:pPr>
        <w:pStyle w:val="FootnoteText"/>
        <w:jc w:val="both"/>
        <w:rPr>
          <w:rFonts w:ascii="Cambria" w:hAnsi="Cambria"/>
          <w:sz w:val="16"/>
          <w:szCs w:val="16"/>
          <w:lang w:val="es-ES"/>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32/15</w:t>
      </w:r>
      <w:r>
        <w:rPr>
          <w:rFonts w:ascii="Cambria" w:hAnsi="Cambria"/>
          <w:sz w:val="16"/>
          <w:szCs w:val="16"/>
          <w:lang w:val="es-ES"/>
        </w:rPr>
        <w:t>, Petición 11.100</w:t>
      </w:r>
      <w:r w:rsidRPr="006132CC">
        <w:rPr>
          <w:rFonts w:ascii="Cambria" w:hAnsi="Cambria"/>
          <w:sz w:val="16"/>
          <w:szCs w:val="16"/>
          <w:lang w:val="es-ES"/>
        </w:rPr>
        <w:t xml:space="preserve">. Admisibilidad. Familia Ayure Quintero. Colombia. 22 de julio de 2015. Párr. 41. </w:t>
      </w:r>
    </w:p>
  </w:footnote>
  <w:footnote w:id="8">
    <w:p w14:paraId="38207C37" w14:textId="77777777" w:rsidR="006D6A85" w:rsidRPr="00403E71" w:rsidRDefault="006D6A85" w:rsidP="008C3529">
      <w:pPr>
        <w:pStyle w:val="FootnoteText"/>
        <w:jc w:val="both"/>
        <w:rPr>
          <w:rFonts w:asciiTheme="majorHAnsi" w:hAnsiTheme="majorHAnsi"/>
          <w:sz w:val="16"/>
          <w:szCs w:val="16"/>
          <w:lang w:val="es-ES"/>
        </w:rPr>
      </w:pPr>
      <w:r w:rsidRPr="00403E71">
        <w:rPr>
          <w:rFonts w:asciiTheme="majorHAnsi" w:hAnsiTheme="majorHAnsi"/>
          <w:sz w:val="16"/>
          <w:szCs w:val="16"/>
          <w:lang w:val="es-ES"/>
        </w:rPr>
        <w:tab/>
      </w:r>
      <w:r w:rsidRPr="00403E71">
        <w:rPr>
          <w:rStyle w:val="FootnoteReference"/>
          <w:rFonts w:asciiTheme="majorHAnsi" w:hAnsiTheme="majorHAnsi"/>
          <w:sz w:val="16"/>
          <w:szCs w:val="16"/>
        </w:rPr>
        <w:footnoteRef/>
      </w:r>
      <w:r w:rsidRPr="00403E71">
        <w:rPr>
          <w:rFonts w:asciiTheme="majorHAnsi" w:hAnsiTheme="majorHAnsi"/>
          <w:sz w:val="16"/>
          <w:szCs w:val="16"/>
          <w:lang w:val="es-ES"/>
        </w:rPr>
        <w:t xml:space="preserve"> CIDH, Informe No. 72/18, Petición 1131-08. Admisibilidad. Moisés de Jesús Hernández Pinto y familia. Guatemala. 20 de junio de 2018, párr. 10.</w:t>
      </w:r>
    </w:p>
  </w:footnote>
  <w:footnote w:id="9">
    <w:p w14:paraId="58D9126E" w14:textId="77777777" w:rsidR="00530A71" w:rsidRPr="006132CC" w:rsidRDefault="00530A71" w:rsidP="008C3529">
      <w:pPr>
        <w:pStyle w:val="FootnoteText"/>
        <w:jc w:val="both"/>
        <w:rPr>
          <w:rFonts w:ascii="Cambria" w:hAnsi="Cambria"/>
          <w:sz w:val="16"/>
          <w:szCs w:val="16"/>
          <w:lang w:val="es-ES"/>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33/18</w:t>
      </w:r>
      <w:r>
        <w:rPr>
          <w:rFonts w:ascii="Cambria" w:hAnsi="Cambria"/>
          <w:sz w:val="16"/>
          <w:szCs w:val="16"/>
          <w:lang w:val="es-ES"/>
        </w:rPr>
        <w:t>, Petición 377-08</w:t>
      </w:r>
      <w:r w:rsidRPr="006132CC">
        <w:rPr>
          <w:rFonts w:ascii="Cambria" w:hAnsi="Cambria"/>
          <w:sz w:val="16"/>
          <w:szCs w:val="16"/>
          <w:lang w:val="es-ES"/>
        </w:rPr>
        <w:t>. Admisibilidad. Amanda Graciela Encaje y familia. Argentina. 4 de mayo de 2018, párr. 12.</w:t>
      </w:r>
    </w:p>
  </w:footnote>
  <w:footnote w:id="10">
    <w:p w14:paraId="358A7ED7" w14:textId="77777777" w:rsidR="00FF0BE3" w:rsidRPr="006132CC" w:rsidRDefault="00FF0BE3" w:rsidP="008C3529">
      <w:pPr>
        <w:pStyle w:val="FootnoteText"/>
        <w:jc w:val="both"/>
        <w:rPr>
          <w:rFonts w:ascii="Cambria" w:hAnsi="Cambria"/>
          <w:sz w:val="16"/>
          <w:szCs w:val="16"/>
          <w:lang w:val="es-ES_tradnl"/>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109/17</w:t>
      </w:r>
      <w:r>
        <w:rPr>
          <w:rFonts w:ascii="Cambria" w:hAnsi="Cambria"/>
          <w:sz w:val="16"/>
          <w:szCs w:val="16"/>
          <w:lang w:val="es-ES"/>
        </w:rPr>
        <w:t>, Petición 795-08</w:t>
      </w:r>
      <w:r w:rsidRPr="006132CC">
        <w:rPr>
          <w:rFonts w:ascii="Cambria" w:hAnsi="Cambria"/>
          <w:sz w:val="16"/>
          <w:szCs w:val="16"/>
          <w:lang w:val="es-ES"/>
        </w:rPr>
        <w:t>. Admisibilidad. Rosalía Benavides Franco y otros. Colombia. 7 de septiembre de 2017, p</w:t>
      </w:r>
      <w:r w:rsidRPr="006132CC">
        <w:rPr>
          <w:rFonts w:ascii="Cambria" w:hAnsi="Cambria"/>
          <w:sz w:val="16"/>
          <w:szCs w:val="16"/>
          <w:lang w:val="es-ES_tradnl"/>
        </w:rPr>
        <w:t>árrs. 23 y 24.</w:t>
      </w:r>
    </w:p>
  </w:footnote>
  <w:footnote w:id="11">
    <w:p w14:paraId="32DBA458" w14:textId="77777777" w:rsidR="00D25BE9" w:rsidRPr="006132CC" w:rsidRDefault="00D25BE9" w:rsidP="008C3529">
      <w:pPr>
        <w:pStyle w:val="FootnoteText"/>
        <w:jc w:val="both"/>
        <w:rPr>
          <w:rFonts w:ascii="Cambria" w:hAnsi="Cambria"/>
          <w:sz w:val="16"/>
          <w:szCs w:val="16"/>
          <w:lang w:val="es-ES"/>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86/06</w:t>
      </w:r>
      <w:r>
        <w:rPr>
          <w:rFonts w:ascii="Cambria" w:hAnsi="Cambria"/>
          <w:sz w:val="16"/>
          <w:szCs w:val="16"/>
          <w:lang w:val="es-ES"/>
        </w:rPr>
        <w:t xml:space="preserve">, </w:t>
      </w:r>
      <w:r>
        <w:rPr>
          <w:rFonts w:ascii="Cambria" w:hAnsi="Cambria"/>
          <w:sz w:val="16"/>
          <w:szCs w:val="16"/>
          <w:lang w:val="es-ES_tradnl"/>
        </w:rPr>
        <w:t>Petición</w:t>
      </w:r>
      <w:r>
        <w:rPr>
          <w:rFonts w:ascii="Cambria" w:hAnsi="Cambria"/>
          <w:sz w:val="16"/>
          <w:szCs w:val="16"/>
          <w:lang w:val="es-ES"/>
        </w:rPr>
        <w:t xml:space="preserve"> 499-04</w:t>
      </w:r>
      <w:r w:rsidRPr="006132CC">
        <w:rPr>
          <w:rFonts w:ascii="Cambria" w:hAnsi="Cambria"/>
          <w:sz w:val="16"/>
          <w:szCs w:val="16"/>
          <w:lang w:val="es-ES"/>
        </w:rPr>
        <w:t>. Admisibilidad. Marino López y otros (Operación Génesis). Colombia. 21 de octubre de 2006, párr. 57.</w:t>
      </w:r>
    </w:p>
  </w:footnote>
  <w:footnote w:id="12">
    <w:p w14:paraId="34C00F43" w14:textId="77777777" w:rsidR="00442B8B" w:rsidRPr="00F96CD8" w:rsidRDefault="00442B8B" w:rsidP="008C3529">
      <w:pPr>
        <w:pStyle w:val="FootnoteText"/>
        <w:ind w:firstLine="720"/>
        <w:jc w:val="both"/>
        <w:rPr>
          <w:rFonts w:ascii="Cambria" w:hAnsi="Cambria"/>
          <w:sz w:val="16"/>
          <w:szCs w:val="16"/>
          <w:lang w:val="es-ES"/>
        </w:rPr>
      </w:pPr>
      <w:r w:rsidRPr="00F96CD8">
        <w:rPr>
          <w:rStyle w:val="FootnoteReference"/>
          <w:rFonts w:ascii="Cambria" w:hAnsi="Cambria"/>
          <w:sz w:val="16"/>
          <w:szCs w:val="16"/>
        </w:rPr>
        <w:footnoteRef/>
      </w:r>
      <w:r w:rsidRPr="00F96CD8">
        <w:rPr>
          <w:rFonts w:ascii="Cambria" w:hAnsi="Cambria"/>
          <w:sz w:val="16"/>
          <w:szCs w:val="16"/>
          <w:lang w:val="es-ES"/>
        </w:rPr>
        <w:t xml:space="preserve"> CIDH, Informe No. 39/18, Petición 196-07. Admisibilidad. José Ricardo Parra Hurtado, Félix Alberto Páez Suárez y familias. Colombia. 4 de mayo de 2018, párr. 13.</w:t>
      </w:r>
    </w:p>
  </w:footnote>
  <w:footnote w:id="13">
    <w:p w14:paraId="5CD67D4F" w14:textId="77777777" w:rsidR="00810EB0" w:rsidRPr="00EF560E" w:rsidRDefault="00810EB0" w:rsidP="008C3529">
      <w:pPr>
        <w:pStyle w:val="FootnoteText"/>
        <w:ind w:firstLine="720"/>
        <w:jc w:val="both"/>
        <w:rPr>
          <w:rFonts w:asciiTheme="majorHAnsi" w:hAnsiTheme="majorHAnsi"/>
          <w:sz w:val="16"/>
          <w:szCs w:val="16"/>
          <w:lang w:val="es-PA"/>
        </w:rPr>
      </w:pPr>
      <w:r w:rsidRPr="00EF560E">
        <w:rPr>
          <w:rStyle w:val="FootnoteReference"/>
          <w:rFonts w:asciiTheme="majorHAnsi" w:hAnsiTheme="majorHAnsi"/>
          <w:sz w:val="16"/>
          <w:szCs w:val="16"/>
        </w:rPr>
        <w:footnoteRef/>
      </w:r>
      <w:r w:rsidRPr="00EF560E">
        <w:rPr>
          <w:rFonts w:asciiTheme="majorHAnsi" w:hAnsiTheme="majorHAnsi"/>
          <w:sz w:val="16"/>
          <w:szCs w:val="16"/>
          <w:lang w:val="es-PA"/>
        </w:rPr>
        <w:t xml:space="preserve"> CIDH, Informe No. 134/20. Petición 390-08. Admisibilidad. Yadira Emilse Penagos Vega y familia. </w:t>
      </w:r>
      <w:r w:rsidRPr="00EF560E">
        <w:rPr>
          <w:rFonts w:asciiTheme="majorHAnsi" w:hAnsiTheme="majorHAnsi"/>
          <w:sz w:val="16"/>
          <w:szCs w:val="16"/>
          <w:lang w:val="es-US"/>
        </w:rPr>
        <w:t>Colombia. 9 de junio de 2020</w:t>
      </w:r>
    </w:p>
  </w:footnote>
  <w:footnote w:id="14">
    <w:p w14:paraId="006D775F" w14:textId="44FCA1EC" w:rsidR="00EF560E" w:rsidRPr="00EF560E" w:rsidRDefault="00EF560E" w:rsidP="008C3529">
      <w:pPr>
        <w:pStyle w:val="FootnoteText"/>
        <w:ind w:firstLine="720"/>
        <w:rPr>
          <w:rFonts w:asciiTheme="majorHAnsi" w:hAnsiTheme="majorHAnsi"/>
          <w:sz w:val="16"/>
          <w:szCs w:val="16"/>
          <w:lang w:val="es-PA"/>
        </w:rPr>
      </w:pPr>
      <w:r w:rsidRPr="00EF560E">
        <w:rPr>
          <w:rStyle w:val="FootnoteReference"/>
          <w:rFonts w:asciiTheme="majorHAnsi" w:hAnsiTheme="majorHAnsi"/>
          <w:sz w:val="16"/>
          <w:szCs w:val="16"/>
        </w:rPr>
        <w:footnoteRef/>
      </w:r>
      <w:r w:rsidRPr="00EF560E">
        <w:rPr>
          <w:rFonts w:asciiTheme="majorHAnsi" w:hAnsiTheme="majorHAnsi"/>
          <w:sz w:val="16"/>
          <w:szCs w:val="16"/>
          <w:lang w:val="es-PA"/>
        </w:rPr>
        <w:t xml:space="preserve"> CIDH, Informe No. 159/17. Admisibilidad. Sebastián Larroza Velázquez y familia. </w:t>
      </w:r>
      <w:r w:rsidRPr="00B522AF">
        <w:rPr>
          <w:rFonts w:asciiTheme="majorHAnsi" w:hAnsiTheme="majorHAnsi"/>
          <w:sz w:val="16"/>
          <w:szCs w:val="16"/>
          <w:lang w:val="es-ES"/>
        </w:rPr>
        <w:t xml:space="preserve">Paraguay. 30 de noviembre de 2017, párr. </w:t>
      </w:r>
      <w:proofErr w:type="gramStart"/>
      <w:r w:rsidRPr="00B522AF">
        <w:rPr>
          <w:rFonts w:asciiTheme="majorHAnsi" w:hAnsiTheme="majorHAnsi"/>
          <w:sz w:val="16"/>
          <w:szCs w:val="16"/>
          <w:lang w:val="es-ES"/>
        </w:rPr>
        <w:t>14..</w:t>
      </w:r>
      <w:proofErr w:type="gramEnd"/>
    </w:p>
  </w:footnote>
  <w:footnote w:id="15">
    <w:p w14:paraId="6AB19314" w14:textId="632BD024" w:rsidR="000B5692" w:rsidRPr="00EF560E" w:rsidRDefault="000B5692" w:rsidP="008C3529">
      <w:pPr>
        <w:pStyle w:val="FootnoteText"/>
        <w:ind w:firstLine="720"/>
        <w:jc w:val="both"/>
        <w:rPr>
          <w:rFonts w:asciiTheme="majorHAnsi" w:hAnsiTheme="majorHAnsi"/>
          <w:sz w:val="16"/>
          <w:szCs w:val="16"/>
          <w:lang w:val="es-PA"/>
        </w:rPr>
      </w:pPr>
      <w:r w:rsidRPr="00EF560E">
        <w:rPr>
          <w:rStyle w:val="FootnoteReference"/>
          <w:rFonts w:asciiTheme="majorHAnsi" w:hAnsiTheme="majorHAnsi"/>
          <w:sz w:val="16"/>
          <w:szCs w:val="16"/>
        </w:rPr>
        <w:footnoteRef/>
      </w:r>
      <w:r w:rsidRPr="00EF560E">
        <w:rPr>
          <w:rFonts w:asciiTheme="majorHAnsi" w:hAnsiTheme="majorHAnsi"/>
          <w:sz w:val="16"/>
          <w:szCs w:val="16"/>
          <w:lang w:val="es-PA"/>
        </w:rPr>
        <w:t xml:space="preserve"> Corte I.D.H, Tibi vs. Ecuador, Sentencia de Excepciones Preliminares, Fondo, Reparaciones y Costas. 7 de septiembre de 2004, párr. 118.</w:t>
      </w:r>
    </w:p>
  </w:footnote>
  <w:footnote w:id="16">
    <w:p w14:paraId="728C8E31" w14:textId="03FB69B1" w:rsidR="00E56DAB" w:rsidRPr="0008748A" w:rsidRDefault="00E56DAB" w:rsidP="008C3529">
      <w:pPr>
        <w:pStyle w:val="FootnoteText"/>
        <w:ind w:firstLine="720"/>
        <w:jc w:val="both"/>
        <w:rPr>
          <w:rFonts w:asciiTheme="majorHAnsi" w:hAnsiTheme="majorHAnsi"/>
          <w:sz w:val="16"/>
          <w:szCs w:val="16"/>
          <w:lang w:val="es-PA"/>
        </w:rPr>
      </w:pPr>
      <w:r w:rsidRPr="00EF560E">
        <w:rPr>
          <w:rStyle w:val="FootnoteReference"/>
          <w:rFonts w:asciiTheme="majorHAnsi" w:hAnsiTheme="majorHAnsi"/>
          <w:sz w:val="16"/>
          <w:szCs w:val="16"/>
        </w:rPr>
        <w:footnoteRef/>
      </w:r>
      <w:r w:rsidRPr="00EF560E">
        <w:rPr>
          <w:rFonts w:asciiTheme="majorHAnsi" w:hAnsiTheme="majorHAnsi"/>
          <w:sz w:val="16"/>
          <w:szCs w:val="16"/>
          <w:lang w:val="es-PA"/>
        </w:rPr>
        <w:t xml:space="preserve"> CIDH, Informe No. 134/20. Petición 390-08. Admisibilidad. Yadira Emilse Penagos Vega y familia. </w:t>
      </w:r>
      <w:r w:rsidRPr="00EF560E">
        <w:rPr>
          <w:rFonts w:asciiTheme="majorHAnsi" w:hAnsiTheme="majorHAnsi"/>
          <w:sz w:val="16"/>
          <w:szCs w:val="16"/>
          <w:lang w:val="es-US"/>
        </w:rPr>
        <w:t>Colombia. 9 de junio de 2020</w:t>
      </w:r>
      <w:r w:rsidR="00EF560E" w:rsidRPr="00EF560E">
        <w:rPr>
          <w:rFonts w:asciiTheme="majorHAnsi" w:hAnsiTheme="majorHAnsi"/>
          <w:sz w:val="16"/>
          <w:szCs w:val="16"/>
          <w:lang w:val="es-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3B67" w14:textId="77777777" w:rsidR="00185162" w:rsidRDefault="00185162"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00D5B4" w14:textId="77777777" w:rsidR="00185162" w:rsidRDefault="001851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81B9" w14:textId="77777777" w:rsidR="00185162" w:rsidRDefault="00185162" w:rsidP="00A50FCF">
    <w:pPr>
      <w:pStyle w:val="Header"/>
      <w:tabs>
        <w:tab w:val="clear" w:pos="4320"/>
        <w:tab w:val="clear" w:pos="8640"/>
      </w:tabs>
      <w:jc w:val="center"/>
      <w:rPr>
        <w:sz w:val="22"/>
        <w:szCs w:val="22"/>
      </w:rPr>
    </w:pPr>
    <w:r>
      <w:rPr>
        <w:noProof/>
        <w:sz w:val="22"/>
        <w:szCs w:val="22"/>
      </w:rPr>
      <w:drawing>
        <wp:inline distT="0" distB="0" distL="0" distR="0" wp14:anchorId="1712A0C8" wp14:editId="40AEDC2B">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B18495" w14:textId="77777777" w:rsidR="00185162" w:rsidRPr="00EC7D62" w:rsidRDefault="0025193C" w:rsidP="00A50FCF">
    <w:pPr>
      <w:pStyle w:val="Header"/>
      <w:tabs>
        <w:tab w:val="clear" w:pos="4320"/>
        <w:tab w:val="clear" w:pos="8640"/>
      </w:tabs>
      <w:jc w:val="center"/>
      <w:rPr>
        <w:sz w:val="22"/>
        <w:szCs w:val="22"/>
      </w:rPr>
    </w:pPr>
    <w:r>
      <w:rPr>
        <w:sz w:val="22"/>
        <w:szCs w:val="22"/>
      </w:rPr>
      <w:pict w14:anchorId="69C91BCE">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185162" w:rsidRDefault="00185162"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185162" w:rsidRDefault="001851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185162" w:rsidRDefault="00185162"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185162" w:rsidRPr="00EC7D62" w:rsidRDefault="0025193C" w:rsidP="00A50FCF">
    <w:pPr>
      <w:pStyle w:val="Header"/>
      <w:tabs>
        <w:tab w:val="clear" w:pos="4320"/>
        <w:tab w:val="clear" w:pos="8640"/>
      </w:tabs>
      <w:jc w:val="center"/>
      <w:rPr>
        <w:sz w:val="22"/>
        <w:szCs w:val="22"/>
      </w:rPr>
    </w:pPr>
    <w:r>
      <w:rPr>
        <w:sz w:val="22"/>
        <w:szCs w:val="22"/>
      </w:rPr>
      <w:pict w14:anchorId="4367A34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93A0007E"/>
    <w:lvl w:ilvl="0" w:tplc="4B1CC5E8">
      <w:start w:val="1"/>
      <w:numFmt w:val="decimal"/>
      <w:lvlText w:val="%1."/>
      <w:lvlJc w:val="left"/>
      <w:pPr>
        <w:tabs>
          <w:tab w:val="num" w:pos="720"/>
        </w:tabs>
        <w:ind w:left="0" w:firstLine="72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8123A2"/>
    <w:multiLevelType w:val="hybridMultilevel"/>
    <w:tmpl w:val="60366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785F1A"/>
    <w:multiLevelType w:val="hybridMultilevel"/>
    <w:tmpl w:val="8280FD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5DE4008"/>
    <w:multiLevelType w:val="hybridMultilevel"/>
    <w:tmpl w:val="93A0007E"/>
    <w:lvl w:ilvl="0" w:tplc="4B1CC5E8">
      <w:start w:val="1"/>
      <w:numFmt w:val="decimal"/>
      <w:lvlText w:val="%1."/>
      <w:lvlJc w:val="left"/>
      <w:pPr>
        <w:tabs>
          <w:tab w:val="num" w:pos="720"/>
        </w:tabs>
        <w:ind w:left="0" w:firstLine="72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3CA6716B"/>
    <w:multiLevelType w:val="hybridMultilevel"/>
    <w:tmpl w:val="93A0007E"/>
    <w:lvl w:ilvl="0" w:tplc="4B1CC5E8">
      <w:start w:val="1"/>
      <w:numFmt w:val="decimal"/>
      <w:lvlText w:val="%1."/>
      <w:lvlJc w:val="left"/>
      <w:pPr>
        <w:tabs>
          <w:tab w:val="num" w:pos="720"/>
        </w:tabs>
        <w:ind w:left="0" w:firstLine="72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ED143F7"/>
    <w:multiLevelType w:val="hybridMultilevel"/>
    <w:tmpl w:val="BD1C7D50"/>
    <w:lvl w:ilvl="0" w:tplc="CA6AFC60">
      <w:start w:val="1"/>
      <w:numFmt w:val="decimal"/>
      <w:lvlText w:val="%1."/>
      <w:lvlJc w:val="left"/>
      <w:pPr>
        <w:ind w:left="720" w:hanging="360"/>
      </w:pPr>
      <w:rPr>
        <w:rFonts w:ascii="Cambria" w:hAnsi="Cambr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6"/>
  </w:num>
  <w:num w:numId="3">
    <w:abstractNumId w:val="55"/>
  </w:num>
  <w:num w:numId="4">
    <w:abstractNumId w:val="22"/>
  </w:num>
  <w:num w:numId="5">
    <w:abstractNumId w:val="49"/>
  </w:num>
  <w:num w:numId="6">
    <w:abstractNumId w:val="28"/>
  </w:num>
  <w:num w:numId="7">
    <w:abstractNumId w:val="8"/>
  </w:num>
  <w:num w:numId="8">
    <w:abstractNumId w:val="18"/>
  </w:num>
  <w:num w:numId="9">
    <w:abstractNumId w:val="43"/>
  </w:num>
  <w:num w:numId="10">
    <w:abstractNumId w:val="0"/>
  </w:num>
  <w:num w:numId="11">
    <w:abstractNumId w:val="38"/>
  </w:num>
  <w:num w:numId="12">
    <w:abstractNumId w:val="39"/>
  </w:num>
  <w:num w:numId="13">
    <w:abstractNumId w:val="45"/>
  </w:num>
  <w:num w:numId="14">
    <w:abstractNumId w:val="1"/>
  </w:num>
  <w:num w:numId="15">
    <w:abstractNumId w:val="2"/>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7"/>
  </w:num>
  <w:num w:numId="31">
    <w:abstractNumId w:val="29"/>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0"/>
  </w:num>
  <w:num w:numId="40">
    <w:abstractNumId w:val="41"/>
  </w:num>
  <w:num w:numId="41">
    <w:abstractNumId w:val="48"/>
  </w:num>
  <w:num w:numId="42">
    <w:abstractNumId w:val="50"/>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21"/>
  </w:num>
  <w:num w:numId="52">
    <w:abstractNumId w:val="42"/>
  </w:num>
  <w:num w:numId="53">
    <w:abstractNumId w:val="52"/>
  </w:num>
  <w:num w:numId="54">
    <w:abstractNumId w:val="46"/>
  </w:num>
  <w:num w:numId="55">
    <w:abstractNumId w:val="4"/>
  </w:num>
  <w:num w:numId="56">
    <w:abstractNumId w:val="44"/>
  </w:num>
  <w:num w:numId="57">
    <w:abstractNumId w:val="47"/>
  </w:num>
  <w:num w:numId="58">
    <w:abstractNumId w:val="7"/>
  </w:num>
  <w:num w:numId="59">
    <w:abstractNumId w:val="26"/>
  </w:num>
  <w:num w:numId="60">
    <w:abstractNumId w:val="30"/>
  </w:num>
  <w:num w:numId="61">
    <w:abstractNumId w:val="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0FA5"/>
    <w:rsid w:val="00003C42"/>
    <w:rsid w:val="00006E1F"/>
    <w:rsid w:val="000070D7"/>
    <w:rsid w:val="000112E0"/>
    <w:rsid w:val="00014313"/>
    <w:rsid w:val="0001788C"/>
    <w:rsid w:val="00024488"/>
    <w:rsid w:val="000337EF"/>
    <w:rsid w:val="00040C3A"/>
    <w:rsid w:val="000419AD"/>
    <w:rsid w:val="000433C9"/>
    <w:rsid w:val="00045A01"/>
    <w:rsid w:val="00056F9F"/>
    <w:rsid w:val="000673D0"/>
    <w:rsid w:val="000716C5"/>
    <w:rsid w:val="00075E23"/>
    <w:rsid w:val="00091C07"/>
    <w:rsid w:val="0009344A"/>
    <w:rsid w:val="0009428A"/>
    <w:rsid w:val="000A392E"/>
    <w:rsid w:val="000A4746"/>
    <w:rsid w:val="000A52FC"/>
    <w:rsid w:val="000A575F"/>
    <w:rsid w:val="000B5692"/>
    <w:rsid w:val="000B6028"/>
    <w:rsid w:val="000B6740"/>
    <w:rsid w:val="000D05CB"/>
    <w:rsid w:val="000D10DB"/>
    <w:rsid w:val="000D3651"/>
    <w:rsid w:val="000E2985"/>
    <w:rsid w:val="000E5EB5"/>
    <w:rsid w:val="000F02EC"/>
    <w:rsid w:val="000F35ED"/>
    <w:rsid w:val="00100421"/>
    <w:rsid w:val="00105536"/>
    <w:rsid w:val="00107131"/>
    <w:rsid w:val="0010736F"/>
    <w:rsid w:val="00113F73"/>
    <w:rsid w:val="00121CC2"/>
    <w:rsid w:val="00122253"/>
    <w:rsid w:val="001251D7"/>
    <w:rsid w:val="001255B8"/>
    <w:rsid w:val="00131425"/>
    <w:rsid w:val="0013183A"/>
    <w:rsid w:val="00133EE5"/>
    <w:rsid w:val="00136EC3"/>
    <w:rsid w:val="00140C2E"/>
    <w:rsid w:val="00143E1B"/>
    <w:rsid w:val="0015065E"/>
    <w:rsid w:val="00167A34"/>
    <w:rsid w:val="00174378"/>
    <w:rsid w:val="00175057"/>
    <w:rsid w:val="00175B48"/>
    <w:rsid w:val="00185162"/>
    <w:rsid w:val="001A22A2"/>
    <w:rsid w:val="001A7870"/>
    <w:rsid w:val="001B3A00"/>
    <w:rsid w:val="001C1B41"/>
    <w:rsid w:val="001C5A65"/>
    <w:rsid w:val="001D3954"/>
    <w:rsid w:val="001D65EF"/>
    <w:rsid w:val="001E2632"/>
    <w:rsid w:val="001E49E7"/>
    <w:rsid w:val="001F1AA9"/>
    <w:rsid w:val="001F7201"/>
    <w:rsid w:val="0021279D"/>
    <w:rsid w:val="00215889"/>
    <w:rsid w:val="00215A57"/>
    <w:rsid w:val="00216A1D"/>
    <w:rsid w:val="0022072D"/>
    <w:rsid w:val="002219A1"/>
    <w:rsid w:val="00223A29"/>
    <w:rsid w:val="002250A3"/>
    <w:rsid w:val="0023024E"/>
    <w:rsid w:val="002340D1"/>
    <w:rsid w:val="00235217"/>
    <w:rsid w:val="0024546E"/>
    <w:rsid w:val="00246D1F"/>
    <w:rsid w:val="00247403"/>
    <w:rsid w:val="00247542"/>
    <w:rsid w:val="00251109"/>
    <w:rsid w:val="0025193C"/>
    <w:rsid w:val="0025568F"/>
    <w:rsid w:val="00263F6F"/>
    <w:rsid w:val="00266530"/>
    <w:rsid w:val="00266B61"/>
    <w:rsid w:val="0026712A"/>
    <w:rsid w:val="002704DB"/>
    <w:rsid w:val="002836F3"/>
    <w:rsid w:val="002A0AAE"/>
    <w:rsid w:val="002A5820"/>
    <w:rsid w:val="002A6627"/>
    <w:rsid w:val="002B0B90"/>
    <w:rsid w:val="002C3B2B"/>
    <w:rsid w:val="002C6A45"/>
    <w:rsid w:val="002D1AB4"/>
    <w:rsid w:val="002D2B26"/>
    <w:rsid w:val="002D7EA2"/>
    <w:rsid w:val="002E187C"/>
    <w:rsid w:val="002E4781"/>
    <w:rsid w:val="002F3179"/>
    <w:rsid w:val="00302733"/>
    <w:rsid w:val="0030535D"/>
    <w:rsid w:val="00314078"/>
    <w:rsid w:val="003150AC"/>
    <w:rsid w:val="0031535D"/>
    <w:rsid w:val="003239B8"/>
    <w:rsid w:val="0033169F"/>
    <w:rsid w:val="00344977"/>
    <w:rsid w:val="00346C95"/>
    <w:rsid w:val="00356185"/>
    <w:rsid w:val="00360380"/>
    <w:rsid w:val="00362B87"/>
    <w:rsid w:val="00366053"/>
    <w:rsid w:val="0037519E"/>
    <w:rsid w:val="00375317"/>
    <w:rsid w:val="00377E2B"/>
    <w:rsid w:val="0038223E"/>
    <w:rsid w:val="0038524B"/>
    <w:rsid w:val="00386CF0"/>
    <w:rsid w:val="00390590"/>
    <w:rsid w:val="00390D2B"/>
    <w:rsid w:val="003A3E87"/>
    <w:rsid w:val="003B20E8"/>
    <w:rsid w:val="003B70FB"/>
    <w:rsid w:val="003C676B"/>
    <w:rsid w:val="003D3BC2"/>
    <w:rsid w:val="003E04BE"/>
    <w:rsid w:val="003E6CA1"/>
    <w:rsid w:val="003F0B77"/>
    <w:rsid w:val="004065A8"/>
    <w:rsid w:val="00406675"/>
    <w:rsid w:val="00411591"/>
    <w:rsid w:val="004165C2"/>
    <w:rsid w:val="00421BCB"/>
    <w:rsid w:val="004273CC"/>
    <w:rsid w:val="00427495"/>
    <w:rsid w:val="00431513"/>
    <w:rsid w:val="004347D7"/>
    <w:rsid w:val="004350A0"/>
    <w:rsid w:val="00441ECB"/>
    <w:rsid w:val="00442B8B"/>
    <w:rsid w:val="00445193"/>
    <w:rsid w:val="00454F0A"/>
    <w:rsid w:val="00462C12"/>
    <w:rsid w:val="00462C1B"/>
    <w:rsid w:val="00467B7E"/>
    <w:rsid w:val="00467F11"/>
    <w:rsid w:val="00473BB4"/>
    <w:rsid w:val="00477592"/>
    <w:rsid w:val="0048136A"/>
    <w:rsid w:val="0048440B"/>
    <w:rsid w:val="00486F1C"/>
    <w:rsid w:val="0049419D"/>
    <w:rsid w:val="00494CCE"/>
    <w:rsid w:val="004A4B9C"/>
    <w:rsid w:val="004A6A54"/>
    <w:rsid w:val="004C0E8D"/>
    <w:rsid w:val="004C1EDB"/>
    <w:rsid w:val="004C20D2"/>
    <w:rsid w:val="004C2312"/>
    <w:rsid w:val="004C4B62"/>
    <w:rsid w:val="004C54C9"/>
    <w:rsid w:val="004D4ABA"/>
    <w:rsid w:val="004D6025"/>
    <w:rsid w:val="004D70F9"/>
    <w:rsid w:val="004E2649"/>
    <w:rsid w:val="004F626F"/>
    <w:rsid w:val="00501399"/>
    <w:rsid w:val="0050633D"/>
    <w:rsid w:val="00507BC4"/>
    <w:rsid w:val="00511602"/>
    <w:rsid w:val="005128E4"/>
    <w:rsid w:val="005133DB"/>
    <w:rsid w:val="00514504"/>
    <w:rsid w:val="00520E16"/>
    <w:rsid w:val="005224F5"/>
    <w:rsid w:val="005246D3"/>
    <w:rsid w:val="005253C4"/>
    <w:rsid w:val="00525560"/>
    <w:rsid w:val="00530430"/>
    <w:rsid w:val="00530A71"/>
    <w:rsid w:val="00530A97"/>
    <w:rsid w:val="00532250"/>
    <w:rsid w:val="00533A62"/>
    <w:rsid w:val="0053487B"/>
    <w:rsid w:val="00544C49"/>
    <w:rsid w:val="005516A1"/>
    <w:rsid w:val="0055189F"/>
    <w:rsid w:val="005559EF"/>
    <w:rsid w:val="005609ED"/>
    <w:rsid w:val="00563557"/>
    <w:rsid w:val="0057402A"/>
    <w:rsid w:val="005771D0"/>
    <w:rsid w:val="00585A16"/>
    <w:rsid w:val="0059191A"/>
    <w:rsid w:val="005921FF"/>
    <w:rsid w:val="005941C1"/>
    <w:rsid w:val="00595B47"/>
    <w:rsid w:val="005A24ED"/>
    <w:rsid w:val="005A6D0E"/>
    <w:rsid w:val="005B52B0"/>
    <w:rsid w:val="005B6806"/>
    <w:rsid w:val="005C4225"/>
    <w:rsid w:val="005D13C5"/>
    <w:rsid w:val="005D6FF2"/>
    <w:rsid w:val="005E3E07"/>
    <w:rsid w:val="005E5F78"/>
    <w:rsid w:val="005F0DAD"/>
    <w:rsid w:val="005F0F33"/>
    <w:rsid w:val="00600DEB"/>
    <w:rsid w:val="00601040"/>
    <w:rsid w:val="00605991"/>
    <w:rsid w:val="00611B77"/>
    <w:rsid w:val="00623843"/>
    <w:rsid w:val="00627C9F"/>
    <w:rsid w:val="00630F08"/>
    <w:rsid w:val="006311E9"/>
    <w:rsid w:val="00632354"/>
    <w:rsid w:val="00635421"/>
    <w:rsid w:val="00642810"/>
    <w:rsid w:val="00647F5E"/>
    <w:rsid w:val="00652333"/>
    <w:rsid w:val="00653F7C"/>
    <w:rsid w:val="00666DDC"/>
    <w:rsid w:val="006670ED"/>
    <w:rsid w:val="00675B2C"/>
    <w:rsid w:val="0068009E"/>
    <w:rsid w:val="006856C8"/>
    <w:rsid w:val="00691772"/>
    <w:rsid w:val="00691776"/>
    <w:rsid w:val="00692219"/>
    <w:rsid w:val="0069536F"/>
    <w:rsid w:val="006A17D2"/>
    <w:rsid w:val="006A53B4"/>
    <w:rsid w:val="006A73E6"/>
    <w:rsid w:val="006B2D5C"/>
    <w:rsid w:val="006B30D6"/>
    <w:rsid w:val="006B79EA"/>
    <w:rsid w:val="006C3525"/>
    <w:rsid w:val="006C4EB1"/>
    <w:rsid w:val="006D14F3"/>
    <w:rsid w:val="006D46DB"/>
    <w:rsid w:val="006D6A85"/>
    <w:rsid w:val="006E0166"/>
    <w:rsid w:val="006E2FFB"/>
    <w:rsid w:val="006E3931"/>
    <w:rsid w:val="006E7B34"/>
    <w:rsid w:val="0070697F"/>
    <w:rsid w:val="0072199C"/>
    <w:rsid w:val="00722C9F"/>
    <w:rsid w:val="007253B8"/>
    <w:rsid w:val="0072721B"/>
    <w:rsid w:val="0073340F"/>
    <w:rsid w:val="0073741F"/>
    <w:rsid w:val="007619B7"/>
    <w:rsid w:val="0076643F"/>
    <w:rsid w:val="00777F63"/>
    <w:rsid w:val="0078377F"/>
    <w:rsid w:val="00785D5C"/>
    <w:rsid w:val="0079129C"/>
    <w:rsid w:val="00793F54"/>
    <w:rsid w:val="007A5817"/>
    <w:rsid w:val="007B05C4"/>
    <w:rsid w:val="007B60E9"/>
    <w:rsid w:val="007B6CC3"/>
    <w:rsid w:val="007B71E2"/>
    <w:rsid w:val="007B767B"/>
    <w:rsid w:val="007B76D3"/>
    <w:rsid w:val="007C3334"/>
    <w:rsid w:val="007C4159"/>
    <w:rsid w:val="007D2B98"/>
    <w:rsid w:val="007D328D"/>
    <w:rsid w:val="007D57EE"/>
    <w:rsid w:val="007D725B"/>
    <w:rsid w:val="007E11B8"/>
    <w:rsid w:val="007E21BC"/>
    <w:rsid w:val="007E75F4"/>
    <w:rsid w:val="007E7C82"/>
    <w:rsid w:val="007F2AA1"/>
    <w:rsid w:val="007F3777"/>
    <w:rsid w:val="007F588D"/>
    <w:rsid w:val="007F58A4"/>
    <w:rsid w:val="00803423"/>
    <w:rsid w:val="00803A03"/>
    <w:rsid w:val="00803AE2"/>
    <w:rsid w:val="00803C12"/>
    <w:rsid w:val="00803DC6"/>
    <w:rsid w:val="00803F1C"/>
    <w:rsid w:val="0080600E"/>
    <w:rsid w:val="00810EB0"/>
    <w:rsid w:val="00811520"/>
    <w:rsid w:val="00813118"/>
    <w:rsid w:val="00814688"/>
    <w:rsid w:val="00817612"/>
    <w:rsid w:val="00831D07"/>
    <w:rsid w:val="008338A4"/>
    <w:rsid w:val="00834D49"/>
    <w:rsid w:val="00837C45"/>
    <w:rsid w:val="00840B5C"/>
    <w:rsid w:val="00844730"/>
    <w:rsid w:val="008457C2"/>
    <w:rsid w:val="008503D1"/>
    <w:rsid w:val="00857A82"/>
    <w:rsid w:val="00866A35"/>
    <w:rsid w:val="00866ACF"/>
    <w:rsid w:val="00873836"/>
    <w:rsid w:val="00874720"/>
    <w:rsid w:val="00883F95"/>
    <w:rsid w:val="00885737"/>
    <w:rsid w:val="00885993"/>
    <w:rsid w:val="00890650"/>
    <w:rsid w:val="00895D4B"/>
    <w:rsid w:val="00897E12"/>
    <w:rsid w:val="008A0AB8"/>
    <w:rsid w:val="008A0CEB"/>
    <w:rsid w:val="008A2FAB"/>
    <w:rsid w:val="008A7E0F"/>
    <w:rsid w:val="008B12F5"/>
    <w:rsid w:val="008C3529"/>
    <w:rsid w:val="008C3E5C"/>
    <w:rsid w:val="008C5E2D"/>
    <w:rsid w:val="008D114A"/>
    <w:rsid w:val="008D768D"/>
    <w:rsid w:val="008E1315"/>
    <w:rsid w:val="008E3759"/>
    <w:rsid w:val="008E3BFE"/>
    <w:rsid w:val="008E4F1C"/>
    <w:rsid w:val="008E580E"/>
    <w:rsid w:val="008F10C7"/>
    <w:rsid w:val="008F1912"/>
    <w:rsid w:val="0090270B"/>
    <w:rsid w:val="00904013"/>
    <w:rsid w:val="009041DC"/>
    <w:rsid w:val="00904C8E"/>
    <w:rsid w:val="00917B5A"/>
    <w:rsid w:val="00920A58"/>
    <w:rsid w:val="00920A8C"/>
    <w:rsid w:val="00922E6C"/>
    <w:rsid w:val="00934A2C"/>
    <w:rsid w:val="00937EDB"/>
    <w:rsid w:val="0094529B"/>
    <w:rsid w:val="0094570A"/>
    <w:rsid w:val="0096697B"/>
    <w:rsid w:val="0096706E"/>
    <w:rsid w:val="009725F4"/>
    <w:rsid w:val="00973FAC"/>
    <w:rsid w:val="00974491"/>
    <w:rsid w:val="00975C4E"/>
    <w:rsid w:val="00981FBA"/>
    <w:rsid w:val="00990498"/>
    <w:rsid w:val="00997BC5"/>
    <w:rsid w:val="009A22B2"/>
    <w:rsid w:val="009A4F41"/>
    <w:rsid w:val="009A5FF0"/>
    <w:rsid w:val="009B381B"/>
    <w:rsid w:val="009C527B"/>
    <w:rsid w:val="009C6CB7"/>
    <w:rsid w:val="009D1753"/>
    <w:rsid w:val="009D7611"/>
    <w:rsid w:val="009E0B61"/>
    <w:rsid w:val="009E41D6"/>
    <w:rsid w:val="009E4EC3"/>
    <w:rsid w:val="009E53DE"/>
    <w:rsid w:val="009F314C"/>
    <w:rsid w:val="00A00BF6"/>
    <w:rsid w:val="00A11212"/>
    <w:rsid w:val="00A11E44"/>
    <w:rsid w:val="00A20002"/>
    <w:rsid w:val="00A24BFA"/>
    <w:rsid w:val="00A30100"/>
    <w:rsid w:val="00A30D88"/>
    <w:rsid w:val="00A322E4"/>
    <w:rsid w:val="00A328B3"/>
    <w:rsid w:val="00A3454F"/>
    <w:rsid w:val="00A45B39"/>
    <w:rsid w:val="00A50FCF"/>
    <w:rsid w:val="00A528D1"/>
    <w:rsid w:val="00A60826"/>
    <w:rsid w:val="00A610CD"/>
    <w:rsid w:val="00A65011"/>
    <w:rsid w:val="00A657D0"/>
    <w:rsid w:val="00A758AA"/>
    <w:rsid w:val="00A77712"/>
    <w:rsid w:val="00A850E6"/>
    <w:rsid w:val="00A861CD"/>
    <w:rsid w:val="00A865AF"/>
    <w:rsid w:val="00A93C5B"/>
    <w:rsid w:val="00AA09A2"/>
    <w:rsid w:val="00AA7996"/>
    <w:rsid w:val="00AB2DCE"/>
    <w:rsid w:val="00AC19CB"/>
    <w:rsid w:val="00AC244D"/>
    <w:rsid w:val="00AC75CA"/>
    <w:rsid w:val="00AD489F"/>
    <w:rsid w:val="00AE0953"/>
    <w:rsid w:val="00AE5488"/>
    <w:rsid w:val="00AE6F91"/>
    <w:rsid w:val="00AF5571"/>
    <w:rsid w:val="00AF5D74"/>
    <w:rsid w:val="00B00B8E"/>
    <w:rsid w:val="00B07341"/>
    <w:rsid w:val="00B261A9"/>
    <w:rsid w:val="00B30539"/>
    <w:rsid w:val="00B314DB"/>
    <w:rsid w:val="00B318C1"/>
    <w:rsid w:val="00B33154"/>
    <w:rsid w:val="00B361F2"/>
    <w:rsid w:val="00B3718B"/>
    <w:rsid w:val="00B3745F"/>
    <w:rsid w:val="00B45E23"/>
    <w:rsid w:val="00B46185"/>
    <w:rsid w:val="00B4632A"/>
    <w:rsid w:val="00B522AF"/>
    <w:rsid w:val="00B530F1"/>
    <w:rsid w:val="00B56C46"/>
    <w:rsid w:val="00B634F5"/>
    <w:rsid w:val="00B650D3"/>
    <w:rsid w:val="00B72A9A"/>
    <w:rsid w:val="00B767C7"/>
    <w:rsid w:val="00B85277"/>
    <w:rsid w:val="00B86627"/>
    <w:rsid w:val="00BA0CBA"/>
    <w:rsid w:val="00BA276C"/>
    <w:rsid w:val="00BA5484"/>
    <w:rsid w:val="00BB265C"/>
    <w:rsid w:val="00BB306F"/>
    <w:rsid w:val="00BB79D4"/>
    <w:rsid w:val="00BD49A4"/>
    <w:rsid w:val="00BD4B89"/>
    <w:rsid w:val="00BD5922"/>
    <w:rsid w:val="00BD5FD2"/>
    <w:rsid w:val="00BE2B0C"/>
    <w:rsid w:val="00BE646F"/>
    <w:rsid w:val="00BF02CB"/>
    <w:rsid w:val="00BF1898"/>
    <w:rsid w:val="00BF6FD8"/>
    <w:rsid w:val="00C01F53"/>
    <w:rsid w:val="00C03680"/>
    <w:rsid w:val="00C054DF"/>
    <w:rsid w:val="00C14BD4"/>
    <w:rsid w:val="00C216A0"/>
    <w:rsid w:val="00C21762"/>
    <w:rsid w:val="00C21FEF"/>
    <w:rsid w:val="00C23BA4"/>
    <w:rsid w:val="00C24543"/>
    <w:rsid w:val="00C256A2"/>
    <w:rsid w:val="00C25ADB"/>
    <w:rsid w:val="00C2623F"/>
    <w:rsid w:val="00C35693"/>
    <w:rsid w:val="00C432EC"/>
    <w:rsid w:val="00C51515"/>
    <w:rsid w:val="00C549EF"/>
    <w:rsid w:val="00C5660B"/>
    <w:rsid w:val="00C6279E"/>
    <w:rsid w:val="00C66B72"/>
    <w:rsid w:val="00C70198"/>
    <w:rsid w:val="00C72A01"/>
    <w:rsid w:val="00C80DA0"/>
    <w:rsid w:val="00C8540B"/>
    <w:rsid w:val="00C87AC4"/>
    <w:rsid w:val="00C9491D"/>
    <w:rsid w:val="00C9567A"/>
    <w:rsid w:val="00CA499E"/>
    <w:rsid w:val="00CB212D"/>
    <w:rsid w:val="00CB2660"/>
    <w:rsid w:val="00CC5E90"/>
    <w:rsid w:val="00CD046C"/>
    <w:rsid w:val="00CE076C"/>
    <w:rsid w:val="00CE5199"/>
    <w:rsid w:val="00CE66D5"/>
    <w:rsid w:val="00CF41C4"/>
    <w:rsid w:val="00CF637A"/>
    <w:rsid w:val="00D059DE"/>
    <w:rsid w:val="00D05ABD"/>
    <w:rsid w:val="00D06F66"/>
    <w:rsid w:val="00D074A4"/>
    <w:rsid w:val="00D13FCE"/>
    <w:rsid w:val="00D147D5"/>
    <w:rsid w:val="00D1541A"/>
    <w:rsid w:val="00D2102D"/>
    <w:rsid w:val="00D22F81"/>
    <w:rsid w:val="00D25BE9"/>
    <w:rsid w:val="00D306D1"/>
    <w:rsid w:val="00D30800"/>
    <w:rsid w:val="00D308D9"/>
    <w:rsid w:val="00D34786"/>
    <w:rsid w:val="00D34E24"/>
    <w:rsid w:val="00D37BFC"/>
    <w:rsid w:val="00D44492"/>
    <w:rsid w:val="00D47A8E"/>
    <w:rsid w:val="00D51F10"/>
    <w:rsid w:val="00D52D14"/>
    <w:rsid w:val="00D535A0"/>
    <w:rsid w:val="00D712D3"/>
    <w:rsid w:val="00D71422"/>
    <w:rsid w:val="00D72DC6"/>
    <w:rsid w:val="00D7558D"/>
    <w:rsid w:val="00D81D92"/>
    <w:rsid w:val="00D848AC"/>
    <w:rsid w:val="00D876F9"/>
    <w:rsid w:val="00D87AE4"/>
    <w:rsid w:val="00D93608"/>
    <w:rsid w:val="00D9544F"/>
    <w:rsid w:val="00DA13A2"/>
    <w:rsid w:val="00DA23D4"/>
    <w:rsid w:val="00DA7B5F"/>
    <w:rsid w:val="00DC11E7"/>
    <w:rsid w:val="00DC24E3"/>
    <w:rsid w:val="00DC66BD"/>
    <w:rsid w:val="00DC7023"/>
    <w:rsid w:val="00DC769A"/>
    <w:rsid w:val="00DD3D86"/>
    <w:rsid w:val="00DD4AD2"/>
    <w:rsid w:val="00DE0342"/>
    <w:rsid w:val="00DF1EC4"/>
    <w:rsid w:val="00E0340B"/>
    <w:rsid w:val="00E04A90"/>
    <w:rsid w:val="00E0551F"/>
    <w:rsid w:val="00E219C7"/>
    <w:rsid w:val="00E25FDA"/>
    <w:rsid w:val="00E35861"/>
    <w:rsid w:val="00E4118C"/>
    <w:rsid w:val="00E43157"/>
    <w:rsid w:val="00E461CE"/>
    <w:rsid w:val="00E56DAB"/>
    <w:rsid w:val="00E56F4F"/>
    <w:rsid w:val="00E573E4"/>
    <w:rsid w:val="00E614FE"/>
    <w:rsid w:val="00E638D2"/>
    <w:rsid w:val="00E67981"/>
    <w:rsid w:val="00E71C69"/>
    <w:rsid w:val="00E720CA"/>
    <w:rsid w:val="00E84EB5"/>
    <w:rsid w:val="00E85662"/>
    <w:rsid w:val="00E87632"/>
    <w:rsid w:val="00E8789F"/>
    <w:rsid w:val="00E90BCF"/>
    <w:rsid w:val="00E96579"/>
    <w:rsid w:val="00E97B71"/>
    <w:rsid w:val="00EA3D34"/>
    <w:rsid w:val="00EB2FE4"/>
    <w:rsid w:val="00EB39D6"/>
    <w:rsid w:val="00EB454D"/>
    <w:rsid w:val="00ED549D"/>
    <w:rsid w:val="00ED76BE"/>
    <w:rsid w:val="00EE00E9"/>
    <w:rsid w:val="00EE247F"/>
    <w:rsid w:val="00EE57EB"/>
    <w:rsid w:val="00EE5E97"/>
    <w:rsid w:val="00EF04D5"/>
    <w:rsid w:val="00EF1AAA"/>
    <w:rsid w:val="00EF1E3A"/>
    <w:rsid w:val="00EF4225"/>
    <w:rsid w:val="00EF4A26"/>
    <w:rsid w:val="00EF560E"/>
    <w:rsid w:val="00EF619B"/>
    <w:rsid w:val="00F00B55"/>
    <w:rsid w:val="00F02AD1"/>
    <w:rsid w:val="00F04985"/>
    <w:rsid w:val="00F115A5"/>
    <w:rsid w:val="00F253CC"/>
    <w:rsid w:val="00F308F1"/>
    <w:rsid w:val="00F3260F"/>
    <w:rsid w:val="00F37106"/>
    <w:rsid w:val="00F43D1D"/>
    <w:rsid w:val="00F44E25"/>
    <w:rsid w:val="00F519CF"/>
    <w:rsid w:val="00F56BA5"/>
    <w:rsid w:val="00F57827"/>
    <w:rsid w:val="00F60E22"/>
    <w:rsid w:val="00F656EA"/>
    <w:rsid w:val="00F65FC7"/>
    <w:rsid w:val="00F81395"/>
    <w:rsid w:val="00F81BB8"/>
    <w:rsid w:val="00F87019"/>
    <w:rsid w:val="00F90C64"/>
    <w:rsid w:val="00F917D1"/>
    <w:rsid w:val="00F94965"/>
    <w:rsid w:val="00F9653B"/>
    <w:rsid w:val="00FA0C29"/>
    <w:rsid w:val="00FB276B"/>
    <w:rsid w:val="00FB62CF"/>
    <w:rsid w:val="00FC0324"/>
    <w:rsid w:val="00FD1EFB"/>
    <w:rsid w:val="00FD3C3B"/>
    <w:rsid w:val="00FD4A52"/>
    <w:rsid w:val="00FE07DD"/>
    <w:rsid w:val="00FE1F28"/>
    <w:rsid w:val="00FE6B45"/>
    <w:rsid w:val="00FF0BE3"/>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691772"/>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377E2B"/>
    <w:rPr>
      <w:sz w:val="16"/>
      <w:szCs w:val="16"/>
    </w:rPr>
  </w:style>
  <w:style w:type="paragraph" w:styleId="CommentText">
    <w:name w:val="annotation text"/>
    <w:basedOn w:val="Normal"/>
    <w:link w:val="CommentTextChar"/>
    <w:uiPriority w:val="99"/>
    <w:semiHidden/>
    <w:unhideWhenUsed/>
    <w:rsid w:val="00377E2B"/>
    <w:rPr>
      <w:sz w:val="20"/>
      <w:szCs w:val="20"/>
    </w:rPr>
  </w:style>
  <w:style w:type="character" w:customStyle="1" w:styleId="CommentTextChar">
    <w:name w:val="Comment Text Char"/>
    <w:basedOn w:val="DefaultParagraphFont"/>
    <w:link w:val="CommentText"/>
    <w:uiPriority w:val="99"/>
    <w:semiHidden/>
    <w:rsid w:val="00377E2B"/>
    <w:rPr>
      <w:lang w:val="en-US" w:eastAsia="en-US"/>
    </w:rPr>
  </w:style>
  <w:style w:type="paragraph" w:styleId="CommentSubject">
    <w:name w:val="annotation subject"/>
    <w:basedOn w:val="CommentText"/>
    <w:next w:val="CommentText"/>
    <w:link w:val="CommentSubjectChar"/>
    <w:uiPriority w:val="99"/>
    <w:semiHidden/>
    <w:unhideWhenUsed/>
    <w:rsid w:val="00377E2B"/>
    <w:rPr>
      <w:b/>
      <w:bCs/>
    </w:rPr>
  </w:style>
  <w:style w:type="character" w:customStyle="1" w:styleId="CommentSubjectChar">
    <w:name w:val="Comment Subject Char"/>
    <w:basedOn w:val="CommentTextChar"/>
    <w:link w:val="CommentSubject"/>
    <w:uiPriority w:val="99"/>
    <w:semiHidden/>
    <w:rsid w:val="00377E2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5858">
      <w:bodyDiv w:val="1"/>
      <w:marLeft w:val="0"/>
      <w:marRight w:val="0"/>
      <w:marTop w:val="0"/>
      <w:marBottom w:val="0"/>
      <w:divBdr>
        <w:top w:val="none" w:sz="0" w:space="0" w:color="auto"/>
        <w:left w:val="none" w:sz="0" w:space="0" w:color="auto"/>
        <w:bottom w:val="none" w:sz="0" w:space="0" w:color="auto"/>
        <w:right w:val="none" w:sz="0" w:space="0" w:color="auto"/>
      </w:divBdr>
    </w:div>
    <w:div w:id="7927917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0F8106C6B41A68AE460B6FEC61D9E"/>
        <w:category>
          <w:name w:val="General"/>
          <w:gallery w:val="placeholder"/>
        </w:category>
        <w:types>
          <w:type w:val="bbPlcHdr"/>
        </w:types>
        <w:behaviors>
          <w:behavior w:val="content"/>
        </w:behaviors>
        <w:guid w:val="{6FCB8C91-27C2-4356-B439-70F4E7CF422A}"/>
      </w:docPartPr>
      <w:docPartBody>
        <w:p w:rsidR="00C35B5F" w:rsidRDefault="00C35B5F" w:rsidP="00C35B5F">
          <w:pPr>
            <w:pStyle w:val="6F10F8106C6B41A68AE460B6FEC61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B15F2"/>
    <w:rsid w:val="00194326"/>
    <w:rsid w:val="00200821"/>
    <w:rsid w:val="0025245B"/>
    <w:rsid w:val="002C52A7"/>
    <w:rsid w:val="00394049"/>
    <w:rsid w:val="00492FF4"/>
    <w:rsid w:val="004B5BBB"/>
    <w:rsid w:val="004F2DF8"/>
    <w:rsid w:val="00555DD5"/>
    <w:rsid w:val="005769E7"/>
    <w:rsid w:val="00604467"/>
    <w:rsid w:val="00666399"/>
    <w:rsid w:val="006F24A1"/>
    <w:rsid w:val="007B051A"/>
    <w:rsid w:val="00897567"/>
    <w:rsid w:val="009A261B"/>
    <w:rsid w:val="00AA2E17"/>
    <w:rsid w:val="00AC15A4"/>
    <w:rsid w:val="00B0336C"/>
    <w:rsid w:val="00B17E31"/>
    <w:rsid w:val="00C35B5F"/>
    <w:rsid w:val="00C67075"/>
    <w:rsid w:val="00C708B7"/>
    <w:rsid w:val="00D241E9"/>
    <w:rsid w:val="00D322EB"/>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5F"/>
    <w:rPr>
      <w:color w:val="808080"/>
    </w:rPr>
  </w:style>
  <w:style w:type="paragraph" w:customStyle="1" w:styleId="6F10F8106C6B41A68AE460B6FEC61D9E">
    <w:name w:val="6F10F8106C6B41A68AE460B6FEC61D9E"/>
    <w:rsid w:val="00C35B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FBABF-CDAA-4A66-B9F1-DBC0171F0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3992</Words>
  <Characters>22759</Characters>
  <Application>Microsoft Office Word</Application>
  <DocSecurity>0</DocSecurity>
  <Lines>189</Lines>
  <Paragraphs>53</Paragraphs>
  <ScaleCrop>false</ScaleCrop>
  <Company/>
  <LinksUpToDate>false</LinksUpToDate>
  <CharactersWithSpaces>26698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241/21</dc:title>
  <dc:creator/>
  <cp:lastModifiedBy/>
  <cp:revision>1</cp:revision>
  <dcterms:created xsi:type="dcterms:W3CDTF">2021-10-14T18:59:00Z</dcterms:created>
  <dcterms:modified xsi:type="dcterms:W3CDTF">2021-10-14T19:00:00Z</dcterms:modified>
</cp:coreProperties>
</file>