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61BD6269" w14:textId="77777777" w:rsidR="000673D0" w:rsidRPr="00B966F6" w:rsidRDefault="000673D0" w:rsidP="00B966F6">
      <w:pPr>
        <w:jc w:val="both"/>
        <w:rPr>
          <w:rFonts w:ascii="Cambria" w:hAnsi="Cambria" w:cs="Univers"/>
          <w:b/>
          <w:bCs/>
          <w:sz w:val="20"/>
          <w:szCs w:val="20"/>
          <w:lang w:val="es-ES_tradnl"/>
        </w:rPr>
      </w:pPr>
      <w:r w:rsidRPr="00B966F6">
        <w:rPr>
          <w:rFonts w:ascii="Cambria" w:hAnsi="Cambria"/>
          <w:noProof/>
          <w:sz w:val="20"/>
          <w:szCs w:val="20"/>
        </w:rPr>
        <mc:AlternateContent>
          <mc:Choice Requires="wps">
            <w:drawing>
              <wp:anchor distT="0" distB="0" distL="114300" distR="114300" simplePos="0" relativeHeight="251659264" behindDoc="0" locked="0" layoutInCell="1" allowOverlap="1" wp14:anchorId="400E6E85" wp14:editId="04B2C54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58D29F1" id="Rectangle 1" o:spid="_x0000_s1026"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Pr="00B966F6">
        <w:rPr>
          <w:rFonts w:ascii="Cambria" w:hAnsi="Cambria"/>
          <w:noProof/>
          <w:sz w:val="20"/>
          <w:szCs w:val="20"/>
        </w:rPr>
        <mc:AlternateContent>
          <mc:Choice Requires="wps">
            <w:drawing>
              <wp:anchor distT="0" distB="0" distL="114300" distR="114300" simplePos="0" relativeHeight="251663360" behindDoc="0" locked="0" layoutInCell="1" allowOverlap="1" wp14:anchorId="5946E9EA" wp14:editId="1088ADE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26BCBE" w14:textId="77777777" w:rsidR="009C527B" w:rsidRDefault="009C527B" w:rsidP="000673D0">
                            <w:r>
                              <w:rPr>
                                <w:noProof/>
                              </w:rPr>
                              <w:drawing>
                                <wp:inline distT="0" distB="0" distL="0" distR="0" wp14:anchorId="7B23956B" wp14:editId="1F2826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946E9E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A26BCBE" w14:textId="77777777" w:rsidR="009C527B" w:rsidRDefault="009C527B" w:rsidP="000673D0">
                      <w:r>
                        <w:rPr>
                          <w:noProof/>
                        </w:rPr>
                        <w:drawing>
                          <wp:inline distT="0" distB="0" distL="0" distR="0" wp14:anchorId="7B23956B" wp14:editId="1F2826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Pr="00B966F6">
        <w:rPr>
          <w:rFonts w:ascii="Cambria" w:hAnsi="Cambria" w:cs="Univers"/>
          <w:b/>
          <w:bCs/>
          <w:sz w:val="20"/>
          <w:szCs w:val="20"/>
          <w:lang w:val="es-ES_tradnl"/>
        </w:rPr>
        <w:t xml:space="preserve"> </w:t>
      </w:r>
    </w:p>
    <w:p w14:paraId="397534B4" w14:textId="77777777" w:rsidR="000673D0" w:rsidRPr="00B966F6" w:rsidRDefault="000673D0" w:rsidP="00B966F6">
      <w:pPr>
        <w:tabs>
          <w:tab w:val="center" w:pos="5400"/>
        </w:tabs>
        <w:suppressAutoHyphens/>
        <w:jc w:val="both"/>
        <w:rPr>
          <w:rFonts w:ascii="Cambria" w:hAnsi="Cambria"/>
          <w:sz w:val="20"/>
          <w:szCs w:val="20"/>
          <w:lang w:val="es-ES"/>
        </w:rPr>
      </w:pPr>
    </w:p>
    <w:p w14:paraId="6073C012" w14:textId="77777777" w:rsidR="000673D0" w:rsidRPr="00B966F6" w:rsidRDefault="000673D0" w:rsidP="00B966F6">
      <w:pPr>
        <w:tabs>
          <w:tab w:val="center" w:pos="5400"/>
        </w:tabs>
        <w:suppressAutoHyphens/>
        <w:jc w:val="both"/>
        <w:rPr>
          <w:rFonts w:ascii="Cambria" w:hAnsi="Cambria"/>
          <w:sz w:val="20"/>
          <w:szCs w:val="20"/>
          <w:lang w:val="es-ES"/>
        </w:rPr>
      </w:pPr>
    </w:p>
    <w:p w14:paraId="539C54D8" w14:textId="77777777" w:rsidR="000673D0" w:rsidRPr="00B966F6" w:rsidRDefault="000673D0" w:rsidP="00B966F6">
      <w:pPr>
        <w:tabs>
          <w:tab w:val="center" w:pos="5400"/>
        </w:tabs>
        <w:suppressAutoHyphens/>
        <w:rPr>
          <w:rFonts w:ascii="Cambria" w:hAnsi="Cambria"/>
          <w:sz w:val="20"/>
          <w:szCs w:val="20"/>
          <w:lang w:val="es-ES_tradnl"/>
        </w:rPr>
      </w:pPr>
    </w:p>
    <w:p w14:paraId="2F6FC84C" w14:textId="77777777" w:rsidR="000673D0" w:rsidRPr="00B966F6" w:rsidRDefault="000673D0" w:rsidP="00B966F6">
      <w:pPr>
        <w:tabs>
          <w:tab w:val="center" w:pos="5400"/>
        </w:tabs>
        <w:suppressAutoHyphens/>
        <w:rPr>
          <w:rFonts w:ascii="Cambria" w:hAnsi="Cambria"/>
          <w:sz w:val="20"/>
          <w:szCs w:val="20"/>
          <w:lang w:val="es-ES_tradnl"/>
        </w:rPr>
      </w:pPr>
    </w:p>
    <w:p w14:paraId="6E63DFAD" w14:textId="77777777" w:rsidR="000673D0" w:rsidRPr="00B966F6" w:rsidRDefault="000673D0" w:rsidP="00B966F6">
      <w:pPr>
        <w:tabs>
          <w:tab w:val="center" w:pos="5400"/>
        </w:tabs>
        <w:suppressAutoHyphens/>
        <w:rPr>
          <w:rFonts w:ascii="Cambria" w:hAnsi="Cambria"/>
          <w:sz w:val="20"/>
          <w:szCs w:val="20"/>
          <w:lang w:val="es-ES_tradnl"/>
        </w:rPr>
      </w:pPr>
    </w:p>
    <w:p w14:paraId="0888E869" w14:textId="77777777" w:rsidR="000673D0" w:rsidRPr="00B966F6" w:rsidRDefault="000673D0" w:rsidP="00B966F6">
      <w:pPr>
        <w:tabs>
          <w:tab w:val="center" w:pos="5400"/>
        </w:tabs>
        <w:suppressAutoHyphens/>
        <w:jc w:val="center"/>
        <w:rPr>
          <w:rFonts w:ascii="Cambria" w:hAnsi="Cambria"/>
          <w:sz w:val="20"/>
          <w:szCs w:val="20"/>
          <w:lang w:val="es-ES_tradnl"/>
        </w:rPr>
      </w:pPr>
    </w:p>
    <w:p w14:paraId="0748C1AA" w14:textId="77777777" w:rsidR="000673D0" w:rsidRPr="00B966F6" w:rsidRDefault="000673D0" w:rsidP="00B966F6">
      <w:pPr>
        <w:tabs>
          <w:tab w:val="center" w:pos="5400"/>
        </w:tabs>
        <w:suppressAutoHyphens/>
        <w:jc w:val="center"/>
        <w:rPr>
          <w:rFonts w:ascii="Cambria" w:hAnsi="Cambria"/>
          <w:sz w:val="20"/>
          <w:szCs w:val="20"/>
          <w:lang w:val="es-ES_tradnl"/>
        </w:rPr>
      </w:pPr>
    </w:p>
    <w:p w14:paraId="0D3A4F1B" w14:textId="77777777" w:rsidR="000673D0" w:rsidRPr="00B966F6" w:rsidRDefault="000673D0" w:rsidP="00B966F6">
      <w:pPr>
        <w:tabs>
          <w:tab w:val="center" w:pos="5400"/>
        </w:tabs>
        <w:suppressAutoHyphens/>
        <w:jc w:val="center"/>
        <w:rPr>
          <w:rFonts w:ascii="Cambria" w:hAnsi="Cambria"/>
          <w:sz w:val="20"/>
          <w:szCs w:val="20"/>
          <w:lang w:val="es-ES_tradnl"/>
        </w:rPr>
      </w:pPr>
    </w:p>
    <w:p w14:paraId="10F98911" w14:textId="77777777" w:rsidR="000673D0" w:rsidRPr="00B966F6" w:rsidRDefault="000673D0" w:rsidP="00B966F6">
      <w:pPr>
        <w:tabs>
          <w:tab w:val="center" w:pos="5400"/>
        </w:tabs>
        <w:suppressAutoHyphens/>
        <w:jc w:val="center"/>
        <w:rPr>
          <w:rFonts w:ascii="Cambria" w:hAnsi="Cambria"/>
          <w:sz w:val="20"/>
          <w:szCs w:val="20"/>
          <w:lang w:val="es-ES_tradnl"/>
        </w:rPr>
      </w:pPr>
    </w:p>
    <w:p w14:paraId="500C04E0" w14:textId="77777777" w:rsidR="000673D0" w:rsidRPr="00B966F6" w:rsidRDefault="000673D0" w:rsidP="00B966F6">
      <w:pPr>
        <w:tabs>
          <w:tab w:val="center" w:pos="5400"/>
        </w:tabs>
        <w:suppressAutoHyphens/>
        <w:jc w:val="center"/>
        <w:rPr>
          <w:rFonts w:ascii="Cambria" w:hAnsi="Cambria"/>
          <w:sz w:val="20"/>
          <w:szCs w:val="20"/>
          <w:lang w:val="es-ES_tradnl"/>
        </w:rPr>
      </w:pPr>
    </w:p>
    <w:p w14:paraId="7823EBF3" w14:textId="77777777" w:rsidR="000673D0" w:rsidRPr="00B966F6" w:rsidRDefault="000673D0" w:rsidP="00B966F6">
      <w:pPr>
        <w:tabs>
          <w:tab w:val="center" w:pos="5400"/>
        </w:tabs>
        <w:suppressAutoHyphens/>
        <w:jc w:val="center"/>
        <w:rPr>
          <w:rFonts w:ascii="Cambria" w:hAnsi="Cambria"/>
          <w:sz w:val="20"/>
          <w:szCs w:val="20"/>
          <w:lang w:val="es-ES_tradnl"/>
        </w:rPr>
      </w:pPr>
    </w:p>
    <w:p w14:paraId="151FBCAB" w14:textId="77777777" w:rsidR="000673D0" w:rsidRPr="00B966F6" w:rsidRDefault="000673D0" w:rsidP="00B966F6">
      <w:pPr>
        <w:tabs>
          <w:tab w:val="center" w:pos="5400"/>
        </w:tabs>
        <w:suppressAutoHyphens/>
        <w:jc w:val="center"/>
        <w:rPr>
          <w:rFonts w:ascii="Cambria" w:hAnsi="Cambria"/>
          <w:sz w:val="20"/>
          <w:szCs w:val="20"/>
          <w:lang w:val="es-ES_tradnl"/>
        </w:rPr>
      </w:pPr>
    </w:p>
    <w:p w14:paraId="7D95BB77" w14:textId="77777777" w:rsidR="000673D0" w:rsidRPr="00B966F6" w:rsidRDefault="000673D0" w:rsidP="00B966F6">
      <w:pPr>
        <w:tabs>
          <w:tab w:val="center" w:pos="5400"/>
        </w:tabs>
        <w:suppressAutoHyphens/>
        <w:jc w:val="center"/>
        <w:rPr>
          <w:rFonts w:ascii="Cambria" w:hAnsi="Cambria"/>
          <w:sz w:val="20"/>
          <w:szCs w:val="20"/>
          <w:lang w:val="es-ES_tradnl"/>
        </w:rPr>
      </w:pPr>
      <w:r w:rsidRPr="00B966F6">
        <w:rPr>
          <w:rFonts w:ascii="Cambria" w:hAnsi="Cambria"/>
          <w:noProof/>
          <w:sz w:val="20"/>
          <w:szCs w:val="20"/>
        </w:rPr>
        <mc:AlternateContent>
          <mc:Choice Requires="wps">
            <w:drawing>
              <wp:anchor distT="0" distB="0" distL="114300" distR="114300" simplePos="0" relativeHeight="251660288" behindDoc="0" locked="0" layoutInCell="1" allowOverlap="1" wp14:anchorId="6683F5A4" wp14:editId="6F739168">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50532B" w14:textId="6EB4A65B" w:rsidR="009C527B" w:rsidRPr="004E2649" w:rsidRDefault="009C527B" w:rsidP="000673D0">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FB1FFB">
                              <w:rPr>
                                <w:rFonts w:asciiTheme="majorHAnsi" w:hAnsiTheme="majorHAnsi" w:cs="Arial"/>
                                <w:b/>
                                <w:bCs/>
                                <w:color w:val="0D0D0D" w:themeColor="text1" w:themeTint="F2"/>
                                <w:sz w:val="36"/>
                                <w:szCs w:val="22"/>
                                <w:lang w:val="es-ES_tradnl"/>
                              </w:rPr>
                              <w:t>119</w:t>
                            </w:r>
                            <w:r>
                              <w:rPr>
                                <w:rFonts w:asciiTheme="majorHAnsi" w:hAnsiTheme="majorHAnsi" w:cs="Arial"/>
                                <w:b/>
                                <w:bCs/>
                                <w:color w:val="0D0D0D" w:themeColor="text1" w:themeTint="F2"/>
                                <w:sz w:val="36"/>
                                <w:szCs w:val="22"/>
                                <w:lang w:val="es-ES_tradnl"/>
                              </w:rPr>
                              <w:t>/2</w:t>
                            </w:r>
                            <w:r w:rsidR="00FB1FFB">
                              <w:rPr>
                                <w:rFonts w:asciiTheme="majorHAnsi" w:hAnsiTheme="majorHAnsi" w:cs="Arial"/>
                                <w:b/>
                                <w:bCs/>
                                <w:color w:val="0D0D0D" w:themeColor="text1" w:themeTint="F2"/>
                                <w:sz w:val="36"/>
                                <w:szCs w:val="22"/>
                                <w:lang w:val="es-ES_tradnl"/>
                              </w:rPr>
                              <w:t>1</w:t>
                            </w:r>
                          </w:p>
                          <w:p w14:paraId="5626D0A4" w14:textId="0B6AC9F3" w:rsidR="009C527B" w:rsidRPr="00D85CEC" w:rsidRDefault="009C527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D85CEC">
                              <w:rPr>
                                <w:rFonts w:ascii="Cambria" w:hAnsi="Cambria" w:cs="Arial"/>
                                <w:b/>
                                <w:color w:val="0D0D0D"/>
                                <w:sz w:val="36"/>
                                <w:szCs w:val="22"/>
                                <w:lang w:val="es-ES_tradnl"/>
                              </w:rPr>
                              <w:t xml:space="preserve">PETICIÓN </w:t>
                            </w:r>
                            <w:r>
                              <w:rPr>
                                <w:rFonts w:ascii="Cambria" w:hAnsi="Cambria" w:cs="Arial"/>
                                <w:b/>
                                <w:color w:val="0D0D0D"/>
                                <w:sz w:val="36"/>
                                <w:szCs w:val="22"/>
                                <w:lang w:val="es-ES_tradnl"/>
                              </w:rPr>
                              <w:t>847-09</w:t>
                            </w:r>
                            <w:r w:rsidRPr="00D85CEC">
                              <w:rPr>
                                <w:rFonts w:ascii="Cambria" w:hAnsi="Cambria" w:cs="Arial"/>
                                <w:b/>
                                <w:color w:val="0D0D0D"/>
                                <w:sz w:val="36"/>
                                <w:szCs w:val="22"/>
                                <w:lang w:val="es-ES_tradnl"/>
                              </w:rPr>
                              <w:t xml:space="preserve"> </w:t>
                            </w:r>
                          </w:p>
                          <w:p w14:paraId="2A1EFAA5" w14:textId="77777777" w:rsidR="009C527B" w:rsidRPr="00D85CEC" w:rsidRDefault="009C527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D85CEC">
                              <w:rPr>
                                <w:rFonts w:ascii="Cambria" w:hAnsi="Cambria" w:cs="Arial"/>
                                <w:color w:val="0D0D0D"/>
                                <w:szCs w:val="22"/>
                                <w:lang w:val="es-ES_tradnl"/>
                              </w:rPr>
                              <w:t xml:space="preserve">INFORME DE ADMISIBILIDAD </w:t>
                            </w:r>
                          </w:p>
                          <w:p w14:paraId="01826855" w14:textId="77777777" w:rsidR="009C527B" w:rsidRPr="00D85CEC" w:rsidRDefault="009C527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1" w:name="_ftnref1"/>
                          </w:p>
                          <w:p w14:paraId="02E936EF" w14:textId="62C8DE1F" w:rsidR="009C527B" w:rsidRPr="00EF4A26" w:rsidRDefault="009C527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PA"/>
                              </w:rPr>
                            </w:pPr>
                            <w:r>
                              <w:rPr>
                                <w:rFonts w:ascii="Cambria" w:hAnsi="Cambria" w:cs="Arial"/>
                                <w:color w:val="0D0D0D"/>
                                <w:szCs w:val="22"/>
                                <w:lang w:val="es-ES_tradnl"/>
                              </w:rPr>
                              <w:t>JES</w:t>
                            </w:r>
                            <w:r>
                              <w:rPr>
                                <w:rFonts w:ascii="Cambria" w:hAnsi="Cambria" w:cs="Arial"/>
                                <w:color w:val="0D0D0D"/>
                                <w:szCs w:val="22"/>
                                <w:lang w:val="es-PA"/>
                              </w:rPr>
                              <w:t>ÚS SALVADOR HERNÁNDEZ Y OTROS</w:t>
                            </w:r>
                          </w:p>
                          <w:bookmarkEnd w:id="1"/>
                          <w:p w14:paraId="47ED2F30" w14:textId="77777777" w:rsidR="009C527B" w:rsidRPr="00D85CEC" w:rsidRDefault="009C527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D85CEC">
                              <w:rPr>
                                <w:rFonts w:ascii="Cambria" w:hAnsi="Cambria" w:cs="Arial"/>
                                <w:color w:val="0D0D0D"/>
                                <w:szCs w:val="22"/>
                                <w:lang w:val="es-ES_tradnl"/>
                              </w:rPr>
                              <w:t>COLOMBIA</w:t>
                            </w:r>
                          </w:p>
                          <w:p w14:paraId="6D9AEAC1" w14:textId="77777777" w:rsidR="009C527B" w:rsidRPr="00B966F6" w:rsidRDefault="009C527B" w:rsidP="000673D0">
                            <w:pPr>
                              <w:rPr>
                                <w:color w:val="0D0D0D" w:themeColor="text1" w:themeTint="F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683F5A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6250532B" w14:textId="6EB4A65B" w:rsidR="009C527B" w:rsidRPr="004E2649" w:rsidRDefault="009C527B" w:rsidP="000673D0">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FB1FFB">
                        <w:rPr>
                          <w:rFonts w:asciiTheme="majorHAnsi" w:hAnsiTheme="majorHAnsi" w:cs="Arial"/>
                          <w:b/>
                          <w:bCs/>
                          <w:color w:val="0D0D0D" w:themeColor="text1" w:themeTint="F2"/>
                          <w:sz w:val="36"/>
                          <w:szCs w:val="22"/>
                          <w:lang w:val="es-ES_tradnl"/>
                        </w:rPr>
                        <w:t>119</w:t>
                      </w:r>
                      <w:r>
                        <w:rPr>
                          <w:rFonts w:asciiTheme="majorHAnsi" w:hAnsiTheme="majorHAnsi" w:cs="Arial"/>
                          <w:b/>
                          <w:bCs/>
                          <w:color w:val="0D0D0D" w:themeColor="text1" w:themeTint="F2"/>
                          <w:sz w:val="36"/>
                          <w:szCs w:val="22"/>
                          <w:lang w:val="es-ES_tradnl"/>
                        </w:rPr>
                        <w:t>/2</w:t>
                      </w:r>
                      <w:r w:rsidR="00FB1FFB">
                        <w:rPr>
                          <w:rFonts w:asciiTheme="majorHAnsi" w:hAnsiTheme="majorHAnsi" w:cs="Arial"/>
                          <w:b/>
                          <w:bCs/>
                          <w:color w:val="0D0D0D" w:themeColor="text1" w:themeTint="F2"/>
                          <w:sz w:val="36"/>
                          <w:szCs w:val="22"/>
                          <w:lang w:val="es-ES_tradnl"/>
                        </w:rPr>
                        <w:t>1</w:t>
                      </w:r>
                    </w:p>
                    <w:p w14:paraId="5626D0A4" w14:textId="0B6AC9F3" w:rsidR="009C527B" w:rsidRPr="00D85CEC" w:rsidRDefault="009C527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D85CEC">
                        <w:rPr>
                          <w:rFonts w:ascii="Cambria" w:hAnsi="Cambria" w:cs="Arial"/>
                          <w:b/>
                          <w:color w:val="0D0D0D"/>
                          <w:sz w:val="36"/>
                          <w:szCs w:val="22"/>
                          <w:lang w:val="es-ES_tradnl"/>
                        </w:rPr>
                        <w:t xml:space="preserve">PETICIÓN </w:t>
                      </w:r>
                      <w:r>
                        <w:rPr>
                          <w:rFonts w:ascii="Cambria" w:hAnsi="Cambria" w:cs="Arial"/>
                          <w:b/>
                          <w:color w:val="0D0D0D"/>
                          <w:sz w:val="36"/>
                          <w:szCs w:val="22"/>
                          <w:lang w:val="es-ES_tradnl"/>
                        </w:rPr>
                        <w:t>847-09</w:t>
                      </w:r>
                      <w:r w:rsidRPr="00D85CEC">
                        <w:rPr>
                          <w:rFonts w:ascii="Cambria" w:hAnsi="Cambria" w:cs="Arial"/>
                          <w:b/>
                          <w:color w:val="0D0D0D"/>
                          <w:sz w:val="36"/>
                          <w:szCs w:val="22"/>
                          <w:lang w:val="es-ES_tradnl"/>
                        </w:rPr>
                        <w:t xml:space="preserve"> </w:t>
                      </w:r>
                    </w:p>
                    <w:p w14:paraId="2A1EFAA5" w14:textId="77777777" w:rsidR="009C527B" w:rsidRPr="00D85CEC" w:rsidRDefault="009C527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D85CEC">
                        <w:rPr>
                          <w:rFonts w:ascii="Cambria" w:hAnsi="Cambria" w:cs="Arial"/>
                          <w:color w:val="0D0D0D"/>
                          <w:szCs w:val="22"/>
                          <w:lang w:val="es-ES_tradnl"/>
                        </w:rPr>
                        <w:t xml:space="preserve">INFORME DE ADMISIBILIDAD </w:t>
                      </w:r>
                    </w:p>
                    <w:p w14:paraId="01826855" w14:textId="77777777" w:rsidR="009C527B" w:rsidRPr="00D85CEC" w:rsidRDefault="009C527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1" w:name="_ftnref1"/>
                    </w:p>
                    <w:p w14:paraId="02E936EF" w14:textId="62C8DE1F" w:rsidR="009C527B" w:rsidRPr="00EF4A26" w:rsidRDefault="009C527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PA"/>
                        </w:rPr>
                      </w:pPr>
                      <w:r>
                        <w:rPr>
                          <w:rFonts w:ascii="Cambria" w:hAnsi="Cambria" w:cs="Arial"/>
                          <w:color w:val="0D0D0D"/>
                          <w:szCs w:val="22"/>
                          <w:lang w:val="es-ES_tradnl"/>
                        </w:rPr>
                        <w:t>JES</w:t>
                      </w:r>
                      <w:r>
                        <w:rPr>
                          <w:rFonts w:ascii="Cambria" w:hAnsi="Cambria" w:cs="Arial"/>
                          <w:color w:val="0D0D0D"/>
                          <w:szCs w:val="22"/>
                          <w:lang w:val="es-PA"/>
                        </w:rPr>
                        <w:t>ÚS SALVADOR HERNÁNDEZ Y OTROS</w:t>
                      </w:r>
                    </w:p>
                    <w:bookmarkEnd w:id="1"/>
                    <w:p w14:paraId="47ED2F30" w14:textId="77777777" w:rsidR="009C527B" w:rsidRPr="00D85CEC" w:rsidRDefault="009C527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D85CEC">
                        <w:rPr>
                          <w:rFonts w:ascii="Cambria" w:hAnsi="Cambria" w:cs="Arial"/>
                          <w:color w:val="0D0D0D"/>
                          <w:szCs w:val="22"/>
                          <w:lang w:val="es-ES_tradnl"/>
                        </w:rPr>
                        <w:t>COLOMBIA</w:t>
                      </w:r>
                    </w:p>
                    <w:p w14:paraId="6D9AEAC1" w14:textId="77777777" w:rsidR="009C527B" w:rsidRPr="00B966F6" w:rsidRDefault="009C527B" w:rsidP="000673D0">
                      <w:pPr>
                        <w:rPr>
                          <w:color w:val="0D0D0D" w:themeColor="text1" w:themeTint="F2"/>
                          <w:lang w:val="es-ES"/>
                        </w:rPr>
                      </w:pPr>
                    </w:p>
                  </w:txbxContent>
                </v:textbox>
              </v:shape>
            </w:pict>
          </mc:Fallback>
        </mc:AlternateContent>
      </w:r>
      <w:r w:rsidRPr="00B966F6">
        <w:rPr>
          <w:rFonts w:ascii="Cambria" w:hAnsi="Cambria"/>
          <w:noProof/>
          <w:sz w:val="20"/>
          <w:szCs w:val="20"/>
        </w:rPr>
        <mc:AlternateContent>
          <mc:Choice Requires="wps">
            <w:drawing>
              <wp:anchor distT="0" distB="0" distL="114300" distR="114300" simplePos="0" relativeHeight="251662336" behindDoc="0" locked="0" layoutInCell="1" allowOverlap="1" wp14:anchorId="3F9E3426" wp14:editId="334368E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2CE493" w14:textId="25604F1D" w:rsidR="009C527B" w:rsidRPr="004E2649" w:rsidRDefault="009C527B" w:rsidP="000673D0">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3449BBFC" w14:textId="748C1408" w:rsidR="009C527B" w:rsidRPr="00FB1FFB" w:rsidRDefault="009C527B" w:rsidP="000673D0">
                            <w:pPr>
                              <w:spacing w:line="276" w:lineRule="auto"/>
                              <w:jc w:val="right"/>
                              <w:rPr>
                                <w:rFonts w:asciiTheme="minorHAnsi" w:hAnsiTheme="minorHAnsi"/>
                                <w:color w:val="FFFFFF" w:themeColor="background1"/>
                                <w:sz w:val="22"/>
                                <w:lang w:val="es-419"/>
                              </w:rPr>
                            </w:pPr>
                            <w:r w:rsidRPr="00FB1FFB">
                              <w:rPr>
                                <w:rFonts w:asciiTheme="minorHAnsi" w:hAnsiTheme="minorHAnsi"/>
                                <w:color w:val="FFFFFF" w:themeColor="background1"/>
                                <w:sz w:val="22"/>
                                <w:lang w:val="es-419"/>
                              </w:rPr>
                              <w:t xml:space="preserve">Doc. </w:t>
                            </w:r>
                            <w:r w:rsidR="00FB1FFB">
                              <w:rPr>
                                <w:rFonts w:asciiTheme="minorHAnsi" w:hAnsiTheme="minorHAnsi"/>
                                <w:color w:val="FFFFFF" w:themeColor="background1"/>
                                <w:sz w:val="22"/>
                                <w:lang w:val="es-419"/>
                              </w:rPr>
                              <w:t>127</w:t>
                            </w:r>
                          </w:p>
                          <w:p w14:paraId="0BBD91A2" w14:textId="6D02BF7C" w:rsidR="009C527B" w:rsidRPr="00C25ADB" w:rsidRDefault="00FB1FFB" w:rsidP="000673D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13 junio</w:t>
                            </w:r>
                            <w:r w:rsidR="009C527B" w:rsidRPr="00C25ADB">
                              <w:rPr>
                                <w:rFonts w:asciiTheme="minorHAnsi" w:hAnsiTheme="minorHAnsi"/>
                                <w:color w:val="FFFFFF" w:themeColor="background1"/>
                                <w:sz w:val="22"/>
                                <w:lang w:val="es-PA"/>
                              </w:rPr>
                              <w:t xml:space="preserve"> 202</w:t>
                            </w:r>
                            <w:r>
                              <w:rPr>
                                <w:rFonts w:asciiTheme="minorHAnsi" w:hAnsiTheme="minorHAnsi"/>
                                <w:color w:val="FFFFFF" w:themeColor="background1"/>
                                <w:sz w:val="22"/>
                                <w:lang w:val="es-PA"/>
                              </w:rPr>
                              <w:t>1</w:t>
                            </w:r>
                          </w:p>
                          <w:p w14:paraId="0288BA97" w14:textId="77777777" w:rsidR="009C527B" w:rsidRPr="00C25ADB" w:rsidRDefault="009C527B" w:rsidP="000673D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9E3426" id="Text Box 8" o:spid="_x0000_s1028" type="#_x0000_t202" style="position:absolute;left:0;text-align:left;margin-left:-27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B2CE493" w14:textId="25604F1D" w:rsidR="009C527B" w:rsidRPr="004E2649" w:rsidRDefault="009C527B" w:rsidP="000673D0">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3449BBFC" w14:textId="748C1408" w:rsidR="009C527B" w:rsidRPr="00FB1FFB" w:rsidRDefault="009C527B" w:rsidP="000673D0">
                      <w:pPr>
                        <w:spacing w:line="276" w:lineRule="auto"/>
                        <w:jc w:val="right"/>
                        <w:rPr>
                          <w:rFonts w:asciiTheme="minorHAnsi" w:hAnsiTheme="minorHAnsi"/>
                          <w:color w:val="FFFFFF" w:themeColor="background1"/>
                          <w:sz w:val="22"/>
                          <w:lang w:val="es-419"/>
                        </w:rPr>
                      </w:pPr>
                      <w:r w:rsidRPr="00FB1FFB">
                        <w:rPr>
                          <w:rFonts w:asciiTheme="minorHAnsi" w:hAnsiTheme="minorHAnsi"/>
                          <w:color w:val="FFFFFF" w:themeColor="background1"/>
                          <w:sz w:val="22"/>
                          <w:lang w:val="es-419"/>
                        </w:rPr>
                        <w:t xml:space="preserve">Doc. </w:t>
                      </w:r>
                      <w:r w:rsidR="00FB1FFB">
                        <w:rPr>
                          <w:rFonts w:asciiTheme="minorHAnsi" w:hAnsiTheme="minorHAnsi"/>
                          <w:color w:val="FFFFFF" w:themeColor="background1"/>
                          <w:sz w:val="22"/>
                          <w:lang w:val="es-419"/>
                        </w:rPr>
                        <w:t>127</w:t>
                      </w:r>
                    </w:p>
                    <w:p w14:paraId="0BBD91A2" w14:textId="6D02BF7C" w:rsidR="009C527B" w:rsidRPr="00C25ADB" w:rsidRDefault="00FB1FFB" w:rsidP="000673D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13 junio</w:t>
                      </w:r>
                      <w:r w:rsidR="009C527B" w:rsidRPr="00C25ADB">
                        <w:rPr>
                          <w:rFonts w:asciiTheme="minorHAnsi" w:hAnsiTheme="minorHAnsi"/>
                          <w:color w:val="FFFFFF" w:themeColor="background1"/>
                          <w:sz w:val="22"/>
                          <w:lang w:val="es-PA"/>
                        </w:rPr>
                        <w:t xml:space="preserve"> 202</w:t>
                      </w:r>
                      <w:r>
                        <w:rPr>
                          <w:rFonts w:asciiTheme="minorHAnsi" w:hAnsiTheme="minorHAnsi"/>
                          <w:color w:val="FFFFFF" w:themeColor="background1"/>
                          <w:sz w:val="22"/>
                          <w:lang w:val="es-PA"/>
                        </w:rPr>
                        <w:t>1</w:t>
                      </w:r>
                    </w:p>
                    <w:p w14:paraId="0288BA97" w14:textId="77777777" w:rsidR="009C527B" w:rsidRPr="00C25ADB" w:rsidRDefault="009C527B" w:rsidP="000673D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7445D224" w14:textId="77777777" w:rsidR="000673D0" w:rsidRPr="00B966F6" w:rsidRDefault="000673D0" w:rsidP="00B966F6">
      <w:pPr>
        <w:tabs>
          <w:tab w:val="center" w:pos="5400"/>
        </w:tabs>
        <w:suppressAutoHyphens/>
        <w:jc w:val="center"/>
        <w:rPr>
          <w:rFonts w:ascii="Cambria" w:hAnsi="Cambria"/>
          <w:sz w:val="20"/>
          <w:szCs w:val="20"/>
          <w:lang w:val="es-ES_tradnl"/>
        </w:rPr>
      </w:pPr>
    </w:p>
    <w:p w14:paraId="359BB07B" w14:textId="77777777" w:rsidR="000673D0" w:rsidRPr="00B966F6" w:rsidRDefault="000673D0" w:rsidP="00B966F6">
      <w:pPr>
        <w:tabs>
          <w:tab w:val="center" w:pos="5400"/>
        </w:tabs>
        <w:suppressAutoHyphens/>
        <w:jc w:val="center"/>
        <w:rPr>
          <w:rFonts w:ascii="Cambria" w:hAnsi="Cambria"/>
          <w:sz w:val="20"/>
          <w:szCs w:val="20"/>
          <w:lang w:val="es-ES_tradnl"/>
        </w:rPr>
      </w:pPr>
    </w:p>
    <w:p w14:paraId="30CE2CD6" w14:textId="77777777" w:rsidR="000673D0" w:rsidRPr="00B966F6" w:rsidRDefault="000673D0" w:rsidP="00B966F6">
      <w:pPr>
        <w:tabs>
          <w:tab w:val="center" w:pos="5400"/>
        </w:tabs>
        <w:suppressAutoHyphens/>
        <w:jc w:val="center"/>
        <w:rPr>
          <w:rFonts w:ascii="Cambria" w:hAnsi="Cambria" w:cs="Arial"/>
          <w:sz w:val="20"/>
          <w:szCs w:val="20"/>
          <w:lang w:val="es-ES_tradnl"/>
        </w:rPr>
      </w:pPr>
    </w:p>
    <w:p w14:paraId="709AD286" w14:textId="77777777" w:rsidR="000673D0" w:rsidRPr="00B966F6" w:rsidRDefault="000673D0" w:rsidP="00B966F6">
      <w:pPr>
        <w:tabs>
          <w:tab w:val="center" w:pos="5400"/>
        </w:tabs>
        <w:suppressAutoHyphens/>
        <w:jc w:val="center"/>
        <w:rPr>
          <w:rFonts w:ascii="Cambria" w:hAnsi="Cambria"/>
          <w:sz w:val="20"/>
          <w:szCs w:val="20"/>
          <w:lang w:val="es-ES_tradnl"/>
        </w:rPr>
      </w:pPr>
    </w:p>
    <w:p w14:paraId="7E8B5523" w14:textId="77777777" w:rsidR="000673D0" w:rsidRPr="00B966F6" w:rsidRDefault="000673D0" w:rsidP="00B966F6">
      <w:pPr>
        <w:tabs>
          <w:tab w:val="center" w:pos="5400"/>
        </w:tabs>
        <w:suppressAutoHyphens/>
        <w:jc w:val="center"/>
        <w:rPr>
          <w:rFonts w:ascii="Cambria" w:hAnsi="Cambria"/>
          <w:sz w:val="20"/>
          <w:szCs w:val="20"/>
          <w:lang w:val="es-ES_tradnl"/>
        </w:rPr>
      </w:pPr>
    </w:p>
    <w:p w14:paraId="424E26A9" w14:textId="77777777" w:rsidR="000673D0" w:rsidRPr="00B966F6" w:rsidRDefault="000673D0" w:rsidP="00B966F6">
      <w:pPr>
        <w:tabs>
          <w:tab w:val="center" w:pos="5400"/>
        </w:tabs>
        <w:suppressAutoHyphens/>
        <w:jc w:val="center"/>
        <w:rPr>
          <w:rFonts w:ascii="Cambria" w:hAnsi="Cambria"/>
          <w:sz w:val="20"/>
          <w:szCs w:val="20"/>
          <w:lang w:val="es-ES_tradnl"/>
        </w:rPr>
      </w:pPr>
    </w:p>
    <w:p w14:paraId="4B2E007A" w14:textId="77777777" w:rsidR="000673D0" w:rsidRPr="00B966F6" w:rsidRDefault="000673D0" w:rsidP="00B966F6">
      <w:pPr>
        <w:tabs>
          <w:tab w:val="center" w:pos="5400"/>
        </w:tabs>
        <w:suppressAutoHyphens/>
        <w:jc w:val="center"/>
        <w:rPr>
          <w:rFonts w:ascii="Cambria" w:hAnsi="Cambria"/>
          <w:sz w:val="20"/>
          <w:szCs w:val="20"/>
          <w:lang w:val="es-ES_tradnl"/>
        </w:rPr>
      </w:pPr>
    </w:p>
    <w:p w14:paraId="3ED5356B" w14:textId="77777777" w:rsidR="000673D0" w:rsidRPr="00B966F6" w:rsidRDefault="000673D0" w:rsidP="00B966F6">
      <w:pPr>
        <w:tabs>
          <w:tab w:val="center" w:pos="5400"/>
        </w:tabs>
        <w:suppressAutoHyphens/>
        <w:jc w:val="center"/>
        <w:rPr>
          <w:rFonts w:ascii="Cambria" w:hAnsi="Cambria"/>
          <w:sz w:val="20"/>
          <w:szCs w:val="20"/>
          <w:lang w:val="es-ES_tradnl"/>
        </w:rPr>
      </w:pPr>
    </w:p>
    <w:p w14:paraId="146F0F55" w14:textId="77777777" w:rsidR="000673D0" w:rsidRPr="00B966F6" w:rsidRDefault="000673D0" w:rsidP="00B966F6">
      <w:pPr>
        <w:tabs>
          <w:tab w:val="center" w:pos="5400"/>
        </w:tabs>
        <w:suppressAutoHyphens/>
        <w:jc w:val="center"/>
        <w:rPr>
          <w:rFonts w:ascii="Cambria" w:hAnsi="Cambria"/>
          <w:sz w:val="20"/>
          <w:szCs w:val="20"/>
          <w:lang w:val="es-ES_tradnl"/>
        </w:rPr>
      </w:pPr>
    </w:p>
    <w:p w14:paraId="03ABF1F8" w14:textId="77777777" w:rsidR="000673D0" w:rsidRPr="00B966F6" w:rsidRDefault="000673D0" w:rsidP="00B966F6">
      <w:pPr>
        <w:tabs>
          <w:tab w:val="center" w:pos="5400"/>
        </w:tabs>
        <w:suppressAutoHyphens/>
        <w:jc w:val="center"/>
        <w:rPr>
          <w:rFonts w:ascii="Cambria" w:hAnsi="Cambria"/>
          <w:sz w:val="20"/>
          <w:szCs w:val="20"/>
          <w:lang w:val="es-ES_tradnl"/>
        </w:rPr>
      </w:pPr>
    </w:p>
    <w:p w14:paraId="766E7282" w14:textId="77777777" w:rsidR="000673D0" w:rsidRPr="00B966F6" w:rsidRDefault="000673D0" w:rsidP="00B966F6">
      <w:pPr>
        <w:tabs>
          <w:tab w:val="center" w:pos="5400"/>
        </w:tabs>
        <w:suppressAutoHyphens/>
        <w:jc w:val="center"/>
        <w:rPr>
          <w:rFonts w:ascii="Cambria" w:hAnsi="Cambria"/>
          <w:sz w:val="20"/>
          <w:szCs w:val="20"/>
          <w:lang w:val="es-ES_tradnl"/>
        </w:rPr>
      </w:pPr>
    </w:p>
    <w:p w14:paraId="062BE702" w14:textId="77777777" w:rsidR="000673D0" w:rsidRPr="00B966F6" w:rsidRDefault="000673D0" w:rsidP="00B966F6">
      <w:pPr>
        <w:tabs>
          <w:tab w:val="center" w:pos="5400"/>
        </w:tabs>
        <w:suppressAutoHyphens/>
        <w:jc w:val="center"/>
        <w:rPr>
          <w:rFonts w:ascii="Cambria" w:hAnsi="Cambria"/>
          <w:sz w:val="20"/>
          <w:szCs w:val="20"/>
          <w:lang w:val="es-ES_tradnl"/>
        </w:rPr>
      </w:pPr>
    </w:p>
    <w:p w14:paraId="5D49DBEA" w14:textId="77777777" w:rsidR="000673D0" w:rsidRPr="00B966F6" w:rsidRDefault="000673D0" w:rsidP="00B966F6">
      <w:pPr>
        <w:tabs>
          <w:tab w:val="center" w:pos="5400"/>
        </w:tabs>
        <w:suppressAutoHyphens/>
        <w:jc w:val="center"/>
        <w:rPr>
          <w:rFonts w:ascii="Cambria" w:hAnsi="Cambria"/>
          <w:sz w:val="20"/>
          <w:szCs w:val="20"/>
          <w:lang w:val="es-ES_tradnl"/>
        </w:rPr>
      </w:pPr>
    </w:p>
    <w:p w14:paraId="758695F1" w14:textId="77777777" w:rsidR="000673D0" w:rsidRPr="00B966F6" w:rsidRDefault="000673D0" w:rsidP="00B966F6">
      <w:pPr>
        <w:tabs>
          <w:tab w:val="center" w:pos="5400"/>
        </w:tabs>
        <w:suppressAutoHyphens/>
        <w:jc w:val="center"/>
        <w:rPr>
          <w:rFonts w:ascii="Cambria" w:hAnsi="Cambria"/>
          <w:sz w:val="20"/>
          <w:szCs w:val="20"/>
          <w:lang w:val="es-ES_tradnl"/>
        </w:rPr>
      </w:pPr>
    </w:p>
    <w:p w14:paraId="47333B02" w14:textId="77777777" w:rsidR="000673D0" w:rsidRPr="00B966F6" w:rsidRDefault="000673D0" w:rsidP="00B966F6">
      <w:pPr>
        <w:tabs>
          <w:tab w:val="center" w:pos="5400"/>
        </w:tabs>
        <w:suppressAutoHyphens/>
        <w:jc w:val="center"/>
        <w:rPr>
          <w:rFonts w:ascii="Cambria" w:hAnsi="Cambria"/>
          <w:sz w:val="20"/>
          <w:szCs w:val="20"/>
          <w:lang w:val="es-ES_tradnl"/>
        </w:rPr>
      </w:pPr>
    </w:p>
    <w:p w14:paraId="136B8A54" w14:textId="77777777" w:rsidR="000673D0" w:rsidRPr="00B966F6" w:rsidRDefault="000673D0" w:rsidP="00B966F6">
      <w:pPr>
        <w:tabs>
          <w:tab w:val="center" w:pos="5400"/>
        </w:tabs>
        <w:suppressAutoHyphens/>
        <w:jc w:val="center"/>
        <w:rPr>
          <w:rFonts w:ascii="Cambria" w:hAnsi="Cambria"/>
          <w:sz w:val="20"/>
          <w:szCs w:val="20"/>
          <w:lang w:val="es-ES_tradnl"/>
        </w:rPr>
      </w:pPr>
    </w:p>
    <w:p w14:paraId="1FA680C0" w14:textId="77777777" w:rsidR="000673D0" w:rsidRPr="00B966F6" w:rsidRDefault="000673D0" w:rsidP="00B966F6">
      <w:pPr>
        <w:tabs>
          <w:tab w:val="center" w:pos="5400"/>
        </w:tabs>
        <w:suppressAutoHyphens/>
        <w:jc w:val="center"/>
        <w:rPr>
          <w:rFonts w:ascii="Cambria" w:hAnsi="Cambria"/>
          <w:sz w:val="20"/>
          <w:szCs w:val="20"/>
          <w:lang w:val="es-ES_tradnl"/>
        </w:rPr>
      </w:pPr>
    </w:p>
    <w:p w14:paraId="51A5FD1F" w14:textId="77777777" w:rsidR="000673D0" w:rsidRPr="00B966F6" w:rsidRDefault="000673D0" w:rsidP="00B966F6">
      <w:pPr>
        <w:tabs>
          <w:tab w:val="center" w:pos="5400"/>
        </w:tabs>
        <w:suppressAutoHyphens/>
        <w:jc w:val="center"/>
        <w:rPr>
          <w:rFonts w:ascii="Cambria" w:hAnsi="Cambria"/>
          <w:sz w:val="20"/>
          <w:szCs w:val="20"/>
          <w:lang w:val="es-ES_tradnl"/>
        </w:rPr>
      </w:pPr>
    </w:p>
    <w:p w14:paraId="67EC7104" w14:textId="77777777" w:rsidR="000673D0" w:rsidRPr="00B966F6" w:rsidRDefault="000673D0" w:rsidP="00B966F6">
      <w:pPr>
        <w:tabs>
          <w:tab w:val="center" w:pos="5400"/>
        </w:tabs>
        <w:suppressAutoHyphens/>
        <w:jc w:val="center"/>
        <w:rPr>
          <w:rFonts w:ascii="Cambria" w:hAnsi="Cambria"/>
          <w:sz w:val="20"/>
          <w:szCs w:val="20"/>
          <w:lang w:val="es-ES_tradnl"/>
        </w:rPr>
      </w:pPr>
    </w:p>
    <w:p w14:paraId="74B88FB9" w14:textId="77777777" w:rsidR="000673D0" w:rsidRPr="00B966F6" w:rsidRDefault="000673D0" w:rsidP="00B966F6">
      <w:pPr>
        <w:tabs>
          <w:tab w:val="center" w:pos="5400"/>
        </w:tabs>
        <w:suppressAutoHyphens/>
        <w:jc w:val="center"/>
        <w:rPr>
          <w:rFonts w:ascii="Cambria" w:hAnsi="Cambria"/>
          <w:sz w:val="20"/>
          <w:szCs w:val="20"/>
          <w:lang w:val="es-ES_tradnl"/>
        </w:rPr>
      </w:pPr>
    </w:p>
    <w:p w14:paraId="676EB446" w14:textId="77777777" w:rsidR="000673D0" w:rsidRPr="00B966F6" w:rsidRDefault="000673D0" w:rsidP="00B966F6">
      <w:pPr>
        <w:tabs>
          <w:tab w:val="center" w:pos="5400"/>
        </w:tabs>
        <w:suppressAutoHyphens/>
        <w:jc w:val="center"/>
        <w:rPr>
          <w:rFonts w:ascii="Cambria" w:hAnsi="Cambria"/>
          <w:sz w:val="20"/>
          <w:szCs w:val="20"/>
          <w:lang w:val="es-ES_tradnl"/>
        </w:rPr>
      </w:pPr>
    </w:p>
    <w:p w14:paraId="1D06DC3D" w14:textId="77777777" w:rsidR="000673D0" w:rsidRPr="00B966F6" w:rsidRDefault="000673D0" w:rsidP="00B966F6">
      <w:pPr>
        <w:tabs>
          <w:tab w:val="center" w:pos="5400"/>
        </w:tabs>
        <w:suppressAutoHyphens/>
        <w:jc w:val="center"/>
        <w:rPr>
          <w:rFonts w:ascii="Cambria" w:hAnsi="Cambria"/>
          <w:sz w:val="20"/>
          <w:szCs w:val="20"/>
          <w:lang w:val="es-ES_tradnl"/>
        </w:rPr>
      </w:pPr>
    </w:p>
    <w:p w14:paraId="2B3BDED6" w14:textId="77777777" w:rsidR="000673D0" w:rsidRPr="00B966F6" w:rsidRDefault="000673D0" w:rsidP="00B966F6">
      <w:pPr>
        <w:tabs>
          <w:tab w:val="center" w:pos="5400"/>
        </w:tabs>
        <w:suppressAutoHyphens/>
        <w:jc w:val="center"/>
        <w:rPr>
          <w:rFonts w:ascii="Cambria" w:hAnsi="Cambria"/>
          <w:sz w:val="20"/>
          <w:szCs w:val="20"/>
          <w:lang w:val="es-ES_tradnl"/>
        </w:rPr>
      </w:pPr>
    </w:p>
    <w:p w14:paraId="32E086F1" w14:textId="77777777" w:rsidR="000673D0" w:rsidRPr="00B966F6" w:rsidRDefault="000673D0" w:rsidP="00B966F6">
      <w:pPr>
        <w:tabs>
          <w:tab w:val="center" w:pos="5400"/>
        </w:tabs>
        <w:suppressAutoHyphens/>
        <w:jc w:val="center"/>
        <w:rPr>
          <w:rFonts w:ascii="Cambria" w:hAnsi="Cambria"/>
          <w:sz w:val="20"/>
          <w:szCs w:val="20"/>
          <w:lang w:val="es-ES_tradnl"/>
        </w:rPr>
      </w:pPr>
    </w:p>
    <w:p w14:paraId="6AA5A52A" w14:textId="77777777" w:rsidR="000673D0" w:rsidRPr="00B966F6" w:rsidRDefault="000673D0" w:rsidP="00B966F6">
      <w:pPr>
        <w:tabs>
          <w:tab w:val="center" w:pos="5400"/>
        </w:tabs>
        <w:suppressAutoHyphens/>
        <w:jc w:val="center"/>
        <w:rPr>
          <w:rFonts w:ascii="Cambria" w:hAnsi="Cambria"/>
          <w:sz w:val="20"/>
          <w:szCs w:val="20"/>
          <w:lang w:val="es-ES_tradnl"/>
        </w:rPr>
      </w:pPr>
    </w:p>
    <w:p w14:paraId="6FBE1F63" w14:textId="77777777" w:rsidR="000673D0" w:rsidRPr="00B966F6" w:rsidRDefault="000673D0" w:rsidP="00B966F6">
      <w:pPr>
        <w:tabs>
          <w:tab w:val="center" w:pos="5400"/>
        </w:tabs>
        <w:suppressAutoHyphens/>
        <w:jc w:val="center"/>
        <w:rPr>
          <w:rFonts w:ascii="Cambria" w:hAnsi="Cambria"/>
          <w:sz w:val="20"/>
          <w:szCs w:val="20"/>
          <w:lang w:val="es-ES_tradnl"/>
        </w:rPr>
      </w:pPr>
    </w:p>
    <w:p w14:paraId="6BC6FEB7" w14:textId="77777777" w:rsidR="000673D0" w:rsidRPr="00B966F6" w:rsidRDefault="000673D0" w:rsidP="00B966F6">
      <w:pPr>
        <w:tabs>
          <w:tab w:val="center" w:pos="5400"/>
        </w:tabs>
        <w:suppressAutoHyphens/>
        <w:jc w:val="center"/>
        <w:rPr>
          <w:rFonts w:ascii="Cambria" w:hAnsi="Cambria"/>
          <w:sz w:val="20"/>
          <w:szCs w:val="20"/>
          <w:lang w:val="es-ES_tradnl"/>
        </w:rPr>
      </w:pPr>
    </w:p>
    <w:p w14:paraId="4C26A618" w14:textId="77777777" w:rsidR="000673D0" w:rsidRPr="00B966F6" w:rsidRDefault="000673D0" w:rsidP="00B966F6">
      <w:pPr>
        <w:tabs>
          <w:tab w:val="center" w:pos="5400"/>
        </w:tabs>
        <w:suppressAutoHyphens/>
        <w:jc w:val="center"/>
        <w:rPr>
          <w:rFonts w:ascii="Cambria" w:hAnsi="Cambria"/>
          <w:sz w:val="20"/>
          <w:szCs w:val="20"/>
          <w:lang w:val="es-ES_tradnl"/>
        </w:rPr>
      </w:pPr>
    </w:p>
    <w:p w14:paraId="01BECB0D" w14:textId="77777777" w:rsidR="000673D0" w:rsidRPr="00B966F6" w:rsidRDefault="000673D0" w:rsidP="00B966F6">
      <w:pPr>
        <w:tabs>
          <w:tab w:val="center" w:pos="5400"/>
        </w:tabs>
        <w:suppressAutoHyphens/>
        <w:jc w:val="center"/>
        <w:rPr>
          <w:rFonts w:ascii="Cambria" w:hAnsi="Cambria"/>
          <w:sz w:val="20"/>
          <w:szCs w:val="20"/>
          <w:lang w:val="es-ES_tradnl"/>
        </w:rPr>
      </w:pPr>
      <w:r w:rsidRPr="00B966F6">
        <w:rPr>
          <w:rFonts w:ascii="Cambria" w:hAnsi="Cambria"/>
          <w:noProof/>
          <w:sz w:val="20"/>
          <w:szCs w:val="20"/>
        </w:rPr>
        <mc:AlternateContent>
          <mc:Choice Requires="wps">
            <w:drawing>
              <wp:anchor distT="0" distB="0" distL="114300" distR="114300" simplePos="0" relativeHeight="251661312" behindDoc="0" locked="0" layoutInCell="1" allowOverlap="1" wp14:anchorId="3C1C2A41" wp14:editId="1F8DCC44">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053FBA" w14:textId="295551C8" w:rsidR="009C527B" w:rsidRPr="00890650" w:rsidRDefault="009C527B" w:rsidP="000673D0">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FB1FFB">
                              <w:rPr>
                                <w:rFonts w:asciiTheme="majorHAnsi" w:hAnsiTheme="majorHAnsi"/>
                                <w:color w:val="0D0D0D" w:themeColor="text1" w:themeTint="F2"/>
                                <w:sz w:val="18"/>
                                <w:szCs w:val="22"/>
                                <w:lang w:val="es-ES"/>
                              </w:rPr>
                              <w:t>13</w:t>
                            </w:r>
                            <w:r w:rsidRPr="00890650">
                              <w:rPr>
                                <w:rFonts w:asciiTheme="majorHAnsi" w:hAnsiTheme="majorHAnsi"/>
                                <w:color w:val="0D0D0D" w:themeColor="text1" w:themeTint="F2"/>
                                <w:sz w:val="18"/>
                                <w:szCs w:val="22"/>
                                <w:lang w:val="es-ES"/>
                              </w:rPr>
                              <w:t xml:space="preserve"> de </w:t>
                            </w:r>
                            <w:r w:rsidR="00FB1FFB">
                              <w:rPr>
                                <w:rFonts w:asciiTheme="majorHAnsi" w:hAnsiTheme="majorHAnsi"/>
                                <w:color w:val="0D0D0D" w:themeColor="text1" w:themeTint="F2"/>
                                <w:sz w:val="18"/>
                                <w:szCs w:val="22"/>
                                <w:lang w:val="es-ES"/>
                              </w:rPr>
                              <w:t>junio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FB1FFB">
                              <w:rPr>
                                <w:rFonts w:asciiTheme="majorHAnsi" w:hAnsiTheme="majorHAnsi"/>
                                <w:color w:val="0D0D0D" w:themeColor="text1" w:themeTint="F2"/>
                                <w:sz w:val="18"/>
                                <w:szCs w:val="22"/>
                                <w:lang w:val="es-ES"/>
                              </w:rPr>
                              <w:t>1</w:t>
                            </w:r>
                            <w:r w:rsidR="00BC700D">
                              <w:rPr>
                                <w:rFonts w:asciiTheme="majorHAnsi" w:hAnsiTheme="majorHAnsi"/>
                                <w:color w:val="0D0D0D" w:themeColor="text1" w:themeTint="F2"/>
                                <w:sz w:val="18"/>
                                <w:szCs w:val="22"/>
                                <w:lang w:val="es-ES"/>
                              </w:rPr>
                              <w:t>.</w:t>
                            </w:r>
                          </w:p>
                          <w:p w14:paraId="4F6ABB5B" w14:textId="77777777" w:rsidR="009C527B" w:rsidRPr="007A5817" w:rsidRDefault="009C527B" w:rsidP="000673D0">
                            <w:pPr>
                              <w:tabs>
                                <w:tab w:val="center" w:pos="5400"/>
                              </w:tabs>
                              <w:suppressAutoHyphens/>
                              <w:spacing w:before="60"/>
                              <w:rPr>
                                <w:rFonts w:asciiTheme="minorHAnsi" w:hAnsiTheme="minorHAnsi" w:cs="Univers"/>
                                <w:color w:val="0D0D0D" w:themeColor="text1" w:themeTint="F2"/>
                                <w:sz w:val="20"/>
                                <w:szCs w:val="20"/>
                                <w:lang w:val="es-ES"/>
                              </w:rPr>
                            </w:pPr>
                          </w:p>
                          <w:p w14:paraId="4CA26468" w14:textId="77777777" w:rsidR="009C527B" w:rsidRPr="00167A34" w:rsidRDefault="009C527B" w:rsidP="000673D0">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1C2A41"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67053FBA" w14:textId="295551C8" w:rsidR="009C527B" w:rsidRPr="00890650" w:rsidRDefault="009C527B" w:rsidP="000673D0">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FB1FFB">
                        <w:rPr>
                          <w:rFonts w:asciiTheme="majorHAnsi" w:hAnsiTheme="majorHAnsi"/>
                          <w:color w:val="0D0D0D" w:themeColor="text1" w:themeTint="F2"/>
                          <w:sz w:val="18"/>
                          <w:szCs w:val="22"/>
                          <w:lang w:val="es-ES"/>
                        </w:rPr>
                        <w:t>13</w:t>
                      </w:r>
                      <w:r w:rsidRPr="00890650">
                        <w:rPr>
                          <w:rFonts w:asciiTheme="majorHAnsi" w:hAnsiTheme="majorHAnsi"/>
                          <w:color w:val="0D0D0D" w:themeColor="text1" w:themeTint="F2"/>
                          <w:sz w:val="18"/>
                          <w:szCs w:val="22"/>
                          <w:lang w:val="es-ES"/>
                        </w:rPr>
                        <w:t xml:space="preserve"> de </w:t>
                      </w:r>
                      <w:r w:rsidR="00FB1FFB">
                        <w:rPr>
                          <w:rFonts w:asciiTheme="majorHAnsi" w:hAnsiTheme="majorHAnsi"/>
                          <w:color w:val="0D0D0D" w:themeColor="text1" w:themeTint="F2"/>
                          <w:sz w:val="18"/>
                          <w:szCs w:val="22"/>
                          <w:lang w:val="es-ES"/>
                        </w:rPr>
                        <w:t>junio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FB1FFB">
                        <w:rPr>
                          <w:rFonts w:asciiTheme="majorHAnsi" w:hAnsiTheme="majorHAnsi"/>
                          <w:color w:val="0D0D0D" w:themeColor="text1" w:themeTint="F2"/>
                          <w:sz w:val="18"/>
                          <w:szCs w:val="22"/>
                          <w:lang w:val="es-ES"/>
                        </w:rPr>
                        <w:t>1</w:t>
                      </w:r>
                      <w:r w:rsidR="00BC700D">
                        <w:rPr>
                          <w:rFonts w:asciiTheme="majorHAnsi" w:hAnsiTheme="majorHAnsi"/>
                          <w:color w:val="0D0D0D" w:themeColor="text1" w:themeTint="F2"/>
                          <w:sz w:val="18"/>
                          <w:szCs w:val="22"/>
                          <w:lang w:val="es-ES"/>
                        </w:rPr>
                        <w:t>.</w:t>
                      </w:r>
                    </w:p>
                    <w:p w14:paraId="4F6ABB5B" w14:textId="77777777" w:rsidR="009C527B" w:rsidRPr="007A5817" w:rsidRDefault="009C527B" w:rsidP="000673D0">
                      <w:pPr>
                        <w:tabs>
                          <w:tab w:val="center" w:pos="5400"/>
                        </w:tabs>
                        <w:suppressAutoHyphens/>
                        <w:spacing w:before="60"/>
                        <w:rPr>
                          <w:rFonts w:asciiTheme="minorHAnsi" w:hAnsiTheme="minorHAnsi" w:cs="Univers"/>
                          <w:color w:val="0D0D0D" w:themeColor="text1" w:themeTint="F2"/>
                          <w:sz w:val="20"/>
                          <w:szCs w:val="20"/>
                          <w:lang w:val="es-ES"/>
                        </w:rPr>
                      </w:pPr>
                    </w:p>
                    <w:p w14:paraId="4CA26468" w14:textId="77777777" w:rsidR="009C527B" w:rsidRPr="00167A34" w:rsidRDefault="009C527B" w:rsidP="000673D0">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0F806D85" w14:textId="77777777" w:rsidR="000673D0" w:rsidRPr="00B966F6" w:rsidRDefault="000673D0" w:rsidP="00B966F6">
      <w:pPr>
        <w:tabs>
          <w:tab w:val="center" w:pos="5400"/>
        </w:tabs>
        <w:suppressAutoHyphens/>
        <w:jc w:val="center"/>
        <w:rPr>
          <w:rFonts w:ascii="Cambria" w:hAnsi="Cambria"/>
          <w:sz w:val="20"/>
          <w:szCs w:val="20"/>
          <w:lang w:val="es-ES_tradnl"/>
        </w:rPr>
      </w:pPr>
    </w:p>
    <w:p w14:paraId="4CF638D9" w14:textId="77777777" w:rsidR="000673D0" w:rsidRPr="00B966F6" w:rsidRDefault="000673D0" w:rsidP="00B966F6">
      <w:pPr>
        <w:tabs>
          <w:tab w:val="center" w:pos="5400"/>
        </w:tabs>
        <w:suppressAutoHyphens/>
        <w:jc w:val="center"/>
        <w:rPr>
          <w:rFonts w:ascii="Cambria" w:hAnsi="Cambria"/>
          <w:sz w:val="20"/>
          <w:szCs w:val="20"/>
          <w:lang w:val="es-ES_tradnl"/>
        </w:rPr>
      </w:pPr>
    </w:p>
    <w:p w14:paraId="1CEFA9C9" w14:textId="77777777" w:rsidR="000673D0" w:rsidRPr="00B966F6" w:rsidRDefault="000673D0" w:rsidP="00B966F6">
      <w:pPr>
        <w:tabs>
          <w:tab w:val="center" w:pos="5400"/>
        </w:tabs>
        <w:suppressAutoHyphens/>
        <w:jc w:val="center"/>
        <w:rPr>
          <w:rFonts w:ascii="Cambria" w:hAnsi="Cambria"/>
          <w:sz w:val="20"/>
          <w:szCs w:val="20"/>
          <w:lang w:val="es-ES_tradnl"/>
        </w:rPr>
      </w:pPr>
    </w:p>
    <w:p w14:paraId="31514C67" w14:textId="77777777" w:rsidR="000673D0" w:rsidRPr="00B966F6" w:rsidRDefault="000673D0" w:rsidP="00B966F6">
      <w:pPr>
        <w:tabs>
          <w:tab w:val="center" w:pos="5400"/>
        </w:tabs>
        <w:suppressAutoHyphens/>
        <w:jc w:val="center"/>
        <w:rPr>
          <w:rFonts w:ascii="Cambria" w:hAnsi="Cambria"/>
          <w:sz w:val="20"/>
          <w:szCs w:val="20"/>
          <w:lang w:val="es-ES_tradnl"/>
        </w:rPr>
      </w:pPr>
    </w:p>
    <w:p w14:paraId="16ECD0BB" w14:textId="77777777" w:rsidR="000673D0" w:rsidRPr="00B966F6" w:rsidRDefault="000673D0" w:rsidP="00B966F6">
      <w:pPr>
        <w:tabs>
          <w:tab w:val="center" w:pos="5400"/>
        </w:tabs>
        <w:suppressAutoHyphens/>
        <w:jc w:val="center"/>
        <w:rPr>
          <w:rFonts w:ascii="Cambria" w:hAnsi="Cambria"/>
          <w:sz w:val="20"/>
          <w:szCs w:val="20"/>
          <w:lang w:val="es-ES_tradnl"/>
        </w:rPr>
      </w:pPr>
      <w:r w:rsidRPr="00B966F6">
        <w:rPr>
          <w:rFonts w:ascii="Cambria" w:hAnsi="Cambria"/>
          <w:noProof/>
          <w:sz w:val="20"/>
          <w:szCs w:val="20"/>
        </w:rPr>
        <mc:AlternateContent>
          <mc:Choice Requires="wps">
            <w:drawing>
              <wp:anchor distT="0" distB="0" distL="114300" distR="114300" simplePos="0" relativeHeight="251664384" behindDoc="0" locked="0" layoutInCell="1" allowOverlap="1" wp14:anchorId="1DE21F94" wp14:editId="06E22033">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F2B52A" w14:textId="173FDA03" w:rsidR="009C527B" w:rsidRPr="007B05C4" w:rsidRDefault="009C527B" w:rsidP="000673D0">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B1FFB" w:rsidRPr="00FB1FFB">
                              <w:rPr>
                                <w:rFonts w:asciiTheme="majorHAnsi" w:hAnsiTheme="majorHAnsi"/>
                                <w:color w:val="595959" w:themeColor="text1" w:themeTint="A6"/>
                                <w:sz w:val="18"/>
                                <w:szCs w:val="18"/>
                                <w:lang w:val="pt-BR"/>
                              </w:rPr>
                              <w:t>119</w:t>
                            </w:r>
                            <w:r w:rsidRPr="00FB1FFB">
                              <w:rPr>
                                <w:rFonts w:asciiTheme="majorHAnsi" w:hAnsiTheme="majorHAnsi"/>
                                <w:color w:val="595959" w:themeColor="text1" w:themeTint="A6"/>
                                <w:sz w:val="18"/>
                                <w:szCs w:val="18"/>
                                <w:lang w:val="pt-BR"/>
                              </w:rPr>
                              <w:t>/2</w:t>
                            </w:r>
                            <w:r w:rsidR="00FB1FFB">
                              <w:rPr>
                                <w:rFonts w:asciiTheme="majorHAnsi" w:hAnsiTheme="majorHAnsi"/>
                                <w:color w:val="595959" w:themeColor="text1" w:themeTint="A6"/>
                                <w:sz w:val="18"/>
                                <w:szCs w:val="18"/>
                                <w:lang w:val="pt-BR"/>
                              </w:rPr>
                              <w:t>1</w:t>
                            </w:r>
                            <w:r w:rsidRPr="00FB1FFB">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847-09. </w:t>
                            </w:r>
                            <w:r>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Jesús Salvador Hernández y Otros</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FB1FFB">
                              <w:rPr>
                                <w:rFonts w:asciiTheme="majorHAnsi" w:hAnsiTheme="majorHAnsi"/>
                                <w:color w:val="595959" w:themeColor="text1" w:themeTint="A6"/>
                                <w:sz w:val="18"/>
                                <w:szCs w:val="18"/>
                                <w:lang w:val="es-ES"/>
                              </w:rPr>
                              <w:t>13 de junio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E21F94" id="Text Box 10" o:spid="_x0000_s1030" type="#_x0000_t202" style="position:absolute;left:0;text-align:left;margin-left:105pt;margin-top:.45pt;width:389.2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CF2B52A" w14:textId="173FDA03" w:rsidR="009C527B" w:rsidRPr="007B05C4" w:rsidRDefault="009C527B" w:rsidP="000673D0">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B1FFB" w:rsidRPr="00FB1FFB">
                        <w:rPr>
                          <w:rFonts w:asciiTheme="majorHAnsi" w:hAnsiTheme="majorHAnsi"/>
                          <w:color w:val="595959" w:themeColor="text1" w:themeTint="A6"/>
                          <w:sz w:val="18"/>
                          <w:szCs w:val="18"/>
                          <w:lang w:val="pt-BR"/>
                        </w:rPr>
                        <w:t>119</w:t>
                      </w:r>
                      <w:r w:rsidRPr="00FB1FFB">
                        <w:rPr>
                          <w:rFonts w:asciiTheme="majorHAnsi" w:hAnsiTheme="majorHAnsi"/>
                          <w:color w:val="595959" w:themeColor="text1" w:themeTint="A6"/>
                          <w:sz w:val="18"/>
                          <w:szCs w:val="18"/>
                          <w:lang w:val="pt-BR"/>
                        </w:rPr>
                        <w:t>/2</w:t>
                      </w:r>
                      <w:r w:rsidR="00FB1FFB">
                        <w:rPr>
                          <w:rFonts w:asciiTheme="majorHAnsi" w:hAnsiTheme="majorHAnsi"/>
                          <w:color w:val="595959" w:themeColor="text1" w:themeTint="A6"/>
                          <w:sz w:val="18"/>
                          <w:szCs w:val="18"/>
                          <w:lang w:val="pt-BR"/>
                        </w:rPr>
                        <w:t>1</w:t>
                      </w:r>
                      <w:r w:rsidRPr="00FB1FFB">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847-09. </w:t>
                      </w:r>
                      <w:r>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Jesús Salvador Hernández y Otros</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FB1FFB">
                        <w:rPr>
                          <w:rFonts w:asciiTheme="majorHAnsi" w:hAnsiTheme="majorHAnsi"/>
                          <w:color w:val="595959" w:themeColor="text1" w:themeTint="A6"/>
                          <w:sz w:val="18"/>
                          <w:szCs w:val="18"/>
                          <w:lang w:val="es-ES"/>
                        </w:rPr>
                        <w:t>13 de junio de 2021</w:t>
                      </w:r>
                      <w:r w:rsidRPr="007B05C4">
                        <w:rPr>
                          <w:rFonts w:asciiTheme="majorHAnsi" w:hAnsiTheme="majorHAnsi"/>
                          <w:color w:val="595959" w:themeColor="text1" w:themeTint="A6"/>
                          <w:sz w:val="18"/>
                          <w:szCs w:val="18"/>
                          <w:lang w:val="es-ES"/>
                        </w:rPr>
                        <w:t>.</w:t>
                      </w:r>
                    </w:p>
                  </w:txbxContent>
                </v:textbox>
              </v:shape>
            </w:pict>
          </mc:Fallback>
        </mc:AlternateContent>
      </w:r>
    </w:p>
    <w:p w14:paraId="16104A16" w14:textId="77777777" w:rsidR="000673D0" w:rsidRPr="00B966F6" w:rsidRDefault="000673D0" w:rsidP="00B966F6">
      <w:pPr>
        <w:tabs>
          <w:tab w:val="center" w:pos="5400"/>
        </w:tabs>
        <w:suppressAutoHyphens/>
        <w:jc w:val="center"/>
        <w:rPr>
          <w:rFonts w:ascii="Cambria" w:hAnsi="Cambria"/>
          <w:sz w:val="20"/>
          <w:szCs w:val="20"/>
          <w:lang w:val="es-ES_tradnl"/>
        </w:rPr>
      </w:pPr>
    </w:p>
    <w:p w14:paraId="09F6F1A8" w14:textId="77777777" w:rsidR="000673D0" w:rsidRPr="00B966F6" w:rsidRDefault="000673D0" w:rsidP="00B966F6">
      <w:pPr>
        <w:tabs>
          <w:tab w:val="center" w:pos="5400"/>
        </w:tabs>
        <w:suppressAutoHyphens/>
        <w:jc w:val="center"/>
        <w:rPr>
          <w:rFonts w:ascii="Cambria" w:hAnsi="Cambria"/>
          <w:b/>
          <w:sz w:val="20"/>
          <w:szCs w:val="20"/>
          <w:lang w:val="es-ES_tradnl"/>
        </w:rPr>
      </w:pPr>
      <w:r w:rsidRPr="00B966F6">
        <w:rPr>
          <w:rFonts w:ascii="Cambria" w:hAnsi="Cambria"/>
          <w:noProof/>
          <w:sz w:val="20"/>
          <w:szCs w:val="20"/>
        </w:rPr>
        <mc:AlternateContent>
          <mc:Choice Requires="wps">
            <w:drawing>
              <wp:anchor distT="0" distB="0" distL="114300" distR="114300" simplePos="0" relativeHeight="251665408" behindDoc="0" locked="0" layoutInCell="1" allowOverlap="1" wp14:anchorId="2BF9F72E" wp14:editId="2F8C7176">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1CB564" w14:textId="02C54A63" w:rsidR="009C527B" w:rsidRPr="00D72DC6" w:rsidRDefault="00BC700D" w:rsidP="000673D0">
                            <w:pPr>
                              <w:rPr>
                                <w:color w:val="FFFFFF" w:themeColor="background1"/>
                                <w14:textFill>
                                  <w14:noFill/>
                                </w14:textFill>
                              </w:rPr>
                            </w:pPr>
                            <w:r>
                              <w:rPr>
                                <w:noProof/>
                                <w:color w:val="FFFFFF" w:themeColor="background1"/>
                              </w:rPr>
                              <w:drawing>
                                <wp:inline distT="0" distB="0" distL="0" distR="0" wp14:anchorId="65C37C73" wp14:editId="178A225F">
                                  <wp:extent cx="1824355" cy="469265"/>
                                  <wp:effectExtent l="0" t="0" r="4445"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9F72E" id="Text Box 9" o:spid="_x0000_s1031" type="#_x0000_t202" style="position:absolute;left:0;text-align:left;margin-left:104.7pt;margin-top:50.3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561CB564" w14:textId="02C54A63" w:rsidR="009C527B" w:rsidRPr="00D72DC6" w:rsidRDefault="00BC700D" w:rsidP="000673D0">
                      <w:pPr>
                        <w:rPr>
                          <w:color w:val="FFFFFF" w:themeColor="background1"/>
                          <w14:textFill>
                            <w14:noFill/>
                          </w14:textFill>
                        </w:rPr>
                      </w:pPr>
                      <w:r>
                        <w:rPr>
                          <w:noProof/>
                          <w:color w:val="FFFFFF" w:themeColor="background1"/>
                        </w:rPr>
                        <w:drawing>
                          <wp:inline distT="0" distB="0" distL="0" distR="0" wp14:anchorId="65C37C73" wp14:editId="178A225F">
                            <wp:extent cx="1824355" cy="469265"/>
                            <wp:effectExtent l="0" t="0" r="4445"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B966F6">
        <w:rPr>
          <w:rFonts w:ascii="Cambria" w:hAnsi="Cambria"/>
          <w:noProof/>
          <w:sz w:val="20"/>
          <w:szCs w:val="20"/>
        </w:rPr>
        <mc:AlternateContent>
          <mc:Choice Requires="wps">
            <w:drawing>
              <wp:anchor distT="0" distB="0" distL="114300" distR="114300" simplePos="0" relativeHeight="251666432" behindDoc="0" locked="0" layoutInCell="1" allowOverlap="1" wp14:anchorId="39E975DD" wp14:editId="4C5B6964">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589E4B" w14:textId="77777777" w:rsidR="009C527B" w:rsidRPr="004B7EB6" w:rsidRDefault="009C527B" w:rsidP="000673D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E975DD" id="Text Box 4" o:spid="_x0000_s1032"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0B589E4B" w14:textId="77777777" w:rsidR="009C527B" w:rsidRPr="004B7EB6" w:rsidRDefault="009C527B" w:rsidP="000673D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61A16E54" w14:textId="77777777" w:rsidR="000673D0" w:rsidRPr="00B966F6" w:rsidRDefault="000673D0" w:rsidP="00B966F6">
      <w:pPr>
        <w:tabs>
          <w:tab w:val="center" w:pos="5400"/>
        </w:tabs>
        <w:suppressAutoHyphens/>
        <w:jc w:val="center"/>
        <w:rPr>
          <w:rFonts w:ascii="Cambria" w:hAnsi="Cambria"/>
          <w:b/>
          <w:sz w:val="20"/>
          <w:szCs w:val="20"/>
          <w:lang w:val="es-ES_tradnl"/>
        </w:rPr>
        <w:sectPr w:rsidR="000673D0" w:rsidRPr="00B966F6"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B966F6">
        <w:rPr>
          <w:rFonts w:ascii="Cambria" w:hAnsi="Cambria"/>
          <w:b/>
          <w:sz w:val="20"/>
          <w:szCs w:val="20"/>
          <w:lang w:val="es-ES_tradnl"/>
        </w:rPr>
        <w:tab/>
      </w:r>
    </w:p>
    <w:p w14:paraId="0912847B" w14:textId="01774331" w:rsidR="000673D0" w:rsidRPr="00B966F6" w:rsidRDefault="000673D0" w:rsidP="00D70C9D">
      <w:pPr>
        <w:pStyle w:val="ListParagraph"/>
        <w:numPr>
          <w:ilvl w:val="0"/>
          <w:numId w:val="59"/>
        </w:numPr>
        <w:jc w:val="both"/>
        <w:rPr>
          <w:b/>
          <w:bCs/>
          <w:sz w:val="20"/>
          <w:szCs w:val="20"/>
          <w:lang w:val="es-ES"/>
        </w:rPr>
      </w:pPr>
      <w:r w:rsidRPr="00B966F6">
        <w:rPr>
          <w:b/>
          <w:bCs/>
          <w:sz w:val="20"/>
          <w:szCs w:val="20"/>
          <w:lang w:val="es-ES"/>
        </w:rPr>
        <w:lastRenderedPageBreak/>
        <w:t xml:space="preserve">DATOS DE LA PETICIÓN </w:t>
      </w:r>
    </w:p>
    <w:p w14:paraId="2FD7B63E" w14:textId="77777777" w:rsidR="00B966F6" w:rsidRPr="00B966F6" w:rsidRDefault="00B966F6" w:rsidP="00B966F6">
      <w:pPr>
        <w:pStyle w:val="ListParagraph"/>
        <w:ind w:left="1440"/>
        <w:jc w:val="both"/>
        <w:rPr>
          <w:b/>
          <w:bCs/>
          <w:sz w:val="20"/>
          <w:szCs w:val="20"/>
          <w:lang w:val="es-ES"/>
        </w:rPr>
      </w:pP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0673D0" w:rsidRPr="00B966F6" w14:paraId="325744E4" w14:textId="77777777" w:rsidTr="00B46185">
        <w:tc>
          <w:tcPr>
            <w:tcW w:w="3600" w:type="dxa"/>
            <w:tcBorders>
              <w:top w:val="single" w:sz="4" w:space="0" w:color="auto"/>
              <w:bottom w:val="single" w:sz="6" w:space="0" w:color="auto"/>
            </w:tcBorders>
            <w:shd w:val="clear" w:color="auto" w:fill="386294"/>
            <w:vAlign w:val="center"/>
          </w:tcPr>
          <w:p w14:paraId="26710EBE" w14:textId="77777777" w:rsidR="000673D0" w:rsidRPr="00B966F6" w:rsidRDefault="000673D0" w:rsidP="00B966F6">
            <w:pPr>
              <w:jc w:val="center"/>
              <w:rPr>
                <w:rFonts w:ascii="Cambria" w:hAnsi="Cambria"/>
                <w:b/>
                <w:bCs/>
                <w:color w:val="FFFFFF" w:themeColor="background1"/>
                <w:sz w:val="20"/>
                <w:szCs w:val="20"/>
              </w:rPr>
            </w:pPr>
            <w:r w:rsidRPr="00B966F6">
              <w:rPr>
                <w:rFonts w:ascii="Cambria" w:hAnsi="Cambria"/>
                <w:b/>
                <w:bCs/>
                <w:color w:val="FFFFFF" w:themeColor="background1"/>
                <w:sz w:val="20"/>
                <w:szCs w:val="20"/>
              </w:rPr>
              <w:t>Parte peticionaria:</w:t>
            </w:r>
          </w:p>
        </w:tc>
        <w:tc>
          <w:tcPr>
            <w:tcW w:w="5760" w:type="dxa"/>
            <w:vAlign w:val="center"/>
          </w:tcPr>
          <w:p w14:paraId="5A4F615E" w14:textId="65392A5D" w:rsidR="000673D0" w:rsidRPr="00B966F6" w:rsidRDefault="00EF4A26" w:rsidP="00B966F6">
            <w:pPr>
              <w:jc w:val="both"/>
              <w:rPr>
                <w:rFonts w:ascii="Cambria" w:hAnsi="Cambria"/>
                <w:bCs/>
                <w:sz w:val="20"/>
                <w:szCs w:val="20"/>
                <w:lang w:val="es-PA"/>
              </w:rPr>
            </w:pPr>
            <w:r w:rsidRPr="00B966F6">
              <w:rPr>
                <w:rFonts w:ascii="Cambria" w:hAnsi="Cambria"/>
                <w:bCs/>
                <w:sz w:val="20"/>
                <w:szCs w:val="20"/>
                <w:lang w:val="es-ES"/>
              </w:rPr>
              <w:t xml:space="preserve">Javier </w:t>
            </w:r>
            <w:r w:rsidR="00B966F6" w:rsidRPr="00B966F6">
              <w:rPr>
                <w:rFonts w:ascii="Cambria" w:hAnsi="Cambria"/>
                <w:bCs/>
                <w:sz w:val="20"/>
                <w:szCs w:val="20"/>
                <w:lang w:val="es-ES"/>
              </w:rPr>
              <w:t>Leónidas</w:t>
            </w:r>
            <w:r w:rsidRPr="00B966F6">
              <w:rPr>
                <w:rFonts w:ascii="Cambria" w:hAnsi="Cambria"/>
                <w:bCs/>
                <w:sz w:val="20"/>
                <w:szCs w:val="20"/>
                <w:lang w:val="es-ES"/>
              </w:rPr>
              <w:t xml:space="preserve"> Villegas Posada</w:t>
            </w:r>
          </w:p>
        </w:tc>
      </w:tr>
      <w:tr w:rsidR="000673D0" w:rsidRPr="00BC700D" w14:paraId="79A5B539" w14:textId="77777777" w:rsidTr="00B46185">
        <w:tc>
          <w:tcPr>
            <w:tcW w:w="3600" w:type="dxa"/>
            <w:tcBorders>
              <w:top w:val="single" w:sz="6" w:space="0" w:color="auto"/>
              <w:bottom w:val="single" w:sz="6" w:space="0" w:color="auto"/>
            </w:tcBorders>
            <w:shd w:val="clear" w:color="auto" w:fill="386294"/>
            <w:vAlign w:val="center"/>
          </w:tcPr>
          <w:p w14:paraId="58FAAE53" w14:textId="77777777" w:rsidR="000673D0" w:rsidRPr="00B966F6" w:rsidRDefault="006C4EC7" w:rsidP="00B966F6">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6F10F8106C6B41A68AE460B6FEC61D9E"/>
                </w:placeholder>
                <w:dropDownList>
                  <w:listItem w:value="Choose an item."/>
                  <w:listItem w:displayText="Presunta víctima" w:value="Presunta víctima"/>
                  <w:listItem w:displayText="Presuntas víctimas" w:value="Presuntas víctimas"/>
                </w:dropDownList>
              </w:sdtPr>
              <w:sdtEndPr/>
              <w:sdtContent>
                <w:r w:rsidR="000673D0" w:rsidRPr="00B966F6">
                  <w:rPr>
                    <w:rFonts w:ascii="Cambria" w:hAnsi="Cambria"/>
                    <w:b/>
                    <w:bCs/>
                    <w:color w:val="FFFFFF" w:themeColor="background1"/>
                    <w:sz w:val="20"/>
                    <w:szCs w:val="20"/>
                  </w:rPr>
                  <w:t>Presunta víctima</w:t>
                </w:r>
              </w:sdtContent>
            </w:sdt>
            <w:r w:rsidR="000673D0" w:rsidRPr="00B966F6">
              <w:rPr>
                <w:rFonts w:ascii="Cambria" w:hAnsi="Cambria"/>
                <w:b/>
                <w:bCs/>
                <w:color w:val="FFFFFF" w:themeColor="background1"/>
                <w:sz w:val="20"/>
                <w:szCs w:val="20"/>
              </w:rPr>
              <w:t>:</w:t>
            </w:r>
          </w:p>
        </w:tc>
        <w:tc>
          <w:tcPr>
            <w:tcW w:w="5760" w:type="dxa"/>
            <w:vAlign w:val="center"/>
          </w:tcPr>
          <w:p w14:paraId="23FE9BA4" w14:textId="438C51AF" w:rsidR="000673D0" w:rsidRPr="00B966F6" w:rsidRDefault="00EF4A26" w:rsidP="00B966F6">
            <w:pPr>
              <w:jc w:val="both"/>
              <w:rPr>
                <w:rFonts w:ascii="Cambria" w:hAnsi="Cambria"/>
                <w:bCs/>
                <w:sz w:val="20"/>
                <w:szCs w:val="20"/>
                <w:lang w:val="es-ES"/>
              </w:rPr>
            </w:pPr>
            <w:r w:rsidRPr="00B966F6">
              <w:rPr>
                <w:rFonts w:ascii="Cambria" w:hAnsi="Cambria"/>
                <w:bCs/>
                <w:sz w:val="20"/>
                <w:szCs w:val="20"/>
                <w:lang w:val="es-ES"/>
              </w:rPr>
              <w:t xml:space="preserve">Jesús Salvador Hernández y </w:t>
            </w:r>
            <w:r w:rsidR="00FA78AA">
              <w:rPr>
                <w:rFonts w:ascii="Cambria" w:hAnsi="Cambria"/>
                <w:bCs/>
                <w:sz w:val="20"/>
                <w:szCs w:val="20"/>
                <w:lang w:val="es-ES"/>
              </w:rPr>
              <w:t>otros</w:t>
            </w:r>
            <w:r w:rsidRPr="00B966F6">
              <w:rPr>
                <w:rStyle w:val="FootnoteReference"/>
                <w:rFonts w:ascii="Cambria" w:hAnsi="Cambria"/>
                <w:bCs/>
                <w:sz w:val="20"/>
                <w:szCs w:val="20"/>
                <w:lang w:val="es-ES"/>
              </w:rPr>
              <w:footnoteReference w:id="2"/>
            </w:r>
          </w:p>
        </w:tc>
      </w:tr>
      <w:tr w:rsidR="000673D0" w:rsidRPr="00B966F6" w14:paraId="45362DF7" w14:textId="77777777" w:rsidTr="00B46185">
        <w:tc>
          <w:tcPr>
            <w:tcW w:w="3600" w:type="dxa"/>
            <w:tcBorders>
              <w:top w:val="single" w:sz="6" w:space="0" w:color="auto"/>
              <w:bottom w:val="single" w:sz="6" w:space="0" w:color="auto"/>
            </w:tcBorders>
            <w:shd w:val="clear" w:color="auto" w:fill="386294"/>
            <w:vAlign w:val="center"/>
          </w:tcPr>
          <w:p w14:paraId="652632F5" w14:textId="77777777" w:rsidR="000673D0" w:rsidRPr="00B966F6" w:rsidRDefault="000673D0" w:rsidP="00B966F6">
            <w:pPr>
              <w:jc w:val="center"/>
              <w:rPr>
                <w:rFonts w:ascii="Cambria" w:hAnsi="Cambria"/>
                <w:b/>
                <w:bCs/>
                <w:color w:val="FFFFFF" w:themeColor="background1"/>
                <w:sz w:val="20"/>
                <w:szCs w:val="20"/>
              </w:rPr>
            </w:pPr>
            <w:r w:rsidRPr="00B966F6">
              <w:rPr>
                <w:rFonts w:ascii="Cambria" w:hAnsi="Cambria"/>
                <w:b/>
                <w:bCs/>
                <w:color w:val="FFFFFF" w:themeColor="background1"/>
                <w:sz w:val="20"/>
                <w:szCs w:val="20"/>
              </w:rPr>
              <w:t xml:space="preserve">Estado </w:t>
            </w:r>
            <w:proofErr w:type="spellStart"/>
            <w:r w:rsidRPr="00B966F6">
              <w:rPr>
                <w:rFonts w:ascii="Cambria" w:hAnsi="Cambria"/>
                <w:b/>
                <w:bCs/>
                <w:color w:val="FFFFFF" w:themeColor="background1"/>
                <w:sz w:val="20"/>
                <w:szCs w:val="20"/>
              </w:rPr>
              <w:t>denunciado</w:t>
            </w:r>
            <w:proofErr w:type="spellEnd"/>
            <w:r w:rsidRPr="00B966F6">
              <w:rPr>
                <w:rFonts w:ascii="Cambria" w:hAnsi="Cambria"/>
                <w:b/>
                <w:bCs/>
                <w:color w:val="FFFFFF" w:themeColor="background1"/>
                <w:sz w:val="20"/>
                <w:szCs w:val="20"/>
              </w:rPr>
              <w:t>:</w:t>
            </w:r>
          </w:p>
        </w:tc>
        <w:tc>
          <w:tcPr>
            <w:tcW w:w="5760" w:type="dxa"/>
            <w:vAlign w:val="center"/>
          </w:tcPr>
          <w:p w14:paraId="057DC689" w14:textId="0D9D4510" w:rsidR="000673D0" w:rsidRPr="00B966F6" w:rsidRDefault="0024546E" w:rsidP="00B966F6">
            <w:pPr>
              <w:jc w:val="both"/>
              <w:rPr>
                <w:rFonts w:ascii="Cambria" w:hAnsi="Cambria"/>
                <w:bCs/>
                <w:sz w:val="20"/>
                <w:szCs w:val="20"/>
              </w:rPr>
            </w:pPr>
            <w:r w:rsidRPr="00B966F6">
              <w:rPr>
                <w:rFonts w:ascii="Cambria" w:hAnsi="Cambria"/>
                <w:bCs/>
                <w:sz w:val="20"/>
                <w:szCs w:val="20"/>
              </w:rPr>
              <w:t>Colombia</w:t>
            </w:r>
          </w:p>
        </w:tc>
      </w:tr>
      <w:tr w:rsidR="000673D0" w:rsidRPr="00BC700D" w14:paraId="4329FE9B" w14:textId="77777777" w:rsidTr="00B46185">
        <w:tc>
          <w:tcPr>
            <w:tcW w:w="3600" w:type="dxa"/>
            <w:tcBorders>
              <w:top w:val="single" w:sz="6" w:space="0" w:color="auto"/>
              <w:bottom w:val="single" w:sz="6" w:space="0" w:color="auto"/>
            </w:tcBorders>
            <w:shd w:val="clear" w:color="auto" w:fill="386294"/>
            <w:vAlign w:val="center"/>
          </w:tcPr>
          <w:p w14:paraId="4A8E3F69" w14:textId="77777777" w:rsidR="000673D0" w:rsidRPr="00B966F6" w:rsidRDefault="000673D0" w:rsidP="00B966F6">
            <w:pPr>
              <w:jc w:val="center"/>
              <w:rPr>
                <w:rFonts w:ascii="Cambria" w:hAnsi="Cambria"/>
                <w:b/>
                <w:bCs/>
                <w:color w:val="FFFFFF" w:themeColor="background1"/>
                <w:sz w:val="20"/>
                <w:szCs w:val="20"/>
              </w:rPr>
            </w:pPr>
            <w:r w:rsidRPr="00B966F6">
              <w:rPr>
                <w:rFonts w:ascii="Cambria" w:hAnsi="Cambria"/>
                <w:b/>
                <w:bCs/>
                <w:color w:val="FFFFFF" w:themeColor="background1"/>
                <w:sz w:val="20"/>
                <w:szCs w:val="20"/>
              </w:rPr>
              <w:t>Derechos invocados:</w:t>
            </w:r>
          </w:p>
        </w:tc>
        <w:tc>
          <w:tcPr>
            <w:tcW w:w="5760" w:type="dxa"/>
            <w:vAlign w:val="center"/>
          </w:tcPr>
          <w:p w14:paraId="4E238173" w14:textId="54C2C86F" w:rsidR="000673D0" w:rsidRPr="00B966F6" w:rsidRDefault="00F308F1" w:rsidP="00B966F6">
            <w:pPr>
              <w:jc w:val="both"/>
              <w:rPr>
                <w:rFonts w:ascii="Cambria" w:hAnsi="Cambria"/>
                <w:bCs/>
                <w:sz w:val="20"/>
                <w:szCs w:val="20"/>
                <w:lang w:val="es-PA"/>
              </w:rPr>
            </w:pPr>
            <w:r w:rsidRPr="00B966F6">
              <w:rPr>
                <w:rFonts w:ascii="Cambria" w:hAnsi="Cambria"/>
                <w:bCs/>
                <w:sz w:val="20"/>
                <w:szCs w:val="20"/>
                <w:lang w:val="es-PA"/>
              </w:rPr>
              <w:t xml:space="preserve">Artículos 5 (integridad personal), 7 (libertad personal), 8 (garantías judiciales), 11 (honra y dignidad) y 25 (protección judicial) de la Convención Americana </w:t>
            </w:r>
            <w:r w:rsidR="00B966F6" w:rsidRPr="00B966F6">
              <w:rPr>
                <w:rFonts w:ascii="Cambria" w:hAnsi="Cambria"/>
                <w:bCs/>
                <w:sz w:val="20"/>
                <w:szCs w:val="20"/>
                <w:lang w:val="es-PA"/>
              </w:rPr>
              <w:t>s</w:t>
            </w:r>
            <w:r w:rsidRPr="00B966F6">
              <w:rPr>
                <w:rFonts w:ascii="Cambria" w:hAnsi="Cambria"/>
                <w:bCs/>
                <w:sz w:val="20"/>
                <w:szCs w:val="20"/>
                <w:lang w:val="es-PA"/>
              </w:rPr>
              <w:t>obre Derechos Humanos</w:t>
            </w:r>
            <w:r w:rsidRPr="00B966F6">
              <w:rPr>
                <w:rStyle w:val="FootnoteReference"/>
                <w:rFonts w:ascii="Cambria" w:hAnsi="Cambria"/>
                <w:bCs/>
                <w:sz w:val="20"/>
                <w:szCs w:val="20"/>
                <w:lang w:val="es-PA"/>
              </w:rPr>
              <w:footnoteReference w:id="3"/>
            </w:r>
            <w:r w:rsidRPr="00B966F6">
              <w:rPr>
                <w:rFonts w:ascii="Cambria" w:hAnsi="Cambria"/>
                <w:bCs/>
                <w:sz w:val="20"/>
                <w:szCs w:val="20"/>
                <w:lang w:val="es-PA"/>
              </w:rPr>
              <w:t xml:space="preserve">; y </w:t>
            </w:r>
            <w:r w:rsidR="00B966F6" w:rsidRPr="00B966F6">
              <w:rPr>
                <w:rFonts w:ascii="Cambria" w:hAnsi="Cambria"/>
                <w:bCs/>
                <w:sz w:val="20"/>
                <w:szCs w:val="20"/>
                <w:lang w:val="es-PA"/>
              </w:rPr>
              <w:t>a</w:t>
            </w:r>
            <w:r w:rsidRPr="00B966F6">
              <w:rPr>
                <w:rFonts w:ascii="Cambria" w:hAnsi="Cambria"/>
                <w:bCs/>
                <w:sz w:val="20"/>
                <w:szCs w:val="20"/>
                <w:lang w:val="es-PA"/>
              </w:rPr>
              <w:t>rtículos I (vida, libertad, seguridad e integridad), V (honra, reputación personal y vida privada y familiar) y XVIII (justicia) de la Declaración Americana de Derechos y Deberes del Hombre</w:t>
            </w:r>
            <w:r w:rsidRPr="00B966F6">
              <w:rPr>
                <w:rStyle w:val="FootnoteReference"/>
                <w:rFonts w:ascii="Cambria" w:hAnsi="Cambria"/>
                <w:bCs/>
                <w:sz w:val="20"/>
                <w:szCs w:val="20"/>
                <w:lang w:val="es-PA"/>
              </w:rPr>
              <w:footnoteReference w:id="4"/>
            </w:r>
          </w:p>
        </w:tc>
      </w:tr>
    </w:tbl>
    <w:p w14:paraId="0BBAF01A" w14:textId="77777777" w:rsidR="00B966F6" w:rsidRDefault="00B966F6" w:rsidP="00B966F6">
      <w:pPr>
        <w:ind w:firstLine="720"/>
        <w:jc w:val="both"/>
        <w:rPr>
          <w:rFonts w:ascii="Cambria" w:hAnsi="Cambria"/>
          <w:b/>
          <w:bCs/>
          <w:sz w:val="20"/>
          <w:szCs w:val="20"/>
          <w:lang w:val="es-ES"/>
        </w:rPr>
      </w:pPr>
    </w:p>
    <w:p w14:paraId="3D195461" w14:textId="06885513" w:rsidR="000673D0" w:rsidRPr="00B966F6" w:rsidRDefault="000673D0" w:rsidP="00D70C9D">
      <w:pPr>
        <w:pStyle w:val="ListParagraph"/>
        <w:numPr>
          <w:ilvl w:val="0"/>
          <w:numId w:val="59"/>
        </w:numPr>
        <w:jc w:val="both"/>
        <w:rPr>
          <w:b/>
          <w:bCs/>
          <w:sz w:val="20"/>
          <w:szCs w:val="20"/>
          <w:lang w:val="es-ES"/>
        </w:rPr>
      </w:pPr>
      <w:r w:rsidRPr="00B966F6">
        <w:rPr>
          <w:b/>
          <w:bCs/>
          <w:sz w:val="20"/>
          <w:szCs w:val="20"/>
          <w:lang w:val="es-ES"/>
        </w:rPr>
        <w:t>TRÁMITE ANTE LA CIDH</w:t>
      </w:r>
      <w:r w:rsidRPr="00B966F6">
        <w:rPr>
          <w:rStyle w:val="FootnoteReference"/>
          <w:bCs/>
          <w:sz w:val="20"/>
          <w:szCs w:val="20"/>
        </w:rPr>
        <w:footnoteReference w:id="5"/>
      </w:r>
    </w:p>
    <w:p w14:paraId="37DBCE5B" w14:textId="77777777" w:rsidR="00B966F6" w:rsidRPr="00B966F6" w:rsidRDefault="00B966F6" w:rsidP="00B966F6">
      <w:pPr>
        <w:pStyle w:val="ListParagraph"/>
        <w:ind w:left="1440"/>
        <w:jc w:val="both"/>
        <w:rPr>
          <w:b/>
          <w:bCs/>
          <w:sz w:val="20"/>
          <w:szCs w:val="20"/>
          <w:lang w:val="es-ES"/>
        </w:rPr>
      </w:pP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0673D0" w:rsidRPr="00B966F6" w14:paraId="6D778EBA" w14:textId="77777777" w:rsidTr="00B46185">
        <w:tc>
          <w:tcPr>
            <w:tcW w:w="3600" w:type="dxa"/>
            <w:tcBorders>
              <w:top w:val="single" w:sz="6" w:space="0" w:color="auto"/>
              <w:bottom w:val="single" w:sz="6" w:space="0" w:color="auto"/>
            </w:tcBorders>
            <w:shd w:val="clear" w:color="auto" w:fill="386294"/>
            <w:vAlign w:val="center"/>
          </w:tcPr>
          <w:p w14:paraId="0FC6DF70" w14:textId="77777777" w:rsidR="000673D0" w:rsidRPr="00B966F6" w:rsidRDefault="000673D0" w:rsidP="00B966F6">
            <w:pPr>
              <w:jc w:val="center"/>
              <w:rPr>
                <w:rFonts w:ascii="Cambria" w:hAnsi="Cambria"/>
                <w:b/>
                <w:bCs/>
                <w:color w:val="FFFFFF" w:themeColor="background1"/>
                <w:sz w:val="20"/>
                <w:szCs w:val="20"/>
                <w:lang w:val="es-ES"/>
              </w:rPr>
            </w:pPr>
            <w:r w:rsidRPr="00B966F6">
              <w:rPr>
                <w:rFonts w:ascii="Cambria" w:hAnsi="Cambria"/>
                <w:b/>
                <w:bCs/>
                <w:color w:val="FFFFFF" w:themeColor="background1"/>
                <w:sz w:val="20"/>
                <w:szCs w:val="20"/>
                <w:lang w:val="es-ES"/>
              </w:rPr>
              <w:t>Presentación de la petición:</w:t>
            </w:r>
          </w:p>
        </w:tc>
        <w:tc>
          <w:tcPr>
            <w:tcW w:w="5760" w:type="dxa"/>
            <w:vAlign w:val="center"/>
          </w:tcPr>
          <w:p w14:paraId="5B768921" w14:textId="3630D309" w:rsidR="000673D0" w:rsidRPr="00B966F6" w:rsidRDefault="00F308F1" w:rsidP="00B966F6">
            <w:pPr>
              <w:jc w:val="both"/>
              <w:rPr>
                <w:rFonts w:ascii="Cambria" w:hAnsi="Cambria"/>
                <w:bCs/>
                <w:sz w:val="20"/>
                <w:szCs w:val="20"/>
                <w:lang w:val="es-ES"/>
              </w:rPr>
            </w:pPr>
            <w:r w:rsidRPr="00B966F6">
              <w:rPr>
                <w:rFonts w:ascii="Cambria" w:hAnsi="Cambria"/>
                <w:bCs/>
                <w:sz w:val="20"/>
                <w:szCs w:val="20"/>
                <w:lang w:val="es-ES"/>
              </w:rPr>
              <w:t>8 de julio de 2009</w:t>
            </w:r>
          </w:p>
        </w:tc>
      </w:tr>
      <w:tr w:rsidR="000673D0" w:rsidRPr="00B966F6" w14:paraId="5511A9CE" w14:textId="77777777" w:rsidTr="00B46185">
        <w:tc>
          <w:tcPr>
            <w:tcW w:w="3600" w:type="dxa"/>
            <w:tcBorders>
              <w:top w:val="single" w:sz="6" w:space="0" w:color="auto"/>
              <w:bottom w:val="single" w:sz="6" w:space="0" w:color="auto"/>
            </w:tcBorders>
            <w:shd w:val="clear" w:color="auto" w:fill="386294"/>
            <w:vAlign w:val="center"/>
          </w:tcPr>
          <w:p w14:paraId="1EAB6A50" w14:textId="77777777" w:rsidR="000673D0" w:rsidRPr="00B966F6" w:rsidRDefault="000673D0" w:rsidP="00B966F6">
            <w:pPr>
              <w:jc w:val="center"/>
              <w:rPr>
                <w:rFonts w:ascii="Cambria" w:hAnsi="Cambria"/>
                <w:b/>
                <w:bCs/>
                <w:color w:val="FFFFFF" w:themeColor="background1"/>
                <w:sz w:val="20"/>
                <w:szCs w:val="20"/>
                <w:lang w:val="es-ES"/>
              </w:rPr>
            </w:pPr>
            <w:r w:rsidRPr="00B966F6">
              <w:rPr>
                <w:rFonts w:ascii="Cambria" w:hAnsi="Cambria"/>
                <w:b/>
                <w:color w:val="FFFFFF" w:themeColor="background1"/>
                <w:sz w:val="20"/>
                <w:szCs w:val="20"/>
                <w:lang w:val="es-ES"/>
              </w:rPr>
              <w:t>Notificación de la petición al Estado:</w:t>
            </w:r>
          </w:p>
        </w:tc>
        <w:tc>
          <w:tcPr>
            <w:tcW w:w="5760" w:type="dxa"/>
            <w:vAlign w:val="center"/>
          </w:tcPr>
          <w:p w14:paraId="311A328A" w14:textId="53CEF4E1" w:rsidR="000673D0" w:rsidRPr="00B966F6" w:rsidRDefault="00A77712" w:rsidP="00B966F6">
            <w:pPr>
              <w:jc w:val="both"/>
              <w:rPr>
                <w:rFonts w:ascii="Cambria" w:hAnsi="Cambria"/>
                <w:bCs/>
                <w:sz w:val="20"/>
                <w:szCs w:val="20"/>
                <w:lang w:val="es-ES"/>
              </w:rPr>
            </w:pPr>
            <w:r w:rsidRPr="00B966F6">
              <w:rPr>
                <w:rFonts w:ascii="Cambria" w:hAnsi="Cambria"/>
                <w:bCs/>
                <w:sz w:val="20"/>
                <w:szCs w:val="20"/>
                <w:lang w:val="es-ES"/>
              </w:rPr>
              <w:t>16</w:t>
            </w:r>
            <w:r w:rsidR="00F308F1" w:rsidRPr="00B966F6">
              <w:rPr>
                <w:rFonts w:ascii="Cambria" w:hAnsi="Cambria"/>
                <w:bCs/>
                <w:sz w:val="20"/>
                <w:szCs w:val="20"/>
                <w:lang w:val="es-ES"/>
              </w:rPr>
              <w:t xml:space="preserve"> de junio de 2014</w:t>
            </w:r>
          </w:p>
        </w:tc>
      </w:tr>
      <w:tr w:rsidR="000673D0" w:rsidRPr="00B966F6" w14:paraId="474D175D" w14:textId="77777777" w:rsidTr="00B46185">
        <w:tc>
          <w:tcPr>
            <w:tcW w:w="3600" w:type="dxa"/>
            <w:tcBorders>
              <w:top w:val="single" w:sz="6" w:space="0" w:color="auto"/>
              <w:bottom w:val="single" w:sz="6" w:space="0" w:color="auto"/>
            </w:tcBorders>
            <w:shd w:val="clear" w:color="auto" w:fill="386294"/>
            <w:vAlign w:val="center"/>
          </w:tcPr>
          <w:p w14:paraId="21AC1D3A" w14:textId="77777777" w:rsidR="000673D0" w:rsidRPr="00B966F6" w:rsidRDefault="000673D0" w:rsidP="00B966F6">
            <w:pPr>
              <w:jc w:val="center"/>
              <w:rPr>
                <w:rFonts w:ascii="Cambria" w:hAnsi="Cambria"/>
                <w:b/>
                <w:bCs/>
                <w:color w:val="FFFFFF" w:themeColor="background1"/>
                <w:sz w:val="20"/>
                <w:szCs w:val="20"/>
                <w:lang w:val="es-ES"/>
              </w:rPr>
            </w:pPr>
            <w:r w:rsidRPr="00B966F6">
              <w:rPr>
                <w:rFonts w:ascii="Cambria" w:hAnsi="Cambria"/>
                <w:b/>
                <w:color w:val="FFFFFF" w:themeColor="background1"/>
                <w:sz w:val="20"/>
                <w:szCs w:val="20"/>
                <w:lang w:val="es-ES"/>
              </w:rPr>
              <w:t>Primera respuesta del Estado:</w:t>
            </w:r>
          </w:p>
        </w:tc>
        <w:tc>
          <w:tcPr>
            <w:tcW w:w="5760" w:type="dxa"/>
            <w:vAlign w:val="center"/>
          </w:tcPr>
          <w:p w14:paraId="62EA084B" w14:textId="2D493D2E" w:rsidR="000673D0" w:rsidRPr="00B966F6" w:rsidRDefault="005246D3" w:rsidP="00B966F6">
            <w:pPr>
              <w:jc w:val="both"/>
              <w:rPr>
                <w:rFonts w:ascii="Cambria" w:hAnsi="Cambria"/>
                <w:bCs/>
                <w:sz w:val="20"/>
                <w:szCs w:val="20"/>
                <w:lang w:val="es-ES"/>
              </w:rPr>
            </w:pPr>
            <w:r w:rsidRPr="00B966F6">
              <w:rPr>
                <w:rFonts w:ascii="Cambria" w:hAnsi="Cambria"/>
                <w:bCs/>
                <w:sz w:val="20"/>
                <w:szCs w:val="20"/>
                <w:lang w:val="es-ES"/>
              </w:rPr>
              <w:t>3 de septiembre de 2014</w:t>
            </w:r>
          </w:p>
        </w:tc>
      </w:tr>
      <w:tr w:rsidR="0096697B" w:rsidRPr="00B966F6" w14:paraId="5B03CD16" w14:textId="77777777" w:rsidTr="00B46185">
        <w:tc>
          <w:tcPr>
            <w:tcW w:w="3600" w:type="dxa"/>
            <w:tcBorders>
              <w:top w:val="single" w:sz="6" w:space="0" w:color="auto"/>
              <w:bottom w:val="single" w:sz="6" w:space="0" w:color="auto"/>
            </w:tcBorders>
            <w:shd w:val="clear" w:color="auto" w:fill="386294"/>
            <w:vAlign w:val="center"/>
          </w:tcPr>
          <w:p w14:paraId="61819B75" w14:textId="749FEB2C" w:rsidR="0096697B" w:rsidRPr="00B966F6" w:rsidRDefault="0096697B" w:rsidP="00B966F6">
            <w:pPr>
              <w:jc w:val="center"/>
              <w:rPr>
                <w:rFonts w:ascii="Cambria" w:hAnsi="Cambria"/>
                <w:b/>
                <w:color w:val="FFFFFF" w:themeColor="background1"/>
                <w:sz w:val="20"/>
                <w:szCs w:val="20"/>
                <w:lang w:val="es-ES"/>
              </w:rPr>
            </w:pPr>
            <w:r w:rsidRPr="00B966F6">
              <w:rPr>
                <w:rFonts w:ascii="Cambria" w:hAnsi="Cambria"/>
                <w:b/>
                <w:bCs/>
                <w:color w:val="FFFFFF" w:themeColor="background1"/>
                <w:sz w:val="20"/>
                <w:szCs w:val="20"/>
                <w:lang w:val="es-ES"/>
              </w:rPr>
              <w:t>Observaciones adicionales de la parte peticionaria:</w:t>
            </w:r>
          </w:p>
        </w:tc>
        <w:tc>
          <w:tcPr>
            <w:tcW w:w="5760" w:type="dxa"/>
            <w:vAlign w:val="center"/>
          </w:tcPr>
          <w:p w14:paraId="4435B23E" w14:textId="492B81EB" w:rsidR="0096697B" w:rsidRPr="00B966F6" w:rsidRDefault="00A77712" w:rsidP="00B966F6">
            <w:pPr>
              <w:jc w:val="both"/>
              <w:rPr>
                <w:rFonts w:ascii="Cambria" w:hAnsi="Cambria"/>
                <w:bCs/>
                <w:sz w:val="20"/>
                <w:szCs w:val="20"/>
                <w:lang w:val="es-ES"/>
              </w:rPr>
            </w:pPr>
            <w:r w:rsidRPr="00B966F6">
              <w:rPr>
                <w:rFonts w:ascii="Cambria" w:hAnsi="Cambria"/>
                <w:bCs/>
                <w:sz w:val="20"/>
                <w:szCs w:val="20"/>
                <w:lang w:val="es-ES"/>
              </w:rPr>
              <w:t>9 y 22 de enero de 2015</w:t>
            </w:r>
            <w:r w:rsidR="00CF41C4" w:rsidRPr="00B966F6">
              <w:rPr>
                <w:rStyle w:val="FootnoteReference"/>
                <w:rFonts w:ascii="Cambria" w:hAnsi="Cambria"/>
                <w:bCs/>
                <w:sz w:val="20"/>
                <w:szCs w:val="20"/>
                <w:lang w:val="es-ES"/>
              </w:rPr>
              <w:footnoteReference w:id="6"/>
            </w:r>
            <w:r w:rsidR="0030535D" w:rsidRPr="00B966F6">
              <w:rPr>
                <w:rFonts w:ascii="Cambria" w:hAnsi="Cambria"/>
                <w:bCs/>
                <w:sz w:val="20"/>
                <w:szCs w:val="20"/>
                <w:lang w:val="es-ES"/>
              </w:rPr>
              <w:t xml:space="preserve"> </w:t>
            </w:r>
          </w:p>
        </w:tc>
      </w:tr>
      <w:tr w:rsidR="00BB79D4" w:rsidRPr="00BC700D" w14:paraId="2D37E013" w14:textId="77777777" w:rsidTr="00B46185">
        <w:tc>
          <w:tcPr>
            <w:tcW w:w="3600" w:type="dxa"/>
            <w:tcBorders>
              <w:top w:val="single" w:sz="6" w:space="0" w:color="auto"/>
              <w:bottom w:val="single" w:sz="6" w:space="0" w:color="auto"/>
            </w:tcBorders>
            <w:shd w:val="clear" w:color="auto" w:fill="386294"/>
            <w:vAlign w:val="center"/>
          </w:tcPr>
          <w:p w14:paraId="2ED2E99D" w14:textId="1769A6A0" w:rsidR="00BB79D4" w:rsidRPr="00B966F6" w:rsidRDefault="00BB79D4" w:rsidP="00B966F6">
            <w:pPr>
              <w:jc w:val="center"/>
              <w:rPr>
                <w:rFonts w:ascii="Cambria" w:hAnsi="Cambria"/>
                <w:b/>
                <w:bCs/>
                <w:color w:val="FFFFFF" w:themeColor="background1"/>
                <w:sz w:val="20"/>
                <w:szCs w:val="20"/>
                <w:lang w:val="es-ES"/>
              </w:rPr>
            </w:pPr>
            <w:r w:rsidRPr="00B966F6">
              <w:rPr>
                <w:rFonts w:ascii="Cambria" w:hAnsi="Cambria"/>
                <w:b/>
                <w:bCs/>
                <w:color w:val="FFFFFF" w:themeColor="background1"/>
                <w:sz w:val="20"/>
                <w:szCs w:val="20"/>
                <w:lang w:val="es-ES"/>
              </w:rPr>
              <w:t xml:space="preserve">Observaciones adicionales del Estado: </w:t>
            </w:r>
          </w:p>
        </w:tc>
        <w:tc>
          <w:tcPr>
            <w:tcW w:w="5760" w:type="dxa"/>
            <w:vAlign w:val="center"/>
          </w:tcPr>
          <w:p w14:paraId="6C58FEE7" w14:textId="7684D226" w:rsidR="00BB79D4" w:rsidRPr="00B966F6" w:rsidRDefault="00A77712" w:rsidP="00B966F6">
            <w:pPr>
              <w:jc w:val="both"/>
              <w:rPr>
                <w:rFonts w:ascii="Cambria" w:hAnsi="Cambria"/>
                <w:bCs/>
                <w:sz w:val="20"/>
                <w:szCs w:val="20"/>
                <w:lang w:val="es-PA"/>
              </w:rPr>
            </w:pPr>
            <w:r w:rsidRPr="00B966F6">
              <w:rPr>
                <w:rFonts w:ascii="Cambria" w:hAnsi="Cambria"/>
                <w:bCs/>
                <w:sz w:val="20"/>
                <w:szCs w:val="20"/>
                <w:lang w:val="es-ES"/>
              </w:rPr>
              <w:t>29 de julio de 2015</w:t>
            </w:r>
            <w:r w:rsidR="00CF41C4" w:rsidRPr="00B966F6">
              <w:rPr>
                <w:rFonts w:ascii="Cambria" w:hAnsi="Cambria"/>
                <w:bCs/>
                <w:sz w:val="20"/>
                <w:szCs w:val="20"/>
                <w:lang w:val="es-ES"/>
              </w:rPr>
              <w:t xml:space="preserve"> y 30 de </w:t>
            </w:r>
            <w:r w:rsidR="00B966F6" w:rsidRPr="00B966F6">
              <w:rPr>
                <w:rFonts w:ascii="Cambria" w:hAnsi="Cambria"/>
                <w:bCs/>
                <w:sz w:val="20"/>
                <w:szCs w:val="20"/>
                <w:lang w:val="es-ES"/>
              </w:rPr>
              <w:t>septiembre de</w:t>
            </w:r>
            <w:r w:rsidR="00CF41C4" w:rsidRPr="00B966F6">
              <w:rPr>
                <w:rFonts w:ascii="Cambria" w:hAnsi="Cambria"/>
                <w:bCs/>
                <w:sz w:val="20"/>
                <w:szCs w:val="20"/>
                <w:lang w:val="es-ES"/>
              </w:rPr>
              <w:t xml:space="preserve"> 2020</w:t>
            </w:r>
          </w:p>
        </w:tc>
      </w:tr>
    </w:tbl>
    <w:p w14:paraId="11A54A48" w14:textId="77777777" w:rsidR="00B966F6" w:rsidRDefault="00B966F6" w:rsidP="00B966F6">
      <w:pPr>
        <w:ind w:firstLine="720"/>
        <w:jc w:val="both"/>
        <w:rPr>
          <w:rFonts w:ascii="Cambria" w:hAnsi="Cambria"/>
          <w:b/>
          <w:bCs/>
          <w:sz w:val="20"/>
          <w:szCs w:val="20"/>
          <w:lang w:val="es-ES"/>
        </w:rPr>
      </w:pPr>
    </w:p>
    <w:p w14:paraId="738616C2" w14:textId="00120C56" w:rsidR="000673D0" w:rsidRDefault="000673D0" w:rsidP="00D70C9D">
      <w:pPr>
        <w:pStyle w:val="ListParagraph"/>
        <w:numPr>
          <w:ilvl w:val="0"/>
          <w:numId w:val="59"/>
        </w:numPr>
        <w:jc w:val="both"/>
        <w:rPr>
          <w:b/>
          <w:bCs/>
          <w:sz w:val="20"/>
          <w:szCs w:val="20"/>
          <w:lang w:val="es-ES"/>
        </w:rPr>
      </w:pPr>
      <w:r w:rsidRPr="00B966F6">
        <w:rPr>
          <w:b/>
          <w:bCs/>
          <w:sz w:val="20"/>
          <w:szCs w:val="20"/>
          <w:lang w:val="es-ES"/>
        </w:rPr>
        <w:t xml:space="preserve">COMPETENCIA </w:t>
      </w:r>
    </w:p>
    <w:p w14:paraId="4F6FFA0F" w14:textId="77777777" w:rsidR="00B966F6" w:rsidRPr="00B966F6" w:rsidRDefault="00B966F6" w:rsidP="00B966F6">
      <w:pPr>
        <w:pStyle w:val="ListParagraph"/>
        <w:ind w:left="1440"/>
        <w:jc w:val="both"/>
        <w:rPr>
          <w:b/>
          <w:bCs/>
          <w:sz w:val="20"/>
          <w:szCs w:val="20"/>
          <w:lang w:val="es-ES"/>
        </w:rPr>
      </w:pPr>
    </w:p>
    <w:tbl>
      <w:tblPr>
        <w:tblStyle w:val="TableGrid"/>
        <w:tblW w:w="9427" w:type="dxa"/>
        <w:tblInd w:w="108" w:type="dxa"/>
        <w:tblBorders>
          <w:insideH w:val="single" w:sz="6" w:space="0" w:color="auto"/>
          <w:insideV w:val="single" w:sz="6" w:space="0" w:color="auto"/>
        </w:tblBorders>
        <w:tblLook w:val="04A0" w:firstRow="1" w:lastRow="0" w:firstColumn="1" w:lastColumn="0" w:noHBand="0" w:noVBand="1"/>
      </w:tblPr>
      <w:tblGrid>
        <w:gridCol w:w="3667"/>
        <w:gridCol w:w="5760"/>
      </w:tblGrid>
      <w:tr w:rsidR="00B966F6" w:rsidRPr="00B966F6" w14:paraId="3225DD29" w14:textId="77777777" w:rsidTr="00B966F6">
        <w:trPr>
          <w:cantSplit/>
        </w:trPr>
        <w:tc>
          <w:tcPr>
            <w:tcW w:w="3667" w:type="dxa"/>
            <w:tcBorders>
              <w:top w:val="single" w:sz="4" w:space="0" w:color="auto"/>
              <w:bottom w:val="single" w:sz="6" w:space="0" w:color="auto"/>
            </w:tcBorders>
            <w:shd w:val="clear" w:color="auto" w:fill="386294"/>
            <w:vAlign w:val="center"/>
          </w:tcPr>
          <w:p w14:paraId="7A2417B8" w14:textId="77777777" w:rsidR="00B966F6" w:rsidRPr="00B966F6" w:rsidRDefault="00B966F6" w:rsidP="00B966F6">
            <w:pPr>
              <w:jc w:val="center"/>
              <w:rPr>
                <w:rFonts w:ascii="Cambria" w:hAnsi="Cambria"/>
                <w:b/>
                <w:bCs/>
                <w:i/>
                <w:color w:val="FFFFFF" w:themeColor="background1"/>
                <w:sz w:val="20"/>
                <w:szCs w:val="20"/>
              </w:rPr>
            </w:pPr>
            <w:r w:rsidRPr="00B966F6">
              <w:rPr>
                <w:rFonts w:ascii="Cambria" w:hAnsi="Cambria"/>
                <w:b/>
                <w:bCs/>
                <w:color w:val="FFFFFF" w:themeColor="background1"/>
                <w:sz w:val="20"/>
                <w:szCs w:val="20"/>
              </w:rPr>
              <w:t>Competencia</w:t>
            </w:r>
            <w:r w:rsidRPr="00B966F6">
              <w:rPr>
                <w:rFonts w:ascii="Cambria" w:hAnsi="Cambria"/>
                <w:b/>
                <w:bCs/>
                <w:i/>
                <w:color w:val="FFFFFF" w:themeColor="background1"/>
                <w:sz w:val="20"/>
                <w:szCs w:val="20"/>
              </w:rPr>
              <w:t xml:space="preserve"> Ratione personae:</w:t>
            </w:r>
          </w:p>
        </w:tc>
        <w:tc>
          <w:tcPr>
            <w:tcW w:w="5760" w:type="dxa"/>
            <w:vAlign w:val="center"/>
          </w:tcPr>
          <w:p w14:paraId="55AEE8CD" w14:textId="2500E4C3" w:rsidR="00B966F6" w:rsidRPr="00B966F6" w:rsidRDefault="00B966F6" w:rsidP="00B966F6">
            <w:pPr>
              <w:rPr>
                <w:rFonts w:ascii="Cambria" w:hAnsi="Cambria"/>
                <w:bCs/>
                <w:sz w:val="20"/>
                <w:szCs w:val="20"/>
              </w:rPr>
            </w:pPr>
            <w:r w:rsidRPr="00B966F6">
              <w:rPr>
                <w:rFonts w:ascii="Cambria" w:hAnsi="Cambria"/>
                <w:bCs/>
                <w:sz w:val="20"/>
                <w:szCs w:val="20"/>
              </w:rPr>
              <w:t>Sí</w:t>
            </w:r>
          </w:p>
        </w:tc>
      </w:tr>
      <w:tr w:rsidR="00B966F6" w:rsidRPr="00B966F6" w14:paraId="10BCE6F2" w14:textId="77777777" w:rsidTr="00B966F6">
        <w:trPr>
          <w:cantSplit/>
        </w:trPr>
        <w:tc>
          <w:tcPr>
            <w:tcW w:w="3667" w:type="dxa"/>
            <w:tcBorders>
              <w:top w:val="single" w:sz="6" w:space="0" w:color="auto"/>
              <w:bottom w:val="single" w:sz="6" w:space="0" w:color="auto"/>
            </w:tcBorders>
            <w:shd w:val="clear" w:color="auto" w:fill="386294"/>
            <w:vAlign w:val="center"/>
          </w:tcPr>
          <w:p w14:paraId="71A23BD1" w14:textId="77777777" w:rsidR="00B966F6" w:rsidRPr="00B966F6" w:rsidRDefault="00B966F6" w:rsidP="00B966F6">
            <w:pPr>
              <w:jc w:val="center"/>
              <w:rPr>
                <w:rFonts w:ascii="Cambria" w:hAnsi="Cambria"/>
                <w:b/>
                <w:bCs/>
                <w:color w:val="FFFFFF" w:themeColor="background1"/>
                <w:sz w:val="20"/>
                <w:szCs w:val="20"/>
              </w:rPr>
            </w:pPr>
            <w:r w:rsidRPr="00B966F6">
              <w:rPr>
                <w:rFonts w:ascii="Cambria" w:hAnsi="Cambria"/>
                <w:b/>
                <w:bCs/>
                <w:color w:val="FFFFFF" w:themeColor="background1"/>
                <w:sz w:val="20"/>
                <w:szCs w:val="20"/>
              </w:rPr>
              <w:t>Competencia</w:t>
            </w:r>
            <w:r w:rsidRPr="00B966F6">
              <w:rPr>
                <w:rFonts w:ascii="Cambria" w:hAnsi="Cambria"/>
                <w:b/>
                <w:bCs/>
                <w:i/>
                <w:color w:val="FFFFFF" w:themeColor="background1"/>
                <w:sz w:val="20"/>
                <w:szCs w:val="20"/>
              </w:rPr>
              <w:t xml:space="preserve"> Ratione loci</w:t>
            </w:r>
            <w:r w:rsidRPr="00B966F6">
              <w:rPr>
                <w:rFonts w:ascii="Cambria" w:hAnsi="Cambria"/>
                <w:b/>
                <w:bCs/>
                <w:color w:val="FFFFFF" w:themeColor="background1"/>
                <w:sz w:val="20"/>
                <w:szCs w:val="20"/>
              </w:rPr>
              <w:t>:</w:t>
            </w:r>
          </w:p>
        </w:tc>
        <w:tc>
          <w:tcPr>
            <w:tcW w:w="5760" w:type="dxa"/>
            <w:vAlign w:val="center"/>
          </w:tcPr>
          <w:p w14:paraId="77DDBD87" w14:textId="06AFFA97" w:rsidR="00B966F6" w:rsidRPr="00B966F6" w:rsidRDefault="00B966F6" w:rsidP="00B966F6">
            <w:pPr>
              <w:rPr>
                <w:rFonts w:ascii="Cambria" w:hAnsi="Cambria"/>
                <w:bCs/>
                <w:sz w:val="20"/>
                <w:szCs w:val="20"/>
              </w:rPr>
            </w:pPr>
            <w:r w:rsidRPr="00B966F6">
              <w:rPr>
                <w:rFonts w:ascii="Cambria" w:hAnsi="Cambria"/>
                <w:bCs/>
                <w:sz w:val="20"/>
                <w:szCs w:val="20"/>
              </w:rPr>
              <w:t>Sí</w:t>
            </w:r>
          </w:p>
        </w:tc>
      </w:tr>
      <w:tr w:rsidR="00B966F6" w:rsidRPr="00B966F6" w14:paraId="351D9A06" w14:textId="77777777" w:rsidTr="00B966F6">
        <w:trPr>
          <w:cantSplit/>
        </w:trPr>
        <w:tc>
          <w:tcPr>
            <w:tcW w:w="3667" w:type="dxa"/>
            <w:tcBorders>
              <w:top w:val="single" w:sz="6" w:space="0" w:color="auto"/>
              <w:bottom w:val="single" w:sz="6" w:space="0" w:color="auto"/>
            </w:tcBorders>
            <w:shd w:val="clear" w:color="auto" w:fill="386294"/>
            <w:vAlign w:val="center"/>
          </w:tcPr>
          <w:p w14:paraId="39F491FA" w14:textId="77777777" w:rsidR="00B966F6" w:rsidRPr="00B966F6" w:rsidRDefault="00B966F6" w:rsidP="00B966F6">
            <w:pPr>
              <w:jc w:val="center"/>
              <w:rPr>
                <w:rFonts w:ascii="Cambria" w:hAnsi="Cambria"/>
                <w:b/>
                <w:bCs/>
                <w:color w:val="FFFFFF" w:themeColor="background1"/>
                <w:sz w:val="20"/>
                <w:szCs w:val="20"/>
              </w:rPr>
            </w:pPr>
            <w:r w:rsidRPr="00B966F6">
              <w:rPr>
                <w:rFonts w:ascii="Cambria" w:hAnsi="Cambria"/>
                <w:b/>
                <w:bCs/>
                <w:color w:val="FFFFFF" w:themeColor="background1"/>
                <w:sz w:val="20"/>
                <w:szCs w:val="20"/>
              </w:rPr>
              <w:t>Competencia</w:t>
            </w:r>
            <w:r w:rsidRPr="00B966F6">
              <w:rPr>
                <w:rFonts w:ascii="Cambria" w:hAnsi="Cambria"/>
                <w:b/>
                <w:bCs/>
                <w:i/>
                <w:color w:val="FFFFFF" w:themeColor="background1"/>
                <w:sz w:val="20"/>
                <w:szCs w:val="20"/>
              </w:rPr>
              <w:t xml:space="preserve"> Ratione temporis</w:t>
            </w:r>
            <w:r w:rsidRPr="00B966F6">
              <w:rPr>
                <w:rFonts w:ascii="Cambria" w:hAnsi="Cambria"/>
                <w:b/>
                <w:bCs/>
                <w:color w:val="FFFFFF" w:themeColor="background1"/>
                <w:sz w:val="20"/>
                <w:szCs w:val="20"/>
              </w:rPr>
              <w:t>:</w:t>
            </w:r>
          </w:p>
        </w:tc>
        <w:tc>
          <w:tcPr>
            <w:tcW w:w="5760" w:type="dxa"/>
            <w:vAlign w:val="center"/>
          </w:tcPr>
          <w:p w14:paraId="76910945" w14:textId="25105381" w:rsidR="00B966F6" w:rsidRPr="00B966F6" w:rsidRDefault="00B966F6" w:rsidP="00B966F6">
            <w:pPr>
              <w:rPr>
                <w:rFonts w:ascii="Cambria" w:hAnsi="Cambria"/>
                <w:bCs/>
                <w:sz w:val="20"/>
                <w:szCs w:val="20"/>
                <w:lang w:val="es-PA"/>
              </w:rPr>
            </w:pPr>
            <w:r w:rsidRPr="00B966F6">
              <w:rPr>
                <w:rFonts w:ascii="Cambria" w:hAnsi="Cambria"/>
                <w:bCs/>
                <w:sz w:val="20"/>
                <w:szCs w:val="20"/>
                <w:lang w:val="es-PA"/>
              </w:rPr>
              <w:t xml:space="preserve">Sí, </w:t>
            </w:r>
            <w:r w:rsidRPr="00B966F6">
              <w:rPr>
                <w:rFonts w:ascii="Cambria" w:hAnsi="Cambria"/>
                <w:sz w:val="20"/>
                <w:szCs w:val="20"/>
                <w:lang w:val="es-PA"/>
              </w:rPr>
              <w:t>Convención Americana</w:t>
            </w:r>
          </w:p>
        </w:tc>
      </w:tr>
      <w:tr w:rsidR="00B966F6" w:rsidRPr="00B966F6" w14:paraId="160B34C2" w14:textId="77777777" w:rsidTr="00B966F6">
        <w:trPr>
          <w:cantSplit/>
        </w:trPr>
        <w:tc>
          <w:tcPr>
            <w:tcW w:w="3667" w:type="dxa"/>
            <w:tcBorders>
              <w:top w:val="single" w:sz="6" w:space="0" w:color="auto"/>
              <w:bottom w:val="single" w:sz="6" w:space="0" w:color="auto"/>
            </w:tcBorders>
            <w:shd w:val="clear" w:color="auto" w:fill="386294"/>
            <w:vAlign w:val="center"/>
          </w:tcPr>
          <w:p w14:paraId="4BAA98B1" w14:textId="77777777" w:rsidR="00B966F6" w:rsidRPr="00B966F6" w:rsidRDefault="00B966F6" w:rsidP="00B966F6">
            <w:pPr>
              <w:jc w:val="center"/>
              <w:rPr>
                <w:rFonts w:ascii="Cambria" w:hAnsi="Cambria"/>
                <w:b/>
                <w:bCs/>
                <w:color w:val="FFFFFF" w:themeColor="background1"/>
                <w:sz w:val="20"/>
                <w:szCs w:val="20"/>
              </w:rPr>
            </w:pPr>
            <w:r w:rsidRPr="00B966F6">
              <w:rPr>
                <w:rFonts w:ascii="Cambria" w:hAnsi="Cambria"/>
                <w:b/>
                <w:bCs/>
                <w:color w:val="FFFFFF" w:themeColor="background1"/>
                <w:sz w:val="20"/>
                <w:szCs w:val="20"/>
              </w:rPr>
              <w:t>Competencia</w:t>
            </w:r>
            <w:r w:rsidRPr="00B966F6">
              <w:rPr>
                <w:rFonts w:ascii="Cambria" w:hAnsi="Cambria"/>
                <w:b/>
                <w:bCs/>
                <w:i/>
                <w:color w:val="FFFFFF" w:themeColor="background1"/>
                <w:sz w:val="20"/>
                <w:szCs w:val="20"/>
              </w:rPr>
              <w:t xml:space="preserve"> Ratione materiae</w:t>
            </w:r>
            <w:r w:rsidRPr="00B966F6">
              <w:rPr>
                <w:rFonts w:ascii="Cambria" w:hAnsi="Cambria"/>
                <w:b/>
                <w:bCs/>
                <w:color w:val="FFFFFF" w:themeColor="background1"/>
                <w:sz w:val="20"/>
                <w:szCs w:val="20"/>
              </w:rPr>
              <w:t>:</w:t>
            </w:r>
          </w:p>
        </w:tc>
        <w:tc>
          <w:tcPr>
            <w:tcW w:w="5760" w:type="dxa"/>
            <w:vAlign w:val="center"/>
          </w:tcPr>
          <w:p w14:paraId="78F36C0F" w14:textId="40FF0FD0" w:rsidR="00B966F6" w:rsidRPr="00B966F6" w:rsidRDefault="00B966F6" w:rsidP="00B966F6">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ES"/>
              </w:rPr>
            </w:pPr>
            <w:r w:rsidRPr="00B966F6">
              <w:rPr>
                <w:rFonts w:ascii="Cambria" w:hAnsi="Cambria"/>
                <w:bCs/>
                <w:sz w:val="20"/>
                <w:szCs w:val="20"/>
                <w:lang w:val="es-ES"/>
              </w:rPr>
              <w:t>Sí, Convención Americana (depósito del instrumento realizado el</w:t>
            </w:r>
          </w:p>
          <w:p w14:paraId="6AB0A733" w14:textId="2D858518" w:rsidR="00B966F6" w:rsidRPr="00B966F6" w:rsidRDefault="00B966F6" w:rsidP="00B966F6">
            <w:pPr>
              <w:jc w:val="both"/>
              <w:rPr>
                <w:rFonts w:ascii="Cambria" w:hAnsi="Cambria"/>
                <w:bCs/>
                <w:sz w:val="20"/>
                <w:szCs w:val="20"/>
                <w:lang w:val="es-ES"/>
              </w:rPr>
            </w:pPr>
            <w:r w:rsidRPr="00B966F6">
              <w:rPr>
                <w:rFonts w:ascii="Cambria" w:hAnsi="Cambria"/>
                <w:bCs/>
                <w:sz w:val="20"/>
                <w:szCs w:val="20"/>
                <w:lang w:val="es-ES"/>
              </w:rPr>
              <w:t>31 de julio de 1973)</w:t>
            </w:r>
          </w:p>
        </w:tc>
      </w:tr>
    </w:tbl>
    <w:p w14:paraId="41288E44" w14:textId="77777777" w:rsidR="00B966F6" w:rsidRDefault="00B966F6" w:rsidP="00B966F6">
      <w:pPr>
        <w:ind w:firstLine="720"/>
        <w:jc w:val="both"/>
        <w:rPr>
          <w:rFonts w:ascii="Cambria" w:hAnsi="Cambria"/>
          <w:b/>
          <w:bCs/>
          <w:sz w:val="20"/>
          <w:szCs w:val="20"/>
          <w:lang w:val="es-ES"/>
        </w:rPr>
      </w:pPr>
    </w:p>
    <w:p w14:paraId="46F3B92A" w14:textId="5EB56B15" w:rsidR="000673D0" w:rsidRPr="00B966F6" w:rsidRDefault="000673D0" w:rsidP="00D70C9D">
      <w:pPr>
        <w:pStyle w:val="ListParagraph"/>
        <w:numPr>
          <w:ilvl w:val="0"/>
          <w:numId w:val="59"/>
        </w:numPr>
        <w:jc w:val="both"/>
        <w:rPr>
          <w:b/>
          <w:sz w:val="20"/>
          <w:szCs w:val="20"/>
          <w:lang w:val="es-ES"/>
        </w:rPr>
      </w:pPr>
      <w:r w:rsidRPr="00B966F6">
        <w:rPr>
          <w:b/>
          <w:bCs/>
          <w:sz w:val="20"/>
          <w:szCs w:val="20"/>
          <w:lang w:val="es-ES"/>
        </w:rPr>
        <w:t>DUPLICACIÓN</w:t>
      </w:r>
      <w:r w:rsidRPr="00B966F6">
        <w:rPr>
          <w:b/>
          <w:bCs/>
          <w:color w:val="FFFFFF" w:themeColor="background1"/>
          <w:sz w:val="20"/>
          <w:szCs w:val="20"/>
          <w:lang w:val="es-ES"/>
        </w:rPr>
        <w:t xml:space="preserve"> </w:t>
      </w:r>
      <w:r w:rsidRPr="00B966F6">
        <w:rPr>
          <w:b/>
          <w:bCs/>
          <w:sz w:val="20"/>
          <w:szCs w:val="20"/>
          <w:lang w:val="es-ES"/>
        </w:rPr>
        <w:t>DE PROCEDIMIENTOS Y COSA JUZGADA</w:t>
      </w:r>
      <w:r w:rsidR="002E4781" w:rsidRPr="00B966F6">
        <w:rPr>
          <w:b/>
          <w:bCs/>
          <w:i/>
          <w:sz w:val="20"/>
          <w:szCs w:val="20"/>
          <w:lang w:val="es-ES"/>
        </w:rPr>
        <w:t xml:space="preserve"> </w:t>
      </w:r>
      <w:r w:rsidR="00CF41C4" w:rsidRPr="00B966F6">
        <w:rPr>
          <w:b/>
          <w:bCs/>
          <w:sz w:val="20"/>
          <w:szCs w:val="20"/>
          <w:lang w:val="es-ES"/>
        </w:rPr>
        <w:t xml:space="preserve">INTERNACIONAL, </w:t>
      </w:r>
      <w:r w:rsidRPr="00B966F6">
        <w:rPr>
          <w:b/>
          <w:bCs/>
          <w:sz w:val="20"/>
          <w:szCs w:val="20"/>
          <w:lang w:val="es-ES"/>
        </w:rPr>
        <w:t xml:space="preserve">CARACTERIZACIÓN, </w:t>
      </w:r>
      <w:r w:rsidRPr="00B966F6">
        <w:rPr>
          <w:b/>
          <w:sz w:val="20"/>
          <w:szCs w:val="20"/>
          <w:lang w:val="es-ES"/>
        </w:rPr>
        <w:t>AGOTAMIENTO DE LOS RECURSOS INTERNOS Y PLAZO DE PRESENTACIÓN</w:t>
      </w:r>
    </w:p>
    <w:p w14:paraId="6803392D" w14:textId="77777777" w:rsidR="00B966F6" w:rsidRPr="00B966F6" w:rsidRDefault="00B966F6" w:rsidP="00B966F6">
      <w:pPr>
        <w:jc w:val="both"/>
        <w:rPr>
          <w:b/>
          <w:bCs/>
          <w:sz w:val="20"/>
          <w:szCs w:val="20"/>
          <w:lang w:val="es-ES"/>
        </w:rPr>
      </w:pPr>
    </w:p>
    <w:tbl>
      <w:tblPr>
        <w:tblStyle w:val="TableGrid"/>
        <w:tblW w:w="9427" w:type="dxa"/>
        <w:tblInd w:w="108" w:type="dxa"/>
        <w:tblBorders>
          <w:insideH w:val="single" w:sz="6" w:space="0" w:color="auto"/>
          <w:insideV w:val="single" w:sz="6" w:space="0" w:color="auto"/>
        </w:tblBorders>
        <w:tblLook w:val="04A0" w:firstRow="1" w:lastRow="0" w:firstColumn="1" w:lastColumn="0" w:noHBand="0" w:noVBand="1"/>
      </w:tblPr>
      <w:tblGrid>
        <w:gridCol w:w="3565"/>
        <w:gridCol w:w="5862"/>
      </w:tblGrid>
      <w:tr w:rsidR="000673D0" w:rsidRPr="00B966F6" w14:paraId="3755C687" w14:textId="77777777" w:rsidTr="00B966F6">
        <w:trPr>
          <w:cantSplit/>
        </w:trPr>
        <w:tc>
          <w:tcPr>
            <w:tcW w:w="3565" w:type="dxa"/>
            <w:tcBorders>
              <w:top w:val="single" w:sz="4" w:space="0" w:color="auto"/>
              <w:bottom w:val="single" w:sz="6" w:space="0" w:color="auto"/>
            </w:tcBorders>
            <w:shd w:val="clear" w:color="auto" w:fill="386294"/>
            <w:vAlign w:val="center"/>
          </w:tcPr>
          <w:p w14:paraId="0F134D10" w14:textId="77777777" w:rsidR="000673D0" w:rsidRPr="00B966F6" w:rsidRDefault="000673D0" w:rsidP="00B966F6">
            <w:pPr>
              <w:jc w:val="center"/>
              <w:rPr>
                <w:rFonts w:ascii="Cambria" w:hAnsi="Cambria"/>
                <w:b/>
                <w:bCs/>
                <w:color w:val="FFFFFF" w:themeColor="background1"/>
                <w:sz w:val="20"/>
                <w:szCs w:val="20"/>
                <w:lang w:val="es-ES"/>
              </w:rPr>
            </w:pPr>
            <w:r w:rsidRPr="00B966F6">
              <w:rPr>
                <w:rFonts w:ascii="Cambria" w:hAnsi="Cambria"/>
                <w:b/>
                <w:bCs/>
                <w:color w:val="FFFFFF" w:themeColor="background1"/>
                <w:sz w:val="20"/>
                <w:szCs w:val="20"/>
                <w:lang w:val="es-ES"/>
              </w:rPr>
              <w:t>Duplicación de procedimientos y cosa juzgada internacional:</w:t>
            </w:r>
          </w:p>
        </w:tc>
        <w:tc>
          <w:tcPr>
            <w:tcW w:w="5862" w:type="dxa"/>
            <w:vAlign w:val="center"/>
          </w:tcPr>
          <w:p w14:paraId="72801941" w14:textId="77777777" w:rsidR="000673D0" w:rsidRPr="00B966F6" w:rsidRDefault="000673D0" w:rsidP="00B966F6">
            <w:pPr>
              <w:jc w:val="both"/>
              <w:rPr>
                <w:rFonts w:ascii="Cambria" w:hAnsi="Cambria"/>
                <w:bCs/>
                <w:sz w:val="20"/>
                <w:szCs w:val="20"/>
                <w:lang w:val="es-ES"/>
              </w:rPr>
            </w:pPr>
            <w:r w:rsidRPr="00B966F6">
              <w:rPr>
                <w:rFonts w:ascii="Cambria" w:hAnsi="Cambria"/>
                <w:bCs/>
                <w:sz w:val="20"/>
                <w:szCs w:val="20"/>
                <w:lang w:val="es-ES"/>
              </w:rPr>
              <w:t>No</w:t>
            </w:r>
          </w:p>
        </w:tc>
      </w:tr>
      <w:tr w:rsidR="000673D0" w:rsidRPr="00B966F6" w14:paraId="5733AA78" w14:textId="77777777" w:rsidTr="00B966F6">
        <w:trPr>
          <w:cantSplit/>
        </w:trPr>
        <w:tc>
          <w:tcPr>
            <w:tcW w:w="3565" w:type="dxa"/>
            <w:tcBorders>
              <w:top w:val="single" w:sz="4" w:space="0" w:color="auto"/>
              <w:bottom w:val="single" w:sz="6" w:space="0" w:color="auto"/>
            </w:tcBorders>
            <w:shd w:val="clear" w:color="auto" w:fill="386294"/>
            <w:vAlign w:val="center"/>
          </w:tcPr>
          <w:p w14:paraId="70AE02E1" w14:textId="77777777" w:rsidR="000673D0" w:rsidRPr="00B966F6" w:rsidRDefault="000673D0" w:rsidP="00B966F6">
            <w:pPr>
              <w:jc w:val="center"/>
              <w:rPr>
                <w:rFonts w:ascii="Cambria" w:hAnsi="Cambria"/>
                <w:b/>
                <w:bCs/>
                <w:i/>
                <w:color w:val="FFFFFF" w:themeColor="background1"/>
                <w:sz w:val="20"/>
                <w:szCs w:val="20"/>
              </w:rPr>
            </w:pPr>
            <w:r w:rsidRPr="00B966F6">
              <w:rPr>
                <w:rFonts w:ascii="Cambria" w:hAnsi="Cambria"/>
                <w:b/>
                <w:bCs/>
                <w:color w:val="FFFFFF" w:themeColor="background1"/>
                <w:sz w:val="20"/>
                <w:szCs w:val="20"/>
              </w:rPr>
              <w:t>Derechos declarados admisibles</w:t>
            </w:r>
            <w:r w:rsidRPr="00B966F6">
              <w:rPr>
                <w:rFonts w:ascii="Cambria" w:hAnsi="Cambria"/>
                <w:b/>
                <w:bCs/>
                <w:i/>
                <w:color w:val="FFFFFF" w:themeColor="background1"/>
                <w:sz w:val="20"/>
                <w:szCs w:val="20"/>
              </w:rPr>
              <w:t>:</w:t>
            </w:r>
          </w:p>
        </w:tc>
        <w:tc>
          <w:tcPr>
            <w:tcW w:w="5862" w:type="dxa"/>
            <w:vAlign w:val="center"/>
          </w:tcPr>
          <w:p w14:paraId="5EB169C6" w14:textId="0AC787C4" w:rsidR="000673D0" w:rsidRPr="00B966F6" w:rsidRDefault="00CF41C4" w:rsidP="00B966F6">
            <w:pPr>
              <w:jc w:val="both"/>
              <w:rPr>
                <w:rFonts w:ascii="Cambria" w:hAnsi="Cambria"/>
                <w:bCs/>
                <w:sz w:val="20"/>
                <w:szCs w:val="20"/>
                <w:lang w:val="es-PA" w:eastAsia="es-ES"/>
              </w:rPr>
            </w:pPr>
            <w:r w:rsidRPr="00B966F6">
              <w:rPr>
                <w:rFonts w:ascii="Cambria" w:hAnsi="Cambria"/>
                <w:bCs/>
                <w:sz w:val="20"/>
                <w:szCs w:val="20"/>
                <w:lang w:val="es-ES" w:eastAsia="es-ES"/>
              </w:rPr>
              <w:t>Artículos 4 (vida), 5 (integridad personal), 7 (libertad personal), 8 (garantías judiciales)</w:t>
            </w:r>
            <w:r w:rsidR="00B56C46" w:rsidRPr="00B966F6">
              <w:rPr>
                <w:rFonts w:ascii="Cambria" w:hAnsi="Cambria"/>
                <w:bCs/>
                <w:sz w:val="20"/>
                <w:szCs w:val="20"/>
                <w:lang w:val="es-ES" w:eastAsia="es-ES"/>
              </w:rPr>
              <w:t>, 11 (honra y dignidad)</w:t>
            </w:r>
            <w:r w:rsidRPr="00B966F6">
              <w:rPr>
                <w:rFonts w:ascii="Cambria" w:hAnsi="Cambria"/>
                <w:bCs/>
                <w:sz w:val="20"/>
                <w:szCs w:val="20"/>
                <w:lang w:val="es-ES" w:eastAsia="es-ES"/>
              </w:rPr>
              <w:t xml:space="preserve"> y 25 (protección judicial) de la Convenci</w:t>
            </w:r>
            <w:r w:rsidR="00E638D2" w:rsidRPr="00B966F6">
              <w:rPr>
                <w:rFonts w:ascii="Cambria" w:hAnsi="Cambria"/>
                <w:bCs/>
                <w:sz w:val="20"/>
                <w:szCs w:val="20"/>
                <w:lang w:val="es-ES" w:eastAsia="es-ES"/>
              </w:rPr>
              <w:t>ón Americana en relación con su artículo</w:t>
            </w:r>
            <w:r w:rsidRPr="00B966F6">
              <w:rPr>
                <w:rFonts w:ascii="Cambria" w:hAnsi="Cambria"/>
                <w:bCs/>
                <w:sz w:val="20"/>
                <w:szCs w:val="20"/>
                <w:lang w:val="es-ES" w:eastAsia="es-ES"/>
              </w:rPr>
              <w:t xml:space="preserve"> 1.1. (obligación de respetar los derechos) </w:t>
            </w:r>
          </w:p>
        </w:tc>
      </w:tr>
      <w:tr w:rsidR="000673D0" w:rsidRPr="00BC700D" w14:paraId="56C738B6" w14:textId="77777777" w:rsidTr="00B966F6">
        <w:trPr>
          <w:cantSplit/>
        </w:trPr>
        <w:tc>
          <w:tcPr>
            <w:tcW w:w="3565" w:type="dxa"/>
            <w:tcBorders>
              <w:top w:val="single" w:sz="6" w:space="0" w:color="auto"/>
              <w:bottom w:val="single" w:sz="6" w:space="0" w:color="auto"/>
            </w:tcBorders>
            <w:shd w:val="clear" w:color="auto" w:fill="386294"/>
            <w:vAlign w:val="center"/>
          </w:tcPr>
          <w:p w14:paraId="741F99C1" w14:textId="77777777" w:rsidR="000673D0" w:rsidRPr="00B966F6" w:rsidRDefault="000673D0" w:rsidP="00B966F6">
            <w:pPr>
              <w:jc w:val="center"/>
              <w:rPr>
                <w:rFonts w:ascii="Cambria" w:hAnsi="Cambria"/>
                <w:b/>
                <w:bCs/>
                <w:color w:val="FFFFFF" w:themeColor="background1"/>
                <w:sz w:val="20"/>
                <w:szCs w:val="20"/>
                <w:lang w:val="es-ES"/>
              </w:rPr>
            </w:pPr>
            <w:r w:rsidRPr="00B966F6">
              <w:rPr>
                <w:rFonts w:ascii="Cambria" w:hAnsi="Cambria"/>
                <w:b/>
                <w:bCs/>
                <w:color w:val="FFFFFF" w:themeColor="background1"/>
                <w:sz w:val="20"/>
                <w:szCs w:val="20"/>
                <w:lang w:val="es-ES"/>
              </w:rPr>
              <w:t>Agotamiento de recursos internos o procedencia de una excepción:</w:t>
            </w:r>
          </w:p>
        </w:tc>
        <w:tc>
          <w:tcPr>
            <w:tcW w:w="5862" w:type="dxa"/>
            <w:vAlign w:val="center"/>
          </w:tcPr>
          <w:p w14:paraId="7B5A6AFC" w14:textId="1320A75F" w:rsidR="000673D0" w:rsidRPr="00B966F6" w:rsidRDefault="00CF41C4" w:rsidP="00B966F6">
            <w:pPr>
              <w:rPr>
                <w:rFonts w:ascii="Cambria" w:hAnsi="Cambria"/>
                <w:bCs/>
                <w:sz w:val="20"/>
                <w:szCs w:val="20"/>
                <w:lang w:val="es-ES"/>
              </w:rPr>
            </w:pPr>
            <w:r w:rsidRPr="00B966F6">
              <w:rPr>
                <w:rFonts w:ascii="Cambria" w:hAnsi="Cambria"/>
                <w:bCs/>
                <w:sz w:val="20"/>
                <w:szCs w:val="20"/>
                <w:lang w:val="es-ES"/>
              </w:rPr>
              <w:t>Sí, en los términos de la Sección VI</w:t>
            </w:r>
          </w:p>
        </w:tc>
      </w:tr>
      <w:tr w:rsidR="000673D0" w:rsidRPr="00BC700D" w14:paraId="64377EF5" w14:textId="77777777" w:rsidTr="00B966F6">
        <w:trPr>
          <w:cantSplit/>
        </w:trPr>
        <w:tc>
          <w:tcPr>
            <w:tcW w:w="3565" w:type="dxa"/>
            <w:tcBorders>
              <w:top w:val="single" w:sz="6" w:space="0" w:color="auto"/>
              <w:bottom w:val="single" w:sz="6" w:space="0" w:color="auto"/>
            </w:tcBorders>
            <w:shd w:val="clear" w:color="auto" w:fill="386294"/>
            <w:vAlign w:val="center"/>
          </w:tcPr>
          <w:p w14:paraId="33D77F00" w14:textId="77777777" w:rsidR="000673D0" w:rsidRPr="00B966F6" w:rsidRDefault="000673D0" w:rsidP="00B966F6">
            <w:pPr>
              <w:jc w:val="center"/>
              <w:rPr>
                <w:rFonts w:ascii="Cambria" w:hAnsi="Cambria"/>
                <w:b/>
                <w:bCs/>
                <w:color w:val="FFFFFF" w:themeColor="background1"/>
                <w:sz w:val="20"/>
                <w:szCs w:val="20"/>
              </w:rPr>
            </w:pPr>
            <w:r w:rsidRPr="00B966F6">
              <w:rPr>
                <w:rFonts w:ascii="Cambria" w:hAnsi="Cambria"/>
                <w:b/>
                <w:bCs/>
                <w:color w:val="FFFFFF" w:themeColor="background1"/>
                <w:sz w:val="20"/>
                <w:szCs w:val="20"/>
                <w:lang w:val="es-PA"/>
              </w:rPr>
              <w:t xml:space="preserve">Presentación dentro de </w:t>
            </w:r>
            <w:proofErr w:type="spellStart"/>
            <w:r w:rsidRPr="00B966F6">
              <w:rPr>
                <w:rFonts w:ascii="Cambria" w:hAnsi="Cambria"/>
                <w:b/>
                <w:bCs/>
                <w:color w:val="FFFFFF" w:themeColor="background1"/>
                <w:sz w:val="20"/>
                <w:szCs w:val="20"/>
                <w:lang w:val="es-PA"/>
              </w:rPr>
              <w:t>plaz</w:t>
            </w:r>
            <w:proofErr w:type="spellEnd"/>
            <w:r w:rsidRPr="00B966F6">
              <w:rPr>
                <w:rFonts w:ascii="Cambria" w:hAnsi="Cambria"/>
                <w:b/>
                <w:bCs/>
                <w:color w:val="FFFFFF" w:themeColor="background1"/>
                <w:sz w:val="20"/>
                <w:szCs w:val="20"/>
              </w:rPr>
              <w:t>o:</w:t>
            </w:r>
          </w:p>
        </w:tc>
        <w:tc>
          <w:tcPr>
            <w:tcW w:w="5862" w:type="dxa"/>
            <w:vAlign w:val="center"/>
          </w:tcPr>
          <w:p w14:paraId="6D2FF784" w14:textId="55230A02" w:rsidR="000673D0" w:rsidRPr="00B966F6" w:rsidRDefault="00D06F66" w:rsidP="00B966F6">
            <w:pPr>
              <w:rPr>
                <w:rFonts w:ascii="Cambria" w:hAnsi="Cambria"/>
                <w:bCs/>
                <w:sz w:val="20"/>
                <w:szCs w:val="20"/>
                <w:lang w:val="es-PA"/>
              </w:rPr>
            </w:pPr>
            <w:r w:rsidRPr="00B966F6">
              <w:rPr>
                <w:rFonts w:ascii="Cambria" w:hAnsi="Cambria"/>
                <w:bCs/>
                <w:sz w:val="20"/>
                <w:szCs w:val="20"/>
                <w:lang w:val="es-PA"/>
              </w:rPr>
              <w:t xml:space="preserve">Sí, </w:t>
            </w:r>
            <w:r w:rsidR="00CF41C4" w:rsidRPr="00B966F6">
              <w:rPr>
                <w:rFonts w:ascii="Cambria" w:hAnsi="Cambria"/>
                <w:bCs/>
                <w:sz w:val="20"/>
                <w:szCs w:val="20"/>
                <w:lang w:val="es-PA"/>
              </w:rPr>
              <w:t>en los términos de la Sección VI</w:t>
            </w:r>
          </w:p>
        </w:tc>
      </w:tr>
    </w:tbl>
    <w:p w14:paraId="4FADD89B" w14:textId="77777777" w:rsidR="00B966F6" w:rsidRDefault="00B966F6" w:rsidP="00B966F6">
      <w:pPr>
        <w:ind w:firstLine="720"/>
        <w:jc w:val="both"/>
        <w:rPr>
          <w:rFonts w:ascii="Cambria" w:hAnsi="Cambria"/>
          <w:b/>
          <w:sz w:val="20"/>
          <w:szCs w:val="20"/>
          <w:lang w:val="es-UY"/>
        </w:rPr>
      </w:pPr>
    </w:p>
    <w:p w14:paraId="42EBA0EB" w14:textId="77777777" w:rsidR="00FB1FFB" w:rsidRDefault="00FB1FFB" w:rsidP="00B966F6">
      <w:pPr>
        <w:ind w:firstLine="720"/>
        <w:jc w:val="both"/>
        <w:rPr>
          <w:rFonts w:ascii="Cambria" w:hAnsi="Cambria"/>
          <w:b/>
          <w:sz w:val="20"/>
          <w:szCs w:val="20"/>
          <w:lang w:val="es-UY"/>
        </w:rPr>
      </w:pPr>
    </w:p>
    <w:p w14:paraId="003FBEA0" w14:textId="77777777" w:rsidR="00FB1FFB" w:rsidRDefault="00FB1FFB" w:rsidP="00B966F6">
      <w:pPr>
        <w:ind w:firstLine="720"/>
        <w:jc w:val="both"/>
        <w:rPr>
          <w:rFonts w:ascii="Cambria" w:hAnsi="Cambria"/>
          <w:b/>
          <w:sz w:val="20"/>
          <w:szCs w:val="20"/>
          <w:lang w:val="es-UY"/>
        </w:rPr>
      </w:pPr>
    </w:p>
    <w:p w14:paraId="18E6423B" w14:textId="64893EEC" w:rsidR="003239B8" w:rsidRPr="00B966F6" w:rsidRDefault="00223A29" w:rsidP="00B966F6">
      <w:pPr>
        <w:ind w:firstLine="720"/>
        <w:jc w:val="both"/>
        <w:rPr>
          <w:rFonts w:ascii="Cambria" w:hAnsi="Cambria"/>
          <w:b/>
          <w:sz w:val="20"/>
          <w:szCs w:val="20"/>
          <w:lang w:val="es-UY"/>
        </w:rPr>
      </w:pPr>
      <w:r w:rsidRPr="00B966F6">
        <w:rPr>
          <w:rFonts w:ascii="Cambria" w:hAnsi="Cambria"/>
          <w:b/>
          <w:sz w:val="20"/>
          <w:szCs w:val="20"/>
          <w:lang w:val="es-UY"/>
        </w:rPr>
        <w:lastRenderedPageBreak/>
        <w:t xml:space="preserve">V. </w:t>
      </w:r>
      <w:r w:rsidRPr="00B966F6">
        <w:rPr>
          <w:rFonts w:ascii="Cambria" w:hAnsi="Cambria"/>
          <w:b/>
          <w:sz w:val="20"/>
          <w:szCs w:val="20"/>
          <w:lang w:val="es-UY"/>
        </w:rPr>
        <w:tab/>
      </w:r>
      <w:r w:rsidR="003239B8" w:rsidRPr="00B966F6">
        <w:rPr>
          <w:rFonts w:ascii="Cambria" w:hAnsi="Cambria"/>
          <w:b/>
          <w:sz w:val="20"/>
          <w:szCs w:val="20"/>
          <w:lang w:val="es-UY"/>
        </w:rPr>
        <w:t xml:space="preserve">HECHOS ALEGADOS </w:t>
      </w:r>
    </w:p>
    <w:p w14:paraId="64780451" w14:textId="77777777" w:rsidR="00B966F6" w:rsidRPr="00B966F6" w:rsidRDefault="00B966F6" w:rsidP="00B966F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UY"/>
        </w:rPr>
      </w:pPr>
    </w:p>
    <w:p w14:paraId="0E7BD0EB" w14:textId="6BA37998" w:rsidR="00BD5FD2" w:rsidRPr="00B966F6" w:rsidRDefault="00B86627" w:rsidP="00D70C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UY"/>
        </w:rPr>
      </w:pPr>
      <w:r w:rsidRPr="00B966F6">
        <w:rPr>
          <w:rFonts w:ascii="Cambria" w:hAnsi="Cambria"/>
          <w:bCs/>
          <w:sz w:val="20"/>
          <w:szCs w:val="20"/>
          <w:lang w:val="es-PA"/>
        </w:rPr>
        <w:t xml:space="preserve">Javier </w:t>
      </w:r>
      <w:r w:rsidR="00B966F6" w:rsidRPr="00B966F6">
        <w:rPr>
          <w:rFonts w:ascii="Cambria" w:hAnsi="Cambria"/>
          <w:bCs/>
          <w:sz w:val="20"/>
          <w:szCs w:val="20"/>
          <w:lang w:val="es-PA"/>
        </w:rPr>
        <w:t>Leónidas</w:t>
      </w:r>
      <w:r w:rsidRPr="00B966F6">
        <w:rPr>
          <w:rFonts w:ascii="Cambria" w:hAnsi="Cambria"/>
          <w:bCs/>
          <w:sz w:val="20"/>
          <w:szCs w:val="20"/>
          <w:lang w:val="es-PA"/>
        </w:rPr>
        <w:t xml:space="preserve"> Villegas Posada (en adelante “el peticionar</w:t>
      </w:r>
      <w:r w:rsidR="00BA0CBA" w:rsidRPr="00B966F6">
        <w:rPr>
          <w:rFonts w:ascii="Cambria" w:hAnsi="Cambria"/>
          <w:bCs/>
          <w:sz w:val="20"/>
          <w:szCs w:val="20"/>
          <w:lang w:val="es-PA"/>
        </w:rPr>
        <w:t>i</w:t>
      </w:r>
      <w:r w:rsidRPr="00B966F6">
        <w:rPr>
          <w:rFonts w:ascii="Cambria" w:hAnsi="Cambria"/>
          <w:bCs/>
          <w:sz w:val="20"/>
          <w:szCs w:val="20"/>
          <w:lang w:val="es-PA"/>
        </w:rPr>
        <w:t>o</w:t>
      </w:r>
      <w:r w:rsidR="00E3116B">
        <w:rPr>
          <w:rFonts w:ascii="Cambria" w:hAnsi="Cambria"/>
          <w:bCs/>
          <w:sz w:val="20"/>
          <w:szCs w:val="20"/>
          <w:lang w:val="es-PA"/>
        </w:rPr>
        <w:t>”</w:t>
      </w:r>
      <w:r w:rsidRPr="00B966F6">
        <w:rPr>
          <w:rFonts w:ascii="Cambria" w:hAnsi="Cambria"/>
          <w:bCs/>
          <w:sz w:val="20"/>
          <w:szCs w:val="20"/>
          <w:lang w:val="es-PA"/>
        </w:rPr>
        <w:t xml:space="preserve">) denuncia </w:t>
      </w:r>
      <w:r w:rsidR="003529CB">
        <w:rPr>
          <w:rFonts w:ascii="Cambria" w:hAnsi="Cambria"/>
          <w:bCs/>
          <w:sz w:val="20"/>
          <w:szCs w:val="20"/>
          <w:lang w:val="es-PA"/>
        </w:rPr>
        <w:t xml:space="preserve">que </w:t>
      </w:r>
      <w:r w:rsidRPr="00B966F6">
        <w:rPr>
          <w:rFonts w:ascii="Cambria" w:hAnsi="Cambria"/>
          <w:bCs/>
          <w:sz w:val="20"/>
          <w:szCs w:val="20"/>
          <w:lang w:val="es-PA"/>
        </w:rPr>
        <w:t>Jesús Salvador Hernández</w:t>
      </w:r>
      <w:r w:rsidR="006B79EA" w:rsidRPr="00B966F6">
        <w:rPr>
          <w:rFonts w:ascii="Cambria" w:hAnsi="Cambria"/>
          <w:bCs/>
          <w:sz w:val="20"/>
          <w:szCs w:val="20"/>
          <w:lang w:val="es-PA"/>
        </w:rPr>
        <w:t xml:space="preserve"> </w:t>
      </w:r>
      <w:r w:rsidR="00A61459">
        <w:rPr>
          <w:rFonts w:ascii="Cambria" w:hAnsi="Cambria"/>
          <w:bCs/>
          <w:sz w:val="20"/>
          <w:szCs w:val="20"/>
          <w:lang w:val="es-PA"/>
        </w:rPr>
        <w:t>(en adelante “el se</w:t>
      </w:r>
      <w:r w:rsidR="00A61459">
        <w:rPr>
          <w:rFonts w:ascii="Cambria" w:hAnsi="Cambria"/>
          <w:bCs/>
          <w:sz w:val="20"/>
          <w:szCs w:val="20"/>
          <w:lang w:val="es-ES"/>
        </w:rPr>
        <w:t xml:space="preserve">ñor Hernández) </w:t>
      </w:r>
      <w:r w:rsidRPr="00B966F6">
        <w:rPr>
          <w:rFonts w:ascii="Cambria" w:hAnsi="Cambria"/>
          <w:bCs/>
          <w:sz w:val="20"/>
          <w:szCs w:val="20"/>
          <w:lang w:val="es-PA"/>
        </w:rPr>
        <w:t>fue privado de su libertad y luego asesinado por integrantes de un grupo paramilitar, sin que la fuerza pública h</w:t>
      </w:r>
      <w:r w:rsidR="003529CB">
        <w:rPr>
          <w:rFonts w:ascii="Cambria" w:hAnsi="Cambria"/>
          <w:bCs/>
          <w:sz w:val="20"/>
          <w:szCs w:val="20"/>
          <w:lang w:val="es-PA"/>
        </w:rPr>
        <w:t>ubiera</w:t>
      </w:r>
      <w:r w:rsidRPr="00B966F6">
        <w:rPr>
          <w:rFonts w:ascii="Cambria" w:hAnsi="Cambria"/>
          <w:bCs/>
          <w:sz w:val="20"/>
          <w:szCs w:val="20"/>
          <w:lang w:val="es-PA"/>
        </w:rPr>
        <w:t xml:space="preserve"> adoptado acción </w:t>
      </w:r>
      <w:r w:rsidR="003529CB">
        <w:rPr>
          <w:rFonts w:ascii="Cambria" w:hAnsi="Cambria"/>
          <w:bCs/>
          <w:sz w:val="20"/>
          <w:szCs w:val="20"/>
          <w:lang w:val="es-PA"/>
        </w:rPr>
        <w:t xml:space="preserve">alguna </w:t>
      </w:r>
      <w:r w:rsidRPr="00B966F6">
        <w:rPr>
          <w:rFonts w:ascii="Cambria" w:hAnsi="Cambria"/>
          <w:bCs/>
          <w:sz w:val="20"/>
          <w:szCs w:val="20"/>
          <w:lang w:val="es-PA"/>
        </w:rPr>
        <w:t>para protegerle. Tambi</w:t>
      </w:r>
      <w:r w:rsidR="006B79EA" w:rsidRPr="00B966F6">
        <w:rPr>
          <w:rFonts w:ascii="Cambria" w:hAnsi="Cambria"/>
          <w:bCs/>
          <w:sz w:val="20"/>
          <w:szCs w:val="20"/>
          <w:lang w:val="es-PA"/>
        </w:rPr>
        <w:t>én denuncia que</w:t>
      </w:r>
      <w:r w:rsidR="00F43D1D" w:rsidRPr="00B966F6">
        <w:rPr>
          <w:rFonts w:ascii="Cambria" w:hAnsi="Cambria"/>
          <w:bCs/>
          <w:sz w:val="20"/>
          <w:szCs w:val="20"/>
          <w:lang w:val="es-PA"/>
        </w:rPr>
        <w:t xml:space="preserve"> otras 8 personas fallecieron ese día en las mismas circunstancias</w:t>
      </w:r>
      <w:r w:rsidR="00E3116B">
        <w:rPr>
          <w:rFonts w:ascii="Cambria" w:hAnsi="Cambria"/>
          <w:bCs/>
          <w:sz w:val="20"/>
          <w:szCs w:val="20"/>
          <w:lang w:val="es-PA"/>
        </w:rPr>
        <w:t>,</w:t>
      </w:r>
      <w:r w:rsidR="00F43D1D" w:rsidRPr="00B966F6">
        <w:rPr>
          <w:rFonts w:ascii="Cambria" w:hAnsi="Cambria"/>
          <w:bCs/>
          <w:sz w:val="20"/>
          <w:szCs w:val="20"/>
          <w:lang w:val="es-PA"/>
        </w:rPr>
        <w:t xml:space="preserve"> y que</w:t>
      </w:r>
      <w:r w:rsidR="006B79EA" w:rsidRPr="00B966F6">
        <w:rPr>
          <w:rFonts w:ascii="Cambria" w:hAnsi="Cambria"/>
          <w:bCs/>
          <w:sz w:val="20"/>
          <w:szCs w:val="20"/>
          <w:lang w:val="es-PA"/>
        </w:rPr>
        <w:t xml:space="preserve"> las autoridades estatales no han actuado con la debida diligencia para esclarecer </w:t>
      </w:r>
      <w:r w:rsidR="00E3116B">
        <w:rPr>
          <w:rFonts w:ascii="Cambria" w:hAnsi="Cambria"/>
          <w:bCs/>
          <w:sz w:val="20"/>
          <w:szCs w:val="20"/>
          <w:lang w:val="es-PA"/>
        </w:rPr>
        <w:t>tales</w:t>
      </w:r>
      <w:r w:rsidR="006B79EA" w:rsidRPr="00B966F6">
        <w:rPr>
          <w:rFonts w:ascii="Cambria" w:hAnsi="Cambria"/>
          <w:bCs/>
          <w:sz w:val="20"/>
          <w:szCs w:val="20"/>
          <w:lang w:val="es-PA"/>
        </w:rPr>
        <w:t xml:space="preserve"> hechos</w:t>
      </w:r>
      <w:r w:rsidR="00E3116B">
        <w:rPr>
          <w:rFonts w:ascii="Cambria" w:hAnsi="Cambria"/>
          <w:bCs/>
          <w:sz w:val="20"/>
          <w:szCs w:val="20"/>
          <w:lang w:val="es-PA"/>
        </w:rPr>
        <w:t>,</w:t>
      </w:r>
      <w:r w:rsidR="006B79EA" w:rsidRPr="00B966F6">
        <w:rPr>
          <w:rFonts w:ascii="Cambria" w:hAnsi="Cambria"/>
          <w:bCs/>
          <w:sz w:val="20"/>
          <w:szCs w:val="20"/>
          <w:lang w:val="es-PA"/>
        </w:rPr>
        <w:t xml:space="preserve"> </w:t>
      </w:r>
      <w:r w:rsidR="00E3116B">
        <w:rPr>
          <w:rFonts w:ascii="Cambria" w:hAnsi="Cambria"/>
          <w:bCs/>
          <w:sz w:val="20"/>
          <w:szCs w:val="20"/>
          <w:lang w:val="es-PA"/>
        </w:rPr>
        <w:t>ni para</w:t>
      </w:r>
      <w:r w:rsidR="006B79EA" w:rsidRPr="00B966F6">
        <w:rPr>
          <w:rFonts w:ascii="Cambria" w:hAnsi="Cambria"/>
          <w:bCs/>
          <w:sz w:val="20"/>
          <w:szCs w:val="20"/>
          <w:lang w:val="es-PA"/>
        </w:rPr>
        <w:t xml:space="preserve"> identificar y sancionar a las personas responsables</w:t>
      </w:r>
      <w:r w:rsidR="00FA78AA">
        <w:rPr>
          <w:rFonts w:ascii="Cambria" w:hAnsi="Cambria"/>
          <w:bCs/>
          <w:sz w:val="20"/>
          <w:szCs w:val="20"/>
          <w:lang w:val="es-PA"/>
        </w:rPr>
        <w:t xml:space="preserve">. El peticionario alega que las violaciones tienen como víctimas al señor Hernández y sus familiares, así </w:t>
      </w:r>
      <w:r w:rsidR="00F43D1D" w:rsidRPr="00B966F6">
        <w:rPr>
          <w:rFonts w:ascii="Cambria" w:hAnsi="Cambria"/>
          <w:bCs/>
          <w:sz w:val="20"/>
          <w:szCs w:val="20"/>
          <w:lang w:val="es-PA"/>
        </w:rPr>
        <w:t>las otras 8 personas (en adelante “las presuntas víctimas”)</w:t>
      </w:r>
      <w:r w:rsidR="006B79EA" w:rsidRPr="00B966F6">
        <w:rPr>
          <w:rFonts w:ascii="Cambria" w:hAnsi="Cambria"/>
          <w:bCs/>
          <w:sz w:val="20"/>
          <w:szCs w:val="20"/>
          <w:lang w:val="es-PA"/>
        </w:rPr>
        <w:t>.</w:t>
      </w:r>
    </w:p>
    <w:p w14:paraId="77C53E46" w14:textId="77777777" w:rsidR="00B966F6" w:rsidRPr="00B966F6" w:rsidRDefault="00B966F6" w:rsidP="00B966F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UY"/>
        </w:rPr>
      </w:pPr>
    </w:p>
    <w:p w14:paraId="3E4BEFEA" w14:textId="6AAC2A4E" w:rsidR="006B79EA" w:rsidRPr="00B966F6" w:rsidRDefault="006B79EA" w:rsidP="00D70C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UY"/>
        </w:rPr>
      </w:pPr>
      <w:r w:rsidRPr="00B966F6">
        <w:rPr>
          <w:rFonts w:ascii="Cambria" w:hAnsi="Cambria"/>
          <w:bCs/>
          <w:sz w:val="20"/>
          <w:szCs w:val="20"/>
          <w:lang w:val="es-PA"/>
        </w:rPr>
        <w:t>El peticionario relata que el 28 de febrero de 1997 entre las 4 y 5 de la tarde un grupo de hombre</w:t>
      </w:r>
      <w:r w:rsidR="00E3116B">
        <w:rPr>
          <w:rFonts w:ascii="Cambria" w:hAnsi="Cambria"/>
          <w:bCs/>
          <w:sz w:val="20"/>
          <w:szCs w:val="20"/>
          <w:lang w:val="es-PA"/>
        </w:rPr>
        <w:t>s</w:t>
      </w:r>
      <w:r w:rsidRPr="00B966F6">
        <w:rPr>
          <w:rFonts w:ascii="Cambria" w:hAnsi="Cambria"/>
          <w:bCs/>
          <w:sz w:val="20"/>
          <w:szCs w:val="20"/>
          <w:lang w:val="es-PA"/>
        </w:rPr>
        <w:t xml:space="preserve"> armados</w:t>
      </w:r>
      <w:r w:rsidR="00E3116B">
        <w:rPr>
          <w:rFonts w:ascii="Cambria" w:hAnsi="Cambria"/>
          <w:bCs/>
          <w:sz w:val="20"/>
          <w:szCs w:val="20"/>
          <w:lang w:val="es-PA"/>
        </w:rPr>
        <w:t>,</w:t>
      </w:r>
      <w:r w:rsidRPr="00B966F6">
        <w:rPr>
          <w:rFonts w:ascii="Cambria" w:hAnsi="Cambria"/>
          <w:bCs/>
          <w:sz w:val="20"/>
          <w:szCs w:val="20"/>
          <w:lang w:val="es-PA"/>
        </w:rPr>
        <w:t xml:space="preserve"> encapuchados y vestidos con prendas militares</w:t>
      </w:r>
      <w:r w:rsidR="00E3116B">
        <w:rPr>
          <w:rFonts w:ascii="Cambria" w:hAnsi="Cambria"/>
          <w:bCs/>
          <w:sz w:val="20"/>
          <w:szCs w:val="20"/>
          <w:lang w:val="es-PA"/>
        </w:rPr>
        <w:t>,</w:t>
      </w:r>
      <w:r w:rsidRPr="00B966F6">
        <w:rPr>
          <w:rFonts w:ascii="Cambria" w:hAnsi="Cambria"/>
          <w:bCs/>
          <w:sz w:val="20"/>
          <w:szCs w:val="20"/>
          <w:lang w:val="es-PA"/>
        </w:rPr>
        <w:t xml:space="preserve"> irrumpieron en el área urbana del municipio de Vegachí</w:t>
      </w:r>
      <w:r w:rsidR="00E3116B">
        <w:rPr>
          <w:rFonts w:ascii="Cambria" w:hAnsi="Cambria"/>
          <w:bCs/>
          <w:sz w:val="20"/>
          <w:szCs w:val="20"/>
          <w:lang w:val="es-PA"/>
        </w:rPr>
        <w:t>, Departamento de Antioquia,</w:t>
      </w:r>
      <w:r w:rsidRPr="00B966F6">
        <w:rPr>
          <w:rFonts w:ascii="Cambria" w:hAnsi="Cambria"/>
          <w:bCs/>
          <w:sz w:val="20"/>
          <w:szCs w:val="20"/>
          <w:lang w:val="es-PA"/>
        </w:rPr>
        <w:t xml:space="preserve"> y reunieron </w:t>
      </w:r>
      <w:r w:rsidR="00DA13A2" w:rsidRPr="00B966F6">
        <w:rPr>
          <w:rFonts w:ascii="Cambria" w:hAnsi="Cambria"/>
          <w:bCs/>
          <w:sz w:val="20"/>
          <w:szCs w:val="20"/>
          <w:lang w:val="es-PA"/>
        </w:rPr>
        <w:t xml:space="preserve">a las personas </w:t>
      </w:r>
      <w:r w:rsidRPr="00B966F6">
        <w:rPr>
          <w:rFonts w:ascii="Cambria" w:hAnsi="Cambria"/>
          <w:bCs/>
          <w:sz w:val="20"/>
          <w:szCs w:val="20"/>
          <w:lang w:val="es-PA"/>
        </w:rPr>
        <w:t>del lugar en una iglesia parroquial.</w:t>
      </w:r>
      <w:r w:rsidR="00DA13A2" w:rsidRPr="00B966F6">
        <w:rPr>
          <w:rFonts w:ascii="Cambria" w:hAnsi="Cambria"/>
          <w:bCs/>
          <w:sz w:val="20"/>
          <w:szCs w:val="20"/>
          <w:lang w:val="es-PA"/>
        </w:rPr>
        <w:t xml:space="preserve"> Explica que </w:t>
      </w:r>
      <w:r w:rsidR="00E3116B">
        <w:rPr>
          <w:rFonts w:ascii="Cambria" w:hAnsi="Cambria"/>
          <w:bCs/>
          <w:sz w:val="20"/>
          <w:szCs w:val="20"/>
          <w:lang w:val="es-PA"/>
        </w:rPr>
        <w:t xml:space="preserve">los integrantes del grupo armado se refirieron a </w:t>
      </w:r>
      <w:r w:rsidR="00DA13A2" w:rsidRPr="00B966F6">
        <w:rPr>
          <w:rFonts w:ascii="Cambria" w:hAnsi="Cambria"/>
          <w:bCs/>
          <w:sz w:val="20"/>
          <w:szCs w:val="20"/>
          <w:lang w:val="es-PA"/>
        </w:rPr>
        <w:t xml:space="preserve">sus actividades contraguerrilleras, lo que </w:t>
      </w:r>
      <w:r w:rsidR="00E3116B">
        <w:rPr>
          <w:rFonts w:ascii="Cambria" w:hAnsi="Cambria"/>
          <w:bCs/>
          <w:sz w:val="20"/>
          <w:szCs w:val="20"/>
          <w:lang w:val="es-PA"/>
        </w:rPr>
        <w:t xml:space="preserve">los identificaría </w:t>
      </w:r>
      <w:r w:rsidR="00DA13A2" w:rsidRPr="00B966F6">
        <w:rPr>
          <w:rFonts w:ascii="Cambria" w:hAnsi="Cambria"/>
          <w:bCs/>
          <w:sz w:val="20"/>
          <w:szCs w:val="20"/>
          <w:lang w:val="es-PA"/>
        </w:rPr>
        <w:t xml:space="preserve">como paramilitares. Indica que a las 6 de la tarde del mismo </w:t>
      </w:r>
      <w:r w:rsidR="00E3116B">
        <w:rPr>
          <w:rFonts w:ascii="Cambria" w:hAnsi="Cambria"/>
          <w:bCs/>
          <w:sz w:val="20"/>
          <w:szCs w:val="20"/>
          <w:lang w:val="es-PA"/>
        </w:rPr>
        <w:t xml:space="preserve">día, </w:t>
      </w:r>
      <w:r w:rsidR="00DA13A2" w:rsidRPr="00B966F6">
        <w:rPr>
          <w:rFonts w:ascii="Cambria" w:hAnsi="Cambria"/>
          <w:bCs/>
          <w:sz w:val="20"/>
          <w:szCs w:val="20"/>
          <w:lang w:val="es-PA"/>
        </w:rPr>
        <w:t xml:space="preserve">los presuntos paramilitares </w:t>
      </w:r>
      <w:r w:rsidR="00BB48DE">
        <w:rPr>
          <w:rFonts w:ascii="Cambria" w:hAnsi="Cambria"/>
          <w:bCs/>
          <w:sz w:val="20"/>
          <w:szCs w:val="20"/>
          <w:lang w:val="es-PA"/>
        </w:rPr>
        <w:t>liberaron a</w:t>
      </w:r>
      <w:r w:rsidR="00DA13A2" w:rsidRPr="00B966F6">
        <w:rPr>
          <w:rFonts w:ascii="Cambria" w:hAnsi="Cambria"/>
          <w:bCs/>
          <w:sz w:val="20"/>
          <w:szCs w:val="20"/>
          <w:lang w:val="es-PA"/>
        </w:rPr>
        <w:t xml:space="preserve"> algunas de las personas retenid</w:t>
      </w:r>
      <w:r w:rsidR="00BB48DE">
        <w:rPr>
          <w:rFonts w:ascii="Cambria" w:hAnsi="Cambria"/>
          <w:bCs/>
          <w:sz w:val="20"/>
          <w:szCs w:val="20"/>
          <w:lang w:val="es-PA"/>
        </w:rPr>
        <w:t>as</w:t>
      </w:r>
      <w:r w:rsidR="00DA13A2" w:rsidRPr="00B966F6">
        <w:rPr>
          <w:rFonts w:ascii="Cambria" w:hAnsi="Cambria"/>
          <w:bCs/>
          <w:sz w:val="20"/>
          <w:szCs w:val="20"/>
          <w:lang w:val="es-PA"/>
        </w:rPr>
        <w:t xml:space="preserve">, pero separaron a </w:t>
      </w:r>
      <w:r w:rsidR="00CB0013">
        <w:rPr>
          <w:rFonts w:ascii="Cambria" w:hAnsi="Cambria"/>
          <w:bCs/>
          <w:sz w:val="20"/>
          <w:szCs w:val="20"/>
          <w:lang w:val="es-PA"/>
        </w:rPr>
        <w:t>un grupo de</w:t>
      </w:r>
      <w:r w:rsidR="00DA13A2" w:rsidRPr="00B966F6">
        <w:rPr>
          <w:rFonts w:ascii="Cambria" w:hAnsi="Cambria"/>
          <w:bCs/>
          <w:sz w:val="20"/>
          <w:szCs w:val="20"/>
          <w:lang w:val="es-PA"/>
        </w:rPr>
        <w:t xml:space="preserve"> </w:t>
      </w:r>
      <w:r w:rsidR="00BB48DE">
        <w:rPr>
          <w:rFonts w:ascii="Cambria" w:hAnsi="Cambria"/>
          <w:bCs/>
          <w:sz w:val="20"/>
          <w:szCs w:val="20"/>
          <w:lang w:val="es-PA"/>
        </w:rPr>
        <w:t>personas</w:t>
      </w:r>
      <w:r w:rsidR="00DA13A2" w:rsidRPr="00B966F6">
        <w:rPr>
          <w:rFonts w:ascii="Cambria" w:hAnsi="Cambria"/>
          <w:bCs/>
          <w:sz w:val="20"/>
          <w:szCs w:val="20"/>
          <w:lang w:val="es-PA"/>
        </w:rPr>
        <w:t xml:space="preserve">, entre los que se encontraba </w:t>
      </w:r>
      <w:r w:rsidR="008D7B46">
        <w:rPr>
          <w:rFonts w:ascii="Cambria" w:hAnsi="Cambria"/>
          <w:bCs/>
          <w:sz w:val="20"/>
          <w:szCs w:val="20"/>
          <w:lang w:val="es-PA"/>
        </w:rPr>
        <w:t>el señor</w:t>
      </w:r>
      <w:r w:rsidR="00F87019" w:rsidRPr="00B966F6">
        <w:rPr>
          <w:rFonts w:ascii="Cambria" w:hAnsi="Cambria"/>
          <w:bCs/>
          <w:sz w:val="20"/>
          <w:szCs w:val="20"/>
          <w:lang w:val="es-PA"/>
        </w:rPr>
        <w:t xml:space="preserve"> Hernández</w:t>
      </w:r>
      <w:r w:rsidR="00B66118" w:rsidRPr="00B966F6">
        <w:rPr>
          <w:rStyle w:val="FootnoteReference"/>
          <w:rFonts w:ascii="Cambria" w:hAnsi="Cambria"/>
          <w:bCs/>
          <w:sz w:val="20"/>
          <w:szCs w:val="20"/>
          <w:lang w:val="es-PA"/>
        </w:rPr>
        <w:footnoteReference w:id="7"/>
      </w:r>
      <w:r w:rsidR="00B66118">
        <w:rPr>
          <w:rFonts w:ascii="Cambria" w:hAnsi="Cambria"/>
          <w:bCs/>
          <w:sz w:val="20"/>
          <w:szCs w:val="20"/>
          <w:lang w:val="es-PA"/>
        </w:rPr>
        <w:t xml:space="preserve">. Sostiene que luego los </w:t>
      </w:r>
      <w:r w:rsidR="00DA13A2" w:rsidRPr="00B966F6">
        <w:rPr>
          <w:rFonts w:ascii="Cambria" w:hAnsi="Cambria"/>
          <w:bCs/>
          <w:sz w:val="20"/>
          <w:szCs w:val="20"/>
          <w:lang w:val="es-PA"/>
        </w:rPr>
        <w:t>llevaron a diferentes sitios de la localidad</w:t>
      </w:r>
      <w:r w:rsidR="009F224C">
        <w:rPr>
          <w:rFonts w:ascii="Cambria" w:hAnsi="Cambria"/>
          <w:bCs/>
          <w:sz w:val="20"/>
          <w:szCs w:val="20"/>
          <w:lang w:val="es-PA"/>
        </w:rPr>
        <w:t>;</w:t>
      </w:r>
      <w:r w:rsidR="00DA13A2" w:rsidRPr="00B966F6">
        <w:rPr>
          <w:rFonts w:ascii="Cambria" w:hAnsi="Cambria"/>
          <w:bCs/>
          <w:sz w:val="20"/>
          <w:szCs w:val="20"/>
          <w:lang w:val="es-PA"/>
        </w:rPr>
        <w:t xml:space="preserve"> </w:t>
      </w:r>
      <w:r w:rsidR="009F224C">
        <w:rPr>
          <w:rFonts w:ascii="Cambria" w:hAnsi="Cambria"/>
          <w:bCs/>
          <w:sz w:val="20"/>
          <w:szCs w:val="20"/>
          <w:lang w:val="es-PA"/>
        </w:rPr>
        <w:t>que los</w:t>
      </w:r>
      <w:r w:rsidR="009F224C" w:rsidRPr="00B966F6">
        <w:rPr>
          <w:rFonts w:ascii="Cambria" w:hAnsi="Cambria"/>
          <w:bCs/>
          <w:sz w:val="20"/>
          <w:szCs w:val="20"/>
          <w:lang w:val="es-PA"/>
        </w:rPr>
        <w:t xml:space="preserve"> vilipendia</w:t>
      </w:r>
      <w:r w:rsidR="009F224C">
        <w:rPr>
          <w:rFonts w:ascii="Cambria" w:hAnsi="Cambria"/>
          <w:bCs/>
          <w:sz w:val="20"/>
          <w:szCs w:val="20"/>
          <w:lang w:val="es-PA"/>
        </w:rPr>
        <w:t>ron</w:t>
      </w:r>
      <w:r w:rsidR="009F224C" w:rsidRPr="00B966F6">
        <w:rPr>
          <w:rFonts w:ascii="Cambria" w:hAnsi="Cambria"/>
          <w:bCs/>
          <w:sz w:val="20"/>
          <w:szCs w:val="20"/>
          <w:lang w:val="es-PA"/>
        </w:rPr>
        <w:t xml:space="preserve"> al calificarl</w:t>
      </w:r>
      <w:r w:rsidR="009F224C">
        <w:rPr>
          <w:rFonts w:ascii="Cambria" w:hAnsi="Cambria"/>
          <w:bCs/>
          <w:sz w:val="20"/>
          <w:szCs w:val="20"/>
          <w:lang w:val="es-PA"/>
        </w:rPr>
        <w:t>o</w:t>
      </w:r>
      <w:r w:rsidR="009F224C" w:rsidRPr="00B966F6">
        <w:rPr>
          <w:rFonts w:ascii="Cambria" w:hAnsi="Cambria"/>
          <w:bCs/>
          <w:sz w:val="20"/>
          <w:szCs w:val="20"/>
          <w:lang w:val="es-PA"/>
        </w:rPr>
        <w:t>s como guerrilleros o auxiliadores de la guerrilla</w:t>
      </w:r>
      <w:r w:rsidR="009F224C">
        <w:rPr>
          <w:rFonts w:ascii="Cambria" w:hAnsi="Cambria"/>
          <w:bCs/>
          <w:sz w:val="20"/>
          <w:szCs w:val="20"/>
          <w:lang w:val="es-PA"/>
        </w:rPr>
        <w:t>;</w:t>
      </w:r>
      <w:r w:rsidR="009F224C" w:rsidRPr="00B966F6">
        <w:rPr>
          <w:rFonts w:ascii="Cambria" w:hAnsi="Cambria"/>
          <w:bCs/>
          <w:sz w:val="20"/>
          <w:szCs w:val="20"/>
          <w:lang w:val="es-PA"/>
        </w:rPr>
        <w:t xml:space="preserve"> </w:t>
      </w:r>
      <w:r w:rsidR="00DA13A2" w:rsidRPr="00B966F6">
        <w:rPr>
          <w:rFonts w:ascii="Cambria" w:hAnsi="Cambria"/>
          <w:bCs/>
          <w:sz w:val="20"/>
          <w:szCs w:val="20"/>
          <w:lang w:val="es-PA"/>
        </w:rPr>
        <w:t xml:space="preserve">y </w:t>
      </w:r>
      <w:r w:rsidR="00B66118">
        <w:rPr>
          <w:rFonts w:ascii="Cambria" w:hAnsi="Cambria"/>
          <w:bCs/>
          <w:sz w:val="20"/>
          <w:szCs w:val="20"/>
          <w:lang w:val="es-PA"/>
        </w:rPr>
        <w:t xml:space="preserve">que </w:t>
      </w:r>
      <w:r w:rsidR="00DA13A2" w:rsidRPr="00B966F6">
        <w:rPr>
          <w:rFonts w:ascii="Cambria" w:hAnsi="Cambria"/>
          <w:bCs/>
          <w:sz w:val="20"/>
          <w:szCs w:val="20"/>
          <w:lang w:val="es-PA"/>
        </w:rPr>
        <w:t>les dieron muerte con armas de largo alcance</w:t>
      </w:r>
      <w:r w:rsidR="00B56C46" w:rsidRPr="00B966F6">
        <w:rPr>
          <w:rFonts w:ascii="Cambria" w:hAnsi="Cambria"/>
          <w:bCs/>
          <w:sz w:val="20"/>
          <w:szCs w:val="20"/>
          <w:lang w:val="es-PA"/>
        </w:rPr>
        <w:t>.</w:t>
      </w:r>
      <w:r w:rsidR="00F87019" w:rsidRPr="00B966F6">
        <w:rPr>
          <w:rFonts w:ascii="Cambria" w:hAnsi="Cambria"/>
          <w:bCs/>
          <w:sz w:val="20"/>
          <w:szCs w:val="20"/>
          <w:lang w:val="es-PA"/>
        </w:rPr>
        <w:t xml:space="preserve"> </w:t>
      </w:r>
      <w:r w:rsidR="00DA13A2" w:rsidRPr="00B966F6">
        <w:rPr>
          <w:rFonts w:ascii="Cambria" w:hAnsi="Cambria"/>
          <w:bCs/>
          <w:sz w:val="20"/>
          <w:szCs w:val="20"/>
          <w:lang w:val="es-PA"/>
        </w:rPr>
        <w:t xml:space="preserve">Alega que los perpetradores abandonaros </w:t>
      </w:r>
      <w:r w:rsidR="00B66118" w:rsidRPr="00B966F6">
        <w:rPr>
          <w:rFonts w:ascii="Cambria" w:hAnsi="Cambria"/>
          <w:bCs/>
          <w:sz w:val="20"/>
          <w:szCs w:val="20"/>
          <w:lang w:val="es-PA"/>
        </w:rPr>
        <w:t>Vegachí</w:t>
      </w:r>
      <w:r w:rsidR="00DA13A2" w:rsidRPr="00B966F6">
        <w:rPr>
          <w:rFonts w:ascii="Cambria" w:hAnsi="Cambria"/>
          <w:bCs/>
          <w:sz w:val="20"/>
          <w:szCs w:val="20"/>
          <w:lang w:val="es-PA"/>
        </w:rPr>
        <w:t xml:space="preserve"> sin que </w:t>
      </w:r>
      <w:r w:rsidR="00B66118">
        <w:rPr>
          <w:rFonts w:ascii="Cambria" w:hAnsi="Cambria"/>
          <w:bCs/>
          <w:sz w:val="20"/>
          <w:szCs w:val="20"/>
          <w:lang w:val="es-PA"/>
        </w:rPr>
        <w:t>al</w:t>
      </w:r>
      <w:r w:rsidR="00DA13A2" w:rsidRPr="00B966F6">
        <w:rPr>
          <w:rFonts w:ascii="Cambria" w:hAnsi="Cambria"/>
          <w:bCs/>
          <w:sz w:val="20"/>
          <w:szCs w:val="20"/>
          <w:lang w:val="es-PA"/>
        </w:rPr>
        <w:t>gún miembro de la fuerza pública sali</w:t>
      </w:r>
      <w:r w:rsidR="00B66118">
        <w:rPr>
          <w:rFonts w:ascii="Cambria" w:hAnsi="Cambria"/>
          <w:bCs/>
          <w:sz w:val="20"/>
          <w:szCs w:val="20"/>
          <w:lang w:val="es-PA"/>
        </w:rPr>
        <w:t>e</w:t>
      </w:r>
      <w:r w:rsidR="00DA13A2" w:rsidRPr="00B966F6">
        <w:rPr>
          <w:rFonts w:ascii="Cambria" w:hAnsi="Cambria"/>
          <w:bCs/>
          <w:sz w:val="20"/>
          <w:szCs w:val="20"/>
          <w:lang w:val="es-PA"/>
        </w:rPr>
        <w:t>r</w:t>
      </w:r>
      <w:r w:rsidR="00B66118">
        <w:rPr>
          <w:rFonts w:ascii="Cambria" w:hAnsi="Cambria"/>
          <w:bCs/>
          <w:sz w:val="20"/>
          <w:szCs w:val="20"/>
          <w:lang w:val="es-PA"/>
        </w:rPr>
        <w:t>a</w:t>
      </w:r>
      <w:r w:rsidR="00DA13A2" w:rsidRPr="00B966F6">
        <w:rPr>
          <w:rFonts w:ascii="Cambria" w:hAnsi="Cambria"/>
          <w:bCs/>
          <w:sz w:val="20"/>
          <w:szCs w:val="20"/>
          <w:lang w:val="es-PA"/>
        </w:rPr>
        <w:t xml:space="preserve"> en su persecución</w:t>
      </w:r>
      <w:r w:rsidR="00B66118">
        <w:rPr>
          <w:rFonts w:ascii="Cambria" w:hAnsi="Cambria"/>
          <w:bCs/>
          <w:sz w:val="20"/>
          <w:szCs w:val="20"/>
          <w:lang w:val="es-PA"/>
        </w:rPr>
        <w:t>,</w:t>
      </w:r>
      <w:r w:rsidR="00520E16" w:rsidRPr="00B966F6">
        <w:rPr>
          <w:rFonts w:ascii="Cambria" w:hAnsi="Cambria"/>
          <w:bCs/>
          <w:sz w:val="20"/>
          <w:szCs w:val="20"/>
          <w:lang w:val="es-PA"/>
        </w:rPr>
        <w:t xml:space="preserve"> o informar</w:t>
      </w:r>
      <w:r w:rsidR="00B66118">
        <w:rPr>
          <w:rFonts w:ascii="Cambria" w:hAnsi="Cambria"/>
          <w:bCs/>
          <w:sz w:val="20"/>
          <w:szCs w:val="20"/>
          <w:lang w:val="es-PA"/>
        </w:rPr>
        <w:t>a</w:t>
      </w:r>
      <w:r w:rsidR="00520E16" w:rsidRPr="00B966F6">
        <w:rPr>
          <w:rFonts w:ascii="Cambria" w:hAnsi="Cambria"/>
          <w:bCs/>
          <w:sz w:val="20"/>
          <w:szCs w:val="20"/>
          <w:lang w:val="es-PA"/>
        </w:rPr>
        <w:t xml:space="preserve"> </w:t>
      </w:r>
      <w:r w:rsidR="00B66118">
        <w:rPr>
          <w:rFonts w:ascii="Cambria" w:hAnsi="Cambria"/>
          <w:bCs/>
          <w:sz w:val="20"/>
          <w:szCs w:val="20"/>
          <w:lang w:val="es-PA"/>
        </w:rPr>
        <w:t xml:space="preserve">lo sucedido </w:t>
      </w:r>
      <w:r w:rsidR="00520E16" w:rsidRPr="00B966F6">
        <w:rPr>
          <w:rFonts w:ascii="Cambria" w:hAnsi="Cambria"/>
          <w:bCs/>
          <w:sz w:val="20"/>
          <w:szCs w:val="20"/>
          <w:lang w:val="es-PA"/>
        </w:rPr>
        <w:t>a otras autoridades</w:t>
      </w:r>
      <w:r w:rsidR="00DA13A2" w:rsidRPr="00B966F6">
        <w:rPr>
          <w:rFonts w:ascii="Cambria" w:hAnsi="Cambria"/>
          <w:bCs/>
          <w:sz w:val="20"/>
          <w:szCs w:val="20"/>
          <w:lang w:val="es-PA"/>
        </w:rPr>
        <w:t>. Destaca además que</w:t>
      </w:r>
      <w:r w:rsidR="00B66118">
        <w:rPr>
          <w:rFonts w:ascii="Cambria" w:hAnsi="Cambria"/>
          <w:bCs/>
          <w:sz w:val="20"/>
          <w:szCs w:val="20"/>
          <w:lang w:val="es-PA"/>
        </w:rPr>
        <w:t xml:space="preserve"> el sitio</w:t>
      </w:r>
      <w:r w:rsidR="00DA13A2" w:rsidRPr="00B966F6">
        <w:rPr>
          <w:rFonts w:ascii="Cambria" w:hAnsi="Cambria"/>
          <w:bCs/>
          <w:sz w:val="20"/>
          <w:szCs w:val="20"/>
          <w:lang w:val="es-PA"/>
        </w:rPr>
        <w:t xml:space="preserve"> donde los presuntos paramilit</w:t>
      </w:r>
      <w:r w:rsidR="00520E16" w:rsidRPr="00B966F6">
        <w:rPr>
          <w:rFonts w:ascii="Cambria" w:hAnsi="Cambria"/>
          <w:bCs/>
          <w:sz w:val="20"/>
          <w:szCs w:val="20"/>
          <w:lang w:val="es-PA"/>
        </w:rPr>
        <w:t>ares retuvieron a las personas estaba localizad</w:t>
      </w:r>
      <w:r w:rsidR="00B66118">
        <w:rPr>
          <w:rFonts w:ascii="Cambria" w:hAnsi="Cambria"/>
          <w:bCs/>
          <w:sz w:val="20"/>
          <w:szCs w:val="20"/>
          <w:lang w:val="es-PA"/>
        </w:rPr>
        <w:t>o</w:t>
      </w:r>
      <w:r w:rsidR="00520E16" w:rsidRPr="00B966F6">
        <w:rPr>
          <w:rFonts w:ascii="Cambria" w:hAnsi="Cambria"/>
          <w:bCs/>
          <w:sz w:val="20"/>
          <w:szCs w:val="20"/>
          <w:lang w:val="es-PA"/>
        </w:rPr>
        <w:t xml:space="preserve"> a una cuadra del templo parroquial</w:t>
      </w:r>
      <w:r w:rsidR="009F224C">
        <w:rPr>
          <w:rFonts w:ascii="Cambria" w:hAnsi="Cambria"/>
          <w:bCs/>
          <w:sz w:val="20"/>
          <w:szCs w:val="20"/>
          <w:lang w:val="es-PA"/>
        </w:rPr>
        <w:t xml:space="preserve"> y cerca </w:t>
      </w:r>
      <w:r w:rsidR="00B66118">
        <w:rPr>
          <w:rFonts w:ascii="Cambria" w:hAnsi="Cambria"/>
          <w:bCs/>
          <w:sz w:val="20"/>
          <w:szCs w:val="20"/>
          <w:lang w:val="es-PA"/>
        </w:rPr>
        <w:t xml:space="preserve">del </w:t>
      </w:r>
      <w:r w:rsidR="009C5E7B">
        <w:rPr>
          <w:rFonts w:ascii="Cambria" w:hAnsi="Cambria"/>
          <w:bCs/>
          <w:sz w:val="20"/>
          <w:szCs w:val="20"/>
          <w:lang w:val="es-PA"/>
        </w:rPr>
        <w:t>cuartel</w:t>
      </w:r>
      <w:r w:rsidR="00B66118">
        <w:rPr>
          <w:rFonts w:ascii="Cambria" w:hAnsi="Cambria"/>
          <w:bCs/>
          <w:sz w:val="20"/>
          <w:szCs w:val="20"/>
          <w:lang w:val="es-PA"/>
        </w:rPr>
        <w:t xml:space="preserve"> de policía</w:t>
      </w:r>
      <w:r w:rsidR="009F224C">
        <w:rPr>
          <w:rFonts w:ascii="Cambria" w:hAnsi="Cambria"/>
          <w:bCs/>
          <w:sz w:val="20"/>
          <w:szCs w:val="20"/>
          <w:lang w:val="es-PA"/>
        </w:rPr>
        <w:t>;</w:t>
      </w:r>
      <w:r w:rsidR="00520E16" w:rsidRPr="00B966F6">
        <w:rPr>
          <w:rFonts w:ascii="Cambria" w:hAnsi="Cambria"/>
          <w:bCs/>
          <w:sz w:val="20"/>
          <w:szCs w:val="20"/>
          <w:lang w:val="es-PA"/>
        </w:rPr>
        <w:t xml:space="preserve"> </w:t>
      </w:r>
      <w:r w:rsidR="009F224C">
        <w:rPr>
          <w:rFonts w:ascii="Cambria" w:hAnsi="Cambria"/>
          <w:bCs/>
          <w:sz w:val="20"/>
          <w:szCs w:val="20"/>
          <w:lang w:val="es-PA"/>
        </w:rPr>
        <w:t xml:space="preserve">sin embargo, </w:t>
      </w:r>
      <w:r w:rsidR="00520E16" w:rsidRPr="00B966F6">
        <w:rPr>
          <w:rFonts w:ascii="Cambria" w:hAnsi="Cambria"/>
          <w:bCs/>
          <w:sz w:val="20"/>
          <w:szCs w:val="20"/>
          <w:lang w:val="es-PA"/>
        </w:rPr>
        <w:t xml:space="preserve">los policías se </w:t>
      </w:r>
      <w:r w:rsidR="009F224C">
        <w:rPr>
          <w:rFonts w:ascii="Cambria" w:hAnsi="Cambria"/>
          <w:bCs/>
          <w:sz w:val="20"/>
          <w:szCs w:val="20"/>
          <w:lang w:val="es-PA"/>
        </w:rPr>
        <w:t xml:space="preserve">habrían </w:t>
      </w:r>
      <w:r w:rsidR="00520E16" w:rsidRPr="00B966F6">
        <w:rPr>
          <w:rFonts w:ascii="Cambria" w:hAnsi="Cambria"/>
          <w:bCs/>
          <w:sz w:val="20"/>
          <w:szCs w:val="20"/>
          <w:lang w:val="es-PA"/>
        </w:rPr>
        <w:t>encerra</w:t>
      </w:r>
      <w:r w:rsidR="009F224C">
        <w:rPr>
          <w:rFonts w:ascii="Cambria" w:hAnsi="Cambria"/>
          <w:bCs/>
          <w:sz w:val="20"/>
          <w:szCs w:val="20"/>
          <w:lang w:val="es-PA"/>
        </w:rPr>
        <w:t>do</w:t>
      </w:r>
      <w:r w:rsidR="00520E16" w:rsidRPr="00B966F6">
        <w:rPr>
          <w:rFonts w:ascii="Cambria" w:hAnsi="Cambria"/>
          <w:bCs/>
          <w:sz w:val="20"/>
          <w:szCs w:val="20"/>
          <w:lang w:val="es-PA"/>
        </w:rPr>
        <w:t xml:space="preserve"> </w:t>
      </w:r>
      <w:r w:rsidR="009F224C">
        <w:rPr>
          <w:rFonts w:ascii="Cambria" w:hAnsi="Cambria"/>
          <w:bCs/>
          <w:sz w:val="20"/>
          <w:szCs w:val="20"/>
          <w:lang w:val="es-PA"/>
        </w:rPr>
        <w:t>bajo</w:t>
      </w:r>
      <w:r w:rsidR="00520E16" w:rsidRPr="00B966F6">
        <w:rPr>
          <w:rFonts w:ascii="Cambria" w:hAnsi="Cambria"/>
          <w:bCs/>
          <w:sz w:val="20"/>
          <w:szCs w:val="20"/>
          <w:lang w:val="es-PA"/>
        </w:rPr>
        <w:t xml:space="preserve"> pretexto </w:t>
      </w:r>
      <w:r w:rsidR="009F224C">
        <w:rPr>
          <w:rFonts w:ascii="Cambria" w:hAnsi="Cambria"/>
          <w:bCs/>
          <w:sz w:val="20"/>
          <w:szCs w:val="20"/>
          <w:lang w:val="es-PA"/>
        </w:rPr>
        <w:t xml:space="preserve">de </w:t>
      </w:r>
      <w:r w:rsidR="00520E16" w:rsidRPr="00B966F6">
        <w:rPr>
          <w:rFonts w:ascii="Cambria" w:hAnsi="Cambria"/>
          <w:bCs/>
          <w:sz w:val="20"/>
          <w:szCs w:val="20"/>
          <w:lang w:val="es-PA"/>
        </w:rPr>
        <w:t>un hostigamiento por parte de</w:t>
      </w:r>
      <w:r w:rsidR="009F224C">
        <w:rPr>
          <w:rFonts w:ascii="Cambria" w:hAnsi="Cambria"/>
          <w:bCs/>
          <w:sz w:val="20"/>
          <w:szCs w:val="20"/>
          <w:lang w:val="es-PA"/>
        </w:rPr>
        <w:t>l grupo armado</w:t>
      </w:r>
      <w:r w:rsidR="00520E16" w:rsidRPr="00B966F6">
        <w:rPr>
          <w:rFonts w:ascii="Cambria" w:hAnsi="Cambria"/>
          <w:bCs/>
          <w:sz w:val="20"/>
          <w:szCs w:val="20"/>
          <w:lang w:val="es-PA"/>
        </w:rPr>
        <w:t xml:space="preserve"> y no </w:t>
      </w:r>
      <w:r w:rsidR="009F224C">
        <w:rPr>
          <w:rFonts w:ascii="Cambria" w:hAnsi="Cambria"/>
          <w:bCs/>
          <w:sz w:val="20"/>
          <w:szCs w:val="20"/>
          <w:lang w:val="es-PA"/>
        </w:rPr>
        <w:t xml:space="preserve">habrían </w:t>
      </w:r>
      <w:r w:rsidR="00520E16" w:rsidRPr="00B966F6">
        <w:rPr>
          <w:rFonts w:ascii="Cambria" w:hAnsi="Cambria"/>
          <w:bCs/>
          <w:sz w:val="20"/>
          <w:szCs w:val="20"/>
          <w:lang w:val="es-PA"/>
        </w:rPr>
        <w:t>interven</w:t>
      </w:r>
      <w:r w:rsidR="009F224C">
        <w:rPr>
          <w:rFonts w:ascii="Cambria" w:hAnsi="Cambria"/>
          <w:bCs/>
          <w:sz w:val="20"/>
          <w:szCs w:val="20"/>
          <w:lang w:val="es-PA"/>
        </w:rPr>
        <w:t>ido</w:t>
      </w:r>
      <w:r w:rsidR="00520E16" w:rsidRPr="00B966F6">
        <w:rPr>
          <w:rFonts w:ascii="Cambria" w:hAnsi="Cambria"/>
          <w:bCs/>
          <w:sz w:val="20"/>
          <w:szCs w:val="20"/>
          <w:lang w:val="es-PA"/>
        </w:rPr>
        <w:t xml:space="preserve"> en defensa de las </w:t>
      </w:r>
      <w:r w:rsidR="00BA0CBA" w:rsidRPr="00B966F6">
        <w:rPr>
          <w:rFonts w:ascii="Cambria" w:hAnsi="Cambria"/>
          <w:bCs/>
          <w:sz w:val="20"/>
          <w:szCs w:val="20"/>
          <w:lang w:val="es-PA"/>
        </w:rPr>
        <w:t xml:space="preserve">presuntas </w:t>
      </w:r>
      <w:r w:rsidR="00520E16" w:rsidRPr="00B966F6">
        <w:rPr>
          <w:rFonts w:ascii="Cambria" w:hAnsi="Cambria"/>
          <w:bCs/>
          <w:sz w:val="20"/>
          <w:szCs w:val="20"/>
          <w:lang w:val="es-PA"/>
        </w:rPr>
        <w:t xml:space="preserve">víctimas. </w:t>
      </w:r>
      <w:r w:rsidR="009F224C">
        <w:rPr>
          <w:rFonts w:ascii="Cambria" w:hAnsi="Cambria"/>
          <w:bCs/>
          <w:sz w:val="20"/>
          <w:szCs w:val="20"/>
          <w:lang w:val="es-PA"/>
        </w:rPr>
        <w:t>El peticionario m</w:t>
      </w:r>
      <w:r w:rsidR="00520E16" w:rsidRPr="00B966F6">
        <w:rPr>
          <w:rFonts w:ascii="Cambria" w:hAnsi="Cambria"/>
          <w:bCs/>
          <w:sz w:val="20"/>
          <w:szCs w:val="20"/>
          <w:lang w:val="es-PA"/>
        </w:rPr>
        <w:t xml:space="preserve">anifiesta que, incluso </w:t>
      </w:r>
      <w:r w:rsidR="009F224C">
        <w:rPr>
          <w:rFonts w:ascii="Cambria" w:hAnsi="Cambria"/>
          <w:bCs/>
          <w:sz w:val="20"/>
          <w:szCs w:val="20"/>
          <w:lang w:val="es-PA"/>
        </w:rPr>
        <w:t xml:space="preserve">si </w:t>
      </w:r>
      <w:r w:rsidR="00520E16" w:rsidRPr="00B966F6">
        <w:rPr>
          <w:rFonts w:ascii="Cambria" w:hAnsi="Cambria"/>
          <w:bCs/>
          <w:sz w:val="20"/>
          <w:szCs w:val="20"/>
          <w:lang w:val="es-PA"/>
        </w:rPr>
        <w:t xml:space="preserve">no hubiese complicidad o connivencia de los </w:t>
      </w:r>
      <w:r w:rsidR="009F224C">
        <w:rPr>
          <w:rFonts w:ascii="Cambria" w:hAnsi="Cambria"/>
          <w:bCs/>
          <w:sz w:val="20"/>
          <w:szCs w:val="20"/>
          <w:lang w:val="es-PA"/>
        </w:rPr>
        <w:t>agentes del orden</w:t>
      </w:r>
      <w:r w:rsidR="00520E16" w:rsidRPr="00B966F6">
        <w:rPr>
          <w:rFonts w:ascii="Cambria" w:hAnsi="Cambria"/>
          <w:bCs/>
          <w:sz w:val="20"/>
          <w:szCs w:val="20"/>
          <w:lang w:val="es-PA"/>
        </w:rPr>
        <w:t xml:space="preserve"> con los perpetradores, </w:t>
      </w:r>
      <w:r w:rsidR="009F224C">
        <w:rPr>
          <w:rFonts w:ascii="Cambria" w:hAnsi="Cambria"/>
          <w:bCs/>
          <w:sz w:val="20"/>
          <w:szCs w:val="20"/>
          <w:lang w:val="es-PA"/>
        </w:rPr>
        <w:t xml:space="preserve">aquellos </w:t>
      </w:r>
      <w:r w:rsidR="0038524B" w:rsidRPr="00B966F6">
        <w:rPr>
          <w:rFonts w:ascii="Cambria" w:hAnsi="Cambria"/>
          <w:bCs/>
          <w:sz w:val="20"/>
          <w:szCs w:val="20"/>
          <w:lang w:val="es-PA"/>
        </w:rPr>
        <w:t xml:space="preserve">serían responsables de lo ocurrido por no haber cumplido con </w:t>
      </w:r>
      <w:r w:rsidR="009F224C">
        <w:rPr>
          <w:rFonts w:ascii="Cambria" w:hAnsi="Cambria"/>
          <w:bCs/>
          <w:sz w:val="20"/>
          <w:szCs w:val="20"/>
          <w:lang w:val="es-PA"/>
        </w:rPr>
        <w:t xml:space="preserve">su </w:t>
      </w:r>
      <w:r w:rsidR="0038524B" w:rsidRPr="00B966F6">
        <w:rPr>
          <w:rFonts w:ascii="Cambria" w:hAnsi="Cambria"/>
          <w:bCs/>
          <w:sz w:val="20"/>
          <w:szCs w:val="20"/>
          <w:lang w:val="es-PA"/>
        </w:rPr>
        <w:t xml:space="preserve">función </w:t>
      </w:r>
      <w:r w:rsidR="009F224C">
        <w:rPr>
          <w:rFonts w:ascii="Cambria" w:hAnsi="Cambria"/>
          <w:bCs/>
          <w:sz w:val="20"/>
          <w:szCs w:val="20"/>
          <w:lang w:val="es-PA"/>
        </w:rPr>
        <w:t xml:space="preserve">de </w:t>
      </w:r>
      <w:r w:rsidR="0038524B" w:rsidRPr="00B966F6">
        <w:rPr>
          <w:rFonts w:ascii="Cambria" w:hAnsi="Cambria"/>
          <w:bCs/>
          <w:sz w:val="20"/>
          <w:szCs w:val="20"/>
          <w:lang w:val="es-PA"/>
        </w:rPr>
        <w:t>protección de la vida, honra y bienes de la población.</w:t>
      </w:r>
    </w:p>
    <w:p w14:paraId="5B26E0DB" w14:textId="77777777" w:rsidR="00B966F6" w:rsidRPr="00B966F6" w:rsidRDefault="00B966F6" w:rsidP="00B966F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UY"/>
        </w:rPr>
      </w:pPr>
    </w:p>
    <w:p w14:paraId="49F5D5A3" w14:textId="04EBE33C" w:rsidR="0038524B" w:rsidRPr="001C43F5" w:rsidRDefault="00771400" w:rsidP="00D70C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UY"/>
        </w:rPr>
      </w:pPr>
      <w:r>
        <w:rPr>
          <w:rFonts w:ascii="Cambria" w:hAnsi="Cambria"/>
          <w:sz w:val="20"/>
          <w:szCs w:val="20"/>
          <w:lang w:val="es-UY"/>
        </w:rPr>
        <w:t xml:space="preserve">Agrega </w:t>
      </w:r>
      <w:r w:rsidR="00B56C46" w:rsidRPr="00B966F6">
        <w:rPr>
          <w:rFonts w:ascii="Cambria" w:hAnsi="Cambria"/>
          <w:sz w:val="20"/>
          <w:szCs w:val="20"/>
          <w:lang w:val="es-UY"/>
        </w:rPr>
        <w:t xml:space="preserve">que, con la intención de justificar su deficiente actuación, la fuerza policial de Vegachí suministró a la prensa un informe </w:t>
      </w:r>
      <w:r>
        <w:rPr>
          <w:rFonts w:ascii="Cambria" w:hAnsi="Cambria"/>
          <w:sz w:val="20"/>
          <w:szCs w:val="20"/>
          <w:lang w:val="es-UY"/>
        </w:rPr>
        <w:t xml:space="preserve">en el que </w:t>
      </w:r>
      <w:r w:rsidR="00B56C46" w:rsidRPr="00B966F6">
        <w:rPr>
          <w:rFonts w:ascii="Cambria" w:hAnsi="Cambria"/>
          <w:sz w:val="20"/>
          <w:szCs w:val="20"/>
          <w:lang w:val="es-UY"/>
        </w:rPr>
        <w:t>indic</w:t>
      </w:r>
      <w:r>
        <w:rPr>
          <w:rFonts w:ascii="Cambria" w:hAnsi="Cambria"/>
          <w:sz w:val="20"/>
          <w:szCs w:val="20"/>
          <w:lang w:val="es-UY"/>
        </w:rPr>
        <w:t>ó</w:t>
      </w:r>
      <w:r w:rsidR="00B56C46" w:rsidRPr="00B966F6">
        <w:rPr>
          <w:rFonts w:ascii="Cambria" w:hAnsi="Cambria"/>
          <w:sz w:val="20"/>
          <w:szCs w:val="20"/>
          <w:lang w:val="es-UY"/>
        </w:rPr>
        <w:t xml:space="preserve"> que los autores de la masacre pertenecían al Ejército de Liberación Nacional</w:t>
      </w:r>
      <w:r w:rsidR="008E1A01">
        <w:rPr>
          <w:rFonts w:ascii="Cambria" w:hAnsi="Cambria"/>
          <w:sz w:val="20"/>
          <w:szCs w:val="20"/>
          <w:lang w:val="es-UY"/>
        </w:rPr>
        <w:t xml:space="preserve"> (ELN)</w:t>
      </w:r>
      <w:r w:rsidR="00B56C46" w:rsidRPr="00B966F6">
        <w:rPr>
          <w:rFonts w:ascii="Cambria" w:hAnsi="Cambria"/>
          <w:sz w:val="20"/>
          <w:szCs w:val="20"/>
          <w:lang w:val="es-UY"/>
        </w:rPr>
        <w:t xml:space="preserve">. Sostiene </w:t>
      </w:r>
      <w:r>
        <w:rPr>
          <w:rFonts w:ascii="Cambria" w:hAnsi="Cambria"/>
          <w:sz w:val="20"/>
          <w:szCs w:val="20"/>
          <w:lang w:val="es-UY"/>
        </w:rPr>
        <w:t xml:space="preserve">el peticionario </w:t>
      </w:r>
      <w:r w:rsidR="00B56C46" w:rsidRPr="00B966F6">
        <w:rPr>
          <w:rFonts w:ascii="Cambria" w:hAnsi="Cambria"/>
          <w:sz w:val="20"/>
          <w:szCs w:val="20"/>
          <w:lang w:val="es-UY"/>
        </w:rPr>
        <w:t xml:space="preserve">que este informe es falaz, pues la propia población de Vegachí </w:t>
      </w:r>
      <w:r>
        <w:rPr>
          <w:rFonts w:ascii="Cambria" w:hAnsi="Cambria"/>
          <w:sz w:val="20"/>
          <w:szCs w:val="20"/>
          <w:lang w:val="es-UY"/>
        </w:rPr>
        <w:t>considera que l</w:t>
      </w:r>
      <w:r w:rsidR="00B56C46" w:rsidRPr="00B966F6">
        <w:rPr>
          <w:rFonts w:ascii="Cambria" w:hAnsi="Cambria"/>
          <w:sz w:val="20"/>
          <w:szCs w:val="20"/>
          <w:lang w:val="es-UY"/>
        </w:rPr>
        <w:t>a masacre fue cometida por paramilitares</w:t>
      </w:r>
      <w:r>
        <w:rPr>
          <w:rFonts w:ascii="Cambria" w:hAnsi="Cambria"/>
          <w:sz w:val="20"/>
          <w:szCs w:val="20"/>
          <w:lang w:val="es-UY"/>
        </w:rPr>
        <w:t>,</w:t>
      </w:r>
      <w:r w:rsidR="00B56C46" w:rsidRPr="00B966F6">
        <w:rPr>
          <w:rFonts w:ascii="Cambria" w:hAnsi="Cambria"/>
          <w:sz w:val="20"/>
          <w:szCs w:val="20"/>
          <w:lang w:val="es-UY"/>
        </w:rPr>
        <w:t xml:space="preserve"> dadas las manifestaciones contra la guerrilla que realizaron </w:t>
      </w:r>
      <w:r w:rsidR="008E1A01">
        <w:rPr>
          <w:rFonts w:ascii="Cambria" w:hAnsi="Cambria"/>
          <w:sz w:val="20"/>
          <w:szCs w:val="20"/>
          <w:lang w:val="es-UY"/>
        </w:rPr>
        <w:t xml:space="preserve">los perpetradores </w:t>
      </w:r>
      <w:r w:rsidR="00B56C46" w:rsidRPr="00B966F6">
        <w:rPr>
          <w:rFonts w:ascii="Cambria" w:hAnsi="Cambria"/>
          <w:sz w:val="20"/>
          <w:szCs w:val="20"/>
          <w:lang w:val="es-UY"/>
        </w:rPr>
        <w:t>en la iglesia</w:t>
      </w:r>
      <w:r w:rsidR="008E1A01">
        <w:rPr>
          <w:rFonts w:ascii="Cambria" w:hAnsi="Cambria"/>
          <w:sz w:val="20"/>
          <w:szCs w:val="20"/>
          <w:lang w:val="es-UY"/>
        </w:rPr>
        <w:t>,</w:t>
      </w:r>
      <w:r w:rsidR="00B56C46" w:rsidRPr="00B966F6">
        <w:rPr>
          <w:rFonts w:ascii="Cambria" w:hAnsi="Cambria"/>
          <w:sz w:val="20"/>
          <w:szCs w:val="20"/>
          <w:lang w:val="es-UY"/>
        </w:rPr>
        <w:t xml:space="preserve"> </w:t>
      </w:r>
      <w:r w:rsidR="008E1A01">
        <w:rPr>
          <w:rFonts w:ascii="Cambria" w:hAnsi="Cambria"/>
          <w:sz w:val="20"/>
          <w:szCs w:val="20"/>
          <w:lang w:val="es-UY"/>
        </w:rPr>
        <w:t xml:space="preserve">así como </w:t>
      </w:r>
      <w:r w:rsidR="00B56C46" w:rsidRPr="00B966F6">
        <w:rPr>
          <w:rFonts w:ascii="Cambria" w:hAnsi="Cambria"/>
          <w:sz w:val="20"/>
          <w:szCs w:val="20"/>
          <w:lang w:val="es-UY"/>
        </w:rPr>
        <w:t xml:space="preserve">las acusaciones que realizaron contra quienes </w:t>
      </w:r>
      <w:r w:rsidR="00B56C46" w:rsidRPr="001C43F5">
        <w:rPr>
          <w:rFonts w:ascii="Cambria" w:hAnsi="Cambria"/>
          <w:sz w:val="20"/>
          <w:szCs w:val="20"/>
          <w:lang w:val="es-UY"/>
        </w:rPr>
        <w:t>asesinaron.</w:t>
      </w:r>
    </w:p>
    <w:p w14:paraId="268AFEC6" w14:textId="77777777" w:rsidR="00B966F6" w:rsidRPr="001C43F5" w:rsidRDefault="00B966F6" w:rsidP="00B966F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UY"/>
        </w:rPr>
      </w:pPr>
    </w:p>
    <w:p w14:paraId="61BD2D83" w14:textId="66ADD82B" w:rsidR="00E56F4F" w:rsidRPr="001C43F5" w:rsidRDefault="008E1A01" w:rsidP="00D70C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UY"/>
        </w:rPr>
      </w:pPr>
      <w:r w:rsidRPr="001C43F5">
        <w:rPr>
          <w:rFonts w:ascii="Cambria" w:hAnsi="Cambria"/>
          <w:sz w:val="20"/>
          <w:szCs w:val="20"/>
          <w:lang w:val="es-UY"/>
        </w:rPr>
        <w:t>El peticionario d</w:t>
      </w:r>
      <w:r w:rsidR="00E56F4F" w:rsidRPr="001C43F5">
        <w:rPr>
          <w:rFonts w:ascii="Cambria" w:hAnsi="Cambria"/>
          <w:sz w:val="20"/>
          <w:szCs w:val="20"/>
          <w:lang w:val="es-UY"/>
        </w:rPr>
        <w:t xml:space="preserve">enuncia que los hechos del 28 de febrero de 1997 han quedado en </w:t>
      </w:r>
      <w:r w:rsidR="00EF682B">
        <w:rPr>
          <w:rFonts w:ascii="Cambria" w:hAnsi="Cambria"/>
          <w:sz w:val="20"/>
          <w:szCs w:val="20"/>
          <w:lang w:val="es-UY"/>
        </w:rPr>
        <w:t xml:space="preserve">la </w:t>
      </w:r>
      <w:r w:rsidR="00E56F4F" w:rsidRPr="001C43F5">
        <w:rPr>
          <w:rFonts w:ascii="Cambria" w:hAnsi="Cambria"/>
          <w:sz w:val="20"/>
          <w:szCs w:val="20"/>
          <w:lang w:val="es-UY"/>
        </w:rPr>
        <w:t>impunidad</w:t>
      </w:r>
      <w:r w:rsidRPr="001C43F5">
        <w:rPr>
          <w:rFonts w:ascii="Cambria" w:hAnsi="Cambria"/>
          <w:sz w:val="20"/>
          <w:szCs w:val="20"/>
          <w:lang w:val="es-UY"/>
        </w:rPr>
        <w:t>,</w:t>
      </w:r>
      <w:r w:rsidR="00E56F4F" w:rsidRPr="001C43F5">
        <w:rPr>
          <w:rFonts w:ascii="Cambria" w:hAnsi="Cambria"/>
          <w:sz w:val="20"/>
          <w:szCs w:val="20"/>
          <w:lang w:val="es-UY"/>
        </w:rPr>
        <w:t xml:space="preserve"> </w:t>
      </w:r>
      <w:r w:rsidR="001C43F5" w:rsidRPr="001C43F5">
        <w:rPr>
          <w:rFonts w:ascii="Cambria" w:hAnsi="Cambria"/>
          <w:sz w:val="20"/>
          <w:szCs w:val="20"/>
          <w:lang w:val="es-UY"/>
        </w:rPr>
        <w:t xml:space="preserve">ya que no se han </w:t>
      </w:r>
      <w:r w:rsidR="00E56F4F" w:rsidRPr="001C43F5">
        <w:rPr>
          <w:rFonts w:ascii="Cambria" w:hAnsi="Cambria"/>
          <w:sz w:val="20"/>
          <w:szCs w:val="20"/>
          <w:lang w:val="es-UY"/>
        </w:rPr>
        <w:t xml:space="preserve">identificado responsables </w:t>
      </w:r>
      <w:r w:rsidRPr="001C43F5">
        <w:rPr>
          <w:rFonts w:ascii="Cambria" w:hAnsi="Cambria"/>
          <w:sz w:val="20"/>
          <w:szCs w:val="20"/>
          <w:lang w:val="es-UY"/>
        </w:rPr>
        <w:t xml:space="preserve">en el ámbito </w:t>
      </w:r>
      <w:r w:rsidR="00E56F4F" w:rsidRPr="001C43F5">
        <w:rPr>
          <w:rFonts w:ascii="Cambria" w:hAnsi="Cambria"/>
          <w:sz w:val="20"/>
          <w:szCs w:val="20"/>
          <w:lang w:val="es-UY"/>
        </w:rPr>
        <w:t xml:space="preserve">penal ni </w:t>
      </w:r>
      <w:r w:rsidRPr="001C43F5">
        <w:rPr>
          <w:rFonts w:ascii="Cambria" w:hAnsi="Cambria"/>
          <w:sz w:val="20"/>
          <w:szCs w:val="20"/>
          <w:lang w:val="es-UY"/>
        </w:rPr>
        <w:t xml:space="preserve">en el </w:t>
      </w:r>
      <w:r w:rsidR="00E56F4F" w:rsidRPr="001C43F5">
        <w:rPr>
          <w:rFonts w:ascii="Cambria" w:hAnsi="Cambria"/>
          <w:sz w:val="20"/>
          <w:szCs w:val="20"/>
          <w:lang w:val="es-UY"/>
        </w:rPr>
        <w:t>disciplinari</w:t>
      </w:r>
      <w:r w:rsidRPr="001C43F5">
        <w:rPr>
          <w:rFonts w:ascii="Cambria" w:hAnsi="Cambria"/>
          <w:sz w:val="20"/>
          <w:szCs w:val="20"/>
          <w:lang w:val="es-UY"/>
        </w:rPr>
        <w:t>o</w:t>
      </w:r>
      <w:r w:rsidR="00E56F4F" w:rsidRPr="001C43F5">
        <w:rPr>
          <w:rFonts w:ascii="Cambria" w:hAnsi="Cambria"/>
          <w:sz w:val="20"/>
          <w:szCs w:val="20"/>
          <w:lang w:val="es-UY"/>
        </w:rPr>
        <w:t xml:space="preserve">. Explica que las primeras diligencias </w:t>
      </w:r>
      <w:r w:rsidRPr="001C43F5">
        <w:rPr>
          <w:rFonts w:ascii="Cambria" w:hAnsi="Cambria"/>
          <w:sz w:val="20"/>
          <w:szCs w:val="20"/>
          <w:lang w:val="es-UY"/>
        </w:rPr>
        <w:t xml:space="preserve">realizadas </w:t>
      </w:r>
      <w:r w:rsidR="00E56F4F" w:rsidRPr="001C43F5">
        <w:rPr>
          <w:rFonts w:ascii="Cambria" w:hAnsi="Cambria"/>
          <w:sz w:val="20"/>
          <w:szCs w:val="20"/>
          <w:lang w:val="es-UY"/>
        </w:rPr>
        <w:t xml:space="preserve">por la Fiscalía Delegada </w:t>
      </w:r>
      <w:r w:rsidR="001C43F5">
        <w:rPr>
          <w:rFonts w:ascii="Cambria" w:hAnsi="Cambria"/>
          <w:sz w:val="20"/>
          <w:szCs w:val="20"/>
          <w:lang w:val="es-UY"/>
        </w:rPr>
        <w:t>a</w:t>
      </w:r>
      <w:r w:rsidR="00E56F4F" w:rsidRPr="001C43F5">
        <w:rPr>
          <w:rFonts w:ascii="Cambria" w:hAnsi="Cambria"/>
          <w:sz w:val="20"/>
          <w:szCs w:val="20"/>
          <w:lang w:val="es-UY"/>
        </w:rPr>
        <w:t xml:space="preserve">nte los Jueces Penales del Circuito de Puerto Berrío fueron archivadas por falta de identificación de los perpetradores. Señala que </w:t>
      </w:r>
      <w:r w:rsidR="008A0CEB" w:rsidRPr="001C43F5">
        <w:rPr>
          <w:rFonts w:ascii="Cambria" w:hAnsi="Cambria"/>
          <w:sz w:val="20"/>
          <w:szCs w:val="20"/>
          <w:lang w:val="es-UY"/>
        </w:rPr>
        <w:t xml:space="preserve">posteriormente se iniciaron labores para tratar de identificar y sancionar a los responsables en el marco del sistema de justicia transicional establecido mediante la </w:t>
      </w:r>
      <w:r w:rsidRPr="001C43F5">
        <w:rPr>
          <w:rFonts w:ascii="Cambria" w:hAnsi="Cambria"/>
          <w:sz w:val="20"/>
          <w:szCs w:val="20"/>
          <w:lang w:val="es-UY"/>
        </w:rPr>
        <w:t>L</w:t>
      </w:r>
      <w:r w:rsidR="008A0CEB" w:rsidRPr="001C43F5">
        <w:rPr>
          <w:rFonts w:ascii="Cambria" w:hAnsi="Cambria"/>
          <w:sz w:val="20"/>
          <w:szCs w:val="20"/>
          <w:lang w:val="es-UY"/>
        </w:rPr>
        <w:t>ey 975 de 2005</w:t>
      </w:r>
      <w:r w:rsidR="00601737">
        <w:rPr>
          <w:rFonts w:ascii="Cambria" w:hAnsi="Cambria"/>
          <w:sz w:val="20"/>
          <w:szCs w:val="20"/>
          <w:lang w:val="es-UY"/>
        </w:rPr>
        <w:t>;</w:t>
      </w:r>
      <w:r w:rsidR="008A0CEB" w:rsidRPr="001C43F5">
        <w:rPr>
          <w:rFonts w:ascii="Cambria" w:hAnsi="Cambria"/>
          <w:sz w:val="20"/>
          <w:szCs w:val="20"/>
          <w:lang w:val="es-UY"/>
        </w:rPr>
        <w:t xml:space="preserve"> </w:t>
      </w:r>
      <w:r w:rsidR="00601737">
        <w:rPr>
          <w:rFonts w:ascii="Cambria" w:hAnsi="Cambria"/>
          <w:sz w:val="20"/>
          <w:szCs w:val="20"/>
          <w:lang w:val="es-UY"/>
        </w:rPr>
        <w:t xml:space="preserve">sin embargo, </w:t>
      </w:r>
      <w:r w:rsidR="008A0CEB" w:rsidRPr="001C43F5">
        <w:rPr>
          <w:rFonts w:ascii="Cambria" w:hAnsi="Cambria"/>
          <w:sz w:val="20"/>
          <w:szCs w:val="20"/>
          <w:lang w:val="es-UY"/>
        </w:rPr>
        <w:t xml:space="preserve">cuestiona que no </w:t>
      </w:r>
      <w:r w:rsidRPr="001C43F5">
        <w:rPr>
          <w:rFonts w:ascii="Cambria" w:hAnsi="Cambria"/>
          <w:sz w:val="20"/>
          <w:szCs w:val="20"/>
          <w:lang w:val="es-UY"/>
        </w:rPr>
        <w:t>hubiera</w:t>
      </w:r>
      <w:r w:rsidR="008A0CEB" w:rsidRPr="001C43F5">
        <w:rPr>
          <w:rFonts w:ascii="Cambria" w:hAnsi="Cambria"/>
          <w:sz w:val="20"/>
          <w:szCs w:val="20"/>
          <w:lang w:val="es-UY"/>
        </w:rPr>
        <w:t xml:space="preserve"> avances en la investigación penal entre 1997 y 2005. </w:t>
      </w:r>
      <w:r w:rsidR="007C2D33" w:rsidRPr="001C43F5">
        <w:rPr>
          <w:rFonts w:ascii="Cambria" w:hAnsi="Cambria"/>
          <w:sz w:val="20"/>
          <w:szCs w:val="20"/>
          <w:lang w:val="es-UY"/>
        </w:rPr>
        <w:t>R</w:t>
      </w:r>
      <w:r w:rsidR="008A0CEB" w:rsidRPr="001C43F5">
        <w:rPr>
          <w:rFonts w:ascii="Cambria" w:hAnsi="Cambria"/>
          <w:sz w:val="20"/>
          <w:szCs w:val="20"/>
          <w:lang w:val="es-UY"/>
        </w:rPr>
        <w:t xml:space="preserve">eclama </w:t>
      </w:r>
      <w:r w:rsidR="007C2D33" w:rsidRPr="001C43F5">
        <w:rPr>
          <w:rFonts w:ascii="Cambria" w:hAnsi="Cambria"/>
          <w:sz w:val="20"/>
          <w:szCs w:val="20"/>
          <w:lang w:val="es-UY"/>
        </w:rPr>
        <w:t xml:space="preserve">igualmente </w:t>
      </w:r>
      <w:r w:rsidR="008A0CEB" w:rsidRPr="001C43F5">
        <w:rPr>
          <w:rFonts w:ascii="Cambria" w:hAnsi="Cambria"/>
          <w:sz w:val="20"/>
          <w:szCs w:val="20"/>
          <w:lang w:val="es-UY"/>
        </w:rPr>
        <w:t>que, si bien el marc</w:t>
      </w:r>
      <w:r w:rsidR="008A0AB8" w:rsidRPr="001C43F5">
        <w:rPr>
          <w:rFonts w:ascii="Cambria" w:hAnsi="Cambria"/>
          <w:sz w:val="20"/>
          <w:szCs w:val="20"/>
          <w:lang w:val="es-UY"/>
        </w:rPr>
        <w:t>o de justicia transicional entró</w:t>
      </w:r>
      <w:r w:rsidR="008A0CEB" w:rsidRPr="001C43F5">
        <w:rPr>
          <w:rFonts w:ascii="Cambria" w:hAnsi="Cambria"/>
          <w:sz w:val="20"/>
          <w:szCs w:val="20"/>
          <w:lang w:val="es-UY"/>
        </w:rPr>
        <w:t xml:space="preserve"> en vigor en 2005, no fue sino hasta 2011 que se </w:t>
      </w:r>
      <w:r w:rsidR="00601737">
        <w:rPr>
          <w:rFonts w:ascii="Cambria" w:hAnsi="Cambria"/>
          <w:sz w:val="20"/>
          <w:szCs w:val="20"/>
          <w:lang w:val="es-UY"/>
        </w:rPr>
        <w:t xml:space="preserve">practicaron las </w:t>
      </w:r>
      <w:r w:rsidR="008A0CEB" w:rsidRPr="001C43F5">
        <w:rPr>
          <w:rFonts w:ascii="Cambria" w:hAnsi="Cambria"/>
          <w:sz w:val="20"/>
          <w:szCs w:val="20"/>
          <w:lang w:val="es-UY"/>
        </w:rPr>
        <w:t xml:space="preserve">pruebas con respecto </w:t>
      </w:r>
      <w:r w:rsidR="00601737">
        <w:rPr>
          <w:rFonts w:ascii="Cambria" w:hAnsi="Cambria"/>
          <w:sz w:val="20"/>
          <w:szCs w:val="20"/>
          <w:lang w:val="es-UY"/>
        </w:rPr>
        <w:t>a los hechos denunciados</w:t>
      </w:r>
      <w:r w:rsidR="008A0CEB" w:rsidRPr="001C43F5">
        <w:rPr>
          <w:rFonts w:ascii="Cambria" w:hAnsi="Cambria"/>
          <w:sz w:val="20"/>
          <w:szCs w:val="20"/>
          <w:lang w:val="es-UY"/>
        </w:rPr>
        <w:t xml:space="preserve">. Considera que </w:t>
      </w:r>
      <w:r w:rsidR="00601737" w:rsidRPr="001C43F5">
        <w:rPr>
          <w:rFonts w:ascii="Cambria" w:hAnsi="Cambria"/>
          <w:sz w:val="20"/>
          <w:szCs w:val="20"/>
          <w:lang w:val="es-UY"/>
        </w:rPr>
        <w:t xml:space="preserve">debe ser aplicada a la presente petición </w:t>
      </w:r>
      <w:r w:rsidR="008A0CEB" w:rsidRPr="001C43F5">
        <w:rPr>
          <w:rFonts w:ascii="Cambria" w:hAnsi="Cambria"/>
          <w:sz w:val="20"/>
          <w:szCs w:val="20"/>
          <w:lang w:val="es-UY"/>
        </w:rPr>
        <w:t>la e</w:t>
      </w:r>
      <w:r w:rsidR="00623843" w:rsidRPr="001C43F5">
        <w:rPr>
          <w:rFonts w:ascii="Cambria" w:hAnsi="Cambria"/>
          <w:sz w:val="20"/>
          <w:szCs w:val="20"/>
          <w:lang w:val="es-UY"/>
        </w:rPr>
        <w:t xml:space="preserve">xcepción </w:t>
      </w:r>
      <w:r w:rsidR="008A0CEB" w:rsidRPr="001C43F5">
        <w:rPr>
          <w:rFonts w:ascii="Cambria" w:hAnsi="Cambria"/>
          <w:sz w:val="20"/>
          <w:szCs w:val="20"/>
          <w:lang w:val="es-UY"/>
        </w:rPr>
        <w:t>contemplada en el artículo 46.2(c) de la Convención Americana</w:t>
      </w:r>
      <w:r w:rsidR="00623843" w:rsidRPr="001C43F5">
        <w:rPr>
          <w:rFonts w:ascii="Cambria" w:hAnsi="Cambria"/>
          <w:sz w:val="20"/>
          <w:szCs w:val="20"/>
          <w:lang w:val="es-UY"/>
        </w:rPr>
        <w:t xml:space="preserve"> </w:t>
      </w:r>
      <w:r w:rsidR="00601737">
        <w:rPr>
          <w:rFonts w:ascii="Cambria" w:hAnsi="Cambria"/>
          <w:sz w:val="20"/>
          <w:szCs w:val="20"/>
          <w:lang w:val="es-UY"/>
        </w:rPr>
        <w:t xml:space="preserve">debido a la demora excesiva de </w:t>
      </w:r>
      <w:r w:rsidR="00623843" w:rsidRPr="001C43F5">
        <w:rPr>
          <w:rFonts w:ascii="Cambria" w:hAnsi="Cambria"/>
          <w:sz w:val="20"/>
          <w:szCs w:val="20"/>
          <w:lang w:val="es-UY"/>
        </w:rPr>
        <w:t>la labor del Estado</w:t>
      </w:r>
      <w:r w:rsidR="00601737">
        <w:rPr>
          <w:rFonts w:ascii="Cambria" w:hAnsi="Cambria"/>
          <w:sz w:val="20"/>
          <w:szCs w:val="20"/>
          <w:lang w:val="es-UY"/>
        </w:rPr>
        <w:t>,</w:t>
      </w:r>
      <w:r w:rsidR="00623843" w:rsidRPr="001C43F5">
        <w:rPr>
          <w:rFonts w:ascii="Cambria" w:hAnsi="Cambria"/>
          <w:sz w:val="20"/>
          <w:szCs w:val="20"/>
          <w:lang w:val="es-UY"/>
        </w:rPr>
        <w:t xml:space="preserve"> y </w:t>
      </w:r>
      <w:r w:rsidR="00601737">
        <w:rPr>
          <w:rFonts w:ascii="Cambria" w:hAnsi="Cambria"/>
          <w:sz w:val="20"/>
          <w:szCs w:val="20"/>
          <w:lang w:val="es-UY"/>
        </w:rPr>
        <w:t xml:space="preserve">a que </w:t>
      </w:r>
      <w:r w:rsidR="00623843" w:rsidRPr="001C43F5">
        <w:rPr>
          <w:rFonts w:ascii="Cambria" w:hAnsi="Cambria"/>
          <w:sz w:val="20"/>
          <w:szCs w:val="20"/>
          <w:lang w:val="es-UY"/>
        </w:rPr>
        <w:t xml:space="preserve">el tiempo transcurrido sin que se </w:t>
      </w:r>
      <w:r w:rsidR="00601737">
        <w:rPr>
          <w:rFonts w:ascii="Cambria" w:hAnsi="Cambria"/>
          <w:sz w:val="20"/>
          <w:szCs w:val="20"/>
          <w:lang w:val="es-UY"/>
        </w:rPr>
        <w:t xml:space="preserve">hubieran </w:t>
      </w:r>
      <w:r w:rsidR="00623843" w:rsidRPr="001C43F5">
        <w:rPr>
          <w:rFonts w:ascii="Cambria" w:hAnsi="Cambria"/>
          <w:sz w:val="20"/>
          <w:szCs w:val="20"/>
          <w:lang w:val="es-UY"/>
        </w:rPr>
        <w:t xml:space="preserve">identificado responsables demuestra </w:t>
      </w:r>
      <w:r w:rsidR="00601737">
        <w:rPr>
          <w:rFonts w:ascii="Cambria" w:hAnsi="Cambria"/>
          <w:sz w:val="20"/>
          <w:szCs w:val="20"/>
          <w:lang w:val="es-UY"/>
        </w:rPr>
        <w:t xml:space="preserve">la ineficacia de </w:t>
      </w:r>
      <w:r w:rsidR="00623843" w:rsidRPr="001C43F5">
        <w:rPr>
          <w:rFonts w:ascii="Cambria" w:hAnsi="Cambria"/>
          <w:sz w:val="20"/>
          <w:szCs w:val="20"/>
          <w:lang w:val="es-UY"/>
        </w:rPr>
        <w:t xml:space="preserve">los recursos internos. </w:t>
      </w:r>
    </w:p>
    <w:p w14:paraId="7B964178" w14:textId="77777777" w:rsidR="00B966F6" w:rsidRDefault="00B966F6" w:rsidP="007C2D3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UY"/>
        </w:rPr>
      </w:pPr>
    </w:p>
    <w:p w14:paraId="0D4A78F0" w14:textId="1F39EB05" w:rsidR="009F314C" w:rsidRDefault="00623843" w:rsidP="00D70C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UY"/>
        </w:rPr>
      </w:pPr>
      <w:r w:rsidRPr="00B966F6">
        <w:rPr>
          <w:rFonts w:ascii="Cambria" w:hAnsi="Cambria"/>
          <w:sz w:val="20"/>
          <w:szCs w:val="20"/>
          <w:lang w:val="es-UY"/>
        </w:rPr>
        <w:t xml:space="preserve">Por otra parte, señala que las personas familiares </w:t>
      </w:r>
      <w:r w:rsidR="00F87019" w:rsidRPr="00B966F6">
        <w:rPr>
          <w:rFonts w:ascii="Cambria" w:hAnsi="Cambria"/>
          <w:sz w:val="20"/>
          <w:szCs w:val="20"/>
          <w:lang w:val="es-UY"/>
        </w:rPr>
        <w:t>de</w:t>
      </w:r>
      <w:r w:rsidR="00A61459">
        <w:rPr>
          <w:rFonts w:ascii="Cambria" w:hAnsi="Cambria"/>
          <w:sz w:val="20"/>
          <w:szCs w:val="20"/>
          <w:lang w:val="es-UY"/>
        </w:rPr>
        <w:t>l señor</w:t>
      </w:r>
      <w:r w:rsidR="00F87019" w:rsidRPr="00B966F6">
        <w:rPr>
          <w:rFonts w:ascii="Cambria" w:hAnsi="Cambria"/>
          <w:sz w:val="20"/>
          <w:szCs w:val="20"/>
          <w:lang w:val="es-UY"/>
        </w:rPr>
        <w:t xml:space="preserve"> Hernández</w:t>
      </w:r>
      <w:r w:rsidRPr="00B966F6">
        <w:rPr>
          <w:rFonts w:ascii="Cambria" w:hAnsi="Cambria"/>
          <w:sz w:val="20"/>
          <w:szCs w:val="20"/>
          <w:lang w:val="es-UY"/>
        </w:rPr>
        <w:t xml:space="preserve"> interpusieron el 24 de noviembre de 1998 una demanda de reparación directa ante el Tribunal Administrativo de Antioqu</w:t>
      </w:r>
      <w:r w:rsidR="00601737">
        <w:rPr>
          <w:rFonts w:ascii="Cambria" w:hAnsi="Cambria"/>
          <w:sz w:val="20"/>
          <w:szCs w:val="20"/>
          <w:lang w:val="es-UY"/>
        </w:rPr>
        <w:t>ia</w:t>
      </w:r>
      <w:r w:rsidRPr="00B966F6">
        <w:rPr>
          <w:rFonts w:ascii="Cambria" w:hAnsi="Cambria"/>
          <w:sz w:val="20"/>
          <w:szCs w:val="20"/>
          <w:lang w:val="es-UY"/>
        </w:rPr>
        <w:t xml:space="preserve"> </w:t>
      </w:r>
      <w:r w:rsidR="00601737">
        <w:rPr>
          <w:rFonts w:ascii="Cambria" w:hAnsi="Cambria"/>
          <w:sz w:val="20"/>
          <w:szCs w:val="20"/>
          <w:lang w:val="es-UY"/>
        </w:rPr>
        <w:t xml:space="preserve">para </w:t>
      </w:r>
      <w:r w:rsidRPr="00B966F6">
        <w:rPr>
          <w:rFonts w:ascii="Cambria" w:hAnsi="Cambria"/>
          <w:sz w:val="20"/>
          <w:szCs w:val="20"/>
          <w:lang w:val="es-UY"/>
        </w:rPr>
        <w:t>solicita</w:t>
      </w:r>
      <w:r w:rsidR="00601737">
        <w:rPr>
          <w:rFonts w:ascii="Cambria" w:hAnsi="Cambria"/>
          <w:sz w:val="20"/>
          <w:szCs w:val="20"/>
          <w:lang w:val="es-UY"/>
        </w:rPr>
        <w:t>r</w:t>
      </w:r>
      <w:r w:rsidRPr="00B966F6">
        <w:rPr>
          <w:rFonts w:ascii="Cambria" w:hAnsi="Cambria"/>
          <w:sz w:val="20"/>
          <w:szCs w:val="20"/>
          <w:lang w:val="es-UY"/>
        </w:rPr>
        <w:t xml:space="preserve"> </w:t>
      </w:r>
      <w:r w:rsidR="00601737">
        <w:rPr>
          <w:rFonts w:ascii="Cambria" w:hAnsi="Cambria"/>
          <w:sz w:val="20"/>
          <w:szCs w:val="20"/>
          <w:lang w:val="es-UY"/>
        </w:rPr>
        <w:t xml:space="preserve">la </w:t>
      </w:r>
      <w:r w:rsidRPr="00B966F6">
        <w:rPr>
          <w:rFonts w:ascii="Cambria" w:hAnsi="Cambria"/>
          <w:sz w:val="20"/>
          <w:szCs w:val="20"/>
          <w:lang w:val="es-UY"/>
        </w:rPr>
        <w:t xml:space="preserve">reparación integral por los perjuicios causados </w:t>
      </w:r>
      <w:r w:rsidR="00601737">
        <w:rPr>
          <w:rFonts w:ascii="Cambria" w:hAnsi="Cambria"/>
          <w:sz w:val="20"/>
          <w:szCs w:val="20"/>
          <w:lang w:val="es-UY"/>
        </w:rPr>
        <w:t xml:space="preserve">por </w:t>
      </w:r>
      <w:r w:rsidRPr="00B966F6">
        <w:rPr>
          <w:rFonts w:ascii="Cambria" w:hAnsi="Cambria"/>
          <w:sz w:val="20"/>
          <w:szCs w:val="20"/>
          <w:lang w:val="es-UY"/>
        </w:rPr>
        <w:t xml:space="preserve">los hechos de 28 de febrero de 1997. </w:t>
      </w:r>
      <w:r w:rsidR="00CC5B79">
        <w:rPr>
          <w:rFonts w:ascii="Cambria" w:hAnsi="Cambria"/>
          <w:sz w:val="20"/>
          <w:szCs w:val="20"/>
          <w:lang w:val="es-UY"/>
        </w:rPr>
        <w:t xml:space="preserve">La sentencia fue rechazada y apelada; </w:t>
      </w:r>
      <w:r w:rsidRPr="00B966F6">
        <w:rPr>
          <w:rFonts w:ascii="Cambria" w:hAnsi="Cambria"/>
          <w:sz w:val="20"/>
          <w:szCs w:val="20"/>
          <w:lang w:val="es-UY"/>
        </w:rPr>
        <w:t>el 10 de agosto de 20</w:t>
      </w:r>
      <w:r w:rsidR="00045A01" w:rsidRPr="00B966F6">
        <w:rPr>
          <w:rFonts w:ascii="Cambria" w:hAnsi="Cambria"/>
          <w:sz w:val="20"/>
          <w:szCs w:val="20"/>
          <w:lang w:val="es-UY"/>
        </w:rPr>
        <w:t xml:space="preserve">05 </w:t>
      </w:r>
      <w:r w:rsidR="00CC5B79">
        <w:rPr>
          <w:rFonts w:ascii="Cambria" w:hAnsi="Cambria"/>
          <w:sz w:val="20"/>
          <w:szCs w:val="20"/>
          <w:lang w:val="es-UY"/>
        </w:rPr>
        <w:t xml:space="preserve">se desestimó </w:t>
      </w:r>
      <w:r w:rsidR="00045A01" w:rsidRPr="00B966F6">
        <w:rPr>
          <w:rFonts w:ascii="Cambria" w:hAnsi="Cambria"/>
          <w:sz w:val="20"/>
          <w:szCs w:val="20"/>
          <w:lang w:val="es-UY"/>
        </w:rPr>
        <w:t xml:space="preserve">la apelación. </w:t>
      </w:r>
      <w:r w:rsidR="00601737">
        <w:rPr>
          <w:rFonts w:ascii="Cambria" w:hAnsi="Cambria"/>
          <w:sz w:val="20"/>
          <w:szCs w:val="20"/>
          <w:lang w:val="es-UY"/>
        </w:rPr>
        <w:t>C</w:t>
      </w:r>
      <w:r w:rsidR="00045A01" w:rsidRPr="00B966F6">
        <w:rPr>
          <w:rFonts w:ascii="Cambria" w:hAnsi="Cambria"/>
          <w:sz w:val="20"/>
          <w:szCs w:val="20"/>
          <w:lang w:val="es-UY"/>
        </w:rPr>
        <w:t xml:space="preserve">ontra la denegatoria de la apelación se interpuso </w:t>
      </w:r>
      <w:r w:rsidR="00EF682B">
        <w:rPr>
          <w:rFonts w:ascii="Cambria" w:hAnsi="Cambria"/>
          <w:sz w:val="20"/>
          <w:szCs w:val="20"/>
          <w:lang w:val="es-UY"/>
        </w:rPr>
        <w:t xml:space="preserve">un </w:t>
      </w:r>
      <w:r w:rsidR="00045A01" w:rsidRPr="00B966F6">
        <w:rPr>
          <w:rFonts w:ascii="Cambria" w:hAnsi="Cambria"/>
          <w:sz w:val="20"/>
          <w:szCs w:val="20"/>
          <w:lang w:val="es-UY"/>
        </w:rPr>
        <w:t>recurso de reposición y luego una queja ante la Sección Tercera del Consejo de Estado</w:t>
      </w:r>
      <w:r w:rsidR="00EF682B">
        <w:rPr>
          <w:rFonts w:ascii="Cambria" w:hAnsi="Cambria"/>
          <w:sz w:val="20"/>
          <w:szCs w:val="20"/>
          <w:lang w:val="es-UY"/>
        </w:rPr>
        <w:t>,</w:t>
      </w:r>
      <w:r w:rsidR="00045A01" w:rsidRPr="00B966F6">
        <w:rPr>
          <w:rFonts w:ascii="Cambria" w:hAnsi="Cambria"/>
          <w:sz w:val="20"/>
          <w:szCs w:val="20"/>
          <w:lang w:val="es-UY"/>
        </w:rPr>
        <w:t xml:space="preserve"> que el 11 de octubre de 2006 declaró bien denegada la apelación </w:t>
      </w:r>
      <w:r w:rsidR="00EF682B">
        <w:rPr>
          <w:rFonts w:ascii="Cambria" w:hAnsi="Cambria"/>
          <w:sz w:val="20"/>
          <w:szCs w:val="20"/>
          <w:lang w:val="es-UY"/>
        </w:rPr>
        <w:t xml:space="preserve">y </w:t>
      </w:r>
      <w:r w:rsidR="00045A01" w:rsidRPr="00B966F6">
        <w:rPr>
          <w:rFonts w:ascii="Cambria" w:hAnsi="Cambria"/>
          <w:sz w:val="20"/>
          <w:szCs w:val="20"/>
          <w:lang w:val="es-UY"/>
        </w:rPr>
        <w:t>orden</w:t>
      </w:r>
      <w:r w:rsidR="00EF682B">
        <w:rPr>
          <w:rFonts w:ascii="Cambria" w:hAnsi="Cambria"/>
          <w:sz w:val="20"/>
          <w:szCs w:val="20"/>
          <w:lang w:val="es-UY"/>
        </w:rPr>
        <w:t>ó</w:t>
      </w:r>
      <w:r w:rsidR="00045A01" w:rsidRPr="00B966F6">
        <w:rPr>
          <w:rFonts w:ascii="Cambria" w:hAnsi="Cambria"/>
          <w:sz w:val="20"/>
          <w:szCs w:val="20"/>
          <w:lang w:val="es-UY"/>
        </w:rPr>
        <w:t xml:space="preserve"> el archivo definitivo del </w:t>
      </w:r>
      <w:r w:rsidR="00045A01" w:rsidRPr="00B966F6">
        <w:rPr>
          <w:rFonts w:ascii="Cambria" w:hAnsi="Cambria"/>
          <w:sz w:val="20"/>
          <w:szCs w:val="20"/>
          <w:lang w:val="es-UY"/>
        </w:rPr>
        <w:lastRenderedPageBreak/>
        <w:t xml:space="preserve">proceso. </w:t>
      </w:r>
      <w:r w:rsidR="009F314C" w:rsidRPr="00B966F6">
        <w:rPr>
          <w:rFonts w:ascii="Cambria" w:hAnsi="Cambria"/>
          <w:sz w:val="20"/>
          <w:szCs w:val="20"/>
          <w:lang w:val="es-UY"/>
        </w:rPr>
        <w:t xml:space="preserve">Contra esta decisión las personas demandantes promovieron una demanda por error judicial que luego retiraron por temor a posibles consecuencias. </w:t>
      </w:r>
    </w:p>
    <w:p w14:paraId="0251968E" w14:textId="77777777" w:rsidR="00B966F6" w:rsidRPr="00B966F6" w:rsidRDefault="00B966F6" w:rsidP="00B966F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UY"/>
        </w:rPr>
      </w:pPr>
    </w:p>
    <w:p w14:paraId="001F4DAF" w14:textId="1DB4B92A" w:rsidR="007F3777" w:rsidRPr="00B966F6" w:rsidRDefault="00EF682B" w:rsidP="00D70C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UY"/>
        </w:rPr>
      </w:pPr>
      <w:r>
        <w:rPr>
          <w:rFonts w:ascii="Cambria" w:hAnsi="Cambria"/>
          <w:sz w:val="20"/>
          <w:szCs w:val="20"/>
          <w:lang w:val="es-UY"/>
        </w:rPr>
        <w:t xml:space="preserve">La </w:t>
      </w:r>
      <w:r w:rsidR="009F314C" w:rsidRPr="00B966F6">
        <w:rPr>
          <w:rFonts w:ascii="Cambria" w:hAnsi="Cambria"/>
          <w:sz w:val="20"/>
          <w:szCs w:val="20"/>
          <w:lang w:val="es-UY"/>
        </w:rPr>
        <w:t xml:space="preserve">familia </w:t>
      </w:r>
      <w:r w:rsidR="00F87019" w:rsidRPr="00B966F6">
        <w:rPr>
          <w:rFonts w:ascii="Cambria" w:hAnsi="Cambria"/>
          <w:sz w:val="20"/>
          <w:szCs w:val="20"/>
          <w:lang w:val="es-UY"/>
        </w:rPr>
        <w:t>de</w:t>
      </w:r>
      <w:r w:rsidR="00A61459">
        <w:rPr>
          <w:rFonts w:ascii="Cambria" w:hAnsi="Cambria"/>
          <w:sz w:val="20"/>
          <w:szCs w:val="20"/>
          <w:lang w:val="es-UY"/>
        </w:rPr>
        <w:t>l señor</w:t>
      </w:r>
      <w:r w:rsidR="00F87019" w:rsidRPr="00B966F6">
        <w:rPr>
          <w:rFonts w:ascii="Cambria" w:hAnsi="Cambria"/>
          <w:sz w:val="20"/>
          <w:szCs w:val="20"/>
          <w:lang w:val="es-UY"/>
        </w:rPr>
        <w:t xml:space="preserve"> Hernández</w:t>
      </w:r>
      <w:r w:rsidR="009F314C" w:rsidRPr="00B966F6">
        <w:rPr>
          <w:rFonts w:ascii="Cambria" w:hAnsi="Cambria"/>
          <w:sz w:val="20"/>
          <w:szCs w:val="20"/>
          <w:lang w:val="es-UY"/>
        </w:rPr>
        <w:t xml:space="preserve"> interpus</w:t>
      </w:r>
      <w:r>
        <w:rPr>
          <w:rFonts w:ascii="Cambria" w:hAnsi="Cambria"/>
          <w:sz w:val="20"/>
          <w:szCs w:val="20"/>
          <w:lang w:val="es-UY"/>
        </w:rPr>
        <w:t xml:space="preserve">o luego </w:t>
      </w:r>
      <w:r w:rsidR="009F314C" w:rsidRPr="00B966F6">
        <w:rPr>
          <w:rFonts w:ascii="Cambria" w:hAnsi="Cambria"/>
          <w:sz w:val="20"/>
          <w:szCs w:val="20"/>
          <w:lang w:val="es-UY"/>
        </w:rPr>
        <w:t>una acción de tutela ante la Sala de lo Contencioso Administrativo del Consejo de Estado</w:t>
      </w:r>
      <w:r>
        <w:rPr>
          <w:rFonts w:ascii="Cambria" w:hAnsi="Cambria"/>
          <w:sz w:val="20"/>
          <w:szCs w:val="20"/>
          <w:lang w:val="es-UY"/>
        </w:rPr>
        <w:t>, en la que</w:t>
      </w:r>
      <w:r w:rsidR="009F314C" w:rsidRPr="00B966F6">
        <w:rPr>
          <w:rFonts w:ascii="Cambria" w:hAnsi="Cambria"/>
          <w:sz w:val="20"/>
          <w:szCs w:val="20"/>
          <w:lang w:val="es-UY"/>
        </w:rPr>
        <w:t xml:space="preserve"> denunci</w:t>
      </w:r>
      <w:r>
        <w:rPr>
          <w:rFonts w:ascii="Cambria" w:hAnsi="Cambria"/>
          <w:sz w:val="20"/>
          <w:szCs w:val="20"/>
          <w:lang w:val="es-UY"/>
        </w:rPr>
        <w:t>ó</w:t>
      </w:r>
      <w:r w:rsidR="009F314C" w:rsidRPr="00B966F6">
        <w:rPr>
          <w:rFonts w:ascii="Cambria" w:hAnsi="Cambria"/>
          <w:sz w:val="20"/>
          <w:szCs w:val="20"/>
          <w:lang w:val="es-UY"/>
        </w:rPr>
        <w:t xml:space="preserve"> que el Tribunal Administrativo de Antioquía había incurrido en una vía de hecho y </w:t>
      </w:r>
      <w:r>
        <w:rPr>
          <w:rFonts w:ascii="Cambria" w:hAnsi="Cambria"/>
          <w:sz w:val="20"/>
          <w:szCs w:val="20"/>
          <w:lang w:val="es-UY"/>
        </w:rPr>
        <w:t xml:space="preserve">en la </w:t>
      </w:r>
      <w:r w:rsidR="009F314C" w:rsidRPr="00B966F6">
        <w:rPr>
          <w:rFonts w:ascii="Cambria" w:hAnsi="Cambria"/>
          <w:sz w:val="20"/>
          <w:szCs w:val="20"/>
          <w:lang w:val="es-UY"/>
        </w:rPr>
        <w:t>violación de derecho</w:t>
      </w:r>
      <w:r>
        <w:rPr>
          <w:rFonts w:ascii="Cambria" w:hAnsi="Cambria"/>
          <w:sz w:val="20"/>
          <w:szCs w:val="20"/>
          <w:lang w:val="es-UY"/>
        </w:rPr>
        <w:t>s</w:t>
      </w:r>
      <w:r w:rsidR="009F314C" w:rsidRPr="00B966F6">
        <w:rPr>
          <w:rFonts w:ascii="Cambria" w:hAnsi="Cambria"/>
          <w:sz w:val="20"/>
          <w:szCs w:val="20"/>
          <w:lang w:val="es-UY"/>
        </w:rPr>
        <w:t xml:space="preserve"> fundamentales al determinar que el litigio relativo a la muerte </w:t>
      </w:r>
      <w:r w:rsidR="00F87019" w:rsidRPr="00B966F6">
        <w:rPr>
          <w:rFonts w:ascii="Cambria" w:hAnsi="Cambria"/>
          <w:sz w:val="20"/>
          <w:szCs w:val="20"/>
          <w:lang w:val="es-UY"/>
        </w:rPr>
        <w:t>del señor Hernández</w:t>
      </w:r>
      <w:r w:rsidR="009F314C" w:rsidRPr="00B966F6">
        <w:rPr>
          <w:rFonts w:ascii="Cambria" w:hAnsi="Cambria"/>
          <w:sz w:val="20"/>
          <w:szCs w:val="20"/>
          <w:lang w:val="es-UY"/>
        </w:rPr>
        <w:t xml:space="preserve"> era de instancia única. </w:t>
      </w:r>
      <w:r w:rsidR="00FE1F28" w:rsidRPr="00B966F6">
        <w:rPr>
          <w:rFonts w:ascii="Cambria" w:hAnsi="Cambria"/>
          <w:sz w:val="20"/>
          <w:szCs w:val="20"/>
          <w:lang w:val="es-UY"/>
        </w:rPr>
        <w:t xml:space="preserve"> </w:t>
      </w:r>
      <w:r>
        <w:rPr>
          <w:rFonts w:ascii="Cambria" w:hAnsi="Cambria"/>
          <w:sz w:val="20"/>
          <w:szCs w:val="20"/>
          <w:lang w:val="es-UY"/>
        </w:rPr>
        <w:t xml:space="preserve">El </w:t>
      </w:r>
      <w:r w:rsidR="00FE1F28" w:rsidRPr="00B966F6">
        <w:rPr>
          <w:rFonts w:ascii="Cambria" w:hAnsi="Cambria"/>
          <w:sz w:val="20"/>
          <w:szCs w:val="20"/>
          <w:lang w:val="es-UY"/>
        </w:rPr>
        <w:t xml:space="preserve">31 de mayo de 2007 </w:t>
      </w:r>
      <w:r>
        <w:rPr>
          <w:rFonts w:ascii="Cambria" w:hAnsi="Cambria"/>
          <w:sz w:val="20"/>
          <w:szCs w:val="20"/>
          <w:lang w:val="es-UY"/>
        </w:rPr>
        <w:t>se</w:t>
      </w:r>
      <w:r w:rsidR="00FE1F28" w:rsidRPr="00B966F6">
        <w:rPr>
          <w:rFonts w:ascii="Cambria" w:hAnsi="Cambria"/>
          <w:sz w:val="20"/>
          <w:szCs w:val="20"/>
          <w:lang w:val="es-UY"/>
        </w:rPr>
        <w:t xml:space="preserve"> rechazó la acción de tutela por considerarla improcedente contra fallos judiciales. </w:t>
      </w:r>
      <w:r>
        <w:rPr>
          <w:rFonts w:ascii="Cambria" w:hAnsi="Cambria"/>
          <w:sz w:val="20"/>
          <w:szCs w:val="20"/>
          <w:lang w:val="es-UY"/>
        </w:rPr>
        <w:t>El peticionario d</w:t>
      </w:r>
      <w:r w:rsidR="00FE1F28" w:rsidRPr="00B966F6">
        <w:rPr>
          <w:rFonts w:ascii="Cambria" w:hAnsi="Cambria"/>
          <w:sz w:val="20"/>
          <w:szCs w:val="20"/>
          <w:lang w:val="es-UY"/>
        </w:rPr>
        <w:t xml:space="preserve">enuncia que la posición del Consejo </w:t>
      </w:r>
      <w:r>
        <w:rPr>
          <w:rFonts w:ascii="Cambria" w:hAnsi="Cambria"/>
          <w:sz w:val="20"/>
          <w:szCs w:val="20"/>
          <w:lang w:val="es-UY"/>
        </w:rPr>
        <w:t xml:space="preserve">de Estado </w:t>
      </w:r>
      <w:r w:rsidR="00FE1F28" w:rsidRPr="00B966F6">
        <w:rPr>
          <w:rFonts w:ascii="Cambria" w:hAnsi="Cambria"/>
          <w:sz w:val="20"/>
          <w:szCs w:val="20"/>
          <w:lang w:val="es-UY"/>
        </w:rPr>
        <w:t>respecto a este punto es ambivalente</w:t>
      </w:r>
      <w:r>
        <w:rPr>
          <w:rFonts w:ascii="Cambria" w:hAnsi="Cambria"/>
          <w:sz w:val="20"/>
          <w:szCs w:val="20"/>
          <w:lang w:val="es-UY"/>
        </w:rPr>
        <w:t>,</w:t>
      </w:r>
      <w:r w:rsidR="00FE1F28" w:rsidRPr="00B966F6">
        <w:rPr>
          <w:rFonts w:ascii="Cambria" w:hAnsi="Cambria"/>
          <w:sz w:val="20"/>
          <w:szCs w:val="20"/>
          <w:lang w:val="es-UY"/>
        </w:rPr>
        <w:t xml:space="preserve"> pues en algunos casos rechaz</w:t>
      </w:r>
      <w:r>
        <w:rPr>
          <w:rFonts w:ascii="Cambria" w:hAnsi="Cambria"/>
          <w:sz w:val="20"/>
          <w:szCs w:val="20"/>
          <w:lang w:val="es-UY"/>
        </w:rPr>
        <w:t>a</w:t>
      </w:r>
      <w:r w:rsidR="00FE1F28" w:rsidRPr="00B966F6">
        <w:rPr>
          <w:rFonts w:ascii="Cambria" w:hAnsi="Cambria"/>
          <w:sz w:val="20"/>
          <w:szCs w:val="20"/>
          <w:lang w:val="es-UY"/>
        </w:rPr>
        <w:t xml:space="preserve"> las acciones de tutela contra fallos judiciales por improcedentes</w:t>
      </w:r>
      <w:r>
        <w:rPr>
          <w:rFonts w:ascii="Cambria" w:hAnsi="Cambria"/>
          <w:sz w:val="20"/>
          <w:szCs w:val="20"/>
          <w:lang w:val="es-UY"/>
        </w:rPr>
        <w:t>,</w:t>
      </w:r>
      <w:r w:rsidR="00FE1F28" w:rsidRPr="00B966F6">
        <w:rPr>
          <w:rFonts w:ascii="Cambria" w:hAnsi="Cambria"/>
          <w:sz w:val="20"/>
          <w:szCs w:val="20"/>
          <w:lang w:val="es-UY"/>
        </w:rPr>
        <w:t xml:space="preserve"> y en otros las concede. </w:t>
      </w:r>
      <w:r>
        <w:rPr>
          <w:rFonts w:ascii="Cambria" w:hAnsi="Cambria"/>
          <w:sz w:val="20"/>
          <w:szCs w:val="20"/>
          <w:lang w:val="es-UY"/>
        </w:rPr>
        <w:t>S</w:t>
      </w:r>
      <w:r w:rsidR="00FE1F28" w:rsidRPr="00B966F6">
        <w:rPr>
          <w:rFonts w:ascii="Cambria" w:hAnsi="Cambria"/>
          <w:sz w:val="20"/>
          <w:szCs w:val="20"/>
          <w:lang w:val="es-UY"/>
        </w:rPr>
        <w:t>e planteó una solicitud de nulidad ante el Consejo</w:t>
      </w:r>
      <w:r w:rsidRPr="00EF682B">
        <w:rPr>
          <w:rFonts w:ascii="Cambria" w:hAnsi="Cambria"/>
          <w:sz w:val="20"/>
          <w:szCs w:val="20"/>
          <w:lang w:val="es-UY"/>
        </w:rPr>
        <w:t xml:space="preserve"> </w:t>
      </w:r>
      <w:r w:rsidRPr="00B966F6">
        <w:rPr>
          <w:rFonts w:ascii="Cambria" w:hAnsi="Cambria"/>
          <w:sz w:val="20"/>
          <w:szCs w:val="20"/>
          <w:lang w:val="es-UY"/>
        </w:rPr>
        <w:t>contra la decisión de rechazo</w:t>
      </w:r>
      <w:r w:rsidR="008A0AB8" w:rsidRPr="00B966F6">
        <w:rPr>
          <w:rFonts w:ascii="Cambria" w:hAnsi="Cambria"/>
          <w:sz w:val="20"/>
          <w:szCs w:val="20"/>
          <w:lang w:val="es-UY"/>
        </w:rPr>
        <w:t>,</w:t>
      </w:r>
      <w:r w:rsidR="00FE1F28" w:rsidRPr="00B966F6">
        <w:rPr>
          <w:rFonts w:ascii="Cambria" w:hAnsi="Cambria"/>
          <w:sz w:val="20"/>
          <w:szCs w:val="20"/>
          <w:lang w:val="es-UY"/>
        </w:rPr>
        <w:t xml:space="preserve"> qu</w:t>
      </w:r>
      <w:r>
        <w:rPr>
          <w:rFonts w:ascii="Cambria" w:hAnsi="Cambria"/>
          <w:sz w:val="20"/>
          <w:szCs w:val="20"/>
          <w:lang w:val="es-UY"/>
        </w:rPr>
        <w:t>e</w:t>
      </w:r>
      <w:r w:rsidR="00FE1F28" w:rsidRPr="00B966F6">
        <w:rPr>
          <w:rFonts w:ascii="Cambria" w:hAnsi="Cambria"/>
          <w:sz w:val="20"/>
          <w:szCs w:val="20"/>
          <w:lang w:val="es-UY"/>
        </w:rPr>
        <w:t xml:space="preserve"> la rechazó por considerar que no había incurrido en vicio alguno</w:t>
      </w:r>
      <w:r>
        <w:rPr>
          <w:rFonts w:ascii="Cambria" w:hAnsi="Cambria"/>
          <w:sz w:val="20"/>
          <w:szCs w:val="20"/>
          <w:lang w:val="es-UY"/>
        </w:rPr>
        <w:t>;</w:t>
      </w:r>
      <w:r w:rsidR="00FE1F28" w:rsidRPr="00B966F6">
        <w:rPr>
          <w:rFonts w:ascii="Cambria" w:hAnsi="Cambria"/>
          <w:sz w:val="20"/>
          <w:szCs w:val="20"/>
          <w:lang w:val="es-UY"/>
        </w:rPr>
        <w:t xml:space="preserve"> </w:t>
      </w:r>
      <w:r>
        <w:rPr>
          <w:rFonts w:ascii="Cambria" w:hAnsi="Cambria"/>
          <w:sz w:val="20"/>
          <w:szCs w:val="20"/>
          <w:lang w:val="es-UY"/>
        </w:rPr>
        <w:t>e</w:t>
      </w:r>
      <w:r w:rsidR="00FE1F28" w:rsidRPr="00B966F6">
        <w:rPr>
          <w:rFonts w:ascii="Cambria" w:hAnsi="Cambria"/>
          <w:sz w:val="20"/>
          <w:szCs w:val="20"/>
          <w:lang w:val="es-UY"/>
        </w:rPr>
        <w:t>sta última decisión fue luego impugnada</w:t>
      </w:r>
      <w:r>
        <w:rPr>
          <w:rFonts w:ascii="Cambria" w:hAnsi="Cambria"/>
          <w:sz w:val="20"/>
          <w:szCs w:val="20"/>
          <w:lang w:val="es-UY"/>
        </w:rPr>
        <w:t>, pero</w:t>
      </w:r>
      <w:r w:rsidR="00FE1F28" w:rsidRPr="00B966F6">
        <w:rPr>
          <w:rFonts w:ascii="Cambria" w:hAnsi="Cambria"/>
          <w:sz w:val="20"/>
          <w:szCs w:val="20"/>
          <w:lang w:val="es-UY"/>
        </w:rPr>
        <w:t xml:space="preserve"> la Sección Cuarta del Consejo </w:t>
      </w:r>
      <w:r>
        <w:rPr>
          <w:rFonts w:ascii="Cambria" w:hAnsi="Cambria"/>
          <w:sz w:val="20"/>
          <w:szCs w:val="20"/>
          <w:lang w:val="es-UY"/>
        </w:rPr>
        <w:t xml:space="preserve">la </w:t>
      </w:r>
      <w:r w:rsidRPr="00B966F6">
        <w:rPr>
          <w:rFonts w:ascii="Cambria" w:hAnsi="Cambria"/>
          <w:sz w:val="20"/>
          <w:szCs w:val="20"/>
          <w:lang w:val="es-UY"/>
        </w:rPr>
        <w:t xml:space="preserve">confirmó </w:t>
      </w:r>
      <w:r w:rsidR="00FE1F28" w:rsidRPr="00B966F6">
        <w:rPr>
          <w:rFonts w:ascii="Cambria" w:hAnsi="Cambria"/>
          <w:sz w:val="20"/>
          <w:szCs w:val="20"/>
          <w:lang w:val="es-UY"/>
        </w:rPr>
        <w:t>el 3 de octubre de 2007</w:t>
      </w:r>
      <w:r w:rsidR="007F3777" w:rsidRPr="00B966F6">
        <w:rPr>
          <w:rFonts w:ascii="Cambria" w:hAnsi="Cambria"/>
          <w:sz w:val="20"/>
          <w:szCs w:val="20"/>
          <w:lang w:val="es-UY"/>
        </w:rPr>
        <w:t xml:space="preserve">.  </w:t>
      </w:r>
    </w:p>
    <w:p w14:paraId="4F3712DD" w14:textId="77777777" w:rsidR="00B966F6" w:rsidRDefault="00B966F6" w:rsidP="00B966F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UY"/>
        </w:rPr>
      </w:pPr>
    </w:p>
    <w:p w14:paraId="58AEC488" w14:textId="27397D5E" w:rsidR="00840B5C" w:rsidRPr="00B966F6" w:rsidRDefault="00840B5C" w:rsidP="00D70C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UY"/>
        </w:rPr>
      </w:pPr>
      <w:r w:rsidRPr="00B966F6">
        <w:rPr>
          <w:rFonts w:ascii="Cambria" w:hAnsi="Cambria"/>
          <w:sz w:val="20"/>
          <w:szCs w:val="20"/>
          <w:lang w:val="es-UY"/>
        </w:rPr>
        <w:t>El peticionario manifiesta que no acude a la C</w:t>
      </w:r>
      <w:r w:rsidR="00EF682B">
        <w:rPr>
          <w:rFonts w:ascii="Cambria" w:hAnsi="Cambria"/>
          <w:sz w:val="20"/>
          <w:szCs w:val="20"/>
          <w:lang w:val="es-UY"/>
        </w:rPr>
        <w:t>IDH</w:t>
      </w:r>
      <w:r w:rsidRPr="00B966F6">
        <w:rPr>
          <w:rFonts w:ascii="Cambria" w:hAnsi="Cambria"/>
          <w:sz w:val="20"/>
          <w:szCs w:val="20"/>
          <w:lang w:val="es-UY"/>
        </w:rPr>
        <w:t xml:space="preserve"> por razón de un desacuerdo con lo decidido en la jurisdicción </w:t>
      </w:r>
      <w:r w:rsidR="002A7562" w:rsidRPr="00B966F6">
        <w:rPr>
          <w:rFonts w:ascii="Cambria" w:hAnsi="Cambria"/>
          <w:sz w:val="20"/>
          <w:szCs w:val="20"/>
          <w:lang w:val="es-UY"/>
        </w:rPr>
        <w:t>contencioso-administrativa</w:t>
      </w:r>
      <w:r w:rsidR="00EF682B">
        <w:rPr>
          <w:rFonts w:ascii="Cambria" w:hAnsi="Cambria"/>
          <w:sz w:val="20"/>
          <w:szCs w:val="20"/>
          <w:lang w:val="es-UY"/>
        </w:rPr>
        <w:t>,</w:t>
      </w:r>
      <w:r w:rsidRPr="00B966F6">
        <w:rPr>
          <w:rFonts w:ascii="Cambria" w:hAnsi="Cambria"/>
          <w:sz w:val="20"/>
          <w:szCs w:val="20"/>
          <w:lang w:val="es-UY"/>
        </w:rPr>
        <w:t xml:space="preserve"> sino porque la acción penal no ha sido efectiva en la determinación de los responsables de lo</w:t>
      </w:r>
      <w:r w:rsidR="00EF682B">
        <w:rPr>
          <w:rFonts w:ascii="Cambria" w:hAnsi="Cambria"/>
          <w:sz w:val="20"/>
          <w:szCs w:val="20"/>
          <w:lang w:val="es-UY"/>
        </w:rPr>
        <w:t>s hechos</w:t>
      </w:r>
      <w:r w:rsidR="002A7562">
        <w:rPr>
          <w:rFonts w:ascii="Cambria" w:hAnsi="Cambria"/>
          <w:sz w:val="20"/>
          <w:szCs w:val="20"/>
          <w:lang w:val="es-UY"/>
        </w:rPr>
        <w:t xml:space="preserve"> denunciados; </w:t>
      </w:r>
      <w:r w:rsidRPr="00B966F6">
        <w:rPr>
          <w:rFonts w:ascii="Cambria" w:hAnsi="Cambria"/>
          <w:sz w:val="20"/>
          <w:szCs w:val="20"/>
          <w:lang w:val="es-UY"/>
        </w:rPr>
        <w:t xml:space="preserve">y porque </w:t>
      </w:r>
      <w:r w:rsidR="002A7562">
        <w:rPr>
          <w:rFonts w:ascii="Cambria" w:hAnsi="Cambria"/>
          <w:sz w:val="20"/>
          <w:szCs w:val="20"/>
          <w:lang w:val="es-UY"/>
        </w:rPr>
        <w:t xml:space="preserve">la falta de efectividad de la jurisdicción </w:t>
      </w:r>
      <w:r w:rsidR="002A7562" w:rsidRPr="00B966F6">
        <w:rPr>
          <w:rFonts w:ascii="Cambria" w:hAnsi="Cambria"/>
          <w:sz w:val="20"/>
          <w:szCs w:val="20"/>
          <w:lang w:val="es-UY"/>
        </w:rPr>
        <w:t>contencioso-administrativa</w:t>
      </w:r>
      <w:r w:rsidRPr="00B966F6">
        <w:rPr>
          <w:rFonts w:ascii="Cambria" w:hAnsi="Cambria"/>
          <w:sz w:val="20"/>
          <w:szCs w:val="20"/>
          <w:lang w:val="es-UY"/>
        </w:rPr>
        <w:t xml:space="preserve"> fue precisamente porque la prueba dependía en gran medida de la labor investigativa en el proceso penal.  Agrega que la posibilidad de constituirse en parte civil del proceso penal para obtener reparación no constituye un recurso efectivo para las </w:t>
      </w:r>
      <w:r w:rsidR="002A7562">
        <w:rPr>
          <w:rFonts w:ascii="Cambria" w:hAnsi="Cambria"/>
          <w:sz w:val="20"/>
          <w:szCs w:val="20"/>
          <w:lang w:val="es-UY"/>
        </w:rPr>
        <w:t>familias de las</w:t>
      </w:r>
      <w:r w:rsidRPr="00B966F6">
        <w:rPr>
          <w:rFonts w:ascii="Cambria" w:hAnsi="Cambria"/>
          <w:sz w:val="20"/>
          <w:szCs w:val="20"/>
          <w:lang w:val="es-UY"/>
        </w:rPr>
        <w:t xml:space="preserve"> personas asesinadas</w:t>
      </w:r>
      <w:r w:rsidR="002A7562">
        <w:rPr>
          <w:rFonts w:ascii="Cambria" w:hAnsi="Cambria"/>
          <w:sz w:val="20"/>
          <w:szCs w:val="20"/>
          <w:lang w:val="es-UY"/>
        </w:rPr>
        <w:t xml:space="preserve"> debido</w:t>
      </w:r>
      <w:r w:rsidRPr="00B966F6">
        <w:rPr>
          <w:rFonts w:ascii="Cambria" w:hAnsi="Cambria"/>
          <w:sz w:val="20"/>
          <w:szCs w:val="20"/>
          <w:lang w:val="es-UY"/>
        </w:rPr>
        <w:t xml:space="preserve"> </w:t>
      </w:r>
      <w:r w:rsidR="002A7562">
        <w:rPr>
          <w:rFonts w:ascii="Cambria" w:hAnsi="Cambria"/>
          <w:sz w:val="20"/>
          <w:szCs w:val="20"/>
          <w:lang w:val="es-UY"/>
        </w:rPr>
        <w:t>a</w:t>
      </w:r>
      <w:r w:rsidRPr="00B966F6">
        <w:rPr>
          <w:rFonts w:ascii="Cambria" w:hAnsi="Cambria"/>
          <w:sz w:val="20"/>
          <w:szCs w:val="20"/>
          <w:lang w:val="es-UY"/>
        </w:rPr>
        <w:t>l tiempo que han demorado l</w:t>
      </w:r>
      <w:r w:rsidR="007B71E2" w:rsidRPr="00B966F6">
        <w:rPr>
          <w:rFonts w:ascii="Cambria" w:hAnsi="Cambria"/>
          <w:sz w:val="20"/>
          <w:szCs w:val="20"/>
          <w:lang w:val="es-UY"/>
        </w:rPr>
        <w:t>as investigaciones sin que h</w:t>
      </w:r>
      <w:r w:rsidR="002A7562">
        <w:rPr>
          <w:rFonts w:ascii="Cambria" w:hAnsi="Cambria"/>
          <w:sz w:val="20"/>
          <w:szCs w:val="20"/>
          <w:lang w:val="es-UY"/>
        </w:rPr>
        <w:t>ubiera</w:t>
      </w:r>
      <w:r w:rsidRPr="00B966F6">
        <w:rPr>
          <w:rFonts w:ascii="Cambria" w:hAnsi="Cambria"/>
          <w:sz w:val="20"/>
          <w:szCs w:val="20"/>
          <w:lang w:val="es-UY"/>
        </w:rPr>
        <w:t xml:space="preserve"> resultados. </w:t>
      </w:r>
      <w:r w:rsidR="007B71E2" w:rsidRPr="00B966F6">
        <w:rPr>
          <w:rFonts w:ascii="Cambria" w:hAnsi="Cambria"/>
          <w:sz w:val="20"/>
          <w:szCs w:val="20"/>
          <w:lang w:val="es-UY"/>
        </w:rPr>
        <w:t xml:space="preserve">También considera que no se debe inadmitir la petición con fundamento en </w:t>
      </w:r>
      <w:r w:rsidR="002A7562">
        <w:rPr>
          <w:rFonts w:ascii="Cambria" w:hAnsi="Cambria"/>
          <w:sz w:val="20"/>
          <w:szCs w:val="20"/>
          <w:lang w:val="es-UY"/>
        </w:rPr>
        <w:t xml:space="preserve">la falta de </w:t>
      </w:r>
      <w:r w:rsidR="007B71E2" w:rsidRPr="00B966F6">
        <w:rPr>
          <w:rFonts w:ascii="Cambria" w:hAnsi="Cambria"/>
          <w:sz w:val="20"/>
          <w:szCs w:val="20"/>
          <w:lang w:val="es-UY"/>
        </w:rPr>
        <w:t xml:space="preserve">agotamiento de la solicitud de reparación por la vía administrativa contemplada en la ley 1148 de 2011, puesto que este recurso no </w:t>
      </w:r>
      <w:r w:rsidR="002A7562">
        <w:rPr>
          <w:rFonts w:ascii="Cambria" w:hAnsi="Cambria"/>
          <w:sz w:val="20"/>
          <w:szCs w:val="20"/>
          <w:lang w:val="es-UY"/>
        </w:rPr>
        <w:t xml:space="preserve">estaba previsto </w:t>
      </w:r>
      <w:r w:rsidR="007B71E2" w:rsidRPr="00B966F6">
        <w:rPr>
          <w:rFonts w:ascii="Cambria" w:hAnsi="Cambria"/>
          <w:sz w:val="20"/>
          <w:szCs w:val="20"/>
          <w:lang w:val="es-UY"/>
        </w:rPr>
        <w:t xml:space="preserve">en el momento en que se presentó la petición. Explica además que la razón por la que la familia </w:t>
      </w:r>
      <w:r w:rsidR="00F87019" w:rsidRPr="00B966F6">
        <w:rPr>
          <w:rFonts w:ascii="Cambria" w:hAnsi="Cambria"/>
          <w:sz w:val="20"/>
          <w:szCs w:val="20"/>
          <w:lang w:val="es-UY"/>
        </w:rPr>
        <w:t>de</w:t>
      </w:r>
      <w:r w:rsidR="00A61459">
        <w:rPr>
          <w:rFonts w:ascii="Cambria" w:hAnsi="Cambria"/>
          <w:sz w:val="20"/>
          <w:szCs w:val="20"/>
          <w:lang w:val="es-UY"/>
        </w:rPr>
        <w:t>l señor</w:t>
      </w:r>
      <w:r w:rsidR="00F87019" w:rsidRPr="00B966F6">
        <w:rPr>
          <w:rFonts w:ascii="Cambria" w:hAnsi="Cambria"/>
          <w:sz w:val="20"/>
          <w:szCs w:val="20"/>
          <w:lang w:val="es-UY"/>
        </w:rPr>
        <w:t xml:space="preserve"> Hernández</w:t>
      </w:r>
      <w:r w:rsidR="007B71E2" w:rsidRPr="00B966F6">
        <w:rPr>
          <w:rFonts w:ascii="Cambria" w:hAnsi="Cambria"/>
          <w:sz w:val="20"/>
          <w:szCs w:val="20"/>
          <w:lang w:val="es-UY"/>
        </w:rPr>
        <w:t xml:space="preserve"> </w:t>
      </w:r>
      <w:r w:rsidR="002A7562">
        <w:rPr>
          <w:rFonts w:ascii="Cambria" w:hAnsi="Cambria"/>
          <w:sz w:val="20"/>
          <w:szCs w:val="20"/>
          <w:lang w:val="es-UY"/>
        </w:rPr>
        <w:t xml:space="preserve">pudo </w:t>
      </w:r>
      <w:r w:rsidR="007B71E2" w:rsidRPr="00B966F6">
        <w:rPr>
          <w:rFonts w:ascii="Cambria" w:hAnsi="Cambria"/>
          <w:sz w:val="20"/>
          <w:szCs w:val="20"/>
          <w:lang w:val="es-UY"/>
        </w:rPr>
        <w:t>agotar la acción de reparación directa fue porque algun</w:t>
      </w:r>
      <w:r w:rsidR="002A7562">
        <w:rPr>
          <w:rFonts w:ascii="Cambria" w:hAnsi="Cambria"/>
          <w:sz w:val="20"/>
          <w:szCs w:val="20"/>
          <w:lang w:val="es-UY"/>
        </w:rPr>
        <w:t>os de sus integrantes</w:t>
      </w:r>
      <w:r w:rsidR="007B71E2" w:rsidRPr="00B966F6">
        <w:rPr>
          <w:rFonts w:ascii="Cambria" w:hAnsi="Cambria"/>
          <w:sz w:val="20"/>
          <w:szCs w:val="20"/>
          <w:lang w:val="es-UY"/>
        </w:rPr>
        <w:t xml:space="preserve"> residían en Medellín. </w:t>
      </w:r>
      <w:r w:rsidR="002A7562">
        <w:rPr>
          <w:rFonts w:ascii="Cambria" w:hAnsi="Cambria"/>
          <w:sz w:val="20"/>
          <w:szCs w:val="20"/>
          <w:lang w:val="es-UY"/>
        </w:rPr>
        <w:t xml:space="preserve">Respecto a las </w:t>
      </w:r>
      <w:r w:rsidR="007B71E2" w:rsidRPr="00B966F6">
        <w:rPr>
          <w:rFonts w:ascii="Cambria" w:hAnsi="Cambria"/>
          <w:sz w:val="20"/>
          <w:szCs w:val="20"/>
          <w:lang w:val="es-UY"/>
        </w:rPr>
        <w:t>familias del resto de las personas asesinadas</w:t>
      </w:r>
      <w:r w:rsidR="002A7562">
        <w:rPr>
          <w:rFonts w:ascii="Cambria" w:hAnsi="Cambria"/>
          <w:sz w:val="20"/>
          <w:szCs w:val="20"/>
          <w:lang w:val="es-UY"/>
        </w:rPr>
        <w:t>, señala que</w:t>
      </w:r>
      <w:r w:rsidR="007B71E2" w:rsidRPr="00B966F6">
        <w:rPr>
          <w:rFonts w:ascii="Cambria" w:hAnsi="Cambria"/>
          <w:sz w:val="20"/>
          <w:szCs w:val="20"/>
          <w:lang w:val="es-UY"/>
        </w:rPr>
        <w:t xml:space="preserve"> no pudieron agotar dicha acci</w:t>
      </w:r>
      <w:r w:rsidR="00C549EF" w:rsidRPr="00B966F6">
        <w:rPr>
          <w:rFonts w:ascii="Cambria" w:hAnsi="Cambria"/>
          <w:sz w:val="20"/>
          <w:szCs w:val="20"/>
          <w:lang w:val="es-UY"/>
        </w:rPr>
        <w:t xml:space="preserve">ón por temor a represalias de parte de los grupos paramilitares y porque el Estado no les garantizó las condiciones de seguridad necesarias para poder </w:t>
      </w:r>
      <w:r w:rsidR="002A7562">
        <w:rPr>
          <w:rFonts w:ascii="Cambria" w:hAnsi="Cambria"/>
          <w:sz w:val="20"/>
          <w:szCs w:val="20"/>
          <w:lang w:val="es-UY"/>
        </w:rPr>
        <w:t>ejercerla. En consecuencia</w:t>
      </w:r>
      <w:r w:rsidR="00C549EF" w:rsidRPr="00B966F6">
        <w:rPr>
          <w:rFonts w:ascii="Cambria" w:hAnsi="Cambria"/>
          <w:sz w:val="20"/>
          <w:szCs w:val="20"/>
          <w:lang w:val="es-UY"/>
        </w:rPr>
        <w:t xml:space="preserve">, </w:t>
      </w:r>
      <w:r w:rsidR="002A7562">
        <w:rPr>
          <w:rFonts w:ascii="Cambria" w:hAnsi="Cambria"/>
          <w:sz w:val="20"/>
          <w:szCs w:val="20"/>
          <w:lang w:val="es-UY"/>
        </w:rPr>
        <w:t xml:space="preserve">respecto a estas personas invoca </w:t>
      </w:r>
      <w:r w:rsidR="00C549EF" w:rsidRPr="00B966F6">
        <w:rPr>
          <w:rFonts w:ascii="Cambria" w:hAnsi="Cambria"/>
          <w:sz w:val="20"/>
          <w:szCs w:val="20"/>
          <w:lang w:val="es-UY"/>
        </w:rPr>
        <w:t xml:space="preserve">la excepción al agotamiento de los recursos internos prevista en el artículo 46.2(b) de la Convención Americana. </w:t>
      </w:r>
    </w:p>
    <w:p w14:paraId="197A3080" w14:textId="77777777" w:rsidR="00B966F6" w:rsidRDefault="00B966F6" w:rsidP="00B966F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UY"/>
        </w:rPr>
      </w:pPr>
    </w:p>
    <w:p w14:paraId="3FFDC7EC" w14:textId="3C6FBB4A" w:rsidR="00C549EF" w:rsidRPr="00B966F6" w:rsidRDefault="00C549EF" w:rsidP="00D70C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UY"/>
        </w:rPr>
      </w:pPr>
      <w:r w:rsidRPr="00B966F6">
        <w:rPr>
          <w:rFonts w:ascii="Cambria" w:hAnsi="Cambria"/>
          <w:sz w:val="20"/>
          <w:szCs w:val="20"/>
          <w:lang w:val="es-UY"/>
        </w:rPr>
        <w:t>El Estado, por su parte, considera que la petición debe ser inadmitida por falta de agotam</w:t>
      </w:r>
      <w:r w:rsidR="000D3651" w:rsidRPr="00B966F6">
        <w:rPr>
          <w:rFonts w:ascii="Cambria" w:hAnsi="Cambria"/>
          <w:sz w:val="20"/>
          <w:szCs w:val="20"/>
          <w:lang w:val="es-UY"/>
        </w:rPr>
        <w:t>iento de los recursos internos</w:t>
      </w:r>
      <w:r w:rsidR="002A7562">
        <w:rPr>
          <w:rFonts w:ascii="Cambria" w:hAnsi="Cambria"/>
          <w:sz w:val="20"/>
          <w:szCs w:val="20"/>
          <w:lang w:val="es-UY"/>
        </w:rPr>
        <w:t>;</w:t>
      </w:r>
      <w:r w:rsidRPr="00B966F6">
        <w:rPr>
          <w:rFonts w:ascii="Cambria" w:hAnsi="Cambria"/>
          <w:sz w:val="20"/>
          <w:szCs w:val="20"/>
          <w:lang w:val="es-UY"/>
        </w:rPr>
        <w:t xml:space="preserve"> porque</w:t>
      </w:r>
      <w:r w:rsidR="00B634F5" w:rsidRPr="00B966F6">
        <w:rPr>
          <w:rFonts w:ascii="Cambria" w:hAnsi="Cambria"/>
          <w:sz w:val="20"/>
          <w:szCs w:val="20"/>
          <w:lang w:val="es-UY"/>
        </w:rPr>
        <w:t xml:space="preserve"> los hechos expuestos en ella no caracterizan </w:t>
      </w:r>
      <w:r w:rsidR="002A7562">
        <w:rPr>
          <w:rFonts w:ascii="Cambria" w:hAnsi="Cambria"/>
          <w:sz w:val="20"/>
          <w:szCs w:val="20"/>
          <w:lang w:val="es-UY"/>
        </w:rPr>
        <w:t xml:space="preserve">posibles </w:t>
      </w:r>
      <w:r w:rsidR="00B634F5" w:rsidRPr="00B966F6">
        <w:rPr>
          <w:rFonts w:ascii="Cambria" w:hAnsi="Cambria"/>
          <w:sz w:val="20"/>
          <w:szCs w:val="20"/>
          <w:lang w:val="es-UY"/>
        </w:rPr>
        <w:t>viol</w:t>
      </w:r>
      <w:r w:rsidR="00FD4A52" w:rsidRPr="00B966F6">
        <w:rPr>
          <w:rFonts w:ascii="Cambria" w:hAnsi="Cambria"/>
          <w:sz w:val="20"/>
          <w:szCs w:val="20"/>
          <w:lang w:val="es-UY"/>
        </w:rPr>
        <w:t xml:space="preserve">aciones </w:t>
      </w:r>
      <w:r w:rsidR="002A7562">
        <w:rPr>
          <w:rFonts w:ascii="Cambria" w:hAnsi="Cambria"/>
          <w:sz w:val="20"/>
          <w:szCs w:val="20"/>
          <w:lang w:val="es-UY"/>
        </w:rPr>
        <w:t>de</w:t>
      </w:r>
      <w:r w:rsidR="00FD4A52" w:rsidRPr="00B966F6">
        <w:rPr>
          <w:rFonts w:ascii="Cambria" w:hAnsi="Cambria"/>
          <w:sz w:val="20"/>
          <w:szCs w:val="20"/>
          <w:lang w:val="es-UY"/>
        </w:rPr>
        <w:t xml:space="preserve"> derechos humanos</w:t>
      </w:r>
      <w:r w:rsidR="002A7562">
        <w:rPr>
          <w:rFonts w:ascii="Cambria" w:hAnsi="Cambria"/>
          <w:sz w:val="20"/>
          <w:szCs w:val="20"/>
          <w:lang w:val="es-UY"/>
        </w:rPr>
        <w:t>;</w:t>
      </w:r>
      <w:r w:rsidR="00FD4A52" w:rsidRPr="00B966F6">
        <w:rPr>
          <w:rFonts w:ascii="Cambria" w:hAnsi="Cambria"/>
          <w:sz w:val="20"/>
          <w:szCs w:val="20"/>
          <w:lang w:val="es-UY"/>
        </w:rPr>
        <w:t xml:space="preserve"> porque </w:t>
      </w:r>
      <w:r w:rsidRPr="00B966F6">
        <w:rPr>
          <w:rFonts w:ascii="Cambria" w:hAnsi="Cambria"/>
          <w:sz w:val="20"/>
          <w:szCs w:val="20"/>
          <w:lang w:val="es-UY"/>
        </w:rPr>
        <w:t xml:space="preserve">el peticionario pretende acudir al </w:t>
      </w:r>
      <w:r w:rsidR="002A7562">
        <w:rPr>
          <w:rFonts w:ascii="Cambria" w:hAnsi="Cambria"/>
          <w:sz w:val="20"/>
          <w:szCs w:val="20"/>
          <w:lang w:val="es-UY"/>
        </w:rPr>
        <w:t>s</w:t>
      </w:r>
      <w:r w:rsidRPr="00B966F6">
        <w:rPr>
          <w:rFonts w:ascii="Cambria" w:hAnsi="Cambria"/>
          <w:sz w:val="20"/>
          <w:szCs w:val="20"/>
          <w:lang w:val="es-UY"/>
        </w:rPr>
        <w:t xml:space="preserve">istema </w:t>
      </w:r>
      <w:r w:rsidR="002A7562">
        <w:rPr>
          <w:rFonts w:ascii="Cambria" w:hAnsi="Cambria"/>
          <w:sz w:val="20"/>
          <w:szCs w:val="20"/>
          <w:lang w:val="es-UY"/>
        </w:rPr>
        <w:t>i</w:t>
      </w:r>
      <w:r w:rsidRPr="00B966F6">
        <w:rPr>
          <w:rFonts w:ascii="Cambria" w:hAnsi="Cambria"/>
          <w:sz w:val="20"/>
          <w:szCs w:val="20"/>
          <w:lang w:val="es-UY"/>
        </w:rPr>
        <w:t>nteramericano como si fuera un tribunal de alzada</w:t>
      </w:r>
      <w:r w:rsidR="002A7562">
        <w:rPr>
          <w:rFonts w:ascii="Cambria" w:hAnsi="Cambria"/>
          <w:sz w:val="20"/>
          <w:szCs w:val="20"/>
          <w:lang w:val="es-UY"/>
        </w:rPr>
        <w:t>;</w:t>
      </w:r>
      <w:r w:rsidR="000D3651" w:rsidRPr="00B966F6">
        <w:rPr>
          <w:rFonts w:ascii="Cambria" w:hAnsi="Cambria"/>
          <w:sz w:val="20"/>
          <w:szCs w:val="20"/>
          <w:lang w:val="es-UY"/>
        </w:rPr>
        <w:t xml:space="preserve"> y porque la Comisión carece de competencia </w:t>
      </w:r>
      <w:r w:rsidR="000D3651" w:rsidRPr="00B966F6">
        <w:rPr>
          <w:rFonts w:ascii="Cambria" w:hAnsi="Cambria"/>
          <w:i/>
          <w:sz w:val="20"/>
          <w:szCs w:val="20"/>
          <w:lang w:val="es-UY"/>
        </w:rPr>
        <w:t xml:space="preserve">ratione materiae </w:t>
      </w:r>
      <w:r w:rsidR="000D3651" w:rsidRPr="00B966F6">
        <w:rPr>
          <w:rFonts w:ascii="Cambria" w:hAnsi="Cambria"/>
          <w:sz w:val="20"/>
          <w:szCs w:val="20"/>
          <w:lang w:val="es-UY"/>
        </w:rPr>
        <w:t xml:space="preserve">para pronunciarse respecto a las </w:t>
      </w:r>
      <w:r w:rsidR="002A7562">
        <w:rPr>
          <w:rFonts w:ascii="Cambria" w:hAnsi="Cambria"/>
          <w:sz w:val="20"/>
          <w:szCs w:val="20"/>
          <w:lang w:val="es-UY"/>
        </w:rPr>
        <w:t>presuntas</w:t>
      </w:r>
      <w:r w:rsidR="000D3651" w:rsidRPr="00B966F6">
        <w:rPr>
          <w:rFonts w:ascii="Cambria" w:hAnsi="Cambria"/>
          <w:sz w:val="20"/>
          <w:szCs w:val="20"/>
          <w:lang w:val="es-UY"/>
        </w:rPr>
        <w:t xml:space="preserve"> violaciones </w:t>
      </w:r>
      <w:r w:rsidR="002A7562">
        <w:rPr>
          <w:rFonts w:ascii="Cambria" w:hAnsi="Cambria"/>
          <w:sz w:val="20"/>
          <w:szCs w:val="20"/>
          <w:lang w:val="es-UY"/>
        </w:rPr>
        <w:t>de</w:t>
      </w:r>
      <w:r w:rsidR="000D3651" w:rsidRPr="00B966F6">
        <w:rPr>
          <w:rFonts w:ascii="Cambria" w:hAnsi="Cambria"/>
          <w:sz w:val="20"/>
          <w:szCs w:val="20"/>
          <w:lang w:val="es-UY"/>
        </w:rPr>
        <w:t xml:space="preserve"> la Declaración Americana. </w:t>
      </w:r>
      <w:r w:rsidRPr="00B966F6">
        <w:rPr>
          <w:rFonts w:ascii="Cambria" w:hAnsi="Cambria"/>
          <w:sz w:val="20"/>
          <w:szCs w:val="20"/>
          <w:lang w:val="es-UY"/>
        </w:rPr>
        <w:t xml:space="preserve"> </w:t>
      </w:r>
    </w:p>
    <w:p w14:paraId="3BEDC30E" w14:textId="77777777" w:rsidR="00B966F6" w:rsidRDefault="00B966F6" w:rsidP="002A756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UY"/>
        </w:rPr>
      </w:pPr>
    </w:p>
    <w:p w14:paraId="0D8C0371" w14:textId="36439B07" w:rsidR="00C549EF" w:rsidRPr="00B966F6" w:rsidRDefault="00793F54" w:rsidP="00D70C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UY"/>
        </w:rPr>
      </w:pPr>
      <w:r w:rsidRPr="00B966F6">
        <w:rPr>
          <w:rFonts w:ascii="Cambria" w:hAnsi="Cambria"/>
          <w:sz w:val="20"/>
          <w:szCs w:val="20"/>
          <w:lang w:val="es-UY"/>
        </w:rPr>
        <w:t xml:space="preserve">Manifiesta </w:t>
      </w:r>
      <w:r w:rsidR="00800869">
        <w:rPr>
          <w:rFonts w:ascii="Cambria" w:hAnsi="Cambria"/>
          <w:sz w:val="20"/>
          <w:szCs w:val="20"/>
          <w:lang w:val="es-UY"/>
        </w:rPr>
        <w:t xml:space="preserve">adicionalmente </w:t>
      </w:r>
      <w:r w:rsidRPr="00B966F6">
        <w:rPr>
          <w:rFonts w:ascii="Cambria" w:hAnsi="Cambria"/>
          <w:sz w:val="20"/>
          <w:szCs w:val="20"/>
          <w:lang w:val="es-UY"/>
        </w:rPr>
        <w:t xml:space="preserve">que el proceso penal es el recurso idóneo y efectivo para resolver presuntas violaciones </w:t>
      </w:r>
      <w:r w:rsidR="00D85AD6">
        <w:rPr>
          <w:rFonts w:ascii="Cambria" w:hAnsi="Cambria"/>
          <w:sz w:val="20"/>
          <w:szCs w:val="20"/>
          <w:lang w:val="es-UY"/>
        </w:rPr>
        <w:t>de</w:t>
      </w:r>
      <w:r w:rsidRPr="00B966F6">
        <w:rPr>
          <w:rFonts w:ascii="Cambria" w:hAnsi="Cambria"/>
          <w:sz w:val="20"/>
          <w:szCs w:val="20"/>
          <w:lang w:val="es-UY"/>
        </w:rPr>
        <w:t xml:space="preserve">l derecho a la vida y que la Fiscalía General de la Nación ha dirigido todos sus esfuerzos hacia el esclarecimiento de las circunstancias que rodearon la muerte </w:t>
      </w:r>
      <w:r w:rsidR="00F87019" w:rsidRPr="00B966F6">
        <w:rPr>
          <w:rFonts w:ascii="Cambria" w:hAnsi="Cambria"/>
          <w:sz w:val="20"/>
          <w:szCs w:val="20"/>
          <w:lang w:val="es-UY"/>
        </w:rPr>
        <w:t>de</w:t>
      </w:r>
      <w:r w:rsidRPr="00B966F6">
        <w:rPr>
          <w:rFonts w:ascii="Cambria" w:hAnsi="Cambria"/>
          <w:sz w:val="20"/>
          <w:szCs w:val="20"/>
          <w:lang w:val="es-UY"/>
        </w:rPr>
        <w:t xml:space="preserve"> las personas fallecidas el 28 de febrero de 1997.  Resalta que en marzo de 2011 el ente investigador ordenó pruebas para la recepción de declaraciones de miembros de las autodefensas ilegales privados de libertad que operaron en la zona de los hechos</w:t>
      </w:r>
      <w:r w:rsidR="005E5F78" w:rsidRPr="00B966F6">
        <w:rPr>
          <w:rFonts w:ascii="Cambria" w:hAnsi="Cambria"/>
          <w:sz w:val="20"/>
          <w:szCs w:val="20"/>
          <w:lang w:val="es-UY"/>
        </w:rPr>
        <w:t xml:space="preserve">. </w:t>
      </w:r>
      <w:r w:rsidR="00800869">
        <w:rPr>
          <w:rFonts w:ascii="Cambria" w:hAnsi="Cambria"/>
          <w:sz w:val="20"/>
          <w:szCs w:val="20"/>
          <w:lang w:val="es-UY"/>
        </w:rPr>
        <w:t>Agrega el Estado qu</w:t>
      </w:r>
      <w:r w:rsidR="005E5F78" w:rsidRPr="00B966F6">
        <w:rPr>
          <w:rFonts w:ascii="Cambria" w:hAnsi="Cambria"/>
          <w:sz w:val="20"/>
          <w:szCs w:val="20"/>
          <w:lang w:val="es-UY"/>
        </w:rPr>
        <w:t xml:space="preserve">e en 2013 se tomó declaración libre a </w:t>
      </w:r>
      <w:r w:rsidR="00A865AF" w:rsidRPr="00B966F6">
        <w:rPr>
          <w:rFonts w:ascii="Cambria" w:hAnsi="Cambria"/>
          <w:sz w:val="20"/>
          <w:szCs w:val="20"/>
          <w:lang w:val="es-UY"/>
        </w:rPr>
        <w:t>un presunto involucrado qu</w:t>
      </w:r>
      <w:r w:rsidR="00800869">
        <w:rPr>
          <w:rFonts w:ascii="Cambria" w:hAnsi="Cambria"/>
          <w:sz w:val="20"/>
          <w:szCs w:val="20"/>
          <w:lang w:val="es-UY"/>
        </w:rPr>
        <w:t>e</w:t>
      </w:r>
      <w:r w:rsidR="00A865AF" w:rsidRPr="00B966F6">
        <w:rPr>
          <w:rFonts w:ascii="Cambria" w:hAnsi="Cambria"/>
          <w:sz w:val="20"/>
          <w:szCs w:val="20"/>
          <w:lang w:val="es-UY"/>
        </w:rPr>
        <w:t xml:space="preserve"> declaró que el mismo día en que se cometieron los asesinatos en Vegachí los perpetradores fueron interceptados por la policía cuando se encontraban en camino a un municipio vecino, </w:t>
      </w:r>
      <w:r w:rsidR="00800869">
        <w:rPr>
          <w:rFonts w:ascii="Cambria" w:hAnsi="Cambria"/>
          <w:sz w:val="20"/>
          <w:szCs w:val="20"/>
          <w:lang w:val="es-UY"/>
        </w:rPr>
        <w:t>y que hubo un enfrentamiento con disparos</w:t>
      </w:r>
      <w:r w:rsidR="00A865AF" w:rsidRPr="00B966F6">
        <w:rPr>
          <w:rFonts w:ascii="Cambria" w:hAnsi="Cambria"/>
          <w:sz w:val="20"/>
          <w:szCs w:val="20"/>
          <w:lang w:val="es-UY"/>
        </w:rPr>
        <w:t>.</w:t>
      </w:r>
      <w:r w:rsidR="005E5F78" w:rsidRPr="00B966F6">
        <w:rPr>
          <w:rFonts w:ascii="Cambria" w:hAnsi="Cambria"/>
          <w:sz w:val="20"/>
          <w:szCs w:val="20"/>
          <w:lang w:val="es-UY"/>
        </w:rPr>
        <w:t xml:space="preserve"> S</w:t>
      </w:r>
      <w:r w:rsidR="00BF1898" w:rsidRPr="00B966F6">
        <w:rPr>
          <w:rFonts w:ascii="Cambria" w:hAnsi="Cambria"/>
          <w:sz w:val="20"/>
          <w:szCs w:val="20"/>
          <w:lang w:val="es-UY"/>
        </w:rPr>
        <w:t>eñala</w:t>
      </w:r>
      <w:r w:rsidR="00A865AF" w:rsidRPr="00B966F6">
        <w:rPr>
          <w:rFonts w:ascii="Cambria" w:hAnsi="Cambria"/>
          <w:sz w:val="20"/>
          <w:szCs w:val="20"/>
          <w:lang w:val="es-UY"/>
        </w:rPr>
        <w:t xml:space="preserve"> también</w:t>
      </w:r>
      <w:r w:rsidR="00BF1898" w:rsidRPr="00B966F6">
        <w:rPr>
          <w:rFonts w:ascii="Cambria" w:hAnsi="Cambria"/>
          <w:sz w:val="20"/>
          <w:szCs w:val="20"/>
          <w:lang w:val="es-UY"/>
        </w:rPr>
        <w:t xml:space="preserve"> que en 2015 se programaron varias diligencias de versión libre que luego debieron ser canceladas por varios motivos, entre ellos la no asistencia de una apoderada judicial. </w:t>
      </w:r>
      <w:r w:rsidRPr="00B966F6">
        <w:rPr>
          <w:rFonts w:ascii="Cambria" w:hAnsi="Cambria"/>
          <w:sz w:val="20"/>
          <w:szCs w:val="20"/>
          <w:lang w:val="es-UY"/>
        </w:rPr>
        <w:t xml:space="preserve"> Considera que</w:t>
      </w:r>
      <w:r w:rsidR="00BF1898" w:rsidRPr="00B966F6">
        <w:rPr>
          <w:rFonts w:ascii="Cambria" w:hAnsi="Cambria"/>
          <w:sz w:val="20"/>
          <w:szCs w:val="20"/>
          <w:lang w:val="es-UY"/>
        </w:rPr>
        <w:t xml:space="preserve"> la acción penal no se encuentra agotada</w:t>
      </w:r>
      <w:r w:rsidRPr="00B966F6">
        <w:rPr>
          <w:rFonts w:ascii="Cambria" w:hAnsi="Cambria"/>
          <w:sz w:val="20"/>
          <w:szCs w:val="20"/>
          <w:lang w:val="es-UY"/>
        </w:rPr>
        <w:t>, dado que el ente investigador se encuentra recopilando las pruebas necesarias para esclarecer los hechos</w:t>
      </w:r>
      <w:r w:rsidR="00BF1898" w:rsidRPr="00B966F6">
        <w:rPr>
          <w:rFonts w:ascii="Cambria" w:hAnsi="Cambria"/>
          <w:sz w:val="20"/>
          <w:szCs w:val="20"/>
          <w:lang w:val="es-UY"/>
        </w:rPr>
        <w:t xml:space="preserve">, y que </w:t>
      </w:r>
      <w:r w:rsidR="00800869" w:rsidRPr="00B966F6">
        <w:rPr>
          <w:rFonts w:ascii="Cambria" w:hAnsi="Cambria"/>
          <w:sz w:val="20"/>
          <w:szCs w:val="20"/>
          <w:lang w:val="es-UY"/>
        </w:rPr>
        <w:t xml:space="preserve">por esta razón </w:t>
      </w:r>
      <w:r w:rsidR="00BF1898" w:rsidRPr="00B966F6">
        <w:rPr>
          <w:rFonts w:ascii="Cambria" w:hAnsi="Cambria"/>
          <w:sz w:val="20"/>
          <w:szCs w:val="20"/>
          <w:lang w:val="es-UY"/>
        </w:rPr>
        <w:t xml:space="preserve">la petición debe ser inadmitida. </w:t>
      </w:r>
      <w:r w:rsidR="00800869">
        <w:rPr>
          <w:rFonts w:ascii="Cambria" w:hAnsi="Cambria"/>
          <w:sz w:val="20"/>
          <w:szCs w:val="20"/>
          <w:lang w:val="es-UY"/>
        </w:rPr>
        <w:t>E</w:t>
      </w:r>
      <w:r w:rsidR="00BF1898" w:rsidRPr="00B966F6">
        <w:rPr>
          <w:rFonts w:ascii="Cambria" w:hAnsi="Cambria"/>
          <w:sz w:val="20"/>
          <w:szCs w:val="20"/>
          <w:lang w:val="es-UY"/>
        </w:rPr>
        <w:t xml:space="preserve">l Estado </w:t>
      </w:r>
      <w:r w:rsidR="00800869">
        <w:rPr>
          <w:rFonts w:ascii="Cambria" w:hAnsi="Cambria"/>
          <w:sz w:val="20"/>
          <w:szCs w:val="20"/>
          <w:lang w:val="es-UY"/>
        </w:rPr>
        <w:t xml:space="preserve">alega que </w:t>
      </w:r>
      <w:r w:rsidR="00BF1898" w:rsidRPr="00B966F6">
        <w:rPr>
          <w:rFonts w:ascii="Cambria" w:hAnsi="Cambria"/>
          <w:sz w:val="20"/>
          <w:szCs w:val="20"/>
          <w:lang w:val="es-UY"/>
        </w:rPr>
        <w:t xml:space="preserve">ha actuado con diligencia y que el ente investigador ha empleado todos los medios a su alcance para esclarecer lo ocurrido. </w:t>
      </w:r>
      <w:r w:rsidR="00263F6F" w:rsidRPr="00B966F6">
        <w:rPr>
          <w:rFonts w:ascii="Cambria" w:hAnsi="Cambria"/>
          <w:sz w:val="20"/>
          <w:szCs w:val="20"/>
          <w:lang w:val="es-UY"/>
        </w:rPr>
        <w:t xml:space="preserve">En su última comunicación </w:t>
      </w:r>
      <w:r w:rsidR="00800869">
        <w:rPr>
          <w:rFonts w:ascii="Cambria" w:hAnsi="Cambria"/>
          <w:sz w:val="20"/>
          <w:szCs w:val="20"/>
          <w:lang w:val="es-UY"/>
        </w:rPr>
        <w:t>de</w:t>
      </w:r>
      <w:r w:rsidR="00A60826" w:rsidRPr="00B966F6">
        <w:rPr>
          <w:rFonts w:ascii="Cambria" w:hAnsi="Cambria"/>
          <w:sz w:val="20"/>
          <w:szCs w:val="20"/>
          <w:lang w:val="es-UY"/>
        </w:rPr>
        <w:t xml:space="preserve"> 27 de julio de 2015 inform</w:t>
      </w:r>
      <w:r w:rsidR="00800869">
        <w:rPr>
          <w:rFonts w:ascii="Cambria" w:hAnsi="Cambria"/>
          <w:sz w:val="20"/>
          <w:szCs w:val="20"/>
          <w:lang w:val="es-UY"/>
        </w:rPr>
        <w:t>a</w:t>
      </w:r>
      <w:r w:rsidR="00A60826" w:rsidRPr="00B966F6">
        <w:rPr>
          <w:rFonts w:ascii="Cambria" w:hAnsi="Cambria"/>
          <w:sz w:val="20"/>
          <w:szCs w:val="20"/>
          <w:lang w:val="es-UY"/>
        </w:rPr>
        <w:t xml:space="preserve"> que la investigación se encontraba en etapa de admisibilidad. Sostiene</w:t>
      </w:r>
      <w:r w:rsidR="00BF1898" w:rsidRPr="00B966F6">
        <w:rPr>
          <w:rFonts w:ascii="Cambria" w:hAnsi="Cambria"/>
          <w:sz w:val="20"/>
          <w:szCs w:val="20"/>
          <w:lang w:val="es-UY"/>
        </w:rPr>
        <w:t xml:space="preserve"> </w:t>
      </w:r>
      <w:r w:rsidR="00800869">
        <w:rPr>
          <w:rFonts w:ascii="Cambria" w:hAnsi="Cambria"/>
          <w:sz w:val="20"/>
          <w:szCs w:val="20"/>
          <w:lang w:val="es-UY"/>
        </w:rPr>
        <w:t xml:space="preserve">el Estado </w:t>
      </w:r>
      <w:r w:rsidR="00BF1898" w:rsidRPr="00B966F6">
        <w:rPr>
          <w:rFonts w:ascii="Cambria" w:hAnsi="Cambria"/>
          <w:sz w:val="20"/>
          <w:szCs w:val="20"/>
          <w:lang w:val="es-UY"/>
        </w:rPr>
        <w:t>que la excepción al agotamiento</w:t>
      </w:r>
      <w:r w:rsidR="00800869">
        <w:rPr>
          <w:rFonts w:ascii="Cambria" w:hAnsi="Cambria"/>
          <w:sz w:val="20"/>
          <w:szCs w:val="20"/>
          <w:lang w:val="es-UY"/>
        </w:rPr>
        <w:t xml:space="preserve"> de recursos internos</w:t>
      </w:r>
      <w:r w:rsidR="00BF1898" w:rsidRPr="00B966F6">
        <w:rPr>
          <w:rFonts w:ascii="Cambria" w:hAnsi="Cambria"/>
          <w:sz w:val="20"/>
          <w:szCs w:val="20"/>
          <w:lang w:val="es-UY"/>
        </w:rPr>
        <w:t xml:space="preserve"> contemplada en el artículo 46.2(c) de la </w:t>
      </w:r>
      <w:r w:rsidR="003529CB">
        <w:rPr>
          <w:rFonts w:ascii="Cambria" w:hAnsi="Cambria"/>
          <w:sz w:val="20"/>
          <w:szCs w:val="20"/>
          <w:lang w:val="es-UY"/>
        </w:rPr>
        <w:t>C</w:t>
      </w:r>
      <w:r w:rsidR="00BF1898" w:rsidRPr="00B966F6">
        <w:rPr>
          <w:rFonts w:ascii="Cambria" w:hAnsi="Cambria"/>
          <w:sz w:val="20"/>
          <w:szCs w:val="20"/>
          <w:lang w:val="es-UY"/>
        </w:rPr>
        <w:t>onvención A</w:t>
      </w:r>
      <w:r w:rsidR="00A60826" w:rsidRPr="00B966F6">
        <w:rPr>
          <w:rFonts w:ascii="Cambria" w:hAnsi="Cambria"/>
          <w:sz w:val="20"/>
          <w:szCs w:val="20"/>
          <w:lang w:val="es-UY"/>
        </w:rPr>
        <w:t xml:space="preserve">mericana </w:t>
      </w:r>
      <w:r w:rsidR="00BF1898" w:rsidRPr="00B966F6">
        <w:rPr>
          <w:rFonts w:ascii="Cambria" w:hAnsi="Cambria"/>
          <w:sz w:val="20"/>
          <w:szCs w:val="20"/>
          <w:lang w:val="es-UY"/>
        </w:rPr>
        <w:t xml:space="preserve">no resulta aplicable a </w:t>
      </w:r>
      <w:r w:rsidR="00800869">
        <w:rPr>
          <w:rFonts w:ascii="Cambria" w:hAnsi="Cambria"/>
          <w:sz w:val="20"/>
          <w:szCs w:val="20"/>
          <w:lang w:val="es-UY"/>
        </w:rPr>
        <w:t>este asunto, puesto que</w:t>
      </w:r>
      <w:r w:rsidR="00BF1898" w:rsidRPr="00B966F6">
        <w:rPr>
          <w:rFonts w:ascii="Cambria" w:hAnsi="Cambria"/>
          <w:sz w:val="20"/>
          <w:szCs w:val="20"/>
          <w:lang w:val="es-UY"/>
        </w:rPr>
        <w:t xml:space="preserve"> las investigaciones </w:t>
      </w:r>
      <w:r w:rsidR="00800869">
        <w:rPr>
          <w:rFonts w:ascii="Cambria" w:hAnsi="Cambria"/>
          <w:sz w:val="20"/>
          <w:szCs w:val="20"/>
          <w:lang w:val="es-UY"/>
        </w:rPr>
        <w:t xml:space="preserve">se </w:t>
      </w:r>
      <w:r w:rsidR="00BF1898" w:rsidRPr="00B966F6">
        <w:rPr>
          <w:rFonts w:ascii="Cambria" w:hAnsi="Cambria"/>
          <w:sz w:val="20"/>
          <w:szCs w:val="20"/>
          <w:lang w:val="es-UY"/>
        </w:rPr>
        <w:t xml:space="preserve">han </w:t>
      </w:r>
      <w:r w:rsidR="00800869">
        <w:rPr>
          <w:rFonts w:ascii="Cambria" w:hAnsi="Cambria"/>
          <w:sz w:val="20"/>
          <w:szCs w:val="20"/>
          <w:lang w:val="es-UY"/>
        </w:rPr>
        <w:t xml:space="preserve">desarrollado dentro de un </w:t>
      </w:r>
      <w:r w:rsidR="00B634F5" w:rsidRPr="00B966F6">
        <w:rPr>
          <w:rFonts w:ascii="Cambria" w:hAnsi="Cambria"/>
          <w:sz w:val="20"/>
          <w:szCs w:val="20"/>
          <w:lang w:val="es-UY"/>
        </w:rPr>
        <w:t xml:space="preserve">plazo razonable, en consideración </w:t>
      </w:r>
      <w:r w:rsidR="00800869">
        <w:rPr>
          <w:rFonts w:ascii="Cambria" w:hAnsi="Cambria"/>
          <w:sz w:val="20"/>
          <w:szCs w:val="20"/>
          <w:lang w:val="es-UY"/>
        </w:rPr>
        <w:t xml:space="preserve">de </w:t>
      </w:r>
      <w:r w:rsidR="00B634F5" w:rsidRPr="00B966F6">
        <w:rPr>
          <w:rFonts w:ascii="Cambria" w:hAnsi="Cambria"/>
          <w:sz w:val="20"/>
          <w:szCs w:val="20"/>
          <w:lang w:val="es-UY"/>
        </w:rPr>
        <w:t>la naturaleza compleja de lo investigado</w:t>
      </w:r>
      <w:r w:rsidR="00800869">
        <w:rPr>
          <w:rFonts w:ascii="Cambria" w:hAnsi="Cambria"/>
          <w:sz w:val="20"/>
          <w:szCs w:val="20"/>
          <w:lang w:val="es-UY"/>
        </w:rPr>
        <w:t>,</w:t>
      </w:r>
      <w:r w:rsidR="00B634F5" w:rsidRPr="00B966F6">
        <w:rPr>
          <w:rFonts w:ascii="Cambria" w:hAnsi="Cambria"/>
          <w:sz w:val="20"/>
          <w:szCs w:val="20"/>
          <w:lang w:val="es-UY"/>
        </w:rPr>
        <w:t xml:space="preserve"> agravada por el</w:t>
      </w:r>
      <w:r w:rsidR="00B634F5" w:rsidRPr="00B966F6">
        <w:rPr>
          <w:rFonts w:ascii="Cambria" w:hAnsi="Cambria"/>
          <w:i/>
          <w:sz w:val="20"/>
          <w:szCs w:val="20"/>
          <w:lang w:val="es-UY"/>
        </w:rPr>
        <w:t xml:space="preserve"> modus operandi</w:t>
      </w:r>
      <w:r w:rsidR="00BF1898" w:rsidRPr="00B966F6">
        <w:rPr>
          <w:rFonts w:ascii="Cambria" w:hAnsi="Cambria"/>
          <w:sz w:val="20"/>
          <w:szCs w:val="20"/>
          <w:lang w:val="es-UY"/>
        </w:rPr>
        <w:t xml:space="preserve"> </w:t>
      </w:r>
      <w:r w:rsidR="00B634F5" w:rsidRPr="00B966F6">
        <w:rPr>
          <w:rFonts w:ascii="Cambria" w:hAnsi="Cambria"/>
          <w:sz w:val="20"/>
          <w:szCs w:val="20"/>
          <w:lang w:val="es-UY"/>
        </w:rPr>
        <w:t>de los grupos armados ilegales</w:t>
      </w:r>
      <w:r w:rsidR="00800869">
        <w:rPr>
          <w:rFonts w:ascii="Cambria" w:hAnsi="Cambria"/>
          <w:sz w:val="20"/>
          <w:szCs w:val="20"/>
          <w:lang w:val="es-UY"/>
        </w:rPr>
        <w:t>,</w:t>
      </w:r>
      <w:r w:rsidR="00B634F5" w:rsidRPr="00B966F6">
        <w:rPr>
          <w:rFonts w:ascii="Cambria" w:hAnsi="Cambria"/>
          <w:sz w:val="20"/>
          <w:szCs w:val="20"/>
          <w:lang w:val="es-UY"/>
        </w:rPr>
        <w:t xml:space="preserve"> qu</w:t>
      </w:r>
      <w:r w:rsidR="00800869">
        <w:rPr>
          <w:rFonts w:ascii="Cambria" w:hAnsi="Cambria"/>
          <w:sz w:val="20"/>
          <w:szCs w:val="20"/>
          <w:lang w:val="es-UY"/>
        </w:rPr>
        <w:t>e</w:t>
      </w:r>
      <w:r w:rsidR="00B634F5" w:rsidRPr="00B966F6">
        <w:rPr>
          <w:rFonts w:ascii="Cambria" w:hAnsi="Cambria"/>
          <w:sz w:val="20"/>
          <w:szCs w:val="20"/>
          <w:lang w:val="es-UY"/>
        </w:rPr>
        <w:t xml:space="preserve"> hacen todo lo posible por borrar la evidencia de su actuar criminal. </w:t>
      </w:r>
    </w:p>
    <w:p w14:paraId="3BB95490" w14:textId="77777777" w:rsidR="00B966F6" w:rsidRDefault="00B966F6" w:rsidP="00B966F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UY"/>
        </w:rPr>
      </w:pPr>
    </w:p>
    <w:p w14:paraId="3F33F70E" w14:textId="0973A051" w:rsidR="00B00B8E" w:rsidRPr="00B966F6" w:rsidRDefault="00B00B8E" w:rsidP="00D70C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UY"/>
        </w:rPr>
      </w:pPr>
      <w:r w:rsidRPr="00B966F6">
        <w:rPr>
          <w:rFonts w:ascii="Cambria" w:hAnsi="Cambria"/>
          <w:sz w:val="20"/>
          <w:szCs w:val="20"/>
          <w:lang w:val="es-UY"/>
        </w:rPr>
        <w:t xml:space="preserve">Señala </w:t>
      </w:r>
      <w:r w:rsidR="00F87019" w:rsidRPr="00B966F6">
        <w:rPr>
          <w:rFonts w:ascii="Cambria" w:hAnsi="Cambria"/>
          <w:sz w:val="20"/>
          <w:szCs w:val="20"/>
          <w:lang w:val="es-UY"/>
        </w:rPr>
        <w:t xml:space="preserve">además </w:t>
      </w:r>
      <w:r w:rsidR="00800869">
        <w:rPr>
          <w:rFonts w:ascii="Cambria" w:hAnsi="Cambria"/>
          <w:sz w:val="20"/>
          <w:szCs w:val="20"/>
          <w:lang w:val="es-UY"/>
        </w:rPr>
        <w:t xml:space="preserve">el Estado </w:t>
      </w:r>
      <w:r w:rsidR="00F87019" w:rsidRPr="00B966F6">
        <w:rPr>
          <w:rFonts w:ascii="Cambria" w:hAnsi="Cambria"/>
          <w:sz w:val="20"/>
          <w:szCs w:val="20"/>
          <w:lang w:val="es-UY"/>
        </w:rPr>
        <w:t>que la acción de reparación directa fue solo interpuesta en relación con la muerte de</w:t>
      </w:r>
      <w:r w:rsidR="00A61459">
        <w:rPr>
          <w:rFonts w:ascii="Cambria" w:hAnsi="Cambria"/>
          <w:sz w:val="20"/>
          <w:szCs w:val="20"/>
          <w:lang w:val="es-UY"/>
        </w:rPr>
        <w:t>l señor</w:t>
      </w:r>
      <w:r w:rsidR="00F87019" w:rsidRPr="00B966F6">
        <w:rPr>
          <w:rFonts w:ascii="Cambria" w:hAnsi="Cambria"/>
          <w:sz w:val="20"/>
          <w:szCs w:val="20"/>
          <w:lang w:val="es-UY"/>
        </w:rPr>
        <w:t xml:space="preserve"> Hernández, no así</w:t>
      </w:r>
      <w:r w:rsidR="00406675" w:rsidRPr="00B966F6">
        <w:rPr>
          <w:rFonts w:ascii="Cambria" w:hAnsi="Cambria"/>
          <w:sz w:val="20"/>
          <w:szCs w:val="20"/>
          <w:lang w:val="es-UY"/>
        </w:rPr>
        <w:t xml:space="preserve"> con respecto</w:t>
      </w:r>
      <w:r w:rsidR="00F87019" w:rsidRPr="00B966F6">
        <w:rPr>
          <w:rFonts w:ascii="Cambria" w:hAnsi="Cambria"/>
          <w:sz w:val="20"/>
          <w:szCs w:val="20"/>
          <w:lang w:val="es-UY"/>
        </w:rPr>
        <w:t xml:space="preserve"> </w:t>
      </w:r>
      <w:r w:rsidR="00F43D1D" w:rsidRPr="00B966F6">
        <w:rPr>
          <w:rFonts w:ascii="Cambria" w:hAnsi="Cambria"/>
          <w:sz w:val="20"/>
          <w:szCs w:val="20"/>
          <w:lang w:val="es-UY"/>
        </w:rPr>
        <w:t>de</w:t>
      </w:r>
      <w:r w:rsidR="00800869">
        <w:rPr>
          <w:rFonts w:ascii="Cambria" w:hAnsi="Cambria"/>
          <w:sz w:val="20"/>
          <w:szCs w:val="20"/>
          <w:lang w:val="es-UY"/>
        </w:rPr>
        <w:t xml:space="preserve"> </w:t>
      </w:r>
      <w:r w:rsidR="00F43D1D" w:rsidRPr="00B966F6">
        <w:rPr>
          <w:rFonts w:ascii="Cambria" w:hAnsi="Cambria"/>
          <w:sz w:val="20"/>
          <w:szCs w:val="20"/>
          <w:lang w:val="es-UY"/>
        </w:rPr>
        <w:t>l</w:t>
      </w:r>
      <w:r w:rsidR="00800869">
        <w:rPr>
          <w:rFonts w:ascii="Cambria" w:hAnsi="Cambria"/>
          <w:sz w:val="20"/>
          <w:szCs w:val="20"/>
          <w:lang w:val="es-UY"/>
        </w:rPr>
        <w:t xml:space="preserve">as otras </w:t>
      </w:r>
      <w:r w:rsidR="00CB0013">
        <w:rPr>
          <w:rFonts w:ascii="Cambria" w:hAnsi="Cambria"/>
          <w:sz w:val="20"/>
          <w:szCs w:val="20"/>
          <w:lang w:val="es-UY"/>
        </w:rPr>
        <w:t>8</w:t>
      </w:r>
      <w:r w:rsidR="00F43D1D" w:rsidRPr="00B966F6">
        <w:rPr>
          <w:rFonts w:ascii="Cambria" w:hAnsi="Cambria"/>
          <w:sz w:val="20"/>
          <w:szCs w:val="20"/>
          <w:lang w:val="es-UY"/>
        </w:rPr>
        <w:t xml:space="preserve"> presuntas víctimas</w:t>
      </w:r>
      <w:r w:rsidR="00F87019" w:rsidRPr="00B966F6">
        <w:rPr>
          <w:rFonts w:ascii="Cambria" w:hAnsi="Cambria"/>
          <w:sz w:val="20"/>
          <w:szCs w:val="20"/>
          <w:lang w:val="es-UY"/>
        </w:rPr>
        <w:t>. Por esta razón, considera que las famili</w:t>
      </w:r>
      <w:r w:rsidR="00800869">
        <w:rPr>
          <w:rFonts w:ascii="Cambria" w:hAnsi="Cambria"/>
          <w:sz w:val="20"/>
          <w:szCs w:val="20"/>
          <w:lang w:val="es-UY"/>
        </w:rPr>
        <w:t>a</w:t>
      </w:r>
      <w:r w:rsidR="00F87019" w:rsidRPr="00B966F6">
        <w:rPr>
          <w:rFonts w:ascii="Cambria" w:hAnsi="Cambria"/>
          <w:sz w:val="20"/>
          <w:szCs w:val="20"/>
          <w:lang w:val="es-UY"/>
        </w:rPr>
        <w:t xml:space="preserve">s de </w:t>
      </w:r>
      <w:r w:rsidR="00800869">
        <w:rPr>
          <w:rFonts w:ascii="Cambria" w:hAnsi="Cambria"/>
          <w:sz w:val="20"/>
          <w:szCs w:val="20"/>
          <w:lang w:val="es-UY"/>
        </w:rPr>
        <w:t>las</w:t>
      </w:r>
      <w:r w:rsidR="00406675" w:rsidRPr="00B966F6">
        <w:rPr>
          <w:rFonts w:ascii="Cambria" w:hAnsi="Cambria"/>
          <w:sz w:val="20"/>
          <w:szCs w:val="20"/>
          <w:lang w:val="es-UY"/>
        </w:rPr>
        <w:t xml:space="preserve"> otras</w:t>
      </w:r>
      <w:r w:rsidR="00F87019" w:rsidRPr="00B966F6">
        <w:rPr>
          <w:rFonts w:ascii="Cambria" w:hAnsi="Cambria"/>
          <w:sz w:val="20"/>
          <w:szCs w:val="20"/>
          <w:lang w:val="es-UY"/>
        </w:rPr>
        <w:t xml:space="preserve"> </w:t>
      </w:r>
      <w:r w:rsidR="00F43D1D" w:rsidRPr="00B966F6">
        <w:rPr>
          <w:rFonts w:ascii="Cambria" w:hAnsi="Cambria"/>
          <w:sz w:val="20"/>
          <w:szCs w:val="20"/>
          <w:lang w:val="es-UY"/>
        </w:rPr>
        <w:t xml:space="preserve">presuntas víctimas </w:t>
      </w:r>
      <w:r w:rsidR="00F87019" w:rsidRPr="00B966F6">
        <w:rPr>
          <w:rFonts w:ascii="Cambria" w:hAnsi="Cambria"/>
          <w:sz w:val="20"/>
          <w:szCs w:val="20"/>
          <w:lang w:val="es-UY"/>
        </w:rPr>
        <w:t>renunciaron tácitamente a</w:t>
      </w:r>
      <w:r w:rsidR="00800869">
        <w:rPr>
          <w:rFonts w:ascii="Cambria" w:hAnsi="Cambria"/>
          <w:sz w:val="20"/>
          <w:szCs w:val="20"/>
          <w:lang w:val="es-UY"/>
        </w:rPr>
        <w:t>l reclamo</w:t>
      </w:r>
      <w:r w:rsidR="00F87019" w:rsidRPr="00B966F6">
        <w:rPr>
          <w:rFonts w:ascii="Cambria" w:hAnsi="Cambria"/>
          <w:sz w:val="20"/>
          <w:szCs w:val="20"/>
          <w:lang w:val="es-UY"/>
        </w:rPr>
        <w:t xml:space="preserve"> de reparaciones por los hechos denunciados</w:t>
      </w:r>
      <w:r w:rsidR="00800869">
        <w:rPr>
          <w:rFonts w:ascii="Cambria" w:hAnsi="Cambria"/>
          <w:sz w:val="20"/>
          <w:szCs w:val="20"/>
          <w:lang w:val="es-UY"/>
        </w:rPr>
        <w:t>,</w:t>
      </w:r>
      <w:r w:rsidR="00F87019" w:rsidRPr="00B966F6">
        <w:rPr>
          <w:rFonts w:ascii="Cambria" w:hAnsi="Cambria"/>
          <w:sz w:val="20"/>
          <w:szCs w:val="20"/>
          <w:lang w:val="es-UY"/>
        </w:rPr>
        <w:t xml:space="preserve"> y que </w:t>
      </w:r>
      <w:r w:rsidR="00800869">
        <w:rPr>
          <w:rFonts w:ascii="Cambria" w:hAnsi="Cambria"/>
          <w:sz w:val="20"/>
          <w:szCs w:val="20"/>
          <w:lang w:val="es-UY"/>
        </w:rPr>
        <w:t xml:space="preserve">no se han agotado </w:t>
      </w:r>
      <w:r w:rsidR="00F87019" w:rsidRPr="00B966F6">
        <w:rPr>
          <w:rFonts w:ascii="Cambria" w:hAnsi="Cambria"/>
          <w:sz w:val="20"/>
          <w:szCs w:val="20"/>
          <w:lang w:val="es-UY"/>
        </w:rPr>
        <w:t xml:space="preserve">los recursos internos con respecto a la reparación. </w:t>
      </w:r>
      <w:r w:rsidR="00406675" w:rsidRPr="00B966F6">
        <w:rPr>
          <w:rFonts w:ascii="Cambria" w:hAnsi="Cambria"/>
          <w:sz w:val="20"/>
          <w:szCs w:val="20"/>
          <w:lang w:val="es-UY"/>
        </w:rPr>
        <w:t>Agrega que la</w:t>
      </w:r>
      <w:r w:rsidR="00F43D1D" w:rsidRPr="00B966F6">
        <w:rPr>
          <w:rFonts w:ascii="Cambria" w:hAnsi="Cambria"/>
          <w:sz w:val="20"/>
          <w:szCs w:val="20"/>
          <w:lang w:val="es-UY"/>
        </w:rPr>
        <w:t xml:space="preserve">s familias de estas </w:t>
      </w:r>
      <w:r w:rsidR="00CB0013">
        <w:rPr>
          <w:rFonts w:ascii="Cambria" w:hAnsi="Cambria"/>
          <w:sz w:val="20"/>
          <w:szCs w:val="20"/>
          <w:lang w:val="es-UY"/>
        </w:rPr>
        <w:t>8</w:t>
      </w:r>
      <w:r w:rsidR="00800869">
        <w:rPr>
          <w:rFonts w:ascii="Cambria" w:hAnsi="Cambria"/>
          <w:sz w:val="20"/>
          <w:szCs w:val="20"/>
          <w:lang w:val="es-UY"/>
        </w:rPr>
        <w:t xml:space="preserve"> </w:t>
      </w:r>
      <w:r w:rsidR="00F43D1D" w:rsidRPr="00B966F6">
        <w:rPr>
          <w:rFonts w:ascii="Cambria" w:hAnsi="Cambria"/>
          <w:sz w:val="20"/>
          <w:szCs w:val="20"/>
          <w:lang w:val="es-UY"/>
        </w:rPr>
        <w:t>presuntas víctimas</w:t>
      </w:r>
      <w:r w:rsidR="00406675" w:rsidRPr="00B966F6">
        <w:rPr>
          <w:rFonts w:ascii="Cambria" w:hAnsi="Cambria"/>
          <w:sz w:val="20"/>
          <w:szCs w:val="20"/>
          <w:lang w:val="es-UY"/>
        </w:rPr>
        <w:t xml:space="preserve"> también tienen a su disposición </w:t>
      </w:r>
      <w:r w:rsidR="00800869">
        <w:rPr>
          <w:rFonts w:ascii="Cambria" w:hAnsi="Cambria"/>
          <w:sz w:val="20"/>
          <w:szCs w:val="20"/>
          <w:lang w:val="es-UY"/>
        </w:rPr>
        <w:t>--pero</w:t>
      </w:r>
      <w:r w:rsidR="00406675" w:rsidRPr="00B966F6">
        <w:rPr>
          <w:rFonts w:ascii="Cambria" w:hAnsi="Cambria"/>
          <w:sz w:val="20"/>
          <w:szCs w:val="20"/>
          <w:lang w:val="es-UY"/>
        </w:rPr>
        <w:t xml:space="preserve"> no han agotado</w:t>
      </w:r>
      <w:r w:rsidR="00800869">
        <w:rPr>
          <w:rFonts w:ascii="Cambria" w:hAnsi="Cambria"/>
          <w:sz w:val="20"/>
          <w:szCs w:val="20"/>
          <w:lang w:val="es-UY"/>
        </w:rPr>
        <w:t>--</w:t>
      </w:r>
      <w:r w:rsidR="00406675" w:rsidRPr="00B966F6">
        <w:rPr>
          <w:rFonts w:ascii="Cambria" w:hAnsi="Cambria"/>
          <w:sz w:val="20"/>
          <w:szCs w:val="20"/>
          <w:lang w:val="es-UY"/>
        </w:rPr>
        <w:t xml:space="preserve"> la posibilidad de solicitar reparación por la vía administrativa contemplada en la Ley </w:t>
      </w:r>
      <w:r w:rsidR="00800869" w:rsidRPr="00B966F6">
        <w:rPr>
          <w:rFonts w:ascii="Cambria" w:hAnsi="Cambria"/>
          <w:sz w:val="20"/>
          <w:szCs w:val="20"/>
          <w:lang w:val="es-UY"/>
        </w:rPr>
        <w:t>1148 de 2011</w:t>
      </w:r>
      <w:r w:rsidR="00800869">
        <w:rPr>
          <w:rFonts w:ascii="Cambria" w:hAnsi="Cambria"/>
          <w:sz w:val="20"/>
          <w:szCs w:val="20"/>
          <w:lang w:val="es-UY"/>
        </w:rPr>
        <w:t xml:space="preserve"> sobre</w:t>
      </w:r>
      <w:r w:rsidR="00406675" w:rsidRPr="00B966F6">
        <w:rPr>
          <w:rFonts w:ascii="Cambria" w:hAnsi="Cambria"/>
          <w:sz w:val="20"/>
          <w:szCs w:val="20"/>
          <w:lang w:val="es-UY"/>
        </w:rPr>
        <w:t xml:space="preserve"> </w:t>
      </w:r>
      <w:r w:rsidR="00800869">
        <w:rPr>
          <w:rFonts w:ascii="Cambria" w:hAnsi="Cambria"/>
          <w:sz w:val="20"/>
          <w:szCs w:val="20"/>
          <w:lang w:val="es-UY"/>
        </w:rPr>
        <w:t>v</w:t>
      </w:r>
      <w:r w:rsidR="00406675" w:rsidRPr="00B966F6">
        <w:rPr>
          <w:rFonts w:ascii="Cambria" w:hAnsi="Cambria"/>
          <w:sz w:val="20"/>
          <w:szCs w:val="20"/>
          <w:lang w:val="es-UY"/>
        </w:rPr>
        <w:t xml:space="preserve">íctimas y </w:t>
      </w:r>
      <w:r w:rsidR="00800869">
        <w:rPr>
          <w:rFonts w:ascii="Cambria" w:hAnsi="Cambria"/>
          <w:sz w:val="20"/>
          <w:szCs w:val="20"/>
          <w:lang w:val="es-UY"/>
        </w:rPr>
        <w:t>r</w:t>
      </w:r>
      <w:r w:rsidR="00406675" w:rsidRPr="00B966F6">
        <w:rPr>
          <w:rFonts w:ascii="Cambria" w:hAnsi="Cambria"/>
          <w:sz w:val="20"/>
          <w:szCs w:val="20"/>
          <w:lang w:val="es-UY"/>
        </w:rPr>
        <w:t xml:space="preserve">estitución de </w:t>
      </w:r>
      <w:r w:rsidR="00800869">
        <w:rPr>
          <w:rFonts w:ascii="Cambria" w:hAnsi="Cambria"/>
          <w:sz w:val="20"/>
          <w:szCs w:val="20"/>
          <w:lang w:val="es-UY"/>
        </w:rPr>
        <w:t>t</w:t>
      </w:r>
      <w:r w:rsidR="00406675" w:rsidRPr="00B966F6">
        <w:rPr>
          <w:rFonts w:ascii="Cambria" w:hAnsi="Cambria"/>
          <w:sz w:val="20"/>
          <w:szCs w:val="20"/>
          <w:lang w:val="es-UY"/>
        </w:rPr>
        <w:t>ierras</w:t>
      </w:r>
      <w:r w:rsidR="00A61459">
        <w:rPr>
          <w:rFonts w:ascii="Cambria" w:hAnsi="Cambria"/>
          <w:sz w:val="20"/>
          <w:szCs w:val="20"/>
          <w:lang w:val="es-UY"/>
        </w:rPr>
        <w:t>;</w:t>
      </w:r>
      <w:r w:rsidR="00406675" w:rsidRPr="00B966F6">
        <w:rPr>
          <w:rFonts w:ascii="Cambria" w:hAnsi="Cambria"/>
          <w:sz w:val="20"/>
          <w:szCs w:val="20"/>
          <w:lang w:val="es-UY"/>
        </w:rPr>
        <w:t xml:space="preserve"> así como la de constituirse en parte civil para solicitar reparaciones dentro del proceso penal en curso.</w:t>
      </w:r>
    </w:p>
    <w:p w14:paraId="75785EF5" w14:textId="77777777" w:rsidR="00B966F6" w:rsidRDefault="00B966F6" w:rsidP="00A6145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UY"/>
        </w:rPr>
      </w:pPr>
    </w:p>
    <w:p w14:paraId="7AE7C085" w14:textId="6586CE0B" w:rsidR="00B634F5" w:rsidRPr="00B966F6" w:rsidRDefault="00B634F5" w:rsidP="00D70C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UY"/>
        </w:rPr>
      </w:pPr>
      <w:r w:rsidRPr="00B966F6">
        <w:rPr>
          <w:rFonts w:ascii="Cambria" w:hAnsi="Cambria"/>
          <w:sz w:val="20"/>
          <w:szCs w:val="20"/>
          <w:lang w:val="es-UY"/>
        </w:rPr>
        <w:t xml:space="preserve">También sostiene que el peticionario pretende convertir al </w:t>
      </w:r>
      <w:r w:rsidR="00A61459">
        <w:rPr>
          <w:rFonts w:ascii="Cambria" w:hAnsi="Cambria"/>
          <w:sz w:val="20"/>
          <w:szCs w:val="20"/>
          <w:lang w:val="es-UY"/>
        </w:rPr>
        <w:t>s</w:t>
      </w:r>
      <w:r w:rsidRPr="00B966F6">
        <w:rPr>
          <w:rFonts w:ascii="Cambria" w:hAnsi="Cambria"/>
          <w:sz w:val="20"/>
          <w:szCs w:val="20"/>
          <w:lang w:val="es-UY"/>
        </w:rPr>
        <w:t xml:space="preserve">istema </w:t>
      </w:r>
      <w:r w:rsidR="00A61459">
        <w:rPr>
          <w:rFonts w:ascii="Cambria" w:hAnsi="Cambria"/>
          <w:sz w:val="20"/>
          <w:szCs w:val="20"/>
          <w:lang w:val="es-UY"/>
        </w:rPr>
        <w:t>i</w:t>
      </w:r>
      <w:r w:rsidRPr="00B966F6">
        <w:rPr>
          <w:rFonts w:ascii="Cambria" w:hAnsi="Cambria"/>
          <w:sz w:val="20"/>
          <w:szCs w:val="20"/>
          <w:lang w:val="es-UY"/>
        </w:rPr>
        <w:t>nteramericano en una cuarta</w:t>
      </w:r>
      <w:r w:rsidR="005224F5" w:rsidRPr="00B966F6">
        <w:rPr>
          <w:rFonts w:ascii="Cambria" w:hAnsi="Cambria"/>
          <w:sz w:val="20"/>
          <w:szCs w:val="20"/>
          <w:lang w:val="es-UY"/>
        </w:rPr>
        <w:t xml:space="preserve"> instancia</w:t>
      </w:r>
      <w:r w:rsidRPr="00B966F6">
        <w:rPr>
          <w:rFonts w:ascii="Cambria" w:hAnsi="Cambria"/>
          <w:sz w:val="20"/>
          <w:szCs w:val="20"/>
          <w:lang w:val="es-UY"/>
        </w:rPr>
        <w:t xml:space="preserve"> para hacer valer su pretensión de obtene</w:t>
      </w:r>
      <w:r w:rsidR="00FD4A52" w:rsidRPr="00B966F6">
        <w:rPr>
          <w:rFonts w:ascii="Cambria" w:hAnsi="Cambria"/>
          <w:sz w:val="20"/>
          <w:szCs w:val="20"/>
          <w:lang w:val="es-UY"/>
        </w:rPr>
        <w:t>r reparaciones por la muerte de</w:t>
      </w:r>
      <w:r w:rsidR="00A61459">
        <w:rPr>
          <w:rFonts w:ascii="Cambria" w:hAnsi="Cambria"/>
          <w:sz w:val="20"/>
          <w:szCs w:val="20"/>
          <w:lang w:val="es-UY"/>
        </w:rPr>
        <w:t>l señor</w:t>
      </w:r>
      <w:r w:rsidR="00F87019" w:rsidRPr="00B966F6">
        <w:rPr>
          <w:rFonts w:ascii="Cambria" w:hAnsi="Cambria"/>
          <w:sz w:val="20"/>
          <w:szCs w:val="20"/>
          <w:lang w:val="es-UY"/>
        </w:rPr>
        <w:t xml:space="preserve"> Hernández</w:t>
      </w:r>
      <w:r w:rsidRPr="00B966F6">
        <w:rPr>
          <w:rFonts w:ascii="Cambria" w:hAnsi="Cambria"/>
          <w:sz w:val="20"/>
          <w:szCs w:val="20"/>
          <w:lang w:val="es-UY"/>
        </w:rPr>
        <w:t>, por su mera inconformidad con lo decidido por la justicia contencioso</w:t>
      </w:r>
      <w:r w:rsidR="00A61459">
        <w:rPr>
          <w:rFonts w:ascii="Cambria" w:hAnsi="Cambria"/>
          <w:sz w:val="20"/>
          <w:szCs w:val="20"/>
          <w:lang w:val="es-UY"/>
        </w:rPr>
        <w:t>-</w:t>
      </w:r>
      <w:r w:rsidRPr="00B966F6">
        <w:rPr>
          <w:rFonts w:ascii="Cambria" w:hAnsi="Cambria"/>
          <w:sz w:val="20"/>
          <w:szCs w:val="20"/>
          <w:lang w:val="es-UY"/>
        </w:rPr>
        <w:t xml:space="preserve">administrativa </w:t>
      </w:r>
      <w:r w:rsidR="00A61459">
        <w:rPr>
          <w:rFonts w:ascii="Cambria" w:hAnsi="Cambria"/>
          <w:sz w:val="20"/>
          <w:szCs w:val="20"/>
          <w:lang w:val="es-UY"/>
        </w:rPr>
        <w:t>colombiana</w:t>
      </w:r>
      <w:r w:rsidRPr="00B966F6">
        <w:rPr>
          <w:rFonts w:ascii="Cambria" w:hAnsi="Cambria"/>
          <w:sz w:val="20"/>
          <w:szCs w:val="20"/>
          <w:lang w:val="es-UY"/>
        </w:rPr>
        <w:t xml:space="preserve">. </w:t>
      </w:r>
      <w:r w:rsidR="00A61459">
        <w:rPr>
          <w:rFonts w:ascii="Cambria" w:hAnsi="Cambria"/>
          <w:sz w:val="20"/>
          <w:szCs w:val="20"/>
          <w:lang w:val="es-UY"/>
        </w:rPr>
        <w:t>El Estado d</w:t>
      </w:r>
      <w:r w:rsidR="005D13C5" w:rsidRPr="00B966F6">
        <w:rPr>
          <w:rFonts w:ascii="Cambria" w:hAnsi="Cambria"/>
          <w:sz w:val="20"/>
          <w:szCs w:val="20"/>
          <w:lang w:val="es-PA"/>
        </w:rPr>
        <w:t xml:space="preserve">estaca que las decisiones </w:t>
      </w:r>
      <w:r w:rsidR="00A61459">
        <w:rPr>
          <w:rFonts w:ascii="Cambria" w:hAnsi="Cambria"/>
          <w:sz w:val="20"/>
          <w:szCs w:val="20"/>
          <w:lang w:val="es-PA"/>
        </w:rPr>
        <w:t>de</w:t>
      </w:r>
      <w:r w:rsidR="005D13C5" w:rsidRPr="00B966F6">
        <w:rPr>
          <w:rFonts w:ascii="Cambria" w:hAnsi="Cambria"/>
          <w:sz w:val="20"/>
          <w:szCs w:val="20"/>
          <w:lang w:val="es-PA"/>
        </w:rPr>
        <w:t xml:space="preserve"> los tribunales </w:t>
      </w:r>
      <w:r w:rsidR="00A61459">
        <w:rPr>
          <w:rFonts w:ascii="Cambria" w:hAnsi="Cambria"/>
          <w:sz w:val="20"/>
          <w:szCs w:val="20"/>
          <w:lang w:val="es-PA"/>
        </w:rPr>
        <w:t xml:space="preserve">nacionales </w:t>
      </w:r>
      <w:r w:rsidR="005D13C5" w:rsidRPr="00B966F6">
        <w:rPr>
          <w:rFonts w:ascii="Cambria" w:hAnsi="Cambria"/>
          <w:sz w:val="20"/>
          <w:szCs w:val="20"/>
          <w:lang w:val="es-PA"/>
        </w:rPr>
        <w:t xml:space="preserve">en el proceso de reparación directa fueron conforme a las normas legales aplicables y a las garantías constitucionales y convencionales. Explica que en el proceso de reparación directa se acreditó el fallecimiento </w:t>
      </w:r>
      <w:r w:rsidR="00F87019" w:rsidRPr="00B966F6">
        <w:rPr>
          <w:rFonts w:ascii="Cambria" w:hAnsi="Cambria"/>
          <w:sz w:val="20"/>
          <w:szCs w:val="20"/>
          <w:lang w:val="es-PA"/>
        </w:rPr>
        <w:t>del señor Hernández</w:t>
      </w:r>
      <w:r w:rsidR="005D13C5" w:rsidRPr="00B966F6">
        <w:rPr>
          <w:rFonts w:ascii="Cambria" w:hAnsi="Cambria"/>
          <w:sz w:val="20"/>
          <w:szCs w:val="20"/>
          <w:lang w:val="es-PA"/>
        </w:rPr>
        <w:t xml:space="preserve"> como consecuencia de lesiones producidas por </w:t>
      </w:r>
      <w:r w:rsidR="00A61459">
        <w:rPr>
          <w:rFonts w:ascii="Cambria" w:hAnsi="Cambria"/>
          <w:sz w:val="20"/>
          <w:szCs w:val="20"/>
          <w:lang w:val="es-PA"/>
        </w:rPr>
        <w:t>armas de fuego</w:t>
      </w:r>
      <w:r w:rsidR="005D13C5" w:rsidRPr="00B966F6">
        <w:rPr>
          <w:rFonts w:ascii="Cambria" w:hAnsi="Cambria"/>
          <w:sz w:val="20"/>
          <w:szCs w:val="20"/>
          <w:lang w:val="es-UY"/>
        </w:rPr>
        <w:t xml:space="preserve">, mas no así el nexo de causalidad entre este hecho y la conducta de las autoridades. </w:t>
      </w:r>
      <w:r w:rsidR="00A61459">
        <w:rPr>
          <w:rFonts w:ascii="Cambria" w:hAnsi="Cambria"/>
          <w:sz w:val="20"/>
          <w:szCs w:val="20"/>
          <w:lang w:val="es-UY"/>
        </w:rPr>
        <w:t>Lo anterior se debería a que</w:t>
      </w:r>
      <w:r w:rsidR="005D13C5" w:rsidRPr="00B966F6">
        <w:rPr>
          <w:rFonts w:ascii="Cambria" w:hAnsi="Cambria"/>
          <w:sz w:val="20"/>
          <w:szCs w:val="20"/>
          <w:lang w:val="es-UY"/>
        </w:rPr>
        <w:t xml:space="preserve"> los hechos fueron </w:t>
      </w:r>
      <w:r w:rsidR="00A61459">
        <w:rPr>
          <w:rFonts w:ascii="Cambria" w:hAnsi="Cambria"/>
          <w:sz w:val="20"/>
          <w:szCs w:val="20"/>
          <w:lang w:val="es-UY"/>
        </w:rPr>
        <w:t xml:space="preserve">perpetrados </w:t>
      </w:r>
      <w:r w:rsidR="005D13C5" w:rsidRPr="00B966F6">
        <w:rPr>
          <w:rFonts w:ascii="Cambria" w:hAnsi="Cambria"/>
          <w:sz w:val="20"/>
          <w:szCs w:val="20"/>
          <w:lang w:val="es-UY"/>
        </w:rPr>
        <w:t xml:space="preserve">por un grupo al margen de la ley y </w:t>
      </w:r>
      <w:r w:rsidR="00A61459">
        <w:rPr>
          <w:rFonts w:ascii="Cambria" w:hAnsi="Cambria"/>
          <w:sz w:val="20"/>
          <w:szCs w:val="20"/>
          <w:lang w:val="es-UY"/>
        </w:rPr>
        <w:t xml:space="preserve">que </w:t>
      </w:r>
      <w:r w:rsidR="005D13C5" w:rsidRPr="00B966F6">
        <w:rPr>
          <w:rFonts w:ascii="Cambria" w:hAnsi="Cambria"/>
          <w:sz w:val="20"/>
          <w:szCs w:val="20"/>
          <w:lang w:val="es-UY"/>
        </w:rPr>
        <w:t xml:space="preserve">el </w:t>
      </w:r>
      <w:r w:rsidR="00A61459">
        <w:rPr>
          <w:rFonts w:ascii="Cambria" w:hAnsi="Cambria"/>
          <w:sz w:val="20"/>
          <w:szCs w:val="20"/>
          <w:lang w:val="es-UY"/>
        </w:rPr>
        <w:t>C</w:t>
      </w:r>
      <w:r w:rsidR="005D13C5" w:rsidRPr="00B966F6">
        <w:rPr>
          <w:rFonts w:ascii="Cambria" w:hAnsi="Cambria"/>
          <w:sz w:val="20"/>
          <w:szCs w:val="20"/>
          <w:lang w:val="es-UY"/>
        </w:rPr>
        <w:t xml:space="preserve">omandante de Policía de Vegachí informó sobre el hostigamiento que ocurrió en esas instalaciones </w:t>
      </w:r>
      <w:r w:rsidR="00A61459">
        <w:rPr>
          <w:rFonts w:ascii="Cambria" w:hAnsi="Cambria"/>
          <w:sz w:val="20"/>
          <w:szCs w:val="20"/>
          <w:lang w:val="es-UY"/>
        </w:rPr>
        <w:t>en esa fecha</w:t>
      </w:r>
      <w:r w:rsidR="005D13C5" w:rsidRPr="00B966F6">
        <w:rPr>
          <w:rFonts w:ascii="Cambria" w:hAnsi="Cambria"/>
          <w:sz w:val="20"/>
          <w:szCs w:val="20"/>
          <w:lang w:val="es-UY"/>
        </w:rPr>
        <w:t>. Agrega que el recurso de apelación</w:t>
      </w:r>
      <w:r w:rsidR="009A5FF0" w:rsidRPr="00B966F6">
        <w:rPr>
          <w:rFonts w:ascii="Cambria" w:hAnsi="Cambria"/>
          <w:sz w:val="20"/>
          <w:szCs w:val="20"/>
          <w:lang w:val="es-UY"/>
        </w:rPr>
        <w:t xml:space="preserve"> y </w:t>
      </w:r>
      <w:r w:rsidR="00A61459">
        <w:rPr>
          <w:rFonts w:ascii="Cambria" w:hAnsi="Cambria"/>
          <w:sz w:val="20"/>
          <w:szCs w:val="20"/>
          <w:lang w:val="es-UY"/>
        </w:rPr>
        <w:t xml:space="preserve">las </w:t>
      </w:r>
      <w:r w:rsidR="009A5FF0" w:rsidRPr="00B966F6">
        <w:rPr>
          <w:rFonts w:ascii="Cambria" w:hAnsi="Cambria"/>
          <w:sz w:val="20"/>
          <w:szCs w:val="20"/>
          <w:lang w:val="es-UY"/>
        </w:rPr>
        <w:t>demás impugnaciones</w:t>
      </w:r>
      <w:r w:rsidR="005D13C5" w:rsidRPr="00B966F6">
        <w:rPr>
          <w:rFonts w:ascii="Cambria" w:hAnsi="Cambria"/>
          <w:sz w:val="20"/>
          <w:szCs w:val="20"/>
          <w:lang w:val="es-UY"/>
        </w:rPr>
        <w:t xml:space="preserve"> </w:t>
      </w:r>
      <w:r w:rsidR="009A5FF0" w:rsidRPr="00B966F6">
        <w:rPr>
          <w:rFonts w:ascii="Cambria" w:hAnsi="Cambria"/>
          <w:sz w:val="20"/>
          <w:szCs w:val="20"/>
          <w:lang w:val="es-UY"/>
        </w:rPr>
        <w:t xml:space="preserve">interpuestas por la familia </w:t>
      </w:r>
      <w:r w:rsidR="00F87019" w:rsidRPr="00B966F6">
        <w:rPr>
          <w:rFonts w:ascii="Cambria" w:hAnsi="Cambria"/>
          <w:sz w:val="20"/>
          <w:szCs w:val="20"/>
          <w:lang w:val="es-UY"/>
        </w:rPr>
        <w:t>del señor Hernández</w:t>
      </w:r>
      <w:r w:rsidR="005D13C5" w:rsidRPr="00B966F6">
        <w:rPr>
          <w:rFonts w:ascii="Cambria" w:hAnsi="Cambria"/>
          <w:sz w:val="20"/>
          <w:szCs w:val="20"/>
          <w:lang w:val="es-UY"/>
        </w:rPr>
        <w:t xml:space="preserve"> fue</w:t>
      </w:r>
      <w:r w:rsidR="009A5FF0" w:rsidRPr="00B966F6">
        <w:rPr>
          <w:rFonts w:ascii="Cambria" w:hAnsi="Cambria"/>
          <w:sz w:val="20"/>
          <w:szCs w:val="20"/>
          <w:lang w:val="es-UY"/>
        </w:rPr>
        <w:t>ron rechazad</w:t>
      </w:r>
      <w:r w:rsidR="00A61459">
        <w:rPr>
          <w:rFonts w:ascii="Cambria" w:hAnsi="Cambria"/>
          <w:sz w:val="20"/>
          <w:szCs w:val="20"/>
          <w:lang w:val="es-UY"/>
        </w:rPr>
        <w:t>a</w:t>
      </w:r>
      <w:r w:rsidR="009A5FF0" w:rsidRPr="00B966F6">
        <w:rPr>
          <w:rFonts w:ascii="Cambria" w:hAnsi="Cambria"/>
          <w:sz w:val="20"/>
          <w:szCs w:val="20"/>
          <w:lang w:val="es-UY"/>
        </w:rPr>
        <w:t>s con debida motivación</w:t>
      </w:r>
      <w:r w:rsidR="005224F5" w:rsidRPr="00B966F6">
        <w:rPr>
          <w:rFonts w:ascii="Cambria" w:hAnsi="Cambria"/>
          <w:sz w:val="20"/>
          <w:szCs w:val="20"/>
          <w:lang w:val="es-UY"/>
        </w:rPr>
        <w:t>, dado</w:t>
      </w:r>
      <w:r w:rsidR="009A5FF0" w:rsidRPr="00B966F6">
        <w:rPr>
          <w:rFonts w:ascii="Cambria" w:hAnsi="Cambria"/>
          <w:sz w:val="20"/>
          <w:szCs w:val="20"/>
          <w:lang w:val="es-UY"/>
        </w:rPr>
        <w:t xml:space="preserve"> que </w:t>
      </w:r>
      <w:r w:rsidR="005D13C5" w:rsidRPr="00B966F6">
        <w:rPr>
          <w:rFonts w:ascii="Cambria" w:hAnsi="Cambria"/>
          <w:sz w:val="20"/>
          <w:szCs w:val="20"/>
          <w:lang w:val="es-UY"/>
        </w:rPr>
        <w:t xml:space="preserve">el proceso era de única instancia por razón de su cuantía según las leyes </w:t>
      </w:r>
      <w:r w:rsidR="00A61459">
        <w:rPr>
          <w:rFonts w:ascii="Cambria" w:hAnsi="Cambria"/>
          <w:sz w:val="20"/>
          <w:szCs w:val="20"/>
          <w:lang w:val="es-UY"/>
        </w:rPr>
        <w:t>vigentes</w:t>
      </w:r>
      <w:r w:rsidR="005D13C5" w:rsidRPr="00B966F6">
        <w:rPr>
          <w:rFonts w:ascii="Cambria" w:hAnsi="Cambria"/>
          <w:sz w:val="20"/>
          <w:szCs w:val="20"/>
          <w:lang w:val="es-UY"/>
        </w:rPr>
        <w:t xml:space="preserve">. </w:t>
      </w:r>
      <w:r w:rsidR="009A5FF0" w:rsidRPr="00B966F6">
        <w:rPr>
          <w:rFonts w:ascii="Cambria" w:hAnsi="Cambria"/>
          <w:sz w:val="20"/>
          <w:szCs w:val="20"/>
          <w:lang w:val="es-UY"/>
        </w:rPr>
        <w:t xml:space="preserve">También señala que las acciones constitucionales interpuestas para impugnar la denegatoria del recurso de apelación fueron rechazadas con fundamento en el principio de la cosa juzgada. </w:t>
      </w:r>
      <w:r w:rsidR="00C8540B" w:rsidRPr="00B966F6">
        <w:rPr>
          <w:rFonts w:ascii="Cambria" w:hAnsi="Cambria"/>
          <w:sz w:val="20"/>
          <w:szCs w:val="20"/>
          <w:lang w:val="es-UY"/>
        </w:rPr>
        <w:t xml:space="preserve">Por estas razones, considera que no hay </w:t>
      </w:r>
      <w:r w:rsidR="005224F5" w:rsidRPr="00B966F6">
        <w:rPr>
          <w:rFonts w:ascii="Cambria" w:hAnsi="Cambria"/>
          <w:sz w:val="20"/>
          <w:szCs w:val="20"/>
          <w:lang w:val="es-UY"/>
        </w:rPr>
        <w:t>elementos</w:t>
      </w:r>
      <w:r w:rsidR="00C8540B" w:rsidRPr="00B966F6">
        <w:rPr>
          <w:rFonts w:ascii="Cambria" w:hAnsi="Cambria"/>
          <w:sz w:val="20"/>
          <w:szCs w:val="20"/>
          <w:lang w:val="es-UY"/>
        </w:rPr>
        <w:t xml:space="preserve"> que habiliten a la C</w:t>
      </w:r>
      <w:r w:rsidR="005F4400">
        <w:rPr>
          <w:rFonts w:ascii="Cambria" w:hAnsi="Cambria"/>
          <w:sz w:val="20"/>
          <w:szCs w:val="20"/>
          <w:lang w:val="es-UY"/>
        </w:rPr>
        <w:t>IDH a</w:t>
      </w:r>
      <w:r w:rsidR="00C8540B" w:rsidRPr="00B966F6">
        <w:rPr>
          <w:rFonts w:ascii="Cambria" w:hAnsi="Cambria"/>
          <w:sz w:val="20"/>
          <w:szCs w:val="20"/>
          <w:lang w:val="es-UY"/>
        </w:rPr>
        <w:t xml:space="preserve"> examinar el fondo de las decisiones judiciales </w:t>
      </w:r>
      <w:r w:rsidR="005F4400">
        <w:rPr>
          <w:rFonts w:ascii="Cambria" w:hAnsi="Cambria"/>
          <w:sz w:val="20"/>
          <w:szCs w:val="20"/>
          <w:lang w:val="es-UY"/>
        </w:rPr>
        <w:t>internas,</w:t>
      </w:r>
      <w:r w:rsidR="00C8540B" w:rsidRPr="00B966F6">
        <w:rPr>
          <w:rFonts w:ascii="Cambria" w:hAnsi="Cambria"/>
          <w:sz w:val="20"/>
          <w:szCs w:val="20"/>
          <w:lang w:val="es-UY"/>
        </w:rPr>
        <w:t xml:space="preserve"> y que si lo hiciera vulneraría</w:t>
      </w:r>
      <w:r w:rsidR="005224F5" w:rsidRPr="00B966F6">
        <w:rPr>
          <w:rFonts w:ascii="Cambria" w:hAnsi="Cambria"/>
          <w:sz w:val="20"/>
          <w:szCs w:val="20"/>
          <w:lang w:val="es-UY"/>
        </w:rPr>
        <w:t xml:space="preserve"> los principios de subsidiaridad</w:t>
      </w:r>
      <w:r w:rsidR="00C8540B" w:rsidRPr="00B966F6">
        <w:rPr>
          <w:rFonts w:ascii="Cambria" w:hAnsi="Cambria"/>
          <w:sz w:val="20"/>
          <w:szCs w:val="20"/>
          <w:lang w:val="es-UY"/>
        </w:rPr>
        <w:t xml:space="preserve"> y de cosa juzgada. </w:t>
      </w:r>
    </w:p>
    <w:p w14:paraId="19837D00" w14:textId="77777777" w:rsidR="00B966F6" w:rsidRDefault="00B966F6" w:rsidP="005F440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UY"/>
        </w:rPr>
      </w:pPr>
    </w:p>
    <w:p w14:paraId="57C80632" w14:textId="6544EB95" w:rsidR="00406675" w:rsidRPr="00B966F6" w:rsidRDefault="005F4400" w:rsidP="00D70C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UY"/>
        </w:rPr>
      </w:pPr>
      <w:r>
        <w:rPr>
          <w:rFonts w:ascii="Cambria" w:hAnsi="Cambria"/>
          <w:sz w:val="20"/>
          <w:szCs w:val="20"/>
          <w:lang w:val="es-UY"/>
        </w:rPr>
        <w:t>El Estado a</w:t>
      </w:r>
      <w:r w:rsidR="005224F5" w:rsidRPr="00B966F6">
        <w:rPr>
          <w:rFonts w:ascii="Cambria" w:hAnsi="Cambria"/>
          <w:sz w:val="20"/>
          <w:szCs w:val="20"/>
          <w:lang w:val="es-UY"/>
        </w:rPr>
        <w:t xml:space="preserve">grega que los hechos expuestos en la petición no caracterizan </w:t>
      </w:r>
      <w:r>
        <w:rPr>
          <w:rFonts w:ascii="Cambria" w:hAnsi="Cambria"/>
          <w:sz w:val="20"/>
          <w:szCs w:val="20"/>
          <w:lang w:val="es-UY"/>
        </w:rPr>
        <w:t xml:space="preserve">posibles </w:t>
      </w:r>
      <w:r w:rsidR="005224F5" w:rsidRPr="00B966F6">
        <w:rPr>
          <w:rFonts w:ascii="Cambria" w:hAnsi="Cambria"/>
          <w:sz w:val="20"/>
          <w:szCs w:val="20"/>
          <w:lang w:val="es-UY"/>
        </w:rPr>
        <w:t xml:space="preserve">violaciones </w:t>
      </w:r>
      <w:r>
        <w:rPr>
          <w:rFonts w:ascii="Cambria" w:hAnsi="Cambria"/>
          <w:sz w:val="20"/>
          <w:szCs w:val="20"/>
          <w:lang w:val="es-UY"/>
        </w:rPr>
        <w:t>de</w:t>
      </w:r>
      <w:r w:rsidR="005224F5" w:rsidRPr="00B966F6">
        <w:rPr>
          <w:rFonts w:ascii="Cambria" w:hAnsi="Cambria"/>
          <w:sz w:val="20"/>
          <w:szCs w:val="20"/>
          <w:lang w:val="es-UY"/>
        </w:rPr>
        <w:t xml:space="preserve"> la Convención Americana en los términos de</w:t>
      </w:r>
      <w:r>
        <w:rPr>
          <w:rFonts w:ascii="Cambria" w:hAnsi="Cambria"/>
          <w:sz w:val="20"/>
          <w:szCs w:val="20"/>
          <w:lang w:val="es-UY"/>
        </w:rPr>
        <w:t xml:space="preserve"> su</w:t>
      </w:r>
      <w:r w:rsidR="00D1541A" w:rsidRPr="00B966F6">
        <w:rPr>
          <w:rFonts w:ascii="Cambria" w:hAnsi="Cambria"/>
          <w:sz w:val="20"/>
          <w:szCs w:val="20"/>
          <w:lang w:val="es-UY"/>
        </w:rPr>
        <w:t xml:space="preserve"> artículo 47. Destaca que </w:t>
      </w:r>
      <w:r>
        <w:rPr>
          <w:rFonts w:ascii="Cambria" w:hAnsi="Cambria"/>
          <w:sz w:val="20"/>
          <w:szCs w:val="20"/>
          <w:lang w:val="es-UY"/>
        </w:rPr>
        <w:t>tales</w:t>
      </w:r>
      <w:r w:rsidR="00D1541A" w:rsidRPr="00B966F6">
        <w:rPr>
          <w:rFonts w:ascii="Cambria" w:hAnsi="Cambria"/>
          <w:sz w:val="20"/>
          <w:szCs w:val="20"/>
          <w:lang w:val="es-UY"/>
        </w:rPr>
        <w:t xml:space="preserve"> hechos no </w:t>
      </w:r>
      <w:r>
        <w:rPr>
          <w:rFonts w:ascii="Cambria" w:hAnsi="Cambria"/>
          <w:sz w:val="20"/>
          <w:szCs w:val="20"/>
          <w:lang w:val="es-UY"/>
        </w:rPr>
        <w:t>le pueden ser imputados,</w:t>
      </w:r>
      <w:r w:rsidR="00D1541A" w:rsidRPr="00B966F6">
        <w:rPr>
          <w:rFonts w:ascii="Cambria" w:hAnsi="Cambria"/>
          <w:sz w:val="20"/>
          <w:szCs w:val="20"/>
          <w:lang w:val="es-UY"/>
        </w:rPr>
        <w:t xml:space="preserve"> porque fueron </w:t>
      </w:r>
      <w:r>
        <w:rPr>
          <w:rFonts w:ascii="Cambria" w:hAnsi="Cambria"/>
          <w:sz w:val="20"/>
          <w:szCs w:val="20"/>
          <w:lang w:val="es-UY"/>
        </w:rPr>
        <w:t xml:space="preserve">cometidos por </w:t>
      </w:r>
      <w:r w:rsidR="00D1541A" w:rsidRPr="00B966F6">
        <w:rPr>
          <w:rFonts w:ascii="Cambria" w:hAnsi="Cambria"/>
          <w:sz w:val="20"/>
          <w:szCs w:val="20"/>
          <w:lang w:val="es-UY"/>
        </w:rPr>
        <w:t xml:space="preserve">grupos armados ilegales que no tienen ni han tenido la calidad de agentes estatales. De igual manera, </w:t>
      </w:r>
      <w:r>
        <w:rPr>
          <w:rFonts w:ascii="Cambria" w:hAnsi="Cambria"/>
          <w:sz w:val="20"/>
          <w:szCs w:val="20"/>
          <w:lang w:val="es-UY"/>
        </w:rPr>
        <w:t xml:space="preserve">alega </w:t>
      </w:r>
      <w:r w:rsidR="00D1541A" w:rsidRPr="00B966F6">
        <w:rPr>
          <w:rFonts w:ascii="Cambria" w:hAnsi="Cambria"/>
          <w:sz w:val="20"/>
          <w:szCs w:val="20"/>
          <w:lang w:val="es-UY"/>
        </w:rPr>
        <w:t xml:space="preserve">que </w:t>
      </w:r>
      <w:r>
        <w:rPr>
          <w:rFonts w:ascii="Cambria" w:hAnsi="Cambria"/>
          <w:sz w:val="20"/>
          <w:szCs w:val="20"/>
          <w:lang w:val="es-UY"/>
        </w:rPr>
        <w:t xml:space="preserve">el </w:t>
      </w:r>
      <w:r w:rsidR="00D1541A" w:rsidRPr="00B966F6">
        <w:rPr>
          <w:rFonts w:ascii="Cambria" w:hAnsi="Cambria"/>
          <w:sz w:val="20"/>
          <w:szCs w:val="20"/>
          <w:lang w:val="es-UY"/>
        </w:rPr>
        <w:t>peticionari</w:t>
      </w:r>
      <w:r>
        <w:rPr>
          <w:rFonts w:ascii="Cambria" w:hAnsi="Cambria"/>
          <w:sz w:val="20"/>
          <w:szCs w:val="20"/>
          <w:lang w:val="es-UY"/>
        </w:rPr>
        <w:t>o</w:t>
      </w:r>
      <w:r w:rsidR="00D1541A" w:rsidRPr="00B966F6">
        <w:rPr>
          <w:rFonts w:ascii="Cambria" w:hAnsi="Cambria"/>
          <w:sz w:val="20"/>
          <w:szCs w:val="20"/>
          <w:lang w:val="es-UY"/>
        </w:rPr>
        <w:t xml:space="preserve"> no ha aportado elementos que sustenten </w:t>
      </w:r>
      <w:r w:rsidRPr="00B966F6">
        <w:rPr>
          <w:rFonts w:ascii="Cambria" w:hAnsi="Cambria"/>
          <w:sz w:val="20"/>
          <w:szCs w:val="20"/>
          <w:lang w:val="es-UY"/>
        </w:rPr>
        <w:t xml:space="preserve">la tolerancia o connivencia de agentes estatales </w:t>
      </w:r>
      <w:r>
        <w:rPr>
          <w:rFonts w:ascii="Cambria" w:hAnsi="Cambria"/>
          <w:sz w:val="20"/>
          <w:szCs w:val="20"/>
          <w:lang w:val="es-UY"/>
        </w:rPr>
        <w:t xml:space="preserve">con </w:t>
      </w:r>
      <w:r w:rsidR="00D1541A" w:rsidRPr="00B966F6">
        <w:rPr>
          <w:rFonts w:ascii="Cambria" w:hAnsi="Cambria"/>
          <w:sz w:val="20"/>
          <w:szCs w:val="20"/>
          <w:lang w:val="es-UY"/>
        </w:rPr>
        <w:t xml:space="preserve">los perpetradores. También resalta que no </w:t>
      </w:r>
      <w:r>
        <w:rPr>
          <w:rFonts w:ascii="Cambria" w:hAnsi="Cambria"/>
          <w:sz w:val="20"/>
          <w:szCs w:val="20"/>
          <w:lang w:val="es-UY"/>
        </w:rPr>
        <w:t xml:space="preserve">se </w:t>
      </w:r>
      <w:r w:rsidR="00D1541A" w:rsidRPr="00B966F6">
        <w:rPr>
          <w:rFonts w:ascii="Cambria" w:hAnsi="Cambria"/>
          <w:sz w:val="20"/>
          <w:szCs w:val="20"/>
          <w:lang w:val="es-UY"/>
        </w:rPr>
        <w:t xml:space="preserve">ha acreditado </w:t>
      </w:r>
      <w:r>
        <w:rPr>
          <w:rFonts w:ascii="Cambria" w:hAnsi="Cambria"/>
          <w:sz w:val="20"/>
          <w:szCs w:val="20"/>
          <w:lang w:val="es-UY"/>
        </w:rPr>
        <w:t>que hubiera</w:t>
      </w:r>
      <w:r w:rsidR="00D1541A" w:rsidRPr="00B966F6">
        <w:rPr>
          <w:rFonts w:ascii="Cambria" w:hAnsi="Cambria"/>
          <w:sz w:val="20"/>
          <w:szCs w:val="20"/>
          <w:lang w:val="es-UY"/>
        </w:rPr>
        <w:t xml:space="preserve"> denuncias previas a las autoridades competentes sobre la inminencia de </w:t>
      </w:r>
      <w:r>
        <w:rPr>
          <w:rFonts w:ascii="Cambria" w:hAnsi="Cambria"/>
          <w:sz w:val="20"/>
          <w:szCs w:val="20"/>
          <w:lang w:val="es-UY"/>
        </w:rPr>
        <w:t>alg</w:t>
      </w:r>
      <w:r w:rsidR="00D1541A" w:rsidRPr="00B966F6">
        <w:rPr>
          <w:rFonts w:ascii="Cambria" w:hAnsi="Cambria"/>
          <w:sz w:val="20"/>
          <w:szCs w:val="20"/>
          <w:lang w:val="es-UY"/>
        </w:rPr>
        <w:t xml:space="preserve">una incursión de grupos ilegales en el lugar de los hechos. </w:t>
      </w:r>
      <w:r w:rsidR="00B00B8E" w:rsidRPr="00B966F6">
        <w:rPr>
          <w:rFonts w:ascii="Cambria" w:hAnsi="Cambria"/>
          <w:sz w:val="20"/>
          <w:szCs w:val="20"/>
          <w:lang w:val="es-UY"/>
        </w:rPr>
        <w:t>Por esta razón</w:t>
      </w:r>
      <w:r>
        <w:rPr>
          <w:rFonts w:ascii="Cambria" w:hAnsi="Cambria"/>
          <w:sz w:val="20"/>
          <w:szCs w:val="20"/>
          <w:lang w:val="es-UY"/>
        </w:rPr>
        <w:t>,</w:t>
      </w:r>
      <w:r w:rsidR="00B00B8E" w:rsidRPr="00B966F6">
        <w:rPr>
          <w:rFonts w:ascii="Cambria" w:hAnsi="Cambria"/>
          <w:sz w:val="20"/>
          <w:szCs w:val="20"/>
          <w:lang w:val="es-UY"/>
        </w:rPr>
        <w:t xml:space="preserve"> sostiene que no hay sustento para </w:t>
      </w:r>
      <w:r>
        <w:rPr>
          <w:rFonts w:ascii="Cambria" w:hAnsi="Cambria"/>
          <w:sz w:val="20"/>
          <w:szCs w:val="20"/>
          <w:lang w:val="es-UY"/>
        </w:rPr>
        <w:t>establecer</w:t>
      </w:r>
      <w:r w:rsidR="00B00B8E" w:rsidRPr="00B966F6">
        <w:rPr>
          <w:rFonts w:ascii="Cambria" w:hAnsi="Cambria"/>
          <w:sz w:val="20"/>
          <w:szCs w:val="20"/>
          <w:lang w:val="es-UY"/>
        </w:rPr>
        <w:t xml:space="preserve"> que </w:t>
      </w:r>
      <w:r w:rsidR="00D1541A" w:rsidRPr="00B966F6">
        <w:rPr>
          <w:rFonts w:ascii="Cambria" w:hAnsi="Cambria"/>
          <w:sz w:val="20"/>
          <w:szCs w:val="20"/>
          <w:lang w:val="es-UY"/>
        </w:rPr>
        <w:t xml:space="preserve">el Estado </w:t>
      </w:r>
      <w:r>
        <w:rPr>
          <w:rFonts w:ascii="Cambria" w:hAnsi="Cambria"/>
          <w:sz w:val="20"/>
          <w:szCs w:val="20"/>
          <w:lang w:val="es-UY"/>
        </w:rPr>
        <w:t>hubiera</w:t>
      </w:r>
      <w:r w:rsidR="00D1541A" w:rsidRPr="00B966F6">
        <w:rPr>
          <w:rFonts w:ascii="Cambria" w:hAnsi="Cambria"/>
          <w:sz w:val="20"/>
          <w:szCs w:val="20"/>
          <w:lang w:val="es-UY"/>
        </w:rPr>
        <w:t xml:space="preserve"> faltado a su deber de prevención</w:t>
      </w:r>
      <w:r>
        <w:rPr>
          <w:rFonts w:ascii="Cambria" w:hAnsi="Cambria"/>
          <w:sz w:val="20"/>
          <w:szCs w:val="20"/>
          <w:lang w:val="es-UY"/>
        </w:rPr>
        <w:t xml:space="preserve">, ya que no </w:t>
      </w:r>
      <w:r w:rsidR="00D1541A" w:rsidRPr="00B966F6">
        <w:rPr>
          <w:rFonts w:ascii="Cambria" w:hAnsi="Cambria"/>
          <w:sz w:val="20"/>
          <w:szCs w:val="20"/>
          <w:lang w:val="es-UY"/>
        </w:rPr>
        <w:t>esta</w:t>
      </w:r>
      <w:r>
        <w:rPr>
          <w:rFonts w:ascii="Cambria" w:hAnsi="Cambria"/>
          <w:sz w:val="20"/>
          <w:szCs w:val="20"/>
          <w:lang w:val="es-UY"/>
        </w:rPr>
        <w:t>ba</w:t>
      </w:r>
      <w:r w:rsidR="00D1541A" w:rsidRPr="00B966F6">
        <w:rPr>
          <w:rFonts w:ascii="Cambria" w:hAnsi="Cambria"/>
          <w:sz w:val="20"/>
          <w:szCs w:val="20"/>
          <w:lang w:val="es-UY"/>
        </w:rPr>
        <w:t xml:space="preserve"> en conocimiento del riesgo </w:t>
      </w:r>
      <w:r>
        <w:rPr>
          <w:rFonts w:ascii="Cambria" w:hAnsi="Cambria"/>
          <w:sz w:val="20"/>
          <w:szCs w:val="20"/>
          <w:lang w:val="es-UY"/>
        </w:rPr>
        <w:t xml:space="preserve">ni tenía </w:t>
      </w:r>
      <w:r w:rsidR="00D1541A" w:rsidRPr="00B966F6">
        <w:rPr>
          <w:rFonts w:ascii="Cambria" w:hAnsi="Cambria"/>
          <w:sz w:val="20"/>
          <w:szCs w:val="20"/>
          <w:lang w:val="es-UY"/>
        </w:rPr>
        <w:t>la p</w:t>
      </w:r>
      <w:r>
        <w:rPr>
          <w:rFonts w:ascii="Cambria" w:hAnsi="Cambria"/>
          <w:sz w:val="20"/>
          <w:szCs w:val="20"/>
          <w:lang w:val="es-UY"/>
        </w:rPr>
        <w:t xml:space="preserve">osibilidad </w:t>
      </w:r>
      <w:r w:rsidR="00D1541A" w:rsidRPr="00B966F6">
        <w:rPr>
          <w:rFonts w:ascii="Cambria" w:hAnsi="Cambria"/>
          <w:sz w:val="20"/>
          <w:szCs w:val="20"/>
          <w:lang w:val="es-UY"/>
        </w:rPr>
        <w:t>de evitarlo.</w:t>
      </w:r>
      <w:r w:rsidR="005E5F78" w:rsidRPr="00B966F6">
        <w:rPr>
          <w:rFonts w:ascii="Cambria" w:hAnsi="Cambria"/>
          <w:sz w:val="20"/>
          <w:szCs w:val="20"/>
          <w:lang w:val="es-UY"/>
        </w:rPr>
        <w:tab/>
      </w:r>
      <w:r w:rsidR="00D1541A" w:rsidRPr="00B966F6">
        <w:rPr>
          <w:rFonts w:ascii="Cambria" w:hAnsi="Cambria"/>
          <w:sz w:val="20"/>
          <w:szCs w:val="20"/>
          <w:lang w:val="es-UY"/>
        </w:rPr>
        <w:t xml:space="preserve"> </w:t>
      </w:r>
    </w:p>
    <w:p w14:paraId="33E7B70C" w14:textId="77777777" w:rsidR="00B966F6" w:rsidRDefault="00B966F6" w:rsidP="005F440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UY"/>
        </w:rPr>
      </w:pPr>
    </w:p>
    <w:p w14:paraId="6CBA6EB4" w14:textId="3EE4D7B2" w:rsidR="00DA13A2" w:rsidRPr="00B966F6" w:rsidRDefault="00FD4A52" w:rsidP="00D70C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UY"/>
        </w:rPr>
      </w:pPr>
      <w:r w:rsidRPr="00B966F6">
        <w:rPr>
          <w:rFonts w:ascii="Cambria" w:hAnsi="Cambria"/>
          <w:sz w:val="20"/>
          <w:szCs w:val="20"/>
          <w:lang w:val="es-UY"/>
        </w:rPr>
        <w:t>Indica además que la C</w:t>
      </w:r>
      <w:r w:rsidR="005F4400">
        <w:rPr>
          <w:rFonts w:ascii="Cambria" w:hAnsi="Cambria"/>
          <w:sz w:val="20"/>
          <w:szCs w:val="20"/>
          <w:lang w:val="es-UY"/>
        </w:rPr>
        <w:t>IDH</w:t>
      </w:r>
      <w:r w:rsidRPr="00B966F6">
        <w:rPr>
          <w:rFonts w:ascii="Cambria" w:hAnsi="Cambria"/>
          <w:sz w:val="20"/>
          <w:szCs w:val="20"/>
          <w:lang w:val="es-UY"/>
        </w:rPr>
        <w:t xml:space="preserve"> carece de competencia </w:t>
      </w:r>
      <w:r w:rsidRPr="00B966F6">
        <w:rPr>
          <w:rFonts w:ascii="Cambria" w:hAnsi="Cambria"/>
          <w:i/>
          <w:sz w:val="20"/>
          <w:szCs w:val="20"/>
          <w:lang w:val="es-UY"/>
        </w:rPr>
        <w:t>ratione materiae</w:t>
      </w:r>
      <w:r w:rsidRPr="00B966F6">
        <w:rPr>
          <w:rFonts w:ascii="Cambria" w:hAnsi="Cambria"/>
          <w:sz w:val="20"/>
          <w:szCs w:val="20"/>
          <w:lang w:val="es-UY"/>
        </w:rPr>
        <w:t xml:space="preserve"> para pronunciarse sobre posibles violaciones </w:t>
      </w:r>
      <w:r w:rsidR="005F4400">
        <w:rPr>
          <w:rFonts w:ascii="Cambria" w:hAnsi="Cambria"/>
          <w:sz w:val="20"/>
          <w:szCs w:val="20"/>
          <w:lang w:val="es-UY"/>
        </w:rPr>
        <w:t>de</w:t>
      </w:r>
      <w:r w:rsidRPr="00B966F6">
        <w:rPr>
          <w:rFonts w:ascii="Cambria" w:hAnsi="Cambria"/>
          <w:sz w:val="20"/>
          <w:szCs w:val="20"/>
          <w:lang w:val="es-UY"/>
        </w:rPr>
        <w:t xml:space="preserve"> la Declaración Americana por parte de Colomb</w:t>
      </w:r>
      <w:r w:rsidR="00803A03" w:rsidRPr="00B966F6">
        <w:rPr>
          <w:rFonts w:ascii="Cambria" w:hAnsi="Cambria"/>
          <w:sz w:val="20"/>
          <w:szCs w:val="20"/>
          <w:lang w:val="es-UY"/>
        </w:rPr>
        <w:t>ia</w:t>
      </w:r>
      <w:r w:rsidR="005F4400">
        <w:rPr>
          <w:rFonts w:ascii="Cambria" w:hAnsi="Cambria"/>
          <w:sz w:val="20"/>
          <w:szCs w:val="20"/>
          <w:lang w:val="es-UY"/>
        </w:rPr>
        <w:t>, ya que</w:t>
      </w:r>
      <w:r w:rsidR="00803A03" w:rsidRPr="00B966F6">
        <w:rPr>
          <w:rFonts w:ascii="Cambria" w:hAnsi="Cambria"/>
          <w:sz w:val="20"/>
          <w:szCs w:val="20"/>
          <w:lang w:val="es-UY"/>
        </w:rPr>
        <w:t xml:space="preserve"> ha ratificado la Convención Americana</w:t>
      </w:r>
      <w:r w:rsidR="005F4400">
        <w:rPr>
          <w:rFonts w:ascii="Cambria" w:hAnsi="Cambria"/>
          <w:sz w:val="20"/>
          <w:szCs w:val="20"/>
          <w:lang w:val="es-UY"/>
        </w:rPr>
        <w:t xml:space="preserve"> y por lo tanto esta es</w:t>
      </w:r>
      <w:r w:rsidR="00803A03" w:rsidRPr="00B966F6">
        <w:rPr>
          <w:rFonts w:ascii="Cambria" w:hAnsi="Cambria"/>
          <w:sz w:val="20"/>
          <w:szCs w:val="20"/>
          <w:lang w:val="es-UY"/>
        </w:rPr>
        <w:t xml:space="preserve"> la única fuente de derecho aplicable. </w:t>
      </w:r>
    </w:p>
    <w:p w14:paraId="780BD396" w14:textId="77777777" w:rsidR="00B966F6" w:rsidRDefault="00B966F6" w:rsidP="00B966F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eastAsia="Cambria" w:hAnsi="Cambria" w:cs="Cambria"/>
          <w:b/>
          <w:bCs/>
          <w:color w:val="000000"/>
          <w:sz w:val="20"/>
          <w:szCs w:val="20"/>
          <w:u w:color="000000"/>
          <w:lang w:val="es-ES" w:eastAsia="es-ES"/>
        </w:rPr>
      </w:pPr>
    </w:p>
    <w:p w14:paraId="6F4D4171" w14:textId="5B6620F9" w:rsidR="003239B8" w:rsidRPr="00B966F6" w:rsidRDefault="003239B8" w:rsidP="00B966F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UY"/>
        </w:rPr>
      </w:pPr>
      <w:r w:rsidRPr="00B966F6">
        <w:rPr>
          <w:rFonts w:ascii="Cambria" w:eastAsia="Cambria" w:hAnsi="Cambria" w:cs="Cambria"/>
          <w:b/>
          <w:bCs/>
          <w:color w:val="000000"/>
          <w:sz w:val="20"/>
          <w:szCs w:val="20"/>
          <w:u w:color="000000"/>
          <w:lang w:val="es-ES" w:eastAsia="es-ES"/>
        </w:rPr>
        <w:t>VI.</w:t>
      </w:r>
      <w:r w:rsidRPr="00B966F6">
        <w:rPr>
          <w:rFonts w:ascii="Cambria" w:eastAsia="Cambria" w:hAnsi="Cambria" w:cs="Cambria"/>
          <w:b/>
          <w:bCs/>
          <w:color w:val="000000"/>
          <w:sz w:val="20"/>
          <w:szCs w:val="20"/>
          <w:u w:color="000000"/>
          <w:lang w:val="es-ES" w:eastAsia="es-ES"/>
        </w:rPr>
        <w:tab/>
      </w:r>
      <w:r w:rsidR="004A6A54" w:rsidRPr="00B966F6">
        <w:rPr>
          <w:rFonts w:ascii="Cambria" w:hAnsi="Cambria"/>
          <w:b/>
          <w:bCs/>
          <w:sz w:val="20"/>
          <w:szCs w:val="20"/>
          <w:lang w:val="es-ES_tradnl"/>
        </w:rPr>
        <w:t xml:space="preserve">ANÁLISIS DE </w:t>
      </w:r>
      <w:r w:rsidR="00C21FEF" w:rsidRPr="00B966F6">
        <w:rPr>
          <w:rFonts w:ascii="Cambria" w:hAnsi="Cambria"/>
          <w:b/>
          <w:sz w:val="20"/>
          <w:szCs w:val="20"/>
          <w:lang w:val="es-ES"/>
        </w:rPr>
        <w:t>AGOTAMIENTO DE LOS RECURSOS INTERNOS Y PLAZO DE PRESENTACIÓN</w:t>
      </w:r>
      <w:r w:rsidR="00C21FEF" w:rsidRPr="00B966F6">
        <w:rPr>
          <w:rFonts w:ascii="Cambria" w:eastAsia="Cambria" w:hAnsi="Cambria" w:cs="Cambria"/>
          <w:b/>
          <w:bCs/>
          <w:color w:val="000000"/>
          <w:sz w:val="20"/>
          <w:szCs w:val="20"/>
          <w:u w:color="000000"/>
          <w:lang w:val="es-ES" w:eastAsia="es-ES"/>
        </w:rPr>
        <w:t xml:space="preserve"> </w:t>
      </w:r>
    </w:p>
    <w:p w14:paraId="203FC924" w14:textId="77777777" w:rsidR="00B966F6" w:rsidRPr="00B966F6" w:rsidRDefault="00B966F6" w:rsidP="00B966F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cs="Calibri"/>
          <w:sz w:val="20"/>
          <w:szCs w:val="20"/>
          <w:lang w:val="es-ES_tradnl"/>
        </w:rPr>
      </w:pPr>
    </w:p>
    <w:p w14:paraId="56ED154D" w14:textId="77ED606A" w:rsidR="00B767C7" w:rsidRPr="00B966F6" w:rsidRDefault="005F4400" w:rsidP="00D70C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s="Calibri"/>
          <w:sz w:val="20"/>
          <w:szCs w:val="20"/>
          <w:lang w:val="es-ES_tradnl"/>
        </w:rPr>
      </w:pPr>
      <w:r>
        <w:rPr>
          <w:rFonts w:ascii="Cambria" w:hAnsi="Cambria"/>
          <w:sz w:val="20"/>
          <w:szCs w:val="20"/>
          <w:lang w:val="es-ES"/>
        </w:rPr>
        <w:t xml:space="preserve">El </w:t>
      </w:r>
      <w:r w:rsidR="00F43D1D" w:rsidRPr="00B966F6">
        <w:rPr>
          <w:rFonts w:ascii="Cambria" w:hAnsi="Cambria"/>
          <w:sz w:val="20"/>
          <w:szCs w:val="20"/>
          <w:lang w:val="es-ES"/>
        </w:rPr>
        <w:t xml:space="preserve">peticionario </w:t>
      </w:r>
      <w:r>
        <w:rPr>
          <w:rFonts w:ascii="Cambria" w:hAnsi="Cambria"/>
          <w:sz w:val="20"/>
          <w:szCs w:val="20"/>
          <w:lang w:val="es-ES"/>
        </w:rPr>
        <w:t xml:space="preserve">sostiene </w:t>
      </w:r>
      <w:r w:rsidR="00803A03" w:rsidRPr="00B966F6">
        <w:rPr>
          <w:rFonts w:ascii="Cambria" w:hAnsi="Cambria"/>
          <w:sz w:val="20"/>
          <w:szCs w:val="20"/>
          <w:lang w:val="es-ES"/>
        </w:rPr>
        <w:t xml:space="preserve">que la excepción al agotamiento de los recursos internos contemplada en el artículo 46.2(c) de la Convención Americana resulta aplicable al proceso penal </w:t>
      </w:r>
      <w:r w:rsidR="00B36D98">
        <w:rPr>
          <w:rFonts w:ascii="Cambria" w:hAnsi="Cambria"/>
          <w:sz w:val="20"/>
          <w:szCs w:val="20"/>
          <w:lang w:val="es-ES"/>
        </w:rPr>
        <w:t>en curso</w:t>
      </w:r>
      <w:r w:rsidR="00F43D1D" w:rsidRPr="00B966F6">
        <w:rPr>
          <w:rFonts w:ascii="Cambria" w:hAnsi="Cambria"/>
          <w:sz w:val="20"/>
          <w:szCs w:val="20"/>
          <w:lang w:val="es-ES"/>
        </w:rPr>
        <w:t xml:space="preserve"> </w:t>
      </w:r>
      <w:r w:rsidR="00B36D98">
        <w:rPr>
          <w:rFonts w:ascii="Cambria" w:hAnsi="Cambria"/>
          <w:sz w:val="20"/>
          <w:szCs w:val="20"/>
          <w:lang w:val="es-ES"/>
        </w:rPr>
        <w:t xml:space="preserve">por </w:t>
      </w:r>
      <w:r w:rsidR="00803A03" w:rsidRPr="00B966F6">
        <w:rPr>
          <w:rFonts w:ascii="Cambria" w:hAnsi="Cambria"/>
          <w:sz w:val="20"/>
          <w:szCs w:val="20"/>
          <w:lang w:val="es-ES"/>
        </w:rPr>
        <w:t>l</w:t>
      </w:r>
      <w:r w:rsidR="00F43D1D" w:rsidRPr="00B966F6">
        <w:rPr>
          <w:rFonts w:ascii="Cambria" w:hAnsi="Cambria"/>
          <w:sz w:val="20"/>
          <w:szCs w:val="20"/>
          <w:lang w:val="es-ES"/>
        </w:rPr>
        <w:t>os hechos del 28 de febrero de 1997</w:t>
      </w:r>
      <w:r w:rsidR="00B36D98">
        <w:rPr>
          <w:rFonts w:ascii="Cambria" w:hAnsi="Cambria"/>
          <w:sz w:val="20"/>
          <w:szCs w:val="20"/>
          <w:lang w:val="es-ES"/>
        </w:rPr>
        <w:t>;</w:t>
      </w:r>
      <w:r w:rsidR="00F43D1D" w:rsidRPr="00B966F6">
        <w:rPr>
          <w:rFonts w:ascii="Cambria" w:hAnsi="Cambria"/>
          <w:sz w:val="20"/>
          <w:szCs w:val="20"/>
          <w:lang w:val="es-ES"/>
        </w:rPr>
        <w:t xml:space="preserve"> </w:t>
      </w:r>
      <w:r w:rsidR="00B36D98">
        <w:rPr>
          <w:rFonts w:ascii="Cambria" w:hAnsi="Cambria"/>
          <w:sz w:val="20"/>
          <w:szCs w:val="20"/>
          <w:lang w:val="es-ES"/>
        </w:rPr>
        <w:t xml:space="preserve">y </w:t>
      </w:r>
      <w:r w:rsidR="00F43D1D" w:rsidRPr="00B966F6">
        <w:rPr>
          <w:rFonts w:ascii="Cambria" w:hAnsi="Cambria"/>
          <w:sz w:val="20"/>
          <w:szCs w:val="20"/>
          <w:lang w:val="es-ES"/>
        </w:rPr>
        <w:t xml:space="preserve">que la excepción </w:t>
      </w:r>
      <w:r w:rsidR="00B36D98">
        <w:rPr>
          <w:rFonts w:ascii="Cambria" w:hAnsi="Cambria"/>
          <w:sz w:val="20"/>
          <w:szCs w:val="20"/>
          <w:lang w:val="es-ES"/>
        </w:rPr>
        <w:t>d</w:t>
      </w:r>
      <w:r w:rsidR="00F43D1D" w:rsidRPr="00B966F6">
        <w:rPr>
          <w:rFonts w:ascii="Cambria" w:hAnsi="Cambria"/>
          <w:sz w:val="20"/>
          <w:szCs w:val="20"/>
          <w:lang w:val="es-ES"/>
        </w:rPr>
        <w:t xml:space="preserve">el artículo 46.2(b) justifica </w:t>
      </w:r>
      <w:r w:rsidR="00B36D98">
        <w:rPr>
          <w:rFonts w:ascii="Cambria" w:hAnsi="Cambria"/>
          <w:sz w:val="20"/>
          <w:szCs w:val="20"/>
          <w:lang w:val="es-ES"/>
        </w:rPr>
        <w:t>la falta de</w:t>
      </w:r>
      <w:r w:rsidR="00F43D1D" w:rsidRPr="00B966F6">
        <w:rPr>
          <w:rFonts w:ascii="Cambria" w:hAnsi="Cambria"/>
          <w:sz w:val="20"/>
          <w:szCs w:val="20"/>
          <w:lang w:val="es-ES"/>
        </w:rPr>
        <w:t xml:space="preserve"> agotamiento de la acción de reparación directa por parte las familias de las </w:t>
      </w:r>
      <w:r w:rsidR="00B36D98">
        <w:rPr>
          <w:rFonts w:ascii="Cambria" w:hAnsi="Cambria"/>
          <w:sz w:val="20"/>
          <w:szCs w:val="20"/>
          <w:lang w:val="es-ES"/>
        </w:rPr>
        <w:t xml:space="preserve">otras </w:t>
      </w:r>
      <w:r w:rsidR="00CB0013">
        <w:rPr>
          <w:rFonts w:ascii="Cambria" w:hAnsi="Cambria"/>
          <w:sz w:val="20"/>
          <w:szCs w:val="20"/>
          <w:lang w:val="es-ES"/>
        </w:rPr>
        <w:t>8</w:t>
      </w:r>
      <w:r w:rsidR="00B36D98">
        <w:rPr>
          <w:rFonts w:ascii="Cambria" w:hAnsi="Cambria"/>
          <w:sz w:val="20"/>
          <w:szCs w:val="20"/>
          <w:lang w:val="es-ES"/>
        </w:rPr>
        <w:t xml:space="preserve"> </w:t>
      </w:r>
      <w:r w:rsidR="00F43D1D" w:rsidRPr="00B966F6">
        <w:rPr>
          <w:rFonts w:ascii="Cambria" w:hAnsi="Cambria"/>
          <w:sz w:val="20"/>
          <w:szCs w:val="20"/>
          <w:lang w:val="es-ES"/>
        </w:rPr>
        <w:t>presuntas víctimas. A su vez, el Estado ha indicado que la petición no cumple con el requisito de agotamiento de los recursos internos porque el proceso penal n</w:t>
      </w:r>
      <w:r w:rsidR="00A65011" w:rsidRPr="00B966F6">
        <w:rPr>
          <w:rFonts w:ascii="Cambria" w:hAnsi="Cambria"/>
          <w:sz w:val="20"/>
          <w:szCs w:val="20"/>
          <w:lang w:val="es-ES"/>
        </w:rPr>
        <w:t xml:space="preserve">o ha concluido. </w:t>
      </w:r>
      <w:r w:rsidR="00B36D98">
        <w:rPr>
          <w:rFonts w:ascii="Cambria" w:hAnsi="Cambria"/>
          <w:sz w:val="20"/>
          <w:szCs w:val="20"/>
          <w:lang w:val="es-ES"/>
        </w:rPr>
        <w:t>Señala a</w:t>
      </w:r>
      <w:r w:rsidR="00A65011" w:rsidRPr="00B966F6">
        <w:rPr>
          <w:rFonts w:ascii="Cambria" w:hAnsi="Cambria"/>
          <w:sz w:val="20"/>
          <w:szCs w:val="20"/>
          <w:lang w:val="es-ES"/>
        </w:rPr>
        <w:t xml:space="preserve">dicionalmente que la petición </w:t>
      </w:r>
      <w:r w:rsidR="00B36D98">
        <w:rPr>
          <w:rFonts w:ascii="Cambria" w:hAnsi="Cambria"/>
          <w:sz w:val="20"/>
          <w:szCs w:val="20"/>
          <w:lang w:val="es-ES"/>
        </w:rPr>
        <w:t xml:space="preserve">es </w:t>
      </w:r>
      <w:r w:rsidR="00A65011" w:rsidRPr="00B966F6">
        <w:rPr>
          <w:rFonts w:ascii="Cambria" w:hAnsi="Cambria"/>
          <w:sz w:val="20"/>
          <w:szCs w:val="20"/>
          <w:lang w:val="es-ES"/>
        </w:rPr>
        <w:t xml:space="preserve">parcialmente inadmisible en cuanto a la pretensión de reparación por las muertes de las </w:t>
      </w:r>
      <w:r w:rsidR="00CB0013">
        <w:rPr>
          <w:rFonts w:ascii="Cambria" w:hAnsi="Cambria"/>
          <w:sz w:val="20"/>
          <w:szCs w:val="20"/>
          <w:lang w:val="es-ES"/>
        </w:rPr>
        <w:t>8</w:t>
      </w:r>
      <w:r w:rsidR="00B36D98">
        <w:rPr>
          <w:rFonts w:ascii="Cambria" w:hAnsi="Cambria"/>
          <w:sz w:val="20"/>
          <w:szCs w:val="20"/>
          <w:lang w:val="es-ES"/>
        </w:rPr>
        <w:t xml:space="preserve"> </w:t>
      </w:r>
      <w:r w:rsidR="00A65011" w:rsidRPr="00B966F6">
        <w:rPr>
          <w:rFonts w:ascii="Cambria" w:hAnsi="Cambria"/>
          <w:sz w:val="20"/>
          <w:szCs w:val="20"/>
          <w:lang w:val="es-ES"/>
        </w:rPr>
        <w:t>presuntas víctimas</w:t>
      </w:r>
      <w:r w:rsidR="00F43D1D" w:rsidRPr="00B966F6">
        <w:rPr>
          <w:rFonts w:ascii="Cambria" w:hAnsi="Cambria"/>
          <w:sz w:val="20"/>
          <w:szCs w:val="20"/>
          <w:lang w:val="es-ES"/>
        </w:rPr>
        <w:t xml:space="preserve"> </w:t>
      </w:r>
      <w:r w:rsidR="00B36D98">
        <w:rPr>
          <w:rFonts w:ascii="Cambria" w:hAnsi="Cambria"/>
          <w:sz w:val="20"/>
          <w:szCs w:val="20"/>
          <w:lang w:val="es-ES"/>
        </w:rPr>
        <w:t>cuyas</w:t>
      </w:r>
      <w:r w:rsidR="00F43D1D" w:rsidRPr="00B966F6">
        <w:rPr>
          <w:rFonts w:ascii="Cambria" w:hAnsi="Cambria"/>
          <w:sz w:val="20"/>
          <w:szCs w:val="20"/>
          <w:lang w:val="es-ES"/>
        </w:rPr>
        <w:t xml:space="preserve"> familias no han agotado los recursos a su disposición para solicitar reparación por </w:t>
      </w:r>
      <w:r w:rsidR="00B36D98">
        <w:rPr>
          <w:rFonts w:ascii="Cambria" w:hAnsi="Cambria"/>
          <w:sz w:val="20"/>
          <w:szCs w:val="20"/>
          <w:lang w:val="es-ES"/>
        </w:rPr>
        <w:t>tales hechos</w:t>
      </w:r>
      <w:r w:rsidR="00F43D1D" w:rsidRPr="00B966F6">
        <w:rPr>
          <w:rFonts w:ascii="Cambria" w:hAnsi="Cambria"/>
          <w:sz w:val="20"/>
          <w:szCs w:val="20"/>
          <w:lang w:val="es-ES"/>
        </w:rPr>
        <w:t xml:space="preserve">. </w:t>
      </w:r>
    </w:p>
    <w:p w14:paraId="4F524D3D" w14:textId="236A00BE" w:rsidR="00B36D98" w:rsidRDefault="00B36D98">
      <w:pPr>
        <w:rPr>
          <w:rFonts w:ascii="Cambria" w:hAnsi="Cambria" w:cs="Calibri"/>
          <w:sz w:val="20"/>
          <w:szCs w:val="20"/>
          <w:lang w:val="es-ES_tradnl"/>
        </w:rPr>
      </w:pPr>
      <w:r>
        <w:rPr>
          <w:rFonts w:ascii="Cambria" w:hAnsi="Cambria" w:cs="Calibri"/>
          <w:sz w:val="20"/>
          <w:szCs w:val="20"/>
          <w:lang w:val="es-ES_tradnl"/>
        </w:rPr>
        <w:br w:type="page"/>
      </w:r>
    </w:p>
    <w:p w14:paraId="4E0BE9F3" w14:textId="2DA4ABBE" w:rsidR="000B6028" w:rsidRPr="00B966F6" w:rsidRDefault="00B36D98" w:rsidP="00D70C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s="Calibri"/>
          <w:sz w:val="20"/>
          <w:szCs w:val="20"/>
          <w:lang w:val="es-ES_tradnl"/>
        </w:rPr>
      </w:pPr>
      <w:r>
        <w:rPr>
          <w:rFonts w:ascii="Cambria" w:hAnsi="Cambria" w:cs="Calibri"/>
          <w:sz w:val="20"/>
          <w:szCs w:val="20"/>
          <w:lang w:val="es-ES_tradnl"/>
        </w:rPr>
        <w:lastRenderedPageBreak/>
        <w:t>La CIDH ha</w:t>
      </w:r>
      <w:r w:rsidR="005253C4" w:rsidRPr="00B966F6">
        <w:rPr>
          <w:rFonts w:ascii="Cambria" w:hAnsi="Cambria" w:cs="Calibri"/>
          <w:sz w:val="20"/>
          <w:szCs w:val="20"/>
          <w:lang w:val="es-ES_tradnl"/>
        </w:rPr>
        <w:t xml:space="preserve"> sostenido </w:t>
      </w:r>
      <w:r>
        <w:rPr>
          <w:rFonts w:ascii="Cambria" w:hAnsi="Cambria" w:cs="Calibri"/>
          <w:sz w:val="20"/>
          <w:szCs w:val="20"/>
          <w:lang w:val="es-ES_tradnl"/>
        </w:rPr>
        <w:t xml:space="preserve">anteriormente </w:t>
      </w:r>
      <w:r w:rsidR="005253C4" w:rsidRPr="00B966F6">
        <w:rPr>
          <w:rFonts w:ascii="Cambria" w:hAnsi="Cambria" w:cs="Calibri"/>
          <w:sz w:val="20"/>
          <w:szCs w:val="20"/>
          <w:lang w:val="es-ES_tradnl"/>
        </w:rPr>
        <w:t xml:space="preserve">en situaciones </w:t>
      </w:r>
      <w:r>
        <w:rPr>
          <w:rFonts w:ascii="Cambria" w:hAnsi="Cambria" w:cs="Calibri"/>
          <w:sz w:val="20"/>
          <w:szCs w:val="20"/>
          <w:lang w:val="es-ES_tradnl"/>
        </w:rPr>
        <w:t xml:space="preserve">análogas a la </w:t>
      </w:r>
      <w:r w:rsidR="005253C4" w:rsidRPr="00B966F6">
        <w:rPr>
          <w:rFonts w:ascii="Cambria" w:hAnsi="Cambria" w:cs="Calibri"/>
          <w:sz w:val="20"/>
          <w:szCs w:val="20"/>
          <w:lang w:val="es-ES_tradnl"/>
        </w:rPr>
        <w:t xml:space="preserve">presente </w:t>
      </w:r>
      <w:r w:rsidR="005253C4" w:rsidRPr="00B966F6">
        <w:rPr>
          <w:rFonts w:ascii="Cambria" w:hAnsi="Cambria"/>
          <w:sz w:val="20"/>
          <w:szCs w:val="20"/>
          <w:lang w:val="es-ES"/>
        </w:rPr>
        <w:t xml:space="preserve">que </w:t>
      </w:r>
      <w:r>
        <w:rPr>
          <w:rFonts w:ascii="Cambria" w:hAnsi="Cambria"/>
          <w:sz w:val="20"/>
          <w:szCs w:val="20"/>
          <w:lang w:val="es-ES"/>
        </w:rPr>
        <w:t>se refieren a</w:t>
      </w:r>
      <w:r w:rsidR="005253C4" w:rsidRPr="00B966F6">
        <w:rPr>
          <w:rFonts w:ascii="Cambria" w:hAnsi="Cambria"/>
          <w:sz w:val="20"/>
          <w:szCs w:val="20"/>
          <w:lang w:val="es-ES"/>
        </w:rPr>
        <w:t xml:space="preserve"> delitos contra la vida e integridad, </w:t>
      </w:r>
      <w:r>
        <w:rPr>
          <w:rFonts w:ascii="Cambria" w:hAnsi="Cambria"/>
          <w:sz w:val="20"/>
          <w:szCs w:val="20"/>
          <w:lang w:val="es-ES"/>
        </w:rPr>
        <w:t xml:space="preserve">que </w:t>
      </w:r>
      <w:r w:rsidR="005253C4" w:rsidRPr="00B966F6">
        <w:rPr>
          <w:rFonts w:ascii="Cambria" w:hAnsi="Cambria"/>
          <w:sz w:val="20"/>
          <w:szCs w:val="20"/>
          <w:lang w:val="es-ES"/>
        </w:rPr>
        <w:t>los recursos internos que deben tomarse en cuenta a efectos de la admisibilidad son los relacionados con la investigación penal y sanción de los responsables</w:t>
      </w:r>
      <w:r w:rsidRPr="00B966F6">
        <w:rPr>
          <w:rStyle w:val="FootnoteReference"/>
          <w:rFonts w:ascii="Cambria" w:hAnsi="Cambria" w:cs="Calibri"/>
          <w:sz w:val="20"/>
          <w:szCs w:val="20"/>
        </w:rPr>
        <w:footnoteReference w:id="8"/>
      </w:r>
      <w:r w:rsidR="005253C4" w:rsidRPr="00B966F6">
        <w:rPr>
          <w:rFonts w:ascii="Cambria" w:hAnsi="Cambria"/>
          <w:sz w:val="20"/>
          <w:szCs w:val="20"/>
          <w:lang w:val="es-ES"/>
        </w:rPr>
        <w:t>.</w:t>
      </w:r>
      <w:r w:rsidR="008E1315" w:rsidRPr="00B966F6">
        <w:rPr>
          <w:rFonts w:ascii="Cambria" w:hAnsi="Cambria"/>
          <w:sz w:val="20"/>
          <w:szCs w:val="20"/>
          <w:lang w:val="es-ES"/>
        </w:rPr>
        <w:t xml:space="preserve"> </w:t>
      </w:r>
      <w:r w:rsidR="008E1315" w:rsidRPr="00B966F6">
        <w:rPr>
          <w:rFonts w:ascii="Cambria" w:hAnsi="Cambria"/>
          <w:bCs/>
          <w:sz w:val="20"/>
          <w:szCs w:val="20"/>
          <w:lang w:val="es-ES"/>
        </w:rPr>
        <w:t xml:space="preserve">Por </w:t>
      </w:r>
      <w:r>
        <w:rPr>
          <w:rFonts w:ascii="Cambria" w:hAnsi="Cambria"/>
          <w:bCs/>
          <w:sz w:val="20"/>
          <w:szCs w:val="20"/>
          <w:lang w:val="es-ES"/>
        </w:rPr>
        <w:t>tal motivo</w:t>
      </w:r>
      <w:r w:rsidR="008E1315" w:rsidRPr="00B966F6">
        <w:rPr>
          <w:rFonts w:ascii="Cambria" w:hAnsi="Cambria"/>
          <w:bCs/>
          <w:sz w:val="20"/>
          <w:szCs w:val="20"/>
          <w:lang w:val="es-ES"/>
        </w:rPr>
        <w:t xml:space="preserve">, </w:t>
      </w:r>
      <w:r>
        <w:rPr>
          <w:rFonts w:ascii="Cambria" w:hAnsi="Cambria"/>
          <w:bCs/>
          <w:sz w:val="20"/>
          <w:szCs w:val="20"/>
          <w:lang w:val="es-ES"/>
        </w:rPr>
        <w:t>pa</w:t>
      </w:r>
      <w:r w:rsidR="008E1315" w:rsidRPr="00B966F6">
        <w:rPr>
          <w:rFonts w:ascii="Cambria" w:hAnsi="Cambria"/>
          <w:bCs/>
          <w:sz w:val="20"/>
          <w:szCs w:val="20"/>
          <w:lang w:val="es-ES"/>
        </w:rPr>
        <w:t xml:space="preserve">ra evaluar si la presente petición cumple con los requisitos </w:t>
      </w:r>
      <w:r>
        <w:rPr>
          <w:rFonts w:ascii="Cambria" w:hAnsi="Cambria"/>
          <w:bCs/>
          <w:sz w:val="20"/>
          <w:szCs w:val="20"/>
          <w:lang w:val="es-ES"/>
        </w:rPr>
        <w:t xml:space="preserve">previstos en el artículo 46 de la Convención Americana, </w:t>
      </w:r>
      <w:r w:rsidR="008E1315" w:rsidRPr="00B966F6">
        <w:rPr>
          <w:rFonts w:ascii="Cambria" w:hAnsi="Cambria"/>
          <w:bCs/>
          <w:sz w:val="20"/>
          <w:szCs w:val="20"/>
          <w:lang w:val="es-ES"/>
        </w:rPr>
        <w:t xml:space="preserve">la Comisión </w:t>
      </w:r>
      <w:r>
        <w:rPr>
          <w:rFonts w:ascii="Cambria" w:hAnsi="Cambria"/>
          <w:bCs/>
          <w:sz w:val="20"/>
          <w:szCs w:val="20"/>
          <w:lang w:val="es-ES"/>
        </w:rPr>
        <w:t xml:space="preserve">Interamericana </w:t>
      </w:r>
      <w:r w:rsidR="008E1315" w:rsidRPr="00B966F6">
        <w:rPr>
          <w:rFonts w:ascii="Cambria" w:hAnsi="Cambria"/>
          <w:bCs/>
          <w:sz w:val="20"/>
          <w:szCs w:val="20"/>
          <w:lang w:val="es-ES"/>
        </w:rPr>
        <w:t xml:space="preserve">valorará </w:t>
      </w:r>
      <w:r w:rsidRPr="00B966F6">
        <w:rPr>
          <w:rFonts w:ascii="Cambria" w:hAnsi="Cambria"/>
          <w:bCs/>
          <w:sz w:val="20"/>
          <w:szCs w:val="20"/>
          <w:lang w:val="es-ES"/>
        </w:rPr>
        <w:t xml:space="preserve">los recursos </w:t>
      </w:r>
      <w:r w:rsidR="008E1315" w:rsidRPr="00B966F6">
        <w:rPr>
          <w:rFonts w:ascii="Cambria" w:hAnsi="Cambria"/>
          <w:bCs/>
          <w:sz w:val="20"/>
          <w:szCs w:val="20"/>
          <w:lang w:val="es-ES"/>
        </w:rPr>
        <w:t xml:space="preserve">relacionados con la investigación y sanción de las personas que </w:t>
      </w:r>
      <w:r>
        <w:rPr>
          <w:rFonts w:ascii="Cambria" w:hAnsi="Cambria"/>
          <w:bCs/>
          <w:sz w:val="20"/>
          <w:szCs w:val="20"/>
          <w:lang w:val="es-ES"/>
        </w:rPr>
        <w:t xml:space="preserve">podrían </w:t>
      </w:r>
      <w:r w:rsidR="008E1315" w:rsidRPr="00B966F6">
        <w:rPr>
          <w:rFonts w:ascii="Cambria" w:hAnsi="Cambria"/>
          <w:bCs/>
          <w:sz w:val="20"/>
          <w:szCs w:val="20"/>
          <w:lang w:val="es-ES"/>
        </w:rPr>
        <w:t>tener responsabilidad</w:t>
      </w:r>
      <w:r w:rsidR="00A65011" w:rsidRPr="00B966F6">
        <w:rPr>
          <w:rFonts w:ascii="Cambria" w:hAnsi="Cambria"/>
          <w:bCs/>
          <w:sz w:val="20"/>
          <w:szCs w:val="20"/>
          <w:lang w:val="es-ES"/>
        </w:rPr>
        <w:t xml:space="preserve"> directa o indirecta</w:t>
      </w:r>
      <w:r w:rsidR="008E1315" w:rsidRPr="00B966F6">
        <w:rPr>
          <w:rFonts w:ascii="Cambria" w:hAnsi="Cambria"/>
          <w:bCs/>
          <w:sz w:val="20"/>
          <w:szCs w:val="20"/>
          <w:lang w:val="es-ES"/>
        </w:rPr>
        <w:t xml:space="preserve"> por los hechos </w:t>
      </w:r>
      <w:r>
        <w:rPr>
          <w:rFonts w:ascii="Cambria" w:hAnsi="Cambria"/>
          <w:bCs/>
          <w:sz w:val="20"/>
          <w:szCs w:val="20"/>
          <w:lang w:val="es-ES"/>
        </w:rPr>
        <w:t>d</w:t>
      </w:r>
      <w:r w:rsidR="008E1315" w:rsidRPr="00B966F6">
        <w:rPr>
          <w:rFonts w:ascii="Cambria" w:hAnsi="Cambria"/>
          <w:bCs/>
          <w:sz w:val="20"/>
          <w:szCs w:val="20"/>
          <w:lang w:val="es-ES"/>
        </w:rPr>
        <w:t>e</w:t>
      </w:r>
      <w:r w:rsidR="005E5F78" w:rsidRPr="00B966F6">
        <w:rPr>
          <w:rFonts w:ascii="Cambria" w:hAnsi="Cambria"/>
          <w:bCs/>
          <w:sz w:val="20"/>
          <w:szCs w:val="20"/>
          <w:lang w:val="es-ES"/>
        </w:rPr>
        <w:t xml:space="preserve">l 28 de febrero de 1997. </w:t>
      </w:r>
      <w:r w:rsidR="0013183A" w:rsidRPr="00B966F6">
        <w:rPr>
          <w:rFonts w:ascii="Cambria" w:hAnsi="Cambria" w:cs="Calibri"/>
          <w:sz w:val="20"/>
          <w:szCs w:val="20"/>
          <w:lang w:val="es-ES_tradnl"/>
        </w:rPr>
        <w:t xml:space="preserve"> </w:t>
      </w:r>
      <w:r w:rsidR="008E1315" w:rsidRPr="00B966F6">
        <w:rPr>
          <w:rFonts w:ascii="Cambria" w:hAnsi="Cambria"/>
          <w:bCs/>
          <w:sz w:val="20"/>
          <w:szCs w:val="20"/>
          <w:lang w:val="es-ES"/>
        </w:rPr>
        <w:t>Dado que en las últimas comunicaciones de las partes se indica que el proceso penal no ha concluido</w:t>
      </w:r>
      <w:r>
        <w:rPr>
          <w:rFonts w:ascii="Cambria" w:hAnsi="Cambria"/>
          <w:bCs/>
          <w:sz w:val="20"/>
          <w:szCs w:val="20"/>
          <w:lang w:val="es-ES"/>
        </w:rPr>
        <w:t>,</w:t>
      </w:r>
      <w:r w:rsidR="008E1315" w:rsidRPr="00B966F6">
        <w:rPr>
          <w:rFonts w:ascii="Cambria" w:hAnsi="Cambria"/>
          <w:bCs/>
          <w:sz w:val="20"/>
          <w:szCs w:val="20"/>
          <w:lang w:val="es-ES"/>
        </w:rPr>
        <w:t xml:space="preserve"> y que han transcurrido más de 22 años desde</w:t>
      </w:r>
      <w:r w:rsidR="00B72A9A" w:rsidRPr="00B966F6">
        <w:rPr>
          <w:rFonts w:ascii="Cambria" w:hAnsi="Cambria"/>
          <w:bCs/>
          <w:sz w:val="20"/>
          <w:szCs w:val="20"/>
          <w:lang w:val="es-ES"/>
        </w:rPr>
        <w:t xml:space="preserve"> los </w:t>
      </w:r>
      <w:r>
        <w:rPr>
          <w:rFonts w:ascii="Cambria" w:hAnsi="Cambria"/>
          <w:bCs/>
          <w:sz w:val="20"/>
          <w:szCs w:val="20"/>
          <w:lang w:val="es-ES"/>
        </w:rPr>
        <w:t xml:space="preserve">referidos </w:t>
      </w:r>
      <w:r w:rsidR="00B72A9A" w:rsidRPr="00B966F6">
        <w:rPr>
          <w:rFonts w:ascii="Cambria" w:hAnsi="Cambria"/>
          <w:bCs/>
          <w:sz w:val="20"/>
          <w:szCs w:val="20"/>
          <w:lang w:val="es-ES"/>
        </w:rPr>
        <w:t>hechos</w:t>
      </w:r>
      <w:r w:rsidR="008E1315" w:rsidRPr="00B966F6">
        <w:rPr>
          <w:rFonts w:ascii="Cambria" w:hAnsi="Cambria"/>
          <w:bCs/>
          <w:sz w:val="20"/>
          <w:szCs w:val="20"/>
          <w:lang w:val="es-ES"/>
        </w:rPr>
        <w:t>, la C</w:t>
      </w:r>
      <w:r>
        <w:rPr>
          <w:rFonts w:ascii="Cambria" w:hAnsi="Cambria"/>
          <w:bCs/>
          <w:sz w:val="20"/>
          <w:szCs w:val="20"/>
          <w:lang w:val="es-ES"/>
        </w:rPr>
        <w:t>IDH</w:t>
      </w:r>
      <w:r w:rsidR="008E1315" w:rsidRPr="00B966F6">
        <w:rPr>
          <w:rFonts w:ascii="Cambria" w:hAnsi="Cambria"/>
          <w:bCs/>
          <w:sz w:val="20"/>
          <w:szCs w:val="20"/>
          <w:lang w:val="es-ES"/>
        </w:rPr>
        <w:t xml:space="preserve"> debe analizar si la presente petición se encuentra dentro del supuesto de excepción previsto en el artículo 46.2(c) de la Convención Americana. </w:t>
      </w:r>
      <w:r>
        <w:rPr>
          <w:rFonts w:ascii="Cambria" w:hAnsi="Cambria"/>
          <w:bCs/>
          <w:sz w:val="20"/>
          <w:szCs w:val="20"/>
          <w:lang w:val="es-ES"/>
        </w:rPr>
        <w:t>A tal efecto caber</w:t>
      </w:r>
      <w:r w:rsidR="008E1315" w:rsidRPr="00B966F6">
        <w:rPr>
          <w:rFonts w:ascii="Cambria" w:hAnsi="Cambria"/>
          <w:bCs/>
          <w:sz w:val="20"/>
          <w:szCs w:val="20"/>
          <w:lang w:val="es-ES"/>
        </w:rPr>
        <w:t xml:space="preserve"> rec</w:t>
      </w:r>
      <w:r>
        <w:rPr>
          <w:rFonts w:ascii="Cambria" w:hAnsi="Cambria"/>
          <w:bCs/>
          <w:sz w:val="20"/>
          <w:szCs w:val="20"/>
          <w:lang w:val="es-ES"/>
        </w:rPr>
        <w:t xml:space="preserve">ordar </w:t>
      </w:r>
      <w:r w:rsidR="008E1315" w:rsidRPr="00B966F6">
        <w:rPr>
          <w:rFonts w:ascii="Cambria" w:hAnsi="Cambria"/>
          <w:bCs/>
          <w:sz w:val="20"/>
          <w:szCs w:val="20"/>
          <w:lang w:val="es-ES"/>
        </w:rPr>
        <w:t xml:space="preserve">que </w:t>
      </w:r>
      <w:r>
        <w:rPr>
          <w:rFonts w:ascii="Cambria" w:hAnsi="Cambria"/>
          <w:bCs/>
          <w:sz w:val="20"/>
          <w:szCs w:val="20"/>
          <w:lang w:val="es-ES"/>
        </w:rPr>
        <w:t xml:space="preserve">este órgano ha </w:t>
      </w:r>
      <w:r w:rsidR="008E1315" w:rsidRPr="00B966F6">
        <w:rPr>
          <w:rFonts w:ascii="Cambria" w:hAnsi="Cambria"/>
          <w:bCs/>
          <w:sz w:val="20"/>
          <w:szCs w:val="20"/>
          <w:lang w:val="es-ES"/>
        </w:rPr>
        <w:t xml:space="preserve">determinado </w:t>
      </w:r>
      <w:r>
        <w:rPr>
          <w:rFonts w:ascii="Cambria" w:hAnsi="Cambria"/>
          <w:bCs/>
          <w:sz w:val="20"/>
          <w:szCs w:val="20"/>
          <w:lang w:val="es-ES"/>
        </w:rPr>
        <w:t xml:space="preserve">anteriormente </w:t>
      </w:r>
      <w:r w:rsidR="008E1315" w:rsidRPr="00B966F6">
        <w:rPr>
          <w:rFonts w:ascii="Cambria" w:hAnsi="Cambria"/>
          <w:bCs/>
          <w:sz w:val="20"/>
          <w:szCs w:val="20"/>
          <w:lang w:val="es-ES"/>
        </w:rPr>
        <w:t>que las disposiciones de la Convención Americana que establecen excepciones a la regla de agotamiento de los recursos internos</w:t>
      </w:r>
      <w:r w:rsidR="008E1315" w:rsidRPr="00B966F6">
        <w:rPr>
          <w:rFonts w:ascii="Cambria" w:hAnsi="Cambria" w:cs="Calibri"/>
          <w:sz w:val="20"/>
          <w:szCs w:val="20"/>
          <w:lang w:val="es-ES_tradnl"/>
        </w:rPr>
        <w:t xml:space="preserve"> son normas con contenido autónomo </w:t>
      </w:r>
      <w:r w:rsidR="008E1315" w:rsidRPr="00B966F6">
        <w:rPr>
          <w:rFonts w:ascii="Cambria" w:hAnsi="Cambria" w:cs="Calibri"/>
          <w:i/>
          <w:sz w:val="20"/>
          <w:szCs w:val="20"/>
          <w:lang w:val="es-ES_tradnl"/>
        </w:rPr>
        <w:t>vis à vis</w:t>
      </w:r>
      <w:r w:rsidR="008E1315" w:rsidRPr="00B966F6">
        <w:rPr>
          <w:rFonts w:ascii="Cambria" w:hAnsi="Cambria" w:cs="Calibri"/>
          <w:sz w:val="20"/>
          <w:szCs w:val="20"/>
          <w:lang w:val="es-ES_tradnl"/>
        </w:rPr>
        <w:t xml:space="preserve"> las normas sustantivas de </w:t>
      </w:r>
      <w:r>
        <w:rPr>
          <w:rFonts w:ascii="Cambria" w:hAnsi="Cambria" w:cs="Calibri"/>
          <w:sz w:val="20"/>
          <w:szCs w:val="20"/>
          <w:lang w:val="es-ES_tradnl"/>
        </w:rPr>
        <w:t xml:space="preserve">dicho tratado. En consecuencia, </w:t>
      </w:r>
      <w:r w:rsidR="008E1315" w:rsidRPr="00B966F6">
        <w:rPr>
          <w:rFonts w:ascii="Cambria" w:hAnsi="Cambria" w:cs="Calibri"/>
          <w:sz w:val="20"/>
          <w:szCs w:val="20"/>
          <w:lang w:val="es-ES_tradnl"/>
        </w:rPr>
        <w:t xml:space="preserve">la </w:t>
      </w:r>
      <w:r>
        <w:rPr>
          <w:rFonts w:ascii="Cambria" w:hAnsi="Cambria" w:cs="Calibri"/>
          <w:sz w:val="20"/>
          <w:szCs w:val="20"/>
          <w:lang w:val="es-ES_tradnl"/>
        </w:rPr>
        <w:t xml:space="preserve">determinación sobre aplicabilidad de </w:t>
      </w:r>
      <w:r w:rsidR="008E1315" w:rsidRPr="00B966F6">
        <w:rPr>
          <w:rFonts w:ascii="Cambria" w:hAnsi="Cambria" w:cs="Calibri"/>
          <w:sz w:val="20"/>
          <w:szCs w:val="20"/>
          <w:lang w:val="es-ES_tradnl"/>
        </w:rPr>
        <w:t>las excepciones al agotamiento de los recursos internos a</w:t>
      </w:r>
      <w:r>
        <w:rPr>
          <w:rFonts w:ascii="Cambria" w:hAnsi="Cambria" w:cs="Calibri"/>
          <w:sz w:val="20"/>
          <w:szCs w:val="20"/>
          <w:lang w:val="es-ES_tradnl"/>
        </w:rPr>
        <w:t xml:space="preserve"> un asunto concreto</w:t>
      </w:r>
      <w:r w:rsidR="008E1315" w:rsidRPr="00B966F6">
        <w:rPr>
          <w:rFonts w:ascii="Cambria" w:hAnsi="Cambria" w:cs="Calibri"/>
          <w:sz w:val="20"/>
          <w:szCs w:val="20"/>
          <w:lang w:val="es-ES_tradnl"/>
        </w:rPr>
        <w:t xml:space="preserve"> debe llevarse a cabo de manera previa y separada del análisis </w:t>
      </w:r>
      <w:r>
        <w:rPr>
          <w:rFonts w:ascii="Cambria" w:hAnsi="Cambria" w:cs="Calibri"/>
          <w:sz w:val="20"/>
          <w:szCs w:val="20"/>
          <w:lang w:val="es-ES_tradnl"/>
        </w:rPr>
        <w:t xml:space="preserve">sobre </w:t>
      </w:r>
      <w:r w:rsidR="008E1315" w:rsidRPr="00B966F6">
        <w:rPr>
          <w:rFonts w:ascii="Cambria" w:hAnsi="Cambria" w:cs="Calibri"/>
          <w:sz w:val="20"/>
          <w:szCs w:val="20"/>
          <w:lang w:val="es-ES_tradnl"/>
        </w:rPr>
        <w:t>el fondo, ya que depende de un estándar de apreciación distinto de</w:t>
      </w:r>
      <w:r>
        <w:rPr>
          <w:rFonts w:ascii="Cambria" w:hAnsi="Cambria" w:cs="Calibri"/>
          <w:sz w:val="20"/>
          <w:szCs w:val="20"/>
          <w:lang w:val="es-ES_tradnl"/>
        </w:rPr>
        <w:t>l</w:t>
      </w:r>
      <w:r w:rsidR="008E1315" w:rsidRPr="00B966F6">
        <w:rPr>
          <w:rFonts w:ascii="Cambria" w:hAnsi="Cambria" w:cs="Calibri"/>
          <w:sz w:val="20"/>
          <w:szCs w:val="20"/>
          <w:lang w:val="es-ES_tradnl"/>
        </w:rPr>
        <w:t xml:space="preserve"> utilizado para determinar la violación de los artículos 8 y 25 de la Convención</w:t>
      </w:r>
      <w:r>
        <w:rPr>
          <w:rFonts w:ascii="Cambria" w:hAnsi="Cambria" w:cs="Calibri"/>
          <w:sz w:val="20"/>
          <w:szCs w:val="20"/>
          <w:lang w:val="es-ES_tradnl"/>
        </w:rPr>
        <w:t xml:space="preserve"> Americana</w:t>
      </w:r>
      <w:r w:rsidR="008E1315" w:rsidRPr="00B966F6">
        <w:rPr>
          <w:rStyle w:val="FootnoteReference"/>
          <w:rFonts w:ascii="Cambria" w:hAnsi="Cambria" w:cs="Calibri"/>
          <w:sz w:val="20"/>
          <w:szCs w:val="20"/>
        </w:rPr>
        <w:footnoteReference w:id="9"/>
      </w:r>
      <w:r w:rsidR="008E1315" w:rsidRPr="00B966F6">
        <w:rPr>
          <w:rFonts w:ascii="Cambria" w:hAnsi="Cambria" w:cs="Calibri"/>
          <w:sz w:val="20"/>
          <w:szCs w:val="20"/>
          <w:lang w:val="es-ES_tradnl"/>
        </w:rPr>
        <w:t>.</w:t>
      </w:r>
    </w:p>
    <w:p w14:paraId="516E9BC3" w14:textId="77777777" w:rsidR="00B966F6" w:rsidRPr="00B966F6" w:rsidRDefault="00B966F6" w:rsidP="00B36D9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s="Calibri"/>
          <w:sz w:val="20"/>
          <w:szCs w:val="20"/>
          <w:lang w:val="es-ES_tradnl"/>
        </w:rPr>
      </w:pPr>
    </w:p>
    <w:p w14:paraId="354E7075" w14:textId="32763563" w:rsidR="0013183A" w:rsidRPr="00B966F6" w:rsidRDefault="004C4FF0" w:rsidP="00D70C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s="Calibri"/>
          <w:sz w:val="20"/>
          <w:szCs w:val="20"/>
          <w:lang w:val="es-ES_tradnl"/>
        </w:rPr>
      </w:pPr>
      <w:r>
        <w:rPr>
          <w:rFonts w:ascii="Cambria" w:hAnsi="Cambria"/>
          <w:sz w:val="20"/>
          <w:szCs w:val="20"/>
          <w:lang w:val="es-ES"/>
        </w:rPr>
        <w:t xml:space="preserve">El </w:t>
      </w:r>
      <w:r w:rsidR="008E1315" w:rsidRPr="00B966F6">
        <w:rPr>
          <w:rFonts w:ascii="Cambria" w:hAnsi="Cambria"/>
          <w:sz w:val="20"/>
          <w:szCs w:val="20"/>
          <w:lang w:val="es-ES"/>
        </w:rPr>
        <w:t xml:space="preserve">Estado </w:t>
      </w:r>
      <w:r>
        <w:rPr>
          <w:rFonts w:ascii="Cambria" w:hAnsi="Cambria"/>
          <w:sz w:val="20"/>
          <w:szCs w:val="20"/>
          <w:lang w:val="es-ES"/>
        </w:rPr>
        <w:t xml:space="preserve">sostiene que </w:t>
      </w:r>
      <w:r w:rsidR="00B72A9A" w:rsidRPr="00B966F6">
        <w:rPr>
          <w:rFonts w:ascii="Cambria" w:hAnsi="Cambria"/>
          <w:sz w:val="20"/>
          <w:szCs w:val="20"/>
          <w:lang w:val="es-ES"/>
        </w:rPr>
        <w:t>ha actuado con diligencia y que la complejidad del caso ha impedido que las investigaciones penales concluyan de forma más temprana</w:t>
      </w:r>
      <w:r>
        <w:rPr>
          <w:rFonts w:ascii="Cambria" w:hAnsi="Cambria"/>
          <w:sz w:val="20"/>
          <w:szCs w:val="20"/>
          <w:lang w:val="es-ES"/>
        </w:rPr>
        <w:t>;</w:t>
      </w:r>
      <w:r w:rsidR="00B72A9A" w:rsidRPr="00B966F6">
        <w:rPr>
          <w:rFonts w:ascii="Cambria" w:hAnsi="Cambria"/>
          <w:sz w:val="20"/>
          <w:szCs w:val="20"/>
          <w:lang w:val="es-ES"/>
        </w:rPr>
        <w:t xml:space="preserve"> </w:t>
      </w:r>
      <w:r>
        <w:rPr>
          <w:rFonts w:ascii="Cambria" w:hAnsi="Cambria"/>
          <w:sz w:val="20"/>
          <w:szCs w:val="20"/>
          <w:lang w:val="es-ES"/>
        </w:rPr>
        <w:t xml:space="preserve">y aporta </w:t>
      </w:r>
      <w:r w:rsidR="00B72A9A" w:rsidRPr="00B966F6">
        <w:rPr>
          <w:rFonts w:ascii="Cambria" w:hAnsi="Cambria"/>
          <w:sz w:val="20"/>
          <w:szCs w:val="20"/>
          <w:lang w:val="es-ES"/>
        </w:rPr>
        <w:t xml:space="preserve">información respecto a los avances que se habrían alcanzado dentro del proceso en 2011, 2013 y 2015. </w:t>
      </w:r>
      <w:r w:rsidR="00A865AF" w:rsidRPr="00B966F6">
        <w:rPr>
          <w:rFonts w:ascii="Cambria" w:hAnsi="Cambria"/>
          <w:sz w:val="20"/>
          <w:szCs w:val="20"/>
          <w:lang w:val="es-ES"/>
        </w:rPr>
        <w:t xml:space="preserve">Sin embargo, </w:t>
      </w:r>
      <w:r>
        <w:rPr>
          <w:rFonts w:ascii="Cambria" w:hAnsi="Cambria"/>
          <w:sz w:val="20"/>
          <w:szCs w:val="20"/>
          <w:lang w:val="es-ES"/>
        </w:rPr>
        <w:t xml:space="preserve">la Comisión Interamericana debe </w:t>
      </w:r>
      <w:r w:rsidR="00A865AF" w:rsidRPr="00B966F6">
        <w:rPr>
          <w:rFonts w:ascii="Cambria" w:hAnsi="Cambria"/>
          <w:sz w:val="20"/>
          <w:szCs w:val="20"/>
          <w:lang w:val="es-ES"/>
        </w:rPr>
        <w:t>valora</w:t>
      </w:r>
      <w:r>
        <w:rPr>
          <w:rFonts w:ascii="Cambria" w:hAnsi="Cambria"/>
          <w:sz w:val="20"/>
          <w:szCs w:val="20"/>
          <w:lang w:val="es-ES"/>
        </w:rPr>
        <w:t>r</w:t>
      </w:r>
      <w:r w:rsidR="000A52FC" w:rsidRPr="00B966F6">
        <w:rPr>
          <w:rFonts w:ascii="Cambria" w:hAnsi="Cambria"/>
          <w:sz w:val="20"/>
          <w:szCs w:val="20"/>
          <w:lang w:val="es-ES"/>
        </w:rPr>
        <w:t xml:space="preserve"> que han transcurrido </w:t>
      </w:r>
      <w:r w:rsidRPr="00B966F6">
        <w:rPr>
          <w:rFonts w:ascii="Cambria" w:hAnsi="Cambria"/>
          <w:sz w:val="20"/>
          <w:szCs w:val="20"/>
          <w:lang w:val="es-ES"/>
        </w:rPr>
        <w:t xml:space="preserve">más de 22 años </w:t>
      </w:r>
      <w:r w:rsidR="000A52FC" w:rsidRPr="00B966F6">
        <w:rPr>
          <w:rFonts w:ascii="Cambria" w:hAnsi="Cambria"/>
          <w:sz w:val="20"/>
          <w:szCs w:val="20"/>
          <w:lang w:val="es-ES"/>
        </w:rPr>
        <w:t>desde los hechos</w:t>
      </w:r>
      <w:r>
        <w:rPr>
          <w:rFonts w:ascii="Cambria" w:hAnsi="Cambria"/>
          <w:sz w:val="20"/>
          <w:szCs w:val="20"/>
          <w:lang w:val="es-ES"/>
        </w:rPr>
        <w:t>;</w:t>
      </w:r>
      <w:r w:rsidR="000A52FC" w:rsidRPr="00B966F6">
        <w:rPr>
          <w:rFonts w:ascii="Cambria" w:hAnsi="Cambria"/>
          <w:sz w:val="20"/>
          <w:szCs w:val="20"/>
          <w:lang w:val="es-ES"/>
        </w:rPr>
        <w:t xml:space="preserve"> que las investigaciones </w:t>
      </w:r>
      <w:r>
        <w:rPr>
          <w:rFonts w:ascii="Cambria" w:hAnsi="Cambria"/>
          <w:sz w:val="20"/>
          <w:szCs w:val="20"/>
          <w:lang w:val="es-ES"/>
        </w:rPr>
        <w:t xml:space="preserve">aún </w:t>
      </w:r>
      <w:r w:rsidR="000A52FC" w:rsidRPr="00B966F6">
        <w:rPr>
          <w:rFonts w:ascii="Cambria" w:hAnsi="Cambria"/>
          <w:sz w:val="20"/>
          <w:szCs w:val="20"/>
          <w:lang w:val="es-ES"/>
        </w:rPr>
        <w:t>no habrían pasado la etapa de admisibilidad</w:t>
      </w:r>
      <w:r>
        <w:rPr>
          <w:rFonts w:ascii="Cambria" w:hAnsi="Cambria"/>
          <w:sz w:val="20"/>
          <w:szCs w:val="20"/>
          <w:lang w:val="es-ES"/>
        </w:rPr>
        <w:t>;</w:t>
      </w:r>
      <w:r w:rsidR="000A52FC" w:rsidRPr="00B966F6">
        <w:rPr>
          <w:rFonts w:ascii="Cambria" w:hAnsi="Cambria"/>
          <w:sz w:val="20"/>
          <w:szCs w:val="20"/>
          <w:lang w:val="es-ES"/>
        </w:rPr>
        <w:t xml:space="preserve"> y </w:t>
      </w:r>
      <w:r w:rsidR="00A865AF" w:rsidRPr="00B966F6">
        <w:rPr>
          <w:rFonts w:ascii="Cambria" w:hAnsi="Cambria"/>
          <w:sz w:val="20"/>
          <w:szCs w:val="20"/>
          <w:lang w:val="es-ES"/>
        </w:rPr>
        <w:t xml:space="preserve">que el Estado no ha controvertido que las investigaciones habrían sido inicialmente archivadas </w:t>
      </w:r>
      <w:r w:rsidR="00263F6F" w:rsidRPr="00B966F6">
        <w:rPr>
          <w:rFonts w:ascii="Cambria" w:hAnsi="Cambria"/>
          <w:sz w:val="20"/>
          <w:szCs w:val="20"/>
          <w:lang w:val="es-ES"/>
        </w:rPr>
        <w:t xml:space="preserve">sin que se produjera avance significativo </w:t>
      </w:r>
      <w:r>
        <w:rPr>
          <w:rFonts w:ascii="Cambria" w:hAnsi="Cambria"/>
          <w:sz w:val="20"/>
          <w:szCs w:val="20"/>
          <w:lang w:val="es-ES"/>
        </w:rPr>
        <w:t xml:space="preserve">alguno </w:t>
      </w:r>
      <w:r w:rsidR="00263F6F" w:rsidRPr="00B966F6">
        <w:rPr>
          <w:rFonts w:ascii="Cambria" w:hAnsi="Cambria"/>
          <w:sz w:val="20"/>
          <w:szCs w:val="20"/>
          <w:lang w:val="es-ES"/>
        </w:rPr>
        <w:t xml:space="preserve">entre 1997 y 2011. </w:t>
      </w:r>
      <w:r w:rsidR="000A52FC" w:rsidRPr="00B966F6">
        <w:rPr>
          <w:rFonts w:ascii="Cambria" w:hAnsi="Cambria"/>
          <w:sz w:val="20"/>
          <w:szCs w:val="20"/>
          <w:lang w:val="es-ES"/>
        </w:rPr>
        <w:t>Por estas razones, la C</w:t>
      </w:r>
      <w:r>
        <w:rPr>
          <w:rFonts w:ascii="Cambria" w:hAnsi="Cambria"/>
          <w:sz w:val="20"/>
          <w:szCs w:val="20"/>
          <w:lang w:val="es-ES"/>
        </w:rPr>
        <w:t xml:space="preserve">IDH decide </w:t>
      </w:r>
      <w:r w:rsidR="000A52FC" w:rsidRPr="00B966F6">
        <w:rPr>
          <w:rFonts w:ascii="Cambria" w:hAnsi="Cambria"/>
          <w:sz w:val="20"/>
          <w:szCs w:val="20"/>
          <w:lang w:val="es-ES"/>
        </w:rPr>
        <w:t xml:space="preserve">aplicar a la presente petición </w:t>
      </w:r>
      <w:r>
        <w:rPr>
          <w:rFonts w:ascii="Cambria" w:hAnsi="Cambria"/>
          <w:sz w:val="20"/>
          <w:szCs w:val="20"/>
          <w:lang w:val="es-ES"/>
        </w:rPr>
        <w:t xml:space="preserve">la </w:t>
      </w:r>
      <w:r w:rsidR="000A52FC" w:rsidRPr="00B966F6">
        <w:rPr>
          <w:rFonts w:ascii="Cambria" w:hAnsi="Cambria"/>
          <w:sz w:val="20"/>
          <w:szCs w:val="20"/>
          <w:lang w:val="es-ES"/>
        </w:rPr>
        <w:t xml:space="preserve">excepción al agotamiento de recursos internos prevista </w:t>
      </w:r>
      <w:r>
        <w:rPr>
          <w:rFonts w:ascii="Cambria" w:hAnsi="Cambria"/>
          <w:sz w:val="20"/>
          <w:szCs w:val="20"/>
          <w:lang w:val="es-ES"/>
        </w:rPr>
        <w:t xml:space="preserve">en </w:t>
      </w:r>
      <w:r w:rsidR="000A52FC" w:rsidRPr="00B966F6">
        <w:rPr>
          <w:rFonts w:ascii="Cambria" w:hAnsi="Cambria"/>
          <w:sz w:val="20"/>
          <w:szCs w:val="20"/>
          <w:lang w:val="es-ES"/>
        </w:rPr>
        <w:t xml:space="preserve">el artículo 46.2(c) de la Convención Americana. Dado que los agravios planteados en la petición se mantendrían vigentes hasta la fecha, también concluye que la presente petición fue presentada dentro de </w:t>
      </w:r>
      <w:r>
        <w:rPr>
          <w:rFonts w:ascii="Cambria" w:hAnsi="Cambria"/>
          <w:sz w:val="20"/>
          <w:szCs w:val="20"/>
          <w:lang w:val="es-ES"/>
        </w:rPr>
        <w:t xml:space="preserve">un </w:t>
      </w:r>
      <w:r w:rsidR="000A52FC" w:rsidRPr="00B966F6">
        <w:rPr>
          <w:rFonts w:ascii="Cambria" w:hAnsi="Cambria"/>
          <w:sz w:val="20"/>
          <w:szCs w:val="20"/>
          <w:lang w:val="es-ES"/>
        </w:rPr>
        <w:t xml:space="preserve">plazo razonable en los términos del artículo 32.2 de su </w:t>
      </w:r>
      <w:r w:rsidR="00BB48DE">
        <w:rPr>
          <w:rFonts w:ascii="Cambria" w:hAnsi="Cambria"/>
          <w:sz w:val="20"/>
          <w:szCs w:val="20"/>
          <w:lang w:val="es-ES"/>
        </w:rPr>
        <w:t>R</w:t>
      </w:r>
      <w:r w:rsidR="000A52FC" w:rsidRPr="00B966F6">
        <w:rPr>
          <w:rFonts w:ascii="Cambria" w:hAnsi="Cambria"/>
          <w:sz w:val="20"/>
          <w:szCs w:val="20"/>
          <w:lang w:val="es-ES"/>
        </w:rPr>
        <w:t xml:space="preserve">eglamento. La Comisión </w:t>
      </w:r>
      <w:r>
        <w:rPr>
          <w:rFonts w:ascii="Cambria" w:hAnsi="Cambria"/>
          <w:sz w:val="20"/>
          <w:szCs w:val="20"/>
          <w:lang w:val="es-ES"/>
        </w:rPr>
        <w:t xml:space="preserve">Interamericana </w:t>
      </w:r>
      <w:r w:rsidR="000A52FC" w:rsidRPr="00B966F6">
        <w:rPr>
          <w:rFonts w:ascii="Cambria" w:hAnsi="Cambria"/>
          <w:sz w:val="20"/>
          <w:szCs w:val="20"/>
          <w:lang w:val="es-ES"/>
        </w:rPr>
        <w:t xml:space="preserve">advierte que estas determinaciones no prejuzgan sobre el fondo y que examinará </w:t>
      </w:r>
      <w:r w:rsidRPr="00B966F6">
        <w:rPr>
          <w:rFonts w:ascii="Cambria" w:hAnsi="Cambria"/>
          <w:sz w:val="20"/>
          <w:szCs w:val="20"/>
          <w:lang w:val="es-ES"/>
        </w:rPr>
        <w:t xml:space="preserve">en la etapa de fondo </w:t>
      </w:r>
      <w:r w:rsidR="000A52FC" w:rsidRPr="00B966F6">
        <w:rPr>
          <w:rFonts w:ascii="Cambria" w:hAnsi="Cambria"/>
          <w:sz w:val="20"/>
          <w:szCs w:val="20"/>
          <w:lang w:val="es-ES"/>
        </w:rPr>
        <w:t>los alegatos del E</w:t>
      </w:r>
      <w:r w:rsidR="00973FAC" w:rsidRPr="00B966F6">
        <w:rPr>
          <w:rFonts w:ascii="Cambria" w:hAnsi="Cambria"/>
          <w:sz w:val="20"/>
          <w:szCs w:val="20"/>
          <w:lang w:val="es-ES"/>
        </w:rPr>
        <w:t xml:space="preserve">stado respecto a </w:t>
      </w:r>
      <w:r>
        <w:rPr>
          <w:rFonts w:ascii="Cambria" w:hAnsi="Cambria"/>
          <w:sz w:val="20"/>
          <w:szCs w:val="20"/>
          <w:lang w:val="es-ES"/>
        </w:rPr>
        <w:t xml:space="preserve">la manera en que se llevaron </w:t>
      </w:r>
      <w:r w:rsidR="00973FAC" w:rsidRPr="00B966F6">
        <w:rPr>
          <w:rFonts w:ascii="Cambria" w:hAnsi="Cambria"/>
          <w:sz w:val="20"/>
          <w:szCs w:val="20"/>
          <w:lang w:val="es-ES"/>
        </w:rPr>
        <w:t>las investigaciones</w:t>
      </w:r>
      <w:r>
        <w:rPr>
          <w:rFonts w:ascii="Cambria" w:hAnsi="Cambria"/>
          <w:sz w:val="20"/>
          <w:szCs w:val="20"/>
          <w:lang w:val="es-ES"/>
        </w:rPr>
        <w:t>,</w:t>
      </w:r>
      <w:r w:rsidR="00973FAC" w:rsidRPr="00B966F6">
        <w:rPr>
          <w:rFonts w:ascii="Cambria" w:hAnsi="Cambria"/>
          <w:sz w:val="20"/>
          <w:szCs w:val="20"/>
          <w:lang w:val="es-ES"/>
        </w:rPr>
        <w:t xml:space="preserve"> </w:t>
      </w:r>
      <w:r>
        <w:rPr>
          <w:rFonts w:ascii="Cambria" w:hAnsi="Cambria"/>
          <w:sz w:val="20"/>
          <w:szCs w:val="20"/>
          <w:lang w:val="es-ES"/>
        </w:rPr>
        <w:t>así como su complejidad</w:t>
      </w:r>
      <w:r w:rsidR="00973FAC" w:rsidRPr="00B966F6">
        <w:rPr>
          <w:rFonts w:ascii="Cambria" w:hAnsi="Cambria"/>
          <w:sz w:val="20"/>
          <w:szCs w:val="20"/>
          <w:lang w:val="es-ES"/>
        </w:rPr>
        <w:t>.</w:t>
      </w:r>
    </w:p>
    <w:p w14:paraId="77958888" w14:textId="77777777" w:rsidR="00B966F6" w:rsidRPr="00B966F6" w:rsidRDefault="00B966F6" w:rsidP="00B966F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b/>
          <w:bCs/>
          <w:sz w:val="20"/>
          <w:szCs w:val="20"/>
          <w:lang w:val="es-ES"/>
        </w:rPr>
      </w:pPr>
    </w:p>
    <w:p w14:paraId="4878DBDD" w14:textId="4464B50A" w:rsidR="00F43D1D" w:rsidRPr="00B966F6" w:rsidRDefault="004C4FF0" w:rsidP="00D70C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b/>
          <w:bCs/>
          <w:sz w:val="20"/>
          <w:szCs w:val="20"/>
          <w:lang w:val="es-ES"/>
        </w:rPr>
      </w:pPr>
      <w:r>
        <w:rPr>
          <w:rFonts w:ascii="Cambria" w:hAnsi="Cambria"/>
          <w:sz w:val="20"/>
          <w:szCs w:val="20"/>
          <w:lang w:val="es-ES"/>
        </w:rPr>
        <w:t xml:space="preserve">Respecto al alegato estatal de </w:t>
      </w:r>
      <w:r w:rsidR="0013183A" w:rsidRPr="00B966F6">
        <w:rPr>
          <w:rFonts w:ascii="Cambria" w:hAnsi="Cambria"/>
          <w:sz w:val="20"/>
          <w:szCs w:val="20"/>
          <w:lang w:val="es-ES"/>
        </w:rPr>
        <w:t>inadmisib</w:t>
      </w:r>
      <w:r>
        <w:rPr>
          <w:rFonts w:ascii="Cambria" w:hAnsi="Cambria"/>
          <w:sz w:val="20"/>
          <w:szCs w:val="20"/>
          <w:lang w:val="es-ES"/>
        </w:rPr>
        <w:t xml:space="preserve">ilidad parcial </w:t>
      </w:r>
      <w:r w:rsidR="0013183A" w:rsidRPr="00B966F6">
        <w:rPr>
          <w:rFonts w:ascii="Cambria" w:hAnsi="Cambria"/>
          <w:sz w:val="20"/>
          <w:szCs w:val="20"/>
          <w:lang w:val="es-ES"/>
        </w:rPr>
        <w:t xml:space="preserve">por falta de agotamiento de los recursos internos </w:t>
      </w:r>
      <w:r>
        <w:rPr>
          <w:rFonts w:ascii="Cambria" w:hAnsi="Cambria"/>
          <w:sz w:val="20"/>
          <w:szCs w:val="20"/>
          <w:lang w:val="es-ES"/>
        </w:rPr>
        <w:t xml:space="preserve">sobre </w:t>
      </w:r>
      <w:r w:rsidR="0013183A" w:rsidRPr="00B966F6">
        <w:rPr>
          <w:rFonts w:ascii="Cambria" w:hAnsi="Cambria"/>
          <w:sz w:val="20"/>
          <w:szCs w:val="20"/>
          <w:lang w:val="es-ES"/>
        </w:rPr>
        <w:t>reparación por las muertes de la</w:t>
      </w:r>
      <w:r>
        <w:rPr>
          <w:rFonts w:ascii="Cambria" w:hAnsi="Cambria"/>
          <w:sz w:val="20"/>
          <w:szCs w:val="20"/>
          <w:lang w:val="es-ES"/>
        </w:rPr>
        <w:t>s</w:t>
      </w:r>
      <w:r w:rsidR="0013183A" w:rsidRPr="00B966F6">
        <w:rPr>
          <w:rFonts w:ascii="Cambria" w:hAnsi="Cambria"/>
          <w:sz w:val="20"/>
          <w:szCs w:val="20"/>
          <w:lang w:val="es-ES"/>
        </w:rPr>
        <w:t xml:space="preserve"> </w:t>
      </w:r>
      <w:r w:rsidR="00CB0013">
        <w:rPr>
          <w:rFonts w:ascii="Cambria" w:hAnsi="Cambria"/>
          <w:sz w:val="20"/>
          <w:szCs w:val="20"/>
          <w:lang w:val="es-ES"/>
        </w:rPr>
        <w:t>8</w:t>
      </w:r>
      <w:r>
        <w:rPr>
          <w:rFonts w:ascii="Cambria" w:hAnsi="Cambria"/>
          <w:sz w:val="20"/>
          <w:szCs w:val="20"/>
          <w:lang w:val="es-ES"/>
        </w:rPr>
        <w:t xml:space="preserve"> </w:t>
      </w:r>
      <w:r w:rsidR="0013183A" w:rsidRPr="00B966F6">
        <w:rPr>
          <w:rFonts w:ascii="Cambria" w:hAnsi="Cambria"/>
          <w:sz w:val="20"/>
          <w:szCs w:val="20"/>
          <w:lang w:val="es-ES"/>
        </w:rPr>
        <w:t>presuntas víctimas</w:t>
      </w:r>
      <w:r>
        <w:rPr>
          <w:rFonts w:ascii="Cambria" w:hAnsi="Cambria"/>
          <w:sz w:val="20"/>
          <w:szCs w:val="20"/>
          <w:lang w:val="es-ES"/>
        </w:rPr>
        <w:t>, la</w:t>
      </w:r>
      <w:r w:rsidR="0013183A" w:rsidRPr="00B966F6">
        <w:rPr>
          <w:rFonts w:ascii="Cambria" w:hAnsi="Cambria"/>
          <w:sz w:val="20"/>
          <w:szCs w:val="20"/>
          <w:lang w:val="es-ES"/>
        </w:rPr>
        <w:t xml:space="preserve"> C</w:t>
      </w:r>
      <w:r>
        <w:rPr>
          <w:rFonts w:ascii="Cambria" w:hAnsi="Cambria"/>
          <w:sz w:val="20"/>
          <w:szCs w:val="20"/>
          <w:lang w:val="es-ES"/>
        </w:rPr>
        <w:t xml:space="preserve">IDH </w:t>
      </w:r>
      <w:r w:rsidR="0013183A" w:rsidRPr="00B966F6">
        <w:rPr>
          <w:rFonts w:ascii="Cambria" w:hAnsi="Cambria"/>
          <w:sz w:val="20"/>
          <w:szCs w:val="20"/>
          <w:lang w:val="es-ES"/>
        </w:rPr>
        <w:t>estima que</w:t>
      </w:r>
      <w:r w:rsidR="00D074A4" w:rsidRPr="00B966F6">
        <w:rPr>
          <w:rFonts w:ascii="Cambria" w:hAnsi="Cambria"/>
          <w:sz w:val="20"/>
          <w:szCs w:val="20"/>
          <w:lang w:val="es-ES"/>
        </w:rPr>
        <w:t xml:space="preserve"> </w:t>
      </w:r>
      <w:r w:rsidR="00623D20">
        <w:rPr>
          <w:rFonts w:ascii="Cambria" w:hAnsi="Cambria"/>
          <w:sz w:val="20"/>
          <w:szCs w:val="20"/>
          <w:lang w:val="es-ES"/>
        </w:rPr>
        <w:t xml:space="preserve">esta </w:t>
      </w:r>
      <w:r w:rsidR="00D074A4" w:rsidRPr="00B966F6">
        <w:rPr>
          <w:rFonts w:ascii="Cambria" w:hAnsi="Cambria"/>
          <w:sz w:val="20"/>
          <w:szCs w:val="20"/>
          <w:lang w:val="es-ES"/>
        </w:rPr>
        <w:t>pretensión sería accesoria al</w:t>
      </w:r>
      <w:r w:rsidR="0013183A" w:rsidRPr="00B966F6">
        <w:rPr>
          <w:rFonts w:ascii="Cambria" w:hAnsi="Cambria"/>
          <w:sz w:val="20"/>
          <w:szCs w:val="20"/>
          <w:lang w:val="es-ES"/>
        </w:rPr>
        <w:t xml:space="preserve"> objeto principal de l</w:t>
      </w:r>
      <w:r w:rsidR="00D074A4" w:rsidRPr="00B966F6">
        <w:rPr>
          <w:rFonts w:ascii="Cambria" w:hAnsi="Cambria"/>
          <w:sz w:val="20"/>
          <w:szCs w:val="20"/>
          <w:lang w:val="es-ES"/>
        </w:rPr>
        <w:t>a</w:t>
      </w:r>
      <w:r w:rsidR="0013183A" w:rsidRPr="00B966F6">
        <w:rPr>
          <w:rFonts w:ascii="Cambria" w:hAnsi="Cambria"/>
          <w:sz w:val="20"/>
          <w:szCs w:val="20"/>
          <w:lang w:val="es-ES"/>
        </w:rPr>
        <w:t xml:space="preserve"> petición</w:t>
      </w:r>
      <w:r w:rsidR="00D074A4" w:rsidRPr="00B966F6">
        <w:rPr>
          <w:rFonts w:ascii="Cambria" w:hAnsi="Cambria"/>
          <w:sz w:val="20"/>
          <w:szCs w:val="20"/>
          <w:lang w:val="es-ES"/>
        </w:rPr>
        <w:t>,</w:t>
      </w:r>
      <w:r w:rsidR="0013183A" w:rsidRPr="00B966F6">
        <w:rPr>
          <w:rFonts w:ascii="Cambria" w:hAnsi="Cambria"/>
          <w:sz w:val="20"/>
          <w:szCs w:val="20"/>
          <w:lang w:val="es-ES"/>
        </w:rPr>
        <w:t xml:space="preserve"> </w:t>
      </w:r>
      <w:r w:rsidR="00D074A4" w:rsidRPr="00B966F6">
        <w:rPr>
          <w:rFonts w:ascii="Cambria" w:hAnsi="Cambria"/>
          <w:sz w:val="20"/>
          <w:szCs w:val="20"/>
          <w:lang w:val="es-ES"/>
        </w:rPr>
        <w:t>es decir</w:t>
      </w:r>
      <w:r w:rsidR="0013183A" w:rsidRPr="00B966F6">
        <w:rPr>
          <w:rFonts w:ascii="Cambria" w:hAnsi="Cambria"/>
          <w:sz w:val="20"/>
          <w:szCs w:val="20"/>
          <w:lang w:val="es-ES"/>
        </w:rPr>
        <w:t xml:space="preserve"> si el Estado ha cumplido con su </w:t>
      </w:r>
      <w:r w:rsidR="00623D20">
        <w:rPr>
          <w:rFonts w:ascii="Cambria" w:hAnsi="Cambria"/>
          <w:sz w:val="20"/>
          <w:szCs w:val="20"/>
          <w:lang w:val="es-ES"/>
        </w:rPr>
        <w:t>obligación de</w:t>
      </w:r>
      <w:r w:rsidR="00D074A4" w:rsidRPr="00B966F6">
        <w:rPr>
          <w:rFonts w:ascii="Cambria" w:hAnsi="Cambria"/>
          <w:sz w:val="20"/>
          <w:szCs w:val="20"/>
          <w:lang w:val="es-ES"/>
        </w:rPr>
        <w:t xml:space="preserve"> esclarec</w:t>
      </w:r>
      <w:r w:rsidR="00623D20">
        <w:rPr>
          <w:rFonts w:ascii="Cambria" w:hAnsi="Cambria"/>
          <w:sz w:val="20"/>
          <w:szCs w:val="20"/>
          <w:lang w:val="es-ES"/>
        </w:rPr>
        <w:t>er</w:t>
      </w:r>
      <w:r w:rsidR="00D074A4" w:rsidRPr="00B966F6">
        <w:rPr>
          <w:rFonts w:ascii="Cambria" w:hAnsi="Cambria"/>
          <w:sz w:val="20"/>
          <w:szCs w:val="20"/>
          <w:lang w:val="es-ES"/>
        </w:rPr>
        <w:t xml:space="preserve"> los </w:t>
      </w:r>
      <w:r w:rsidR="00623D20" w:rsidRPr="00B966F6">
        <w:rPr>
          <w:rFonts w:ascii="Cambria" w:hAnsi="Cambria"/>
          <w:sz w:val="20"/>
          <w:szCs w:val="20"/>
          <w:lang w:val="es-ES"/>
        </w:rPr>
        <w:t xml:space="preserve">hechos </w:t>
      </w:r>
      <w:r w:rsidR="00623D20">
        <w:rPr>
          <w:rFonts w:ascii="Cambria" w:hAnsi="Cambria"/>
          <w:sz w:val="20"/>
          <w:szCs w:val="20"/>
          <w:lang w:val="es-ES"/>
        </w:rPr>
        <w:t>--</w:t>
      </w:r>
      <w:r w:rsidR="00D074A4" w:rsidRPr="00B966F6">
        <w:rPr>
          <w:rFonts w:ascii="Cambria" w:hAnsi="Cambria"/>
          <w:sz w:val="20"/>
          <w:szCs w:val="20"/>
          <w:lang w:val="es-ES"/>
        </w:rPr>
        <w:t>inclu</w:t>
      </w:r>
      <w:r w:rsidR="00623D20">
        <w:rPr>
          <w:rFonts w:ascii="Cambria" w:hAnsi="Cambria"/>
          <w:sz w:val="20"/>
          <w:szCs w:val="20"/>
          <w:lang w:val="es-ES"/>
        </w:rPr>
        <w:t xml:space="preserve">ida </w:t>
      </w:r>
      <w:r w:rsidR="00D074A4" w:rsidRPr="00B966F6">
        <w:rPr>
          <w:rFonts w:ascii="Cambria" w:hAnsi="Cambria"/>
          <w:sz w:val="20"/>
          <w:szCs w:val="20"/>
          <w:lang w:val="es-ES"/>
        </w:rPr>
        <w:t>la posible responsabilidad de agentes estales</w:t>
      </w:r>
      <w:r w:rsidR="00623D20">
        <w:rPr>
          <w:rFonts w:ascii="Cambria" w:hAnsi="Cambria"/>
          <w:sz w:val="20"/>
          <w:szCs w:val="20"/>
          <w:lang w:val="es-ES"/>
        </w:rPr>
        <w:t>--</w:t>
      </w:r>
      <w:r w:rsidR="00D074A4" w:rsidRPr="00B966F6">
        <w:rPr>
          <w:rFonts w:ascii="Cambria" w:hAnsi="Cambria"/>
          <w:sz w:val="20"/>
          <w:szCs w:val="20"/>
          <w:lang w:val="es-ES"/>
        </w:rPr>
        <w:t xml:space="preserve"> y </w:t>
      </w:r>
      <w:r w:rsidR="00623D20">
        <w:rPr>
          <w:rFonts w:ascii="Cambria" w:hAnsi="Cambria"/>
          <w:sz w:val="20"/>
          <w:szCs w:val="20"/>
          <w:lang w:val="es-ES"/>
        </w:rPr>
        <w:t xml:space="preserve">de </w:t>
      </w:r>
      <w:r w:rsidR="00D074A4" w:rsidRPr="00B966F6">
        <w:rPr>
          <w:rFonts w:ascii="Cambria" w:hAnsi="Cambria"/>
          <w:sz w:val="20"/>
          <w:szCs w:val="20"/>
          <w:lang w:val="es-ES"/>
        </w:rPr>
        <w:t>identifica</w:t>
      </w:r>
      <w:r w:rsidR="00623D20">
        <w:rPr>
          <w:rFonts w:ascii="Cambria" w:hAnsi="Cambria"/>
          <w:sz w:val="20"/>
          <w:szCs w:val="20"/>
          <w:lang w:val="es-ES"/>
        </w:rPr>
        <w:t>r</w:t>
      </w:r>
      <w:r w:rsidR="00D074A4" w:rsidRPr="00B966F6">
        <w:rPr>
          <w:rFonts w:ascii="Cambria" w:hAnsi="Cambria"/>
          <w:sz w:val="20"/>
          <w:szCs w:val="20"/>
          <w:lang w:val="es-ES"/>
        </w:rPr>
        <w:t xml:space="preserve"> y sanci</w:t>
      </w:r>
      <w:r w:rsidR="00623D20">
        <w:rPr>
          <w:rFonts w:ascii="Cambria" w:hAnsi="Cambria"/>
          <w:sz w:val="20"/>
          <w:szCs w:val="20"/>
          <w:lang w:val="es-ES"/>
        </w:rPr>
        <w:t>onar a</w:t>
      </w:r>
      <w:r w:rsidR="00D074A4" w:rsidRPr="00B966F6">
        <w:rPr>
          <w:rFonts w:ascii="Cambria" w:hAnsi="Cambria"/>
          <w:sz w:val="20"/>
          <w:szCs w:val="20"/>
          <w:lang w:val="es-ES"/>
        </w:rPr>
        <w:t xml:space="preserve"> las personas </w:t>
      </w:r>
      <w:r w:rsidR="00623D20">
        <w:rPr>
          <w:rFonts w:ascii="Cambria" w:hAnsi="Cambria"/>
          <w:sz w:val="20"/>
          <w:szCs w:val="20"/>
          <w:lang w:val="es-ES"/>
        </w:rPr>
        <w:t xml:space="preserve">que resultaran </w:t>
      </w:r>
      <w:r w:rsidR="00D074A4" w:rsidRPr="00B966F6">
        <w:rPr>
          <w:rFonts w:ascii="Cambria" w:hAnsi="Cambria"/>
          <w:sz w:val="20"/>
          <w:szCs w:val="20"/>
          <w:lang w:val="es-ES"/>
        </w:rPr>
        <w:t>directa o indirectamente responsables. En este sentido</w:t>
      </w:r>
      <w:r w:rsidR="00623D20">
        <w:rPr>
          <w:rFonts w:ascii="Cambria" w:hAnsi="Cambria"/>
          <w:sz w:val="20"/>
          <w:szCs w:val="20"/>
          <w:lang w:val="es-ES"/>
        </w:rPr>
        <w:t>,</w:t>
      </w:r>
      <w:r w:rsidR="00D074A4" w:rsidRPr="00B966F6">
        <w:rPr>
          <w:rFonts w:ascii="Cambria" w:hAnsi="Cambria"/>
          <w:sz w:val="20"/>
          <w:szCs w:val="20"/>
          <w:lang w:val="es-ES"/>
        </w:rPr>
        <w:t xml:space="preserve"> la Comisión </w:t>
      </w:r>
      <w:r w:rsidR="00623D20">
        <w:rPr>
          <w:rFonts w:ascii="Cambria" w:hAnsi="Cambria"/>
          <w:sz w:val="20"/>
          <w:szCs w:val="20"/>
          <w:lang w:val="es-ES"/>
        </w:rPr>
        <w:t xml:space="preserve">Interamericana </w:t>
      </w:r>
      <w:r w:rsidR="00D074A4" w:rsidRPr="00B966F6">
        <w:rPr>
          <w:rFonts w:ascii="Cambria" w:hAnsi="Cambria"/>
          <w:sz w:val="20"/>
          <w:szCs w:val="20"/>
          <w:lang w:val="es-ES"/>
        </w:rPr>
        <w:t>ya ha determinado que “</w:t>
      </w:r>
      <w:r w:rsidR="00D074A4" w:rsidRPr="00B966F6">
        <w:rPr>
          <w:rFonts w:ascii="Cambria" w:hAnsi="Cambria"/>
          <w:sz w:val="20"/>
          <w:szCs w:val="20"/>
          <w:lang w:val="es-PA"/>
        </w:rPr>
        <w:t>en casos en que se denuncian violaciones a los derechos humanos que no han sido reconocidas por el Estado y cuyos efectos subsisten, las pretensiones reparatorias son accesorias e indivisibles del objeto principal de la petición</w:t>
      </w:r>
      <w:r w:rsidR="00623D20">
        <w:rPr>
          <w:rFonts w:ascii="Cambria" w:hAnsi="Cambria"/>
          <w:sz w:val="20"/>
          <w:szCs w:val="20"/>
          <w:lang w:val="es-PA"/>
        </w:rPr>
        <w:t>,</w:t>
      </w:r>
      <w:r w:rsidR="00D074A4" w:rsidRPr="00B966F6">
        <w:rPr>
          <w:rFonts w:ascii="Cambria" w:hAnsi="Cambria"/>
          <w:sz w:val="20"/>
          <w:szCs w:val="20"/>
          <w:lang w:val="es-PA"/>
        </w:rPr>
        <w:t xml:space="preserve"> por lo que los recursos cuyo agotamiento es exigible para la admisibilidad de la petición son los relacionados con dicho objeto principal”</w:t>
      </w:r>
      <w:r w:rsidR="00D074A4" w:rsidRPr="00B966F6">
        <w:rPr>
          <w:rStyle w:val="FootnoteReference"/>
          <w:rFonts w:ascii="Cambria" w:hAnsi="Cambria"/>
          <w:sz w:val="20"/>
          <w:szCs w:val="20"/>
          <w:lang w:val="es-PA"/>
        </w:rPr>
        <w:footnoteReference w:id="10"/>
      </w:r>
      <w:r w:rsidR="00D074A4" w:rsidRPr="00B966F6">
        <w:rPr>
          <w:rFonts w:ascii="Cambria" w:hAnsi="Cambria"/>
          <w:sz w:val="20"/>
          <w:szCs w:val="20"/>
          <w:lang w:val="es-PA"/>
        </w:rPr>
        <w:t>.</w:t>
      </w:r>
      <w:r w:rsidR="00D074A4" w:rsidRPr="00B966F6">
        <w:rPr>
          <w:rFonts w:ascii="Cambria" w:hAnsi="Cambria"/>
          <w:b/>
          <w:bCs/>
          <w:sz w:val="20"/>
          <w:szCs w:val="20"/>
          <w:lang w:val="es-ES"/>
        </w:rPr>
        <w:t xml:space="preserve"> </w:t>
      </w:r>
    </w:p>
    <w:p w14:paraId="2C187BD1" w14:textId="77777777" w:rsidR="00B966F6" w:rsidRDefault="00B966F6" w:rsidP="00B966F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b/>
          <w:bCs/>
          <w:sz w:val="20"/>
          <w:szCs w:val="20"/>
          <w:lang w:val="es-ES"/>
        </w:rPr>
      </w:pPr>
    </w:p>
    <w:p w14:paraId="4FFBE378" w14:textId="3EA3C710" w:rsidR="003239B8" w:rsidRPr="00B966F6" w:rsidRDefault="003239B8" w:rsidP="00B966F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b/>
          <w:sz w:val="20"/>
          <w:szCs w:val="20"/>
          <w:lang w:val="es-ES"/>
        </w:rPr>
      </w:pPr>
      <w:r w:rsidRPr="00B966F6">
        <w:rPr>
          <w:rFonts w:ascii="Cambria" w:hAnsi="Cambria"/>
          <w:b/>
          <w:bCs/>
          <w:sz w:val="20"/>
          <w:szCs w:val="20"/>
          <w:lang w:val="es-ES"/>
        </w:rPr>
        <w:t>VII.</w:t>
      </w:r>
      <w:r w:rsidRPr="00B966F6">
        <w:rPr>
          <w:rFonts w:ascii="Cambria" w:hAnsi="Cambria"/>
          <w:b/>
          <w:bCs/>
          <w:sz w:val="20"/>
          <w:szCs w:val="20"/>
          <w:lang w:val="es-ES"/>
        </w:rPr>
        <w:tab/>
      </w:r>
      <w:r w:rsidR="004A6A54" w:rsidRPr="00B966F6">
        <w:rPr>
          <w:rFonts w:ascii="Cambria" w:hAnsi="Cambria"/>
          <w:b/>
          <w:bCs/>
          <w:sz w:val="20"/>
          <w:szCs w:val="20"/>
          <w:lang w:val="es-ES_tradnl"/>
        </w:rPr>
        <w:t xml:space="preserve">ANÁLISIS DE </w:t>
      </w:r>
      <w:r w:rsidR="00C21FEF" w:rsidRPr="00B966F6">
        <w:rPr>
          <w:rFonts w:ascii="Cambria" w:hAnsi="Cambria"/>
          <w:b/>
          <w:bCs/>
          <w:sz w:val="20"/>
          <w:szCs w:val="20"/>
          <w:lang w:val="es-ES"/>
        </w:rPr>
        <w:t xml:space="preserve">CARACTERIZACIÓN </w:t>
      </w:r>
      <w:r w:rsidR="00C21FEF" w:rsidRPr="00B966F6">
        <w:rPr>
          <w:rFonts w:ascii="Cambria" w:hAnsi="Cambria"/>
          <w:b/>
          <w:bCs/>
          <w:sz w:val="20"/>
          <w:szCs w:val="20"/>
          <w:lang w:val="es-UY"/>
        </w:rPr>
        <w:t>DE LOS HECHOS ALEGADOS</w:t>
      </w:r>
    </w:p>
    <w:p w14:paraId="7E99CEA4" w14:textId="77777777" w:rsidR="00B966F6" w:rsidRPr="00B966F6" w:rsidRDefault="00B966F6" w:rsidP="00B966F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b/>
          <w:bCs/>
          <w:sz w:val="20"/>
          <w:szCs w:val="20"/>
          <w:lang w:val="es-ES"/>
        </w:rPr>
      </w:pPr>
    </w:p>
    <w:p w14:paraId="7611578F" w14:textId="4BFC026F" w:rsidR="002A6627" w:rsidRPr="00B966F6" w:rsidRDefault="00623D20" w:rsidP="00D70C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b/>
          <w:bCs/>
          <w:sz w:val="20"/>
          <w:szCs w:val="20"/>
          <w:lang w:val="es-ES"/>
        </w:rPr>
      </w:pPr>
      <w:r>
        <w:rPr>
          <w:rFonts w:ascii="Cambria" w:hAnsi="Cambria"/>
          <w:sz w:val="20"/>
          <w:szCs w:val="20"/>
          <w:lang w:val="es-ES"/>
        </w:rPr>
        <w:t xml:space="preserve">El peticionario </w:t>
      </w:r>
      <w:r w:rsidR="008C5E2D" w:rsidRPr="00B966F6">
        <w:rPr>
          <w:rFonts w:ascii="Cambria" w:hAnsi="Cambria"/>
          <w:sz w:val="20"/>
          <w:szCs w:val="20"/>
          <w:lang w:val="es-ES"/>
        </w:rPr>
        <w:t>alega</w:t>
      </w:r>
      <w:r w:rsidR="00EB2FE4" w:rsidRPr="00B966F6">
        <w:rPr>
          <w:rFonts w:ascii="Cambria" w:hAnsi="Cambria"/>
          <w:sz w:val="20"/>
          <w:szCs w:val="20"/>
          <w:lang w:val="es-ES"/>
        </w:rPr>
        <w:t xml:space="preserve"> que</w:t>
      </w:r>
      <w:r w:rsidR="00D074A4" w:rsidRPr="00B966F6">
        <w:rPr>
          <w:rFonts w:ascii="Cambria" w:hAnsi="Cambria"/>
          <w:sz w:val="20"/>
          <w:szCs w:val="20"/>
          <w:lang w:val="es-ES"/>
        </w:rPr>
        <w:t xml:space="preserve"> las presuntas víctimas fueron privadas de su libertad, sometidas a ataques a su honra</w:t>
      </w:r>
      <w:r>
        <w:rPr>
          <w:rFonts w:ascii="Cambria" w:hAnsi="Cambria"/>
          <w:sz w:val="20"/>
          <w:szCs w:val="20"/>
          <w:lang w:val="es-ES"/>
        </w:rPr>
        <w:t>,</w:t>
      </w:r>
      <w:r w:rsidR="00D074A4" w:rsidRPr="00B966F6">
        <w:rPr>
          <w:rFonts w:ascii="Cambria" w:hAnsi="Cambria"/>
          <w:sz w:val="20"/>
          <w:szCs w:val="20"/>
          <w:lang w:val="es-ES"/>
        </w:rPr>
        <w:t xml:space="preserve"> y finalmente asesinadas por miembros de grupos armados ilegales</w:t>
      </w:r>
      <w:r w:rsidR="002A6627" w:rsidRPr="00B966F6">
        <w:rPr>
          <w:rFonts w:ascii="Cambria" w:hAnsi="Cambria"/>
          <w:sz w:val="20"/>
          <w:szCs w:val="20"/>
          <w:lang w:val="es-ES"/>
        </w:rPr>
        <w:t>, sin que las autoridades de la fuerza pública que se encontraban cerca del lugar de los hechos tomaran medida alguna para protegerlas</w:t>
      </w:r>
      <w:r>
        <w:rPr>
          <w:rFonts w:ascii="Cambria" w:hAnsi="Cambria"/>
          <w:sz w:val="20"/>
          <w:szCs w:val="20"/>
          <w:lang w:val="es-ES"/>
        </w:rPr>
        <w:t>.</w:t>
      </w:r>
      <w:r w:rsidR="002A6627" w:rsidRPr="00B966F6">
        <w:rPr>
          <w:rFonts w:ascii="Cambria" w:hAnsi="Cambria"/>
          <w:sz w:val="20"/>
          <w:szCs w:val="20"/>
          <w:lang w:val="es-ES"/>
        </w:rPr>
        <w:t xml:space="preserve"> </w:t>
      </w:r>
      <w:r>
        <w:rPr>
          <w:rFonts w:ascii="Cambria" w:hAnsi="Cambria"/>
          <w:sz w:val="20"/>
          <w:szCs w:val="20"/>
          <w:lang w:val="es-ES"/>
        </w:rPr>
        <w:t xml:space="preserve">Sostiene además </w:t>
      </w:r>
      <w:r w:rsidR="002A6627" w:rsidRPr="00B966F6">
        <w:rPr>
          <w:rFonts w:ascii="Cambria" w:hAnsi="Cambria"/>
          <w:sz w:val="20"/>
          <w:szCs w:val="20"/>
          <w:lang w:val="es-ES"/>
        </w:rPr>
        <w:t xml:space="preserve">que el Estado no ha cumplido con su deber de investigar </w:t>
      </w:r>
      <w:r w:rsidRPr="00B966F6">
        <w:rPr>
          <w:rFonts w:ascii="Cambria" w:hAnsi="Cambria"/>
          <w:sz w:val="20"/>
          <w:szCs w:val="20"/>
          <w:lang w:val="es-ES"/>
        </w:rPr>
        <w:t xml:space="preserve">dentro de plazo razonable </w:t>
      </w:r>
      <w:r w:rsidR="002A6627" w:rsidRPr="00B966F6">
        <w:rPr>
          <w:rFonts w:ascii="Cambria" w:hAnsi="Cambria"/>
          <w:sz w:val="20"/>
          <w:szCs w:val="20"/>
          <w:lang w:val="es-ES"/>
        </w:rPr>
        <w:t xml:space="preserve">y esclarecer los hechos. </w:t>
      </w:r>
    </w:p>
    <w:p w14:paraId="30201F21" w14:textId="77777777" w:rsidR="00B966F6" w:rsidRPr="00B966F6" w:rsidRDefault="00B966F6" w:rsidP="00B966F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b/>
          <w:bCs/>
          <w:sz w:val="20"/>
          <w:szCs w:val="20"/>
          <w:lang w:val="es-ES"/>
        </w:rPr>
      </w:pPr>
    </w:p>
    <w:p w14:paraId="613D47E5" w14:textId="7986C242" w:rsidR="00390590" w:rsidRPr="00B966F6" w:rsidRDefault="002A6627" w:rsidP="00D70C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b/>
          <w:bCs/>
          <w:sz w:val="20"/>
          <w:szCs w:val="20"/>
          <w:lang w:val="es-ES"/>
        </w:rPr>
      </w:pPr>
      <w:r w:rsidRPr="00B966F6">
        <w:rPr>
          <w:rFonts w:ascii="Cambria" w:hAnsi="Cambria"/>
          <w:sz w:val="20"/>
          <w:szCs w:val="20"/>
          <w:lang w:val="es-AR"/>
        </w:rPr>
        <w:t xml:space="preserve">Dada la naturaleza de </w:t>
      </w:r>
      <w:r w:rsidR="00623D20">
        <w:rPr>
          <w:rFonts w:ascii="Cambria" w:hAnsi="Cambria"/>
          <w:sz w:val="20"/>
          <w:szCs w:val="20"/>
          <w:lang w:val="es-AR"/>
        </w:rPr>
        <w:t>lo alegado,</w:t>
      </w:r>
      <w:r w:rsidRPr="00B966F6">
        <w:rPr>
          <w:rFonts w:ascii="Cambria" w:hAnsi="Cambria"/>
          <w:sz w:val="20"/>
          <w:szCs w:val="20"/>
          <w:lang w:val="es-AR"/>
        </w:rPr>
        <w:t xml:space="preserve"> la Comisión </w:t>
      </w:r>
      <w:r w:rsidR="00623D20">
        <w:rPr>
          <w:rFonts w:ascii="Cambria" w:hAnsi="Cambria"/>
          <w:sz w:val="20"/>
          <w:szCs w:val="20"/>
          <w:lang w:val="es-AR"/>
        </w:rPr>
        <w:t xml:space="preserve">debe reiterar </w:t>
      </w:r>
      <w:r w:rsidR="009C527B" w:rsidRPr="00B966F6">
        <w:rPr>
          <w:rFonts w:ascii="Cambria" w:hAnsi="Cambria"/>
          <w:sz w:val="20"/>
          <w:szCs w:val="20"/>
          <w:lang w:val="es-AR"/>
        </w:rPr>
        <w:t xml:space="preserve">que </w:t>
      </w:r>
      <w:r w:rsidR="009C527B" w:rsidRPr="00B966F6">
        <w:rPr>
          <w:rFonts w:ascii="Cambria" w:hAnsi="Cambria"/>
          <w:sz w:val="20"/>
          <w:szCs w:val="20"/>
          <w:lang w:val="es-ES"/>
        </w:rPr>
        <w:t>los Estados tienen “</w:t>
      </w:r>
      <w:r w:rsidR="009C527B" w:rsidRPr="00B966F6">
        <w:rPr>
          <w:rFonts w:ascii="Cambria" w:hAnsi="Cambria" w:cs="Calibri"/>
          <w:sz w:val="20"/>
          <w:szCs w:val="20"/>
          <w:lang w:val="es-ES"/>
        </w:rPr>
        <w:t xml:space="preserve">la obligación de investigar eficientemente y sancionar aquellas actuaciones que pudieran conducir, incluso por </w:t>
      </w:r>
      <w:r w:rsidR="009C527B" w:rsidRPr="00B966F6">
        <w:rPr>
          <w:rFonts w:ascii="Cambria" w:hAnsi="Cambria" w:cs="Calibri"/>
          <w:sz w:val="20"/>
          <w:szCs w:val="20"/>
          <w:lang w:val="es-ES"/>
        </w:rPr>
        <w:lastRenderedPageBreak/>
        <w:t>acción u omisión, a la supresión de la inviolabilidad del derecho a la vida”</w:t>
      </w:r>
      <w:r w:rsidR="009C527B" w:rsidRPr="00B966F6">
        <w:rPr>
          <w:rStyle w:val="FootnoteReference"/>
          <w:rFonts w:ascii="Cambria" w:hAnsi="Cambria" w:cs="Calibri"/>
          <w:sz w:val="20"/>
          <w:szCs w:val="20"/>
          <w:lang w:val="es-ES"/>
        </w:rPr>
        <w:footnoteReference w:id="11"/>
      </w:r>
      <w:r w:rsidR="009C527B" w:rsidRPr="00B966F6">
        <w:rPr>
          <w:rFonts w:ascii="Cambria" w:hAnsi="Cambria" w:cs="Calibri"/>
          <w:sz w:val="20"/>
          <w:szCs w:val="20"/>
          <w:lang w:val="es-ES"/>
        </w:rPr>
        <w:t>.  De igual manera</w:t>
      </w:r>
      <w:r w:rsidR="00623D20">
        <w:rPr>
          <w:rFonts w:ascii="Cambria" w:hAnsi="Cambria" w:cs="Calibri"/>
          <w:sz w:val="20"/>
          <w:szCs w:val="20"/>
          <w:lang w:val="es-ES"/>
        </w:rPr>
        <w:t>,</w:t>
      </w:r>
      <w:r w:rsidR="009C527B" w:rsidRPr="00B966F6">
        <w:rPr>
          <w:rFonts w:ascii="Cambria" w:hAnsi="Cambria" w:cs="Calibri"/>
          <w:sz w:val="20"/>
          <w:szCs w:val="20"/>
          <w:lang w:val="es-ES"/>
        </w:rPr>
        <w:t xml:space="preserve"> ha determinado que “c</w:t>
      </w:r>
      <w:r w:rsidR="009C527B" w:rsidRPr="00B966F6">
        <w:rPr>
          <w:rFonts w:ascii="Cambria" w:hAnsi="Cambria" w:cs="Calibri"/>
          <w:sz w:val="20"/>
          <w:szCs w:val="20"/>
          <w:lang w:val="es-ES_tradnl"/>
        </w:rPr>
        <w:t>omo regla general, una investigación penal debe realizarse prontamente para proteger los intereses de las víctimas, preservar la prueba e incluso salvaguardar los derechos de toda persona que en el contexto de la investigación sea considerada sospechosa</w:t>
      </w:r>
      <w:r w:rsidR="009C527B" w:rsidRPr="00B966F6">
        <w:rPr>
          <w:rStyle w:val="FootnoteReference"/>
          <w:rFonts w:ascii="Cambria" w:hAnsi="Cambria" w:cs="Calibri"/>
          <w:sz w:val="20"/>
          <w:szCs w:val="20"/>
        </w:rPr>
        <w:footnoteReference w:id="12"/>
      </w:r>
      <w:r w:rsidR="00623D20">
        <w:rPr>
          <w:rFonts w:ascii="Cambria" w:hAnsi="Cambria" w:cs="Calibri"/>
          <w:sz w:val="20"/>
          <w:szCs w:val="20"/>
          <w:lang w:val="es-ES_tradnl"/>
        </w:rPr>
        <w:t>”</w:t>
      </w:r>
      <w:r w:rsidR="009C527B" w:rsidRPr="00B966F6">
        <w:rPr>
          <w:rFonts w:ascii="Cambria" w:hAnsi="Cambria" w:cs="Calibri"/>
          <w:sz w:val="20"/>
          <w:szCs w:val="20"/>
          <w:lang w:val="es-ES_tradnl"/>
        </w:rPr>
        <w:t>.</w:t>
      </w:r>
      <w:r w:rsidR="009C527B" w:rsidRPr="00B966F6">
        <w:rPr>
          <w:rFonts w:ascii="Cambria" w:hAnsi="Cambria"/>
          <w:sz w:val="20"/>
          <w:szCs w:val="20"/>
          <w:lang w:val="es-ES_tradnl"/>
        </w:rPr>
        <w:t xml:space="preserve"> </w:t>
      </w:r>
      <w:r w:rsidR="00623D20">
        <w:rPr>
          <w:rFonts w:ascii="Cambria" w:hAnsi="Cambria"/>
          <w:sz w:val="20"/>
          <w:szCs w:val="20"/>
          <w:lang w:val="es-ES_tradnl"/>
        </w:rPr>
        <w:t>Por su parte,</w:t>
      </w:r>
      <w:r w:rsidR="009C527B" w:rsidRPr="00B966F6">
        <w:rPr>
          <w:rFonts w:ascii="Cambria" w:hAnsi="Cambria"/>
          <w:sz w:val="20"/>
          <w:szCs w:val="20"/>
          <w:lang w:val="es-ES_tradnl"/>
        </w:rPr>
        <w:t xml:space="preserve"> la</w:t>
      </w:r>
      <w:r w:rsidRPr="00B966F6">
        <w:rPr>
          <w:rFonts w:ascii="Cambria" w:hAnsi="Cambria"/>
          <w:sz w:val="20"/>
          <w:szCs w:val="20"/>
          <w:lang w:val="es-AR"/>
        </w:rPr>
        <w:t xml:space="preserve"> Corte Interamericana ha establecido que para evaluar la responsabilidad del Estado por falta de </w:t>
      </w:r>
      <w:r w:rsidR="00623D20">
        <w:rPr>
          <w:rFonts w:ascii="Cambria" w:hAnsi="Cambria"/>
          <w:sz w:val="20"/>
          <w:szCs w:val="20"/>
          <w:lang w:val="es-AR"/>
        </w:rPr>
        <w:t xml:space="preserve">prevención de </w:t>
      </w:r>
      <w:r w:rsidRPr="00B966F6">
        <w:rPr>
          <w:rFonts w:ascii="Cambria" w:hAnsi="Cambria"/>
          <w:sz w:val="20"/>
          <w:szCs w:val="20"/>
          <w:lang w:val="es-AR"/>
        </w:rPr>
        <w:t xml:space="preserve">violaciones </w:t>
      </w:r>
      <w:r w:rsidR="00623D20">
        <w:rPr>
          <w:rFonts w:ascii="Cambria" w:hAnsi="Cambria"/>
          <w:sz w:val="20"/>
          <w:szCs w:val="20"/>
          <w:lang w:val="es-AR"/>
        </w:rPr>
        <w:t>de</w:t>
      </w:r>
      <w:r w:rsidRPr="00B966F6">
        <w:rPr>
          <w:rFonts w:ascii="Cambria" w:hAnsi="Cambria"/>
          <w:sz w:val="20"/>
          <w:szCs w:val="20"/>
          <w:lang w:val="es-AR"/>
        </w:rPr>
        <w:t xml:space="preserve"> derechos humanos</w:t>
      </w:r>
      <w:r w:rsidR="00623D20">
        <w:rPr>
          <w:rFonts w:ascii="Cambria" w:hAnsi="Cambria"/>
          <w:sz w:val="20"/>
          <w:szCs w:val="20"/>
          <w:lang w:val="es-AR"/>
        </w:rPr>
        <w:t xml:space="preserve">, se debe </w:t>
      </w:r>
      <w:r w:rsidRPr="00B966F6">
        <w:rPr>
          <w:rFonts w:ascii="Cambria" w:hAnsi="Cambria"/>
          <w:sz w:val="20"/>
          <w:szCs w:val="20"/>
          <w:lang w:val="es-AR"/>
        </w:rPr>
        <w:t xml:space="preserve">verificar </w:t>
      </w:r>
      <w:r w:rsidR="00623D20">
        <w:rPr>
          <w:rFonts w:ascii="Cambria" w:hAnsi="Cambria"/>
          <w:sz w:val="20"/>
          <w:szCs w:val="20"/>
          <w:lang w:val="es-AR"/>
        </w:rPr>
        <w:t>si</w:t>
      </w:r>
      <w:r w:rsidRPr="00B966F6">
        <w:rPr>
          <w:rFonts w:ascii="Cambria" w:hAnsi="Cambria"/>
          <w:sz w:val="20"/>
          <w:szCs w:val="20"/>
          <w:lang w:val="es-AR"/>
        </w:rPr>
        <w:t xml:space="preserve"> </w:t>
      </w:r>
      <w:r w:rsidR="00623D20">
        <w:rPr>
          <w:rFonts w:ascii="Cambria" w:hAnsi="Cambria"/>
          <w:sz w:val="20"/>
          <w:szCs w:val="20"/>
          <w:lang w:val="es-AR"/>
        </w:rPr>
        <w:t>hab</w:t>
      </w:r>
      <w:r w:rsidRPr="00B966F6">
        <w:rPr>
          <w:rFonts w:ascii="Cambria" w:hAnsi="Cambria"/>
          <w:sz w:val="20"/>
          <w:szCs w:val="20"/>
          <w:lang w:val="es-AR"/>
        </w:rPr>
        <w:t>ía una situación de riesgo real e inmediato para individuos o grupos de individuos determinados</w:t>
      </w:r>
      <w:r w:rsidR="00623D20">
        <w:rPr>
          <w:rFonts w:ascii="Cambria" w:hAnsi="Cambria"/>
          <w:sz w:val="20"/>
          <w:szCs w:val="20"/>
          <w:lang w:val="es-AR"/>
        </w:rPr>
        <w:t>;</w:t>
      </w:r>
      <w:r w:rsidRPr="00B966F6">
        <w:rPr>
          <w:rFonts w:ascii="Cambria" w:hAnsi="Cambria"/>
          <w:sz w:val="20"/>
          <w:szCs w:val="20"/>
          <w:lang w:val="es-AR"/>
        </w:rPr>
        <w:t xml:space="preserve"> </w:t>
      </w:r>
      <w:r w:rsidR="00623D20">
        <w:rPr>
          <w:rFonts w:ascii="Cambria" w:hAnsi="Cambria"/>
          <w:sz w:val="20"/>
          <w:szCs w:val="20"/>
          <w:lang w:val="es-AR"/>
        </w:rPr>
        <w:t>si</w:t>
      </w:r>
      <w:r w:rsidRPr="00B966F6">
        <w:rPr>
          <w:rFonts w:ascii="Cambria" w:hAnsi="Cambria"/>
          <w:sz w:val="20"/>
          <w:szCs w:val="20"/>
          <w:lang w:val="es-AR"/>
        </w:rPr>
        <w:t xml:space="preserve"> las autoridades </w:t>
      </w:r>
      <w:r w:rsidR="00623D20" w:rsidRPr="00B966F6">
        <w:rPr>
          <w:rFonts w:ascii="Cambria" w:hAnsi="Cambria"/>
          <w:sz w:val="20"/>
          <w:szCs w:val="20"/>
          <w:lang w:val="es-AR"/>
        </w:rPr>
        <w:t>conocían</w:t>
      </w:r>
      <w:r w:rsidRPr="00B966F6">
        <w:rPr>
          <w:rFonts w:ascii="Cambria" w:hAnsi="Cambria"/>
          <w:sz w:val="20"/>
          <w:szCs w:val="20"/>
          <w:lang w:val="es-AR"/>
        </w:rPr>
        <w:t xml:space="preserve"> o </w:t>
      </w:r>
      <w:r w:rsidR="00623D20">
        <w:rPr>
          <w:rFonts w:ascii="Cambria" w:hAnsi="Cambria"/>
          <w:sz w:val="20"/>
          <w:szCs w:val="20"/>
          <w:lang w:val="es-AR"/>
        </w:rPr>
        <w:t>deberían conocer tal</w:t>
      </w:r>
      <w:r w:rsidRPr="00B966F6">
        <w:rPr>
          <w:rFonts w:ascii="Cambria" w:hAnsi="Cambria"/>
          <w:sz w:val="20"/>
          <w:szCs w:val="20"/>
          <w:lang w:val="es-AR"/>
        </w:rPr>
        <w:t xml:space="preserve"> riesgo y que, pese a ello, </w:t>
      </w:r>
      <w:r w:rsidR="00623D20">
        <w:rPr>
          <w:rFonts w:ascii="Cambria" w:hAnsi="Cambria"/>
          <w:sz w:val="20"/>
          <w:szCs w:val="20"/>
          <w:lang w:val="es-AR"/>
        </w:rPr>
        <w:t xml:space="preserve">no hubieran </w:t>
      </w:r>
      <w:r w:rsidRPr="00B966F6">
        <w:rPr>
          <w:rFonts w:ascii="Cambria" w:hAnsi="Cambria"/>
          <w:sz w:val="20"/>
          <w:szCs w:val="20"/>
          <w:lang w:val="es-AR"/>
        </w:rPr>
        <w:t>adoptado “</w:t>
      </w:r>
      <w:r w:rsidRPr="00B966F6">
        <w:rPr>
          <w:rFonts w:ascii="Cambria" w:hAnsi="Cambria"/>
          <w:sz w:val="20"/>
          <w:szCs w:val="20"/>
          <w:lang w:val="es-PA"/>
        </w:rPr>
        <w:t>las medidas necesarias dentro del ámbito de sus atribuciones que, juzgadas razonablemente, podían esperarse para prevenir o evitar ese riesgo”</w:t>
      </w:r>
      <w:r w:rsidR="009C527B" w:rsidRPr="00B966F6">
        <w:rPr>
          <w:rStyle w:val="FootnoteReference"/>
          <w:rFonts w:ascii="Cambria" w:hAnsi="Cambria"/>
          <w:sz w:val="20"/>
          <w:szCs w:val="20"/>
          <w:lang w:val="es-PA"/>
        </w:rPr>
        <w:t xml:space="preserve"> </w:t>
      </w:r>
      <w:r w:rsidR="009C527B" w:rsidRPr="00B966F6">
        <w:rPr>
          <w:rStyle w:val="FootnoteReference"/>
          <w:rFonts w:ascii="Cambria" w:hAnsi="Cambria"/>
          <w:sz w:val="20"/>
          <w:szCs w:val="20"/>
          <w:lang w:val="es-PA"/>
        </w:rPr>
        <w:footnoteReference w:id="13"/>
      </w:r>
      <w:r w:rsidR="009C527B" w:rsidRPr="00B966F6">
        <w:rPr>
          <w:rFonts w:ascii="Cambria" w:hAnsi="Cambria"/>
          <w:sz w:val="20"/>
          <w:szCs w:val="20"/>
          <w:lang w:val="es-PA"/>
        </w:rPr>
        <w:t xml:space="preserve">. Respecto a este último punto, la Comisión </w:t>
      </w:r>
      <w:r w:rsidR="00623D20">
        <w:rPr>
          <w:rFonts w:ascii="Cambria" w:hAnsi="Cambria"/>
          <w:sz w:val="20"/>
          <w:szCs w:val="20"/>
          <w:lang w:val="es-PA"/>
        </w:rPr>
        <w:t xml:space="preserve">Interamericana </w:t>
      </w:r>
      <w:r w:rsidR="009C527B" w:rsidRPr="00B966F6">
        <w:rPr>
          <w:rFonts w:ascii="Cambria" w:hAnsi="Cambria"/>
          <w:sz w:val="20"/>
          <w:szCs w:val="20"/>
          <w:lang w:val="es-PA"/>
        </w:rPr>
        <w:t xml:space="preserve">toma nota de </w:t>
      </w:r>
      <w:r w:rsidR="00623D20">
        <w:rPr>
          <w:rFonts w:ascii="Cambria" w:hAnsi="Cambria"/>
          <w:sz w:val="20"/>
          <w:szCs w:val="20"/>
          <w:lang w:val="es-PA"/>
        </w:rPr>
        <w:t xml:space="preserve">las razones que ofrece </w:t>
      </w:r>
      <w:r w:rsidR="009C527B" w:rsidRPr="00B966F6">
        <w:rPr>
          <w:rFonts w:ascii="Cambria" w:hAnsi="Cambria"/>
          <w:sz w:val="20"/>
          <w:szCs w:val="20"/>
          <w:lang w:val="es-PA"/>
        </w:rPr>
        <w:t>el Estado que habrían impedido a las fuerzas de policía brindar auxilio a las presuntas víctimas</w:t>
      </w:r>
      <w:r w:rsidR="00623D20">
        <w:rPr>
          <w:rFonts w:ascii="Cambria" w:hAnsi="Cambria"/>
          <w:sz w:val="20"/>
          <w:szCs w:val="20"/>
          <w:lang w:val="es-PA"/>
        </w:rPr>
        <w:t>;</w:t>
      </w:r>
      <w:r w:rsidR="009C527B" w:rsidRPr="00B966F6">
        <w:rPr>
          <w:rFonts w:ascii="Cambria" w:hAnsi="Cambria"/>
          <w:sz w:val="20"/>
          <w:szCs w:val="20"/>
          <w:lang w:val="es-PA"/>
        </w:rPr>
        <w:t xml:space="preserve"> </w:t>
      </w:r>
      <w:r w:rsidR="00623D20">
        <w:rPr>
          <w:rFonts w:ascii="Cambria" w:hAnsi="Cambria"/>
          <w:sz w:val="20"/>
          <w:szCs w:val="20"/>
          <w:lang w:val="es-PA"/>
        </w:rPr>
        <w:t>s</w:t>
      </w:r>
      <w:r w:rsidR="009C527B" w:rsidRPr="00B966F6">
        <w:rPr>
          <w:rFonts w:ascii="Cambria" w:hAnsi="Cambria"/>
          <w:sz w:val="20"/>
          <w:szCs w:val="20"/>
          <w:lang w:val="es-PA"/>
        </w:rPr>
        <w:t xml:space="preserve">in embargo, estima que </w:t>
      </w:r>
      <w:r w:rsidR="00390590" w:rsidRPr="00B966F6">
        <w:rPr>
          <w:rFonts w:ascii="Cambria" w:hAnsi="Cambria"/>
          <w:sz w:val="20"/>
          <w:szCs w:val="20"/>
          <w:lang w:val="es-PA"/>
        </w:rPr>
        <w:t xml:space="preserve">la determinación </w:t>
      </w:r>
      <w:r w:rsidR="00623D20">
        <w:rPr>
          <w:rFonts w:ascii="Cambria" w:hAnsi="Cambria"/>
          <w:sz w:val="20"/>
          <w:szCs w:val="20"/>
          <w:lang w:val="es-PA"/>
        </w:rPr>
        <w:t xml:space="preserve">sobre la razonabilidad de </w:t>
      </w:r>
      <w:r w:rsidR="00390590" w:rsidRPr="00B966F6">
        <w:rPr>
          <w:rFonts w:ascii="Cambria" w:hAnsi="Cambria"/>
          <w:sz w:val="20"/>
          <w:szCs w:val="20"/>
          <w:lang w:val="es-PA"/>
        </w:rPr>
        <w:t xml:space="preserve">la actuación de </w:t>
      </w:r>
      <w:r w:rsidR="00623D20">
        <w:rPr>
          <w:rFonts w:ascii="Cambria" w:hAnsi="Cambria"/>
          <w:sz w:val="20"/>
          <w:szCs w:val="20"/>
          <w:lang w:val="es-PA"/>
        </w:rPr>
        <w:t xml:space="preserve">dichas </w:t>
      </w:r>
      <w:r w:rsidR="00390590" w:rsidRPr="00B966F6">
        <w:rPr>
          <w:rFonts w:ascii="Cambria" w:hAnsi="Cambria"/>
          <w:sz w:val="20"/>
          <w:szCs w:val="20"/>
          <w:lang w:val="es-PA"/>
        </w:rPr>
        <w:t>autoridades corresponde a la etapa de fondo.</w:t>
      </w:r>
    </w:p>
    <w:p w14:paraId="322657A0" w14:textId="77777777" w:rsidR="00B966F6" w:rsidRPr="00B966F6" w:rsidRDefault="00B966F6" w:rsidP="00623D2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b/>
          <w:bCs/>
          <w:sz w:val="20"/>
          <w:szCs w:val="20"/>
          <w:lang w:val="es-ES"/>
        </w:rPr>
      </w:pPr>
    </w:p>
    <w:p w14:paraId="2BCF2C02" w14:textId="2D885145" w:rsidR="002A6627" w:rsidRPr="00B966F6" w:rsidRDefault="00390590" w:rsidP="00D70C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b/>
          <w:bCs/>
          <w:sz w:val="20"/>
          <w:szCs w:val="20"/>
          <w:lang w:val="es-ES"/>
        </w:rPr>
      </w:pPr>
      <w:r w:rsidRPr="00B966F6">
        <w:rPr>
          <w:rFonts w:ascii="Cambria" w:hAnsi="Cambria"/>
          <w:sz w:val="20"/>
          <w:szCs w:val="20"/>
          <w:lang w:val="es-ES"/>
        </w:rPr>
        <w:t>En atención a estas consideraciones y tras examinar los elementos de hecho y de derecho expuestos por las partes</w:t>
      </w:r>
      <w:r w:rsidR="00623D20">
        <w:rPr>
          <w:rFonts w:ascii="Cambria" w:hAnsi="Cambria"/>
          <w:sz w:val="20"/>
          <w:szCs w:val="20"/>
          <w:lang w:val="es-ES"/>
        </w:rPr>
        <w:t>,</w:t>
      </w:r>
      <w:r w:rsidRPr="00B966F6">
        <w:rPr>
          <w:rFonts w:ascii="Cambria" w:hAnsi="Cambria"/>
          <w:sz w:val="20"/>
          <w:szCs w:val="20"/>
          <w:lang w:val="es-ES"/>
        </w:rPr>
        <w:t xml:space="preserve"> la C</w:t>
      </w:r>
      <w:r w:rsidR="00623D20">
        <w:rPr>
          <w:rFonts w:ascii="Cambria" w:hAnsi="Cambria"/>
          <w:sz w:val="20"/>
          <w:szCs w:val="20"/>
          <w:lang w:val="es-ES"/>
        </w:rPr>
        <w:t>IDH</w:t>
      </w:r>
      <w:r w:rsidRPr="00B966F6">
        <w:rPr>
          <w:rFonts w:ascii="Cambria" w:hAnsi="Cambria"/>
          <w:sz w:val="20"/>
          <w:szCs w:val="20"/>
          <w:lang w:val="es-ES"/>
        </w:rPr>
        <w:t xml:space="preserve"> estima que </w:t>
      </w:r>
      <w:r w:rsidR="00623D20">
        <w:rPr>
          <w:rFonts w:ascii="Cambria" w:hAnsi="Cambria"/>
          <w:sz w:val="20"/>
          <w:szCs w:val="20"/>
          <w:lang w:val="es-ES"/>
        </w:rPr>
        <w:t xml:space="preserve">los alegatos </w:t>
      </w:r>
      <w:r w:rsidRPr="00B966F6">
        <w:rPr>
          <w:rFonts w:ascii="Cambria" w:hAnsi="Cambria"/>
          <w:sz w:val="20"/>
          <w:szCs w:val="20"/>
          <w:lang w:val="es-ES"/>
        </w:rPr>
        <w:t>de la parte peticionaria no resultan manifiestamente infundad</w:t>
      </w:r>
      <w:r w:rsidR="00623D20">
        <w:rPr>
          <w:rFonts w:ascii="Cambria" w:hAnsi="Cambria"/>
          <w:sz w:val="20"/>
          <w:szCs w:val="20"/>
          <w:lang w:val="es-ES"/>
        </w:rPr>
        <w:t>o</w:t>
      </w:r>
      <w:r w:rsidRPr="00B966F6">
        <w:rPr>
          <w:rFonts w:ascii="Cambria" w:hAnsi="Cambria"/>
          <w:sz w:val="20"/>
          <w:szCs w:val="20"/>
          <w:lang w:val="es-ES"/>
        </w:rPr>
        <w:t>s y requieren un estudio de fondo pues los hechos alegados, de corroborarse como ciertos</w:t>
      </w:r>
      <w:r w:rsidR="00623D20">
        <w:rPr>
          <w:rFonts w:ascii="Cambria" w:hAnsi="Cambria"/>
          <w:sz w:val="20"/>
          <w:szCs w:val="20"/>
          <w:lang w:val="es-ES"/>
        </w:rPr>
        <w:t>,</w:t>
      </w:r>
      <w:r w:rsidRPr="00B966F6">
        <w:rPr>
          <w:rFonts w:ascii="Cambria" w:hAnsi="Cambria"/>
          <w:sz w:val="20"/>
          <w:szCs w:val="20"/>
          <w:lang w:val="es-ES"/>
        </w:rPr>
        <w:t xml:space="preserve"> podrían c</w:t>
      </w:r>
      <w:r w:rsidR="00623D20">
        <w:rPr>
          <w:rFonts w:ascii="Cambria" w:hAnsi="Cambria"/>
          <w:sz w:val="20"/>
          <w:szCs w:val="20"/>
          <w:lang w:val="es-ES"/>
        </w:rPr>
        <w:t>onstituir</w:t>
      </w:r>
      <w:r w:rsidRPr="00B966F6">
        <w:rPr>
          <w:rFonts w:ascii="Cambria" w:hAnsi="Cambria"/>
          <w:sz w:val="20"/>
          <w:szCs w:val="20"/>
          <w:lang w:val="es-ES"/>
        </w:rPr>
        <w:t xml:space="preserve"> violaciones </w:t>
      </w:r>
      <w:r w:rsidR="00623D20">
        <w:rPr>
          <w:rFonts w:ascii="Cambria" w:hAnsi="Cambria"/>
          <w:sz w:val="20"/>
          <w:szCs w:val="20"/>
          <w:lang w:val="es-ES"/>
        </w:rPr>
        <w:t>de</w:t>
      </w:r>
      <w:r w:rsidRPr="00B966F6">
        <w:rPr>
          <w:rFonts w:ascii="Cambria" w:hAnsi="Cambria"/>
          <w:sz w:val="20"/>
          <w:szCs w:val="20"/>
          <w:lang w:val="es-ES"/>
        </w:rPr>
        <w:t xml:space="preserve"> los </w:t>
      </w:r>
      <w:r w:rsidR="00623D20">
        <w:rPr>
          <w:rFonts w:ascii="Cambria" w:hAnsi="Cambria"/>
          <w:sz w:val="20"/>
          <w:szCs w:val="20"/>
          <w:lang w:val="es-ES"/>
        </w:rPr>
        <w:t xml:space="preserve">derechos reconocidos en los </w:t>
      </w:r>
      <w:r w:rsidRPr="00B966F6">
        <w:rPr>
          <w:rFonts w:ascii="Cambria" w:hAnsi="Cambria"/>
          <w:bCs/>
          <w:sz w:val="20"/>
          <w:szCs w:val="20"/>
          <w:lang w:val="es-ES"/>
        </w:rPr>
        <w:t xml:space="preserve">artículos </w:t>
      </w:r>
      <w:r w:rsidRPr="00B966F6">
        <w:rPr>
          <w:rFonts w:ascii="Cambria" w:hAnsi="Cambria"/>
          <w:bCs/>
          <w:sz w:val="20"/>
          <w:szCs w:val="20"/>
          <w:lang w:val="es-ES" w:eastAsia="es-ES"/>
        </w:rPr>
        <w:t>4 (vida), 5 (integridad personal), 7 (libertad personal), 8 (garantías judiciales), 11 (honra y dignidad) y 25 (protección judicial) de la Convenci</w:t>
      </w:r>
      <w:r w:rsidR="00E638D2" w:rsidRPr="00B966F6">
        <w:rPr>
          <w:rFonts w:ascii="Cambria" w:hAnsi="Cambria"/>
          <w:bCs/>
          <w:sz w:val="20"/>
          <w:szCs w:val="20"/>
          <w:lang w:val="es-ES" w:eastAsia="es-ES"/>
        </w:rPr>
        <w:t>ón Americana en relación con su artículo</w:t>
      </w:r>
      <w:r w:rsidRPr="00B966F6">
        <w:rPr>
          <w:rFonts w:ascii="Cambria" w:hAnsi="Cambria"/>
          <w:bCs/>
          <w:sz w:val="20"/>
          <w:szCs w:val="20"/>
          <w:lang w:val="es-ES" w:eastAsia="es-ES"/>
        </w:rPr>
        <w:t xml:space="preserve"> 1.1 (oblig</w:t>
      </w:r>
      <w:r w:rsidR="00E638D2" w:rsidRPr="00B966F6">
        <w:rPr>
          <w:rFonts w:ascii="Cambria" w:hAnsi="Cambria"/>
          <w:bCs/>
          <w:sz w:val="20"/>
          <w:szCs w:val="20"/>
          <w:lang w:val="es-ES" w:eastAsia="es-ES"/>
        </w:rPr>
        <w:t>ación de respetar los derechos).</w:t>
      </w:r>
    </w:p>
    <w:p w14:paraId="043A226D" w14:textId="77777777" w:rsidR="00B966F6" w:rsidRPr="00B966F6" w:rsidRDefault="00B966F6" w:rsidP="00B966F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b/>
          <w:bCs/>
          <w:sz w:val="20"/>
          <w:szCs w:val="20"/>
          <w:lang w:val="es-ES"/>
        </w:rPr>
      </w:pPr>
    </w:p>
    <w:p w14:paraId="6B684F15" w14:textId="260420DA" w:rsidR="00390590" w:rsidRPr="00623D20" w:rsidRDefault="00E638D2" w:rsidP="00D70C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b/>
          <w:bCs/>
          <w:sz w:val="20"/>
          <w:szCs w:val="20"/>
          <w:lang w:val="es-ES"/>
        </w:rPr>
      </w:pPr>
      <w:r w:rsidRPr="00B966F6">
        <w:rPr>
          <w:rFonts w:ascii="Cambria" w:hAnsi="Cambria"/>
          <w:bCs/>
          <w:sz w:val="20"/>
          <w:szCs w:val="20"/>
          <w:lang w:val="es-PA"/>
        </w:rPr>
        <w:t xml:space="preserve">En cuanto las </w:t>
      </w:r>
      <w:r w:rsidR="00623D20">
        <w:rPr>
          <w:rFonts w:ascii="Cambria" w:hAnsi="Cambria"/>
          <w:bCs/>
          <w:sz w:val="20"/>
          <w:szCs w:val="20"/>
          <w:lang w:val="es-PA"/>
        </w:rPr>
        <w:t xml:space="preserve">presuntas </w:t>
      </w:r>
      <w:r w:rsidRPr="00B966F6">
        <w:rPr>
          <w:rFonts w:ascii="Cambria" w:hAnsi="Cambria"/>
          <w:bCs/>
          <w:sz w:val="20"/>
          <w:szCs w:val="20"/>
          <w:lang w:val="es-PA"/>
        </w:rPr>
        <w:t xml:space="preserve">violaciones </w:t>
      </w:r>
      <w:r w:rsidR="00623D20">
        <w:rPr>
          <w:rFonts w:ascii="Cambria" w:hAnsi="Cambria"/>
          <w:bCs/>
          <w:sz w:val="20"/>
          <w:szCs w:val="20"/>
          <w:lang w:val="es-PA"/>
        </w:rPr>
        <w:t>de</w:t>
      </w:r>
      <w:r w:rsidRPr="00B966F6">
        <w:rPr>
          <w:rFonts w:ascii="Cambria" w:hAnsi="Cambria"/>
          <w:bCs/>
          <w:sz w:val="20"/>
          <w:szCs w:val="20"/>
          <w:lang w:val="es-PA"/>
        </w:rPr>
        <w:t xml:space="preserve"> los artículos I (vida, libertad, seguridad e integridad), V (honra, reputación personal y vida privada y familiar) y XVIII (justicia) de la Declaración Americana, la Comisión </w:t>
      </w:r>
      <w:r w:rsidR="00623D20">
        <w:rPr>
          <w:rFonts w:ascii="Cambria" w:hAnsi="Cambria"/>
          <w:bCs/>
          <w:sz w:val="20"/>
          <w:szCs w:val="20"/>
          <w:lang w:val="es-PA"/>
        </w:rPr>
        <w:t xml:space="preserve">Interamericana </w:t>
      </w:r>
      <w:r w:rsidRPr="00B966F6">
        <w:rPr>
          <w:rFonts w:ascii="Cambria" w:hAnsi="Cambria"/>
          <w:bCs/>
          <w:sz w:val="20"/>
          <w:szCs w:val="20"/>
          <w:lang w:val="es-ES"/>
        </w:rPr>
        <w:t xml:space="preserve">ya ha determinado que </w:t>
      </w:r>
      <w:r w:rsidRPr="00B966F6">
        <w:rPr>
          <w:rFonts w:ascii="Cambria" w:hAnsi="Cambria" w:cs="Calibri"/>
          <w:sz w:val="20"/>
          <w:szCs w:val="20"/>
          <w:lang w:val="es-ES_tradnl"/>
        </w:rPr>
        <w:t xml:space="preserve">una vez que la Convención Americana entra en vigor en relación con un Estado, ésta pasa a ser la fuente primaria de derecho aplicable, siempre que la petición se refiera a la presunta violación de derechos idénticos en ambos instrumentos y </w:t>
      </w:r>
      <w:r w:rsidR="00CB0013">
        <w:rPr>
          <w:rFonts w:ascii="Cambria" w:hAnsi="Cambria" w:cs="Calibri"/>
          <w:sz w:val="20"/>
          <w:szCs w:val="20"/>
          <w:lang w:val="es-ES_tradnl"/>
        </w:rPr>
        <w:t xml:space="preserve">que </w:t>
      </w:r>
      <w:r w:rsidRPr="00B966F6">
        <w:rPr>
          <w:rFonts w:ascii="Cambria" w:hAnsi="Cambria" w:cs="Calibri"/>
          <w:sz w:val="20"/>
          <w:szCs w:val="20"/>
          <w:lang w:val="es-ES_tradnl"/>
        </w:rPr>
        <w:t xml:space="preserve">no se trate de </w:t>
      </w:r>
      <w:r w:rsidR="00CB0013">
        <w:rPr>
          <w:rFonts w:ascii="Cambria" w:hAnsi="Cambria" w:cs="Calibri"/>
          <w:sz w:val="20"/>
          <w:szCs w:val="20"/>
          <w:lang w:val="es-ES_tradnl"/>
        </w:rPr>
        <w:t xml:space="preserve">violaciones </w:t>
      </w:r>
      <w:r w:rsidRPr="00B966F6">
        <w:rPr>
          <w:rFonts w:ascii="Cambria" w:hAnsi="Cambria" w:cs="Calibri"/>
          <w:sz w:val="20"/>
          <w:szCs w:val="20"/>
          <w:lang w:val="es-ES_tradnl"/>
        </w:rPr>
        <w:t>continua</w:t>
      </w:r>
      <w:r w:rsidR="00CB0013">
        <w:rPr>
          <w:rFonts w:ascii="Cambria" w:hAnsi="Cambria" w:cs="Calibri"/>
          <w:sz w:val="20"/>
          <w:szCs w:val="20"/>
          <w:lang w:val="es-ES_tradnl"/>
        </w:rPr>
        <w:t>s</w:t>
      </w:r>
      <w:r w:rsidRPr="00B966F6">
        <w:rPr>
          <w:rFonts w:ascii="Cambria" w:hAnsi="Cambria" w:cs="Calibri"/>
          <w:sz w:val="20"/>
          <w:szCs w:val="20"/>
          <w:lang w:val="es-ES_tradnl"/>
        </w:rPr>
        <w:t>. En el presente caso la C</w:t>
      </w:r>
      <w:r w:rsidR="00CB0013">
        <w:rPr>
          <w:rFonts w:ascii="Cambria" w:hAnsi="Cambria" w:cs="Calibri"/>
          <w:sz w:val="20"/>
          <w:szCs w:val="20"/>
          <w:lang w:val="es-ES_tradnl"/>
        </w:rPr>
        <w:t>IDH</w:t>
      </w:r>
      <w:r w:rsidRPr="00B966F6">
        <w:rPr>
          <w:rFonts w:ascii="Cambria" w:hAnsi="Cambria" w:cs="Calibri"/>
          <w:sz w:val="20"/>
          <w:szCs w:val="20"/>
          <w:lang w:val="es-ES_tradnl"/>
        </w:rPr>
        <w:t xml:space="preserve"> considera que </w:t>
      </w:r>
      <w:r w:rsidR="00CB0013">
        <w:rPr>
          <w:rFonts w:ascii="Cambria" w:hAnsi="Cambria" w:cs="Calibri"/>
          <w:sz w:val="20"/>
          <w:szCs w:val="20"/>
          <w:lang w:val="es-ES_tradnl"/>
        </w:rPr>
        <w:t>los alegatos referidos a tale</w:t>
      </w:r>
      <w:r w:rsidRPr="00B966F6">
        <w:rPr>
          <w:rFonts w:ascii="Cambria" w:hAnsi="Cambria" w:cs="Calibri"/>
          <w:sz w:val="20"/>
          <w:szCs w:val="20"/>
          <w:lang w:val="es-ES_tradnl"/>
        </w:rPr>
        <w:t xml:space="preserve">s </w:t>
      </w:r>
      <w:r w:rsidR="00CB0013">
        <w:rPr>
          <w:rFonts w:ascii="Cambria" w:hAnsi="Cambria" w:cs="Calibri"/>
          <w:sz w:val="20"/>
          <w:szCs w:val="20"/>
          <w:lang w:val="es-ES_tradnl"/>
        </w:rPr>
        <w:t>disposiciones</w:t>
      </w:r>
      <w:r w:rsidRPr="00B966F6">
        <w:rPr>
          <w:rFonts w:ascii="Cambria" w:hAnsi="Cambria" w:cs="Calibri"/>
          <w:sz w:val="20"/>
          <w:szCs w:val="20"/>
          <w:lang w:val="es-ES_tradnl"/>
        </w:rPr>
        <w:t xml:space="preserve"> </w:t>
      </w:r>
      <w:r w:rsidR="00CB0013">
        <w:rPr>
          <w:rFonts w:ascii="Cambria" w:hAnsi="Cambria" w:cs="Calibri"/>
          <w:sz w:val="20"/>
          <w:szCs w:val="20"/>
          <w:lang w:val="es-ES_tradnl"/>
        </w:rPr>
        <w:t xml:space="preserve">están dentro del </w:t>
      </w:r>
      <w:r w:rsidRPr="00B966F6">
        <w:rPr>
          <w:rFonts w:ascii="Cambria" w:hAnsi="Cambria" w:cs="Calibri"/>
          <w:sz w:val="20"/>
          <w:szCs w:val="20"/>
          <w:lang w:val="es-ES_tradnl"/>
        </w:rPr>
        <w:t xml:space="preserve">ámbito </w:t>
      </w:r>
      <w:r w:rsidR="00CB0013">
        <w:rPr>
          <w:rFonts w:ascii="Cambria" w:hAnsi="Cambria" w:cs="Calibri"/>
          <w:sz w:val="20"/>
          <w:szCs w:val="20"/>
          <w:lang w:val="es-ES_tradnl"/>
        </w:rPr>
        <w:t>d</w:t>
      </w:r>
      <w:r w:rsidRPr="00B966F6">
        <w:rPr>
          <w:rFonts w:ascii="Cambria" w:hAnsi="Cambria" w:cs="Calibri"/>
          <w:sz w:val="20"/>
          <w:szCs w:val="20"/>
          <w:lang w:val="es-ES_tradnl"/>
        </w:rPr>
        <w:t>e protección de los artículos 4, 5, 7, 8, 11 y 25 de la Convención Americana,</w:t>
      </w:r>
      <w:r w:rsidR="00427495" w:rsidRPr="00B966F6">
        <w:rPr>
          <w:rFonts w:ascii="Cambria" w:hAnsi="Cambria" w:cs="Calibri"/>
          <w:sz w:val="20"/>
          <w:szCs w:val="20"/>
          <w:lang w:val="es-ES_tradnl"/>
        </w:rPr>
        <w:t xml:space="preserve"> por lo que </w:t>
      </w:r>
      <w:r w:rsidRPr="00B966F6">
        <w:rPr>
          <w:rFonts w:ascii="Cambria" w:hAnsi="Cambria" w:cs="Calibri"/>
          <w:sz w:val="20"/>
          <w:szCs w:val="20"/>
          <w:lang w:val="es-ES_tradnl"/>
        </w:rPr>
        <w:t>las examinará a la luz de estos.</w:t>
      </w:r>
    </w:p>
    <w:p w14:paraId="34407998" w14:textId="77777777" w:rsidR="00623D20" w:rsidRPr="00B966F6" w:rsidRDefault="00623D20" w:rsidP="00623D2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b/>
          <w:bCs/>
          <w:sz w:val="20"/>
          <w:szCs w:val="20"/>
          <w:lang w:val="es-ES"/>
        </w:rPr>
      </w:pPr>
    </w:p>
    <w:p w14:paraId="61ABB8ED" w14:textId="086DD161" w:rsidR="00E638D2" w:rsidRPr="00B966F6" w:rsidRDefault="00E638D2" w:rsidP="00D70C9D">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MX"/>
        </w:rPr>
      </w:pPr>
      <w:r w:rsidRPr="00B966F6">
        <w:rPr>
          <w:rFonts w:cs="Calibri"/>
          <w:sz w:val="20"/>
          <w:szCs w:val="20"/>
          <w:lang w:val="es-ES_tradnl"/>
        </w:rPr>
        <w:t xml:space="preserve">Con respecto a los alegatos referidos a la llamada </w:t>
      </w:r>
      <w:r w:rsidR="00CB0013">
        <w:rPr>
          <w:rFonts w:cs="Calibri"/>
          <w:sz w:val="20"/>
          <w:szCs w:val="20"/>
          <w:lang w:val="es-ES_tradnl"/>
        </w:rPr>
        <w:t>“</w:t>
      </w:r>
      <w:r w:rsidRPr="00B966F6">
        <w:rPr>
          <w:rFonts w:cs="Calibri"/>
          <w:sz w:val="20"/>
          <w:szCs w:val="20"/>
          <w:lang w:val="es-ES_tradnl"/>
        </w:rPr>
        <w:t xml:space="preserve">fórmula de </w:t>
      </w:r>
      <w:r w:rsidR="00CB0013">
        <w:rPr>
          <w:rFonts w:cs="Calibri"/>
          <w:sz w:val="20"/>
          <w:szCs w:val="20"/>
          <w:lang w:val="es-ES_tradnl"/>
        </w:rPr>
        <w:t xml:space="preserve">la </w:t>
      </w:r>
      <w:r w:rsidRPr="00B966F6">
        <w:rPr>
          <w:rFonts w:cs="Calibri"/>
          <w:sz w:val="20"/>
          <w:szCs w:val="20"/>
          <w:lang w:val="es-ES_tradnl"/>
        </w:rPr>
        <w:t>cuarta instancia”</w:t>
      </w:r>
      <w:r w:rsidRPr="00B966F6">
        <w:rPr>
          <w:sz w:val="20"/>
          <w:szCs w:val="20"/>
          <w:lang w:val="es-ES_tradnl"/>
        </w:rPr>
        <w:t xml:space="preserve">, la Comisión </w:t>
      </w:r>
      <w:r w:rsidR="00CB0013">
        <w:rPr>
          <w:sz w:val="20"/>
          <w:szCs w:val="20"/>
          <w:lang w:val="es-ES_tradnl"/>
        </w:rPr>
        <w:t xml:space="preserve">Interamericana </w:t>
      </w:r>
      <w:r w:rsidRPr="00B966F6">
        <w:rPr>
          <w:sz w:val="20"/>
          <w:szCs w:val="20"/>
          <w:lang w:val="es-ES_tradnl"/>
        </w:rPr>
        <w:t xml:space="preserve">reitera que, a efectos de la admisibilidad,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esos requisitos difiere del que se utiliza para pronunciarse sobre el fondo de una petición. Asimismo, </w:t>
      </w:r>
      <w:r w:rsidR="00CB0013">
        <w:rPr>
          <w:sz w:val="20"/>
          <w:szCs w:val="20"/>
          <w:lang w:val="es-ES_tradnl"/>
        </w:rPr>
        <w:t xml:space="preserve">la CIDH </w:t>
      </w:r>
      <w:r w:rsidRPr="00B966F6">
        <w:rPr>
          <w:sz w:val="20"/>
          <w:szCs w:val="20"/>
          <w:lang w:val="es-ES_tradnl"/>
        </w:rPr>
        <w:t xml:space="preserve">es competente </w:t>
      </w:r>
      <w:r w:rsidR="00CB0013" w:rsidRPr="00B966F6">
        <w:rPr>
          <w:sz w:val="20"/>
          <w:szCs w:val="20"/>
          <w:lang w:val="es-ES_tradnl"/>
        </w:rPr>
        <w:t xml:space="preserve">dentro de su mandato </w:t>
      </w:r>
      <w:r w:rsidRPr="00B966F6">
        <w:rPr>
          <w:sz w:val="20"/>
          <w:szCs w:val="20"/>
          <w:lang w:val="es-ES_tradnl"/>
        </w:rPr>
        <w:t xml:space="preserve">para declarar admisible una petición cuando se refiere a procesos internos que podrían ser violatorios de derechos garantizados por la Convención Americana. Es decir que, de acuerdo con las normas convencionales citadas, </w:t>
      </w:r>
      <w:r w:rsidR="00CB0013">
        <w:rPr>
          <w:sz w:val="20"/>
          <w:szCs w:val="20"/>
          <w:lang w:val="es-ES_tradnl"/>
        </w:rPr>
        <w:t xml:space="preserve">y </w:t>
      </w:r>
      <w:r w:rsidRPr="00B966F6">
        <w:rPr>
          <w:sz w:val="20"/>
          <w:szCs w:val="20"/>
          <w:lang w:val="es-ES_tradnl"/>
        </w:rPr>
        <w:t xml:space="preserve">en concordancia con el artículo 34 de su Reglamento, el análisis de admisibilidad se centra en la verificación de elementos </w:t>
      </w:r>
      <w:r w:rsidR="00CB0013">
        <w:rPr>
          <w:sz w:val="20"/>
          <w:szCs w:val="20"/>
          <w:lang w:val="es-ES_tradnl"/>
        </w:rPr>
        <w:t xml:space="preserve">de hecho </w:t>
      </w:r>
      <w:r w:rsidRPr="00B966F6">
        <w:rPr>
          <w:sz w:val="20"/>
          <w:szCs w:val="20"/>
          <w:lang w:val="es-ES_tradnl"/>
        </w:rPr>
        <w:t xml:space="preserve">que, de ser ciertos, podrían constituir </w:t>
      </w:r>
      <w:r w:rsidRPr="00CB0013">
        <w:rPr>
          <w:i/>
          <w:iCs/>
          <w:sz w:val="20"/>
          <w:szCs w:val="20"/>
          <w:lang w:val="es-ES_tradnl"/>
        </w:rPr>
        <w:t>prima facie</w:t>
      </w:r>
      <w:r w:rsidRPr="00B966F6">
        <w:rPr>
          <w:sz w:val="20"/>
          <w:szCs w:val="20"/>
          <w:lang w:val="es-ES_tradnl"/>
        </w:rPr>
        <w:t xml:space="preserve"> violaciones </w:t>
      </w:r>
      <w:r w:rsidR="00CB0013">
        <w:rPr>
          <w:sz w:val="20"/>
          <w:szCs w:val="20"/>
          <w:lang w:val="es-ES_tradnl"/>
        </w:rPr>
        <w:t>de</w:t>
      </w:r>
      <w:r w:rsidRPr="00B966F6">
        <w:rPr>
          <w:sz w:val="20"/>
          <w:szCs w:val="20"/>
          <w:lang w:val="es-ES_tradnl"/>
        </w:rPr>
        <w:t xml:space="preserve"> la Convención Americana.</w:t>
      </w:r>
      <w:r w:rsidRPr="00B966F6">
        <w:rPr>
          <w:rStyle w:val="FootnoteReference"/>
          <w:rFonts w:cs="Calibri"/>
          <w:sz w:val="20"/>
          <w:szCs w:val="20"/>
          <w:lang w:val="es-ES_tradnl"/>
        </w:rPr>
        <w:footnoteReference w:id="14"/>
      </w:r>
    </w:p>
    <w:p w14:paraId="5F519A55" w14:textId="77777777" w:rsidR="00B966F6" w:rsidRPr="00B966F6" w:rsidRDefault="00B966F6" w:rsidP="00B966F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MX"/>
        </w:rPr>
      </w:pPr>
    </w:p>
    <w:p w14:paraId="29BB41F5" w14:textId="31E747AD" w:rsidR="003239B8" w:rsidRPr="00B966F6" w:rsidRDefault="003239B8" w:rsidP="00B966F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b/>
          <w:bCs/>
          <w:sz w:val="20"/>
          <w:szCs w:val="20"/>
          <w:lang w:val="es-ES"/>
        </w:rPr>
      </w:pPr>
      <w:r w:rsidRPr="00B966F6">
        <w:rPr>
          <w:rFonts w:ascii="Cambria" w:hAnsi="Cambria"/>
          <w:b/>
          <w:bCs/>
          <w:sz w:val="20"/>
          <w:szCs w:val="20"/>
          <w:lang w:val="es-ES"/>
        </w:rPr>
        <w:t xml:space="preserve">VIII. </w:t>
      </w:r>
      <w:r w:rsidRPr="00B966F6">
        <w:rPr>
          <w:rFonts w:ascii="Cambria" w:hAnsi="Cambria"/>
          <w:b/>
          <w:bCs/>
          <w:sz w:val="20"/>
          <w:szCs w:val="20"/>
          <w:lang w:val="es-ES"/>
        </w:rPr>
        <w:tab/>
        <w:t>DECISIÓN</w:t>
      </w:r>
    </w:p>
    <w:p w14:paraId="4E783FFF" w14:textId="77777777" w:rsidR="00B966F6" w:rsidRDefault="00B966F6" w:rsidP="00B966F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41AA5BF6" w14:textId="104BFEBD" w:rsidR="000419AD" w:rsidRPr="00B966F6" w:rsidRDefault="003239B8" w:rsidP="00D70C9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B966F6">
        <w:rPr>
          <w:rFonts w:ascii="Cambria" w:hAnsi="Cambria"/>
          <w:sz w:val="20"/>
          <w:szCs w:val="20"/>
          <w:lang w:val="es-ES"/>
        </w:rPr>
        <w:t>Declarar admisible la presente petición en relación con</w:t>
      </w:r>
      <w:r w:rsidR="00C72A01" w:rsidRPr="00B966F6">
        <w:rPr>
          <w:rFonts w:ascii="Cambria" w:hAnsi="Cambria"/>
          <w:sz w:val="20"/>
          <w:szCs w:val="20"/>
          <w:lang w:val="es-ES"/>
        </w:rPr>
        <w:t xml:space="preserve"> los artículos </w:t>
      </w:r>
      <w:r w:rsidR="00E638D2" w:rsidRPr="00B966F6">
        <w:rPr>
          <w:rFonts w:ascii="Cambria" w:hAnsi="Cambria"/>
          <w:sz w:val="20"/>
          <w:szCs w:val="20"/>
          <w:lang w:val="es-ES"/>
        </w:rPr>
        <w:t>4, 5, 7, 8, 11</w:t>
      </w:r>
      <w:r w:rsidR="00874720" w:rsidRPr="00B966F6">
        <w:rPr>
          <w:rFonts w:ascii="Cambria" w:hAnsi="Cambria"/>
          <w:sz w:val="20"/>
          <w:szCs w:val="20"/>
          <w:lang w:val="es-ES"/>
        </w:rPr>
        <w:t xml:space="preserve"> y 25 de la Convención Americana en</w:t>
      </w:r>
      <w:r w:rsidR="00E638D2" w:rsidRPr="00B966F6">
        <w:rPr>
          <w:rFonts w:ascii="Cambria" w:hAnsi="Cambria"/>
          <w:sz w:val="20"/>
          <w:szCs w:val="20"/>
          <w:lang w:val="es-ES"/>
        </w:rPr>
        <w:t xml:space="preserve"> relación con su</w:t>
      </w:r>
      <w:r w:rsidR="00136EC3" w:rsidRPr="00B966F6">
        <w:rPr>
          <w:rFonts w:ascii="Cambria" w:hAnsi="Cambria"/>
          <w:sz w:val="20"/>
          <w:szCs w:val="20"/>
          <w:lang w:val="es-ES"/>
        </w:rPr>
        <w:t xml:space="preserve"> ar</w:t>
      </w:r>
      <w:r w:rsidR="00E638D2" w:rsidRPr="00B966F6">
        <w:rPr>
          <w:rFonts w:ascii="Cambria" w:hAnsi="Cambria"/>
          <w:sz w:val="20"/>
          <w:szCs w:val="20"/>
          <w:lang w:val="es-ES"/>
        </w:rPr>
        <w:t>tículo</w:t>
      </w:r>
      <w:r w:rsidR="00136EC3" w:rsidRPr="00B966F6">
        <w:rPr>
          <w:rFonts w:ascii="Cambria" w:hAnsi="Cambria"/>
          <w:sz w:val="20"/>
          <w:szCs w:val="20"/>
          <w:lang w:val="es-ES"/>
        </w:rPr>
        <w:t xml:space="preserve"> 1.1. </w:t>
      </w:r>
    </w:p>
    <w:p w14:paraId="770C2910" w14:textId="77777777" w:rsidR="00B966F6" w:rsidRDefault="00B966F6" w:rsidP="00B966F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12A7002C" w14:textId="763C0156" w:rsidR="004A6A54" w:rsidRPr="00B966F6" w:rsidRDefault="004A6A54" w:rsidP="00D70C9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B966F6">
        <w:rPr>
          <w:rFonts w:ascii="Cambria" w:hAnsi="Cambria"/>
          <w:sz w:val="20"/>
          <w:szCs w:val="20"/>
          <w:lang w:val="es-ES"/>
        </w:rPr>
        <w:t xml:space="preserve">Notificar a las partes la presente decisión; </w:t>
      </w:r>
      <w:r w:rsidR="00874720" w:rsidRPr="00B966F6">
        <w:rPr>
          <w:rFonts w:ascii="Cambria" w:hAnsi="Cambria"/>
          <w:sz w:val="20"/>
          <w:szCs w:val="20"/>
          <w:lang w:val="es-ES"/>
        </w:rPr>
        <w:t>proceder</w:t>
      </w:r>
      <w:r w:rsidRPr="00B966F6">
        <w:rPr>
          <w:rFonts w:ascii="Cambria" w:hAnsi="Cambria"/>
          <w:sz w:val="20"/>
          <w:szCs w:val="20"/>
          <w:lang w:val="es-ES"/>
        </w:rPr>
        <w:t xml:space="preserve"> con el análisis del fondo de la cuestión; y publicar esta decisión e incluirla en su Informe Anual a la Asamblea General de la Organización de los Estados Americanos.</w:t>
      </w:r>
    </w:p>
    <w:p w14:paraId="7C0CA44D" w14:textId="50E73A94" w:rsidR="00FB1FFB" w:rsidRPr="00A37B82" w:rsidRDefault="00FB1FFB" w:rsidP="00FB1FFB">
      <w:pPr>
        <w:ind w:firstLine="720"/>
        <w:jc w:val="both"/>
        <w:rPr>
          <w:rFonts w:asciiTheme="majorHAnsi" w:hAnsiTheme="majorHAnsi" w:cs="Arial"/>
          <w:noProof/>
          <w:spacing w:val="-2"/>
          <w:sz w:val="20"/>
          <w:szCs w:val="20"/>
          <w:lang w:val="es-CL"/>
        </w:rPr>
      </w:pPr>
      <w:bookmarkStart w:id="2" w:name="_Hlk74671306"/>
      <w:r>
        <w:rPr>
          <w:rFonts w:asciiTheme="majorHAnsi" w:hAnsiTheme="majorHAnsi" w:cs="Arial"/>
          <w:noProof/>
          <w:spacing w:val="-2"/>
          <w:sz w:val="20"/>
          <w:szCs w:val="20"/>
          <w:lang w:val="es-CL"/>
        </w:rPr>
        <w:lastRenderedPageBreak/>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13</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junio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0C081B8E" w14:textId="77777777" w:rsidR="00FB1FFB" w:rsidRPr="00A37B82" w:rsidRDefault="00FB1FFB" w:rsidP="00FB1FFB">
      <w:pPr>
        <w:suppressAutoHyphens/>
        <w:ind w:firstLine="720"/>
        <w:jc w:val="both"/>
        <w:rPr>
          <w:rFonts w:asciiTheme="majorHAnsi" w:hAnsiTheme="majorHAnsi" w:cs="Arial"/>
          <w:noProof/>
          <w:spacing w:val="-2"/>
          <w:sz w:val="20"/>
          <w:szCs w:val="20"/>
          <w:lang w:val="es-CL"/>
        </w:rPr>
      </w:pPr>
    </w:p>
    <w:bookmarkEnd w:id="2"/>
    <w:p w14:paraId="296EB631" w14:textId="77777777" w:rsidR="00FB1FFB" w:rsidRDefault="00FB1FFB" w:rsidP="00B966F6">
      <w:pPr>
        <w:suppressAutoHyphens/>
        <w:jc w:val="center"/>
        <w:rPr>
          <w:rFonts w:ascii="Cambria" w:hAnsi="Cambria"/>
          <w:b/>
          <w:sz w:val="20"/>
          <w:szCs w:val="20"/>
          <w:lang w:val="es-ES"/>
        </w:rPr>
      </w:pPr>
    </w:p>
    <w:p w14:paraId="752CEAA0" w14:textId="77777777" w:rsidR="00BC700D" w:rsidRDefault="00BC700D" w:rsidP="00B966F6">
      <w:pPr>
        <w:suppressAutoHyphens/>
        <w:jc w:val="center"/>
        <w:rPr>
          <w:rFonts w:ascii="Cambria" w:hAnsi="Cambria"/>
          <w:b/>
          <w:sz w:val="20"/>
          <w:szCs w:val="20"/>
          <w:lang w:val="es-ES"/>
        </w:rPr>
        <w:sectPr w:rsidR="00BC700D" w:rsidSect="00934A2C">
          <w:headerReference w:type="even" r:id="rId17"/>
          <w:headerReference w:type="default" r:id="rId18"/>
          <w:footerReference w:type="default" r:id="rId19"/>
          <w:footerReference w:type="first" r:id="rId20"/>
          <w:type w:val="oddPage"/>
          <w:pgSz w:w="12240" w:h="15840"/>
          <w:pgMar w:top="1440" w:right="1440" w:bottom="1440" w:left="1440" w:header="720" w:footer="720" w:gutter="0"/>
          <w:pgNumType w:start="1"/>
          <w:cols w:space="720"/>
          <w:docGrid w:linePitch="326"/>
        </w:sectPr>
      </w:pPr>
    </w:p>
    <w:p w14:paraId="258694DC" w14:textId="32C97226" w:rsidR="00427495" w:rsidRPr="00B966F6" w:rsidRDefault="00427495" w:rsidP="00B966F6">
      <w:pPr>
        <w:suppressAutoHyphens/>
        <w:jc w:val="center"/>
        <w:rPr>
          <w:rFonts w:ascii="Cambria" w:hAnsi="Cambria"/>
          <w:b/>
          <w:sz w:val="20"/>
          <w:szCs w:val="20"/>
          <w:lang w:val="es-ES"/>
        </w:rPr>
      </w:pPr>
      <w:r w:rsidRPr="00B966F6">
        <w:rPr>
          <w:rFonts w:ascii="Cambria" w:hAnsi="Cambria"/>
          <w:b/>
          <w:sz w:val="20"/>
          <w:szCs w:val="20"/>
          <w:lang w:val="es-ES"/>
        </w:rPr>
        <w:lastRenderedPageBreak/>
        <w:t>Anexo</w:t>
      </w:r>
    </w:p>
    <w:p w14:paraId="241F4E9D" w14:textId="5EE726C5" w:rsidR="00427495" w:rsidRDefault="00427495" w:rsidP="00B966F6">
      <w:pPr>
        <w:suppressAutoHyphens/>
        <w:jc w:val="center"/>
        <w:rPr>
          <w:rFonts w:ascii="Cambria" w:hAnsi="Cambria"/>
          <w:b/>
          <w:sz w:val="20"/>
          <w:szCs w:val="20"/>
          <w:lang w:val="es-ES"/>
        </w:rPr>
      </w:pPr>
      <w:r w:rsidRPr="00B966F6">
        <w:rPr>
          <w:rFonts w:ascii="Cambria" w:hAnsi="Cambria"/>
          <w:b/>
          <w:sz w:val="20"/>
          <w:szCs w:val="20"/>
          <w:lang w:val="es-ES"/>
        </w:rPr>
        <w:t xml:space="preserve">Lista de </w:t>
      </w:r>
      <w:r w:rsidR="00B966F6">
        <w:rPr>
          <w:rFonts w:ascii="Cambria" w:hAnsi="Cambria"/>
          <w:b/>
          <w:sz w:val="20"/>
          <w:szCs w:val="20"/>
          <w:lang w:val="es-ES"/>
        </w:rPr>
        <w:t>p</w:t>
      </w:r>
      <w:r w:rsidRPr="00B966F6">
        <w:rPr>
          <w:rFonts w:ascii="Cambria" w:hAnsi="Cambria"/>
          <w:b/>
          <w:sz w:val="20"/>
          <w:szCs w:val="20"/>
          <w:lang w:val="es-ES"/>
        </w:rPr>
        <w:t xml:space="preserve">resuntas </w:t>
      </w:r>
      <w:r w:rsidR="00B966F6">
        <w:rPr>
          <w:rFonts w:ascii="Cambria" w:hAnsi="Cambria"/>
          <w:b/>
          <w:sz w:val="20"/>
          <w:szCs w:val="20"/>
          <w:lang w:val="es-ES"/>
        </w:rPr>
        <w:t>v</w:t>
      </w:r>
      <w:r w:rsidRPr="00B966F6">
        <w:rPr>
          <w:rFonts w:ascii="Cambria" w:hAnsi="Cambria"/>
          <w:b/>
          <w:sz w:val="20"/>
          <w:szCs w:val="20"/>
          <w:lang w:val="es-ES"/>
        </w:rPr>
        <w:t>íctimas</w:t>
      </w:r>
    </w:p>
    <w:p w14:paraId="140F08BD" w14:textId="17504082" w:rsidR="00B966F6" w:rsidRDefault="00B966F6" w:rsidP="00B966F6">
      <w:pPr>
        <w:suppressAutoHyphens/>
        <w:jc w:val="center"/>
        <w:rPr>
          <w:rFonts w:ascii="Cambria" w:hAnsi="Cambria"/>
          <w:b/>
          <w:sz w:val="20"/>
          <w:szCs w:val="20"/>
          <w:lang w:val="es-ES"/>
        </w:rPr>
      </w:pPr>
    </w:p>
    <w:p w14:paraId="7CC7725F" w14:textId="77777777" w:rsidR="00FB1FFB" w:rsidRPr="00B966F6" w:rsidRDefault="00FB1FFB" w:rsidP="00B966F6">
      <w:pPr>
        <w:suppressAutoHyphens/>
        <w:jc w:val="center"/>
        <w:rPr>
          <w:rFonts w:ascii="Cambria" w:hAnsi="Cambria"/>
          <w:b/>
          <w:sz w:val="20"/>
          <w:szCs w:val="20"/>
          <w:lang w:val="es-ES"/>
        </w:rPr>
      </w:pPr>
    </w:p>
    <w:p w14:paraId="3F0D0AED" w14:textId="76EF7CF1" w:rsidR="00427495" w:rsidRDefault="00B966F6" w:rsidP="00B966F6">
      <w:pPr>
        <w:suppressAutoHyphens/>
        <w:rPr>
          <w:rFonts w:ascii="Cambria" w:hAnsi="Cambria"/>
          <w:bCs/>
          <w:sz w:val="20"/>
          <w:szCs w:val="20"/>
          <w:u w:val="single"/>
          <w:lang w:val="es-PA"/>
        </w:rPr>
      </w:pPr>
      <w:r w:rsidRPr="00B966F6">
        <w:rPr>
          <w:rFonts w:ascii="Cambria" w:hAnsi="Cambria"/>
          <w:sz w:val="20"/>
          <w:szCs w:val="20"/>
          <w:lang w:val="es-ES"/>
        </w:rPr>
        <w:tab/>
      </w:r>
      <w:r w:rsidR="00427495" w:rsidRPr="00B966F6">
        <w:rPr>
          <w:rFonts w:ascii="Cambria" w:hAnsi="Cambria"/>
          <w:sz w:val="20"/>
          <w:szCs w:val="20"/>
          <w:u w:val="single"/>
          <w:lang w:val="es-ES"/>
        </w:rPr>
        <w:t xml:space="preserve">Personas </w:t>
      </w:r>
      <w:r>
        <w:rPr>
          <w:rFonts w:ascii="Cambria" w:hAnsi="Cambria"/>
          <w:sz w:val="20"/>
          <w:szCs w:val="20"/>
          <w:u w:val="single"/>
          <w:lang w:val="es-ES"/>
        </w:rPr>
        <w:t>p</w:t>
      </w:r>
      <w:r w:rsidR="00427495" w:rsidRPr="00B966F6">
        <w:rPr>
          <w:rFonts w:ascii="Cambria" w:hAnsi="Cambria"/>
          <w:sz w:val="20"/>
          <w:szCs w:val="20"/>
          <w:u w:val="single"/>
          <w:lang w:val="es-ES"/>
        </w:rPr>
        <w:t xml:space="preserve">resuntamente </w:t>
      </w:r>
      <w:r>
        <w:rPr>
          <w:rFonts w:ascii="Cambria" w:hAnsi="Cambria"/>
          <w:sz w:val="20"/>
          <w:szCs w:val="20"/>
          <w:u w:val="single"/>
          <w:lang w:val="es-ES"/>
        </w:rPr>
        <w:t>a</w:t>
      </w:r>
      <w:r w:rsidR="00427495" w:rsidRPr="00B966F6">
        <w:rPr>
          <w:rFonts w:ascii="Cambria" w:hAnsi="Cambria"/>
          <w:sz w:val="20"/>
          <w:szCs w:val="20"/>
          <w:u w:val="single"/>
          <w:lang w:val="es-ES"/>
        </w:rPr>
        <w:t xml:space="preserve">sesinadas </w:t>
      </w:r>
      <w:r>
        <w:rPr>
          <w:rFonts w:ascii="Cambria" w:hAnsi="Cambria"/>
          <w:sz w:val="20"/>
          <w:szCs w:val="20"/>
          <w:u w:val="single"/>
          <w:lang w:val="es-ES"/>
        </w:rPr>
        <w:t>d</w:t>
      </w:r>
      <w:r w:rsidR="00427495" w:rsidRPr="00B966F6">
        <w:rPr>
          <w:rFonts w:ascii="Cambria" w:hAnsi="Cambria"/>
          <w:sz w:val="20"/>
          <w:szCs w:val="20"/>
          <w:u w:val="single"/>
          <w:lang w:val="es-ES"/>
        </w:rPr>
        <w:t xml:space="preserve">urante los </w:t>
      </w:r>
      <w:r>
        <w:rPr>
          <w:rFonts w:ascii="Cambria" w:hAnsi="Cambria"/>
          <w:sz w:val="20"/>
          <w:szCs w:val="20"/>
          <w:u w:val="single"/>
          <w:lang w:val="es-ES"/>
        </w:rPr>
        <w:t>e</w:t>
      </w:r>
      <w:r w:rsidR="00427495" w:rsidRPr="00B966F6">
        <w:rPr>
          <w:rFonts w:ascii="Cambria" w:hAnsi="Cambria"/>
          <w:sz w:val="20"/>
          <w:szCs w:val="20"/>
          <w:u w:val="single"/>
          <w:lang w:val="es-ES"/>
        </w:rPr>
        <w:t xml:space="preserve">ventos del </w:t>
      </w:r>
      <w:r w:rsidR="00427495" w:rsidRPr="00B966F6">
        <w:rPr>
          <w:rFonts w:ascii="Cambria" w:hAnsi="Cambria"/>
          <w:bCs/>
          <w:sz w:val="20"/>
          <w:szCs w:val="20"/>
          <w:u w:val="single"/>
          <w:lang w:val="es-PA"/>
        </w:rPr>
        <w:t>28 de febrero de 1997</w:t>
      </w:r>
    </w:p>
    <w:p w14:paraId="2051007D" w14:textId="77777777" w:rsidR="00B966F6" w:rsidRPr="00B966F6" w:rsidRDefault="00B966F6" w:rsidP="00B966F6">
      <w:pPr>
        <w:suppressAutoHyphens/>
        <w:jc w:val="center"/>
        <w:rPr>
          <w:rFonts w:ascii="Cambria" w:hAnsi="Cambria"/>
          <w:bCs/>
          <w:sz w:val="20"/>
          <w:szCs w:val="20"/>
          <w:u w:val="single"/>
          <w:lang w:val="es-PA"/>
        </w:rPr>
      </w:pPr>
    </w:p>
    <w:p w14:paraId="1F7886A3" w14:textId="77777777" w:rsidR="00B966F6" w:rsidRDefault="00B966F6" w:rsidP="00D70C9D">
      <w:pPr>
        <w:pStyle w:val="ListParagraph"/>
        <w:numPr>
          <w:ilvl w:val="0"/>
          <w:numId w:val="57"/>
        </w:numPr>
        <w:suppressAutoHyphens/>
        <w:jc w:val="both"/>
        <w:rPr>
          <w:sz w:val="20"/>
          <w:szCs w:val="20"/>
          <w:lang w:val="es-ES"/>
        </w:rPr>
      </w:pPr>
      <w:r w:rsidRPr="00B966F6">
        <w:rPr>
          <w:sz w:val="20"/>
          <w:szCs w:val="20"/>
          <w:lang w:val="es-ES"/>
        </w:rPr>
        <w:t xml:space="preserve">Luis Aicardo Arredondo </w:t>
      </w:r>
    </w:p>
    <w:p w14:paraId="6685AD8B" w14:textId="77777777" w:rsidR="00B966F6" w:rsidRDefault="00B966F6" w:rsidP="00D70C9D">
      <w:pPr>
        <w:pStyle w:val="ListParagraph"/>
        <w:numPr>
          <w:ilvl w:val="0"/>
          <w:numId w:val="57"/>
        </w:numPr>
        <w:suppressAutoHyphens/>
        <w:jc w:val="both"/>
        <w:rPr>
          <w:sz w:val="20"/>
          <w:szCs w:val="20"/>
          <w:lang w:val="es-ES"/>
        </w:rPr>
      </w:pPr>
      <w:r w:rsidRPr="00B966F6">
        <w:rPr>
          <w:sz w:val="20"/>
          <w:szCs w:val="20"/>
          <w:lang w:val="es-ES"/>
        </w:rPr>
        <w:t>Carlos Gutiérrez</w:t>
      </w:r>
    </w:p>
    <w:p w14:paraId="400BA85C" w14:textId="315F88E9" w:rsidR="00427495" w:rsidRPr="00B966F6" w:rsidRDefault="00427495" w:rsidP="00D70C9D">
      <w:pPr>
        <w:pStyle w:val="ListParagraph"/>
        <w:numPr>
          <w:ilvl w:val="0"/>
          <w:numId w:val="57"/>
        </w:numPr>
        <w:suppressAutoHyphens/>
        <w:jc w:val="both"/>
        <w:rPr>
          <w:sz w:val="20"/>
          <w:szCs w:val="20"/>
          <w:lang w:val="es-ES"/>
        </w:rPr>
      </w:pPr>
      <w:r w:rsidRPr="00B966F6">
        <w:rPr>
          <w:sz w:val="20"/>
          <w:szCs w:val="20"/>
          <w:lang w:val="es-ES"/>
        </w:rPr>
        <w:t xml:space="preserve">Jesús Salvador Hernández </w:t>
      </w:r>
    </w:p>
    <w:p w14:paraId="01F0254E" w14:textId="77777777" w:rsidR="00B966F6" w:rsidRPr="00B966F6" w:rsidRDefault="00B966F6" w:rsidP="00D70C9D">
      <w:pPr>
        <w:pStyle w:val="ListParagraph"/>
        <w:numPr>
          <w:ilvl w:val="0"/>
          <w:numId w:val="57"/>
        </w:numPr>
        <w:suppressAutoHyphens/>
        <w:jc w:val="both"/>
        <w:rPr>
          <w:sz w:val="20"/>
          <w:szCs w:val="20"/>
          <w:lang w:val="es-ES"/>
        </w:rPr>
      </w:pPr>
      <w:r w:rsidRPr="00B966F6">
        <w:rPr>
          <w:sz w:val="20"/>
          <w:szCs w:val="20"/>
          <w:lang w:val="es-ES"/>
        </w:rPr>
        <w:t xml:space="preserve">Baltasar Muñoz </w:t>
      </w:r>
    </w:p>
    <w:p w14:paraId="5E1D02A4" w14:textId="77777777" w:rsidR="00B966F6" w:rsidRPr="00B966F6" w:rsidRDefault="00B966F6" w:rsidP="00D70C9D">
      <w:pPr>
        <w:pStyle w:val="ListParagraph"/>
        <w:numPr>
          <w:ilvl w:val="0"/>
          <w:numId w:val="57"/>
        </w:numPr>
        <w:suppressAutoHyphens/>
        <w:jc w:val="both"/>
        <w:rPr>
          <w:sz w:val="20"/>
          <w:szCs w:val="20"/>
          <w:lang w:val="es-ES"/>
        </w:rPr>
      </w:pPr>
      <w:r w:rsidRPr="00B966F6">
        <w:rPr>
          <w:sz w:val="20"/>
          <w:szCs w:val="20"/>
          <w:lang w:val="es-ES"/>
        </w:rPr>
        <w:t>Carlos Alberto Osorio</w:t>
      </w:r>
    </w:p>
    <w:p w14:paraId="26A6D2F7" w14:textId="77777777" w:rsidR="00B966F6" w:rsidRPr="00B966F6" w:rsidRDefault="00B966F6" w:rsidP="00D70C9D">
      <w:pPr>
        <w:pStyle w:val="ListParagraph"/>
        <w:numPr>
          <w:ilvl w:val="0"/>
          <w:numId w:val="57"/>
        </w:numPr>
        <w:suppressAutoHyphens/>
        <w:jc w:val="both"/>
        <w:rPr>
          <w:sz w:val="20"/>
          <w:szCs w:val="20"/>
          <w:lang w:val="es-ES"/>
        </w:rPr>
      </w:pPr>
      <w:r w:rsidRPr="00B966F6">
        <w:rPr>
          <w:sz w:val="20"/>
          <w:szCs w:val="20"/>
          <w:lang w:val="es-ES"/>
        </w:rPr>
        <w:t xml:space="preserve">Jesús Querubín </w:t>
      </w:r>
    </w:p>
    <w:p w14:paraId="254706B0" w14:textId="77777777" w:rsidR="00B966F6" w:rsidRPr="00B966F6" w:rsidRDefault="00B966F6" w:rsidP="00D70C9D">
      <w:pPr>
        <w:pStyle w:val="ListParagraph"/>
        <w:numPr>
          <w:ilvl w:val="0"/>
          <w:numId w:val="57"/>
        </w:numPr>
        <w:suppressAutoHyphens/>
        <w:jc w:val="both"/>
        <w:rPr>
          <w:sz w:val="20"/>
          <w:szCs w:val="20"/>
          <w:lang w:val="es-ES"/>
        </w:rPr>
      </w:pPr>
      <w:r w:rsidRPr="00B966F6">
        <w:rPr>
          <w:sz w:val="20"/>
          <w:szCs w:val="20"/>
          <w:lang w:val="es-ES"/>
        </w:rPr>
        <w:t xml:space="preserve">Héctor Santamaría </w:t>
      </w:r>
    </w:p>
    <w:p w14:paraId="5B987EEC" w14:textId="77777777" w:rsidR="00B966F6" w:rsidRPr="00B966F6" w:rsidRDefault="00B966F6" w:rsidP="00D70C9D">
      <w:pPr>
        <w:pStyle w:val="ListParagraph"/>
        <w:numPr>
          <w:ilvl w:val="0"/>
          <w:numId w:val="57"/>
        </w:numPr>
        <w:suppressAutoHyphens/>
        <w:jc w:val="both"/>
        <w:rPr>
          <w:sz w:val="20"/>
          <w:szCs w:val="20"/>
          <w:lang w:val="es-ES"/>
        </w:rPr>
      </w:pPr>
      <w:r w:rsidRPr="00B966F6">
        <w:rPr>
          <w:sz w:val="20"/>
          <w:szCs w:val="20"/>
          <w:lang w:val="es-ES"/>
        </w:rPr>
        <w:t xml:space="preserve">Juan Mauricio Valencia </w:t>
      </w:r>
    </w:p>
    <w:p w14:paraId="6B13E9B9" w14:textId="4C7D422C" w:rsidR="00427495" w:rsidRPr="00B966F6" w:rsidRDefault="00427495" w:rsidP="00D70C9D">
      <w:pPr>
        <w:pStyle w:val="ListParagraph"/>
        <w:numPr>
          <w:ilvl w:val="0"/>
          <w:numId w:val="57"/>
        </w:numPr>
        <w:suppressAutoHyphens/>
        <w:jc w:val="both"/>
        <w:rPr>
          <w:sz w:val="20"/>
          <w:szCs w:val="20"/>
          <w:lang w:val="es-ES"/>
        </w:rPr>
      </w:pPr>
      <w:r w:rsidRPr="00B966F6">
        <w:rPr>
          <w:sz w:val="20"/>
          <w:szCs w:val="20"/>
          <w:lang w:val="es-ES"/>
        </w:rPr>
        <w:t>René Galeano Velásquez</w:t>
      </w:r>
    </w:p>
    <w:p w14:paraId="175EA320" w14:textId="27A99AD3" w:rsidR="00427495" w:rsidRPr="00B966F6" w:rsidRDefault="00427495" w:rsidP="00B966F6">
      <w:pPr>
        <w:pStyle w:val="ListParagraph"/>
        <w:suppressAutoHyphens/>
        <w:jc w:val="both"/>
        <w:rPr>
          <w:sz w:val="20"/>
          <w:szCs w:val="20"/>
          <w:lang w:val="es-ES"/>
        </w:rPr>
      </w:pPr>
    </w:p>
    <w:p w14:paraId="6158DD76" w14:textId="5E8C8091" w:rsidR="00B966F6" w:rsidRDefault="00B966F6" w:rsidP="00B966F6">
      <w:pPr>
        <w:suppressAutoHyphens/>
        <w:jc w:val="both"/>
        <w:rPr>
          <w:sz w:val="20"/>
          <w:szCs w:val="20"/>
          <w:lang w:val="es-ES"/>
        </w:rPr>
      </w:pPr>
    </w:p>
    <w:p w14:paraId="3CAA00C8" w14:textId="053C5758" w:rsidR="00427495" w:rsidRPr="00B966F6" w:rsidRDefault="00B966F6" w:rsidP="00B966F6">
      <w:pPr>
        <w:suppressAutoHyphens/>
        <w:rPr>
          <w:rFonts w:ascii="Cambria" w:hAnsi="Cambria"/>
          <w:sz w:val="20"/>
          <w:szCs w:val="20"/>
          <w:u w:val="single"/>
          <w:lang w:val="es-ES"/>
        </w:rPr>
      </w:pPr>
      <w:r w:rsidRPr="00B966F6">
        <w:rPr>
          <w:rFonts w:ascii="Cambria" w:hAnsi="Cambria"/>
          <w:sz w:val="20"/>
          <w:szCs w:val="20"/>
          <w:lang w:val="es-ES"/>
        </w:rPr>
        <w:tab/>
      </w:r>
      <w:r w:rsidR="00427495" w:rsidRPr="00B966F6">
        <w:rPr>
          <w:rFonts w:ascii="Cambria" w:hAnsi="Cambria"/>
          <w:sz w:val="20"/>
          <w:szCs w:val="20"/>
          <w:u w:val="single"/>
          <w:lang w:val="es-ES"/>
        </w:rPr>
        <w:t>Familiares de Jesús Salvador Hernández</w:t>
      </w:r>
    </w:p>
    <w:p w14:paraId="78FFADE2" w14:textId="77777777" w:rsidR="00B966F6" w:rsidRDefault="00B966F6" w:rsidP="00B966F6">
      <w:pPr>
        <w:pStyle w:val="ListParagraph"/>
        <w:suppressAutoHyphens/>
        <w:jc w:val="both"/>
        <w:rPr>
          <w:sz w:val="20"/>
          <w:szCs w:val="20"/>
          <w:lang w:val="es-ES"/>
        </w:rPr>
      </w:pPr>
    </w:p>
    <w:p w14:paraId="4B792F05" w14:textId="77777777" w:rsidR="00B966F6" w:rsidRPr="00FB1FFB" w:rsidRDefault="00B966F6" w:rsidP="00D70C9D">
      <w:pPr>
        <w:pStyle w:val="ListParagraph"/>
        <w:numPr>
          <w:ilvl w:val="0"/>
          <w:numId w:val="58"/>
        </w:numPr>
        <w:suppressAutoHyphens/>
        <w:jc w:val="both"/>
        <w:rPr>
          <w:sz w:val="20"/>
          <w:szCs w:val="20"/>
          <w:lang w:val="pt-BR"/>
        </w:rPr>
      </w:pPr>
      <w:r w:rsidRPr="00FB1FFB">
        <w:rPr>
          <w:sz w:val="20"/>
          <w:szCs w:val="20"/>
          <w:lang w:val="pt-BR"/>
        </w:rPr>
        <w:t>Amanda de Jesús Gaviria (cónyuge)</w:t>
      </w:r>
    </w:p>
    <w:p w14:paraId="725F085A" w14:textId="77777777" w:rsidR="00B966F6" w:rsidRPr="00B966F6" w:rsidRDefault="00B966F6" w:rsidP="00D70C9D">
      <w:pPr>
        <w:pStyle w:val="ListParagraph"/>
        <w:numPr>
          <w:ilvl w:val="0"/>
          <w:numId w:val="58"/>
        </w:numPr>
        <w:suppressAutoHyphens/>
        <w:jc w:val="both"/>
        <w:rPr>
          <w:sz w:val="20"/>
          <w:szCs w:val="20"/>
          <w:lang w:val="es-ES"/>
        </w:rPr>
      </w:pPr>
      <w:r w:rsidRPr="00B966F6">
        <w:rPr>
          <w:sz w:val="20"/>
          <w:szCs w:val="20"/>
          <w:lang w:val="es-ES"/>
        </w:rPr>
        <w:t>Carlos Mario Hernández Gaviria (hijo)</w:t>
      </w:r>
    </w:p>
    <w:p w14:paraId="5239D809" w14:textId="77777777" w:rsidR="001D3337" w:rsidRPr="00B966F6" w:rsidRDefault="001D3337" w:rsidP="001D3337">
      <w:pPr>
        <w:pStyle w:val="ListParagraph"/>
        <w:numPr>
          <w:ilvl w:val="0"/>
          <w:numId w:val="58"/>
        </w:numPr>
        <w:suppressAutoHyphens/>
        <w:jc w:val="both"/>
        <w:rPr>
          <w:sz w:val="20"/>
          <w:szCs w:val="20"/>
          <w:lang w:val="es-ES"/>
        </w:rPr>
      </w:pPr>
      <w:r w:rsidRPr="00B966F6">
        <w:rPr>
          <w:sz w:val="20"/>
          <w:szCs w:val="20"/>
          <w:lang w:val="es-ES"/>
        </w:rPr>
        <w:t>Ana Luisa Hernández Holguín (hermana)</w:t>
      </w:r>
    </w:p>
    <w:p w14:paraId="1352F1ED" w14:textId="77777777" w:rsidR="00B966F6" w:rsidRPr="00B966F6" w:rsidRDefault="00B966F6" w:rsidP="00D70C9D">
      <w:pPr>
        <w:pStyle w:val="ListParagraph"/>
        <w:numPr>
          <w:ilvl w:val="0"/>
          <w:numId w:val="58"/>
        </w:numPr>
        <w:suppressAutoHyphens/>
        <w:jc w:val="both"/>
        <w:rPr>
          <w:sz w:val="20"/>
          <w:szCs w:val="20"/>
          <w:lang w:val="es-ES"/>
        </w:rPr>
      </w:pPr>
      <w:r w:rsidRPr="00B966F6">
        <w:rPr>
          <w:sz w:val="20"/>
          <w:szCs w:val="20"/>
          <w:lang w:val="es-ES"/>
        </w:rPr>
        <w:t>Aurora Rosa Hernández Holguín (hermana)</w:t>
      </w:r>
    </w:p>
    <w:p w14:paraId="01EEF001" w14:textId="77777777" w:rsidR="003529CB" w:rsidRPr="00B966F6" w:rsidRDefault="003529CB" w:rsidP="00D70C9D">
      <w:pPr>
        <w:pStyle w:val="ListParagraph"/>
        <w:numPr>
          <w:ilvl w:val="0"/>
          <w:numId w:val="58"/>
        </w:numPr>
        <w:suppressAutoHyphens/>
        <w:jc w:val="both"/>
        <w:rPr>
          <w:sz w:val="20"/>
          <w:szCs w:val="20"/>
          <w:lang w:val="es-ES"/>
        </w:rPr>
      </w:pPr>
      <w:r w:rsidRPr="00B966F6">
        <w:rPr>
          <w:sz w:val="20"/>
          <w:szCs w:val="20"/>
          <w:lang w:val="es-ES"/>
        </w:rPr>
        <w:t>Carlos Enrique Hernández Holguín (hermano)</w:t>
      </w:r>
    </w:p>
    <w:p w14:paraId="467A02A5" w14:textId="77777777" w:rsidR="003529CB" w:rsidRPr="00B966F6" w:rsidRDefault="003529CB" w:rsidP="00D70C9D">
      <w:pPr>
        <w:pStyle w:val="ListParagraph"/>
        <w:numPr>
          <w:ilvl w:val="0"/>
          <w:numId w:val="58"/>
        </w:numPr>
        <w:suppressAutoHyphens/>
        <w:jc w:val="both"/>
        <w:rPr>
          <w:sz w:val="20"/>
          <w:szCs w:val="20"/>
          <w:lang w:val="es-ES"/>
        </w:rPr>
      </w:pPr>
      <w:r w:rsidRPr="00B966F6">
        <w:rPr>
          <w:sz w:val="20"/>
          <w:szCs w:val="20"/>
          <w:lang w:val="es-ES"/>
        </w:rPr>
        <w:t>Cesar Augusto Hernández Holguín (hermano)</w:t>
      </w:r>
    </w:p>
    <w:p w14:paraId="76A8B496" w14:textId="0E81B9EC" w:rsidR="00427495" w:rsidRPr="00B966F6" w:rsidRDefault="00427495" w:rsidP="00D70C9D">
      <w:pPr>
        <w:pStyle w:val="ListParagraph"/>
        <w:numPr>
          <w:ilvl w:val="0"/>
          <w:numId w:val="58"/>
        </w:numPr>
        <w:suppressAutoHyphens/>
        <w:jc w:val="both"/>
        <w:rPr>
          <w:sz w:val="20"/>
          <w:szCs w:val="20"/>
          <w:lang w:val="es-ES"/>
        </w:rPr>
      </w:pPr>
      <w:r w:rsidRPr="00B966F6">
        <w:rPr>
          <w:sz w:val="20"/>
          <w:szCs w:val="20"/>
          <w:lang w:val="es-ES"/>
        </w:rPr>
        <w:t>Gerardo Antonio Hernández Holguín (padre)</w:t>
      </w:r>
    </w:p>
    <w:p w14:paraId="5680B238" w14:textId="4B98A40E" w:rsidR="00427495" w:rsidRPr="00B966F6" w:rsidRDefault="00427495" w:rsidP="00D70C9D">
      <w:pPr>
        <w:pStyle w:val="ListParagraph"/>
        <w:numPr>
          <w:ilvl w:val="0"/>
          <w:numId w:val="58"/>
        </w:numPr>
        <w:suppressAutoHyphens/>
        <w:jc w:val="both"/>
        <w:rPr>
          <w:sz w:val="20"/>
          <w:szCs w:val="20"/>
          <w:lang w:val="es-ES"/>
        </w:rPr>
      </w:pPr>
      <w:r w:rsidRPr="00B966F6">
        <w:rPr>
          <w:sz w:val="20"/>
          <w:szCs w:val="20"/>
          <w:lang w:val="es-ES"/>
        </w:rPr>
        <w:t>María Ofelia del Socorro Hernández Holguín (hermana)</w:t>
      </w:r>
    </w:p>
    <w:p w14:paraId="00EBDF43" w14:textId="77777777" w:rsidR="00B966F6" w:rsidRPr="00B966F6" w:rsidRDefault="00B966F6" w:rsidP="00D70C9D">
      <w:pPr>
        <w:pStyle w:val="ListParagraph"/>
        <w:numPr>
          <w:ilvl w:val="0"/>
          <w:numId w:val="58"/>
        </w:numPr>
        <w:suppressAutoHyphens/>
        <w:jc w:val="both"/>
        <w:rPr>
          <w:sz w:val="20"/>
          <w:szCs w:val="20"/>
          <w:lang w:val="es-ES"/>
        </w:rPr>
      </w:pPr>
      <w:r w:rsidRPr="00B966F6">
        <w:rPr>
          <w:sz w:val="20"/>
          <w:szCs w:val="20"/>
          <w:lang w:val="es-ES"/>
        </w:rPr>
        <w:t>María Rosalva Holguín Flórez de Hernández (madre)</w:t>
      </w:r>
    </w:p>
    <w:p w14:paraId="6AC80CA6" w14:textId="69C64FA7" w:rsidR="00722C9F" w:rsidRPr="00B966F6" w:rsidRDefault="00722C9F" w:rsidP="00B966F6">
      <w:pPr>
        <w:rPr>
          <w:rFonts w:ascii="Cambria" w:hAnsi="Cambria" w:cs="Calibri"/>
          <w:sz w:val="20"/>
          <w:szCs w:val="20"/>
          <w:lang w:val="es-ES"/>
        </w:rPr>
      </w:pPr>
    </w:p>
    <w:sectPr w:rsidR="00722C9F" w:rsidRPr="00B966F6" w:rsidSect="00BC700D">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E73FAD" w14:textId="77777777" w:rsidR="006C4EC7" w:rsidRDefault="006C4EC7">
      <w:r>
        <w:separator/>
      </w:r>
    </w:p>
  </w:endnote>
  <w:endnote w:type="continuationSeparator" w:id="0">
    <w:p w14:paraId="7B8AC01E" w14:textId="77777777" w:rsidR="006C4EC7" w:rsidRDefault="006C4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7E7CF" w14:textId="77777777" w:rsidR="004615BC" w:rsidRDefault="004615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0276914"/>
      <w:docPartObj>
        <w:docPartGallery w:val="Page Numbers (Bottom of Page)"/>
        <w:docPartUnique/>
      </w:docPartObj>
    </w:sdtPr>
    <w:sdtEndPr>
      <w:rPr>
        <w:noProof/>
        <w:sz w:val="16"/>
        <w:szCs w:val="22"/>
      </w:rPr>
    </w:sdtEndPr>
    <w:sdtContent>
      <w:p w14:paraId="612FB856" w14:textId="77777777" w:rsidR="009C527B" w:rsidRPr="00934A2C" w:rsidRDefault="009C527B">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1</w:t>
        </w:r>
        <w:r w:rsidRPr="00934A2C">
          <w:rPr>
            <w:noProof/>
            <w:sz w:val="16"/>
            <w:szCs w:val="22"/>
          </w:rPr>
          <w:fldChar w:fldCharType="end"/>
        </w:r>
      </w:p>
    </w:sdtContent>
  </w:sdt>
  <w:p w14:paraId="7EBFA364" w14:textId="77777777" w:rsidR="009C527B" w:rsidRDefault="009C52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51C8E" w14:textId="77777777" w:rsidR="009C527B" w:rsidRPr="00934A2C" w:rsidRDefault="009C527B">
    <w:pPr>
      <w:pStyle w:val="Footer"/>
      <w:jc w:val="center"/>
      <w:rPr>
        <w:sz w:val="16"/>
        <w:szCs w:val="22"/>
      </w:rPr>
    </w:pPr>
  </w:p>
  <w:p w14:paraId="4EA5439C" w14:textId="77777777" w:rsidR="009C527B" w:rsidRDefault="009C527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667FE2D6" w:rsidR="009C527B" w:rsidRPr="00934A2C" w:rsidRDefault="009C527B">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4615BC">
          <w:rPr>
            <w:noProof/>
            <w:sz w:val="16"/>
            <w:szCs w:val="22"/>
          </w:rPr>
          <w:t>1</w:t>
        </w:r>
        <w:r w:rsidRPr="00934A2C">
          <w:rPr>
            <w:noProof/>
            <w:sz w:val="16"/>
            <w:szCs w:val="22"/>
          </w:rPr>
          <w:fldChar w:fldCharType="end"/>
        </w:r>
      </w:p>
    </w:sdtContent>
  </w:sdt>
  <w:p w14:paraId="68530E6A" w14:textId="77777777" w:rsidR="009C527B" w:rsidRDefault="009C527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9C527B" w:rsidRPr="00934A2C" w:rsidRDefault="009C527B">
    <w:pPr>
      <w:pStyle w:val="Footer"/>
      <w:jc w:val="center"/>
      <w:rPr>
        <w:sz w:val="16"/>
        <w:szCs w:val="22"/>
      </w:rPr>
    </w:pPr>
  </w:p>
  <w:p w14:paraId="49059CE3" w14:textId="77777777" w:rsidR="009C527B" w:rsidRDefault="009C52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650C92" w14:textId="77777777" w:rsidR="006C4EC7" w:rsidRPr="000F35ED" w:rsidRDefault="006C4EC7">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4C802D0" w14:textId="77777777" w:rsidR="006C4EC7" w:rsidRPr="000F35ED" w:rsidRDefault="006C4EC7" w:rsidP="000F35ED">
      <w:pPr>
        <w:rPr>
          <w:rFonts w:asciiTheme="majorHAnsi" w:hAnsiTheme="majorHAnsi"/>
          <w:sz w:val="16"/>
          <w:szCs w:val="16"/>
        </w:rPr>
      </w:pPr>
      <w:r w:rsidRPr="000F35ED">
        <w:rPr>
          <w:rFonts w:asciiTheme="majorHAnsi" w:hAnsiTheme="majorHAnsi"/>
          <w:sz w:val="16"/>
          <w:szCs w:val="16"/>
        </w:rPr>
        <w:separator/>
      </w:r>
    </w:p>
    <w:p w14:paraId="5820AF97" w14:textId="77777777" w:rsidR="006C4EC7" w:rsidRPr="000F35ED" w:rsidRDefault="006C4EC7"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21A998D1" w14:textId="77777777" w:rsidR="006C4EC7" w:rsidRPr="000F35ED" w:rsidRDefault="006C4EC7"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2DBFCAF" w14:textId="287279E6" w:rsidR="009C527B" w:rsidRPr="00D074A4" w:rsidRDefault="009C527B" w:rsidP="00FB1FFB">
      <w:pPr>
        <w:pStyle w:val="FootnoteText"/>
        <w:ind w:firstLine="720"/>
        <w:jc w:val="both"/>
        <w:rPr>
          <w:rFonts w:asciiTheme="majorHAnsi" w:hAnsiTheme="majorHAnsi"/>
          <w:sz w:val="16"/>
          <w:szCs w:val="16"/>
          <w:lang w:val="es-PA"/>
        </w:rPr>
      </w:pPr>
      <w:r w:rsidRPr="00D074A4">
        <w:rPr>
          <w:rStyle w:val="FootnoteReference"/>
          <w:rFonts w:asciiTheme="majorHAnsi" w:hAnsiTheme="majorHAnsi"/>
          <w:sz w:val="16"/>
          <w:szCs w:val="16"/>
        </w:rPr>
        <w:footnoteRef/>
      </w:r>
      <w:r w:rsidRPr="00D074A4">
        <w:rPr>
          <w:rFonts w:asciiTheme="majorHAnsi" w:hAnsiTheme="majorHAnsi"/>
          <w:sz w:val="16"/>
          <w:szCs w:val="16"/>
          <w:lang w:val="es-PA"/>
        </w:rPr>
        <w:t xml:space="preserve"> La petición </w:t>
      </w:r>
      <w:r w:rsidR="003529CB">
        <w:rPr>
          <w:rFonts w:asciiTheme="majorHAnsi" w:hAnsiTheme="majorHAnsi"/>
          <w:sz w:val="16"/>
          <w:szCs w:val="16"/>
          <w:lang w:val="es-PA"/>
        </w:rPr>
        <w:t>enumera</w:t>
      </w:r>
      <w:r w:rsidR="00BA0CBA">
        <w:rPr>
          <w:rFonts w:asciiTheme="majorHAnsi" w:hAnsiTheme="majorHAnsi"/>
          <w:sz w:val="16"/>
          <w:szCs w:val="16"/>
          <w:lang w:val="es-PA"/>
        </w:rPr>
        <w:t xml:space="preserve"> como presuntas víctimas a 9</w:t>
      </w:r>
      <w:r w:rsidRPr="00D074A4">
        <w:rPr>
          <w:rFonts w:asciiTheme="majorHAnsi" w:hAnsiTheme="majorHAnsi"/>
          <w:sz w:val="16"/>
          <w:szCs w:val="16"/>
          <w:lang w:val="es-PA"/>
        </w:rPr>
        <w:t xml:space="preserve"> personas familiares de Jesús Salvador Hernández</w:t>
      </w:r>
      <w:r w:rsidR="003529CB">
        <w:rPr>
          <w:rFonts w:asciiTheme="majorHAnsi" w:hAnsiTheme="majorHAnsi"/>
          <w:sz w:val="16"/>
          <w:szCs w:val="16"/>
          <w:lang w:val="es-PA"/>
        </w:rPr>
        <w:t>,</w:t>
      </w:r>
      <w:r w:rsidRPr="00D074A4">
        <w:rPr>
          <w:rFonts w:asciiTheme="majorHAnsi" w:hAnsiTheme="majorHAnsi"/>
          <w:sz w:val="16"/>
          <w:szCs w:val="16"/>
          <w:lang w:val="es-PA"/>
        </w:rPr>
        <w:t xml:space="preserve"> así como a 8 personas adicionales que habrían sido asesinadas el mismo día que el señor Jesús Salvador Hernández</w:t>
      </w:r>
      <w:r w:rsidR="003529CB">
        <w:rPr>
          <w:rFonts w:asciiTheme="majorHAnsi" w:hAnsiTheme="majorHAnsi"/>
          <w:sz w:val="16"/>
          <w:szCs w:val="16"/>
          <w:lang w:val="es-PA"/>
        </w:rPr>
        <w:t>; los</w:t>
      </w:r>
      <w:r w:rsidR="00E638D2">
        <w:rPr>
          <w:rFonts w:asciiTheme="majorHAnsi" w:hAnsiTheme="majorHAnsi"/>
          <w:sz w:val="16"/>
          <w:szCs w:val="16"/>
          <w:lang w:val="es-PA"/>
        </w:rPr>
        <w:t xml:space="preserve"> nombres </w:t>
      </w:r>
      <w:r w:rsidR="003529CB">
        <w:rPr>
          <w:rFonts w:asciiTheme="majorHAnsi" w:hAnsiTheme="majorHAnsi"/>
          <w:sz w:val="16"/>
          <w:szCs w:val="16"/>
          <w:lang w:val="es-PA"/>
        </w:rPr>
        <w:t xml:space="preserve">de todas ellas </w:t>
      </w:r>
      <w:r w:rsidR="00E638D2">
        <w:rPr>
          <w:rFonts w:asciiTheme="majorHAnsi" w:hAnsiTheme="majorHAnsi"/>
          <w:sz w:val="16"/>
          <w:szCs w:val="16"/>
          <w:lang w:val="es-PA"/>
        </w:rPr>
        <w:t xml:space="preserve">se </w:t>
      </w:r>
      <w:r w:rsidR="003529CB">
        <w:rPr>
          <w:rFonts w:asciiTheme="majorHAnsi" w:hAnsiTheme="majorHAnsi"/>
          <w:sz w:val="16"/>
          <w:szCs w:val="16"/>
          <w:lang w:val="es-PA"/>
        </w:rPr>
        <w:t>incluyen</w:t>
      </w:r>
      <w:r w:rsidR="00E638D2">
        <w:rPr>
          <w:rFonts w:asciiTheme="majorHAnsi" w:hAnsiTheme="majorHAnsi"/>
          <w:sz w:val="16"/>
          <w:szCs w:val="16"/>
          <w:lang w:val="es-PA"/>
        </w:rPr>
        <w:t xml:space="preserve"> en anexo</w:t>
      </w:r>
      <w:r w:rsidR="003B22E0">
        <w:rPr>
          <w:rFonts w:asciiTheme="majorHAnsi" w:hAnsiTheme="majorHAnsi"/>
          <w:sz w:val="16"/>
          <w:szCs w:val="16"/>
          <w:lang w:val="es-PA"/>
        </w:rPr>
        <w:t xml:space="preserve"> al presente informe</w:t>
      </w:r>
      <w:r w:rsidRPr="00D074A4">
        <w:rPr>
          <w:rFonts w:asciiTheme="majorHAnsi" w:hAnsiTheme="majorHAnsi"/>
          <w:sz w:val="16"/>
          <w:szCs w:val="16"/>
          <w:lang w:val="es-PA"/>
        </w:rPr>
        <w:t>.</w:t>
      </w:r>
    </w:p>
  </w:footnote>
  <w:footnote w:id="3">
    <w:p w14:paraId="2CF14ED2" w14:textId="7638708D" w:rsidR="009C527B" w:rsidRPr="00D074A4" w:rsidRDefault="009C527B" w:rsidP="00FB1FFB">
      <w:pPr>
        <w:pStyle w:val="FootnoteText"/>
        <w:ind w:firstLine="720"/>
        <w:jc w:val="both"/>
        <w:rPr>
          <w:rFonts w:asciiTheme="majorHAnsi" w:hAnsiTheme="majorHAnsi"/>
          <w:sz w:val="16"/>
          <w:szCs w:val="16"/>
          <w:lang w:val="es-PA"/>
        </w:rPr>
      </w:pPr>
      <w:r w:rsidRPr="00D074A4">
        <w:rPr>
          <w:rStyle w:val="FootnoteReference"/>
          <w:rFonts w:asciiTheme="majorHAnsi" w:hAnsiTheme="majorHAnsi"/>
          <w:sz w:val="16"/>
          <w:szCs w:val="16"/>
        </w:rPr>
        <w:footnoteRef/>
      </w:r>
      <w:r w:rsidRPr="00D074A4">
        <w:rPr>
          <w:rFonts w:asciiTheme="majorHAnsi" w:hAnsiTheme="majorHAnsi"/>
          <w:sz w:val="16"/>
          <w:szCs w:val="16"/>
          <w:lang w:val="es-PA"/>
        </w:rPr>
        <w:t xml:space="preserve"> En adelante “la Convención Americana”.</w:t>
      </w:r>
    </w:p>
  </w:footnote>
  <w:footnote w:id="4">
    <w:p w14:paraId="49154E26" w14:textId="32A8F5C6" w:rsidR="009C527B" w:rsidRPr="00D074A4" w:rsidRDefault="009C527B" w:rsidP="00FB1FFB">
      <w:pPr>
        <w:pStyle w:val="FootnoteText"/>
        <w:ind w:firstLine="720"/>
        <w:jc w:val="both"/>
        <w:rPr>
          <w:rFonts w:asciiTheme="majorHAnsi" w:hAnsiTheme="majorHAnsi"/>
          <w:sz w:val="16"/>
          <w:szCs w:val="16"/>
          <w:lang w:val="es-PA"/>
        </w:rPr>
      </w:pPr>
      <w:r w:rsidRPr="00D074A4">
        <w:rPr>
          <w:rStyle w:val="FootnoteReference"/>
          <w:rFonts w:asciiTheme="majorHAnsi" w:hAnsiTheme="majorHAnsi"/>
          <w:sz w:val="16"/>
          <w:szCs w:val="16"/>
        </w:rPr>
        <w:footnoteRef/>
      </w:r>
      <w:r w:rsidRPr="00D074A4">
        <w:rPr>
          <w:rFonts w:asciiTheme="majorHAnsi" w:hAnsiTheme="majorHAnsi"/>
          <w:sz w:val="16"/>
          <w:szCs w:val="16"/>
          <w:lang w:val="es-PA"/>
        </w:rPr>
        <w:t xml:space="preserve"> En adelante “la Declaración Americana”</w:t>
      </w:r>
    </w:p>
  </w:footnote>
  <w:footnote w:id="5">
    <w:p w14:paraId="08CD6656" w14:textId="77777777" w:rsidR="009C527B" w:rsidRPr="00D074A4" w:rsidRDefault="009C527B" w:rsidP="00FB1FFB">
      <w:pPr>
        <w:pStyle w:val="FootnoteText"/>
        <w:ind w:firstLine="720"/>
        <w:jc w:val="both"/>
        <w:rPr>
          <w:rFonts w:asciiTheme="majorHAnsi" w:hAnsiTheme="majorHAnsi"/>
          <w:sz w:val="16"/>
          <w:szCs w:val="16"/>
          <w:lang w:val="es-ES"/>
        </w:rPr>
      </w:pPr>
      <w:r w:rsidRPr="00D074A4">
        <w:rPr>
          <w:rStyle w:val="FootnoteReference"/>
          <w:rFonts w:asciiTheme="majorHAnsi" w:hAnsiTheme="majorHAnsi"/>
          <w:sz w:val="16"/>
          <w:szCs w:val="16"/>
        </w:rPr>
        <w:footnoteRef/>
      </w:r>
      <w:r w:rsidRPr="00D074A4">
        <w:rPr>
          <w:rFonts w:asciiTheme="majorHAnsi" w:hAnsiTheme="majorHAnsi"/>
          <w:sz w:val="16"/>
          <w:szCs w:val="16"/>
          <w:lang w:val="es-ES"/>
        </w:rPr>
        <w:t xml:space="preserve"> Las observaciones de cada parte fueron debidamente trasladadas a la parte contraria.</w:t>
      </w:r>
    </w:p>
  </w:footnote>
  <w:footnote w:id="6">
    <w:p w14:paraId="2523F88D" w14:textId="60C44EA7" w:rsidR="009C527B" w:rsidRPr="00CF41C4" w:rsidRDefault="009C527B" w:rsidP="00FB1FFB">
      <w:pPr>
        <w:pStyle w:val="FootnoteText"/>
        <w:ind w:firstLine="720"/>
        <w:jc w:val="both"/>
        <w:rPr>
          <w:rFonts w:asciiTheme="majorHAnsi" w:hAnsiTheme="majorHAnsi"/>
          <w:sz w:val="16"/>
          <w:szCs w:val="16"/>
          <w:lang w:val="es-PA"/>
        </w:rPr>
      </w:pPr>
      <w:r w:rsidRPr="00D074A4">
        <w:rPr>
          <w:rStyle w:val="FootnoteReference"/>
          <w:rFonts w:asciiTheme="majorHAnsi" w:hAnsiTheme="majorHAnsi"/>
          <w:sz w:val="16"/>
          <w:szCs w:val="16"/>
        </w:rPr>
        <w:footnoteRef/>
      </w:r>
      <w:r w:rsidRPr="00D074A4">
        <w:rPr>
          <w:rFonts w:asciiTheme="majorHAnsi" w:hAnsiTheme="majorHAnsi"/>
          <w:sz w:val="16"/>
          <w:szCs w:val="16"/>
          <w:lang w:val="es-PA"/>
        </w:rPr>
        <w:t xml:space="preserve"> La parte peticionaria no ha enviado comunicaciones adicionales con contenido sustantivo desde 2015 pero el 10 de octubre de 2019 solicitó una cita para consultar el status de la petición.</w:t>
      </w:r>
    </w:p>
  </w:footnote>
  <w:footnote w:id="7">
    <w:p w14:paraId="18C54E46" w14:textId="77777777" w:rsidR="00B66118" w:rsidRPr="00D074A4" w:rsidRDefault="00B66118" w:rsidP="00FB1FFB">
      <w:pPr>
        <w:pStyle w:val="FootnoteText"/>
        <w:ind w:firstLine="720"/>
        <w:jc w:val="both"/>
        <w:rPr>
          <w:rFonts w:asciiTheme="majorHAnsi" w:hAnsiTheme="majorHAnsi"/>
          <w:sz w:val="16"/>
          <w:szCs w:val="16"/>
          <w:lang w:val="es-PA"/>
        </w:rPr>
      </w:pPr>
      <w:r w:rsidRPr="00D074A4">
        <w:rPr>
          <w:rStyle w:val="FootnoteReference"/>
          <w:rFonts w:asciiTheme="majorHAnsi" w:hAnsiTheme="majorHAnsi"/>
          <w:sz w:val="16"/>
          <w:szCs w:val="16"/>
        </w:rPr>
        <w:footnoteRef/>
      </w:r>
      <w:r w:rsidRPr="00D074A4">
        <w:rPr>
          <w:rFonts w:asciiTheme="majorHAnsi" w:hAnsiTheme="majorHAnsi"/>
          <w:sz w:val="16"/>
          <w:szCs w:val="16"/>
          <w:lang w:val="es-PA"/>
        </w:rPr>
        <w:t xml:space="preserve"> </w:t>
      </w:r>
      <w:r>
        <w:rPr>
          <w:rFonts w:asciiTheme="majorHAnsi" w:hAnsiTheme="majorHAnsi"/>
          <w:sz w:val="16"/>
          <w:szCs w:val="16"/>
          <w:lang w:val="es-PA"/>
        </w:rPr>
        <w:t xml:space="preserve">El peticionario denuncia </w:t>
      </w:r>
      <w:r w:rsidRPr="00D074A4">
        <w:rPr>
          <w:rFonts w:asciiTheme="majorHAnsi" w:hAnsiTheme="majorHAnsi"/>
          <w:sz w:val="16"/>
          <w:szCs w:val="16"/>
          <w:lang w:val="es-PA"/>
        </w:rPr>
        <w:t>que también resultaron muertos durante la presunta incursión paramilitar Luis Aicardo Arredondo</w:t>
      </w:r>
      <w:r>
        <w:rPr>
          <w:rFonts w:asciiTheme="majorHAnsi" w:hAnsiTheme="majorHAnsi"/>
          <w:sz w:val="16"/>
          <w:szCs w:val="16"/>
          <w:lang w:val="es-PA"/>
        </w:rPr>
        <w:t>,</w:t>
      </w:r>
      <w:r w:rsidRPr="00D074A4">
        <w:rPr>
          <w:rFonts w:asciiTheme="majorHAnsi" w:hAnsiTheme="majorHAnsi"/>
          <w:sz w:val="16"/>
          <w:szCs w:val="16"/>
          <w:lang w:val="es-PA"/>
        </w:rPr>
        <w:t xml:space="preserve"> René Galeano Velásquez, Carlos Gutiérrez, Baltasar Muñoz, Carlos Alberto Osorio, Jesús Querubín, Héctor Santamaría</w:t>
      </w:r>
      <w:r>
        <w:rPr>
          <w:rFonts w:asciiTheme="majorHAnsi" w:hAnsiTheme="majorHAnsi"/>
          <w:sz w:val="16"/>
          <w:szCs w:val="16"/>
          <w:lang w:val="es-PA"/>
        </w:rPr>
        <w:t xml:space="preserve"> y</w:t>
      </w:r>
      <w:r w:rsidRPr="00D074A4">
        <w:rPr>
          <w:rFonts w:asciiTheme="majorHAnsi" w:hAnsiTheme="majorHAnsi"/>
          <w:sz w:val="16"/>
          <w:szCs w:val="16"/>
          <w:lang w:val="es-PA"/>
        </w:rPr>
        <w:t xml:space="preserve"> Juan Mauricio Valencia. </w:t>
      </w:r>
    </w:p>
  </w:footnote>
  <w:footnote w:id="8">
    <w:p w14:paraId="1FEE2D2D" w14:textId="77777777" w:rsidR="00B36D98" w:rsidRPr="00D074A4" w:rsidRDefault="00B36D98" w:rsidP="00FB1FFB">
      <w:pPr>
        <w:pStyle w:val="FootnoteText"/>
        <w:jc w:val="both"/>
        <w:rPr>
          <w:rFonts w:asciiTheme="majorHAnsi" w:hAnsiTheme="majorHAnsi"/>
          <w:sz w:val="16"/>
          <w:szCs w:val="16"/>
          <w:lang w:val="es-ES"/>
        </w:rPr>
      </w:pPr>
      <w:r w:rsidRPr="006132CC">
        <w:rPr>
          <w:rFonts w:ascii="Cambria" w:hAnsi="Cambria"/>
          <w:sz w:val="16"/>
          <w:szCs w:val="16"/>
          <w:lang w:val="es-ES"/>
        </w:rPr>
        <w:tab/>
      </w:r>
      <w:r w:rsidRPr="00D074A4">
        <w:rPr>
          <w:rStyle w:val="FootnoteReference"/>
          <w:rFonts w:asciiTheme="majorHAnsi" w:hAnsiTheme="majorHAnsi"/>
          <w:sz w:val="16"/>
          <w:szCs w:val="16"/>
        </w:rPr>
        <w:footnoteRef/>
      </w:r>
      <w:r w:rsidRPr="00D074A4">
        <w:rPr>
          <w:rFonts w:asciiTheme="majorHAnsi" w:hAnsiTheme="majorHAnsi"/>
          <w:sz w:val="16"/>
          <w:szCs w:val="16"/>
          <w:lang w:val="es-ES"/>
        </w:rPr>
        <w:t xml:space="preserve"> CIDH, Informe No. 72/18, Petición 1131-08. Admisibilidad. Moisés de Jesús Hernández Pinto y familia. Guatemala. 20 de junio de 2018, párr. 10.</w:t>
      </w:r>
    </w:p>
  </w:footnote>
  <w:footnote w:id="9">
    <w:p w14:paraId="53A1478E" w14:textId="77777777" w:rsidR="009C527B" w:rsidRPr="00D074A4" w:rsidRDefault="009C527B" w:rsidP="00FB1FFB">
      <w:pPr>
        <w:pStyle w:val="FootnoteText"/>
        <w:jc w:val="both"/>
        <w:rPr>
          <w:rFonts w:asciiTheme="majorHAnsi" w:hAnsiTheme="majorHAnsi"/>
          <w:sz w:val="16"/>
          <w:szCs w:val="16"/>
          <w:lang w:val="es-ES_tradnl"/>
        </w:rPr>
      </w:pPr>
      <w:r w:rsidRPr="00D074A4">
        <w:rPr>
          <w:rFonts w:asciiTheme="majorHAnsi" w:hAnsiTheme="majorHAnsi"/>
          <w:sz w:val="16"/>
          <w:szCs w:val="16"/>
          <w:lang w:val="es-ES"/>
        </w:rPr>
        <w:tab/>
      </w:r>
      <w:r w:rsidRPr="00D074A4">
        <w:rPr>
          <w:rStyle w:val="FootnoteReference"/>
          <w:rFonts w:asciiTheme="majorHAnsi" w:hAnsiTheme="majorHAnsi"/>
          <w:sz w:val="16"/>
          <w:szCs w:val="16"/>
        </w:rPr>
        <w:footnoteRef/>
      </w:r>
      <w:r w:rsidRPr="00D074A4">
        <w:rPr>
          <w:rFonts w:asciiTheme="majorHAnsi" w:hAnsiTheme="majorHAnsi"/>
          <w:sz w:val="16"/>
          <w:szCs w:val="16"/>
          <w:lang w:val="es-ES"/>
        </w:rPr>
        <w:t xml:space="preserve"> CIDH, Informe No. 71/17, Petición 271-07. Admisibilidad. Jorge Luis de la Rosa Mejía y otros. Colombia. 29 de junio de 2017, </w:t>
      </w:r>
      <w:proofErr w:type="spellStart"/>
      <w:r w:rsidRPr="00D074A4">
        <w:rPr>
          <w:rFonts w:asciiTheme="majorHAnsi" w:hAnsiTheme="majorHAnsi"/>
          <w:sz w:val="16"/>
          <w:szCs w:val="16"/>
          <w:lang w:val="es-ES"/>
        </w:rPr>
        <w:t>párr</w:t>
      </w:r>
      <w:proofErr w:type="spellEnd"/>
      <w:r w:rsidRPr="00D074A4">
        <w:rPr>
          <w:rFonts w:asciiTheme="majorHAnsi" w:hAnsiTheme="majorHAnsi"/>
          <w:sz w:val="16"/>
          <w:szCs w:val="16"/>
          <w:lang w:val="es-ES_tradnl"/>
        </w:rPr>
        <w:t>. 51.</w:t>
      </w:r>
    </w:p>
  </w:footnote>
  <w:footnote w:id="10">
    <w:p w14:paraId="6ED4A5AB" w14:textId="423937F0" w:rsidR="009C527B" w:rsidRPr="00D074A4" w:rsidRDefault="009C527B" w:rsidP="00FB1FFB">
      <w:pPr>
        <w:pStyle w:val="FootnoteText"/>
        <w:ind w:firstLine="720"/>
        <w:jc w:val="both"/>
        <w:rPr>
          <w:rFonts w:asciiTheme="majorHAnsi" w:hAnsiTheme="majorHAnsi"/>
          <w:sz w:val="16"/>
          <w:szCs w:val="16"/>
          <w:vertAlign w:val="subscript"/>
          <w:lang w:val="es-PA"/>
        </w:rPr>
      </w:pPr>
      <w:r w:rsidRPr="00D074A4">
        <w:rPr>
          <w:rStyle w:val="FootnoteReference"/>
          <w:rFonts w:asciiTheme="majorHAnsi" w:hAnsiTheme="majorHAnsi"/>
          <w:sz w:val="16"/>
          <w:szCs w:val="16"/>
        </w:rPr>
        <w:footnoteRef/>
      </w:r>
      <w:r w:rsidRPr="00D074A4">
        <w:rPr>
          <w:rFonts w:asciiTheme="majorHAnsi" w:hAnsiTheme="majorHAnsi"/>
          <w:sz w:val="16"/>
          <w:szCs w:val="16"/>
          <w:lang w:val="es-PA"/>
        </w:rPr>
        <w:t>CIDH, Informe No. 120/20. Petición 186-11. Admisibilidad. S. A. S. Colombia. 27 de abril de 2020</w:t>
      </w:r>
    </w:p>
  </w:footnote>
  <w:footnote w:id="11">
    <w:p w14:paraId="477D087A" w14:textId="77777777" w:rsidR="009C527B" w:rsidRPr="0008748A" w:rsidRDefault="009C527B" w:rsidP="00FB1FFB">
      <w:pPr>
        <w:contextualSpacing/>
        <w:jc w:val="both"/>
        <w:rPr>
          <w:rFonts w:asciiTheme="majorHAnsi" w:hAnsiTheme="majorHAnsi" w:cs="Calibri"/>
          <w:sz w:val="16"/>
          <w:szCs w:val="16"/>
          <w:lang w:val="es-ES"/>
        </w:rPr>
      </w:pPr>
      <w:r w:rsidRPr="0008748A">
        <w:rPr>
          <w:rFonts w:asciiTheme="majorHAnsi" w:hAnsiTheme="majorHAnsi"/>
          <w:sz w:val="16"/>
          <w:szCs w:val="16"/>
          <w:lang w:val="es-ES"/>
        </w:rPr>
        <w:tab/>
      </w:r>
      <w:r w:rsidRPr="0008748A">
        <w:rPr>
          <w:rStyle w:val="FootnoteReference"/>
          <w:rFonts w:asciiTheme="majorHAnsi" w:hAnsiTheme="majorHAnsi"/>
          <w:sz w:val="16"/>
          <w:szCs w:val="16"/>
        </w:rPr>
        <w:footnoteRef/>
      </w:r>
      <w:r w:rsidRPr="0008748A">
        <w:rPr>
          <w:rFonts w:asciiTheme="majorHAnsi" w:hAnsiTheme="majorHAnsi"/>
          <w:sz w:val="16"/>
          <w:szCs w:val="16"/>
          <w:lang w:val="es-ES"/>
        </w:rPr>
        <w:t xml:space="preserve"> </w:t>
      </w:r>
      <w:r w:rsidRPr="0008748A">
        <w:rPr>
          <w:rFonts w:asciiTheme="majorHAnsi" w:hAnsiTheme="majorHAnsi" w:cs="Calibri"/>
          <w:sz w:val="16"/>
          <w:szCs w:val="16"/>
          <w:lang w:val="es-ES"/>
        </w:rPr>
        <w:t>CIDH, Informe No. 15/05, Petición 59-03. Admisibilidad. Carlos Escaleras Mejía. Honduras. 24 de febrero de 2005, párr. 31.</w:t>
      </w:r>
    </w:p>
  </w:footnote>
  <w:footnote w:id="12">
    <w:p w14:paraId="500554C3" w14:textId="77777777" w:rsidR="009C527B" w:rsidRPr="006132CC" w:rsidRDefault="009C527B" w:rsidP="00FB1FFB">
      <w:pPr>
        <w:pStyle w:val="FootnoteText"/>
        <w:jc w:val="both"/>
        <w:rPr>
          <w:rFonts w:ascii="Cambria" w:hAnsi="Cambria"/>
          <w:sz w:val="16"/>
          <w:szCs w:val="16"/>
          <w:lang w:val="es-ES"/>
        </w:rPr>
      </w:pPr>
      <w:r w:rsidRPr="006132CC">
        <w:rPr>
          <w:rFonts w:ascii="Cambria" w:hAnsi="Cambria"/>
          <w:sz w:val="16"/>
          <w:szCs w:val="16"/>
          <w:lang w:val="es-ES"/>
        </w:rPr>
        <w:tab/>
      </w:r>
      <w:r w:rsidRPr="00A32B9B">
        <w:rPr>
          <w:rStyle w:val="FootnoteReference"/>
          <w:rFonts w:ascii="Cambria" w:hAnsi="Cambria"/>
          <w:sz w:val="16"/>
          <w:szCs w:val="16"/>
        </w:rPr>
        <w:footnoteRef/>
      </w:r>
      <w:r>
        <w:rPr>
          <w:rFonts w:ascii="Cambria" w:hAnsi="Cambria"/>
          <w:sz w:val="16"/>
          <w:szCs w:val="16"/>
          <w:lang w:val="es-ES"/>
        </w:rPr>
        <w:t xml:space="preserve"> CIDH, Informe No. 44/18, Petición 840-07. </w:t>
      </w:r>
      <w:r w:rsidRPr="00AB778E">
        <w:rPr>
          <w:rFonts w:ascii="Cambria" w:hAnsi="Cambria"/>
          <w:sz w:val="16"/>
          <w:szCs w:val="16"/>
          <w:lang w:val="es-ES"/>
        </w:rPr>
        <w:t xml:space="preserve">Admisibilidad. Masacre de </w:t>
      </w:r>
      <w:proofErr w:type="spellStart"/>
      <w:r w:rsidRPr="00AB778E">
        <w:rPr>
          <w:rFonts w:ascii="Cambria" w:hAnsi="Cambria"/>
          <w:sz w:val="16"/>
          <w:szCs w:val="16"/>
          <w:lang w:val="es-ES"/>
        </w:rPr>
        <w:t>Pijiguay</w:t>
      </w:r>
      <w:proofErr w:type="spellEnd"/>
      <w:r w:rsidRPr="00AB778E">
        <w:rPr>
          <w:rFonts w:ascii="Cambria" w:hAnsi="Cambria"/>
          <w:sz w:val="16"/>
          <w:szCs w:val="16"/>
          <w:lang w:val="es-ES"/>
        </w:rPr>
        <w:t>. Colombia. 4 de mayo de 2018, párr. 11.</w:t>
      </w:r>
    </w:p>
  </w:footnote>
  <w:footnote w:id="13">
    <w:p w14:paraId="098EFEDF" w14:textId="2C1A3877" w:rsidR="009C527B" w:rsidRPr="0008748A" w:rsidRDefault="009C527B" w:rsidP="00FB1FFB">
      <w:pPr>
        <w:pStyle w:val="FootnoteText"/>
        <w:ind w:firstLine="720"/>
        <w:jc w:val="both"/>
        <w:rPr>
          <w:rFonts w:asciiTheme="majorHAnsi" w:hAnsiTheme="majorHAnsi"/>
          <w:sz w:val="16"/>
          <w:szCs w:val="16"/>
          <w:lang w:val="es-PA"/>
        </w:rPr>
      </w:pPr>
      <w:r w:rsidRPr="0008748A">
        <w:rPr>
          <w:rStyle w:val="FootnoteReference"/>
          <w:rFonts w:asciiTheme="majorHAnsi" w:hAnsiTheme="majorHAnsi"/>
          <w:sz w:val="16"/>
          <w:szCs w:val="16"/>
        </w:rPr>
        <w:footnoteRef/>
      </w:r>
      <w:r w:rsidRPr="0008748A">
        <w:rPr>
          <w:rFonts w:asciiTheme="majorHAnsi" w:hAnsiTheme="majorHAnsi"/>
          <w:sz w:val="16"/>
          <w:szCs w:val="16"/>
          <w:lang w:val="es-PA"/>
        </w:rPr>
        <w:t xml:space="preserve"> Corte I.D.H., Yarce y Otras vs. Colombia. Sentencia de excepciones preliminar, fondo, reparaciones y costas. 22 de noviembre de 2016</w:t>
      </w:r>
      <w:r>
        <w:rPr>
          <w:rFonts w:asciiTheme="majorHAnsi" w:hAnsiTheme="majorHAnsi"/>
          <w:sz w:val="16"/>
          <w:szCs w:val="16"/>
          <w:lang w:val="es-PA"/>
        </w:rPr>
        <w:t xml:space="preserve">, </w:t>
      </w:r>
      <w:r w:rsidRPr="0008748A">
        <w:rPr>
          <w:rFonts w:asciiTheme="majorHAnsi" w:hAnsiTheme="majorHAnsi"/>
          <w:sz w:val="16"/>
          <w:szCs w:val="16"/>
          <w:lang w:val="es-PA"/>
        </w:rPr>
        <w:t>párr. 182.</w:t>
      </w:r>
    </w:p>
  </w:footnote>
  <w:footnote w:id="14">
    <w:p w14:paraId="6857209D" w14:textId="77777777" w:rsidR="00E638D2" w:rsidRPr="00C5191D" w:rsidRDefault="00E638D2" w:rsidP="00FB1FFB">
      <w:pPr>
        <w:pStyle w:val="FootnoteText"/>
        <w:ind w:firstLine="720"/>
        <w:jc w:val="both"/>
        <w:rPr>
          <w:rFonts w:ascii="Cambria" w:hAnsi="Cambria"/>
          <w:sz w:val="16"/>
          <w:szCs w:val="16"/>
          <w:lang w:val="es-ES"/>
        </w:rPr>
      </w:pPr>
      <w:r w:rsidRPr="00C5191D">
        <w:rPr>
          <w:rStyle w:val="FootnoteReference"/>
          <w:rFonts w:ascii="Cambria" w:hAnsi="Cambria"/>
          <w:sz w:val="16"/>
          <w:szCs w:val="16"/>
        </w:rPr>
        <w:footnoteRef/>
      </w:r>
      <w:r w:rsidRPr="00C5191D">
        <w:rPr>
          <w:rFonts w:ascii="Cambria" w:hAnsi="Cambria"/>
          <w:sz w:val="16"/>
          <w:szCs w:val="16"/>
          <w:lang w:val="es-ES"/>
        </w:rPr>
        <w:t xml:space="preserve"> CIDH, Informe No. 143/18, Petición 940-08. Admisibilidad. Luis Américo Ayala Gonzales. Perú. 4 de diciembre de 2018, párr.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713B67" w14:textId="77777777" w:rsidR="009C527B" w:rsidRDefault="009C527B" w:rsidP="00B4618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800D5B4" w14:textId="77777777" w:rsidR="009C527B" w:rsidRDefault="009C52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481B9" w14:textId="77777777" w:rsidR="009C527B" w:rsidRDefault="009C527B" w:rsidP="00A50FCF">
    <w:pPr>
      <w:pStyle w:val="Header"/>
      <w:tabs>
        <w:tab w:val="clear" w:pos="4320"/>
        <w:tab w:val="clear" w:pos="8640"/>
      </w:tabs>
      <w:jc w:val="center"/>
      <w:rPr>
        <w:sz w:val="22"/>
        <w:szCs w:val="22"/>
      </w:rPr>
    </w:pPr>
    <w:r>
      <w:rPr>
        <w:noProof/>
        <w:sz w:val="22"/>
        <w:szCs w:val="22"/>
      </w:rPr>
      <w:drawing>
        <wp:inline distT="0" distB="0" distL="0" distR="0" wp14:anchorId="1712A0C8" wp14:editId="40AEDC2B">
          <wp:extent cx="1972237" cy="104775"/>
          <wp:effectExtent l="0" t="0" r="9525" b="0"/>
          <wp:docPr id="2" name="Picture 2"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04B18495" w14:textId="77777777" w:rsidR="009C527B" w:rsidRPr="00EC7D62" w:rsidRDefault="006C4EC7" w:rsidP="00A50FCF">
    <w:pPr>
      <w:pStyle w:val="Header"/>
      <w:tabs>
        <w:tab w:val="clear" w:pos="4320"/>
        <w:tab w:val="clear" w:pos="8640"/>
      </w:tabs>
      <w:jc w:val="center"/>
      <w:rPr>
        <w:sz w:val="22"/>
        <w:szCs w:val="22"/>
      </w:rPr>
    </w:pPr>
    <w:r>
      <w:rPr>
        <w:sz w:val="22"/>
        <w:szCs w:val="22"/>
      </w:rPr>
      <w:pict w14:anchorId="69C91BCE">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C0A36" w14:textId="77777777" w:rsidR="004615BC" w:rsidRDefault="004615B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9C527B" w:rsidRDefault="009C527B" w:rsidP="00B4618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9C527B" w:rsidRDefault="009C527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9C527B" w:rsidRDefault="009C527B"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9C527B" w:rsidRPr="00EC7D62" w:rsidRDefault="006C4EC7" w:rsidP="00A50FCF">
    <w:pPr>
      <w:pStyle w:val="Header"/>
      <w:tabs>
        <w:tab w:val="clear" w:pos="4320"/>
        <w:tab w:val="clear" w:pos="8640"/>
      </w:tabs>
      <w:jc w:val="center"/>
      <w:rPr>
        <w:sz w:val="22"/>
        <w:szCs w:val="22"/>
      </w:rPr>
    </w:pPr>
    <w:r>
      <w:rPr>
        <w:sz w:val="22"/>
        <w:szCs w:val="22"/>
      </w:rPr>
      <w:pict w14:anchorId="4367A34C">
        <v:rect id="_x0000_i1026"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93A0007E"/>
    <w:lvl w:ilvl="0" w:tplc="4B1CC5E8">
      <w:start w:val="1"/>
      <w:numFmt w:val="decimal"/>
      <w:lvlText w:val="%1."/>
      <w:lvlJc w:val="left"/>
      <w:pPr>
        <w:tabs>
          <w:tab w:val="num" w:pos="720"/>
        </w:tabs>
        <w:ind w:left="0" w:firstLine="720"/>
      </w:pPr>
      <w:rPr>
        <w:rFonts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785F1A"/>
    <w:multiLevelType w:val="hybridMultilevel"/>
    <w:tmpl w:val="8280FD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75819DF"/>
    <w:multiLevelType w:val="hybridMultilevel"/>
    <w:tmpl w:val="130040F4"/>
    <w:lvl w:ilvl="0" w:tplc="14601E6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ED143F7"/>
    <w:multiLevelType w:val="hybridMultilevel"/>
    <w:tmpl w:val="BD1C7D50"/>
    <w:lvl w:ilvl="0" w:tplc="CA6AFC60">
      <w:start w:val="1"/>
      <w:numFmt w:val="decimal"/>
      <w:lvlText w:val="%1."/>
      <w:lvlJc w:val="left"/>
      <w:pPr>
        <w:ind w:left="720" w:hanging="360"/>
      </w:pPr>
      <w:rPr>
        <w:rFonts w:ascii="Cambria" w:hAnsi="Cambria"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3"/>
  </w:num>
  <w:num w:numId="4">
    <w:abstractNumId w:val="21"/>
  </w:num>
  <w:num w:numId="5">
    <w:abstractNumId w:val="47"/>
  </w:num>
  <w:num w:numId="6">
    <w:abstractNumId w:val="26"/>
  </w:num>
  <w:num w:numId="7">
    <w:abstractNumId w:val="7"/>
  </w:num>
  <w:num w:numId="8">
    <w:abstractNumId w:val="17"/>
  </w:num>
  <w:num w:numId="9">
    <w:abstractNumId w:val="40"/>
  </w:num>
  <w:num w:numId="10">
    <w:abstractNumId w:val="0"/>
  </w:num>
  <w:num w:numId="11">
    <w:abstractNumId w:val="35"/>
  </w:num>
  <w:num w:numId="12">
    <w:abstractNumId w:val="36"/>
  </w:num>
  <w:num w:numId="13">
    <w:abstractNumId w:val="43"/>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2"/>
  </w:num>
  <w:num w:numId="28">
    <w:abstractNumId w:val="23"/>
  </w:num>
  <w:num w:numId="29">
    <w:abstractNumId w:val="24"/>
  </w:num>
  <w:num w:numId="30">
    <w:abstractNumId w:val="25"/>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7"/>
  </w:num>
  <w:num w:numId="40">
    <w:abstractNumId w:val="38"/>
  </w:num>
  <w:num w:numId="41">
    <w:abstractNumId w:val="46"/>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8"/>
  </w:num>
  <w:num w:numId="51">
    <w:abstractNumId w:val="20"/>
  </w:num>
  <w:num w:numId="52">
    <w:abstractNumId w:val="39"/>
  </w:num>
  <w:num w:numId="53">
    <w:abstractNumId w:val="50"/>
  </w:num>
  <w:num w:numId="54">
    <w:abstractNumId w:val="44"/>
  </w:num>
  <w:num w:numId="55">
    <w:abstractNumId w:val="4"/>
  </w:num>
  <w:num w:numId="56">
    <w:abstractNumId w:val="41"/>
  </w:num>
  <w:num w:numId="57">
    <w:abstractNumId w:val="45"/>
  </w:num>
  <w:num w:numId="58">
    <w:abstractNumId w:val="6"/>
  </w:num>
  <w:num w:numId="59">
    <w:abstractNumId w:val="4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0FA5"/>
    <w:rsid w:val="00006E1F"/>
    <w:rsid w:val="000070D7"/>
    <w:rsid w:val="000112E0"/>
    <w:rsid w:val="00014313"/>
    <w:rsid w:val="0001788C"/>
    <w:rsid w:val="00024488"/>
    <w:rsid w:val="000337EF"/>
    <w:rsid w:val="00040C3A"/>
    <w:rsid w:val="000419AD"/>
    <w:rsid w:val="000433C9"/>
    <w:rsid w:val="00045A01"/>
    <w:rsid w:val="000673D0"/>
    <w:rsid w:val="000716C5"/>
    <w:rsid w:val="00075E23"/>
    <w:rsid w:val="00091C07"/>
    <w:rsid w:val="0009344A"/>
    <w:rsid w:val="000A392E"/>
    <w:rsid w:val="000A4746"/>
    <w:rsid w:val="000A52FC"/>
    <w:rsid w:val="000A575F"/>
    <w:rsid w:val="000B6028"/>
    <w:rsid w:val="000D05CB"/>
    <w:rsid w:val="000D10DB"/>
    <w:rsid w:val="000D3651"/>
    <w:rsid w:val="000E2985"/>
    <w:rsid w:val="000E5EB5"/>
    <w:rsid w:val="000F02EC"/>
    <w:rsid w:val="000F35ED"/>
    <w:rsid w:val="00107131"/>
    <w:rsid w:val="0010736F"/>
    <w:rsid w:val="00113F73"/>
    <w:rsid w:val="00121CC2"/>
    <w:rsid w:val="00131425"/>
    <w:rsid w:val="0013183A"/>
    <w:rsid w:val="00133EE5"/>
    <w:rsid w:val="00136EC3"/>
    <w:rsid w:val="00167A34"/>
    <w:rsid w:val="00174378"/>
    <w:rsid w:val="00175057"/>
    <w:rsid w:val="001A22A2"/>
    <w:rsid w:val="001A7870"/>
    <w:rsid w:val="001B3A00"/>
    <w:rsid w:val="001C1B41"/>
    <w:rsid w:val="001C43F5"/>
    <w:rsid w:val="001C5A65"/>
    <w:rsid w:val="001D3337"/>
    <w:rsid w:val="001D3954"/>
    <w:rsid w:val="001D65EF"/>
    <w:rsid w:val="001E2632"/>
    <w:rsid w:val="001E49E7"/>
    <w:rsid w:val="001F7201"/>
    <w:rsid w:val="0021279D"/>
    <w:rsid w:val="00215A57"/>
    <w:rsid w:val="00216A1D"/>
    <w:rsid w:val="0022072D"/>
    <w:rsid w:val="00223A29"/>
    <w:rsid w:val="002250A3"/>
    <w:rsid w:val="00235217"/>
    <w:rsid w:val="0024546E"/>
    <w:rsid w:val="00246D1F"/>
    <w:rsid w:val="00247403"/>
    <w:rsid w:val="00247542"/>
    <w:rsid w:val="00251109"/>
    <w:rsid w:val="0025195E"/>
    <w:rsid w:val="0025568F"/>
    <w:rsid w:val="00263F6F"/>
    <w:rsid w:val="00266530"/>
    <w:rsid w:val="00266B61"/>
    <w:rsid w:val="0026712A"/>
    <w:rsid w:val="002704DB"/>
    <w:rsid w:val="002836F3"/>
    <w:rsid w:val="002A0AAE"/>
    <w:rsid w:val="002A5820"/>
    <w:rsid w:val="002A6627"/>
    <w:rsid w:val="002A7562"/>
    <w:rsid w:val="002B0B90"/>
    <w:rsid w:val="002C3B2B"/>
    <w:rsid w:val="002C6A45"/>
    <w:rsid w:val="002D1AB4"/>
    <w:rsid w:val="002D2B26"/>
    <w:rsid w:val="002D7EA2"/>
    <w:rsid w:val="002E187C"/>
    <w:rsid w:val="002E4781"/>
    <w:rsid w:val="002F3179"/>
    <w:rsid w:val="00302733"/>
    <w:rsid w:val="0030535D"/>
    <w:rsid w:val="00314078"/>
    <w:rsid w:val="0031535D"/>
    <w:rsid w:val="003239B8"/>
    <w:rsid w:val="0033169F"/>
    <w:rsid w:val="00344977"/>
    <w:rsid w:val="00346C95"/>
    <w:rsid w:val="003529CB"/>
    <w:rsid w:val="00356185"/>
    <w:rsid w:val="00360380"/>
    <w:rsid w:val="00366053"/>
    <w:rsid w:val="0037519E"/>
    <w:rsid w:val="00375317"/>
    <w:rsid w:val="00377E2B"/>
    <w:rsid w:val="0038223E"/>
    <w:rsid w:val="0038524B"/>
    <w:rsid w:val="00386CF0"/>
    <w:rsid w:val="00390590"/>
    <w:rsid w:val="003A3E87"/>
    <w:rsid w:val="003B22E0"/>
    <w:rsid w:val="003B70FB"/>
    <w:rsid w:val="003C676B"/>
    <w:rsid w:val="003D3BC2"/>
    <w:rsid w:val="003E04BE"/>
    <w:rsid w:val="003E6CA1"/>
    <w:rsid w:val="004065A8"/>
    <w:rsid w:val="00406675"/>
    <w:rsid w:val="00411591"/>
    <w:rsid w:val="004165C2"/>
    <w:rsid w:val="004273CC"/>
    <w:rsid w:val="00427495"/>
    <w:rsid w:val="004347D7"/>
    <w:rsid w:val="00441ECB"/>
    <w:rsid w:val="00445193"/>
    <w:rsid w:val="00454F0A"/>
    <w:rsid w:val="004615BC"/>
    <w:rsid w:val="00462C1B"/>
    <w:rsid w:val="00467B7E"/>
    <w:rsid w:val="00473BB4"/>
    <w:rsid w:val="00477592"/>
    <w:rsid w:val="0048136A"/>
    <w:rsid w:val="0048440B"/>
    <w:rsid w:val="00486F1C"/>
    <w:rsid w:val="0049419D"/>
    <w:rsid w:val="00494CCE"/>
    <w:rsid w:val="004A4B9C"/>
    <w:rsid w:val="004A6A54"/>
    <w:rsid w:val="004C0E8D"/>
    <w:rsid w:val="004C1EDB"/>
    <w:rsid w:val="004C20D2"/>
    <w:rsid w:val="004C2312"/>
    <w:rsid w:val="004C4B62"/>
    <w:rsid w:val="004C4FF0"/>
    <w:rsid w:val="004C54C9"/>
    <w:rsid w:val="004D4ABA"/>
    <w:rsid w:val="004D6025"/>
    <w:rsid w:val="004D70F9"/>
    <w:rsid w:val="004E2649"/>
    <w:rsid w:val="004F626F"/>
    <w:rsid w:val="00501399"/>
    <w:rsid w:val="0050633D"/>
    <w:rsid w:val="00507BC4"/>
    <w:rsid w:val="00511602"/>
    <w:rsid w:val="005128E4"/>
    <w:rsid w:val="005133DB"/>
    <w:rsid w:val="00514504"/>
    <w:rsid w:val="00520E16"/>
    <w:rsid w:val="005224F5"/>
    <w:rsid w:val="005246D3"/>
    <w:rsid w:val="00524D7D"/>
    <w:rsid w:val="005253C4"/>
    <w:rsid w:val="00525560"/>
    <w:rsid w:val="00530A97"/>
    <w:rsid w:val="00533A62"/>
    <w:rsid w:val="0053487B"/>
    <w:rsid w:val="00544C49"/>
    <w:rsid w:val="005516A1"/>
    <w:rsid w:val="0055189F"/>
    <w:rsid w:val="005559EF"/>
    <w:rsid w:val="005609ED"/>
    <w:rsid w:val="00563557"/>
    <w:rsid w:val="0057402A"/>
    <w:rsid w:val="0057550E"/>
    <w:rsid w:val="005771D0"/>
    <w:rsid w:val="00585A16"/>
    <w:rsid w:val="0059191A"/>
    <w:rsid w:val="005921FF"/>
    <w:rsid w:val="005A24ED"/>
    <w:rsid w:val="005A6D0E"/>
    <w:rsid w:val="005B52B0"/>
    <w:rsid w:val="005B6806"/>
    <w:rsid w:val="005C4225"/>
    <w:rsid w:val="005D13C5"/>
    <w:rsid w:val="005D6FF2"/>
    <w:rsid w:val="005E3E07"/>
    <w:rsid w:val="005E5F78"/>
    <w:rsid w:val="005F0DAD"/>
    <w:rsid w:val="005F0F33"/>
    <w:rsid w:val="005F4400"/>
    <w:rsid w:val="00600DEB"/>
    <w:rsid w:val="00601040"/>
    <w:rsid w:val="00601737"/>
    <w:rsid w:val="00623843"/>
    <w:rsid w:val="00623D20"/>
    <w:rsid w:val="00627C9F"/>
    <w:rsid w:val="006311E9"/>
    <w:rsid w:val="00632354"/>
    <w:rsid w:val="00635421"/>
    <w:rsid w:val="00642810"/>
    <w:rsid w:val="00652333"/>
    <w:rsid w:val="00675B2C"/>
    <w:rsid w:val="00675B36"/>
    <w:rsid w:val="0068009E"/>
    <w:rsid w:val="006856C8"/>
    <w:rsid w:val="00691772"/>
    <w:rsid w:val="00691776"/>
    <w:rsid w:val="00692219"/>
    <w:rsid w:val="0069536F"/>
    <w:rsid w:val="006A17D2"/>
    <w:rsid w:val="006A53B4"/>
    <w:rsid w:val="006A73E6"/>
    <w:rsid w:val="006B2D5C"/>
    <w:rsid w:val="006B79EA"/>
    <w:rsid w:val="006C3525"/>
    <w:rsid w:val="006C4EB1"/>
    <w:rsid w:val="006C4EC7"/>
    <w:rsid w:val="006D14F3"/>
    <w:rsid w:val="006D46DB"/>
    <w:rsid w:val="006E0166"/>
    <w:rsid w:val="006E2FFB"/>
    <w:rsid w:val="006E3931"/>
    <w:rsid w:val="006E7B34"/>
    <w:rsid w:val="0070697F"/>
    <w:rsid w:val="0072199C"/>
    <w:rsid w:val="00722C9F"/>
    <w:rsid w:val="007253B8"/>
    <w:rsid w:val="0073741F"/>
    <w:rsid w:val="0076643F"/>
    <w:rsid w:val="00771400"/>
    <w:rsid w:val="00777F63"/>
    <w:rsid w:val="0078377F"/>
    <w:rsid w:val="00785D5C"/>
    <w:rsid w:val="0079129C"/>
    <w:rsid w:val="00793F54"/>
    <w:rsid w:val="007A5817"/>
    <w:rsid w:val="007B05C4"/>
    <w:rsid w:val="007B0787"/>
    <w:rsid w:val="007B60E9"/>
    <w:rsid w:val="007B6CC3"/>
    <w:rsid w:val="007B71E2"/>
    <w:rsid w:val="007B767B"/>
    <w:rsid w:val="007B76D3"/>
    <w:rsid w:val="007C2D33"/>
    <w:rsid w:val="007C3334"/>
    <w:rsid w:val="007C4159"/>
    <w:rsid w:val="007D2B98"/>
    <w:rsid w:val="007D328D"/>
    <w:rsid w:val="007E21BC"/>
    <w:rsid w:val="007E75F4"/>
    <w:rsid w:val="007E7C82"/>
    <w:rsid w:val="007F2AA1"/>
    <w:rsid w:val="007F3777"/>
    <w:rsid w:val="007F588D"/>
    <w:rsid w:val="007F58A4"/>
    <w:rsid w:val="00800869"/>
    <w:rsid w:val="00803423"/>
    <w:rsid w:val="00803A03"/>
    <w:rsid w:val="00803AE2"/>
    <w:rsid w:val="00803C12"/>
    <w:rsid w:val="00803DC6"/>
    <w:rsid w:val="00803F1C"/>
    <w:rsid w:val="0080600E"/>
    <w:rsid w:val="00811520"/>
    <w:rsid w:val="00814688"/>
    <w:rsid w:val="00817612"/>
    <w:rsid w:val="00831D07"/>
    <w:rsid w:val="008338A4"/>
    <w:rsid w:val="00834D49"/>
    <w:rsid w:val="00837C45"/>
    <w:rsid w:val="00840B5C"/>
    <w:rsid w:val="00844730"/>
    <w:rsid w:val="008457C2"/>
    <w:rsid w:val="00857A82"/>
    <w:rsid w:val="00866A35"/>
    <w:rsid w:val="00873836"/>
    <w:rsid w:val="00874720"/>
    <w:rsid w:val="00883F95"/>
    <w:rsid w:val="00885737"/>
    <w:rsid w:val="00885993"/>
    <w:rsid w:val="00890650"/>
    <w:rsid w:val="00897E12"/>
    <w:rsid w:val="008A0AB8"/>
    <w:rsid w:val="008A0CEB"/>
    <w:rsid w:val="008A7E0F"/>
    <w:rsid w:val="008B12F5"/>
    <w:rsid w:val="008C5E2D"/>
    <w:rsid w:val="008D114A"/>
    <w:rsid w:val="008D768D"/>
    <w:rsid w:val="008D7B46"/>
    <w:rsid w:val="008E1315"/>
    <w:rsid w:val="008E1A01"/>
    <w:rsid w:val="008E3759"/>
    <w:rsid w:val="008E3BFE"/>
    <w:rsid w:val="008E4F1C"/>
    <w:rsid w:val="008E580E"/>
    <w:rsid w:val="008F1912"/>
    <w:rsid w:val="0090270B"/>
    <w:rsid w:val="00904013"/>
    <w:rsid w:val="009041DC"/>
    <w:rsid w:val="00904C8E"/>
    <w:rsid w:val="00917B5A"/>
    <w:rsid w:val="00920A58"/>
    <w:rsid w:val="00920A8C"/>
    <w:rsid w:val="00922E6C"/>
    <w:rsid w:val="00934A2C"/>
    <w:rsid w:val="0094529B"/>
    <w:rsid w:val="0096697B"/>
    <w:rsid w:val="0096706E"/>
    <w:rsid w:val="009725F4"/>
    <w:rsid w:val="00973FAC"/>
    <w:rsid w:val="00974491"/>
    <w:rsid w:val="00975C4E"/>
    <w:rsid w:val="00981FBA"/>
    <w:rsid w:val="00990498"/>
    <w:rsid w:val="00997BC5"/>
    <w:rsid w:val="009A4F41"/>
    <w:rsid w:val="009A5FF0"/>
    <w:rsid w:val="009B381B"/>
    <w:rsid w:val="009C527B"/>
    <w:rsid w:val="009C5E7B"/>
    <w:rsid w:val="009C6CB7"/>
    <w:rsid w:val="009D1753"/>
    <w:rsid w:val="009D7611"/>
    <w:rsid w:val="009E0B61"/>
    <w:rsid w:val="009E41D6"/>
    <w:rsid w:val="009E4EC3"/>
    <w:rsid w:val="009E53DE"/>
    <w:rsid w:val="009F224C"/>
    <w:rsid w:val="009F314C"/>
    <w:rsid w:val="009F4FB9"/>
    <w:rsid w:val="00A11212"/>
    <w:rsid w:val="00A11E44"/>
    <w:rsid w:val="00A20002"/>
    <w:rsid w:val="00A30100"/>
    <w:rsid w:val="00A322E4"/>
    <w:rsid w:val="00A328B3"/>
    <w:rsid w:val="00A3454F"/>
    <w:rsid w:val="00A50FCF"/>
    <w:rsid w:val="00A528D1"/>
    <w:rsid w:val="00A60826"/>
    <w:rsid w:val="00A610CD"/>
    <w:rsid w:val="00A61459"/>
    <w:rsid w:val="00A65011"/>
    <w:rsid w:val="00A758AA"/>
    <w:rsid w:val="00A77712"/>
    <w:rsid w:val="00A850E6"/>
    <w:rsid w:val="00A861CD"/>
    <w:rsid w:val="00A865AF"/>
    <w:rsid w:val="00A93C5B"/>
    <w:rsid w:val="00AA09A2"/>
    <w:rsid w:val="00AA7996"/>
    <w:rsid w:val="00AB2DCE"/>
    <w:rsid w:val="00AC19CB"/>
    <w:rsid w:val="00AC244D"/>
    <w:rsid w:val="00AC75CA"/>
    <w:rsid w:val="00AD489F"/>
    <w:rsid w:val="00AE0953"/>
    <w:rsid w:val="00AE5488"/>
    <w:rsid w:val="00AE6F91"/>
    <w:rsid w:val="00AF5571"/>
    <w:rsid w:val="00AF5D74"/>
    <w:rsid w:val="00B00B8E"/>
    <w:rsid w:val="00B07341"/>
    <w:rsid w:val="00B261A9"/>
    <w:rsid w:val="00B30539"/>
    <w:rsid w:val="00B314DB"/>
    <w:rsid w:val="00B318C1"/>
    <w:rsid w:val="00B33154"/>
    <w:rsid w:val="00B361F2"/>
    <w:rsid w:val="00B36D98"/>
    <w:rsid w:val="00B3718B"/>
    <w:rsid w:val="00B3745F"/>
    <w:rsid w:val="00B45E23"/>
    <w:rsid w:val="00B46185"/>
    <w:rsid w:val="00B4632A"/>
    <w:rsid w:val="00B530F1"/>
    <w:rsid w:val="00B56C46"/>
    <w:rsid w:val="00B634F5"/>
    <w:rsid w:val="00B650D3"/>
    <w:rsid w:val="00B66118"/>
    <w:rsid w:val="00B72A9A"/>
    <w:rsid w:val="00B767C7"/>
    <w:rsid w:val="00B86627"/>
    <w:rsid w:val="00B966F6"/>
    <w:rsid w:val="00BA0CBA"/>
    <w:rsid w:val="00BA276C"/>
    <w:rsid w:val="00BA5484"/>
    <w:rsid w:val="00BB168C"/>
    <w:rsid w:val="00BB265C"/>
    <w:rsid w:val="00BB306F"/>
    <w:rsid w:val="00BB48DE"/>
    <w:rsid w:val="00BB79D4"/>
    <w:rsid w:val="00BC700D"/>
    <w:rsid w:val="00BD4B89"/>
    <w:rsid w:val="00BD5922"/>
    <w:rsid w:val="00BD5FD2"/>
    <w:rsid w:val="00BE646F"/>
    <w:rsid w:val="00BF02CB"/>
    <w:rsid w:val="00BF1898"/>
    <w:rsid w:val="00BF6FD8"/>
    <w:rsid w:val="00C03680"/>
    <w:rsid w:val="00C054DF"/>
    <w:rsid w:val="00C14BD4"/>
    <w:rsid w:val="00C21762"/>
    <w:rsid w:val="00C21FEF"/>
    <w:rsid w:val="00C23BA4"/>
    <w:rsid w:val="00C24543"/>
    <w:rsid w:val="00C256A2"/>
    <w:rsid w:val="00C25ADB"/>
    <w:rsid w:val="00C2623F"/>
    <w:rsid w:val="00C51515"/>
    <w:rsid w:val="00C549EF"/>
    <w:rsid w:val="00C5660B"/>
    <w:rsid w:val="00C6279E"/>
    <w:rsid w:val="00C66B72"/>
    <w:rsid w:val="00C70198"/>
    <w:rsid w:val="00C72A01"/>
    <w:rsid w:val="00C8540B"/>
    <w:rsid w:val="00C87AC4"/>
    <w:rsid w:val="00C9491D"/>
    <w:rsid w:val="00C9567A"/>
    <w:rsid w:val="00CA499E"/>
    <w:rsid w:val="00CB0013"/>
    <w:rsid w:val="00CB212D"/>
    <w:rsid w:val="00CB2660"/>
    <w:rsid w:val="00CC5B79"/>
    <w:rsid w:val="00CC5E90"/>
    <w:rsid w:val="00CD046C"/>
    <w:rsid w:val="00CE076C"/>
    <w:rsid w:val="00CE5199"/>
    <w:rsid w:val="00CE66D5"/>
    <w:rsid w:val="00CF41C4"/>
    <w:rsid w:val="00CF637A"/>
    <w:rsid w:val="00CF6539"/>
    <w:rsid w:val="00D059DE"/>
    <w:rsid w:val="00D05ABD"/>
    <w:rsid w:val="00D06F66"/>
    <w:rsid w:val="00D074A4"/>
    <w:rsid w:val="00D13FCE"/>
    <w:rsid w:val="00D1541A"/>
    <w:rsid w:val="00D2102D"/>
    <w:rsid w:val="00D306D1"/>
    <w:rsid w:val="00D30800"/>
    <w:rsid w:val="00D34786"/>
    <w:rsid w:val="00D37BFC"/>
    <w:rsid w:val="00D47A8E"/>
    <w:rsid w:val="00D52D14"/>
    <w:rsid w:val="00D535A0"/>
    <w:rsid w:val="00D70C9D"/>
    <w:rsid w:val="00D712D3"/>
    <w:rsid w:val="00D71422"/>
    <w:rsid w:val="00D72DC6"/>
    <w:rsid w:val="00D7558D"/>
    <w:rsid w:val="00D81D92"/>
    <w:rsid w:val="00D848AC"/>
    <w:rsid w:val="00D85AD6"/>
    <w:rsid w:val="00D876F9"/>
    <w:rsid w:val="00D93608"/>
    <w:rsid w:val="00DA13A2"/>
    <w:rsid w:val="00DA23D4"/>
    <w:rsid w:val="00DA7B5F"/>
    <w:rsid w:val="00DC11E7"/>
    <w:rsid w:val="00DC24E3"/>
    <w:rsid w:val="00DC7023"/>
    <w:rsid w:val="00DC769A"/>
    <w:rsid w:val="00DD3D86"/>
    <w:rsid w:val="00DD4AD2"/>
    <w:rsid w:val="00DE0342"/>
    <w:rsid w:val="00DF1EC4"/>
    <w:rsid w:val="00E0340B"/>
    <w:rsid w:val="00E04A90"/>
    <w:rsid w:val="00E0551F"/>
    <w:rsid w:val="00E219C7"/>
    <w:rsid w:val="00E3116B"/>
    <w:rsid w:val="00E4118C"/>
    <w:rsid w:val="00E43157"/>
    <w:rsid w:val="00E461CE"/>
    <w:rsid w:val="00E56F4F"/>
    <w:rsid w:val="00E573E4"/>
    <w:rsid w:val="00E614FE"/>
    <w:rsid w:val="00E638D2"/>
    <w:rsid w:val="00E67981"/>
    <w:rsid w:val="00E71C69"/>
    <w:rsid w:val="00E720CA"/>
    <w:rsid w:val="00E84EB5"/>
    <w:rsid w:val="00E85662"/>
    <w:rsid w:val="00E8789F"/>
    <w:rsid w:val="00E97B71"/>
    <w:rsid w:val="00EA3D34"/>
    <w:rsid w:val="00EB2FE4"/>
    <w:rsid w:val="00EB39D6"/>
    <w:rsid w:val="00EB454D"/>
    <w:rsid w:val="00ED549D"/>
    <w:rsid w:val="00ED76BE"/>
    <w:rsid w:val="00EE00E9"/>
    <w:rsid w:val="00EE247F"/>
    <w:rsid w:val="00EE57EB"/>
    <w:rsid w:val="00EF04D5"/>
    <w:rsid w:val="00EF1AAA"/>
    <w:rsid w:val="00EF1E3A"/>
    <w:rsid w:val="00EF4225"/>
    <w:rsid w:val="00EF4A26"/>
    <w:rsid w:val="00EF619B"/>
    <w:rsid w:val="00EF682B"/>
    <w:rsid w:val="00F00B55"/>
    <w:rsid w:val="00F02AD1"/>
    <w:rsid w:val="00F115A5"/>
    <w:rsid w:val="00F253CC"/>
    <w:rsid w:val="00F308F1"/>
    <w:rsid w:val="00F3260F"/>
    <w:rsid w:val="00F37106"/>
    <w:rsid w:val="00F43D1D"/>
    <w:rsid w:val="00F44E25"/>
    <w:rsid w:val="00F519CF"/>
    <w:rsid w:val="00F56BA5"/>
    <w:rsid w:val="00F57827"/>
    <w:rsid w:val="00F60E22"/>
    <w:rsid w:val="00F65FC7"/>
    <w:rsid w:val="00F81395"/>
    <w:rsid w:val="00F81BB8"/>
    <w:rsid w:val="00F87019"/>
    <w:rsid w:val="00F90C64"/>
    <w:rsid w:val="00F917D1"/>
    <w:rsid w:val="00F94965"/>
    <w:rsid w:val="00F9653B"/>
    <w:rsid w:val="00FA0C29"/>
    <w:rsid w:val="00FA78AA"/>
    <w:rsid w:val="00FB1FFB"/>
    <w:rsid w:val="00FB62CF"/>
    <w:rsid w:val="00FC0324"/>
    <w:rsid w:val="00FD3C3B"/>
    <w:rsid w:val="00FD4A52"/>
    <w:rsid w:val="00FE07DD"/>
    <w:rsid w:val="00FE1F28"/>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691772"/>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styleId="CommentReference">
    <w:name w:val="annotation reference"/>
    <w:basedOn w:val="DefaultParagraphFont"/>
    <w:uiPriority w:val="99"/>
    <w:semiHidden/>
    <w:unhideWhenUsed/>
    <w:rsid w:val="00377E2B"/>
    <w:rPr>
      <w:sz w:val="16"/>
      <w:szCs w:val="16"/>
    </w:rPr>
  </w:style>
  <w:style w:type="paragraph" w:styleId="CommentText">
    <w:name w:val="annotation text"/>
    <w:basedOn w:val="Normal"/>
    <w:link w:val="CommentTextChar"/>
    <w:uiPriority w:val="99"/>
    <w:semiHidden/>
    <w:unhideWhenUsed/>
    <w:rsid w:val="00377E2B"/>
    <w:rPr>
      <w:sz w:val="20"/>
      <w:szCs w:val="20"/>
    </w:rPr>
  </w:style>
  <w:style w:type="character" w:customStyle="1" w:styleId="CommentTextChar">
    <w:name w:val="Comment Text Char"/>
    <w:basedOn w:val="DefaultParagraphFont"/>
    <w:link w:val="CommentText"/>
    <w:uiPriority w:val="99"/>
    <w:semiHidden/>
    <w:rsid w:val="00377E2B"/>
    <w:rPr>
      <w:lang w:val="en-US" w:eastAsia="en-US"/>
    </w:rPr>
  </w:style>
  <w:style w:type="paragraph" w:styleId="CommentSubject">
    <w:name w:val="annotation subject"/>
    <w:basedOn w:val="CommentText"/>
    <w:next w:val="CommentText"/>
    <w:link w:val="CommentSubjectChar"/>
    <w:uiPriority w:val="99"/>
    <w:semiHidden/>
    <w:unhideWhenUsed/>
    <w:rsid w:val="00377E2B"/>
    <w:rPr>
      <w:b/>
      <w:bCs/>
    </w:rPr>
  </w:style>
  <w:style w:type="character" w:customStyle="1" w:styleId="CommentSubjectChar">
    <w:name w:val="Comment Subject Char"/>
    <w:basedOn w:val="CommentTextChar"/>
    <w:link w:val="CommentSubject"/>
    <w:uiPriority w:val="99"/>
    <w:semiHidden/>
    <w:rsid w:val="00377E2B"/>
    <w:rPr>
      <w:b/>
      <w:bCs/>
      <w:lang w:val="en-US" w:eastAsia="en-US"/>
    </w:rPr>
  </w:style>
  <w:style w:type="paragraph" w:styleId="Revision">
    <w:name w:val="Revision"/>
    <w:hidden/>
    <w:uiPriority w:val="99"/>
    <w:semiHidden/>
    <w:rsid w:val="003529C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55858">
      <w:bodyDiv w:val="1"/>
      <w:marLeft w:val="0"/>
      <w:marRight w:val="0"/>
      <w:marTop w:val="0"/>
      <w:marBottom w:val="0"/>
      <w:divBdr>
        <w:top w:val="none" w:sz="0" w:space="0" w:color="auto"/>
        <w:left w:val="none" w:sz="0" w:space="0" w:color="auto"/>
        <w:bottom w:val="none" w:sz="0" w:space="0" w:color="auto"/>
        <w:right w:val="none" w:sz="0" w:space="0" w:color="auto"/>
      </w:divBdr>
    </w:div>
    <w:div w:id="79279175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F10F8106C6B41A68AE460B6FEC61D9E"/>
        <w:category>
          <w:name w:val="General"/>
          <w:gallery w:val="placeholder"/>
        </w:category>
        <w:types>
          <w:type w:val="bbPlcHdr"/>
        </w:types>
        <w:behaviors>
          <w:behavior w:val="content"/>
        </w:behaviors>
        <w:guid w:val="{6FCB8C91-27C2-4356-B439-70F4E7CF422A}"/>
      </w:docPartPr>
      <w:docPartBody>
        <w:p w:rsidR="00C35B5F" w:rsidRDefault="00C35B5F" w:rsidP="00C35B5F">
          <w:pPr>
            <w:pStyle w:val="6F10F8106C6B41A68AE460B6FEC61D9E"/>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200821"/>
    <w:rsid w:val="0025245B"/>
    <w:rsid w:val="00260130"/>
    <w:rsid w:val="002C52A7"/>
    <w:rsid w:val="00394049"/>
    <w:rsid w:val="003B092A"/>
    <w:rsid w:val="004B5BBB"/>
    <w:rsid w:val="004F2DF8"/>
    <w:rsid w:val="00555DD5"/>
    <w:rsid w:val="00666399"/>
    <w:rsid w:val="006A04B2"/>
    <w:rsid w:val="006F24A1"/>
    <w:rsid w:val="007B051A"/>
    <w:rsid w:val="009A261B"/>
    <w:rsid w:val="009E3490"/>
    <w:rsid w:val="00A348FA"/>
    <w:rsid w:val="00AA2E17"/>
    <w:rsid w:val="00AC15A4"/>
    <w:rsid w:val="00B0336C"/>
    <w:rsid w:val="00B17E31"/>
    <w:rsid w:val="00BE0310"/>
    <w:rsid w:val="00C35B5F"/>
    <w:rsid w:val="00D241E9"/>
    <w:rsid w:val="00D7750D"/>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5B5F"/>
    <w:rPr>
      <w:color w:val="808080"/>
    </w:rPr>
  </w:style>
  <w:style w:type="paragraph" w:customStyle="1" w:styleId="6F10F8106C6B41A68AE460B6FEC61D9E">
    <w:name w:val="6F10F8106C6B41A68AE460B6FEC61D9E"/>
    <w:rsid w:val="00C35B5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DE6B8-069A-4687-89C7-50EB22471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4176</Words>
  <Characters>21429</Characters>
  <Application>Microsoft Office Word</Application>
  <DocSecurity>0</DocSecurity>
  <Lines>389</Lines>
  <Paragraphs>108</Paragraphs>
  <ScaleCrop>false</ScaleCrop>
  <Company/>
  <LinksUpToDate>false</LinksUpToDate>
  <CharactersWithSpaces>25497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119/21</dc:title>
  <dc:creator/>
  <cp:lastModifiedBy/>
  <cp:revision>1</cp:revision>
  <dcterms:created xsi:type="dcterms:W3CDTF">2021-06-28T13:13:00Z</dcterms:created>
  <dcterms:modified xsi:type="dcterms:W3CDTF">2021-06-28T13:13:00Z</dcterms:modified>
</cp:coreProperties>
</file>