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7A31C1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57F38B34" wp14:editId="3530244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AAE9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2EBADB4" wp14:editId="76738EE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36C53" w14:textId="77777777" w:rsidR="00CB2660" w:rsidRDefault="00AE5488" w:rsidP="00AE5488">
                            <w:r>
                              <w:rPr>
                                <w:noProof/>
                                <w:lang w:val="en-US"/>
                              </w:rPr>
                              <w:drawing>
                                <wp:inline distT="0" distB="0" distL="0" distR="0" wp14:anchorId="26DEED13" wp14:editId="5139AA2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EBADB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CA36C53" w14:textId="77777777" w:rsidR="00CB2660" w:rsidRDefault="00AE5488" w:rsidP="00AE5488">
                      <w:r>
                        <w:rPr>
                          <w:noProof/>
                          <w:lang w:val="en-US"/>
                        </w:rPr>
                        <w:drawing>
                          <wp:inline distT="0" distB="0" distL="0" distR="0" wp14:anchorId="26DEED13" wp14:editId="5139AA2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78DD18" w14:textId="77777777" w:rsidR="00040C3A" w:rsidRPr="0090270B" w:rsidRDefault="00040C3A" w:rsidP="00040C3A">
      <w:pPr>
        <w:tabs>
          <w:tab w:val="center" w:pos="5400"/>
        </w:tabs>
        <w:suppressAutoHyphens/>
        <w:jc w:val="both"/>
        <w:rPr>
          <w:rFonts w:asciiTheme="majorHAnsi" w:hAnsiTheme="majorHAnsi"/>
          <w:sz w:val="22"/>
          <w:szCs w:val="22"/>
        </w:rPr>
      </w:pPr>
    </w:p>
    <w:p w14:paraId="02C6B39F" w14:textId="77777777" w:rsidR="00040C3A" w:rsidRPr="0090270B" w:rsidRDefault="00040C3A" w:rsidP="00040C3A">
      <w:pPr>
        <w:tabs>
          <w:tab w:val="center" w:pos="5400"/>
        </w:tabs>
        <w:suppressAutoHyphens/>
        <w:jc w:val="both"/>
        <w:rPr>
          <w:rFonts w:asciiTheme="majorHAnsi" w:hAnsiTheme="majorHAnsi"/>
          <w:sz w:val="22"/>
          <w:szCs w:val="22"/>
        </w:rPr>
      </w:pPr>
    </w:p>
    <w:p w14:paraId="1BE57C5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DDF8AB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3DA7EE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4342A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F5FE4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CD7271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5035DB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D2F36C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566A7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3EDA6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4C86D7"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A3F37AC" wp14:editId="76479B0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08BFA" w14:textId="3D15DA9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5499">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AC6FE2">
                              <w:rPr>
                                <w:rFonts w:asciiTheme="majorHAnsi" w:hAnsiTheme="majorHAnsi" w:cs="Arial"/>
                                <w:b/>
                                <w:bCs/>
                                <w:color w:val="0D0D0D" w:themeColor="text1" w:themeTint="F2"/>
                                <w:sz w:val="36"/>
                                <w:szCs w:val="22"/>
                                <w:lang w:val="es-ES_tradnl"/>
                              </w:rPr>
                              <w:t>21</w:t>
                            </w:r>
                          </w:p>
                          <w:p w14:paraId="0B16DD86"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B90029">
                              <w:rPr>
                                <w:rFonts w:asciiTheme="majorHAnsi" w:hAnsiTheme="majorHAnsi" w:cs="Arial"/>
                                <w:b/>
                                <w:color w:val="0D0D0D" w:themeColor="text1" w:themeTint="F2"/>
                                <w:sz w:val="36"/>
                                <w:szCs w:val="22"/>
                                <w:lang w:val="es-ES_tradnl"/>
                              </w:rPr>
                              <w:t xml:space="preserve"> 952</w:t>
                            </w:r>
                            <w:r w:rsidR="00246D1F" w:rsidRPr="004E2649">
                              <w:rPr>
                                <w:rFonts w:asciiTheme="majorHAnsi" w:hAnsiTheme="majorHAnsi" w:cs="Arial"/>
                                <w:b/>
                                <w:color w:val="0D0D0D" w:themeColor="text1" w:themeTint="F2"/>
                                <w:sz w:val="36"/>
                                <w:szCs w:val="22"/>
                                <w:lang w:val="es-ES_tradnl"/>
                              </w:rPr>
                              <w:t>-</w:t>
                            </w:r>
                            <w:r w:rsidR="00B90029">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73D2025"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F06E35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64C4769" w14:textId="77777777" w:rsidR="005B52B0" w:rsidRPr="0010736F" w:rsidRDefault="00B9002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MARIO EDUARDO INFANTE</w:t>
                            </w:r>
                          </w:p>
                          <w:bookmarkEnd w:id="1"/>
                          <w:p w14:paraId="475C79EF" w14:textId="77777777" w:rsidR="005B52B0" w:rsidRPr="0010736F" w:rsidRDefault="00B9002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41BEAA27"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3F37AC"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6508BFA" w14:textId="3D15DA9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85499">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AC6FE2">
                        <w:rPr>
                          <w:rFonts w:asciiTheme="majorHAnsi" w:hAnsiTheme="majorHAnsi" w:cs="Arial"/>
                          <w:b/>
                          <w:bCs/>
                          <w:color w:val="0D0D0D" w:themeColor="text1" w:themeTint="F2"/>
                          <w:sz w:val="36"/>
                          <w:szCs w:val="22"/>
                          <w:lang w:val="es-ES_tradnl"/>
                        </w:rPr>
                        <w:t>21</w:t>
                      </w:r>
                    </w:p>
                    <w:p w14:paraId="0B16DD86"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B90029">
                        <w:rPr>
                          <w:rFonts w:asciiTheme="majorHAnsi" w:hAnsiTheme="majorHAnsi" w:cs="Arial"/>
                          <w:b/>
                          <w:color w:val="0D0D0D" w:themeColor="text1" w:themeTint="F2"/>
                          <w:sz w:val="36"/>
                          <w:szCs w:val="22"/>
                          <w:lang w:val="es-ES_tradnl"/>
                        </w:rPr>
                        <w:t xml:space="preserve"> 952</w:t>
                      </w:r>
                      <w:r w:rsidR="00246D1F" w:rsidRPr="004E2649">
                        <w:rPr>
                          <w:rFonts w:asciiTheme="majorHAnsi" w:hAnsiTheme="majorHAnsi" w:cs="Arial"/>
                          <w:b/>
                          <w:color w:val="0D0D0D" w:themeColor="text1" w:themeTint="F2"/>
                          <w:sz w:val="36"/>
                          <w:szCs w:val="22"/>
                          <w:lang w:val="es-ES_tradnl"/>
                        </w:rPr>
                        <w:t>-</w:t>
                      </w:r>
                      <w:r w:rsidR="00B90029">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73D2025"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F06E35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64C4769" w14:textId="77777777" w:rsidR="005B52B0" w:rsidRPr="0010736F" w:rsidRDefault="00B9002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MARIO EDUARDO INFANTE</w:t>
                      </w:r>
                    </w:p>
                    <w:bookmarkEnd w:id="1"/>
                    <w:p w14:paraId="475C79EF" w14:textId="77777777" w:rsidR="005B52B0" w:rsidRPr="0010736F" w:rsidRDefault="00B9002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41BEAA27"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34131158" wp14:editId="5A8D20A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8540A" w14:textId="2159CC8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7D064E" w14:textId="5FFFACE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85499">
                              <w:rPr>
                                <w:rFonts w:asciiTheme="minorHAnsi" w:hAnsiTheme="minorHAnsi"/>
                                <w:color w:val="FFFFFF" w:themeColor="background1"/>
                                <w:sz w:val="22"/>
                                <w:lang w:val="pt-BR"/>
                              </w:rPr>
                              <w:t>140</w:t>
                            </w:r>
                          </w:p>
                          <w:p w14:paraId="5967D625" w14:textId="76A861DB" w:rsidR="00627C9F" w:rsidRPr="00C25ADB" w:rsidRDefault="00D8549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AC6FE2">
                              <w:rPr>
                                <w:rFonts w:asciiTheme="minorHAnsi" w:hAnsiTheme="minorHAnsi"/>
                                <w:color w:val="FFFFFF" w:themeColor="background1"/>
                                <w:sz w:val="22"/>
                                <w:lang w:val="es-PA"/>
                              </w:rPr>
                              <w:t>21</w:t>
                            </w:r>
                          </w:p>
                          <w:p w14:paraId="7F8F344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311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0B8540A" w14:textId="2159CC8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7D064E" w14:textId="5FFFACE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85499">
                        <w:rPr>
                          <w:rFonts w:asciiTheme="minorHAnsi" w:hAnsiTheme="minorHAnsi"/>
                          <w:color w:val="FFFFFF" w:themeColor="background1"/>
                          <w:sz w:val="22"/>
                          <w:lang w:val="pt-BR"/>
                        </w:rPr>
                        <w:t>140</w:t>
                      </w:r>
                    </w:p>
                    <w:p w14:paraId="5967D625" w14:textId="76A861DB" w:rsidR="00627C9F" w:rsidRPr="00C25ADB" w:rsidRDefault="00D8549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AC6FE2">
                        <w:rPr>
                          <w:rFonts w:asciiTheme="minorHAnsi" w:hAnsiTheme="minorHAnsi"/>
                          <w:color w:val="FFFFFF" w:themeColor="background1"/>
                          <w:sz w:val="22"/>
                          <w:lang w:val="es-PA"/>
                        </w:rPr>
                        <w:t>21</w:t>
                      </w:r>
                    </w:p>
                    <w:p w14:paraId="7F8F344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51DDCA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4AEC65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FFC3E76"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AF537E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C6F005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96E19B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DDA6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54B289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F62147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0B89FC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5D6811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1241E0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1A20E4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0A71B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B85A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5B0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34C1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FFE9C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B9358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46CC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2D1D4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CA4B4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B776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CA4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86B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BB30D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C829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3AAB6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FCE7260"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73299B26" wp14:editId="1E31F8C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F29E9" w14:textId="55A464D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D85499">
                              <w:rPr>
                                <w:rFonts w:asciiTheme="majorHAnsi" w:hAnsiTheme="majorHAnsi"/>
                                <w:color w:val="0D0D0D" w:themeColor="text1" w:themeTint="F2"/>
                                <w:sz w:val="18"/>
                                <w:szCs w:val="22"/>
                              </w:rPr>
                              <w:t>16</w:t>
                            </w:r>
                            <w:r w:rsidRPr="00890650">
                              <w:rPr>
                                <w:rFonts w:asciiTheme="majorHAnsi" w:hAnsiTheme="majorHAnsi"/>
                                <w:color w:val="0D0D0D" w:themeColor="text1" w:themeTint="F2"/>
                                <w:sz w:val="18"/>
                                <w:szCs w:val="22"/>
                              </w:rPr>
                              <w:t xml:space="preserve"> de </w:t>
                            </w:r>
                            <w:r w:rsidR="00D85499">
                              <w:rPr>
                                <w:rFonts w:asciiTheme="majorHAnsi" w:hAnsiTheme="majorHAnsi"/>
                                <w:color w:val="0D0D0D" w:themeColor="text1" w:themeTint="F2"/>
                                <w:sz w:val="18"/>
                                <w:szCs w:val="22"/>
                              </w:rPr>
                              <w:t>junio</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AC6FE2">
                              <w:rPr>
                                <w:rFonts w:asciiTheme="majorHAnsi" w:hAnsiTheme="majorHAnsi"/>
                                <w:color w:val="0D0D0D" w:themeColor="text1" w:themeTint="F2"/>
                                <w:sz w:val="18"/>
                                <w:szCs w:val="22"/>
                              </w:rPr>
                              <w:t>21</w:t>
                            </w:r>
                            <w:r w:rsidR="004940B5">
                              <w:rPr>
                                <w:rFonts w:asciiTheme="majorHAnsi" w:hAnsiTheme="majorHAnsi"/>
                                <w:color w:val="0D0D0D" w:themeColor="text1" w:themeTint="F2"/>
                                <w:sz w:val="18"/>
                                <w:szCs w:val="22"/>
                              </w:rPr>
                              <w:t>.</w:t>
                            </w:r>
                          </w:p>
                          <w:p w14:paraId="7747772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0BB222A1"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99B2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88F29E9" w14:textId="55A464D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D85499">
                        <w:rPr>
                          <w:rFonts w:asciiTheme="majorHAnsi" w:hAnsiTheme="majorHAnsi"/>
                          <w:color w:val="0D0D0D" w:themeColor="text1" w:themeTint="F2"/>
                          <w:sz w:val="18"/>
                          <w:szCs w:val="22"/>
                        </w:rPr>
                        <w:t>16</w:t>
                      </w:r>
                      <w:r w:rsidRPr="00890650">
                        <w:rPr>
                          <w:rFonts w:asciiTheme="majorHAnsi" w:hAnsiTheme="majorHAnsi"/>
                          <w:color w:val="0D0D0D" w:themeColor="text1" w:themeTint="F2"/>
                          <w:sz w:val="18"/>
                          <w:szCs w:val="22"/>
                        </w:rPr>
                        <w:t xml:space="preserve"> de </w:t>
                      </w:r>
                      <w:r w:rsidR="00D85499">
                        <w:rPr>
                          <w:rFonts w:asciiTheme="majorHAnsi" w:hAnsiTheme="majorHAnsi"/>
                          <w:color w:val="0D0D0D" w:themeColor="text1" w:themeTint="F2"/>
                          <w:sz w:val="18"/>
                          <w:szCs w:val="22"/>
                        </w:rPr>
                        <w:t>junio</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AC6FE2">
                        <w:rPr>
                          <w:rFonts w:asciiTheme="majorHAnsi" w:hAnsiTheme="majorHAnsi"/>
                          <w:color w:val="0D0D0D" w:themeColor="text1" w:themeTint="F2"/>
                          <w:sz w:val="18"/>
                          <w:szCs w:val="22"/>
                        </w:rPr>
                        <w:t>21</w:t>
                      </w:r>
                      <w:r w:rsidR="004940B5">
                        <w:rPr>
                          <w:rFonts w:asciiTheme="majorHAnsi" w:hAnsiTheme="majorHAnsi"/>
                          <w:color w:val="0D0D0D" w:themeColor="text1" w:themeTint="F2"/>
                          <w:sz w:val="18"/>
                          <w:szCs w:val="22"/>
                        </w:rPr>
                        <w:t>.</w:t>
                      </w:r>
                    </w:p>
                    <w:p w14:paraId="7747772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0BB222A1"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E068C3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C3CF9E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4D20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DB8D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CF1A5A"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7E2149B2" wp14:editId="5E15315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3A280" w14:textId="1E5D6B46"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85499" w:rsidRPr="00D85499">
                              <w:rPr>
                                <w:rFonts w:asciiTheme="majorHAnsi" w:hAnsiTheme="majorHAnsi"/>
                                <w:color w:val="595959" w:themeColor="text1" w:themeTint="A6"/>
                                <w:sz w:val="18"/>
                                <w:szCs w:val="18"/>
                                <w:lang w:val="pt-BR"/>
                              </w:rPr>
                              <w:t>132</w:t>
                            </w:r>
                            <w:r w:rsidR="007B05C4" w:rsidRPr="00D85499">
                              <w:rPr>
                                <w:rFonts w:asciiTheme="majorHAnsi" w:hAnsiTheme="majorHAnsi"/>
                                <w:color w:val="595959" w:themeColor="text1" w:themeTint="A6"/>
                                <w:sz w:val="18"/>
                                <w:szCs w:val="18"/>
                                <w:lang w:val="pt-BR"/>
                              </w:rPr>
                              <w:t>/</w:t>
                            </w:r>
                            <w:r w:rsidR="004940B5">
                              <w:rPr>
                                <w:rFonts w:asciiTheme="majorHAnsi" w:hAnsiTheme="majorHAnsi"/>
                                <w:color w:val="595959" w:themeColor="text1" w:themeTint="A6"/>
                                <w:sz w:val="18"/>
                                <w:szCs w:val="18"/>
                                <w:lang w:val="pt-BR"/>
                              </w:rPr>
                              <w:t>21</w:t>
                            </w:r>
                            <w:r w:rsidRPr="00D8549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D85499">
                              <w:rPr>
                                <w:rFonts w:asciiTheme="majorHAnsi" w:hAnsiTheme="majorHAnsi"/>
                                <w:color w:val="595959" w:themeColor="text1" w:themeTint="A6"/>
                                <w:sz w:val="18"/>
                                <w:szCs w:val="18"/>
                              </w:rPr>
                              <w:t>952</w:t>
                            </w:r>
                            <w:r w:rsidR="000433C9">
                              <w:rPr>
                                <w:rFonts w:asciiTheme="majorHAnsi" w:hAnsiTheme="majorHAnsi"/>
                                <w:color w:val="595959" w:themeColor="text1" w:themeTint="A6"/>
                                <w:sz w:val="18"/>
                                <w:szCs w:val="18"/>
                              </w:rPr>
                              <w:t>-</w:t>
                            </w:r>
                            <w:r w:rsidR="00D85499">
                              <w:rPr>
                                <w:rFonts w:asciiTheme="majorHAnsi" w:hAnsiTheme="majorHAnsi"/>
                                <w:color w:val="595959" w:themeColor="text1" w:themeTint="A6"/>
                                <w:sz w:val="18"/>
                                <w:szCs w:val="18"/>
                              </w:rPr>
                              <w:t>11</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sidR="00D85499">
                              <w:rPr>
                                <w:rFonts w:asciiTheme="majorHAnsi" w:hAnsiTheme="majorHAnsi"/>
                                <w:color w:val="595959" w:themeColor="text1" w:themeTint="A6"/>
                                <w:sz w:val="18"/>
                                <w:szCs w:val="18"/>
                                <w:lang w:val="es-ES_tradnl"/>
                              </w:rPr>
                              <w:t>Mario Eduardo Infante</w:t>
                            </w:r>
                            <w:r w:rsidRPr="00890650">
                              <w:rPr>
                                <w:rFonts w:asciiTheme="majorHAnsi" w:hAnsiTheme="majorHAnsi"/>
                                <w:color w:val="595959" w:themeColor="text1" w:themeTint="A6"/>
                                <w:sz w:val="18"/>
                                <w:szCs w:val="18"/>
                                <w:lang w:val="es-ES_tradnl"/>
                              </w:rPr>
                              <w:t xml:space="preserve">. </w:t>
                            </w:r>
                            <w:r w:rsidR="00D85499">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85499">
                              <w:rPr>
                                <w:rFonts w:asciiTheme="majorHAnsi" w:hAnsiTheme="majorHAnsi"/>
                                <w:color w:val="595959" w:themeColor="text1" w:themeTint="A6"/>
                                <w:sz w:val="18"/>
                                <w:szCs w:val="18"/>
                              </w:rPr>
                              <w:t>16 de junio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149B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FE3A280" w14:textId="1E5D6B46"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85499" w:rsidRPr="00D85499">
                        <w:rPr>
                          <w:rFonts w:asciiTheme="majorHAnsi" w:hAnsiTheme="majorHAnsi"/>
                          <w:color w:val="595959" w:themeColor="text1" w:themeTint="A6"/>
                          <w:sz w:val="18"/>
                          <w:szCs w:val="18"/>
                          <w:lang w:val="pt-BR"/>
                        </w:rPr>
                        <w:t>132</w:t>
                      </w:r>
                      <w:r w:rsidR="007B05C4" w:rsidRPr="00D85499">
                        <w:rPr>
                          <w:rFonts w:asciiTheme="majorHAnsi" w:hAnsiTheme="majorHAnsi"/>
                          <w:color w:val="595959" w:themeColor="text1" w:themeTint="A6"/>
                          <w:sz w:val="18"/>
                          <w:szCs w:val="18"/>
                          <w:lang w:val="pt-BR"/>
                        </w:rPr>
                        <w:t>/</w:t>
                      </w:r>
                      <w:r w:rsidR="004940B5">
                        <w:rPr>
                          <w:rFonts w:asciiTheme="majorHAnsi" w:hAnsiTheme="majorHAnsi"/>
                          <w:color w:val="595959" w:themeColor="text1" w:themeTint="A6"/>
                          <w:sz w:val="18"/>
                          <w:szCs w:val="18"/>
                          <w:lang w:val="pt-BR"/>
                        </w:rPr>
                        <w:t>21</w:t>
                      </w:r>
                      <w:r w:rsidRPr="00D8549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D85499">
                        <w:rPr>
                          <w:rFonts w:asciiTheme="majorHAnsi" w:hAnsiTheme="majorHAnsi"/>
                          <w:color w:val="595959" w:themeColor="text1" w:themeTint="A6"/>
                          <w:sz w:val="18"/>
                          <w:szCs w:val="18"/>
                        </w:rPr>
                        <w:t>952</w:t>
                      </w:r>
                      <w:r w:rsidR="000433C9">
                        <w:rPr>
                          <w:rFonts w:asciiTheme="majorHAnsi" w:hAnsiTheme="majorHAnsi"/>
                          <w:color w:val="595959" w:themeColor="text1" w:themeTint="A6"/>
                          <w:sz w:val="18"/>
                          <w:szCs w:val="18"/>
                        </w:rPr>
                        <w:t>-</w:t>
                      </w:r>
                      <w:r w:rsidR="00D85499">
                        <w:rPr>
                          <w:rFonts w:asciiTheme="majorHAnsi" w:hAnsiTheme="majorHAnsi"/>
                          <w:color w:val="595959" w:themeColor="text1" w:themeTint="A6"/>
                          <w:sz w:val="18"/>
                          <w:szCs w:val="18"/>
                        </w:rPr>
                        <w:t>11</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sidR="00D85499">
                        <w:rPr>
                          <w:rFonts w:asciiTheme="majorHAnsi" w:hAnsiTheme="majorHAnsi"/>
                          <w:color w:val="595959" w:themeColor="text1" w:themeTint="A6"/>
                          <w:sz w:val="18"/>
                          <w:szCs w:val="18"/>
                          <w:lang w:val="es-ES_tradnl"/>
                        </w:rPr>
                        <w:t>Mario Eduardo Infante</w:t>
                      </w:r>
                      <w:r w:rsidRPr="00890650">
                        <w:rPr>
                          <w:rFonts w:asciiTheme="majorHAnsi" w:hAnsiTheme="majorHAnsi"/>
                          <w:color w:val="595959" w:themeColor="text1" w:themeTint="A6"/>
                          <w:sz w:val="18"/>
                          <w:szCs w:val="18"/>
                          <w:lang w:val="es-ES_tradnl"/>
                        </w:rPr>
                        <w:t xml:space="preserve">. </w:t>
                      </w:r>
                      <w:r w:rsidR="00D85499">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85499">
                        <w:rPr>
                          <w:rFonts w:asciiTheme="majorHAnsi" w:hAnsiTheme="majorHAnsi"/>
                          <w:color w:val="595959" w:themeColor="text1" w:themeTint="A6"/>
                          <w:sz w:val="18"/>
                          <w:szCs w:val="18"/>
                        </w:rPr>
                        <w:t>16 de junio de 2021</w:t>
                      </w:r>
                      <w:r w:rsidRPr="007B05C4">
                        <w:rPr>
                          <w:rFonts w:asciiTheme="majorHAnsi" w:hAnsiTheme="majorHAnsi"/>
                          <w:color w:val="595959" w:themeColor="text1" w:themeTint="A6"/>
                          <w:sz w:val="18"/>
                          <w:szCs w:val="18"/>
                        </w:rPr>
                        <w:t>.</w:t>
                      </w:r>
                    </w:p>
                  </w:txbxContent>
                </v:textbox>
              </v:shape>
            </w:pict>
          </mc:Fallback>
        </mc:AlternateContent>
      </w:r>
    </w:p>
    <w:p w14:paraId="2432956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9B99A5"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6E12C439" wp14:editId="60FEB4F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BEC28" w14:textId="373968B3" w:rsidR="00D72DC6" w:rsidRPr="00D72DC6" w:rsidRDefault="004940B5" w:rsidP="00F02AD1">
                            <w:pPr>
                              <w:rPr>
                                <w:color w:val="FFFFFF" w:themeColor="background1"/>
                                <w14:textFill>
                                  <w14:noFill/>
                                </w14:textFill>
                              </w:rPr>
                            </w:pPr>
                            <w:r>
                              <w:rPr>
                                <w:noProof/>
                                <w:color w:val="FFFFFF" w:themeColor="background1"/>
                              </w:rPr>
                              <w:drawing>
                                <wp:inline distT="0" distB="0" distL="0" distR="0" wp14:anchorId="30727EAF" wp14:editId="3372C96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2C43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39BEC28" w14:textId="373968B3" w:rsidR="00D72DC6" w:rsidRPr="00D72DC6" w:rsidRDefault="004940B5" w:rsidP="00F02AD1">
                      <w:pPr>
                        <w:rPr>
                          <w:color w:val="FFFFFF" w:themeColor="background1"/>
                          <w14:textFill>
                            <w14:noFill/>
                          </w14:textFill>
                        </w:rPr>
                      </w:pPr>
                      <w:r>
                        <w:rPr>
                          <w:noProof/>
                          <w:color w:val="FFFFFF" w:themeColor="background1"/>
                        </w:rPr>
                        <w:drawing>
                          <wp:inline distT="0" distB="0" distL="0" distR="0" wp14:anchorId="30727EAF" wp14:editId="3372C96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267073AB" wp14:editId="4312331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B5BF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073A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00B5BF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3621782"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52CC02D" w14:textId="77777777" w:rsidR="003239B8" w:rsidRPr="000419AD" w:rsidRDefault="003239B8" w:rsidP="004A6A54">
      <w:pPr>
        <w:spacing w:after="240"/>
        <w:ind w:firstLine="720"/>
        <w:jc w:val="both"/>
        <w:rPr>
          <w:rFonts w:asciiTheme="majorHAnsi" w:hAnsiTheme="majorHAnsi"/>
          <w:b/>
          <w:bCs/>
          <w:sz w:val="20"/>
          <w:szCs w:val="20"/>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8B44F87" w14:textId="77777777" w:rsidTr="004A6A54">
        <w:tc>
          <w:tcPr>
            <w:tcW w:w="3600" w:type="dxa"/>
            <w:tcBorders>
              <w:top w:val="single" w:sz="4" w:space="0" w:color="auto"/>
              <w:bottom w:val="single" w:sz="6" w:space="0" w:color="auto"/>
            </w:tcBorders>
            <w:shd w:val="clear" w:color="auto" w:fill="386294"/>
            <w:vAlign w:val="center"/>
          </w:tcPr>
          <w:p w14:paraId="40D5520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52B945B7" w14:textId="77777777" w:rsidR="003239B8" w:rsidRPr="000D05CB" w:rsidRDefault="00B90029" w:rsidP="008D2290">
            <w:pPr>
              <w:jc w:val="both"/>
              <w:rPr>
                <w:rFonts w:ascii="Cambria" w:hAnsi="Cambria"/>
                <w:bCs/>
                <w:sz w:val="20"/>
                <w:szCs w:val="20"/>
              </w:rPr>
            </w:pPr>
            <w:r>
              <w:rPr>
                <w:rFonts w:ascii="Cambria" w:hAnsi="Cambria"/>
                <w:bCs/>
                <w:sz w:val="20"/>
                <w:szCs w:val="20"/>
              </w:rPr>
              <w:t>Mario Eduardo Infante</w:t>
            </w:r>
          </w:p>
        </w:tc>
      </w:tr>
      <w:tr w:rsidR="003239B8" w:rsidRPr="001E49E7" w14:paraId="7F806B1C" w14:textId="77777777" w:rsidTr="004A6A54">
        <w:tc>
          <w:tcPr>
            <w:tcW w:w="3600" w:type="dxa"/>
            <w:tcBorders>
              <w:top w:val="single" w:sz="6" w:space="0" w:color="auto"/>
              <w:bottom w:val="single" w:sz="6" w:space="0" w:color="auto"/>
            </w:tcBorders>
            <w:shd w:val="clear" w:color="auto" w:fill="386294"/>
            <w:vAlign w:val="center"/>
          </w:tcPr>
          <w:p w14:paraId="285BC3EA" w14:textId="77777777" w:rsidR="003239B8" w:rsidRPr="000D05CB" w:rsidRDefault="0085289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377A1A0" w14:textId="77777777" w:rsidR="003239B8" w:rsidRPr="000D05CB" w:rsidRDefault="00B90029" w:rsidP="008D2290">
            <w:pPr>
              <w:jc w:val="both"/>
              <w:rPr>
                <w:rFonts w:ascii="Cambria" w:hAnsi="Cambria"/>
                <w:bCs/>
                <w:sz w:val="20"/>
                <w:szCs w:val="20"/>
              </w:rPr>
            </w:pPr>
            <w:r>
              <w:rPr>
                <w:rFonts w:ascii="Cambria" w:hAnsi="Cambria"/>
                <w:bCs/>
                <w:sz w:val="20"/>
                <w:szCs w:val="20"/>
              </w:rPr>
              <w:t>Mario Eduardo Infante</w:t>
            </w:r>
          </w:p>
        </w:tc>
      </w:tr>
      <w:tr w:rsidR="003239B8" w14:paraId="6190FF22" w14:textId="77777777" w:rsidTr="004A6A54">
        <w:tc>
          <w:tcPr>
            <w:tcW w:w="3600" w:type="dxa"/>
            <w:tcBorders>
              <w:top w:val="single" w:sz="6" w:space="0" w:color="auto"/>
              <w:bottom w:val="single" w:sz="6" w:space="0" w:color="auto"/>
            </w:tcBorders>
            <w:shd w:val="clear" w:color="auto" w:fill="386294"/>
            <w:vAlign w:val="center"/>
          </w:tcPr>
          <w:p w14:paraId="7C9A184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3EA1D5B9" w14:textId="77777777" w:rsidR="003239B8" w:rsidRPr="000D05CB" w:rsidRDefault="00B90029" w:rsidP="008D2290">
            <w:pPr>
              <w:jc w:val="both"/>
              <w:rPr>
                <w:rFonts w:ascii="Cambria" w:hAnsi="Cambria"/>
                <w:bCs/>
                <w:sz w:val="20"/>
                <w:szCs w:val="20"/>
              </w:rPr>
            </w:pPr>
            <w:r>
              <w:rPr>
                <w:rFonts w:ascii="Cambria" w:hAnsi="Cambria"/>
                <w:bCs/>
                <w:sz w:val="20"/>
                <w:szCs w:val="20"/>
              </w:rPr>
              <w:t>Colombia</w:t>
            </w:r>
          </w:p>
        </w:tc>
      </w:tr>
      <w:tr w:rsidR="00223A29" w:rsidRPr="0018329D" w14:paraId="1AADBDD9" w14:textId="77777777" w:rsidTr="004A6A54">
        <w:tc>
          <w:tcPr>
            <w:tcW w:w="3600" w:type="dxa"/>
            <w:tcBorders>
              <w:top w:val="single" w:sz="6" w:space="0" w:color="auto"/>
              <w:bottom w:val="single" w:sz="6" w:space="0" w:color="auto"/>
            </w:tcBorders>
            <w:shd w:val="clear" w:color="auto" w:fill="386294"/>
            <w:vAlign w:val="center"/>
          </w:tcPr>
          <w:p w14:paraId="1298AEE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067A3E1E" w14:textId="77777777" w:rsidR="00223A29" w:rsidRPr="00FC362A" w:rsidRDefault="00FC362A" w:rsidP="008D2290">
            <w:pPr>
              <w:jc w:val="both"/>
              <w:rPr>
                <w:rFonts w:ascii="Cambria" w:hAnsi="Cambria"/>
                <w:bCs/>
                <w:sz w:val="20"/>
                <w:szCs w:val="20"/>
              </w:rPr>
            </w:pPr>
            <w:r w:rsidRPr="00FC362A">
              <w:rPr>
                <w:rFonts w:ascii="Cambria" w:hAnsi="Cambria"/>
                <w:bCs/>
                <w:sz w:val="20"/>
                <w:szCs w:val="20"/>
              </w:rPr>
              <w:t>Artículo 5 (integridad personal), 8 (garantías judiciales)</w:t>
            </w:r>
            <w:r>
              <w:rPr>
                <w:rFonts w:ascii="Cambria" w:hAnsi="Cambria"/>
                <w:bCs/>
                <w:sz w:val="20"/>
                <w:szCs w:val="20"/>
              </w:rPr>
              <w:t>, 11 (protección de la honra y dignidad), 21 (propiedad privada), 24 (igualdad ante la ley) y 25 (protección judicial) de la Convención Americana sobre Derechos Humanos</w:t>
            </w:r>
            <w:r w:rsidRPr="00F13576">
              <w:rPr>
                <w:rStyle w:val="FootnoteReference"/>
                <w:rFonts w:ascii="Cambria" w:hAnsi="Cambria"/>
                <w:sz w:val="20"/>
                <w:szCs w:val="20"/>
              </w:rPr>
              <w:footnoteReference w:id="2"/>
            </w:r>
            <w:r>
              <w:rPr>
                <w:rFonts w:ascii="Cambria" w:hAnsi="Cambria"/>
                <w:bCs/>
                <w:sz w:val="20"/>
                <w:szCs w:val="20"/>
              </w:rPr>
              <w:t xml:space="preserve">, en relación con su artículo 1.1 </w:t>
            </w:r>
            <w:r w:rsidRPr="00F13576">
              <w:rPr>
                <w:rFonts w:ascii="Cambria" w:hAnsi="Cambria"/>
                <w:sz w:val="20"/>
                <w:szCs w:val="20"/>
              </w:rPr>
              <w:t>(obligación de respetar los derechos)</w:t>
            </w:r>
          </w:p>
        </w:tc>
      </w:tr>
    </w:tbl>
    <w:p w14:paraId="1658E31C" w14:textId="77777777" w:rsidR="003239B8" w:rsidRPr="00E4118C"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6D33DF15" w14:textId="77777777" w:rsidTr="004A6A54">
        <w:tc>
          <w:tcPr>
            <w:tcW w:w="3600" w:type="dxa"/>
            <w:tcBorders>
              <w:top w:val="single" w:sz="6" w:space="0" w:color="auto"/>
              <w:bottom w:val="single" w:sz="6" w:space="0" w:color="auto"/>
            </w:tcBorders>
            <w:shd w:val="clear" w:color="auto" w:fill="386294"/>
            <w:vAlign w:val="center"/>
          </w:tcPr>
          <w:p w14:paraId="6B0D6244"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4C2312" w:rsidRPr="003239B8">
              <w:rPr>
                <w:rFonts w:ascii="Cambria" w:hAnsi="Cambria"/>
                <w:b/>
                <w:bCs/>
                <w:color w:val="FFFFFF" w:themeColor="background1"/>
                <w:sz w:val="20"/>
                <w:szCs w:val="20"/>
              </w:rPr>
              <w:t>resentación de la petición:</w:t>
            </w:r>
          </w:p>
        </w:tc>
        <w:tc>
          <w:tcPr>
            <w:tcW w:w="5760" w:type="dxa"/>
            <w:vAlign w:val="center"/>
          </w:tcPr>
          <w:p w14:paraId="7B7FB446" w14:textId="77777777" w:rsidR="004C2312" w:rsidRPr="003239B8" w:rsidRDefault="006A662E" w:rsidP="002625EA">
            <w:pPr>
              <w:jc w:val="both"/>
              <w:rPr>
                <w:rFonts w:ascii="Cambria" w:hAnsi="Cambria"/>
                <w:bCs/>
                <w:sz w:val="20"/>
                <w:szCs w:val="20"/>
              </w:rPr>
            </w:pPr>
            <w:r>
              <w:rPr>
                <w:rFonts w:ascii="Cambria" w:hAnsi="Cambria"/>
                <w:bCs/>
                <w:sz w:val="20"/>
                <w:szCs w:val="20"/>
              </w:rPr>
              <w:t>15 de julio de 2014</w:t>
            </w:r>
          </w:p>
        </w:tc>
      </w:tr>
      <w:tr w:rsidR="00131425" w:rsidRPr="0018329D" w14:paraId="0F23D6B6" w14:textId="77777777" w:rsidTr="00057074">
        <w:tc>
          <w:tcPr>
            <w:tcW w:w="3600" w:type="dxa"/>
            <w:tcBorders>
              <w:top w:val="single" w:sz="6" w:space="0" w:color="auto"/>
              <w:bottom w:val="single" w:sz="6" w:space="0" w:color="auto"/>
            </w:tcBorders>
            <w:shd w:val="clear" w:color="auto" w:fill="386294"/>
            <w:vAlign w:val="center"/>
          </w:tcPr>
          <w:p w14:paraId="7A0219FE" w14:textId="77777777" w:rsidR="00131425"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Información adicional recibida durante la etapa de estudio:</w:t>
            </w:r>
          </w:p>
        </w:tc>
        <w:tc>
          <w:tcPr>
            <w:tcW w:w="5760" w:type="dxa"/>
            <w:shd w:val="clear" w:color="auto" w:fill="auto"/>
            <w:vAlign w:val="center"/>
          </w:tcPr>
          <w:p w14:paraId="3DAC1EBC" w14:textId="77777777" w:rsidR="00131425" w:rsidRPr="00057074" w:rsidRDefault="000C3830" w:rsidP="002625EA">
            <w:pPr>
              <w:jc w:val="both"/>
              <w:rPr>
                <w:rFonts w:ascii="Cambria" w:hAnsi="Cambria"/>
                <w:bCs/>
                <w:sz w:val="20"/>
                <w:szCs w:val="20"/>
              </w:rPr>
            </w:pPr>
            <w:r w:rsidRPr="00057074">
              <w:rPr>
                <w:rFonts w:ascii="Cambria" w:hAnsi="Cambria"/>
                <w:bCs/>
                <w:sz w:val="20"/>
                <w:szCs w:val="20"/>
              </w:rPr>
              <w:t>14 de abril de 2014, 15 de agosto de 2014, 20 de octubre de 2014, 24 de noviembre de 2014, 17 de mayo de 2015, 24 de noviembre de 2017, 7 de diciembre de 2017</w:t>
            </w:r>
            <w:r w:rsidR="00F30783">
              <w:rPr>
                <w:rFonts w:ascii="Cambria" w:hAnsi="Cambria"/>
                <w:bCs/>
                <w:sz w:val="20"/>
                <w:szCs w:val="20"/>
              </w:rPr>
              <w:t xml:space="preserve"> y 4 de enero de 2018</w:t>
            </w:r>
          </w:p>
        </w:tc>
      </w:tr>
      <w:tr w:rsidR="004C2312" w:rsidRPr="009E6615" w14:paraId="47F3965E" w14:textId="77777777" w:rsidTr="004A6A54">
        <w:tc>
          <w:tcPr>
            <w:tcW w:w="3600" w:type="dxa"/>
            <w:tcBorders>
              <w:top w:val="single" w:sz="6" w:space="0" w:color="auto"/>
              <w:bottom w:val="single" w:sz="6" w:space="0" w:color="auto"/>
            </w:tcBorders>
            <w:shd w:val="clear" w:color="auto" w:fill="386294"/>
            <w:vAlign w:val="center"/>
          </w:tcPr>
          <w:p w14:paraId="6CF0B15F"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w:t>
            </w:r>
            <w:r w:rsidR="004C2312" w:rsidRPr="003239B8">
              <w:rPr>
                <w:rFonts w:ascii="Cambria" w:hAnsi="Cambria"/>
                <w:b/>
                <w:color w:val="FFFFFF" w:themeColor="background1"/>
                <w:sz w:val="20"/>
                <w:szCs w:val="20"/>
              </w:rPr>
              <w:t>otificación de la petición al Estado:</w:t>
            </w:r>
          </w:p>
        </w:tc>
        <w:tc>
          <w:tcPr>
            <w:tcW w:w="5760" w:type="dxa"/>
            <w:vAlign w:val="center"/>
          </w:tcPr>
          <w:p w14:paraId="68D17E9F" w14:textId="77777777" w:rsidR="004C2312" w:rsidRPr="003239B8" w:rsidRDefault="00057074" w:rsidP="008D2290">
            <w:pPr>
              <w:jc w:val="both"/>
              <w:rPr>
                <w:rFonts w:ascii="Cambria" w:hAnsi="Cambria"/>
                <w:bCs/>
                <w:sz w:val="20"/>
                <w:szCs w:val="20"/>
              </w:rPr>
            </w:pPr>
            <w:r>
              <w:rPr>
                <w:rFonts w:ascii="Cambria" w:hAnsi="Cambria"/>
                <w:bCs/>
                <w:sz w:val="20"/>
                <w:szCs w:val="20"/>
              </w:rPr>
              <w:t>4 de setiembre de 2018</w:t>
            </w:r>
          </w:p>
        </w:tc>
      </w:tr>
      <w:tr w:rsidR="004C2312" w:rsidRPr="004A6A54" w14:paraId="6A7E2BB0" w14:textId="77777777" w:rsidTr="004A6A54">
        <w:tc>
          <w:tcPr>
            <w:tcW w:w="3600" w:type="dxa"/>
            <w:tcBorders>
              <w:top w:val="single" w:sz="6" w:space="0" w:color="auto"/>
              <w:bottom w:val="single" w:sz="6" w:space="0" w:color="auto"/>
            </w:tcBorders>
            <w:shd w:val="clear" w:color="auto" w:fill="386294"/>
            <w:vAlign w:val="center"/>
          </w:tcPr>
          <w:p w14:paraId="66DC709C"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P</w:t>
            </w:r>
            <w:r w:rsidR="004C2312" w:rsidRPr="003239B8">
              <w:rPr>
                <w:rFonts w:ascii="Cambria" w:hAnsi="Cambria"/>
                <w:b/>
                <w:color w:val="FFFFFF" w:themeColor="background1"/>
                <w:sz w:val="20"/>
                <w:szCs w:val="20"/>
              </w:rPr>
              <w:t>rimera respuesta del Estado:</w:t>
            </w:r>
          </w:p>
        </w:tc>
        <w:tc>
          <w:tcPr>
            <w:tcW w:w="5760" w:type="dxa"/>
            <w:vAlign w:val="center"/>
          </w:tcPr>
          <w:p w14:paraId="31D8F00F" w14:textId="77777777" w:rsidR="004C2312" w:rsidRPr="003239B8" w:rsidRDefault="00057074" w:rsidP="008D2290">
            <w:pPr>
              <w:jc w:val="both"/>
              <w:rPr>
                <w:rFonts w:ascii="Cambria" w:hAnsi="Cambria"/>
                <w:bCs/>
                <w:sz w:val="20"/>
                <w:szCs w:val="20"/>
              </w:rPr>
            </w:pPr>
            <w:r>
              <w:rPr>
                <w:rFonts w:ascii="Cambria" w:hAnsi="Cambria"/>
                <w:bCs/>
                <w:sz w:val="20"/>
                <w:szCs w:val="20"/>
              </w:rPr>
              <w:t>25 de abril de 2019</w:t>
            </w:r>
          </w:p>
        </w:tc>
      </w:tr>
      <w:tr w:rsidR="00D76854" w:rsidRPr="004A6A54" w14:paraId="5D24B9F4" w14:textId="77777777" w:rsidTr="004A6A54">
        <w:tc>
          <w:tcPr>
            <w:tcW w:w="3600" w:type="dxa"/>
            <w:tcBorders>
              <w:top w:val="single" w:sz="6" w:space="0" w:color="auto"/>
              <w:bottom w:val="single" w:sz="6" w:space="0" w:color="auto"/>
            </w:tcBorders>
            <w:shd w:val="clear" w:color="auto" w:fill="386294"/>
            <w:vAlign w:val="center"/>
          </w:tcPr>
          <w:p w14:paraId="055F00A4" w14:textId="77777777" w:rsidR="00D76854" w:rsidRDefault="00D76854" w:rsidP="00D76854">
            <w:pPr>
              <w:jc w:val="center"/>
              <w:rPr>
                <w:rFonts w:ascii="Cambria" w:hAnsi="Cambria"/>
                <w:b/>
                <w:color w:val="FFFFFF" w:themeColor="background1"/>
                <w:sz w:val="20"/>
                <w:szCs w:val="20"/>
              </w:rPr>
            </w:pPr>
            <w:r>
              <w:rPr>
                <w:rFonts w:ascii="Cambria" w:hAnsi="Cambria"/>
                <w:b/>
                <w:bCs/>
                <w:color w:val="FFFFFF" w:themeColor="background1"/>
                <w:sz w:val="20"/>
                <w:szCs w:val="20"/>
              </w:rPr>
              <w:t>Observaciones adicionales de la parte peticionaria:</w:t>
            </w:r>
          </w:p>
        </w:tc>
        <w:tc>
          <w:tcPr>
            <w:tcW w:w="5760" w:type="dxa"/>
            <w:vAlign w:val="center"/>
          </w:tcPr>
          <w:p w14:paraId="28A8572A" w14:textId="77777777" w:rsidR="00D76854" w:rsidRDefault="00D76854" w:rsidP="00D76854">
            <w:pPr>
              <w:jc w:val="both"/>
              <w:rPr>
                <w:rFonts w:ascii="Cambria" w:hAnsi="Cambria"/>
                <w:bCs/>
                <w:sz w:val="20"/>
                <w:szCs w:val="20"/>
              </w:rPr>
            </w:pPr>
            <w:r>
              <w:rPr>
                <w:rFonts w:ascii="Cambria" w:hAnsi="Cambria"/>
                <w:bCs/>
                <w:sz w:val="20"/>
                <w:szCs w:val="20"/>
              </w:rPr>
              <w:t>7 de junio de 2019</w:t>
            </w:r>
          </w:p>
        </w:tc>
      </w:tr>
    </w:tbl>
    <w:p w14:paraId="64FE9B5B" w14:textId="7777777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III. </w:t>
      </w:r>
      <w:r w:rsidRPr="003239B8">
        <w:rPr>
          <w:rFonts w:asciiTheme="majorHAnsi" w:hAnsiTheme="majorHAnsi"/>
          <w:b/>
          <w:bCs/>
          <w:sz w:val="20"/>
          <w:szCs w:val="20"/>
        </w:rPr>
        <w:tab/>
        <w:t>COMPETENCIA</w:t>
      </w:r>
      <w:r w:rsidR="00EE00E9">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CBA35DA" w14:textId="77777777" w:rsidTr="004A6A54">
        <w:trPr>
          <w:cantSplit/>
        </w:trPr>
        <w:tc>
          <w:tcPr>
            <w:tcW w:w="3600" w:type="dxa"/>
            <w:tcBorders>
              <w:top w:val="single" w:sz="4" w:space="0" w:color="auto"/>
              <w:bottom w:val="single" w:sz="6" w:space="0" w:color="auto"/>
            </w:tcBorders>
            <w:shd w:val="clear" w:color="auto" w:fill="386294"/>
            <w:vAlign w:val="center"/>
          </w:tcPr>
          <w:p w14:paraId="169AEA7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personae</w:t>
            </w:r>
            <w:proofErr w:type="spellEnd"/>
            <w:r w:rsidRPr="00B3745F">
              <w:rPr>
                <w:rFonts w:ascii="Cambria" w:hAnsi="Cambria"/>
                <w:b/>
                <w:bCs/>
                <w:i/>
                <w:color w:val="FFFFFF" w:themeColor="background1"/>
                <w:sz w:val="20"/>
                <w:szCs w:val="20"/>
              </w:rPr>
              <w:t>:</w:t>
            </w:r>
          </w:p>
        </w:tc>
        <w:tc>
          <w:tcPr>
            <w:tcW w:w="5760" w:type="dxa"/>
            <w:vAlign w:val="center"/>
          </w:tcPr>
          <w:p w14:paraId="5021D376" w14:textId="77777777" w:rsidR="003239B8" w:rsidRPr="00B3745F" w:rsidRDefault="004F1787" w:rsidP="008D2290">
            <w:pPr>
              <w:rPr>
                <w:rFonts w:ascii="Cambria" w:hAnsi="Cambria"/>
                <w:bCs/>
                <w:sz w:val="20"/>
                <w:szCs w:val="20"/>
              </w:rPr>
            </w:pPr>
            <w:r>
              <w:rPr>
                <w:rFonts w:ascii="Cambria" w:hAnsi="Cambria"/>
                <w:bCs/>
                <w:sz w:val="20"/>
                <w:szCs w:val="20"/>
              </w:rPr>
              <w:t>Sí</w:t>
            </w:r>
          </w:p>
        </w:tc>
      </w:tr>
      <w:tr w:rsidR="003239B8" w:rsidRPr="00540F17" w14:paraId="57B642C3" w14:textId="77777777" w:rsidTr="004A6A54">
        <w:trPr>
          <w:cantSplit/>
        </w:trPr>
        <w:tc>
          <w:tcPr>
            <w:tcW w:w="3600" w:type="dxa"/>
            <w:tcBorders>
              <w:top w:val="single" w:sz="6" w:space="0" w:color="auto"/>
              <w:bottom w:val="single" w:sz="6" w:space="0" w:color="auto"/>
            </w:tcBorders>
            <w:shd w:val="clear" w:color="auto" w:fill="386294"/>
            <w:vAlign w:val="center"/>
          </w:tcPr>
          <w:p w14:paraId="4EB0B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loci</w:t>
            </w:r>
            <w:proofErr w:type="spellEnd"/>
            <w:r w:rsidRPr="00B3745F">
              <w:rPr>
                <w:rFonts w:ascii="Cambria" w:hAnsi="Cambria"/>
                <w:b/>
                <w:bCs/>
                <w:color w:val="FFFFFF" w:themeColor="background1"/>
                <w:sz w:val="20"/>
                <w:szCs w:val="20"/>
              </w:rPr>
              <w:t>:</w:t>
            </w:r>
          </w:p>
        </w:tc>
        <w:tc>
          <w:tcPr>
            <w:tcW w:w="5760" w:type="dxa"/>
            <w:vAlign w:val="center"/>
          </w:tcPr>
          <w:p w14:paraId="6CD58E05" w14:textId="77777777" w:rsidR="003239B8" w:rsidRPr="00B3745F" w:rsidRDefault="004F1787" w:rsidP="008D2290">
            <w:pPr>
              <w:rPr>
                <w:rFonts w:ascii="Cambria" w:hAnsi="Cambria"/>
                <w:bCs/>
                <w:sz w:val="20"/>
                <w:szCs w:val="20"/>
              </w:rPr>
            </w:pPr>
            <w:r>
              <w:rPr>
                <w:rFonts w:ascii="Cambria" w:hAnsi="Cambria"/>
                <w:bCs/>
                <w:sz w:val="20"/>
                <w:szCs w:val="20"/>
              </w:rPr>
              <w:t>Sí</w:t>
            </w:r>
          </w:p>
        </w:tc>
      </w:tr>
      <w:tr w:rsidR="003239B8" w:rsidRPr="00540F17" w14:paraId="2F00215F" w14:textId="77777777" w:rsidTr="004A6A54">
        <w:trPr>
          <w:cantSplit/>
        </w:trPr>
        <w:tc>
          <w:tcPr>
            <w:tcW w:w="3600" w:type="dxa"/>
            <w:tcBorders>
              <w:top w:val="single" w:sz="6" w:space="0" w:color="auto"/>
              <w:bottom w:val="single" w:sz="6" w:space="0" w:color="auto"/>
            </w:tcBorders>
            <w:shd w:val="clear" w:color="auto" w:fill="386294"/>
            <w:vAlign w:val="center"/>
          </w:tcPr>
          <w:p w14:paraId="062C10E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39039A4" w14:textId="77777777" w:rsidR="003239B8" w:rsidRPr="00B3745F" w:rsidRDefault="004F1787" w:rsidP="008D2290">
            <w:pPr>
              <w:rPr>
                <w:rFonts w:ascii="Cambria" w:hAnsi="Cambria"/>
                <w:bCs/>
                <w:sz w:val="20"/>
                <w:szCs w:val="20"/>
              </w:rPr>
            </w:pPr>
            <w:r>
              <w:rPr>
                <w:rFonts w:ascii="Cambria" w:hAnsi="Cambria"/>
                <w:bCs/>
                <w:sz w:val="20"/>
                <w:szCs w:val="20"/>
              </w:rPr>
              <w:t>Sí</w:t>
            </w:r>
          </w:p>
        </w:tc>
      </w:tr>
      <w:tr w:rsidR="003239B8" w:rsidRPr="0018329D" w14:paraId="10161CDB" w14:textId="77777777" w:rsidTr="004A6A54">
        <w:trPr>
          <w:cantSplit/>
        </w:trPr>
        <w:tc>
          <w:tcPr>
            <w:tcW w:w="3600" w:type="dxa"/>
            <w:tcBorders>
              <w:top w:val="single" w:sz="6" w:space="0" w:color="auto"/>
              <w:bottom w:val="single" w:sz="6" w:space="0" w:color="auto"/>
            </w:tcBorders>
            <w:shd w:val="clear" w:color="auto" w:fill="386294"/>
            <w:vAlign w:val="center"/>
          </w:tcPr>
          <w:p w14:paraId="330CF65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1353C76B" w14:textId="77777777" w:rsidR="003239B8" w:rsidRPr="00796AEF" w:rsidRDefault="004F1787" w:rsidP="00AC6FE2">
            <w:pPr>
              <w:jc w:val="both"/>
              <w:rPr>
                <w:rFonts w:ascii="Cambria" w:hAnsi="Cambria"/>
                <w:bCs/>
                <w:sz w:val="20"/>
                <w:szCs w:val="20"/>
              </w:rPr>
            </w:pPr>
            <w:r>
              <w:rPr>
                <w:rFonts w:ascii="Cambria" w:hAnsi="Cambria"/>
                <w:bCs/>
                <w:sz w:val="20"/>
                <w:szCs w:val="20"/>
              </w:rPr>
              <w:t xml:space="preserve">Sí, </w:t>
            </w:r>
            <w:r w:rsidRPr="00D90C0E">
              <w:rPr>
                <w:rFonts w:ascii="Cambria" w:hAnsi="Cambria"/>
                <w:bCs/>
                <w:sz w:val="20"/>
                <w:szCs w:val="20"/>
              </w:rPr>
              <w:t xml:space="preserve">Convención Americana (depósito del instrumento de ratificación realizado el </w:t>
            </w:r>
            <w:r>
              <w:rPr>
                <w:rFonts w:ascii="Cambria" w:hAnsi="Cambria"/>
                <w:bCs/>
                <w:sz w:val="20"/>
                <w:szCs w:val="20"/>
              </w:rPr>
              <w:t>31 de julio de 1973)</w:t>
            </w:r>
            <w:r w:rsidR="00796AEF">
              <w:rPr>
                <w:rFonts w:ascii="Cambria" w:hAnsi="Cambria"/>
                <w:bCs/>
                <w:sz w:val="20"/>
                <w:szCs w:val="20"/>
              </w:rPr>
              <w:t xml:space="preserve"> y Protocolo Adicional a la Convención Americana sobre Derechos Humanos en materia de Derechos Económicos, Sociales y Culturales</w:t>
            </w:r>
            <w:r w:rsidR="00AC6FE2">
              <w:t xml:space="preserve"> </w:t>
            </w:r>
            <w:r w:rsidR="00AC6FE2" w:rsidRPr="00AC6FE2">
              <w:rPr>
                <w:rFonts w:asciiTheme="majorHAnsi" w:hAnsiTheme="majorHAnsi"/>
                <w:sz w:val="20"/>
                <w:szCs w:val="20"/>
              </w:rPr>
              <w:t>(Protocolo de San Salvador)</w:t>
            </w:r>
            <w:r w:rsidR="00796AEF">
              <w:rPr>
                <w:rFonts w:ascii="Cambria" w:hAnsi="Cambria"/>
                <w:bCs/>
                <w:sz w:val="20"/>
                <w:szCs w:val="20"/>
              </w:rPr>
              <w:t xml:space="preserve"> (depósito del instrumento de ratificación realiz</w:t>
            </w:r>
            <w:r w:rsidR="00AC6FE2">
              <w:rPr>
                <w:rFonts w:ascii="Cambria" w:hAnsi="Cambria"/>
                <w:bCs/>
                <w:sz w:val="20"/>
                <w:szCs w:val="20"/>
              </w:rPr>
              <w:t>ado el 23 de diciembre de 1997)</w:t>
            </w:r>
          </w:p>
        </w:tc>
      </w:tr>
    </w:tbl>
    <w:p w14:paraId="3B5DADE3" w14:textId="7777777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DUPLICACIÓN</w:t>
      </w:r>
      <w:r w:rsidR="00EE00E9" w:rsidRPr="003239B8">
        <w:rPr>
          <w:rFonts w:asciiTheme="majorHAnsi" w:hAnsiTheme="majorHAnsi"/>
          <w:b/>
          <w:bCs/>
          <w:color w:val="FFFFFF" w:themeColor="background1"/>
          <w:sz w:val="20"/>
          <w:szCs w:val="20"/>
        </w:rPr>
        <w:t xml:space="preserve"> </w:t>
      </w:r>
      <w:r w:rsidR="00EE00E9" w:rsidRPr="003239B8">
        <w:rPr>
          <w:rFonts w:asciiTheme="majorHAnsi" w:hAnsiTheme="majorHAnsi"/>
          <w:b/>
          <w:bCs/>
          <w:sz w:val="20"/>
          <w:szCs w:val="20"/>
        </w:rPr>
        <w:t>DE PROCEDIMIENTOS Y COSA JUZGADA</w:t>
      </w:r>
      <w:r w:rsidR="00EE00E9" w:rsidRPr="003239B8">
        <w:rPr>
          <w:rFonts w:asciiTheme="majorHAnsi" w:hAnsiTheme="majorHAnsi"/>
          <w:b/>
          <w:bCs/>
          <w:i/>
          <w:sz w:val="20"/>
          <w:szCs w:val="20"/>
        </w:rPr>
        <w:t xml:space="preserve"> </w:t>
      </w:r>
      <w:r w:rsidR="00EE00E9" w:rsidRPr="003239B8">
        <w:rPr>
          <w:rFonts w:asciiTheme="majorHAnsi" w:hAnsiTheme="majorHAnsi"/>
          <w:b/>
          <w:bCs/>
          <w:sz w:val="20"/>
          <w:szCs w:val="20"/>
        </w:rPr>
        <w:t>INTERNACIONAL</w:t>
      </w:r>
      <w:r w:rsidR="005D38F9">
        <w:rPr>
          <w:rFonts w:asciiTheme="majorHAnsi" w:hAnsiTheme="majorHAnsi"/>
          <w:b/>
          <w:bCs/>
          <w:sz w:val="20"/>
          <w:szCs w:val="20"/>
        </w:rPr>
        <w:t>,</w:t>
      </w:r>
      <w:r w:rsidRPr="003239B8">
        <w:rPr>
          <w:rFonts w:asciiTheme="majorHAnsi" w:hAnsiTheme="majorHAnsi"/>
          <w:b/>
          <w:bCs/>
          <w:sz w:val="20"/>
          <w:szCs w:val="20"/>
        </w:rPr>
        <w:t xml:space="preserve"> CARACTERIZACIÓN, </w:t>
      </w:r>
      <w:r w:rsidRPr="003239B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B90029" w14:paraId="7D369042" w14:textId="77777777" w:rsidTr="004A6A54">
        <w:trPr>
          <w:cantSplit/>
        </w:trPr>
        <w:tc>
          <w:tcPr>
            <w:tcW w:w="3600" w:type="dxa"/>
            <w:tcBorders>
              <w:top w:val="single" w:sz="4" w:space="0" w:color="auto"/>
              <w:bottom w:val="single" w:sz="6" w:space="0" w:color="auto"/>
            </w:tcBorders>
            <w:shd w:val="clear" w:color="auto" w:fill="386294"/>
            <w:vAlign w:val="center"/>
          </w:tcPr>
          <w:p w14:paraId="13E4BD60" w14:textId="77777777" w:rsidR="00EE00E9" w:rsidRPr="00DC24E3"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Duplicación de procedimientos y cosa juzgada internacional:</w:t>
            </w:r>
          </w:p>
        </w:tc>
        <w:tc>
          <w:tcPr>
            <w:tcW w:w="5760" w:type="dxa"/>
            <w:vAlign w:val="center"/>
          </w:tcPr>
          <w:p w14:paraId="4941D288" w14:textId="77777777" w:rsidR="00EE00E9" w:rsidRPr="00DC24E3" w:rsidRDefault="004F1787" w:rsidP="008D2290">
            <w:pPr>
              <w:jc w:val="both"/>
              <w:rPr>
                <w:rFonts w:ascii="Cambria" w:hAnsi="Cambria"/>
                <w:bCs/>
                <w:sz w:val="20"/>
                <w:szCs w:val="20"/>
              </w:rPr>
            </w:pPr>
            <w:r>
              <w:rPr>
                <w:rFonts w:ascii="Cambria" w:hAnsi="Cambria"/>
                <w:bCs/>
                <w:sz w:val="20"/>
                <w:szCs w:val="20"/>
              </w:rPr>
              <w:t>No</w:t>
            </w:r>
          </w:p>
        </w:tc>
      </w:tr>
      <w:tr w:rsidR="003239B8" w:rsidRPr="002021CE" w14:paraId="0C18FB83" w14:textId="77777777" w:rsidTr="004A6A54">
        <w:trPr>
          <w:cantSplit/>
        </w:trPr>
        <w:tc>
          <w:tcPr>
            <w:tcW w:w="3600" w:type="dxa"/>
            <w:tcBorders>
              <w:top w:val="single" w:sz="4" w:space="0" w:color="auto"/>
              <w:bottom w:val="single" w:sz="6" w:space="0" w:color="auto"/>
            </w:tcBorders>
            <w:shd w:val="clear" w:color="auto" w:fill="386294"/>
            <w:vAlign w:val="center"/>
          </w:tcPr>
          <w:p w14:paraId="3149208D"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5D727C57" w14:textId="77777777" w:rsidR="003239B8" w:rsidRPr="009C2A4D" w:rsidRDefault="009C2A4D" w:rsidP="00796AEF">
            <w:pPr>
              <w:suppressAutoHyphens/>
              <w:jc w:val="both"/>
              <w:rPr>
                <w:rFonts w:asciiTheme="majorHAnsi" w:hAnsiTheme="majorHAnsi"/>
                <w:sz w:val="20"/>
                <w:szCs w:val="20"/>
                <w:lang w:val="es-MX"/>
              </w:rPr>
            </w:pPr>
            <w:r>
              <w:rPr>
                <w:rFonts w:asciiTheme="majorHAnsi" w:hAnsiTheme="majorHAnsi"/>
                <w:sz w:val="20"/>
                <w:szCs w:val="20"/>
                <w:lang w:val="es-MX"/>
              </w:rPr>
              <w:t>A</w:t>
            </w:r>
            <w:r w:rsidRPr="009C2A4D">
              <w:rPr>
                <w:rFonts w:asciiTheme="majorHAnsi" w:hAnsiTheme="majorHAnsi"/>
                <w:sz w:val="20"/>
                <w:szCs w:val="20"/>
                <w:lang w:val="es-MX"/>
              </w:rPr>
              <w:t>rtículos 8</w:t>
            </w:r>
            <w:r>
              <w:rPr>
                <w:rFonts w:asciiTheme="majorHAnsi" w:hAnsiTheme="majorHAnsi"/>
                <w:sz w:val="20"/>
                <w:szCs w:val="20"/>
                <w:lang w:val="es-MX"/>
              </w:rPr>
              <w:t xml:space="preserve"> (garantías judiciales)</w:t>
            </w:r>
            <w:r w:rsidRPr="009C2A4D">
              <w:rPr>
                <w:rFonts w:asciiTheme="majorHAnsi" w:hAnsiTheme="majorHAnsi"/>
                <w:sz w:val="20"/>
                <w:szCs w:val="20"/>
                <w:lang w:val="es-MX"/>
              </w:rPr>
              <w:t>, 16</w:t>
            </w:r>
            <w:r>
              <w:rPr>
                <w:rFonts w:asciiTheme="majorHAnsi" w:hAnsiTheme="majorHAnsi"/>
                <w:sz w:val="20"/>
                <w:szCs w:val="20"/>
                <w:lang w:val="es-MX"/>
              </w:rPr>
              <w:t xml:space="preserve"> (libertad de asociación)</w:t>
            </w:r>
            <w:r w:rsidRPr="009C2A4D">
              <w:rPr>
                <w:rFonts w:asciiTheme="majorHAnsi" w:hAnsiTheme="majorHAnsi"/>
                <w:sz w:val="20"/>
                <w:szCs w:val="20"/>
                <w:lang w:val="es-MX"/>
              </w:rPr>
              <w:t xml:space="preserve">, </w:t>
            </w:r>
            <w:r w:rsidR="00D04071">
              <w:rPr>
                <w:rFonts w:asciiTheme="majorHAnsi" w:hAnsiTheme="majorHAnsi"/>
                <w:sz w:val="20"/>
                <w:szCs w:val="20"/>
                <w:lang w:val="es-MX"/>
              </w:rPr>
              <w:t xml:space="preserve">21 (propiedad privada) </w:t>
            </w:r>
            <w:r w:rsidRPr="009C2A4D">
              <w:rPr>
                <w:rFonts w:asciiTheme="majorHAnsi" w:hAnsiTheme="majorHAnsi"/>
                <w:sz w:val="20"/>
                <w:szCs w:val="20"/>
                <w:lang w:val="es-MX"/>
              </w:rPr>
              <w:t>24</w:t>
            </w:r>
            <w:r>
              <w:rPr>
                <w:rFonts w:asciiTheme="majorHAnsi" w:hAnsiTheme="majorHAnsi"/>
                <w:sz w:val="20"/>
                <w:szCs w:val="20"/>
                <w:lang w:val="es-MX"/>
              </w:rPr>
              <w:t xml:space="preserve"> (igualdad ante la ley)</w:t>
            </w:r>
            <w:r w:rsidRPr="009C2A4D">
              <w:rPr>
                <w:rFonts w:asciiTheme="majorHAnsi" w:hAnsiTheme="majorHAnsi"/>
                <w:sz w:val="20"/>
                <w:szCs w:val="20"/>
                <w:lang w:val="es-MX"/>
              </w:rPr>
              <w:t>, 25</w:t>
            </w:r>
            <w:r>
              <w:rPr>
                <w:rFonts w:asciiTheme="majorHAnsi" w:hAnsiTheme="majorHAnsi"/>
                <w:sz w:val="20"/>
                <w:szCs w:val="20"/>
                <w:lang w:val="es-MX"/>
              </w:rPr>
              <w:t xml:space="preserve"> (protección judicial)</w:t>
            </w:r>
            <w:r w:rsidRPr="009C2A4D">
              <w:rPr>
                <w:rFonts w:asciiTheme="majorHAnsi" w:hAnsiTheme="majorHAnsi"/>
                <w:sz w:val="20"/>
                <w:szCs w:val="20"/>
                <w:lang w:val="es-MX"/>
              </w:rPr>
              <w:t xml:space="preserve"> y 26</w:t>
            </w:r>
            <w:r>
              <w:rPr>
                <w:rFonts w:asciiTheme="majorHAnsi" w:hAnsiTheme="majorHAnsi"/>
                <w:sz w:val="20"/>
                <w:szCs w:val="20"/>
                <w:lang w:val="es-MX"/>
              </w:rPr>
              <w:t xml:space="preserve"> (derechos económicos, sociales y culturales)</w:t>
            </w:r>
            <w:r w:rsidRPr="009C2A4D">
              <w:rPr>
                <w:rFonts w:asciiTheme="majorHAnsi" w:hAnsiTheme="majorHAnsi"/>
                <w:sz w:val="20"/>
                <w:szCs w:val="20"/>
                <w:lang w:val="es-MX"/>
              </w:rPr>
              <w:t xml:space="preserve"> de la</w:t>
            </w:r>
            <w:r>
              <w:rPr>
                <w:rFonts w:asciiTheme="majorHAnsi" w:hAnsiTheme="majorHAnsi"/>
                <w:sz w:val="20"/>
                <w:szCs w:val="20"/>
                <w:lang w:val="es-MX"/>
              </w:rPr>
              <w:t xml:space="preserve"> </w:t>
            </w:r>
            <w:r w:rsidRPr="009C2A4D">
              <w:rPr>
                <w:rFonts w:asciiTheme="majorHAnsi" w:hAnsiTheme="majorHAnsi"/>
                <w:sz w:val="20"/>
                <w:szCs w:val="20"/>
                <w:lang w:val="es-MX"/>
              </w:rPr>
              <w:t>Convención Americana en relación con su</w:t>
            </w:r>
            <w:r>
              <w:rPr>
                <w:rFonts w:asciiTheme="majorHAnsi" w:hAnsiTheme="majorHAnsi"/>
                <w:sz w:val="20"/>
                <w:szCs w:val="20"/>
                <w:lang w:val="es-MX"/>
              </w:rPr>
              <w:t>s</w:t>
            </w:r>
            <w:r w:rsidRPr="009C2A4D">
              <w:rPr>
                <w:rFonts w:asciiTheme="majorHAnsi" w:hAnsiTheme="majorHAnsi"/>
                <w:sz w:val="20"/>
                <w:szCs w:val="20"/>
                <w:lang w:val="es-MX"/>
              </w:rPr>
              <w:t xml:space="preserve"> artículo</w:t>
            </w:r>
            <w:r>
              <w:rPr>
                <w:rFonts w:asciiTheme="majorHAnsi" w:hAnsiTheme="majorHAnsi"/>
                <w:sz w:val="20"/>
                <w:szCs w:val="20"/>
                <w:lang w:val="es-MX"/>
              </w:rPr>
              <w:t>s</w:t>
            </w:r>
            <w:r w:rsidRPr="009C2A4D">
              <w:rPr>
                <w:rFonts w:asciiTheme="majorHAnsi" w:hAnsiTheme="majorHAnsi"/>
                <w:sz w:val="20"/>
                <w:szCs w:val="20"/>
                <w:lang w:val="es-MX"/>
              </w:rPr>
              <w:t xml:space="preserve"> 1.1</w:t>
            </w:r>
            <w:r>
              <w:rPr>
                <w:rFonts w:asciiTheme="majorHAnsi" w:hAnsiTheme="majorHAnsi"/>
                <w:sz w:val="20"/>
                <w:szCs w:val="20"/>
                <w:lang w:val="es-MX"/>
              </w:rPr>
              <w:t xml:space="preserve"> y 2</w:t>
            </w:r>
            <w:r w:rsidRPr="009C2A4D">
              <w:rPr>
                <w:rFonts w:asciiTheme="majorHAnsi" w:hAnsiTheme="majorHAnsi"/>
                <w:sz w:val="20"/>
                <w:szCs w:val="20"/>
                <w:lang w:val="es-MX"/>
              </w:rPr>
              <w:t xml:space="preserve">; y </w:t>
            </w:r>
            <w:r>
              <w:rPr>
                <w:rFonts w:asciiTheme="majorHAnsi" w:hAnsiTheme="majorHAnsi"/>
                <w:sz w:val="20"/>
                <w:szCs w:val="20"/>
                <w:lang w:val="es-MX"/>
              </w:rPr>
              <w:t xml:space="preserve">el </w:t>
            </w:r>
            <w:r w:rsidRPr="009C2A4D">
              <w:rPr>
                <w:rFonts w:asciiTheme="majorHAnsi" w:hAnsiTheme="majorHAnsi"/>
                <w:sz w:val="20"/>
                <w:szCs w:val="20"/>
                <w:lang w:val="es-MX"/>
              </w:rPr>
              <w:t xml:space="preserve">artículo 8 del Protocolo </w:t>
            </w:r>
            <w:r w:rsidR="00F30783">
              <w:rPr>
                <w:rFonts w:asciiTheme="majorHAnsi" w:hAnsiTheme="majorHAnsi"/>
                <w:sz w:val="20"/>
                <w:szCs w:val="20"/>
                <w:lang w:val="es-MX"/>
              </w:rPr>
              <w:t xml:space="preserve">de San Salvador </w:t>
            </w:r>
          </w:p>
        </w:tc>
      </w:tr>
      <w:tr w:rsidR="003239B8" w:rsidRPr="0018329D" w14:paraId="53AF6979" w14:textId="77777777" w:rsidTr="004A6A54">
        <w:trPr>
          <w:cantSplit/>
        </w:trPr>
        <w:tc>
          <w:tcPr>
            <w:tcW w:w="3600" w:type="dxa"/>
            <w:tcBorders>
              <w:top w:val="single" w:sz="6" w:space="0" w:color="auto"/>
              <w:bottom w:val="single" w:sz="6" w:space="0" w:color="auto"/>
            </w:tcBorders>
            <w:shd w:val="clear" w:color="auto" w:fill="386294"/>
            <w:vAlign w:val="center"/>
          </w:tcPr>
          <w:p w14:paraId="35758544"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Agotamiento de recursos internos</w:t>
            </w:r>
            <w:r w:rsidR="00EE00E9" w:rsidRPr="00DC24E3">
              <w:rPr>
                <w:rFonts w:ascii="Cambria" w:hAnsi="Cambria"/>
                <w:b/>
                <w:bCs/>
                <w:color w:val="FFFFFF" w:themeColor="background1"/>
                <w:sz w:val="20"/>
                <w:szCs w:val="20"/>
              </w:rPr>
              <w:t xml:space="preserve"> o procedencia de una excepción</w:t>
            </w:r>
            <w:r w:rsidRPr="00DC24E3">
              <w:rPr>
                <w:rFonts w:ascii="Cambria" w:hAnsi="Cambria"/>
                <w:b/>
                <w:bCs/>
                <w:color w:val="FFFFFF" w:themeColor="background1"/>
                <w:sz w:val="20"/>
                <w:szCs w:val="20"/>
              </w:rPr>
              <w:t>:</w:t>
            </w:r>
          </w:p>
        </w:tc>
        <w:tc>
          <w:tcPr>
            <w:tcW w:w="5760" w:type="dxa"/>
            <w:vAlign w:val="center"/>
          </w:tcPr>
          <w:p w14:paraId="78864FC6" w14:textId="77777777" w:rsidR="003239B8" w:rsidRPr="00DC24E3" w:rsidRDefault="004F1787" w:rsidP="008D2290">
            <w:pPr>
              <w:rPr>
                <w:rFonts w:ascii="Cambria" w:hAnsi="Cambria"/>
                <w:bCs/>
                <w:sz w:val="20"/>
                <w:szCs w:val="20"/>
              </w:rPr>
            </w:pPr>
            <w:r>
              <w:rPr>
                <w:rFonts w:ascii="Cambria" w:hAnsi="Cambria"/>
                <w:bCs/>
                <w:sz w:val="20"/>
                <w:szCs w:val="20"/>
              </w:rPr>
              <w:t xml:space="preserve">Sí, </w:t>
            </w:r>
            <w:r w:rsidRPr="00F908F2">
              <w:rPr>
                <w:rFonts w:ascii="Cambria" w:hAnsi="Cambria"/>
                <w:bCs/>
                <w:sz w:val="20"/>
                <w:szCs w:val="20"/>
                <w:lang w:val="es-US"/>
              </w:rPr>
              <w:t>en los términos de la sección VI</w:t>
            </w:r>
          </w:p>
        </w:tc>
      </w:tr>
      <w:tr w:rsidR="003239B8" w:rsidRPr="0018329D" w14:paraId="315C4D23" w14:textId="77777777" w:rsidTr="004A6A54">
        <w:trPr>
          <w:cantSplit/>
        </w:trPr>
        <w:tc>
          <w:tcPr>
            <w:tcW w:w="3600" w:type="dxa"/>
            <w:tcBorders>
              <w:top w:val="single" w:sz="6" w:space="0" w:color="auto"/>
              <w:bottom w:val="single" w:sz="6" w:space="0" w:color="auto"/>
            </w:tcBorders>
            <w:shd w:val="clear" w:color="auto" w:fill="386294"/>
            <w:vAlign w:val="center"/>
          </w:tcPr>
          <w:p w14:paraId="0B6E1B41"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1A184D5B" w14:textId="77777777" w:rsidR="003239B8" w:rsidRPr="004F1787" w:rsidRDefault="004F1787" w:rsidP="008D2290">
            <w:pPr>
              <w:rPr>
                <w:rFonts w:ascii="Cambria" w:hAnsi="Cambria"/>
                <w:bCs/>
                <w:sz w:val="20"/>
                <w:szCs w:val="20"/>
              </w:rPr>
            </w:pPr>
            <w:r w:rsidRPr="004F1787">
              <w:rPr>
                <w:rFonts w:ascii="Cambria" w:hAnsi="Cambria"/>
                <w:bCs/>
                <w:sz w:val="20"/>
                <w:szCs w:val="20"/>
              </w:rPr>
              <w:t xml:space="preserve">Sí, </w:t>
            </w:r>
            <w:r w:rsidRPr="00F908F2">
              <w:rPr>
                <w:rFonts w:ascii="Cambria" w:hAnsi="Cambria"/>
                <w:bCs/>
                <w:sz w:val="20"/>
                <w:szCs w:val="20"/>
                <w:lang w:val="es-US"/>
              </w:rPr>
              <w:t>en los términos de la sección VI</w:t>
            </w:r>
          </w:p>
        </w:tc>
      </w:tr>
    </w:tbl>
    <w:p w14:paraId="3D081095" w14:textId="77777777" w:rsidR="00063FF1" w:rsidRDefault="00063FF1" w:rsidP="003239B8">
      <w:pPr>
        <w:spacing w:before="240" w:after="240"/>
        <w:ind w:firstLine="720"/>
        <w:jc w:val="both"/>
        <w:rPr>
          <w:rFonts w:asciiTheme="majorHAnsi" w:hAnsiTheme="majorHAnsi"/>
          <w:b/>
          <w:sz w:val="20"/>
          <w:szCs w:val="20"/>
          <w:lang w:val="es-UY"/>
        </w:rPr>
      </w:pPr>
    </w:p>
    <w:p w14:paraId="7970E7F0"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B7ECAC9" w14:textId="77777777" w:rsidR="008C5E2D" w:rsidRDefault="0018329D" w:rsidP="0018329D">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El </w:t>
      </w:r>
      <w:r w:rsidR="00DE3C84">
        <w:rPr>
          <w:rFonts w:ascii="Cambria" w:hAnsi="Cambria"/>
          <w:sz w:val="20"/>
          <w:szCs w:val="20"/>
          <w:lang w:val="es-AR"/>
        </w:rPr>
        <w:t>peticionario</w:t>
      </w:r>
      <w:r>
        <w:rPr>
          <w:rFonts w:ascii="Cambria" w:hAnsi="Cambria"/>
          <w:sz w:val="20"/>
          <w:szCs w:val="20"/>
          <w:lang w:val="es-AR"/>
        </w:rPr>
        <w:t xml:space="preserve"> denuncia que el Estado </w:t>
      </w:r>
      <w:r w:rsidR="00DE3C84">
        <w:rPr>
          <w:rFonts w:ascii="Cambria" w:hAnsi="Cambria"/>
          <w:sz w:val="20"/>
          <w:szCs w:val="20"/>
          <w:lang w:val="es-AR"/>
        </w:rPr>
        <w:t xml:space="preserve">colombiano </w:t>
      </w:r>
      <w:r>
        <w:rPr>
          <w:rFonts w:ascii="Cambria" w:hAnsi="Cambria"/>
          <w:sz w:val="20"/>
          <w:szCs w:val="20"/>
          <w:lang w:val="es-AR"/>
        </w:rPr>
        <w:t xml:space="preserve">violó sus derechos a la igualdad, seguridad social y protección </w:t>
      </w:r>
      <w:r w:rsidR="00D76854">
        <w:rPr>
          <w:rFonts w:ascii="Cambria" w:hAnsi="Cambria"/>
          <w:sz w:val="20"/>
          <w:szCs w:val="20"/>
          <w:lang w:val="es-AR"/>
        </w:rPr>
        <w:t>judicial</w:t>
      </w:r>
      <w:r>
        <w:rPr>
          <w:rFonts w:ascii="Cambria" w:hAnsi="Cambria"/>
          <w:sz w:val="20"/>
          <w:szCs w:val="20"/>
          <w:lang w:val="es-AR"/>
        </w:rPr>
        <w:t xml:space="preserve">, al dejar sin efectos el </w:t>
      </w:r>
      <w:r w:rsidR="00D76854">
        <w:rPr>
          <w:rFonts w:ascii="Cambria" w:hAnsi="Cambria"/>
          <w:sz w:val="20"/>
          <w:szCs w:val="20"/>
          <w:lang w:val="es-AR"/>
        </w:rPr>
        <w:t>régimen</w:t>
      </w:r>
      <w:r>
        <w:rPr>
          <w:rFonts w:ascii="Cambria" w:hAnsi="Cambria"/>
          <w:sz w:val="20"/>
          <w:szCs w:val="20"/>
          <w:lang w:val="es-AR"/>
        </w:rPr>
        <w:t xml:space="preserve"> previsional establecido en el convenio colectivo</w:t>
      </w:r>
      <w:r w:rsidR="00162879">
        <w:rPr>
          <w:rFonts w:ascii="Cambria" w:hAnsi="Cambria"/>
          <w:sz w:val="20"/>
          <w:szCs w:val="20"/>
          <w:lang w:val="es-AR"/>
        </w:rPr>
        <w:t xml:space="preserve"> pactado entre el sindicato y </w:t>
      </w:r>
      <w:r>
        <w:rPr>
          <w:rFonts w:ascii="Cambria" w:hAnsi="Cambria"/>
          <w:sz w:val="20"/>
          <w:szCs w:val="20"/>
          <w:lang w:val="es-AR"/>
        </w:rPr>
        <w:t xml:space="preserve">la empresa donde trabaja, impidiendo que acceda a tal beneficio. </w:t>
      </w:r>
    </w:p>
    <w:p w14:paraId="4A3670BD" w14:textId="77777777" w:rsidR="00367700" w:rsidRDefault="00230B6F" w:rsidP="00083DDD">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El peticionario narra</w:t>
      </w:r>
      <w:r>
        <w:rPr>
          <w:rFonts w:ascii="Cambria" w:hAnsi="Cambria"/>
          <w:sz w:val="20"/>
          <w:szCs w:val="20"/>
          <w:lang w:val="es-US"/>
        </w:rPr>
        <w:t xml:space="preserve"> </w:t>
      </w:r>
      <w:r w:rsidR="00083DDD">
        <w:rPr>
          <w:rFonts w:ascii="Cambria" w:hAnsi="Cambria"/>
          <w:sz w:val="20"/>
          <w:szCs w:val="20"/>
          <w:lang w:val="es-AR"/>
        </w:rPr>
        <w:t xml:space="preserve">que </w:t>
      </w:r>
      <w:r w:rsidR="00442677">
        <w:rPr>
          <w:rFonts w:ascii="Cambria" w:hAnsi="Cambria"/>
          <w:sz w:val="20"/>
          <w:szCs w:val="20"/>
          <w:lang w:val="es-AR"/>
        </w:rPr>
        <w:t>desde el 19 de octubre de 1987</w:t>
      </w:r>
      <w:r w:rsidR="00162879">
        <w:rPr>
          <w:rFonts w:ascii="Cambria" w:hAnsi="Cambria"/>
          <w:sz w:val="20"/>
          <w:szCs w:val="20"/>
          <w:lang w:val="es-AR"/>
        </w:rPr>
        <w:t xml:space="preserve"> </w:t>
      </w:r>
      <w:r w:rsidR="00083DDD">
        <w:rPr>
          <w:rFonts w:ascii="Cambria" w:hAnsi="Cambria"/>
          <w:sz w:val="20"/>
          <w:szCs w:val="20"/>
          <w:lang w:val="es-AR"/>
        </w:rPr>
        <w:t>es trabajador de la Empresa de</w:t>
      </w:r>
      <w:r w:rsidR="00F30783">
        <w:rPr>
          <w:rFonts w:ascii="Cambria" w:hAnsi="Cambria"/>
          <w:sz w:val="20"/>
          <w:szCs w:val="20"/>
          <w:lang w:val="es-AR"/>
        </w:rPr>
        <w:t xml:space="preserve"> Telecomunicaciones de Bogotá (en adelante “</w:t>
      </w:r>
      <w:r w:rsidR="00A70C51">
        <w:rPr>
          <w:rFonts w:ascii="Cambria" w:hAnsi="Cambria"/>
          <w:sz w:val="20"/>
          <w:szCs w:val="20"/>
          <w:lang w:val="es-AR"/>
        </w:rPr>
        <w:t>E.T.B</w:t>
      </w:r>
      <w:r w:rsidR="00F30783">
        <w:rPr>
          <w:rFonts w:ascii="Cambria" w:hAnsi="Cambria"/>
          <w:sz w:val="20"/>
          <w:szCs w:val="20"/>
          <w:lang w:val="es-AR"/>
        </w:rPr>
        <w:t>.”</w:t>
      </w:r>
      <w:r w:rsidR="00A70C51">
        <w:rPr>
          <w:rFonts w:ascii="Cambria" w:hAnsi="Cambria"/>
          <w:sz w:val="20"/>
          <w:szCs w:val="20"/>
          <w:lang w:val="es-AR"/>
        </w:rPr>
        <w:t>)</w:t>
      </w:r>
      <w:r w:rsidR="00AC4521">
        <w:rPr>
          <w:rFonts w:ascii="Cambria" w:hAnsi="Cambria"/>
          <w:sz w:val="20"/>
          <w:szCs w:val="20"/>
          <w:lang w:val="es-AR"/>
        </w:rPr>
        <w:t>,</w:t>
      </w:r>
      <w:r w:rsidR="00083DDD">
        <w:rPr>
          <w:rFonts w:ascii="Cambria" w:hAnsi="Cambria"/>
          <w:sz w:val="20"/>
          <w:szCs w:val="20"/>
          <w:lang w:val="es-AR"/>
        </w:rPr>
        <w:t xml:space="preserve"> y que actualmente es representante legal del sindicato de dicha compañía (en adelante, </w:t>
      </w:r>
      <w:r>
        <w:rPr>
          <w:rFonts w:ascii="Cambria" w:hAnsi="Cambria"/>
          <w:sz w:val="20"/>
          <w:szCs w:val="20"/>
          <w:lang w:val="es-AR"/>
        </w:rPr>
        <w:t>“</w:t>
      </w:r>
      <w:r w:rsidR="00083DDD">
        <w:rPr>
          <w:rFonts w:ascii="Cambria" w:hAnsi="Cambria"/>
          <w:sz w:val="20"/>
          <w:szCs w:val="20"/>
          <w:lang w:val="es-AR"/>
        </w:rPr>
        <w:t>asociación sindical ATELCA</w:t>
      </w:r>
      <w:r>
        <w:rPr>
          <w:rFonts w:ascii="Cambria" w:hAnsi="Cambria"/>
          <w:sz w:val="20"/>
          <w:szCs w:val="20"/>
          <w:lang w:val="es-AR"/>
        </w:rPr>
        <w:t>”).</w:t>
      </w:r>
      <w:r w:rsidR="00083DDD">
        <w:rPr>
          <w:rFonts w:ascii="Cambria" w:hAnsi="Cambria"/>
          <w:sz w:val="20"/>
          <w:szCs w:val="20"/>
          <w:lang w:val="es-AR"/>
        </w:rPr>
        <w:t xml:space="preserve"> </w:t>
      </w:r>
      <w:r>
        <w:rPr>
          <w:rFonts w:ascii="Cambria" w:hAnsi="Cambria"/>
          <w:sz w:val="20"/>
          <w:szCs w:val="20"/>
          <w:lang w:val="es-AR"/>
        </w:rPr>
        <w:t>El 10 de abril de 1974</w:t>
      </w:r>
      <w:r w:rsidR="00083DDD">
        <w:rPr>
          <w:rFonts w:ascii="Cambria" w:hAnsi="Cambria"/>
          <w:sz w:val="20"/>
          <w:szCs w:val="20"/>
          <w:lang w:val="es-AR"/>
        </w:rPr>
        <w:t xml:space="preserve"> </w:t>
      </w:r>
      <w:r w:rsidR="00A70C51">
        <w:rPr>
          <w:rFonts w:ascii="Cambria" w:hAnsi="Cambria"/>
          <w:sz w:val="20"/>
          <w:szCs w:val="20"/>
          <w:lang w:val="es-AR"/>
        </w:rPr>
        <w:t>la asociación sindical ATELC</w:t>
      </w:r>
      <w:r w:rsidR="00AC4521">
        <w:rPr>
          <w:rFonts w:ascii="Cambria" w:hAnsi="Cambria"/>
          <w:sz w:val="20"/>
          <w:szCs w:val="20"/>
          <w:lang w:val="es-AR"/>
        </w:rPr>
        <w:t>A</w:t>
      </w:r>
      <w:r w:rsidR="00A70C51">
        <w:rPr>
          <w:rFonts w:ascii="Cambria" w:hAnsi="Cambria"/>
          <w:sz w:val="20"/>
          <w:szCs w:val="20"/>
          <w:lang w:val="es-AR"/>
        </w:rPr>
        <w:t xml:space="preserve"> logró</w:t>
      </w:r>
      <w:r w:rsidR="00083DDD">
        <w:rPr>
          <w:rFonts w:ascii="Cambria" w:hAnsi="Cambria"/>
          <w:sz w:val="20"/>
          <w:szCs w:val="20"/>
          <w:lang w:val="es-AR"/>
        </w:rPr>
        <w:t xml:space="preserve"> un acuerdo</w:t>
      </w:r>
      <w:r w:rsidR="00A70C51">
        <w:rPr>
          <w:rFonts w:ascii="Cambria" w:hAnsi="Cambria"/>
          <w:sz w:val="20"/>
          <w:szCs w:val="20"/>
          <w:lang w:val="es-AR"/>
        </w:rPr>
        <w:t xml:space="preserve"> con la referida </w:t>
      </w:r>
      <w:r w:rsidR="00B93988">
        <w:rPr>
          <w:rFonts w:ascii="Cambria" w:hAnsi="Cambria"/>
          <w:sz w:val="20"/>
          <w:szCs w:val="20"/>
          <w:lang w:val="es-AR"/>
        </w:rPr>
        <w:t>empresa</w:t>
      </w:r>
      <w:r w:rsidR="00A70C51">
        <w:rPr>
          <w:rFonts w:ascii="Cambria" w:hAnsi="Cambria"/>
          <w:sz w:val="20"/>
          <w:szCs w:val="20"/>
          <w:lang w:val="es-AR"/>
        </w:rPr>
        <w:t>, donde esta última</w:t>
      </w:r>
      <w:r w:rsidR="00083DDD">
        <w:rPr>
          <w:rFonts w:ascii="Cambria" w:hAnsi="Cambria"/>
          <w:sz w:val="20"/>
          <w:szCs w:val="20"/>
          <w:lang w:val="es-AR"/>
        </w:rPr>
        <w:t xml:space="preserve"> se comprometió a pensionar a todos aquellos trabajadores que hubieren laborado </w:t>
      </w:r>
      <w:r w:rsidR="00AC4521">
        <w:rPr>
          <w:rFonts w:ascii="Cambria" w:hAnsi="Cambria"/>
          <w:sz w:val="20"/>
          <w:szCs w:val="20"/>
          <w:lang w:val="es-AR"/>
        </w:rPr>
        <w:t xml:space="preserve">durante </w:t>
      </w:r>
      <w:r w:rsidR="00083DDD">
        <w:rPr>
          <w:rFonts w:ascii="Cambria" w:hAnsi="Cambria"/>
          <w:sz w:val="20"/>
          <w:szCs w:val="20"/>
          <w:lang w:val="es-AR"/>
        </w:rPr>
        <w:t>25</w:t>
      </w:r>
      <w:r w:rsidR="00911883">
        <w:rPr>
          <w:rFonts w:ascii="Cambria" w:hAnsi="Cambria"/>
          <w:sz w:val="20"/>
          <w:szCs w:val="20"/>
          <w:lang w:val="es-AR"/>
        </w:rPr>
        <w:t xml:space="preserve"> años en la entidad. E</w:t>
      </w:r>
      <w:r w:rsidR="00083DDD">
        <w:rPr>
          <w:rFonts w:ascii="Cambria" w:hAnsi="Cambria"/>
          <w:sz w:val="20"/>
          <w:szCs w:val="20"/>
          <w:lang w:val="es-AR"/>
        </w:rPr>
        <w:t xml:space="preserve">n 1992 </w:t>
      </w:r>
      <w:r w:rsidR="00A70C51">
        <w:rPr>
          <w:rFonts w:ascii="Cambria" w:hAnsi="Cambria"/>
          <w:sz w:val="20"/>
          <w:szCs w:val="20"/>
          <w:lang w:val="es-AR"/>
        </w:rPr>
        <w:t>se firmó una nueva convención colectiva que agregó una modalidad de pensión para quienes laboraran por 20 años y cumpliera</w:t>
      </w:r>
      <w:r w:rsidR="00911883">
        <w:rPr>
          <w:rFonts w:ascii="Cambria" w:hAnsi="Cambria"/>
          <w:sz w:val="20"/>
          <w:szCs w:val="20"/>
          <w:lang w:val="es-AR"/>
        </w:rPr>
        <w:t>n 50 años de edad. L</w:t>
      </w:r>
      <w:r w:rsidR="00A70C51">
        <w:rPr>
          <w:rFonts w:ascii="Cambria" w:hAnsi="Cambria"/>
          <w:sz w:val="20"/>
          <w:szCs w:val="20"/>
          <w:lang w:val="es-AR"/>
        </w:rPr>
        <w:t>a última convención celebrada entre las referidas partes</w:t>
      </w:r>
      <w:r w:rsidR="00AD29BA">
        <w:rPr>
          <w:rFonts w:ascii="Cambria" w:hAnsi="Cambria"/>
          <w:sz w:val="20"/>
          <w:szCs w:val="20"/>
          <w:lang w:val="es-AR"/>
        </w:rPr>
        <w:t xml:space="preserve"> se firmó</w:t>
      </w:r>
      <w:r w:rsidR="00A70C51">
        <w:rPr>
          <w:rFonts w:ascii="Cambria" w:hAnsi="Cambria"/>
          <w:sz w:val="20"/>
          <w:szCs w:val="20"/>
          <w:lang w:val="es-AR"/>
        </w:rPr>
        <w:t xml:space="preserve"> en el 2009</w:t>
      </w:r>
      <w:r w:rsidR="00AD29BA">
        <w:rPr>
          <w:rFonts w:ascii="Cambria" w:hAnsi="Cambria"/>
          <w:sz w:val="20"/>
          <w:szCs w:val="20"/>
          <w:lang w:val="es-AR"/>
        </w:rPr>
        <w:t xml:space="preserve"> con vigencia </w:t>
      </w:r>
      <w:r w:rsidR="00A70C51">
        <w:rPr>
          <w:rFonts w:ascii="Cambria" w:hAnsi="Cambria"/>
          <w:sz w:val="20"/>
          <w:szCs w:val="20"/>
          <w:lang w:val="es-AR"/>
        </w:rPr>
        <w:t xml:space="preserve">hasta el 31 de diciembre de 2012, </w:t>
      </w:r>
      <w:r w:rsidR="00911883">
        <w:rPr>
          <w:rFonts w:ascii="Cambria" w:hAnsi="Cambria"/>
          <w:sz w:val="20"/>
          <w:szCs w:val="20"/>
          <w:lang w:val="es-AR"/>
        </w:rPr>
        <w:t>sostiene el peticionario, que este</w:t>
      </w:r>
      <w:r w:rsidR="00AC59E5">
        <w:rPr>
          <w:rFonts w:ascii="Cambria" w:hAnsi="Cambria"/>
          <w:sz w:val="20"/>
          <w:szCs w:val="20"/>
          <w:lang w:val="es-AR"/>
        </w:rPr>
        <w:t xml:space="preserve"> pacto</w:t>
      </w:r>
      <w:r w:rsidR="00367700">
        <w:rPr>
          <w:rFonts w:ascii="Cambria" w:hAnsi="Cambria"/>
          <w:sz w:val="20"/>
          <w:szCs w:val="20"/>
          <w:lang w:val="es-AR"/>
        </w:rPr>
        <w:t xml:space="preserve"> no denunció </w:t>
      </w:r>
      <w:r w:rsidR="00AC59E5">
        <w:rPr>
          <w:rFonts w:ascii="Cambria" w:hAnsi="Cambria"/>
          <w:sz w:val="20"/>
          <w:szCs w:val="20"/>
          <w:lang w:val="es-AR"/>
        </w:rPr>
        <w:t>las referidas cláusulas sobre pensión de jubilación, por lo que se entendieron prorrogadas.</w:t>
      </w:r>
    </w:p>
    <w:p w14:paraId="258FD5E8" w14:textId="40E6A87F" w:rsidR="00B071B3" w:rsidRPr="00B071B3" w:rsidRDefault="00D0015A" w:rsidP="00B071B3">
      <w:pPr>
        <w:numPr>
          <w:ilvl w:val="0"/>
          <w:numId w:val="103"/>
        </w:numPr>
        <w:suppressAutoHyphens/>
        <w:spacing w:after="240"/>
        <w:jc w:val="both"/>
        <w:rPr>
          <w:rFonts w:ascii="Cambria" w:eastAsia="Arial Unicode MS" w:hAnsi="Cambria"/>
          <w:sz w:val="20"/>
          <w:szCs w:val="20"/>
          <w:bdr w:val="nil"/>
          <w:lang w:val="es-AR"/>
        </w:rPr>
      </w:pPr>
      <w:r>
        <w:rPr>
          <w:rFonts w:ascii="Cambria" w:hAnsi="Cambria"/>
          <w:sz w:val="20"/>
          <w:szCs w:val="20"/>
          <w:lang w:val="es-AR"/>
        </w:rPr>
        <w:t>Explica que</w:t>
      </w:r>
      <w:r w:rsidR="001F7737">
        <w:rPr>
          <w:rFonts w:ascii="Cambria" w:hAnsi="Cambria"/>
          <w:sz w:val="20"/>
          <w:szCs w:val="20"/>
          <w:lang w:val="es-AR"/>
        </w:rPr>
        <w:t xml:space="preserve"> el 29 de julio de 2005 entró en vigor el Acto Legislativo </w:t>
      </w:r>
      <w:r>
        <w:rPr>
          <w:rFonts w:ascii="Cambria" w:hAnsi="Cambria"/>
          <w:sz w:val="20"/>
          <w:szCs w:val="20"/>
          <w:lang w:val="es-AR"/>
        </w:rPr>
        <w:t xml:space="preserve">No. </w:t>
      </w:r>
      <w:r w:rsidR="001F7737">
        <w:rPr>
          <w:rFonts w:ascii="Cambria" w:hAnsi="Cambria"/>
          <w:sz w:val="20"/>
          <w:szCs w:val="20"/>
          <w:lang w:val="es-AR"/>
        </w:rPr>
        <w:t>1 de 2005</w:t>
      </w:r>
      <w:r w:rsidR="00D7064C">
        <w:rPr>
          <w:rFonts w:ascii="Cambria" w:hAnsi="Cambria"/>
          <w:sz w:val="20"/>
          <w:szCs w:val="20"/>
          <w:lang w:val="es-AR"/>
        </w:rPr>
        <w:t xml:space="preserve">, </w:t>
      </w:r>
      <w:r>
        <w:rPr>
          <w:rFonts w:ascii="Cambria" w:hAnsi="Cambria"/>
          <w:sz w:val="20"/>
          <w:szCs w:val="20"/>
          <w:lang w:val="es-AR"/>
        </w:rPr>
        <w:t>que</w:t>
      </w:r>
      <w:r w:rsidR="001F7737" w:rsidRPr="00E57A03">
        <w:rPr>
          <w:rFonts w:ascii="Cambria" w:hAnsi="Cambria"/>
          <w:sz w:val="20"/>
          <w:szCs w:val="20"/>
          <w:lang w:val="es-AR"/>
        </w:rPr>
        <w:t xml:space="preserve"> modificó el artículo 48 de la Constitución </w:t>
      </w:r>
      <w:r w:rsidR="00AF4F6C">
        <w:rPr>
          <w:rFonts w:ascii="Cambria" w:hAnsi="Cambria"/>
          <w:sz w:val="20"/>
          <w:szCs w:val="20"/>
          <w:lang w:val="es-AR"/>
        </w:rPr>
        <w:t>(relativo al</w:t>
      </w:r>
      <w:r w:rsidR="001F7737" w:rsidRPr="00E57A03">
        <w:rPr>
          <w:rFonts w:ascii="Cambria" w:hAnsi="Cambria"/>
          <w:sz w:val="20"/>
          <w:szCs w:val="20"/>
          <w:lang w:val="es-AR"/>
        </w:rPr>
        <w:t xml:space="preserve"> derecho a la seguridad social</w:t>
      </w:r>
      <w:r w:rsidR="00AF4F6C">
        <w:rPr>
          <w:rFonts w:ascii="Cambria" w:hAnsi="Cambria"/>
          <w:sz w:val="20"/>
          <w:szCs w:val="20"/>
          <w:lang w:val="es-AR"/>
        </w:rPr>
        <w:t>)</w:t>
      </w:r>
      <w:r w:rsidR="001F7737" w:rsidRPr="00E57A03">
        <w:rPr>
          <w:rFonts w:ascii="Cambria" w:hAnsi="Cambria"/>
          <w:sz w:val="20"/>
          <w:szCs w:val="20"/>
          <w:lang w:val="es-AR"/>
        </w:rPr>
        <w:t xml:space="preserve">, </w:t>
      </w:r>
      <w:r w:rsidR="00AC4521">
        <w:rPr>
          <w:rFonts w:ascii="Cambria" w:hAnsi="Cambria"/>
          <w:sz w:val="20"/>
          <w:szCs w:val="20"/>
          <w:lang w:val="es-AR"/>
        </w:rPr>
        <w:t>bajo el argumento</w:t>
      </w:r>
      <w:r w:rsidR="001F7737" w:rsidRPr="00E57A03">
        <w:rPr>
          <w:rFonts w:ascii="Cambria" w:hAnsi="Cambria"/>
          <w:sz w:val="20"/>
          <w:szCs w:val="20"/>
          <w:lang w:val="es-AR"/>
        </w:rPr>
        <w:t xml:space="preserve"> de </w:t>
      </w:r>
      <w:r w:rsidR="001F7737" w:rsidRPr="00E57A03">
        <w:rPr>
          <w:rFonts w:ascii="Cambria" w:hAnsi="Cambria"/>
          <w:sz w:val="20"/>
          <w:szCs w:val="20"/>
          <w:shd w:val="clear" w:color="auto" w:fill="FFFFFF"/>
        </w:rPr>
        <w:t>homogeneizar los requisitos y beneficios pensionales en aras de lograr una mayor equidad y sostenibilidad en el sistema</w:t>
      </w:r>
      <w:r w:rsidR="002E501D">
        <w:rPr>
          <w:rFonts w:ascii="Cambria" w:hAnsi="Cambria"/>
          <w:sz w:val="20"/>
          <w:szCs w:val="20"/>
          <w:shd w:val="clear" w:color="auto" w:fill="FFFFFF"/>
        </w:rPr>
        <w:t xml:space="preserve"> de pensiones</w:t>
      </w:r>
      <w:r w:rsidR="001F7737" w:rsidRPr="00E57A03">
        <w:rPr>
          <w:rFonts w:ascii="Cambria" w:hAnsi="Cambria"/>
          <w:sz w:val="20"/>
          <w:szCs w:val="20"/>
          <w:shd w:val="clear" w:color="auto" w:fill="FFFFFF"/>
        </w:rPr>
        <w:t>.</w:t>
      </w:r>
      <w:r w:rsidR="001F7737">
        <w:rPr>
          <w:rFonts w:ascii="Cambria" w:hAnsi="Cambria"/>
          <w:sz w:val="20"/>
          <w:szCs w:val="20"/>
          <w:shd w:val="clear" w:color="auto" w:fill="FFFFFF"/>
        </w:rPr>
        <w:t xml:space="preserve"> Sos</w:t>
      </w:r>
      <w:r w:rsidR="00247EF9">
        <w:rPr>
          <w:rFonts w:ascii="Cambria" w:hAnsi="Cambria"/>
          <w:sz w:val="20"/>
          <w:szCs w:val="20"/>
          <w:shd w:val="clear" w:color="auto" w:fill="FFFFFF"/>
        </w:rPr>
        <w:t>tiene que para lograr tal finalidad</w:t>
      </w:r>
      <w:r w:rsidR="001F7737">
        <w:rPr>
          <w:rFonts w:ascii="Cambria" w:hAnsi="Cambria"/>
          <w:sz w:val="20"/>
          <w:szCs w:val="20"/>
          <w:shd w:val="clear" w:color="auto" w:fill="FFFFFF"/>
        </w:rPr>
        <w:t xml:space="preserve"> </w:t>
      </w:r>
      <w:r w:rsidR="00162879">
        <w:rPr>
          <w:rFonts w:ascii="Cambria" w:hAnsi="Cambria"/>
          <w:sz w:val="20"/>
          <w:szCs w:val="20"/>
          <w:shd w:val="clear" w:color="auto" w:fill="FFFFFF"/>
        </w:rPr>
        <w:t>dicha reforma constitucional</w:t>
      </w:r>
      <w:r w:rsidR="001F7737">
        <w:rPr>
          <w:rFonts w:ascii="Cambria" w:hAnsi="Cambria"/>
          <w:sz w:val="20"/>
          <w:szCs w:val="20"/>
          <w:shd w:val="clear" w:color="auto" w:fill="FFFFFF"/>
        </w:rPr>
        <w:t xml:space="preserve"> eliminó los regímenes especiales de pensiones, a excepción </w:t>
      </w:r>
      <w:r w:rsidR="00AA5DCA">
        <w:rPr>
          <w:rFonts w:ascii="Cambria" w:hAnsi="Cambria"/>
          <w:sz w:val="20"/>
          <w:szCs w:val="20"/>
          <w:shd w:val="clear" w:color="auto" w:fill="FFFFFF"/>
        </w:rPr>
        <w:t>del sistema previsional aplicable a la fuerza pública, al Presidente de la República y a otros establecidos en la propia ley</w:t>
      </w:r>
      <w:r w:rsidR="001F7737">
        <w:rPr>
          <w:rStyle w:val="FootnoteReference"/>
          <w:rFonts w:ascii="Cambria" w:hAnsi="Cambria"/>
          <w:sz w:val="20"/>
          <w:szCs w:val="20"/>
          <w:shd w:val="clear" w:color="auto" w:fill="FFFFFF"/>
        </w:rPr>
        <w:footnoteReference w:id="4"/>
      </w:r>
      <w:r w:rsidR="00162879">
        <w:rPr>
          <w:rFonts w:ascii="Cambria" w:hAnsi="Cambria"/>
          <w:sz w:val="20"/>
          <w:szCs w:val="20"/>
          <w:shd w:val="clear" w:color="auto" w:fill="FFFFFF"/>
        </w:rPr>
        <w:t xml:space="preserve">; </w:t>
      </w:r>
      <w:r w:rsidR="001F7737" w:rsidRPr="00AC4521">
        <w:rPr>
          <w:rFonts w:ascii="Cambria" w:hAnsi="Cambria"/>
          <w:sz w:val="20"/>
          <w:szCs w:val="20"/>
          <w:shd w:val="clear" w:color="auto" w:fill="FFFFFF"/>
        </w:rPr>
        <w:t>y prohibió la realización de pactos, convenciones colectivas de trabajo, laudos o cualquier acto jurídico destinad</w:t>
      </w:r>
      <w:r w:rsidR="00AC4521">
        <w:rPr>
          <w:rFonts w:ascii="Cambria" w:hAnsi="Cambria"/>
          <w:sz w:val="20"/>
          <w:szCs w:val="20"/>
          <w:shd w:val="clear" w:color="auto" w:fill="FFFFFF"/>
        </w:rPr>
        <w:t>o</w:t>
      </w:r>
      <w:r w:rsidR="001F7737" w:rsidRPr="00AC4521">
        <w:rPr>
          <w:rFonts w:ascii="Cambria" w:hAnsi="Cambria"/>
          <w:sz w:val="20"/>
          <w:szCs w:val="20"/>
          <w:shd w:val="clear" w:color="auto" w:fill="FFFFFF"/>
        </w:rPr>
        <w:t xml:space="preserve"> a establecer beneficios pensionales superiores a </w:t>
      </w:r>
      <w:r w:rsidR="00AC4521">
        <w:rPr>
          <w:rFonts w:ascii="Cambria" w:hAnsi="Cambria"/>
          <w:sz w:val="20"/>
          <w:szCs w:val="20"/>
          <w:shd w:val="clear" w:color="auto" w:fill="FFFFFF"/>
        </w:rPr>
        <w:t>lo dispuesto</w:t>
      </w:r>
      <w:r w:rsidR="001F7737" w:rsidRPr="00AC4521">
        <w:rPr>
          <w:rFonts w:ascii="Cambria" w:hAnsi="Cambria"/>
          <w:sz w:val="20"/>
          <w:szCs w:val="20"/>
          <w:shd w:val="clear" w:color="auto" w:fill="FFFFFF"/>
        </w:rPr>
        <w:t xml:space="preserve"> en las leyes del Sistema General de Pensiones</w:t>
      </w:r>
      <w:r w:rsidR="001F7737">
        <w:rPr>
          <w:rStyle w:val="FootnoteReference"/>
          <w:rFonts w:ascii="Cambria" w:hAnsi="Cambria"/>
          <w:sz w:val="20"/>
          <w:szCs w:val="20"/>
          <w:shd w:val="clear" w:color="auto" w:fill="FFFFFF"/>
        </w:rPr>
        <w:footnoteReference w:id="5"/>
      </w:r>
      <w:r w:rsidR="001F7737" w:rsidRPr="00AC4521">
        <w:rPr>
          <w:rFonts w:ascii="Cambria" w:hAnsi="Cambria"/>
          <w:sz w:val="20"/>
          <w:szCs w:val="20"/>
          <w:shd w:val="clear" w:color="auto" w:fill="FFFFFF"/>
        </w:rPr>
        <w:t xml:space="preserve">. </w:t>
      </w:r>
      <w:r w:rsidR="002169A9">
        <w:rPr>
          <w:rFonts w:ascii="Cambria" w:hAnsi="Cambria"/>
          <w:sz w:val="20"/>
          <w:szCs w:val="20"/>
          <w:shd w:val="clear" w:color="auto" w:fill="FFFFFF"/>
        </w:rPr>
        <w:t>Asimismo</w:t>
      </w:r>
      <w:r w:rsidR="001F7737" w:rsidRPr="00AC4521">
        <w:rPr>
          <w:rFonts w:ascii="Cambria" w:hAnsi="Cambria"/>
          <w:sz w:val="20"/>
          <w:szCs w:val="20"/>
          <w:shd w:val="clear" w:color="auto" w:fill="FFFFFF"/>
        </w:rPr>
        <w:t>,</w:t>
      </w:r>
      <w:r w:rsidR="00AA5DCA" w:rsidRPr="00AC4521">
        <w:rPr>
          <w:rFonts w:ascii="Cambria" w:hAnsi="Cambria"/>
          <w:sz w:val="20"/>
          <w:szCs w:val="20"/>
          <w:shd w:val="clear" w:color="auto" w:fill="FFFFFF"/>
        </w:rPr>
        <w:t xml:space="preserve"> especifica que</w:t>
      </w:r>
      <w:r w:rsidR="00B071B3">
        <w:rPr>
          <w:rFonts w:ascii="Cambria" w:hAnsi="Cambria"/>
          <w:sz w:val="20"/>
          <w:szCs w:val="20"/>
          <w:shd w:val="clear" w:color="auto" w:fill="FFFFFF"/>
        </w:rPr>
        <w:t>, si bien</w:t>
      </w:r>
      <w:r w:rsidR="001F7737" w:rsidRPr="00AC4521">
        <w:rPr>
          <w:rFonts w:ascii="Cambria" w:hAnsi="Cambria"/>
          <w:sz w:val="20"/>
          <w:szCs w:val="20"/>
          <w:shd w:val="clear" w:color="auto" w:fill="FFFFFF"/>
        </w:rPr>
        <w:t xml:space="preserve"> </w:t>
      </w:r>
      <w:r w:rsidR="00B071B3">
        <w:rPr>
          <w:rFonts w:ascii="Cambria" w:hAnsi="Cambria"/>
          <w:sz w:val="20"/>
          <w:szCs w:val="20"/>
          <w:shd w:val="clear" w:color="auto" w:fill="FFFFFF"/>
        </w:rPr>
        <w:t>el</w:t>
      </w:r>
      <w:r w:rsidR="001F7737" w:rsidRPr="00AC4521">
        <w:rPr>
          <w:rFonts w:ascii="Cambria" w:hAnsi="Cambria"/>
          <w:sz w:val="20"/>
          <w:szCs w:val="20"/>
          <w:shd w:val="clear" w:color="auto" w:fill="FFFFFF"/>
        </w:rPr>
        <w:t xml:space="preserve"> Acto Legislativo </w:t>
      </w:r>
      <w:r w:rsidR="00AA5DCA" w:rsidRPr="00AC4521">
        <w:rPr>
          <w:rFonts w:ascii="Cambria" w:hAnsi="Cambria"/>
          <w:sz w:val="20"/>
          <w:szCs w:val="20"/>
          <w:shd w:val="clear" w:color="auto" w:fill="FFFFFF"/>
        </w:rPr>
        <w:t xml:space="preserve">estableció </w:t>
      </w:r>
      <w:r w:rsidR="00B071B3">
        <w:rPr>
          <w:rFonts w:ascii="Cambria" w:hAnsi="Cambria"/>
          <w:sz w:val="20"/>
          <w:szCs w:val="20"/>
          <w:shd w:val="clear" w:color="auto" w:fill="FFFFFF"/>
        </w:rPr>
        <w:t xml:space="preserve">que las reglas de carácter pensional vigentes contenidas en convenciones colectivas de trabajo se mantendrán por el término inicialmente estipulado, también precisó que </w:t>
      </w:r>
      <w:r w:rsidR="00162879">
        <w:rPr>
          <w:rFonts w:ascii="Cambria" w:hAnsi="Cambria"/>
          <w:sz w:val="20"/>
          <w:szCs w:val="20"/>
          <w:shd w:val="clear" w:color="auto" w:fill="FFFFFF"/>
        </w:rPr>
        <w:t>todos los</w:t>
      </w:r>
      <w:r w:rsidR="00B071B3">
        <w:rPr>
          <w:rFonts w:ascii="Cambria" w:hAnsi="Cambria"/>
          <w:sz w:val="20"/>
          <w:szCs w:val="20"/>
          <w:shd w:val="clear" w:color="auto" w:fill="FFFFFF"/>
        </w:rPr>
        <w:t xml:space="preserve"> regímenes previsionales</w:t>
      </w:r>
      <w:r w:rsidR="00162879">
        <w:rPr>
          <w:rFonts w:ascii="Cambria" w:hAnsi="Cambria"/>
          <w:sz w:val="20"/>
          <w:szCs w:val="20"/>
          <w:shd w:val="clear" w:color="auto" w:fill="FFFFFF"/>
        </w:rPr>
        <w:t xml:space="preserve"> particulares</w:t>
      </w:r>
      <w:r w:rsidR="00B071B3">
        <w:rPr>
          <w:rFonts w:ascii="Cambria" w:hAnsi="Cambria"/>
          <w:sz w:val="20"/>
          <w:szCs w:val="20"/>
          <w:shd w:val="clear" w:color="auto" w:fill="FFFFFF"/>
        </w:rPr>
        <w:t xml:space="preserve"> expirarán el 31 de julio de 2010</w:t>
      </w:r>
      <w:r w:rsidR="00B071B3">
        <w:rPr>
          <w:rStyle w:val="FootnoteReference"/>
          <w:rFonts w:ascii="Cambria" w:hAnsi="Cambria"/>
          <w:sz w:val="20"/>
          <w:szCs w:val="20"/>
          <w:shd w:val="clear" w:color="auto" w:fill="FFFFFF"/>
        </w:rPr>
        <w:footnoteReference w:id="6"/>
      </w:r>
      <w:r w:rsidR="00B071B3">
        <w:rPr>
          <w:rFonts w:ascii="Cambria" w:hAnsi="Cambria"/>
          <w:sz w:val="20"/>
          <w:szCs w:val="20"/>
          <w:shd w:val="clear" w:color="auto" w:fill="FFFFFF"/>
        </w:rPr>
        <w:t xml:space="preserve">. </w:t>
      </w:r>
    </w:p>
    <w:p w14:paraId="1A0DF78E" w14:textId="77777777" w:rsidR="00A70C51" w:rsidRDefault="00247EF9" w:rsidP="00083DDD">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El peticionario aduce</w:t>
      </w:r>
      <w:r w:rsidR="00A70C51">
        <w:rPr>
          <w:rFonts w:ascii="Cambria" w:hAnsi="Cambria"/>
          <w:sz w:val="20"/>
          <w:szCs w:val="20"/>
          <w:lang w:val="es-AR"/>
        </w:rPr>
        <w:t xml:space="preserve"> que el 19 de octubre de 2010 cumplió los requisitos para obtener </w:t>
      </w:r>
      <w:r>
        <w:rPr>
          <w:rFonts w:ascii="Cambria" w:hAnsi="Cambria"/>
          <w:sz w:val="20"/>
          <w:szCs w:val="20"/>
          <w:lang w:val="es-AR"/>
        </w:rPr>
        <w:t>una pensión</w:t>
      </w:r>
      <w:r w:rsidR="001F7737">
        <w:rPr>
          <w:rFonts w:ascii="Cambria" w:hAnsi="Cambria"/>
          <w:sz w:val="20"/>
          <w:szCs w:val="20"/>
          <w:lang w:val="es-AR"/>
        </w:rPr>
        <w:t xml:space="preserve"> en los términos establecidos en el convenio colectivo</w:t>
      </w:r>
      <w:r w:rsidR="00162879">
        <w:rPr>
          <w:rFonts w:ascii="Cambria" w:hAnsi="Cambria"/>
          <w:sz w:val="20"/>
          <w:szCs w:val="20"/>
          <w:lang w:val="es-AR"/>
        </w:rPr>
        <w:t xml:space="preserve"> de su </w:t>
      </w:r>
      <w:r w:rsidR="00D76854">
        <w:rPr>
          <w:rFonts w:ascii="Cambria" w:hAnsi="Cambria"/>
          <w:sz w:val="20"/>
          <w:szCs w:val="20"/>
          <w:lang w:val="es-AR"/>
        </w:rPr>
        <w:t>compañía</w:t>
      </w:r>
      <w:r w:rsidR="00A70C51">
        <w:rPr>
          <w:rFonts w:ascii="Cambria" w:hAnsi="Cambria"/>
          <w:sz w:val="20"/>
          <w:szCs w:val="20"/>
          <w:lang w:val="es-AR"/>
        </w:rPr>
        <w:t xml:space="preserve">. A pesar de ello, la empresa E.T.B, mediante comunicación del 3 de mayo de 2011, le </w:t>
      </w:r>
      <w:r>
        <w:rPr>
          <w:rFonts w:ascii="Cambria" w:hAnsi="Cambria"/>
          <w:sz w:val="20"/>
          <w:szCs w:val="20"/>
          <w:lang w:val="es-AR"/>
        </w:rPr>
        <w:t>habría negado</w:t>
      </w:r>
      <w:r w:rsidR="00A70C51">
        <w:rPr>
          <w:rFonts w:ascii="Cambria" w:hAnsi="Cambria"/>
          <w:sz w:val="20"/>
          <w:szCs w:val="20"/>
          <w:lang w:val="es-AR"/>
        </w:rPr>
        <w:t xml:space="preserve"> tal derecho convencional, alegando que a partir del 31 d</w:t>
      </w:r>
      <w:r>
        <w:rPr>
          <w:rFonts w:ascii="Cambria" w:hAnsi="Cambria"/>
          <w:sz w:val="20"/>
          <w:szCs w:val="20"/>
          <w:lang w:val="es-AR"/>
        </w:rPr>
        <w:t>e julio de 2010 el referido régi</w:t>
      </w:r>
      <w:r w:rsidR="00A70C51">
        <w:rPr>
          <w:rFonts w:ascii="Cambria" w:hAnsi="Cambria"/>
          <w:sz w:val="20"/>
          <w:szCs w:val="20"/>
          <w:lang w:val="es-AR"/>
        </w:rPr>
        <w:t xml:space="preserve">men previsional </w:t>
      </w:r>
      <w:r>
        <w:rPr>
          <w:rFonts w:ascii="Cambria" w:hAnsi="Cambria"/>
          <w:sz w:val="20"/>
          <w:szCs w:val="20"/>
          <w:lang w:val="es-AR"/>
        </w:rPr>
        <w:t>había perdido eficacia</w:t>
      </w:r>
      <w:r w:rsidR="00A70C51">
        <w:rPr>
          <w:rFonts w:ascii="Cambria" w:hAnsi="Cambria"/>
          <w:sz w:val="20"/>
          <w:szCs w:val="20"/>
          <w:lang w:val="es-AR"/>
        </w:rPr>
        <w:t xml:space="preserve"> en razón </w:t>
      </w:r>
      <w:r w:rsidR="00BF41B0">
        <w:rPr>
          <w:rFonts w:ascii="Cambria" w:hAnsi="Cambria"/>
          <w:sz w:val="20"/>
          <w:szCs w:val="20"/>
          <w:lang w:val="es-AR"/>
        </w:rPr>
        <w:t xml:space="preserve">de las limitaciones establecidas en </w:t>
      </w:r>
      <w:r w:rsidR="00E57A03">
        <w:rPr>
          <w:rFonts w:ascii="Cambria" w:hAnsi="Cambria"/>
          <w:sz w:val="20"/>
          <w:szCs w:val="20"/>
          <w:lang w:val="es-AR"/>
        </w:rPr>
        <w:t xml:space="preserve">Acto Legislativo </w:t>
      </w:r>
      <w:r>
        <w:rPr>
          <w:rFonts w:ascii="Cambria" w:hAnsi="Cambria"/>
          <w:sz w:val="20"/>
          <w:szCs w:val="20"/>
          <w:lang w:val="es-AR"/>
        </w:rPr>
        <w:t xml:space="preserve">No. </w:t>
      </w:r>
      <w:r w:rsidR="00E57A03">
        <w:rPr>
          <w:rFonts w:ascii="Cambria" w:hAnsi="Cambria"/>
          <w:sz w:val="20"/>
          <w:szCs w:val="20"/>
          <w:lang w:val="es-AR"/>
        </w:rPr>
        <w:t>1 de 2005.</w:t>
      </w:r>
    </w:p>
    <w:p w14:paraId="24DEC6FF" w14:textId="77777777" w:rsidR="00AD0743" w:rsidRDefault="00247EF9" w:rsidP="00483623">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Sostiene que frente a esta denegatoria </w:t>
      </w:r>
      <w:r w:rsidR="008C4405" w:rsidRPr="001F7737">
        <w:rPr>
          <w:rFonts w:ascii="Cambria" w:hAnsi="Cambria"/>
          <w:sz w:val="20"/>
          <w:szCs w:val="20"/>
          <w:lang w:val="es-AR"/>
        </w:rPr>
        <w:t xml:space="preserve">presentó una acción de tutela </w:t>
      </w:r>
      <w:r>
        <w:rPr>
          <w:rFonts w:ascii="Cambria" w:hAnsi="Cambria"/>
          <w:sz w:val="20"/>
          <w:szCs w:val="20"/>
          <w:lang w:val="es-AR"/>
        </w:rPr>
        <w:t>en la que alegó</w:t>
      </w:r>
      <w:r w:rsidR="00083DDD" w:rsidRPr="001F7737">
        <w:rPr>
          <w:rFonts w:ascii="Cambria" w:hAnsi="Cambria"/>
          <w:sz w:val="20"/>
          <w:szCs w:val="20"/>
          <w:lang w:val="es-AR"/>
        </w:rPr>
        <w:t xml:space="preserve"> la vulneración de sus derechos a la seguridad social, igualdad y debido proceso.</w:t>
      </w:r>
      <w:r w:rsidR="0007644F">
        <w:rPr>
          <w:rFonts w:ascii="Cambria" w:hAnsi="Cambria"/>
          <w:sz w:val="20"/>
          <w:szCs w:val="20"/>
          <w:lang w:val="es-AR"/>
        </w:rPr>
        <w:t xml:space="preserve"> Asimismo, </w:t>
      </w:r>
      <w:r w:rsidR="002169A9">
        <w:rPr>
          <w:rFonts w:ascii="Cambria" w:hAnsi="Cambria"/>
          <w:sz w:val="20"/>
          <w:szCs w:val="20"/>
          <w:lang w:val="es-AR"/>
        </w:rPr>
        <w:t xml:space="preserve">en su demanda </w:t>
      </w:r>
      <w:r w:rsidR="0007644F">
        <w:rPr>
          <w:rFonts w:ascii="Cambria" w:hAnsi="Cambria"/>
          <w:sz w:val="20"/>
          <w:szCs w:val="20"/>
          <w:lang w:val="es-AR"/>
        </w:rPr>
        <w:t xml:space="preserve">argumentó que el Comité de Libertad Sindical de la </w:t>
      </w:r>
      <w:r w:rsidR="00382358">
        <w:rPr>
          <w:rFonts w:ascii="Cambria" w:hAnsi="Cambria"/>
          <w:sz w:val="20"/>
          <w:szCs w:val="20"/>
          <w:lang w:val="es-AR"/>
        </w:rPr>
        <w:t>Organización</w:t>
      </w:r>
      <w:r w:rsidR="0007644F">
        <w:rPr>
          <w:rFonts w:ascii="Cambria" w:hAnsi="Cambria"/>
          <w:sz w:val="20"/>
          <w:szCs w:val="20"/>
          <w:lang w:val="es-AR"/>
        </w:rPr>
        <w:t xml:space="preserve"> Internacional del Trabajo, en el caso 2434, </w:t>
      </w:r>
      <w:r w:rsidR="0007644F" w:rsidRPr="00485ED5">
        <w:rPr>
          <w:rFonts w:ascii="Cambria" w:hAnsi="Cambria"/>
          <w:sz w:val="20"/>
          <w:szCs w:val="20"/>
          <w:lang w:val="es-AR"/>
        </w:rPr>
        <w:t>recomendó al Estado</w:t>
      </w:r>
      <w:r w:rsidR="00AD0743">
        <w:rPr>
          <w:rFonts w:ascii="Cambria" w:hAnsi="Cambria"/>
          <w:sz w:val="20"/>
          <w:szCs w:val="20"/>
          <w:lang w:val="es-AR"/>
        </w:rPr>
        <w:t xml:space="preserve">: </w:t>
      </w:r>
      <w:r w:rsidR="0007644F" w:rsidRPr="00485ED5">
        <w:rPr>
          <w:rFonts w:ascii="Cambria" w:hAnsi="Cambria"/>
          <w:sz w:val="20"/>
          <w:szCs w:val="20"/>
          <w:lang w:val="es-AR"/>
        </w:rPr>
        <w:t xml:space="preserve"> </w:t>
      </w:r>
    </w:p>
    <w:p w14:paraId="1184F843" w14:textId="77777777" w:rsidR="00AD0743" w:rsidRDefault="00AD0743" w:rsidP="00AD0743">
      <w:pPr>
        <w:suppressAutoHyphens/>
        <w:spacing w:after="240"/>
        <w:ind w:left="720" w:right="720"/>
        <w:jc w:val="both"/>
        <w:rPr>
          <w:rFonts w:ascii="Cambria" w:hAnsi="Cambria"/>
          <w:sz w:val="20"/>
          <w:szCs w:val="20"/>
          <w:lang w:val="es-AR"/>
        </w:rPr>
      </w:pPr>
      <w:r>
        <w:rPr>
          <w:rFonts w:ascii="Cambria" w:hAnsi="Cambria"/>
          <w:sz w:val="20"/>
          <w:szCs w:val="20"/>
          <w:lang w:val="es-US"/>
        </w:rPr>
        <w:t>[e]</w:t>
      </w:r>
      <w:r w:rsidRPr="00AD0743">
        <w:rPr>
          <w:rFonts w:ascii="Cambria" w:hAnsi="Cambria"/>
          <w:sz w:val="20"/>
          <w:szCs w:val="20"/>
          <w:lang w:val="es-AR"/>
        </w:rPr>
        <w:t xml:space="preserve">n vista de las conclusiones provisionales que anteceden, el Comité invita al Consejo de Administración a que apruebe las recomendaciones siguientes: a) en lo que respecta a los alegatos relativos a la limitación del derecho de negociación colectiva en virtud de la reciente adopción del acto legislativo núm. 01, de 22 de julio de 2005, que modifica el artículo 48 de la </w:t>
      </w:r>
      <w:r w:rsidRPr="00AD0743">
        <w:rPr>
          <w:rFonts w:ascii="Cambria" w:hAnsi="Cambria"/>
          <w:sz w:val="20"/>
          <w:szCs w:val="20"/>
          <w:lang w:val="es-AR"/>
        </w:rPr>
        <w:lastRenderedPageBreak/>
        <w:t>Constitución Política sobre seguridad social, el Comité: i) en cuanto a las convenciones celebradas con anterioridad a la entrada en vigor de la legislación, pide una vez más al Gobierno que adopte las medidas necesarias a fin de que los convenios colectivos que contienen cláusulas sobre pensiones, cuya vigencia va más allá del 31 de julio de 2010, mantengan sus efectos hasta su vencimiento; ii) en cuanto a los convenios celebrados después de la entrada en vigor del acto legislativo núm. 01, pide una vez más al Gobierno que teniendo en cuenta las circunstancias particulares de este caso, y con el fin de garantizar la armonía de las relaciones laborales del país, realice de nuevo consultas detalladas dirigidas exclusivamente a los interlocutores sociales acerca de las jubilaciones y las pensiones, a fin de encontrar una solución negociada aceptable para todas las partes interesadas y de conformidad con los convenios sobre libertad sindical y negociación cole</w:t>
      </w:r>
      <w:r>
        <w:rPr>
          <w:rFonts w:ascii="Cambria" w:hAnsi="Cambria"/>
          <w:sz w:val="20"/>
          <w:szCs w:val="20"/>
          <w:lang w:val="es-AR"/>
        </w:rPr>
        <w:t>ctiva ratificados por Colombia […]</w:t>
      </w:r>
      <w:r w:rsidR="0007644F">
        <w:rPr>
          <w:rStyle w:val="FootnoteReference"/>
          <w:rFonts w:ascii="Cambria" w:hAnsi="Cambria"/>
          <w:sz w:val="20"/>
          <w:szCs w:val="20"/>
          <w:lang w:val="es-AR"/>
        </w:rPr>
        <w:footnoteReference w:id="7"/>
      </w:r>
      <w:r w:rsidR="0007644F" w:rsidRPr="00485ED5">
        <w:rPr>
          <w:rFonts w:ascii="Cambria" w:hAnsi="Cambria"/>
          <w:sz w:val="20"/>
          <w:szCs w:val="20"/>
          <w:lang w:val="es-AR"/>
        </w:rPr>
        <w:t>.</w:t>
      </w:r>
      <w:r w:rsidR="00485ED5">
        <w:rPr>
          <w:rFonts w:ascii="Cambria" w:hAnsi="Cambria"/>
          <w:sz w:val="20"/>
          <w:szCs w:val="20"/>
          <w:lang w:val="es-AR"/>
        </w:rPr>
        <w:t xml:space="preserve"> </w:t>
      </w:r>
    </w:p>
    <w:p w14:paraId="3534CABA" w14:textId="77777777" w:rsidR="00483623" w:rsidRDefault="00382358" w:rsidP="00483623">
      <w:pPr>
        <w:numPr>
          <w:ilvl w:val="0"/>
          <w:numId w:val="103"/>
        </w:numPr>
        <w:suppressAutoHyphens/>
        <w:spacing w:after="240"/>
        <w:jc w:val="both"/>
        <w:rPr>
          <w:rFonts w:ascii="Cambria" w:hAnsi="Cambria"/>
          <w:sz w:val="20"/>
          <w:szCs w:val="20"/>
          <w:lang w:val="es-AR"/>
        </w:rPr>
      </w:pPr>
      <w:r>
        <w:rPr>
          <w:rFonts w:ascii="Cambria" w:hAnsi="Cambria"/>
          <w:sz w:val="20"/>
          <w:szCs w:val="20"/>
          <w:lang w:val="es-AR"/>
        </w:rPr>
        <w:t xml:space="preserve">No obstante, </w:t>
      </w:r>
      <w:r w:rsidR="008C4405" w:rsidRPr="00485ED5">
        <w:rPr>
          <w:rFonts w:ascii="Cambria" w:hAnsi="Cambria"/>
          <w:sz w:val="20"/>
          <w:szCs w:val="20"/>
          <w:lang w:val="es-AR"/>
        </w:rPr>
        <w:t xml:space="preserve">el 22 de junio de 2011 el Juez Veinticinco Civil Municipal de Bogotá declaró improcedente la demanda, al considerar que no existía un perjuicio irremediable y que el señor Infante contaba con el proceso ordinario laboral como mecanismo judicial efectivo para hacer valer sus derechos. </w:t>
      </w:r>
      <w:r w:rsidR="00083DDD" w:rsidRPr="00485ED5">
        <w:rPr>
          <w:rFonts w:ascii="Cambria" w:hAnsi="Cambria"/>
          <w:sz w:val="20"/>
          <w:szCs w:val="20"/>
          <w:lang w:val="es-AR"/>
        </w:rPr>
        <w:t>Precisa</w:t>
      </w:r>
      <w:r w:rsidR="008C4405" w:rsidRPr="00485ED5">
        <w:rPr>
          <w:rFonts w:ascii="Cambria" w:hAnsi="Cambria"/>
          <w:sz w:val="20"/>
          <w:szCs w:val="20"/>
          <w:lang w:val="es-AR"/>
        </w:rPr>
        <w:t xml:space="preserve"> que apeló </w:t>
      </w:r>
      <w:r w:rsidR="00083DDD" w:rsidRPr="00485ED5">
        <w:rPr>
          <w:rFonts w:ascii="Cambria" w:hAnsi="Cambria"/>
          <w:sz w:val="20"/>
          <w:szCs w:val="20"/>
          <w:lang w:val="es-AR"/>
        </w:rPr>
        <w:t xml:space="preserve">tal </w:t>
      </w:r>
      <w:r w:rsidR="008C4405" w:rsidRPr="00485ED5">
        <w:rPr>
          <w:rFonts w:ascii="Cambria" w:hAnsi="Cambria"/>
          <w:sz w:val="20"/>
          <w:szCs w:val="20"/>
          <w:lang w:val="es-AR"/>
        </w:rPr>
        <w:t>decisión</w:t>
      </w:r>
      <w:r w:rsidR="00083DDD" w:rsidRPr="00485ED5">
        <w:rPr>
          <w:rFonts w:ascii="Cambria" w:hAnsi="Cambria"/>
          <w:sz w:val="20"/>
          <w:szCs w:val="20"/>
          <w:lang w:val="es-AR"/>
        </w:rPr>
        <w:t>, pero,</w:t>
      </w:r>
      <w:r w:rsidR="008C4405" w:rsidRPr="00485ED5">
        <w:rPr>
          <w:rFonts w:ascii="Cambria" w:hAnsi="Cambria"/>
          <w:sz w:val="20"/>
          <w:szCs w:val="20"/>
          <w:lang w:val="es-AR"/>
        </w:rPr>
        <w:t xml:space="preserve"> que el 25 de julio de 2011 el Juzgado</w:t>
      </w:r>
      <w:r w:rsidR="00BF41B0" w:rsidRPr="00485ED5">
        <w:rPr>
          <w:rFonts w:ascii="Cambria" w:hAnsi="Cambria"/>
          <w:sz w:val="20"/>
          <w:szCs w:val="20"/>
          <w:lang w:val="es-AR"/>
        </w:rPr>
        <w:t xml:space="preserve"> </w:t>
      </w:r>
      <w:r w:rsidR="008C4405" w:rsidRPr="00485ED5">
        <w:rPr>
          <w:rFonts w:ascii="Cambria" w:hAnsi="Cambria"/>
          <w:sz w:val="20"/>
          <w:szCs w:val="20"/>
          <w:lang w:val="es-AR"/>
        </w:rPr>
        <w:t>Diecinueve Civil del Circuito de Bogotá confir</w:t>
      </w:r>
      <w:r w:rsidR="00773960">
        <w:rPr>
          <w:rFonts w:ascii="Cambria" w:hAnsi="Cambria"/>
          <w:sz w:val="20"/>
          <w:szCs w:val="20"/>
          <w:lang w:val="es-AR"/>
        </w:rPr>
        <w:t>mó la improcedencia del recurso</w:t>
      </w:r>
      <w:r w:rsidR="008C4405" w:rsidRPr="00485ED5">
        <w:rPr>
          <w:rFonts w:ascii="Cambria" w:hAnsi="Cambria"/>
          <w:sz w:val="20"/>
          <w:szCs w:val="20"/>
          <w:lang w:val="es-AR"/>
        </w:rPr>
        <w:t xml:space="preserve"> bajo los mismos argumentos.</w:t>
      </w:r>
    </w:p>
    <w:p w14:paraId="455217BD" w14:textId="0407143C" w:rsidR="00917C4C" w:rsidRPr="00DE2CBA" w:rsidRDefault="00773960" w:rsidP="00BF61D1">
      <w:pPr>
        <w:numPr>
          <w:ilvl w:val="0"/>
          <w:numId w:val="103"/>
        </w:numPr>
        <w:suppressAutoHyphens/>
        <w:spacing w:after="240"/>
        <w:jc w:val="both"/>
        <w:rPr>
          <w:rFonts w:ascii="Cambria" w:hAnsi="Cambria"/>
          <w:sz w:val="20"/>
          <w:szCs w:val="20"/>
          <w:lang w:val="es-AR"/>
        </w:rPr>
      </w:pPr>
      <w:r w:rsidRPr="00DE2CBA">
        <w:rPr>
          <w:rFonts w:ascii="Cambria" w:hAnsi="Cambria"/>
          <w:sz w:val="20"/>
          <w:szCs w:val="20"/>
          <w:lang w:val="es-AR"/>
        </w:rPr>
        <w:t>E</w:t>
      </w:r>
      <w:r w:rsidR="004655DF" w:rsidRPr="00DE2CBA">
        <w:rPr>
          <w:rFonts w:ascii="Cambria" w:hAnsi="Cambria"/>
          <w:sz w:val="20"/>
          <w:szCs w:val="20"/>
          <w:lang w:val="es-AR"/>
        </w:rPr>
        <w:t>l</w:t>
      </w:r>
      <w:r w:rsidR="00BF41B0" w:rsidRPr="00DE2CBA">
        <w:rPr>
          <w:rFonts w:ascii="Cambria" w:hAnsi="Cambria"/>
          <w:sz w:val="20"/>
          <w:szCs w:val="20"/>
          <w:lang w:val="es-AR"/>
        </w:rPr>
        <w:t xml:space="preserve"> citado juzgado remitió</w:t>
      </w:r>
      <w:r w:rsidR="008C4405" w:rsidRPr="00DE2CBA">
        <w:rPr>
          <w:rFonts w:ascii="Cambria" w:hAnsi="Cambria"/>
          <w:sz w:val="20"/>
          <w:szCs w:val="20"/>
          <w:lang w:val="es-AR"/>
        </w:rPr>
        <w:t xml:space="preserve"> </w:t>
      </w:r>
      <w:r w:rsidR="004655DF" w:rsidRPr="00DE2CBA">
        <w:rPr>
          <w:rFonts w:ascii="Cambria" w:hAnsi="Cambria"/>
          <w:sz w:val="20"/>
          <w:szCs w:val="20"/>
          <w:lang w:val="es-AR"/>
        </w:rPr>
        <w:t>el</w:t>
      </w:r>
      <w:r w:rsidR="00BF41B0" w:rsidRPr="00DE2CBA">
        <w:rPr>
          <w:rFonts w:ascii="Cambria" w:hAnsi="Cambria"/>
          <w:sz w:val="20"/>
          <w:szCs w:val="20"/>
          <w:lang w:val="es-AR"/>
        </w:rPr>
        <w:t xml:space="preserve"> expediente </w:t>
      </w:r>
      <w:r w:rsidR="008C4405" w:rsidRPr="00DE2CBA">
        <w:rPr>
          <w:rFonts w:ascii="Cambria" w:hAnsi="Cambria"/>
          <w:sz w:val="20"/>
          <w:szCs w:val="20"/>
          <w:lang w:val="es-AR"/>
        </w:rPr>
        <w:t>a la Corte Constitucional de Colombia</w:t>
      </w:r>
      <w:r w:rsidR="00AF4F6C">
        <w:rPr>
          <w:rFonts w:ascii="Cambria" w:hAnsi="Cambria"/>
          <w:sz w:val="20"/>
          <w:szCs w:val="20"/>
          <w:lang w:val="es-AR"/>
        </w:rPr>
        <w:t xml:space="preserve">, la cual, mediante sentencia del </w:t>
      </w:r>
      <w:r w:rsidR="008E313C" w:rsidRPr="00DE2CBA">
        <w:rPr>
          <w:rFonts w:ascii="Cambria" w:hAnsi="Cambria"/>
          <w:sz w:val="20"/>
          <w:szCs w:val="20"/>
          <w:lang w:val="es-AR"/>
        </w:rPr>
        <w:t>2</w:t>
      </w:r>
      <w:r w:rsidR="008C4405" w:rsidRPr="00DE2CBA">
        <w:rPr>
          <w:rFonts w:ascii="Cambria" w:hAnsi="Cambria"/>
          <w:sz w:val="20"/>
          <w:szCs w:val="20"/>
          <w:lang w:val="es-AR"/>
        </w:rPr>
        <w:t xml:space="preserve">4 de </w:t>
      </w:r>
      <w:r w:rsidR="008E313C" w:rsidRPr="00DE2CBA">
        <w:rPr>
          <w:rFonts w:ascii="Cambria" w:hAnsi="Cambria"/>
          <w:sz w:val="20"/>
          <w:szCs w:val="20"/>
          <w:lang w:val="es-AR"/>
        </w:rPr>
        <w:t>julio</w:t>
      </w:r>
      <w:r w:rsidR="008C4405" w:rsidRPr="00DE2CBA">
        <w:rPr>
          <w:rFonts w:ascii="Cambria" w:hAnsi="Cambria"/>
          <w:sz w:val="20"/>
          <w:szCs w:val="20"/>
          <w:lang w:val="es-AR"/>
        </w:rPr>
        <w:t xml:space="preserve"> de 2014</w:t>
      </w:r>
      <w:r w:rsidR="00AF4F6C">
        <w:rPr>
          <w:rFonts w:ascii="Cambria" w:hAnsi="Cambria"/>
          <w:sz w:val="20"/>
          <w:szCs w:val="20"/>
          <w:lang w:val="es-AR"/>
        </w:rPr>
        <w:t xml:space="preserve"> (</w:t>
      </w:r>
      <w:r w:rsidR="008C4405" w:rsidRPr="00DE2CBA">
        <w:rPr>
          <w:rFonts w:ascii="Cambria" w:hAnsi="Cambria"/>
          <w:sz w:val="20"/>
          <w:szCs w:val="20"/>
          <w:lang w:val="es-AR"/>
        </w:rPr>
        <w:t>SU-555</w:t>
      </w:r>
      <w:r w:rsidR="00AF4F6C">
        <w:rPr>
          <w:rFonts w:ascii="Cambria" w:hAnsi="Cambria"/>
          <w:sz w:val="20"/>
          <w:szCs w:val="20"/>
          <w:lang w:val="es-AR"/>
        </w:rPr>
        <w:t>)</w:t>
      </w:r>
      <w:r w:rsidR="008C4405" w:rsidRPr="00DE2CBA">
        <w:rPr>
          <w:rFonts w:ascii="Cambria" w:hAnsi="Cambria"/>
          <w:sz w:val="20"/>
          <w:szCs w:val="20"/>
          <w:lang w:val="es-AR"/>
        </w:rPr>
        <w:t>,</w:t>
      </w:r>
      <w:r w:rsidR="00162879" w:rsidRPr="00DE2CBA">
        <w:rPr>
          <w:rFonts w:ascii="Cambria" w:hAnsi="Cambria"/>
          <w:sz w:val="20"/>
          <w:szCs w:val="20"/>
          <w:lang w:val="es-AR"/>
        </w:rPr>
        <w:t xml:space="preserve"> </w:t>
      </w:r>
      <w:r w:rsidR="008C4405" w:rsidRPr="00DE2CBA">
        <w:rPr>
          <w:rFonts w:ascii="Cambria" w:hAnsi="Cambria"/>
          <w:sz w:val="20"/>
          <w:szCs w:val="20"/>
          <w:lang w:val="es-AR"/>
        </w:rPr>
        <w:t xml:space="preserve">analizó </w:t>
      </w:r>
      <w:r w:rsidRPr="00DE2CBA">
        <w:rPr>
          <w:rFonts w:ascii="Cambria" w:hAnsi="Cambria"/>
          <w:sz w:val="20"/>
          <w:szCs w:val="20"/>
          <w:lang w:val="es-AR"/>
        </w:rPr>
        <w:t>el</w:t>
      </w:r>
      <w:r w:rsidR="008C4405" w:rsidRPr="00DE2CBA">
        <w:rPr>
          <w:rFonts w:ascii="Cambria" w:hAnsi="Cambria"/>
          <w:sz w:val="20"/>
          <w:szCs w:val="20"/>
          <w:lang w:val="es-AR"/>
        </w:rPr>
        <w:t xml:space="preserve"> fondo </w:t>
      </w:r>
      <w:r w:rsidRPr="00DE2CBA">
        <w:rPr>
          <w:rFonts w:ascii="Cambria" w:hAnsi="Cambria"/>
          <w:sz w:val="20"/>
          <w:szCs w:val="20"/>
          <w:lang w:val="es-AR"/>
        </w:rPr>
        <w:t>d</w:t>
      </w:r>
      <w:r w:rsidR="008C4405" w:rsidRPr="00DE2CBA">
        <w:rPr>
          <w:rFonts w:ascii="Cambria" w:hAnsi="Cambria"/>
          <w:sz w:val="20"/>
          <w:szCs w:val="20"/>
          <w:lang w:val="es-AR"/>
        </w:rPr>
        <w:t xml:space="preserve">el asunto, </w:t>
      </w:r>
      <w:r w:rsidRPr="00DE2CBA">
        <w:rPr>
          <w:rFonts w:ascii="Cambria" w:hAnsi="Cambria"/>
          <w:sz w:val="20"/>
          <w:szCs w:val="20"/>
          <w:lang w:val="es-AR"/>
        </w:rPr>
        <w:t xml:space="preserve">y </w:t>
      </w:r>
      <w:r w:rsidR="008C4405" w:rsidRPr="00DE2CBA">
        <w:rPr>
          <w:rFonts w:ascii="Cambria" w:hAnsi="Cambria"/>
          <w:sz w:val="20"/>
          <w:szCs w:val="20"/>
          <w:lang w:val="es-AR"/>
        </w:rPr>
        <w:t xml:space="preserve">resolvió revocar la decisión </w:t>
      </w:r>
      <w:r w:rsidR="004655DF" w:rsidRPr="00DE2CBA">
        <w:rPr>
          <w:rFonts w:ascii="Cambria" w:hAnsi="Cambria"/>
          <w:sz w:val="20"/>
          <w:szCs w:val="20"/>
          <w:lang w:val="es-AR"/>
        </w:rPr>
        <w:t xml:space="preserve">de </w:t>
      </w:r>
      <w:r w:rsidR="00D76854" w:rsidRPr="00DE2CBA">
        <w:rPr>
          <w:rFonts w:ascii="Cambria" w:hAnsi="Cambria"/>
          <w:sz w:val="20"/>
          <w:szCs w:val="20"/>
          <w:lang w:val="es-AR"/>
        </w:rPr>
        <w:t>segunda</w:t>
      </w:r>
      <w:r w:rsidR="004655DF" w:rsidRPr="00DE2CBA">
        <w:rPr>
          <w:rFonts w:ascii="Cambria" w:hAnsi="Cambria"/>
          <w:sz w:val="20"/>
          <w:szCs w:val="20"/>
          <w:lang w:val="es-AR"/>
        </w:rPr>
        <w:t xml:space="preserve"> instancia</w:t>
      </w:r>
      <w:r w:rsidR="008C4405" w:rsidRPr="00DE2CBA">
        <w:rPr>
          <w:rFonts w:ascii="Cambria" w:hAnsi="Cambria"/>
          <w:sz w:val="20"/>
          <w:szCs w:val="20"/>
          <w:lang w:val="es-AR"/>
        </w:rPr>
        <w:t xml:space="preserve"> y decidió por cuestiones de fondo la</w:t>
      </w:r>
      <w:r w:rsidRPr="00DE2CBA">
        <w:rPr>
          <w:rFonts w:ascii="Cambria" w:hAnsi="Cambria"/>
          <w:sz w:val="20"/>
          <w:szCs w:val="20"/>
          <w:lang w:val="es-AR"/>
        </w:rPr>
        <w:t xml:space="preserve"> demanda de tutela. El peticionario explica que</w:t>
      </w:r>
      <w:r w:rsidR="008C4405" w:rsidRPr="00DE2CBA">
        <w:rPr>
          <w:rFonts w:ascii="Cambria" w:hAnsi="Cambria"/>
          <w:sz w:val="20"/>
          <w:szCs w:val="20"/>
          <w:lang w:val="es-AR"/>
        </w:rPr>
        <w:t xml:space="preserve"> </w:t>
      </w:r>
      <w:r w:rsidRPr="00DE2CBA">
        <w:rPr>
          <w:rFonts w:ascii="Cambria" w:hAnsi="Cambria"/>
          <w:sz w:val="20"/>
          <w:szCs w:val="20"/>
          <w:lang w:val="es-AR"/>
        </w:rPr>
        <w:t>la</w:t>
      </w:r>
      <w:r w:rsidR="008C4405" w:rsidRPr="00DE2CBA">
        <w:rPr>
          <w:rFonts w:ascii="Cambria" w:hAnsi="Cambria"/>
          <w:sz w:val="20"/>
          <w:szCs w:val="20"/>
          <w:lang w:val="es-AR"/>
        </w:rPr>
        <w:t xml:space="preserve"> Corte Constitucional consideró que </w:t>
      </w:r>
      <w:r w:rsidR="00AA5DCA" w:rsidRPr="00DE2CBA">
        <w:rPr>
          <w:rFonts w:ascii="Cambria" w:hAnsi="Cambria"/>
          <w:sz w:val="20"/>
          <w:szCs w:val="20"/>
          <w:lang w:val="es-AR"/>
        </w:rPr>
        <w:t xml:space="preserve">el Acto Legislativo </w:t>
      </w:r>
      <w:r w:rsidRPr="00DE2CBA">
        <w:rPr>
          <w:rFonts w:ascii="Cambria" w:hAnsi="Cambria"/>
          <w:sz w:val="20"/>
          <w:szCs w:val="20"/>
          <w:lang w:val="es-AR"/>
        </w:rPr>
        <w:t xml:space="preserve">No. </w:t>
      </w:r>
      <w:r w:rsidR="00AA5DCA" w:rsidRPr="00DE2CBA">
        <w:rPr>
          <w:rFonts w:ascii="Cambria" w:hAnsi="Cambria"/>
          <w:sz w:val="20"/>
          <w:szCs w:val="20"/>
          <w:lang w:val="es-AR"/>
        </w:rPr>
        <w:t xml:space="preserve">1 de 2005 determinó que después del 31 de julio de 2010 ya no podrán aplicarse ni disponerse reglas pensionales en los </w:t>
      </w:r>
      <w:r w:rsidR="00B056FB" w:rsidRPr="00DE2CBA">
        <w:rPr>
          <w:rFonts w:ascii="Cambria" w:hAnsi="Cambria"/>
          <w:sz w:val="20"/>
          <w:szCs w:val="20"/>
          <w:lang w:val="es-AR"/>
        </w:rPr>
        <w:t xml:space="preserve">pactos y convenciones colectivas. </w:t>
      </w:r>
      <w:r w:rsidR="004655DF" w:rsidRPr="00DE2CBA">
        <w:rPr>
          <w:rFonts w:ascii="Cambria" w:hAnsi="Cambria"/>
          <w:sz w:val="20"/>
          <w:szCs w:val="20"/>
          <w:lang w:val="es-AR"/>
        </w:rPr>
        <w:t xml:space="preserve">En base a ello, </w:t>
      </w:r>
      <w:r w:rsidR="00B056FB" w:rsidRPr="00DE2CBA">
        <w:rPr>
          <w:rFonts w:ascii="Cambria" w:hAnsi="Cambria"/>
          <w:sz w:val="20"/>
          <w:szCs w:val="20"/>
          <w:lang w:val="es-AR"/>
        </w:rPr>
        <w:t xml:space="preserve">al analizar el caso concreto, determinó que el 16 de octubre de 2010 el señor Infante cumplió el requisito para acceder a la pensión convencional, referido a contar con 25 años de servicios. No obstante, </w:t>
      </w:r>
      <w:r w:rsidR="00483623" w:rsidRPr="00DE2CBA">
        <w:rPr>
          <w:rFonts w:ascii="Cambria" w:hAnsi="Cambria"/>
          <w:sz w:val="20"/>
          <w:szCs w:val="20"/>
          <w:lang w:val="es-AR"/>
        </w:rPr>
        <w:t>consideró que</w:t>
      </w:r>
      <w:r w:rsidR="00BF61D1" w:rsidRPr="00DE2CBA">
        <w:rPr>
          <w:rFonts w:ascii="Cambria" w:hAnsi="Cambria"/>
          <w:sz w:val="20"/>
          <w:szCs w:val="20"/>
          <w:lang w:val="es-AR"/>
        </w:rPr>
        <w:t>:</w:t>
      </w:r>
      <w:r w:rsidR="00483623" w:rsidRPr="00DE2CBA">
        <w:rPr>
          <w:rFonts w:ascii="Cambria" w:hAnsi="Cambria"/>
          <w:sz w:val="20"/>
          <w:szCs w:val="20"/>
          <w:lang w:val="es-AR"/>
        </w:rPr>
        <w:t xml:space="preserve"> “</w:t>
      </w:r>
      <w:r w:rsidR="00483623" w:rsidRPr="00DE2CBA">
        <w:rPr>
          <w:rFonts w:ascii="Cambria" w:hAnsi="Cambria"/>
          <w:i/>
          <w:sz w:val="20"/>
          <w:szCs w:val="20"/>
          <w:lang w:val="es-CO"/>
        </w:rPr>
        <w:t xml:space="preserve">cuando se suscribió el acuerdo </w:t>
      </w:r>
      <w:r w:rsidR="002169A9" w:rsidRPr="00DE2CBA">
        <w:rPr>
          <w:rFonts w:ascii="Cambria" w:hAnsi="Cambria"/>
          <w:i/>
          <w:sz w:val="20"/>
          <w:szCs w:val="20"/>
          <w:lang w:val="es-CO"/>
        </w:rPr>
        <w:t>d</w:t>
      </w:r>
      <w:r w:rsidR="00483623" w:rsidRPr="00DE2CBA">
        <w:rPr>
          <w:rFonts w:ascii="Cambria" w:hAnsi="Cambria"/>
          <w:i/>
          <w:sz w:val="20"/>
          <w:szCs w:val="20"/>
          <w:lang w:val="es-CO"/>
        </w:rPr>
        <w:t>el 20 de mayo de 2009, ya esta</w:t>
      </w:r>
      <w:r w:rsidR="000A2F98" w:rsidRPr="00DE2CBA">
        <w:rPr>
          <w:rFonts w:ascii="Cambria" w:hAnsi="Cambria"/>
          <w:i/>
          <w:sz w:val="20"/>
          <w:szCs w:val="20"/>
          <w:lang w:val="es-CO"/>
        </w:rPr>
        <w:t xml:space="preserve">ba vigente el Acto Legislativo No. </w:t>
      </w:r>
      <w:r w:rsidR="00483623" w:rsidRPr="00DE2CBA">
        <w:rPr>
          <w:rFonts w:ascii="Cambria" w:hAnsi="Cambria"/>
          <w:i/>
          <w:sz w:val="20"/>
          <w:szCs w:val="20"/>
          <w:lang w:val="es-CO"/>
        </w:rPr>
        <w:t>1 de 2005, el cual, en el parágrafo 2, prohíbe expresamente que se consagren beneficios distintos a los establecidos en la Ley General de Pensiones</w:t>
      </w:r>
      <w:r w:rsidR="00483623" w:rsidRPr="00DE2CBA">
        <w:rPr>
          <w:rFonts w:ascii="Cambria" w:hAnsi="Cambria"/>
          <w:sz w:val="20"/>
          <w:szCs w:val="20"/>
          <w:lang w:val="es-CO"/>
        </w:rPr>
        <w:t xml:space="preserve">”. En razón a ello, </w:t>
      </w:r>
      <w:r w:rsidR="00B056FB" w:rsidRPr="00DE2CBA">
        <w:rPr>
          <w:rFonts w:ascii="Cambria" w:hAnsi="Cambria"/>
          <w:sz w:val="20"/>
          <w:szCs w:val="20"/>
          <w:lang w:val="es-AR"/>
        </w:rPr>
        <w:t>concluyó</w:t>
      </w:r>
      <w:r w:rsidR="003E09B4" w:rsidRPr="00DE2CBA">
        <w:rPr>
          <w:rFonts w:ascii="Cambria" w:hAnsi="Cambria"/>
          <w:sz w:val="20"/>
          <w:szCs w:val="20"/>
          <w:lang w:val="es-AR"/>
        </w:rPr>
        <w:t xml:space="preserve"> que la presunta víctima no contaba con un derecho adquirido ni con una expectativa legítima, “</w:t>
      </w:r>
      <w:r w:rsidR="003E09B4" w:rsidRPr="00DE2CBA">
        <w:rPr>
          <w:rFonts w:ascii="Cambria" w:hAnsi="Cambria"/>
          <w:i/>
          <w:sz w:val="20"/>
          <w:szCs w:val="20"/>
          <w:lang w:val="es-AR"/>
        </w:rPr>
        <w:t>en la medida que para el 31 de julio de 2010 tenía 24 años y 9 meses de servicio y para la fecha en que reunió los requisitos convencionales la cláusula relacionada con la prestación social se encontraba sin vigencia</w:t>
      </w:r>
      <w:r w:rsidR="003E09B4" w:rsidRPr="00DE2CBA">
        <w:rPr>
          <w:rFonts w:ascii="Cambria" w:hAnsi="Cambria"/>
          <w:sz w:val="20"/>
          <w:szCs w:val="20"/>
          <w:lang w:val="es-AR"/>
        </w:rPr>
        <w:t>”.</w:t>
      </w:r>
    </w:p>
    <w:p w14:paraId="79658326" w14:textId="77777777" w:rsidR="00483623" w:rsidRDefault="00E557A9" w:rsidP="00483623">
      <w:pPr>
        <w:numPr>
          <w:ilvl w:val="0"/>
          <w:numId w:val="103"/>
        </w:numPr>
        <w:suppressAutoHyphens/>
        <w:spacing w:after="240"/>
        <w:jc w:val="both"/>
        <w:rPr>
          <w:rFonts w:ascii="Cambria" w:hAnsi="Cambria"/>
          <w:color w:val="000000" w:themeColor="text1"/>
          <w:sz w:val="20"/>
          <w:szCs w:val="20"/>
          <w:lang w:val="es-AR"/>
        </w:rPr>
      </w:pPr>
      <w:r>
        <w:rPr>
          <w:rFonts w:ascii="Cambria" w:hAnsi="Cambria"/>
          <w:sz w:val="20"/>
          <w:szCs w:val="20"/>
          <w:lang w:val="es-AR"/>
        </w:rPr>
        <w:t>E</w:t>
      </w:r>
      <w:r w:rsidR="0007644F" w:rsidRPr="00683229">
        <w:rPr>
          <w:rFonts w:ascii="Cambria" w:hAnsi="Cambria"/>
          <w:sz w:val="20"/>
          <w:szCs w:val="20"/>
          <w:lang w:val="es-AR"/>
        </w:rPr>
        <w:t xml:space="preserve">l señor Infante </w:t>
      </w:r>
      <w:r w:rsidR="0042799C" w:rsidRPr="00683229">
        <w:rPr>
          <w:rFonts w:ascii="Cambria" w:hAnsi="Cambria"/>
          <w:sz w:val="20"/>
          <w:szCs w:val="20"/>
          <w:lang w:val="es-AR"/>
        </w:rPr>
        <w:t xml:space="preserve">explica </w:t>
      </w:r>
      <w:r>
        <w:rPr>
          <w:rFonts w:ascii="Cambria" w:hAnsi="Cambria"/>
          <w:sz w:val="20"/>
          <w:szCs w:val="20"/>
          <w:lang w:val="es-AR"/>
        </w:rPr>
        <w:t xml:space="preserve">además </w:t>
      </w:r>
      <w:r w:rsidR="0042799C" w:rsidRPr="00683229">
        <w:rPr>
          <w:rFonts w:ascii="Cambria" w:hAnsi="Cambria"/>
          <w:sz w:val="20"/>
          <w:szCs w:val="20"/>
          <w:lang w:val="es-AR"/>
        </w:rPr>
        <w:t>que la Corte Constitucional consideró que las recomendaciones emitidas por el Comité de Libertad Sindical de la OIT son compatibles con la normativa c</w:t>
      </w:r>
      <w:r>
        <w:rPr>
          <w:rFonts w:ascii="Cambria" w:hAnsi="Cambria"/>
          <w:sz w:val="20"/>
          <w:szCs w:val="20"/>
          <w:lang w:val="es-AR"/>
        </w:rPr>
        <w:t>uestionada, toda vez que el pará</w:t>
      </w:r>
      <w:r w:rsidRPr="00683229">
        <w:rPr>
          <w:rFonts w:ascii="Cambria" w:hAnsi="Cambria"/>
          <w:sz w:val="20"/>
          <w:szCs w:val="20"/>
          <w:lang w:val="es-AR"/>
        </w:rPr>
        <w:t>grafo</w:t>
      </w:r>
      <w:r w:rsidR="0042799C" w:rsidRPr="00683229">
        <w:rPr>
          <w:rFonts w:ascii="Cambria" w:hAnsi="Cambria"/>
          <w:sz w:val="20"/>
          <w:szCs w:val="20"/>
          <w:lang w:val="es-AR"/>
        </w:rPr>
        <w:t xml:space="preserve"> tercero de dicha ley protege tanto la situación de </w:t>
      </w:r>
      <w:r w:rsidR="00D76854" w:rsidRPr="00683229">
        <w:rPr>
          <w:rFonts w:ascii="Cambria" w:hAnsi="Cambria"/>
          <w:sz w:val="20"/>
          <w:szCs w:val="20"/>
          <w:shd w:val="clear" w:color="auto" w:fill="FFFFFF"/>
        </w:rPr>
        <w:t>quienes</w:t>
      </w:r>
      <w:r w:rsidR="0042799C" w:rsidRPr="00683229">
        <w:rPr>
          <w:rFonts w:ascii="Cambria" w:hAnsi="Cambria"/>
          <w:sz w:val="20"/>
          <w:szCs w:val="20"/>
          <w:shd w:val="clear" w:color="auto" w:fill="FFFFFF"/>
        </w:rPr>
        <w:t xml:space="preserve"> tenían derechos adquiridos provenientes de pactos o convenciones colectivas suscritas de forma previa, y de las personas que tenían </w:t>
      </w:r>
      <w:r w:rsidR="002169A9">
        <w:rPr>
          <w:rFonts w:ascii="Cambria" w:hAnsi="Cambria"/>
          <w:sz w:val="20"/>
          <w:szCs w:val="20"/>
          <w:shd w:val="clear" w:color="auto" w:fill="FFFFFF"/>
        </w:rPr>
        <w:t xml:space="preserve">la </w:t>
      </w:r>
      <w:r w:rsidR="0042799C" w:rsidRPr="00683229">
        <w:rPr>
          <w:rFonts w:ascii="Cambria" w:hAnsi="Cambria"/>
          <w:sz w:val="20"/>
          <w:szCs w:val="20"/>
          <w:shd w:val="clear" w:color="auto" w:fill="FFFFFF"/>
        </w:rPr>
        <w:t xml:space="preserve">expectativa legítima de acceder a un régimen previsional alternativo. </w:t>
      </w:r>
      <w:r w:rsidR="0007644F" w:rsidRPr="00683229">
        <w:rPr>
          <w:rFonts w:ascii="Cambria" w:hAnsi="Cambria"/>
          <w:sz w:val="20"/>
          <w:szCs w:val="20"/>
          <w:shd w:val="clear" w:color="auto" w:fill="FFFFFF"/>
        </w:rPr>
        <w:t>A</w:t>
      </w:r>
      <w:r w:rsidR="0042799C" w:rsidRPr="00683229">
        <w:rPr>
          <w:rFonts w:ascii="Cambria" w:hAnsi="Cambria"/>
          <w:sz w:val="20"/>
          <w:szCs w:val="20"/>
          <w:shd w:val="clear" w:color="auto" w:fill="FFFFFF"/>
        </w:rPr>
        <w:t xml:space="preserve"> juicio </w:t>
      </w:r>
      <w:r>
        <w:rPr>
          <w:rFonts w:ascii="Cambria" w:hAnsi="Cambria"/>
          <w:sz w:val="20"/>
          <w:szCs w:val="20"/>
          <w:shd w:val="clear" w:color="auto" w:fill="FFFFFF"/>
        </w:rPr>
        <w:t>de esta corporación de</w:t>
      </w:r>
      <w:r w:rsidR="0007644F" w:rsidRPr="00683229">
        <w:rPr>
          <w:rFonts w:ascii="Cambria" w:hAnsi="Cambria"/>
          <w:sz w:val="20"/>
          <w:szCs w:val="20"/>
          <w:shd w:val="clear" w:color="auto" w:fill="FFFFFF"/>
        </w:rPr>
        <w:t xml:space="preserve"> justicia</w:t>
      </w:r>
      <w:r w:rsidR="0042799C" w:rsidRPr="00683229">
        <w:rPr>
          <w:rFonts w:ascii="Cambria" w:hAnsi="Cambria"/>
          <w:sz w:val="20"/>
          <w:szCs w:val="20"/>
          <w:shd w:val="clear" w:color="auto" w:fill="FFFFFF"/>
        </w:rPr>
        <w:t xml:space="preserve">, </w:t>
      </w:r>
      <w:r w:rsidR="0007644F" w:rsidRPr="00683229">
        <w:rPr>
          <w:rFonts w:ascii="Cambria" w:hAnsi="Cambria"/>
          <w:sz w:val="20"/>
          <w:szCs w:val="20"/>
          <w:shd w:val="clear" w:color="auto" w:fill="FFFFFF"/>
        </w:rPr>
        <w:t xml:space="preserve">el interés de un trabajador que busca obtener el régimen especial de seguridad social, en virtud de una renovación de su convenio colectivo realizada entre la entrada en vigor del Acto Legislativo </w:t>
      </w:r>
      <w:r w:rsidR="005050C9">
        <w:rPr>
          <w:rFonts w:ascii="Cambria" w:hAnsi="Cambria"/>
          <w:sz w:val="20"/>
          <w:szCs w:val="20"/>
          <w:shd w:val="clear" w:color="auto" w:fill="FFFFFF"/>
        </w:rPr>
        <w:t xml:space="preserve">No. </w:t>
      </w:r>
      <w:r w:rsidR="0007644F" w:rsidRPr="00683229">
        <w:rPr>
          <w:rFonts w:ascii="Cambria" w:hAnsi="Cambria"/>
          <w:sz w:val="20"/>
          <w:szCs w:val="20"/>
          <w:shd w:val="clear" w:color="auto" w:fill="FFFFFF"/>
        </w:rPr>
        <w:t>1 de 2005 y el 31 de julio de 2010, no constituye una expectativa legítima al super</w:t>
      </w:r>
      <w:r w:rsidR="00483623">
        <w:rPr>
          <w:rFonts w:ascii="Cambria" w:hAnsi="Cambria"/>
          <w:sz w:val="20"/>
          <w:szCs w:val="20"/>
          <w:shd w:val="clear" w:color="auto" w:fill="FFFFFF"/>
        </w:rPr>
        <w:t>a</w:t>
      </w:r>
      <w:r w:rsidR="0007644F" w:rsidRPr="00683229">
        <w:rPr>
          <w:rFonts w:ascii="Cambria" w:hAnsi="Cambria"/>
          <w:sz w:val="20"/>
          <w:szCs w:val="20"/>
          <w:shd w:val="clear" w:color="auto" w:fill="FFFFFF"/>
        </w:rPr>
        <w:t xml:space="preserve">r la fecha límite </w:t>
      </w:r>
      <w:r w:rsidR="0007644F" w:rsidRPr="00483623">
        <w:rPr>
          <w:rFonts w:ascii="Cambria" w:hAnsi="Cambria"/>
          <w:sz w:val="20"/>
          <w:szCs w:val="20"/>
          <w:shd w:val="clear" w:color="auto" w:fill="FFFFFF"/>
        </w:rPr>
        <w:t>establecida en la nueva norma constitucional</w:t>
      </w:r>
      <w:r w:rsidR="00483623" w:rsidRPr="00483623">
        <w:rPr>
          <w:rFonts w:ascii="Cambria" w:hAnsi="Cambria"/>
          <w:sz w:val="20"/>
          <w:szCs w:val="20"/>
          <w:shd w:val="clear" w:color="auto" w:fill="FFFFFF"/>
        </w:rPr>
        <w:t>.</w:t>
      </w:r>
    </w:p>
    <w:p w14:paraId="466552AC" w14:textId="7CEB2387" w:rsidR="00A70C51" w:rsidRDefault="002169A9" w:rsidP="00483623">
      <w:pPr>
        <w:numPr>
          <w:ilvl w:val="0"/>
          <w:numId w:val="103"/>
        </w:numPr>
        <w:suppressAutoHyphens/>
        <w:spacing w:after="240"/>
        <w:jc w:val="both"/>
        <w:rPr>
          <w:rFonts w:ascii="Cambria" w:hAnsi="Cambria"/>
          <w:sz w:val="20"/>
          <w:szCs w:val="20"/>
          <w:lang w:val="es-AR"/>
        </w:rPr>
      </w:pPr>
      <w:r w:rsidRPr="00F45795">
        <w:rPr>
          <w:rFonts w:ascii="Cambria" w:hAnsi="Cambria"/>
          <w:sz w:val="20"/>
          <w:szCs w:val="20"/>
          <w:lang w:val="es-AR"/>
        </w:rPr>
        <w:t>En atención a las consideraciones precedentes</w:t>
      </w:r>
      <w:r w:rsidR="003E09B4" w:rsidRPr="00F45795">
        <w:rPr>
          <w:rFonts w:ascii="Cambria" w:hAnsi="Cambria"/>
          <w:sz w:val="20"/>
          <w:szCs w:val="20"/>
          <w:lang w:val="es-AR"/>
        </w:rPr>
        <w:t xml:space="preserve">, la </w:t>
      </w:r>
      <w:r w:rsidRPr="00F45795">
        <w:rPr>
          <w:rFonts w:ascii="Cambria" w:hAnsi="Cambria"/>
          <w:sz w:val="20"/>
          <w:szCs w:val="20"/>
          <w:lang w:val="es-AR"/>
        </w:rPr>
        <w:t>presunta víctima</w:t>
      </w:r>
      <w:r w:rsidR="003E09B4" w:rsidRPr="00F45795">
        <w:rPr>
          <w:rFonts w:ascii="Cambria" w:hAnsi="Cambria"/>
          <w:sz w:val="20"/>
          <w:szCs w:val="20"/>
          <w:lang w:val="es-AR"/>
        </w:rPr>
        <w:t xml:space="preserve"> denuncia </w:t>
      </w:r>
      <w:r w:rsidR="0039507C" w:rsidRPr="00F45795">
        <w:rPr>
          <w:rFonts w:ascii="Cambria" w:hAnsi="Cambria"/>
          <w:sz w:val="20"/>
          <w:szCs w:val="20"/>
          <w:lang w:val="es-AR"/>
        </w:rPr>
        <w:t>la violación de su</w:t>
      </w:r>
      <w:r w:rsidRPr="00F45795">
        <w:rPr>
          <w:rFonts w:ascii="Cambria" w:hAnsi="Cambria"/>
          <w:sz w:val="20"/>
          <w:szCs w:val="20"/>
          <w:lang w:val="es-AR"/>
        </w:rPr>
        <w:t xml:space="preserve"> derecho a igualdad y seguridad social, pues las autoridades dejaron</w:t>
      </w:r>
      <w:r w:rsidR="00483623" w:rsidRPr="00F45795">
        <w:rPr>
          <w:rFonts w:ascii="Cambria" w:hAnsi="Cambria"/>
          <w:sz w:val="20"/>
          <w:szCs w:val="20"/>
          <w:lang w:val="es-AR"/>
        </w:rPr>
        <w:t xml:space="preserve"> sin efectos </w:t>
      </w:r>
      <w:r w:rsidRPr="00F45795">
        <w:rPr>
          <w:rFonts w:ascii="Cambria" w:hAnsi="Cambria"/>
          <w:sz w:val="20"/>
          <w:szCs w:val="20"/>
          <w:lang w:val="es-AR"/>
        </w:rPr>
        <w:t xml:space="preserve">de forma </w:t>
      </w:r>
      <w:r w:rsidR="00483623" w:rsidRPr="00F45795">
        <w:rPr>
          <w:rFonts w:ascii="Cambria" w:hAnsi="Cambria"/>
          <w:sz w:val="20"/>
          <w:szCs w:val="20"/>
          <w:lang w:val="es-AR"/>
        </w:rPr>
        <w:t>unilater</w:t>
      </w:r>
      <w:r w:rsidR="00D76854" w:rsidRPr="00F45795">
        <w:rPr>
          <w:rFonts w:ascii="Cambria" w:hAnsi="Cambria"/>
          <w:sz w:val="20"/>
          <w:szCs w:val="20"/>
          <w:lang w:val="es-AR"/>
        </w:rPr>
        <w:t>a</w:t>
      </w:r>
      <w:r w:rsidRPr="00F45795">
        <w:rPr>
          <w:rFonts w:ascii="Cambria" w:hAnsi="Cambria"/>
          <w:sz w:val="20"/>
          <w:szCs w:val="20"/>
          <w:lang w:val="es-AR"/>
        </w:rPr>
        <w:t>l</w:t>
      </w:r>
      <w:r w:rsidR="00483623" w:rsidRPr="00F45795">
        <w:rPr>
          <w:rFonts w:ascii="Cambria" w:hAnsi="Cambria"/>
          <w:sz w:val="20"/>
          <w:szCs w:val="20"/>
          <w:lang w:val="es-AR"/>
        </w:rPr>
        <w:t xml:space="preserve"> la vigencia del convenio colectivo que le reconocía un </w:t>
      </w:r>
      <w:r w:rsidR="00D76854" w:rsidRPr="00F45795">
        <w:rPr>
          <w:rFonts w:ascii="Cambria" w:hAnsi="Cambria"/>
          <w:sz w:val="20"/>
          <w:szCs w:val="20"/>
          <w:lang w:val="es-AR"/>
        </w:rPr>
        <w:t>régimen</w:t>
      </w:r>
      <w:r w:rsidR="00483623" w:rsidRPr="00F45795">
        <w:rPr>
          <w:rFonts w:ascii="Cambria" w:hAnsi="Cambria"/>
          <w:sz w:val="20"/>
          <w:szCs w:val="20"/>
          <w:lang w:val="es-AR"/>
        </w:rPr>
        <w:t xml:space="preserve"> previsional alternativo</w:t>
      </w:r>
      <w:r w:rsidR="00D76854" w:rsidRPr="00F45795">
        <w:rPr>
          <w:rFonts w:ascii="Cambria" w:hAnsi="Cambria"/>
          <w:sz w:val="20"/>
          <w:szCs w:val="20"/>
          <w:lang w:val="es-AR"/>
        </w:rPr>
        <w:t xml:space="preserve">, </w:t>
      </w:r>
      <w:r w:rsidR="004529D1" w:rsidRPr="00F45795">
        <w:rPr>
          <w:rFonts w:ascii="Cambria" w:hAnsi="Cambria"/>
          <w:sz w:val="20"/>
          <w:szCs w:val="20"/>
          <w:lang w:val="es-AR"/>
        </w:rPr>
        <w:t xml:space="preserve">pero </w:t>
      </w:r>
      <w:r w:rsidR="00D76854" w:rsidRPr="00F45795">
        <w:rPr>
          <w:rFonts w:ascii="Cambria" w:hAnsi="Cambria"/>
          <w:sz w:val="20"/>
          <w:szCs w:val="20"/>
          <w:lang w:val="es-AR"/>
        </w:rPr>
        <w:t xml:space="preserve">manteniendo los sistemas de pensiones especiales de las fuerzas de seguridad y del </w:t>
      </w:r>
      <w:r w:rsidR="004529D1" w:rsidRPr="00F45795">
        <w:rPr>
          <w:rFonts w:ascii="Cambria" w:hAnsi="Cambria"/>
          <w:sz w:val="20"/>
          <w:szCs w:val="20"/>
          <w:lang w:val="es-AR"/>
        </w:rPr>
        <w:t>Presidente de la República</w:t>
      </w:r>
      <w:r w:rsidR="00483623" w:rsidRPr="00F45795">
        <w:rPr>
          <w:rFonts w:ascii="Cambria" w:hAnsi="Cambria"/>
          <w:sz w:val="20"/>
          <w:szCs w:val="20"/>
          <w:lang w:val="es-AR"/>
        </w:rPr>
        <w:t xml:space="preserve">. Asimismo, considera que la sentencia SU-555 de la Corte Constitucional de Colombia incumple las recomendaciones realizadas por el Comité Sindical de la OIT </w:t>
      </w:r>
      <w:r w:rsidR="005050C9" w:rsidRPr="00F45795">
        <w:rPr>
          <w:rFonts w:ascii="Cambria" w:hAnsi="Cambria"/>
          <w:sz w:val="20"/>
          <w:szCs w:val="20"/>
          <w:lang w:val="es-AR"/>
        </w:rPr>
        <w:t>en</w:t>
      </w:r>
      <w:r w:rsidR="00483623" w:rsidRPr="00F45795">
        <w:rPr>
          <w:rFonts w:ascii="Cambria" w:hAnsi="Cambria"/>
          <w:sz w:val="20"/>
          <w:szCs w:val="20"/>
          <w:lang w:val="es-AR"/>
        </w:rPr>
        <w:t xml:space="preserve"> el caso No. 2434.</w:t>
      </w:r>
      <w:r w:rsidR="00C94D96" w:rsidRPr="00F45795">
        <w:rPr>
          <w:rFonts w:ascii="Cambria" w:hAnsi="Cambria"/>
          <w:sz w:val="20"/>
          <w:szCs w:val="20"/>
          <w:highlight w:val="yellow"/>
          <w:lang w:val="es-AR"/>
        </w:rPr>
        <w:t xml:space="preserve"> </w:t>
      </w:r>
    </w:p>
    <w:p w14:paraId="63BEF457" w14:textId="77777777" w:rsidR="00D85499" w:rsidRPr="00F45795" w:rsidRDefault="00D85499" w:rsidP="00D85499">
      <w:pPr>
        <w:suppressAutoHyphens/>
        <w:spacing w:after="240"/>
        <w:ind w:left="720"/>
        <w:jc w:val="both"/>
        <w:rPr>
          <w:rFonts w:ascii="Cambria" w:hAnsi="Cambria"/>
          <w:sz w:val="20"/>
          <w:szCs w:val="20"/>
          <w:lang w:val="es-AR"/>
        </w:rPr>
      </w:pPr>
    </w:p>
    <w:p w14:paraId="382172B7" w14:textId="77777777" w:rsidR="007B1996" w:rsidRPr="007B1996" w:rsidRDefault="007B1996" w:rsidP="007B1996">
      <w:pPr>
        <w:numPr>
          <w:ilvl w:val="0"/>
          <w:numId w:val="103"/>
        </w:numPr>
        <w:suppressAutoHyphens/>
        <w:spacing w:after="240"/>
        <w:jc w:val="both"/>
        <w:rPr>
          <w:rFonts w:ascii="Cambria" w:hAnsi="Cambria"/>
          <w:sz w:val="20"/>
          <w:szCs w:val="20"/>
          <w:lang w:val="es-UY"/>
        </w:rPr>
      </w:pPr>
      <w:r w:rsidRPr="007B1996">
        <w:rPr>
          <w:rFonts w:ascii="Cambria" w:hAnsi="Cambria"/>
          <w:sz w:val="20"/>
          <w:szCs w:val="20"/>
          <w:lang w:val="es-AR"/>
        </w:rPr>
        <w:lastRenderedPageBreak/>
        <w:t xml:space="preserve">El Estado, por su parte, </w:t>
      </w:r>
      <w:r>
        <w:rPr>
          <w:rFonts w:ascii="Cambria" w:hAnsi="Cambria"/>
          <w:sz w:val="20"/>
          <w:szCs w:val="20"/>
        </w:rPr>
        <w:t>replica</w:t>
      </w:r>
      <w:r w:rsidRPr="007B1996">
        <w:rPr>
          <w:rFonts w:ascii="Cambria" w:hAnsi="Cambria"/>
          <w:sz w:val="20"/>
          <w:szCs w:val="20"/>
        </w:rPr>
        <w:t xml:space="preserve"> que la petición es inadmisible </w:t>
      </w:r>
      <w:r w:rsidR="0049613E">
        <w:rPr>
          <w:rFonts w:ascii="Cambria" w:hAnsi="Cambria"/>
          <w:sz w:val="20"/>
          <w:szCs w:val="20"/>
        </w:rPr>
        <w:t>por considerar que</w:t>
      </w:r>
      <w:r w:rsidRPr="007B1996">
        <w:rPr>
          <w:rFonts w:ascii="Cambria" w:hAnsi="Cambria"/>
          <w:sz w:val="20"/>
          <w:szCs w:val="20"/>
        </w:rPr>
        <w:t xml:space="preserve"> existe </w:t>
      </w:r>
      <w:r>
        <w:rPr>
          <w:rFonts w:ascii="Cambria" w:hAnsi="Cambria"/>
          <w:sz w:val="20"/>
          <w:szCs w:val="20"/>
        </w:rPr>
        <w:t>litispendencia internacional respecto al presente asunto.</w:t>
      </w:r>
      <w:r w:rsidRPr="007B1996">
        <w:rPr>
          <w:rFonts w:ascii="Cambria" w:hAnsi="Cambria"/>
          <w:sz w:val="20"/>
          <w:szCs w:val="20"/>
        </w:rPr>
        <w:t xml:space="preserve"> Arguye que los hechos denunciados </w:t>
      </w:r>
      <w:r>
        <w:rPr>
          <w:rFonts w:ascii="Cambria" w:hAnsi="Cambria"/>
          <w:sz w:val="20"/>
          <w:szCs w:val="20"/>
        </w:rPr>
        <w:t>se encuentran en etapa de seguimiento por parte del Comité de Libertad Sindical de la OIT, bajo el caso No. 2434</w:t>
      </w:r>
      <w:r w:rsidR="00DD25EE">
        <w:rPr>
          <w:rFonts w:ascii="Cambria" w:hAnsi="Cambria"/>
          <w:sz w:val="20"/>
          <w:szCs w:val="20"/>
        </w:rPr>
        <w:t>, por lo que</w:t>
      </w:r>
      <w:r w:rsidRPr="007B1996">
        <w:rPr>
          <w:rFonts w:ascii="Cambria" w:hAnsi="Cambria"/>
          <w:sz w:val="20"/>
          <w:szCs w:val="20"/>
        </w:rPr>
        <w:t xml:space="preserve"> conforme al artículo </w:t>
      </w:r>
      <w:r w:rsidR="00DD25EE">
        <w:rPr>
          <w:rFonts w:ascii="Cambria" w:hAnsi="Cambria"/>
          <w:sz w:val="20"/>
          <w:szCs w:val="20"/>
        </w:rPr>
        <w:t>47.d de la Convención Americana</w:t>
      </w:r>
      <w:r w:rsidRPr="007B1996">
        <w:rPr>
          <w:rFonts w:ascii="Cambria" w:hAnsi="Cambria"/>
          <w:sz w:val="20"/>
          <w:szCs w:val="20"/>
        </w:rPr>
        <w:t xml:space="preserve"> la CIDH no </w:t>
      </w:r>
      <w:r w:rsidR="00DD25EE">
        <w:rPr>
          <w:rFonts w:ascii="Cambria" w:hAnsi="Cambria"/>
          <w:sz w:val="20"/>
          <w:szCs w:val="20"/>
        </w:rPr>
        <w:t>podría</w:t>
      </w:r>
      <w:r w:rsidRPr="007B1996">
        <w:rPr>
          <w:rFonts w:ascii="Cambria" w:hAnsi="Cambria"/>
          <w:sz w:val="20"/>
          <w:szCs w:val="20"/>
        </w:rPr>
        <w:t xml:space="preserve"> conocer el presente asunto.</w:t>
      </w:r>
    </w:p>
    <w:p w14:paraId="763AB556" w14:textId="77777777" w:rsidR="00E5509F" w:rsidRPr="00F45795" w:rsidRDefault="007B1996" w:rsidP="00665771">
      <w:pPr>
        <w:numPr>
          <w:ilvl w:val="0"/>
          <w:numId w:val="103"/>
        </w:numPr>
        <w:suppressAutoHyphens/>
        <w:spacing w:after="240"/>
        <w:jc w:val="both"/>
        <w:rPr>
          <w:rFonts w:ascii="Cambria" w:hAnsi="Cambria"/>
          <w:sz w:val="20"/>
          <w:szCs w:val="20"/>
        </w:rPr>
      </w:pPr>
      <w:r w:rsidRPr="00F45795">
        <w:rPr>
          <w:rFonts w:ascii="Cambria" w:hAnsi="Cambria"/>
          <w:sz w:val="20"/>
          <w:szCs w:val="20"/>
          <w:lang w:val="es-UY"/>
        </w:rPr>
        <w:t>Adicionalmente, sostiene que los hechos denunciados no configuran una violación a los derechos humanos.</w:t>
      </w:r>
      <w:r w:rsidRPr="00F45795">
        <w:rPr>
          <w:rFonts w:ascii="Cambria" w:hAnsi="Cambria"/>
          <w:sz w:val="20"/>
          <w:szCs w:val="20"/>
        </w:rPr>
        <w:t xml:space="preserve"> </w:t>
      </w:r>
      <w:r w:rsidR="004529D1" w:rsidRPr="00F45795">
        <w:rPr>
          <w:rFonts w:ascii="Cambria" w:hAnsi="Cambria"/>
          <w:sz w:val="20"/>
          <w:szCs w:val="20"/>
        </w:rPr>
        <w:t xml:space="preserve">Enfatiza que el Acto Legislativo No. 1 de 2005 buscó homogenizar los requisitos para acceder a la pensión en Colombia, y así poder lograr la sostenibilidad financiera del mismo. </w:t>
      </w:r>
      <w:r w:rsidR="003F649B" w:rsidRPr="00F45795">
        <w:rPr>
          <w:rFonts w:ascii="Cambria" w:hAnsi="Cambria"/>
          <w:sz w:val="20"/>
          <w:szCs w:val="20"/>
        </w:rPr>
        <w:t xml:space="preserve">Señala que la Corte Constitucional de Colombia </w:t>
      </w:r>
      <w:r w:rsidR="00665771" w:rsidRPr="00F45795">
        <w:rPr>
          <w:rFonts w:ascii="Cambria" w:hAnsi="Cambria"/>
          <w:sz w:val="20"/>
          <w:szCs w:val="20"/>
        </w:rPr>
        <w:t xml:space="preserve">verificó que tal reforma constitucional tenía una finalidad legítima y, asimismo, </w:t>
      </w:r>
      <w:r w:rsidR="003F649B" w:rsidRPr="00F45795">
        <w:rPr>
          <w:rFonts w:ascii="Cambria" w:hAnsi="Cambria"/>
          <w:sz w:val="20"/>
          <w:szCs w:val="20"/>
        </w:rPr>
        <w:t>concluyó que protegió los derechos adquiridos y expectativas legítimas de los trabajadores</w:t>
      </w:r>
      <w:r w:rsidRPr="00F45795">
        <w:rPr>
          <w:rFonts w:ascii="Cambria" w:hAnsi="Cambria"/>
          <w:sz w:val="20"/>
          <w:szCs w:val="20"/>
        </w:rPr>
        <w:t>.</w:t>
      </w:r>
      <w:r w:rsidR="00665771" w:rsidRPr="00F45795">
        <w:rPr>
          <w:rFonts w:ascii="Cambria" w:hAnsi="Cambria"/>
          <w:sz w:val="20"/>
          <w:szCs w:val="20"/>
        </w:rPr>
        <w:t xml:space="preserve"> Asimismo, consideró que el convenio colectivo celebrado entre la </w:t>
      </w:r>
      <w:r w:rsidR="00665771" w:rsidRPr="00F45795">
        <w:rPr>
          <w:rFonts w:ascii="Cambria" w:hAnsi="Cambria"/>
          <w:sz w:val="20"/>
          <w:szCs w:val="20"/>
          <w:lang w:val="es-AR"/>
        </w:rPr>
        <w:t xml:space="preserve">asociación sindical ATELCA y la empresa prorrogó la cláusula que regulaba el régimen especial de jubilación de los trabajadores, dado que se no se señaló nada al respecto.  </w:t>
      </w:r>
      <w:r w:rsidR="00665771" w:rsidRPr="00F45795">
        <w:rPr>
          <w:rFonts w:ascii="Cambria" w:hAnsi="Cambria"/>
          <w:sz w:val="20"/>
          <w:szCs w:val="20"/>
        </w:rPr>
        <w:t>En base a ello, la Corte Constitucional</w:t>
      </w:r>
      <w:r w:rsidR="003F649B" w:rsidRPr="00F45795">
        <w:rPr>
          <w:rFonts w:ascii="Cambria" w:hAnsi="Cambria"/>
          <w:sz w:val="20"/>
          <w:szCs w:val="20"/>
        </w:rPr>
        <w:t xml:space="preserve"> determinó que no se vulneraron los derechos de la presunta víctima por la aplicación de la referida norma, pues cuando suscribió el acuerdo convencional</w:t>
      </w:r>
      <w:r w:rsidR="002169A9" w:rsidRPr="00F45795">
        <w:rPr>
          <w:rFonts w:ascii="Cambria" w:hAnsi="Cambria"/>
          <w:sz w:val="20"/>
          <w:szCs w:val="20"/>
        </w:rPr>
        <w:t xml:space="preserve"> del 2009</w:t>
      </w:r>
      <w:r w:rsidR="003F649B" w:rsidRPr="00F45795">
        <w:rPr>
          <w:rFonts w:ascii="Cambria" w:hAnsi="Cambria"/>
          <w:sz w:val="20"/>
          <w:szCs w:val="20"/>
        </w:rPr>
        <w:t xml:space="preserve">, ya se encontraba vigente la norma que prohibía el acuerdo de </w:t>
      </w:r>
      <w:r w:rsidR="004529D1" w:rsidRPr="00F45795">
        <w:rPr>
          <w:rFonts w:ascii="Cambria" w:hAnsi="Cambria"/>
          <w:sz w:val="20"/>
          <w:szCs w:val="20"/>
        </w:rPr>
        <w:t>cláusulas</w:t>
      </w:r>
      <w:r w:rsidR="003F649B" w:rsidRPr="00F45795">
        <w:rPr>
          <w:rFonts w:ascii="Cambria" w:hAnsi="Cambria"/>
          <w:sz w:val="20"/>
          <w:szCs w:val="20"/>
        </w:rPr>
        <w:t xml:space="preserve"> más favorables a las establecidas en el Sistema General de Pensiones. </w:t>
      </w:r>
    </w:p>
    <w:p w14:paraId="454BA2CC" w14:textId="77777777" w:rsidR="007B1996" w:rsidRPr="007B1996" w:rsidRDefault="003F649B" w:rsidP="007B1996">
      <w:pPr>
        <w:numPr>
          <w:ilvl w:val="0"/>
          <w:numId w:val="103"/>
        </w:numPr>
        <w:suppressAutoHyphens/>
        <w:spacing w:after="240"/>
        <w:jc w:val="both"/>
        <w:rPr>
          <w:rFonts w:ascii="Cambria" w:hAnsi="Cambria"/>
          <w:sz w:val="20"/>
          <w:szCs w:val="20"/>
          <w:lang w:val="es-UY"/>
        </w:rPr>
      </w:pPr>
      <w:r>
        <w:rPr>
          <w:rFonts w:ascii="Cambria" w:hAnsi="Cambria"/>
          <w:sz w:val="20"/>
          <w:szCs w:val="20"/>
        </w:rPr>
        <w:t>En ese sentido, argumenta que las pretensiones del señor Infante</w:t>
      </w:r>
      <w:r w:rsidR="007B1996">
        <w:rPr>
          <w:rFonts w:ascii="Cambria" w:hAnsi="Cambria"/>
          <w:sz w:val="20"/>
          <w:szCs w:val="20"/>
        </w:rPr>
        <w:t xml:space="preserve"> </w:t>
      </w:r>
      <w:r>
        <w:rPr>
          <w:rFonts w:ascii="Cambria" w:hAnsi="Cambria"/>
          <w:sz w:val="20"/>
          <w:szCs w:val="20"/>
        </w:rPr>
        <w:t xml:space="preserve">fueron resueltas mediante un proceso que contó con las debidas garantías judiciales, que terminó con un fallo acorde con las obligaciones internacionales del Estado en materia de derechos humanos. </w:t>
      </w:r>
      <w:r w:rsidR="007B1996" w:rsidRPr="00575265">
        <w:rPr>
          <w:rFonts w:ascii="Cambria" w:hAnsi="Cambria"/>
          <w:sz w:val="20"/>
          <w:szCs w:val="20"/>
        </w:rPr>
        <w:t>En razón a ello, solicita que la petición sea declarada inadmisible con fundamento en el artículo 47(b) de la Convención Americana toda vez que considera que la pretensión del peticionario es que la Comisión actúe como un tribunal de alzada, en contradicción de su naturaleza complementaria</w:t>
      </w:r>
    </w:p>
    <w:p w14:paraId="01B13E03" w14:textId="77777777" w:rsidR="003239B8" w:rsidRPr="00E64C3D" w:rsidRDefault="003239B8" w:rsidP="007B1996">
      <w:pPr>
        <w:suppressAutoHyphens/>
        <w:spacing w:after="240"/>
        <w:ind w:left="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eastAsia="es-ES"/>
        </w:rPr>
        <w:t>VI.</w:t>
      </w:r>
      <w:r w:rsidRPr="00E64C3D">
        <w:rPr>
          <w:rFonts w:asciiTheme="majorHAnsi" w:eastAsia="Cambria" w:hAnsiTheme="majorHAnsi" w:cs="Cambria"/>
          <w:b/>
          <w:bCs/>
          <w:color w:val="000000"/>
          <w:sz w:val="20"/>
          <w:szCs w:val="20"/>
          <w:u w:color="000000"/>
          <w:lang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rPr>
        <w:t>AGOTAMIENTO DE LOS RECURSOS INTERNOS Y PLAZO DE PRESENTACIÓN</w:t>
      </w:r>
      <w:r w:rsidR="00C21FEF" w:rsidRPr="00E64C3D">
        <w:rPr>
          <w:rFonts w:asciiTheme="majorHAnsi" w:eastAsia="Cambria" w:hAnsiTheme="majorHAnsi" w:cs="Cambria"/>
          <w:b/>
          <w:bCs/>
          <w:color w:val="000000"/>
          <w:sz w:val="20"/>
          <w:szCs w:val="20"/>
          <w:u w:color="000000"/>
          <w:lang w:eastAsia="es-ES"/>
        </w:rPr>
        <w:t xml:space="preserve"> </w:t>
      </w:r>
    </w:p>
    <w:p w14:paraId="07A49AA9" w14:textId="77777777" w:rsidR="00E21F47" w:rsidRDefault="00CC7B16" w:rsidP="00E21F47">
      <w:pPr>
        <w:numPr>
          <w:ilvl w:val="0"/>
          <w:numId w:val="103"/>
        </w:numPr>
        <w:suppressAutoHyphens/>
        <w:spacing w:after="240"/>
        <w:jc w:val="both"/>
        <w:rPr>
          <w:rFonts w:asciiTheme="majorHAnsi" w:hAnsiTheme="majorHAnsi"/>
          <w:bCs/>
          <w:sz w:val="20"/>
          <w:szCs w:val="20"/>
        </w:rPr>
      </w:pPr>
      <w:r w:rsidRPr="00CC7B16">
        <w:rPr>
          <w:rFonts w:asciiTheme="majorHAnsi" w:hAnsiTheme="majorHAnsi"/>
          <w:bCs/>
          <w:sz w:val="20"/>
          <w:szCs w:val="20"/>
        </w:rPr>
        <w:t xml:space="preserve">La parte peticionaria sostiene que agotó los recursos de la jurisdicción interna con la decisión de la </w:t>
      </w:r>
      <w:r>
        <w:rPr>
          <w:rFonts w:asciiTheme="majorHAnsi" w:hAnsiTheme="majorHAnsi"/>
          <w:bCs/>
          <w:sz w:val="20"/>
          <w:szCs w:val="20"/>
        </w:rPr>
        <w:t>Corte Constitucional de Colombia</w:t>
      </w:r>
      <w:r w:rsidRPr="00CC7B16">
        <w:rPr>
          <w:rFonts w:asciiTheme="majorHAnsi" w:hAnsiTheme="majorHAnsi"/>
          <w:bCs/>
          <w:sz w:val="20"/>
          <w:szCs w:val="20"/>
        </w:rPr>
        <w:t xml:space="preserve"> del</w:t>
      </w:r>
      <w:r>
        <w:rPr>
          <w:rFonts w:asciiTheme="majorHAnsi" w:hAnsiTheme="majorHAnsi"/>
          <w:bCs/>
          <w:sz w:val="20"/>
          <w:szCs w:val="20"/>
        </w:rPr>
        <w:t xml:space="preserve"> 14 de octubre de 2014</w:t>
      </w:r>
      <w:r w:rsidRPr="00CC7B16">
        <w:rPr>
          <w:rFonts w:asciiTheme="majorHAnsi" w:hAnsiTheme="majorHAnsi"/>
          <w:bCs/>
          <w:sz w:val="20"/>
          <w:szCs w:val="20"/>
        </w:rPr>
        <w:t>. Por su parte, el Estado no ha controvertido el agotamiento de los recursos internos ni ha hecho referencias al plazo de presentación de la petición. En atención a esto y a la información presente en el expediente, la Comisión concluye que la presente petición cumple con el requisito de agotamiento de los recursos internos de conformidad con el artículo 46.1.a</w:t>
      </w:r>
      <w:r w:rsidR="00E5509F">
        <w:rPr>
          <w:rFonts w:asciiTheme="majorHAnsi" w:hAnsiTheme="majorHAnsi"/>
          <w:bCs/>
          <w:sz w:val="20"/>
          <w:szCs w:val="20"/>
        </w:rPr>
        <w:t>)</w:t>
      </w:r>
      <w:r w:rsidRPr="00CC7B16">
        <w:rPr>
          <w:rFonts w:asciiTheme="majorHAnsi" w:hAnsiTheme="majorHAnsi"/>
          <w:bCs/>
          <w:sz w:val="20"/>
          <w:szCs w:val="20"/>
        </w:rPr>
        <w:t xml:space="preserve"> de la Convención Americana. </w:t>
      </w:r>
      <w:r w:rsidRPr="008E313C">
        <w:rPr>
          <w:rFonts w:asciiTheme="majorHAnsi" w:hAnsiTheme="majorHAnsi"/>
          <w:bCs/>
          <w:sz w:val="20"/>
          <w:szCs w:val="20"/>
        </w:rPr>
        <w:t xml:space="preserve">Asimismo, tomando en consideración que el agotamiento de los recursos internos se realizó </w:t>
      </w:r>
      <w:r w:rsidRPr="00E21F47">
        <w:rPr>
          <w:rFonts w:asciiTheme="majorHAnsi" w:hAnsiTheme="majorHAnsi"/>
          <w:bCs/>
          <w:sz w:val="20"/>
          <w:szCs w:val="20"/>
        </w:rPr>
        <w:t>mientras la petición se encontraba bajo estudio, considera que también se cumple con el plazo previsto por el artículo 46.1.b de la Convención Americana.</w:t>
      </w:r>
    </w:p>
    <w:p w14:paraId="50CE0742" w14:textId="77777777" w:rsidR="00E21F47" w:rsidRPr="00E21F47" w:rsidRDefault="00E21F47" w:rsidP="00E21F47">
      <w:pPr>
        <w:pStyle w:val="ListParagraph"/>
        <w:suppressAutoHyphens/>
        <w:spacing w:after="240"/>
        <w:jc w:val="both"/>
        <w:rPr>
          <w:rFonts w:asciiTheme="majorHAnsi" w:hAnsiTheme="majorHAnsi"/>
          <w:b/>
          <w:sz w:val="20"/>
          <w:szCs w:val="20"/>
          <w:lang w:val="es-ES"/>
        </w:rPr>
      </w:pPr>
      <w:r w:rsidRPr="00E21F47">
        <w:rPr>
          <w:rFonts w:asciiTheme="majorHAnsi" w:hAnsiTheme="majorHAnsi"/>
          <w:b/>
          <w:bCs/>
          <w:sz w:val="20"/>
          <w:szCs w:val="20"/>
          <w:lang w:val="es-ES"/>
        </w:rPr>
        <w:t>VII.</w:t>
      </w:r>
      <w:r w:rsidRPr="00E21F47">
        <w:rPr>
          <w:rFonts w:asciiTheme="majorHAnsi" w:hAnsiTheme="majorHAnsi"/>
          <w:b/>
          <w:bCs/>
          <w:sz w:val="20"/>
          <w:szCs w:val="20"/>
          <w:lang w:val="es-ES"/>
        </w:rPr>
        <w:tab/>
      </w:r>
      <w:r w:rsidRPr="00E21F47">
        <w:rPr>
          <w:rFonts w:asciiTheme="majorHAnsi" w:hAnsiTheme="majorHAnsi"/>
          <w:b/>
          <w:bCs/>
          <w:sz w:val="20"/>
          <w:szCs w:val="20"/>
          <w:lang w:val="es-ES_tradnl"/>
        </w:rPr>
        <w:t xml:space="preserve">ANÁLISIS DE </w:t>
      </w:r>
      <w:r w:rsidRPr="00E21F47">
        <w:rPr>
          <w:rFonts w:asciiTheme="majorHAnsi" w:hAnsiTheme="majorHAnsi"/>
          <w:b/>
          <w:bCs/>
          <w:sz w:val="20"/>
          <w:szCs w:val="20"/>
          <w:lang w:val="es-ES"/>
        </w:rPr>
        <w:t xml:space="preserve">CARACTERIZACIÓN </w:t>
      </w:r>
      <w:r w:rsidRPr="00E21F47">
        <w:rPr>
          <w:rFonts w:asciiTheme="majorHAnsi" w:hAnsiTheme="majorHAnsi"/>
          <w:b/>
          <w:bCs/>
          <w:sz w:val="20"/>
          <w:szCs w:val="20"/>
          <w:lang w:val="es-UY"/>
        </w:rPr>
        <w:t>DE LOS HECHOS ALEGADOS</w:t>
      </w:r>
    </w:p>
    <w:p w14:paraId="0AF952DA" w14:textId="681B5EE2" w:rsidR="00162E2B" w:rsidRPr="00EC6ED6" w:rsidRDefault="00E21F47" w:rsidP="00600797">
      <w:pPr>
        <w:numPr>
          <w:ilvl w:val="0"/>
          <w:numId w:val="103"/>
        </w:numPr>
        <w:suppressAutoHyphens/>
        <w:spacing w:after="240"/>
        <w:jc w:val="both"/>
        <w:rPr>
          <w:rFonts w:asciiTheme="majorHAnsi" w:hAnsiTheme="majorHAnsi"/>
          <w:sz w:val="20"/>
          <w:szCs w:val="20"/>
          <w:lang w:val="es-MX"/>
        </w:rPr>
      </w:pPr>
      <w:r w:rsidRPr="00EC6ED6">
        <w:rPr>
          <w:rFonts w:asciiTheme="majorHAnsi" w:hAnsiTheme="majorHAnsi"/>
          <w:sz w:val="20"/>
          <w:szCs w:val="20"/>
        </w:rPr>
        <w:t xml:space="preserve">La CIDH recuerda que en </w:t>
      </w:r>
      <w:r w:rsidR="00AF0E5A">
        <w:rPr>
          <w:rFonts w:asciiTheme="majorHAnsi" w:hAnsiTheme="majorHAnsi"/>
          <w:sz w:val="20"/>
          <w:szCs w:val="20"/>
        </w:rPr>
        <w:t>su</w:t>
      </w:r>
      <w:r w:rsidRPr="00EC6ED6">
        <w:rPr>
          <w:rFonts w:asciiTheme="majorHAnsi" w:hAnsiTheme="majorHAnsi"/>
          <w:sz w:val="20"/>
          <w:szCs w:val="20"/>
        </w:rPr>
        <w:t xml:space="preserve"> informe </w:t>
      </w:r>
      <w:r w:rsidR="00AF0E5A">
        <w:rPr>
          <w:rFonts w:asciiTheme="majorHAnsi" w:hAnsiTheme="majorHAnsi"/>
          <w:sz w:val="20"/>
          <w:szCs w:val="20"/>
        </w:rPr>
        <w:t>de admisibilidad 103/</w:t>
      </w:r>
      <w:r w:rsidR="009C2A4D" w:rsidRPr="00EC6ED6">
        <w:rPr>
          <w:rFonts w:asciiTheme="majorHAnsi" w:hAnsiTheme="majorHAnsi"/>
          <w:sz w:val="20"/>
          <w:szCs w:val="20"/>
        </w:rPr>
        <w:t>18</w:t>
      </w:r>
      <w:r w:rsidR="00AF0E5A">
        <w:rPr>
          <w:rFonts w:asciiTheme="majorHAnsi" w:hAnsiTheme="majorHAnsi"/>
          <w:sz w:val="20"/>
          <w:szCs w:val="20"/>
        </w:rPr>
        <w:t>, aprobado el 20 de septiembre de 2018,</w:t>
      </w:r>
      <w:r w:rsidR="009C2A4D" w:rsidRPr="00EC6ED6">
        <w:rPr>
          <w:rFonts w:asciiTheme="majorHAnsi" w:hAnsiTheme="majorHAnsi"/>
          <w:sz w:val="20"/>
          <w:szCs w:val="20"/>
        </w:rPr>
        <w:t xml:space="preserve"> declaró admisible una petición interpuesta por diversos sindicatos, a efectos de analizar si la prohibición establecida en el Acto Legislativo 001/2005 de ejercer la negociación colectiva en materia de seguridad social resulta</w:t>
      </w:r>
      <w:r w:rsidR="00E555DA" w:rsidRPr="00EC6ED6">
        <w:rPr>
          <w:rFonts w:asciiTheme="majorHAnsi" w:hAnsiTheme="majorHAnsi"/>
          <w:sz w:val="20"/>
          <w:szCs w:val="20"/>
        </w:rPr>
        <w:t>n</w:t>
      </w:r>
      <w:r w:rsidR="009C2A4D" w:rsidRPr="00EC6ED6">
        <w:rPr>
          <w:rFonts w:asciiTheme="majorHAnsi" w:hAnsiTheme="majorHAnsi"/>
          <w:sz w:val="20"/>
          <w:szCs w:val="20"/>
        </w:rPr>
        <w:t xml:space="preserve"> contraria</w:t>
      </w:r>
      <w:r w:rsidR="00E555DA" w:rsidRPr="00EC6ED6">
        <w:rPr>
          <w:rFonts w:asciiTheme="majorHAnsi" w:hAnsiTheme="majorHAnsi"/>
          <w:sz w:val="20"/>
          <w:szCs w:val="20"/>
        </w:rPr>
        <w:t>s</w:t>
      </w:r>
      <w:r w:rsidR="009C2A4D" w:rsidRPr="00EC6ED6">
        <w:rPr>
          <w:rFonts w:asciiTheme="majorHAnsi" w:hAnsiTheme="majorHAnsi"/>
          <w:sz w:val="20"/>
          <w:szCs w:val="20"/>
        </w:rPr>
        <w:t xml:space="preserve"> a la Convención Americana. </w:t>
      </w:r>
      <w:r w:rsidR="00600797" w:rsidRPr="00EC6ED6">
        <w:rPr>
          <w:rFonts w:asciiTheme="majorHAnsi" w:hAnsiTheme="majorHAnsi"/>
          <w:sz w:val="20"/>
          <w:szCs w:val="20"/>
        </w:rPr>
        <w:t xml:space="preserve">La Comisión considera que la eventual resolución del </w:t>
      </w:r>
      <w:r w:rsidR="00AF4F6C">
        <w:rPr>
          <w:rFonts w:asciiTheme="majorHAnsi" w:hAnsiTheme="majorHAnsi"/>
          <w:sz w:val="20"/>
          <w:szCs w:val="20"/>
        </w:rPr>
        <w:t>presente</w:t>
      </w:r>
      <w:r w:rsidR="00600797" w:rsidRPr="00EC6ED6">
        <w:rPr>
          <w:rFonts w:asciiTheme="majorHAnsi" w:hAnsiTheme="majorHAnsi"/>
          <w:sz w:val="20"/>
          <w:szCs w:val="20"/>
        </w:rPr>
        <w:t xml:space="preserve"> caso se encuentra estrechamente vinculada con la controversia planteada en </w:t>
      </w:r>
      <w:r w:rsidR="00F45795" w:rsidRPr="00EC6ED6">
        <w:rPr>
          <w:rFonts w:asciiTheme="majorHAnsi" w:hAnsiTheme="majorHAnsi"/>
          <w:sz w:val="20"/>
          <w:szCs w:val="20"/>
        </w:rPr>
        <w:t>aquel</w:t>
      </w:r>
      <w:r w:rsidR="00600797" w:rsidRPr="00EC6ED6">
        <w:rPr>
          <w:rFonts w:asciiTheme="majorHAnsi" w:hAnsiTheme="majorHAnsi"/>
          <w:sz w:val="20"/>
          <w:szCs w:val="20"/>
        </w:rPr>
        <w:t xml:space="preserve"> informe</w:t>
      </w:r>
      <w:r w:rsidR="00AF4F6C">
        <w:rPr>
          <w:rFonts w:asciiTheme="majorHAnsi" w:hAnsiTheme="majorHAnsi"/>
          <w:sz w:val="20"/>
          <w:szCs w:val="20"/>
        </w:rPr>
        <w:t xml:space="preserve"> ya declarado admisible</w:t>
      </w:r>
      <w:r w:rsidR="00600797" w:rsidRPr="00EC6ED6">
        <w:rPr>
          <w:rFonts w:asciiTheme="majorHAnsi" w:hAnsiTheme="majorHAnsi"/>
          <w:sz w:val="20"/>
          <w:szCs w:val="20"/>
        </w:rPr>
        <w:t xml:space="preserve">, </w:t>
      </w:r>
      <w:r w:rsidR="00E555DA" w:rsidRPr="00EC6ED6">
        <w:rPr>
          <w:rFonts w:asciiTheme="majorHAnsi" w:hAnsiTheme="majorHAnsi"/>
          <w:sz w:val="20"/>
          <w:szCs w:val="20"/>
        </w:rPr>
        <w:t>toda vez</w:t>
      </w:r>
      <w:r w:rsidR="00162E2B" w:rsidRPr="00EC6ED6">
        <w:rPr>
          <w:rFonts w:asciiTheme="majorHAnsi" w:hAnsiTheme="majorHAnsi"/>
          <w:sz w:val="20"/>
          <w:szCs w:val="20"/>
        </w:rPr>
        <w:t xml:space="preserve"> que</w:t>
      </w:r>
      <w:r w:rsidR="00E555DA" w:rsidRPr="00EC6ED6">
        <w:rPr>
          <w:rFonts w:asciiTheme="majorHAnsi" w:hAnsiTheme="majorHAnsi"/>
          <w:sz w:val="20"/>
          <w:szCs w:val="20"/>
        </w:rPr>
        <w:t xml:space="preserve"> </w:t>
      </w:r>
      <w:r w:rsidR="00162E2B" w:rsidRPr="00EC6ED6">
        <w:rPr>
          <w:rFonts w:asciiTheme="majorHAnsi" w:hAnsiTheme="majorHAnsi"/>
          <w:sz w:val="20"/>
          <w:szCs w:val="20"/>
        </w:rPr>
        <w:t xml:space="preserve">el análisis respecto a </w:t>
      </w:r>
      <w:r w:rsidR="00600797" w:rsidRPr="00EC6ED6">
        <w:rPr>
          <w:rFonts w:asciiTheme="majorHAnsi" w:hAnsiTheme="majorHAnsi"/>
          <w:sz w:val="20"/>
          <w:szCs w:val="20"/>
        </w:rPr>
        <w:t>la compatibilidad de la referida</w:t>
      </w:r>
      <w:r w:rsidR="00162E2B" w:rsidRPr="00EC6ED6">
        <w:rPr>
          <w:rFonts w:asciiTheme="majorHAnsi" w:hAnsiTheme="majorHAnsi"/>
          <w:sz w:val="20"/>
          <w:szCs w:val="20"/>
        </w:rPr>
        <w:t xml:space="preserve"> reforma constitucional con el derecho a la negociación colectiva</w:t>
      </w:r>
      <w:r w:rsidR="0083127B" w:rsidRPr="00EC6ED6">
        <w:rPr>
          <w:rFonts w:asciiTheme="majorHAnsi" w:hAnsiTheme="majorHAnsi"/>
          <w:sz w:val="20"/>
          <w:szCs w:val="20"/>
        </w:rPr>
        <w:t xml:space="preserve"> en materia previsional</w:t>
      </w:r>
      <w:r w:rsidR="00162E2B" w:rsidRPr="00EC6ED6">
        <w:rPr>
          <w:rFonts w:asciiTheme="majorHAnsi" w:hAnsiTheme="majorHAnsi"/>
          <w:sz w:val="20"/>
          <w:szCs w:val="20"/>
        </w:rPr>
        <w:t xml:space="preserve"> permite determinar, con mayor certeza,</w:t>
      </w:r>
      <w:r w:rsidR="00600797" w:rsidRPr="00EC6ED6">
        <w:rPr>
          <w:rFonts w:asciiTheme="majorHAnsi" w:hAnsiTheme="majorHAnsi"/>
          <w:sz w:val="20"/>
          <w:szCs w:val="20"/>
        </w:rPr>
        <w:t xml:space="preserve"> si en la presente petición el</w:t>
      </w:r>
      <w:r w:rsidR="00162E2B" w:rsidRPr="00EC6ED6">
        <w:rPr>
          <w:rFonts w:asciiTheme="majorHAnsi" w:hAnsiTheme="majorHAnsi"/>
          <w:sz w:val="20"/>
          <w:szCs w:val="20"/>
        </w:rPr>
        <w:t xml:space="preserve"> </w:t>
      </w:r>
      <w:r w:rsidR="00600797" w:rsidRPr="00EC6ED6">
        <w:rPr>
          <w:rFonts w:asciiTheme="majorHAnsi" w:hAnsiTheme="majorHAnsi"/>
          <w:sz w:val="20"/>
          <w:szCs w:val="20"/>
        </w:rPr>
        <w:t xml:space="preserve">cuestionado </w:t>
      </w:r>
      <w:r w:rsidR="00162E2B" w:rsidRPr="00EC6ED6">
        <w:rPr>
          <w:rFonts w:asciiTheme="majorHAnsi" w:hAnsiTheme="majorHAnsi"/>
          <w:sz w:val="20"/>
          <w:szCs w:val="20"/>
        </w:rPr>
        <w:t xml:space="preserve">cese unilateral del convenio colectivo </w:t>
      </w:r>
      <w:r w:rsidR="00600797" w:rsidRPr="00EC6ED6">
        <w:rPr>
          <w:rFonts w:asciiTheme="majorHAnsi" w:hAnsiTheme="majorHAnsi"/>
          <w:sz w:val="20"/>
          <w:szCs w:val="20"/>
        </w:rPr>
        <w:t>representó una afectación a</w:t>
      </w:r>
      <w:r w:rsidR="00162E2B" w:rsidRPr="00EC6ED6">
        <w:rPr>
          <w:rFonts w:asciiTheme="majorHAnsi" w:hAnsiTheme="majorHAnsi"/>
          <w:sz w:val="20"/>
          <w:szCs w:val="20"/>
        </w:rPr>
        <w:t xml:space="preserve"> los derechos de la presunta víctima</w:t>
      </w:r>
      <w:r w:rsidR="00600797" w:rsidRPr="00EC6ED6">
        <w:rPr>
          <w:rFonts w:asciiTheme="majorHAnsi" w:hAnsiTheme="majorHAnsi"/>
          <w:sz w:val="20"/>
          <w:szCs w:val="20"/>
        </w:rPr>
        <w:t xml:space="preserve">. </w:t>
      </w:r>
      <w:r w:rsidR="00162E2B" w:rsidRPr="00EC6ED6">
        <w:rPr>
          <w:rFonts w:asciiTheme="majorHAnsi" w:hAnsiTheme="majorHAnsi"/>
          <w:sz w:val="20"/>
          <w:szCs w:val="20"/>
        </w:rPr>
        <w:t xml:space="preserve"> </w:t>
      </w:r>
    </w:p>
    <w:p w14:paraId="19EC1E42" w14:textId="6E46F39D" w:rsidR="00E64C3D" w:rsidRPr="00AF0E5A" w:rsidRDefault="00162E2B" w:rsidP="009C2A4D">
      <w:pPr>
        <w:numPr>
          <w:ilvl w:val="0"/>
          <w:numId w:val="103"/>
        </w:numPr>
        <w:suppressAutoHyphens/>
        <w:spacing w:after="240"/>
        <w:jc w:val="both"/>
        <w:rPr>
          <w:rFonts w:asciiTheme="majorHAnsi" w:hAnsiTheme="majorHAnsi"/>
          <w:sz w:val="20"/>
          <w:szCs w:val="20"/>
          <w:lang w:val="es-MX"/>
        </w:rPr>
      </w:pPr>
      <w:r w:rsidRPr="00AF0E5A">
        <w:rPr>
          <w:rFonts w:asciiTheme="majorHAnsi" w:hAnsiTheme="majorHAnsi"/>
          <w:sz w:val="20"/>
          <w:szCs w:val="20"/>
          <w:lang w:val="es-MX"/>
        </w:rPr>
        <w:t>En atención a e</w:t>
      </w:r>
      <w:r w:rsidR="00A10DAF" w:rsidRPr="00AF0E5A">
        <w:rPr>
          <w:rFonts w:asciiTheme="majorHAnsi" w:hAnsiTheme="majorHAnsi"/>
          <w:sz w:val="20"/>
          <w:szCs w:val="20"/>
          <w:lang w:val="es-MX"/>
        </w:rPr>
        <w:t>stas consideraciones</w:t>
      </w:r>
      <w:r w:rsidR="0097070F">
        <w:rPr>
          <w:rFonts w:asciiTheme="majorHAnsi" w:hAnsiTheme="majorHAnsi"/>
          <w:sz w:val="20"/>
          <w:szCs w:val="20"/>
          <w:lang w:val="es-MX"/>
        </w:rPr>
        <w:t>, al precedente citado del informe de admisibilidad 103/18,</w:t>
      </w:r>
      <w:r w:rsidR="00A10DAF" w:rsidRPr="00AF0E5A">
        <w:rPr>
          <w:rFonts w:asciiTheme="majorHAnsi" w:hAnsiTheme="majorHAnsi"/>
          <w:sz w:val="20"/>
          <w:szCs w:val="20"/>
          <w:lang w:val="es-MX"/>
        </w:rPr>
        <w:t xml:space="preserve"> y tras examinar los elementos de hecho y de derecho expuestos por las partes, la Comisión estima que las alegaciones de la </w:t>
      </w:r>
      <w:r w:rsidR="009C2A4D" w:rsidRPr="00AF0E5A">
        <w:rPr>
          <w:rFonts w:asciiTheme="majorHAnsi" w:hAnsiTheme="majorHAnsi"/>
          <w:sz w:val="20"/>
          <w:szCs w:val="20"/>
          <w:lang w:val="es-MX"/>
        </w:rPr>
        <w:t>parte peticionaria, relativas al cese unilateral del convenio colectivo en razón de la promulgación del Acto Legislativo 0001/2005</w:t>
      </w:r>
      <w:r w:rsidR="00EC6ED6" w:rsidRPr="00AF0E5A">
        <w:rPr>
          <w:rFonts w:asciiTheme="majorHAnsi" w:hAnsiTheme="majorHAnsi"/>
          <w:sz w:val="20"/>
          <w:szCs w:val="20"/>
          <w:lang w:val="es-MX"/>
        </w:rPr>
        <w:t>,</w:t>
      </w:r>
      <w:r w:rsidR="00A10DAF" w:rsidRPr="00AF0E5A">
        <w:rPr>
          <w:rFonts w:asciiTheme="majorHAnsi" w:hAnsiTheme="majorHAnsi"/>
          <w:sz w:val="20"/>
          <w:szCs w:val="20"/>
          <w:lang w:val="es-MX"/>
        </w:rPr>
        <w:t xml:space="preserve"> no resultan manifiestamente infundadas y requieren un estudio de fondo pues los hechos alegados, de corroborarse como ciertos, podrían caracterizar violaciones a los artículos </w:t>
      </w:r>
      <w:r w:rsidR="009C2A4D" w:rsidRPr="00AF0E5A">
        <w:rPr>
          <w:rFonts w:asciiTheme="majorHAnsi" w:hAnsiTheme="majorHAnsi"/>
          <w:sz w:val="20"/>
          <w:szCs w:val="20"/>
          <w:lang w:val="es-MX"/>
        </w:rPr>
        <w:t>8</w:t>
      </w:r>
      <w:r w:rsidR="00A85C91">
        <w:rPr>
          <w:rFonts w:asciiTheme="majorHAnsi" w:hAnsiTheme="majorHAnsi"/>
          <w:sz w:val="20"/>
          <w:szCs w:val="20"/>
          <w:lang w:val="es-MX"/>
        </w:rPr>
        <w:t xml:space="preserve"> (garantías judiciales)</w:t>
      </w:r>
      <w:r w:rsidR="009C2A4D" w:rsidRPr="00AF0E5A">
        <w:rPr>
          <w:rFonts w:asciiTheme="majorHAnsi" w:hAnsiTheme="majorHAnsi"/>
          <w:sz w:val="20"/>
          <w:szCs w:val="20"/>
          <w:lang w:val="es-MX"/>
        </w:rPr>
        <w:t>, 16</w:t>
      </w:r>
      <w:r w:rsidR="00A85C91">
        <w:rPr>
          <w:rFonts w:asciiTheme="majorHAnsi" w:hAnsiTheme="majorHAnsi"/>
          <w:sz w:val="20"/>
          <w:szCs w:val="20"/>
          <w:lang w:val="es-MX"/>
        </w:rPr>
        <w:t xml:space="preserve"> (libertad de asociación)</w:t>
      </w:r>
      <w:r w:rsidR="009C2A4D" w:rsidRPr="00AF0E5A">
        <w:rPr>
          <w:rFonts w:asciiTheme="majorHAnsi" w:hAnsiTheme="majorHAnsi"/>
          <w:sz w:val="20"/>
          <w:szCs w:val="20"/>
          <w:lang w:val="es-MX"/>
        </w:rPr>
        <w:t xml:space="preserve">, </w:t>
      </w:r>
      <w:r w:rsidR="00AF0E5A">
        <w:rPr>
          <w:rFonts w:asciiTheme="majorHAnsi" w:hAnsiTheme="majorHAnsi"/>
          <w:sz w:val="20"/>
          <w:szCs w:val="20"/>
          <w:lang w:val="es-MX"/>
        </w:rPr>
        <w:t>21</w:t>
      </w:r>
      <w:r w:rsidR="00A85C91">
        <w:rPr>
          <w:rFonts w:asciiTheme="majorHAnsi" w:hAnsiTheme="majorHAnsi"/>
          <w:sz w:val="20"/>
          <w:szCs w:val="20"/>
          <w:lang w:val="es-MX"/>
        </w:rPr>
        <w:t xml:space="preserve"> (propiedad)</w:t>
      </w:r>
      <w:r w:rsidR="00AF0E5A">
        <w:rPr>
          <w:rFonts w:asciiTheme="majorHAnsi" w:hAnsiTheme="majorHAnsi"/>
          <w:sz w:val="20"/>
          <w:szCs w:val="20"/>
          <w:lang w:val="es-MX"/>
        </w:rPr>
        <w:t xml:space="preserve">, </w:t>
      </w:r>
      <w:r w:rsidR="009C2A4D" w:rsidRPr="00AF0E5A">
        <w:rPr>
          <w:rFonts w:asciiTheme="majorHAnsi" w:hAnsiTheme="majorHAnsi"/>
          <w:sz w:val="20"/>
          <w:szCs w:val="20"/>
          <w:lang w:val="es-MX"/>
        </w:rPr>
        <w:t>24</w:t>
      </w:r>
      <w:r w:rsidR="00A85C91">
        <w:rPr>
          <w:rFonts w:asciiTheme="majorHAnsi" w:hAnsiTheme="majorHAnsi"/>
          <w:sz w:val="20"/>
          <w:szCs w:val="20"/>
          <w:lang w:val="es-MX"/>
        </w:rPr>
        <w:t xml:space="preserve"> (igualdad ante la ley)</w:t>
      </w:r>
      <w:r w:rsidR="009C2A4D" w:rsidRPr="00AF0E5A">
        <w:rPr>
          <w:rFonts w:asciiTheme="majorHAnsi" w:hAnsiTheme="majorHAnsi"/>
          <w:sz w:val="20"/>
          <w:szCs w:val="20"/>
          <w:lang w:val="es-MX"/>
        </w:rPr>
        <w:t xml:space="preserve">, 25 </w:t>
      </w:r>
      <w:r w:rsidR="00A85C91">
        <w:rPr>
          <w:rFonts w:asciiTheme="majorHAnsi" w:hAnsiTheme="majorHAnsi"/>
          <w:sz w:val="20"/>
          <w:szCs w:val="20"/>
          <w:lang w:val="es-MX"/>
        </w:rPr>
        <w:t xml:space="preserve">(protección judicial) </w:t>
      </w:r>
      <w:r w:rsidR="009C2A4D" w:rsidRPr="00AF0E5A">
        <w:rPr>
          <w:rFonts w:asciiTheme="majorHAnsi" w:hAnsiTheme="majorHAnsi"/>
          <w:sz w:val="20"/>
          <w:szCs w:val="20"/>
          <w:lang w:val="es-MX"/>
        </w:rPr>
        <w:t xml:space="preserve">y 26 </w:t>
      </w:r>
      <w:r w:rsidR="00A85C91">
        <w:rPr>
          <w:rFonts w:asciiTheme="majorHAnsi" w:hAnsiTheme="majorHAnsi"/>
          <w:sz w:val="20"/>
          <w:szCs w:val="20"/>
          <w:lang w:val="es-MX"/>
        </w:rPr>
        <w:t xml:space="preserve">(derecho económicos, sociales y culturales) </w:t>
      </w:r>
      <w:r w:rsidR="009C2A4D" w:rsidRPr="00AF0E5A">
        <w:rPr>
          <w:rFonts w:asciiTheme="majorHAnsi" w:hAnsiTheme="majorHAnsi"/>
          <w:sz w:val="20"/>
          <w:szCs w:val="20"/>
          <w:lang w:val="es-MX"/>
        </w:rPr>
        <w:t xml:space="preserve">de la Convención Americana en relación </w:t>
      </w:r>
      <w:r w:rsidR="009C2A4D" w:rsidRPr="00AF0E5A">
        <w:rPr>
          <w:rFonts w:asciiTheme="majorHAnsi" w:hAnsiTheme="majorHAnsi"/>
          <w:sz w:val="20"/>
          <w:szCs w:val="20"/>
          <w:lang w:val="es-MX"/>
        </w:rPr>
        <w:lastRenderedPageBreak/>
        <w:t xml:space="preserve">con sus artículos 1.1 </w:t>
      </w:r>
      <w:r w:rsidR="00A85C91">
        <w:rPr>
          <w:rFonts w:asciiTheme="majorHAnsi" w:hAnsiTheme="majorHAnsi"/>
          <w:sz w:val="20"/>
          <w:szCs w:val="20"/>
          <w:lang w:val="es-MX"/>
        </w:rPr>
        <w:t xml:space="preserve">(obligación de respetar los derechos) </w:t>
      </w:r>
      <w:r w:rsidR="009C2A4D" w:rsidRPr="00AF0E5A">
        <w:rPr>
          <w:rFonts w:asciiTheme="majorHAnsi" w:hAnsiTheme="majorHAnsi"/>
          <w:sz w:val="20"/>
          <w:szCs w:val="20"/>
          <w:lang w:val="es-MX"/>
        </w:rPr>
        <w:t>y 2</w:t>
      </w:r>
      <w:r w:rsidR="00A85C91">
        <w:rPr>
          <w:rFonts w:asciiTheme="majorHAnsi" w:hAnsiTheme="majorHAnsi"/>
          <w:sz w:val="20"/>
          <w:szCs w:val="20"/>
          <w:lang w:val="es-MX"/>
        </w:rPr>
        <w:t xml:space="preserve"> (deber de adoptar disposiciones de derecho interno)</w:t>
      </w:r>
      <w:r w:rsidR="009C2A4D" w:rsidRPr="00AF0E5A">
        <w:rPr>
          <w:rFonts w:asciiTheme="majorHAnsi" w:hAnsiTheme="majorHAnsi"/>
          <w:sz w:val="20"/>
          <w:szCs w:val="20"/>
          <w:lang w:val="es-MX"/>
        </w:rPr>
        <w:t xml:space="preserve">; y el artículo 8 del Protocolo de San Salvador </w:t>
      </w:r>
      <w:r w:rsidR="00A10DAF" w:rsidRPr="00AF0E5A">
        <w:rPr>
          <w:rFonts w:asciiTheme="majorHAnsi" w:hAnsiTheme="majorHAnsi"/>
          <w:sz w:val="20"/>
          <w:szCs w:val="20"/>
          <w:lang w:val="es-MX"/>
        </w:rPr>
        <w:t xml:space="preserve">de San Salvador. </w:t>
      </w:r>
    </w:p>
    <w:p w14:paraId="12519223" w14:textId="77777777" w:rsidR="009C2A4D" w:rsidRPr="00F30783" w:rsidRDefault="009C2A4D" w:rsidP="009C2A4D">
      <w:pPr>
        <w:numPr>
          <w:ilvl w:val="0"/>
          <w:numId w:val="103"/>
        </w:numPr>
        <w:suppressAutoHyphens/>
        <w:spacing w:after="240"/>
        <w:jc w:val="both"/>
        <w:rPr>
          <w:rFonts w:ascii="Cambria" w:eastAsia="Arial Unicode MS" w:hAnsi="Cambria"/>
          <w:sz w:val="20"/>
          <w:szCs w:val="20"/>
          <w:lang w:val="es-US"/>
        </w:rPr>
      </w:pPr>
      <w:r w:rsidRPr="009C2A4D">
        <w:rPr>
          <w:rFonts w:ascii="Cambria" w:eastAsia="Arial Unicode MS" w:hAnsi="Cambria" w:cs="Cambria"/>
          <w:sz w:val="20"/>
          <w:szCs w:val="20"/>
          <w:lang w:val="es-US" w:eastAsia="es-ES"/>
        </w:rPr>
        <w:t xml:space="preserve">Respecto a los artículos </w:t>
      </w:r>
      <w:r>
        <w:rPr>
          <w:rFonts w:asciiTheme="majorHAnsi" w:eastAsia="Arial Unicode MS" w:hAnsiTheme="majorHAnsi"/>
          <w:bCs/>
          <w:sz w:val="20"/>
          <w:szCs w:val="20"/>
        </w:rPr>
        <w:t>5 (integridad personal)</w:t>
      </w:r>
      <w:r w:rsidRPr="009C2A4D">
        <w:rPr>
          <w:rFonts w:ascii="Cambria" w:hAnsi="Cambria"/>
          <w:bCs/>
          <w:sz w:val="20"/>
          <w:szCs w:val="20"/>
        </w:rPr>
        <w:t xml:space="preserve"> </w:t>
      </w:r>
      <w:r>
        <w:rPr>
          <w:rFonts w:ascii="Cambria" w:hAnsi="Cambria"/>
          <w:bCs/>
          <w:sz w:val="20"/>
          <w:szCs w:val="20"/>
        </w:rPr>
        <w:t>11 (protección de la honra y d</w:t>
      </w:r>
      <w:r w:rsidR="00AF0E5A">
        <w:rPr>
          <w:rFonts w:ascii="Cambria" w:hAnsi="Cambria"/>
          <w:bCs/>
          <w:sz w:val="20"/>
          <w:szCs w:val="20"/>
        </w:rPr>
        <w:t xml:space="preserve">ignidad) </w:t>
      </w:r>
      <w:r w:rsidRPr="009C2A4D">
        <w:rPr>
          <w:rFonts w:ascii="Cambria" w:eastAsia="Arial Unicode MS" w:hAnsi="Cambria" w:cs="Cambria"/>
          <w:sz w:val="20"/>
          <w:szCs w:val="20"/>
          <w:lang w:val="es-US" w:eastAsia="es-ES"/>
        </w:rPr>
        <w:t xml:space="preserve">de la Convención Americana, la CIDH considera que la parte peticionaria no ha presentado argumentos que permitan confirmar su vulneración. </w:t>
      </w:r>
    </w:p>
    <w:p w14:paraId="5E5FF91E" w14:textId="19C9E6BF" w:rsidR="0020118A" w:rsidRDefault="0020118A" w:rsidP="0020118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0118A">
        <w:rPr>
          <w:sz w:val="20"/>
          <w:szCs w:val="20"/>
          <w:lang w:val="es-ES"/>
        </w:rPr>
        <w:t xml:space="preserve">Por último, respecto del alegato del Estado sobre </w:t>
      </w:r>
      <w:r w:rsidRPr="0020118A">
        <w:rPr>
          <w:i/>
          <w:iCs/>
          <w:sz w:val="20"/>
          <w:szCs w:val="20"/>
          <w:lang w:val="es-ES"/>
        </w:rPr>
        <w:t>litis pendencia</w:t>
      </w:r>
      <w:r w:rsidRPr="0020118A">
        <w:rPr>
          <w:sz w:val="20"/>
          <w:szCs w:val="20"/>
          <w:lang w:val="es-ES"/>
        </w:rPr>
        <w:t xml:space="preserve"> internacional con</w:t>
      </w:r>
      <w:r>
        <w:rPr>
          <w:sz w:val="20"/>
          <w:szCs w:val="20"/>
          <w:lang w:val="es-ES"/>
        </w:rPr>
        <w:t xml:space="preserve"> </w:t>
      </w:r>
      <w:r w:rsidRPr="0020118A">
        <w:rPr>
          <w:sz w:val="20"/>
          <w:szCs w:val="20"/>
          <w:lang w:val="es-ES"/>
        </w:rPr>
        <w:t>fundamento en la existencia de un proceso ante la OIT, la Comisión observa que entre ambas denuncias no</w:t>
      </w:r>
      <w:r>
        <w:rPr>
          <w:sz w:val="20"/>
          <w:szCs w:val="20"/>
          <w:lang w:val="es-ES"/>
        </w:rPr>
        <w:t xml:space="preserve"> </w:t>
      </w:r>
      <w:r w:rsidRPr="0020118A">
        <w:rPr>
          <w:sz w:val="20"/>
          <w:szCs w:val="20"/>
          <w:lang w:val="es-ES"/>
        </w:rPr>
        <w:t>existe identidad de objeto y recuerda además que las posibilidades de “arreglo internacional”, referidas por el</w:t>
      </w:r>
      <w:r>
        <w:rPr>
          <w:sz w:val="20"/>
          <w:szCs w:val="20"/>
          <w:lang w:val="es-ES"/>
        </w:rPr>
        <w:t xml:space="preserve"> </w:t>
      </w:r>
      <w:r w:rsidRPr="0020118A">
        <w:rPr>
          <w:sz w:val="20"/>
          <w:szCs w:val="20"/>
          <w:lang w:val="es-ES"/>
        </w:rPr>
        <w:t>artículo 46.1.c</w:t>
      </w:r>
      <w:r w:rsidR="0097070F">
        <w:rPr>
          <w:sz w:val="20"/>
          <w:szCs w:val="20"/>
          <w:lang w:val="es-ES"/>
        </w:rPr>
        <w:t>)</w:t>
      </w:r>
      <w:r w:rsidRPr="0020118A">
        <w:rPr>
          <w:sz w:val="20"/>
          <w:szCs w:val="20"/>
          <w:lang w:val="es-ES"/>
        </w:rPr>
        <w:t xml:space="preserve"> de la Convención, que ofrece el procedimiento ante el Comité de Libertad Sindical no son</w:t>
      </w:r>
      <w:r>
        <w:rPr>
          <w:sz w:val="20"/>
          <w:szCs w:val="20"/>
          <w:lang w:val="es-ES"/>
        </w:rPr>
        <w:t xml:space="preserve"> </w:t>
      </w:r>
      <w:r w:rsidRPr="0020118A">
        <w:rPr>
          <w:sz w:val="20"/>
          <w:szCs w:val="20"/>
          <w:lang w:val="es-ES"/>
        </w:rPr>
        <w:t>equivalentes a las que brinda el Sistema Interamericano de Derechos Humanos</w:t>
      </w:r>
      <w:r>
        <w:rPr>
          <w:rStyle w:val="FootnoteReference"/>
          <w:sz w:val="20"/>
          <w:szCs w:val="20"/>
          <w:lang w:val="es-ES"/>
        </w:rPr>
        <w:footnoteReference w:id="8"/>
      </w:r>
      <w:r w:rsidRPr="0020118A">
        <w:rPr>
          <w:sz w:val="20"/>
          <w:szCs w:val="20"/>
          <w:lang w:val="es-ES"/>
        </w:rPr>
        <w:t>. Por las razones expuestas, la</w:t>
      </w:r>
      <w:r>
        <w:rPr>
          <w:sz w:val="20"/>
          <w:szCs w:val="20"/>
          <w:lang w:val="es-ES"/>
        </w:rPr>
        <w:t xml:space="preserve"> </w:t>
      </w:r>
      <w:r w:rsidRPr="0020118A">
        <w:rPr>
          <w:sz w:val="20"/>
          <w:szCs w:val="20"/>
          <w:lang w:val="es-ES"/>
        </w:rPr>
        <w:t>Comisión considera que no es procedente la excepción alegada por el Estado.</w:t>
      </w:r>
    </w:p>
    <w:p w14:paraId="22E4DAC7"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0A9C6D4" w14:textId="77777777" w:rsidR="003239B8" w:rsidRPr="000419AD" w:rsidRDefault="003239B8" w:rsidP="003239B8">
      <w:pPr>
        <w:numPr>
          <w:ilvl w:val="0"/>
          <w:numId w:val="109"/>
        </w:numPr>
        <w:suppressAutoHyphens/>
        <w:spacing w:after="240"/>
        <w:jc w:val="both"/>
        <w:rPr>
          <w:rFonts w:ascii="Cambria" w:hAnsi="Cambria"/>
          <w:sz w:val="20"/>
          <w:szCs w:val="20"/>
        </w:rPr>
      </w:pPr>
      <w:r w:rsidRPr="003239B8">
        <w:rPr>
          <w:rFonts w:asciiTheme="majorHAnsi" w:hAnsiTheme="majorHAnsi"/>
          <w:sz w:val="20"/>
          <w:szCs w:val="20"/>
        </w:rPr>
        <w:t xml:space="preserve">Declarar admisible la presente petición en relación con </w:t>
      </w:r>
      <w:r w:rsidR="009C2A4D" w:rsidRPr="009C2A4D">
        <w:rPr>
          <w:rFonts w:asciiTheme="majorHAnsi" w:hAnsiTheme="majorHAnsi"/>
          <w:sz w:val="20"/>
          <w:szCs w:val="20"/>
          <w:lang w:val="es-MX"/>
        </w:rPr>
        <w:t xml:space="preserve">8, 16, </w:t>
      </w:r>
      <w:r w:rsidR="00AF0E5A">
        <w:rPr>
          <w:rFonts w:asciiTheme="majorHAnsi" w:hAnsiTheme="majorHAnsi"/>
          <w:sz w:val="20"/>
          <w:szCs w:val="20"/>
          <w:lang w:val="es-MX"/>
        </w:rPr>
        <w:t xml:space="preserve">21, </w:t>
      </w:r>
      <w:r w:rsidR="009C2A4D" w:rsidRPr="009C2A4D">
        <w:rPr>
          <w:rFonts w:asciiTheme="majorHAnsi" w:hAnsiTheme="majorHAnsi"/>
          <w:sz w:val="20"/>
          <w:szCs w:val="20"/>
          <w:lang w:val="es-MX"/>
        </w:rPr>
        <w:t>24, 25 y 26 de la</w:t>
      </w:r>
      <w:r w:rsidR="009C2A4D">
        <w:rPr>
          <w:rFonts w:asciiTheme="majorHAnsi" w:hAnsiTheme="majorHAnsi"/>
          <w:sz w:val="20"/>
          <w:szCs w:val="20"/>
          <w:lang w:val="es-MX"/>
        </w:rPr>
        <w:t xml:space="preserve"> </w:t>
      </w:r>
      <w:r w:rsidR="009C2A4D" w:rsidRPr="009C2A4D">
        <w:rPr>
          <w:rFonts w:asciiTheme="majorHAnsi" w:hAnsiTheme="majorHAnsi"/>
          <w:sz w:val="20"/>
          <w:szCs w:val="20"/>
          <w:lang w:val="es-MX"/>
        </w:rPr>
        <w:t>Convención Americana</w:t>
      </w:r>
      <w:r w:rsidR="009C2A4D">
        <w:rPr>
          <w:rFonts w:asciiTheme="majorHAnsi" w:hAnsiTheme="majorHAnsi"/>
          <w:sz w:val="20"/>
          <w:szCs w:val="20"/>
          <w:lang w:val="es-MX"/>
        </w:rPr>
        <w:t>, y el artículo 8 del Protocolo de San Salvador</w:t>
      </w:r>
      <w:r w:rsidR="00A758AA">
        <w:rPr>
          <w:rFonts w:asciiTheme="majorHAnsi" w:hAnsiTheme="majorHAnsi"/>
          <w:sz w:val="20"/>
          <w:szCs w:val="20"/>
        </w:rPr>
        <w:t>;</w:t>
      </w:r>
      <w:r w:rsidR="007B76D3">
        <w:rPr>
          <w:rFonts w:asciiTheme="majorHAnsi" w:hAnsiTheme="majorHAnsi"/>
          <w:sz w:val="20"/>
          <w:szCs w:val="20"/>
        </w:rPr>
        <w:t xml:space="preserve"> y</w:t>
      </w:r>
    </w:p>
    <w:p w14:paraId="4C3D983E" w14:textId="77777777" w:rsidR="000419AD" w:rsidRPr="00AF0E5A" w:rsidRDefault="000419AD" w:rsidP="00162E2B">
      <w:pPr>
        <w:pStyle w:val="ListParagraph"/>
        <w:numPr>
          <w:ilvl w:val="0"/>
          <w:numId w:val="109"/>
        </w:numPr>
        <w:jc w:val="both"/>
        <w:rPr>
          <w:rFonts w:eastAsia="Arial Unicode MS" w:cs="Times New Roman"/>
          <w:color w:val="auto"/>
          <w:sz w:val="20"/>
          <w:szCs w:val="20"/>
          <w:lang w:val="es-ES" w:eastAsia="en-US"/>
        </w:rPr>
      </w:pPr>
      <w:r w:rsidRPr="00AF0E5A">
        <w:rPr>
          <w:rFonts w:eastAsia="Arial Unicode MS" w:cs="Times New Roman"/>
          <w:color w:val="auto"/>
          <w:sz w:val="20"/>
          <w:szCs w:val="20"/>
          <w:lang w:val="es-ES" w:eastAsia="en-US"/>
        </w:rPr>
        <w:t>Declarar inadmisible la prese</w:t>
      </w:r>
      <w:r w:rsidR="009C2A4D" w:rsidRPr="00AF0E5A">
        <w:rPr>
          <w:rFonts w:eastAsia="Arial Unicode MS" w:cs="Times New Roman"/>
          <w:color w:val="auto"/>
          <w:sz w:val="20"/>
          <w:szCs w:val="20"/>
          <w:lang w:val="es-ES" w:eastAsia="en-US"/>
        </w:rPr>
        <w:t>nte petición en relación con</w:t>
      </w:r>
      <w:r w:rsidR="00AF0E5A">
        <w:rPr>
          <w:rFonts w:eastAsia="Arial Unicode MS" w:cs="Times New Roman"/>
          <w:color w:val="auto"/>
          <w:sz w:val="20"/>
          <w:szCs w:val="20"/>
          <w:lang w:val="es-ES" w:eastAsia="en-US"/>
        </w:rPr>
        <w:t xml:space="preserve"> 5 y 11 de la Convención Ame</w:t>
      </w:r>
      <w:r w:rsidR="009C2A4D" w:rsidRPr="00AF0E5A">
        <w:rPr>
          <w:rFonts w:eastAsia="Arial Unicode MS" w:cs="Times New Roman"/>
          <w:color w:val="auto"/>
          <w:sz w:val="20"/>
          <w:szCs w:val="20"/>
          <w:lang w:val="es-ES" w:eastAsia="en-US"/>
        </w:rPr>
        <w:t>ricana</w:t>
      </w:r>
      <w:r w:rsidR="00A758AA" w:rsidRPr="00AF0E5A">
        <w:rPr>
          <w:rFonts w:eastAsia="Arial Unicode MS" w:cs="Times New Roman"/>
          <w:color w:val="auto"/>
          <w:sz w:val="20"/>
          <w:szCs w:val="20"/>
          <w:lang w:val="es-ES" w:eastAsia="en-US"/>
        </w:rPr>
        <w:t>;</w:t>
      </w:r>
      <w:r w:rsidR="004A6A54" w:rsidRPr="00AF0E5A">
        <w:rPr>
          <w:rFonts w:eastAsia="Arial Unicode MS" w:cs="Times New Roman"/>
          <w:color w:val="auto"/>
          <w:sz w:val="20"/>
          <w:szCs w:val="20"/>
          <w:lang w:val="es-ES" w:eastAsia="en-US"/>
        </w:rPr>
        <w:t xml:space="preserve"> y</w:t>
      </w:r>
    </w:p>
    <w:p w14:paraId="72066B92" w14:textId="77777777" w:rsidR="000419AD" w:rsidRPr="000419AD" w:rsidRDefault="000419AD" w:rsidP="000419AD">
      <w:pPr>
        <w:pStyle w:val="ListParagraph"/>
        <w:rPr>
          <w:rFonts w:eastAsia="Arial Unicode MS" w:cs="Times New Roman"/>
          <w:color w:val="auto"/>
          <w:sz w:val="20"/>
          <w:szCs w:val="20"/>
          <w:lang w:val="es-ES" w:eastAsia="en-US"/>
        </w:rPr>
      </w:pPr>
    </w:p>
    <w:p w14:paraId="7B59B333" w14:textId="77777777" w:rsidR="004A6A54" w:rsidRPr="009B7794" w:rsidRDefault="004A6A54" w:rsidP="004A6A54">
      <w:pPr>
        <w:numPr>
          <w:ilvl w:val="0"/>
          <w:numId w:val="109"/>
        </w:numPr>
        <w:suppressAutoHyphens/>
        <w:spacing w:after="240"/>
        <w:jc w:val="both"/>
        <w:rPr>
          <w:rFonts w:asciiTheme="majorHAnsi" w:hAnsiTheme="majorHAnsi"/>
          <w:sz w:val="20"/>
          <w:szCs w:val="20"/>
        </w:rPr>
      </w:pPr>
      <w:r w:rsidRPr="009B7794">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p>
    <w:p w14:paraId="14229854" w14:textId="085D434A" w:rsidR="00D85499" w:rsidRPr="00A37B82" w:rsidRDefault="00D85499" w:rsidP="00D8549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E3A8897" w14:textId="77777777" w:rsidR="00D85499" w:rsidRPr="00A37B82" w:rsidRDefault="00D85499" w:rsidP="00D85499">
      <w:pPr>
        <w:suppressAutoHyphens/>
        <w:ind w:firstLine="720"/>
        <w:jc w:val="both"/>
        <w:rPr>
          <w:rFonts w:asciiTheme="majorHAnsi" w:hAnsiTheme="majorHAnsi" w:cs="Arial"/>
          <w:noProof/>
          <w:spacing w:val="-2"/>
          <w:sz w:val="20"/>
          <w:szCs w:val="20"/>
          <w:lang w:val="es-CL"/>
        </w:rPr>
      </w:pPr>
    </w:p>
    <w:p w14:paraId="68A3334A" w14:textId="77777777" w:rsidR="00722C9F" w:rsidRPr="00974491" w:rsidRDefault="00722C9F" w:rsidP="00974491">
      <w:pPr>
        <w:rPr>
          <w:rFonts w:ascii="Cambria" w:hAnsi="Cambria" w:cs="Calibri"/>
          <w:sz w:val="20"/>
          <w:szCs w:val="20"/>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80162" w14:textId="77777777" w:rsidR="00852897" w:rsidRDefault="00852897">
      <w:r>
        <w:separator/>
      </w:r>
    </w:p>
  </w:endnote>
  <w:endnote w:type="continuationSeparator" w:id="0">
    <w:p w14:paraId="7878A9D2" w14:textId="77777777" w:rsidR="00852897" w:rsidRDefault="0085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3BA4" w14:textId="77777777" w:rsidR="00C659DC" w:rsidRDefault="00C6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FF1B206"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659DC">
          <w:rPr>
            <w:noProof/>
            <w:sz w:val="16"/>
            <w:szCs w:val="22"/>
          </w:rPr>
          <w:t>1</w:t>
        </w:r>
        <w:r w:rsidRPr="00934A2C">
          <w:rPr>
            <w:noProof/>
            <w:sz w:val="16"/>
            <w:szCs w:val="22"/>
          </w:rPr>
          <w:fldChar w:fldCharType="end"/>
        </w:r>
      </w:p>
    </w:sdtContent>
  </w:sdt>
  <w:p w14:paraId="764782BE"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DBAA" w14:textId="77777777" w:rsidR="0070697F" w:rsidRPr="00934A2C" w:rsidRDefault="0070697F">
    <w:pPr>
      <w:pStyle w:val="Footer"/>
      <w:jc w:val="center"/>
      <w:rPr>
        <w:sz w:val="16"/>
        <w:szCs w:val="22"/>
      </w:rPr>
    </w:pPr>
  </w:p>
  <w:p w14:paraId="3D2DE25F"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8B6DE" w14:textId="77777777" w:rsidR="00852897" w:rsidRPr="000F35ED" w:rsidRDefault="0085289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5A984E" w14:textId="77777777" w:rsidR="00852897" w:rsidRPr="000F35ED" w:rsidRDefault="00852897" w:rsidP="000F35ED">
      <w:pPr>
        <w:rPr>
          <w:rFonts w:asciiTheme="majorHAnsi" w:hAnsiTheme="majorHAnsi"/>
          <w:sz w:val="16"/>
          <w:szCs w:val="16"/>
        </w:rPr>
      </w:pPr>
      <w:r w:rsidRPr="000F35ED">
        <w:rPr>
          <w:rFonts w:asciiTheme="majorHAnsi" w:hAnsiTheme="majorHAnsi"/>
          <w:sz w:val="16"/>
          <w:szCs w:val="16"/>
        </w:rPr>
        <w:separator/>
      </w:r>
    </w:p>
    <w:p w14:paraId="3D91CF5D" w14:textId="77777777" w:rsidR="00852897" w:rsidRPr="000F35ED" w:rsidRDefault="0085289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A9D07F6" w14:textId="77777777" w:rsidR="00852897" w:rsidRPr="000F35ED" w:rsidRDefault="00852897"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36104F0" w14:textId="77777777" w:rsidR="00FC362A" w:rsidRPr="007C3C6C" w:rsidRDefault="00FC362A" w:rsidP="00FC362A">
      <w:pPr>
        <w:pStyle w:val="FootnoteText"/>
        <w:ind w:firstLine="720"/>
        <w:jc w:val="both"/>
        <w:rPr>
          <w:rFonts w:ascii="Cambria" w:hAnsi="Cambria"/>
          <w:sz w:val="16"/>
          <w:szCs w:val="16"/>
          <w:lang w:val="es-ES"/>
        </w:rPr>
      </w:pPr>
      <w:r w:rsidRPr="007C3C6C">
        <w:rPr>
          <w:rStyle w:val="FootnoteReference"/>
          <w:rFonts w:ascii="Cambria" w:hAnsi="Cambria"/>
          <w:sz w:val="16"/>
          <w:szCs w:val="16"/>
        </w:rPr>
        <w:footnoteRef/>
      </w:r>
      <w:r w:rsidR="00CD38C1">
        <w:rPr>
          <w:rFonts w:ascii="Cambria" w:hAnsi="Cambria"/>
          <w:sz w:val="16"/>
          <w:szCs w:val="16"/>
          <w:lang w:val="es-ES"/>
        </w:rPr>
        <w:t xml:space="preserve"> </w:t>
      </w:r>
      <w:r w:rsidRPr="007C3C6C">
        <w:rPr>
          <w:rFonts w:ascii="Cambria" w:hAnsi="Cambria"/>
          <w:sz w:val="16"/>
          <w:szCs w:val="16"/>
          <w:lang w:val="es-ES"/>
        </w:rPr>
        <w:t xml:space="preserve">En adelante “la Convención Americana” o “la Convención”. </w:t>
      </w:r>
    </w:p>
  </w:footnote>
  <w:footnote w:id="3">
    <w:p w14:paraId="5C073D75" w14:textId="77777777" w:rsidR="008E3BFE" w:rsidRPr="00537490" w:rsidRDefault="008E3BFE" w:rsidP="00796AEF">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00CD38C1">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CCD9C47" w14:textId="77777777" w:rsidR="001F7737" w:rsidRPr="006D518B" w:rsidRDefault="001F7737" w:rsidP="006D518B">
      <w:pPr>
        <w:ind w:firstLine="720"/>
        <w:jc w:val="both"/>
        <w:rPr>
          <w:rFonts w:ascii="Cambria" w:hAnsi="Cambria"/>
          <w:sz w:val="16"/>
          <w:szCs w:val="16"/>
        </w:rPr>
      </w:pPr>
      <w:r w:rsidRPr="006D518B">
        <w:rPr>
          <w:rStyle w:val="FootnoteReference"/>
          <w:rFonts w:ascii="Cambria" w:hAnsi="Cambria"/>
          <w:sz w:val="16"/>
          <w:szCs w:val="16"/>
        </w:rPr>
        <w:footnoteRef/>
      </w:r>
      <w:r w:rsidRPr="006D518B">
        <w:rPr>
          <w:rFonts w:ascii="Cambria" w:hAnsi="Cambria"/>
          <w:sz w:val="16"/>
          <w:szCs w:val="16"/>
        </w:rPr>
        <w:t xml:space="preserve"> </w:t>
      </w:r>
      <w:r w:rsidR="006D518B" w:rsidRPr="006D518B">
        <w:rPr>
          <w:rFonts w:ascii="Cambria" w:hAnsi="Cambria" w:cs="Arial"/>
          <w:color w:val="000000"/>
          <w:sz w:val="16"/>
          <w:szCs w:val="16"/>
        </w:rPr>
        <w:t xml:space="preserve">Parágrafo 2º. </w:t>
      </w:r>
      <w:r w:rsidR="006D518B">
        <w:rPr>
          <w:rFonts w:ascii="Cambria" w:hAnsi="Cambria" w:cs="Arial"/>
          <w:color w:val="000000"/>
          <w:sz w:val="16"/>
          <w:szCs w:val="16"/>
        </w:rPr>
        <w:t>“</w:t>
      </w:r>
      <w:r w:rsidR="006D518B" w:rsidRPr="006D518B">
        <w:rPr>
          <w:rFonts w:ascii="Cambria" w:hAnsi="Cambria" w:cs="Arial"/>
          <w:color w:val="000000"/>
          <w:sz w:val="16"/>
          <w:szCs w:val="16"/>
        </w:rPr>
        <w:t>A partir de la vigencia del presente Acto Legislativo no podrán establecerse en pactos, convenciones colectivas de trabajo, laudos o acto jurídico alguno, condiciones pensionales diferentes a las establecidas en las leyes del Sistema General de Pensiones".</w:t>
      </w:r>
    </w:p>
  </w:footnote>
  <w:footnote w:id="5">
    <w:p w14:paraId="16F1236A" w14:textId="77777777" w:rsidR="006D518B" w:rsidRPr="006D518B" w:rsidRDefault="001F7737" w:rsidP="006D518B">
      <w:pPr>
        <w:ind w:firstLine="720"/>
        <w:rPr>
          <w:rFonts w:ascii="Cambria" w:hAnsi="Cambria"/>
          <w:i/>
          <w:iCs/>
          <w:color w:val="2D2D2D"/>
          <w:sz w:val="16"/>
          <w:szCs w:val="16"/>
          <w:shd w:val="clear" w:color="auto" w:fill="FFFFFF"/>
        </w:rPr>
      </w:pPr>
      <w:r w:rsidRPr="006D518B">
        <w:rPr>
          <w:rStyle w:val="FootnoteReference"/>
          <w:rFonts w:ascii="Cambria" w:hAnsi="Cambria"/>
          <w:sz w:val="16"/>
          <w:szCs w:val="16"/>
        </w:rPr>
        <w:footnoteRef/>
      </w:r>
      <w:r w:rsidRPr="006D518B">
        <w:rPr>
          <w:rFonts w:ascii="Cambria" w:hAnsi="Cambria"/>
          <w:sz w:val="16"/>
          <w:szCs w:val="16"/>
        </w:rPr>
        <w:t xml:space="preserve"> </w:t>
      </w:r>
      <w:r w:rsidR="006D518B" w:rsidRPr="006D518B">
        <w:rPr>
          <w:rFonts w:ascii="Cambria" w:hAnsi="Cambria" w:cs="Arial"/>
          <w:color w:val="000000"/>
          <w:sz w:val="16"/>
          <w:szCs w:val="16"/>
        </w:rPr>
        <w:t>Parágrafo transitorio 3º. “Las reglas de carácter pensional que rigen a la fecha de vigencia de este Acto Legislativo contenidas en pactos, convenciones colectivas de trabajo, laudos o acuerdos válidamente celebrados, se mantendrán por el término inicialmente estipulado. En los pactos, convenciones o laudos que se suscriban entre la vigencia de este Acto Legislativo y el 31 de julio de 2010, no podrán estipularse condiciones pensionales más favorables que las que se encuentren actualmente vigentes. En todo caso perderán vigencia el 31 de julio de 2010</w:t>
      </w:r>
    </w:p>
  </w:footnote>
  <w:footnote w:id="6">
    <w:p w14:paraId="3BE86842" w14:textId="77777777" w:rsidR="00B071B3" w:rsidRPr="006D518B" w:rsidRDefault="00B071B3" w:rsidP="006D518B">
      <w:pPr>
        <w:pStyle w:val="NormalWeb"/>
        <w:spacing w:before="0" w:beforeAutospacing="0" w:after="0" w:afterAutospacing="0"/>
        <w:ind w:firstLine="720"/>
        <w:jc w:val="both"/>
        <w:rPr>
          <w:rFonts w:ascii="Arial" w:hAnsi="Arial" w:cs="Arial"/>
          <w:color w:val="000000"/>
        </w:rPr>
      </w:pPr>
      <w:r w:rsidRPr="006D518B">
        <w:rPr>
          <w:rStyle w:val="FootnoteReference"/>
          <w:rFonts w:ascii="Cambria" w:hAnsi="Cambria"/>
          <w:sz w:val="16"/>
          <w:szCs w:val="16"/>
        </w:rPr>
        <w:footnoteRef/>
      </w:r>
      <w:r w:rsidRPr="006D518B">
        <w:rPr>
          <w:rFonts w:ascii="Cambria" w:hAnsi="Cambria"/>
          <w:sz w:val="16"/>
          <w:szCs w:val="16"/>
        </w:rPr>
        <w:t xml:space="preserve"> “</w:t>
      </w:r>
      <w:r w:rsidR="006D518B" w:rsidRPr="006D518B">
        <w:rPr>
          <w:rFonts w:ascii="Cambria" w:hAnsi="Cambria" w:cs="Arial"/>
          <w:color w:val="000000"/>
          <w:sz w:val="16"/>
          <w:szCs w:val="16"/>
        </w:rPr>
        <w:t>Parágrafo transitorio 2º. “Sin perjuicio de los derechos adquiridos, el régimen aplicable a los miembros de la Fuerza Pública y al Presidente de la República, y lo establecido en los parágrafos del presente artículo, la vigencia de los regímenes pensionales especiales, los exceptuados, así como cualquier otro distinto al establecido de manera permanente en las leyes del Sistema General de Pensiones</w:t>
      </w:r>
      <w:r w:rsidR="006D518B">
        <w:rPr>
          <w:rFonts w:ascii="Cambria" w:hAnsi="Cambria" w:cs="Arial"/>
          <w:color w:val="000000"/>
          <w:sz w:val="16"/>
          <w:szCs w:val="16"/>
        </w:rPr>
        <w:t xml:space="preserve"> </w:t>
      </w:r>
      <w:r w:rsidR="006D518B" w:rsidRPr="006D518B">
        <w:rPr>
          <w:rFonts w:ascii="Cambria" w:hAnsi="Cambria" w:cs="Arial"/>
          <w:color w:val="000000"/>
          <w:sz w:val="16"/>
          <w:szCs w:val="16"/>
        </w:rPr>
        <w:t>expirará el 31 de julio del año 2010".</w:t>
      </w:r>
      <w:r w:rsidR="006D518B">
        <w:rPr>
          <w:rFonts w:ascii="Arial" w:hAnsi="Arial" w:cs="Arial"/>
          <w:color w:val="000000"/>
        </w:rPr>
        <w:t> </w:t>
      </w:r>
    </w:p>
  </w:footnote>
  <w:footnote w:id="7">
    <w:p w14:paraId="5DF48225" w14:textId="77777777" w:rsidR="006D518B" w:rsidRPr="00483623" w:rsidRDefault="0007644F" w:rsidP="00483623">
      <w:pPr>
        <w:ind w:firstLine="720"/>
        <w:jc w:val="both"/>
        <w:rPr>
          <w:rFonts w:ascii="Cambria" w:hAnsi="Cambria"/>
          <w:color w:val="000000" w:themeColor="text1"/>
          <w:sz w:val="16"/>
          <w:szCs w:val="16"/>
        </w:rPr>
      </w:pPr>
      <w:r w:rsidRPr="006D518B">
        <w:rPr>
          <w:rStyle w:val="FootnoteReference"/>
          <w:rFonts w:ascii="Cambria" w:hAnsi="Cambria"/>
          <w:b/>
          <w:bCs/>
          <w:color w:val="000000" w:themeColor="text1"/>
          <w:sz w:val="16"/>
          <w:szCs w:val="16"/>
        </w:rPr>
        <w:footnoteRef/>
      </w:r>
      <w:r w:rsidRPr="006D518B">
        <w:rPr>
          <w:rFonts w:ascii="Cambria" w:hAnsi="Cambria"/>
          <w:b/>
          <w:bCs/>
          <w:color w:val="000000" w:themeColor="text1"/>
          <w:sz w:val="16"/>
          <w:szCs w:val="16"/>
        </w:rPr>
        <w:t xml:space="preserve"> </w:t>
      </w:r>
      <w:r w:rsidR="006D518B" w:rsidRPr="006D518B">
        <w:rPr>
          <w:rStyle w:val="Strong"/>
          <w:rFonts w:ascii="Cambria" w:hAnsi="Cambria"/>
          <w:b w:val="0"/>
          <w:bCs w:val="0"/>
          <w:color w:val="000000" w:themeColor="text1"/>
          <w:sz w:val="16"/>
          <w:szCs w:val="16"/>
          <w:shd w:val="clear" w:color="auto" w:fill="FFFFFF"/>
        </w:rPr>
        <w:t xml:space="preserve"> Comité de Libertad Sindical de la OIT. </w:t>
      </w:r>
      <w:r w:rsidR="006D518B">
        <w:rPr>
          <w:rFonts w:ascii="Cambria" w:hAnsi="Cambria"/>
          <w:color w:val="000000" w:themeColor="text1"/>
          <w:sz w:val="16"/>
          <w:szCs w:val="16"/>
          <w:shd w:val="clear" w:color="auto" w:fill="FFFFFF"/>
        </w:rPr>
        <w:t xml:space="preserve">Caso núm. 2434 (Colombia). Marzo 2008, párr. </w:t>
      </w:r>
      <w:r w:rsidR="006D518B" w:rsidRPr="006D518B">
        <w:rPr>
          <w:rFonts w:ascii="Cambria" w:hAnsi="Cambria"/>
          <w:color w:val="000000" w:themeColor="text1"/>
          <w:sz w:val="16"/>
          <w:szCs w:val="16"/>
          <w:shd w:val="clear" w:color="auto" w:fill="FFFFFF"/>
        </w:rPr>
        <w:t>671</w:t>
      </w:r>
      <w:r w:rsidR="00AD0743">
        <w:rPr>
          <w:rFonts w:ascii="Cambria" w:hAnsi="Cambria"/>
          <w:color w:val="000000" w:themeColor="text1"/>
          <w:sz w:val="16"/>
          <w:szCs w:val="16"/>
          <w:shd w:val="clear" w:color="auto" w:fill="FFFFFF"/>
        </w:rPr>
        <w:t xml:space="preserve">. </w:t>
      </w:r>
    </w:p>
    <w:p w14:paraId="08319AF0" w14:textId="77777777" w:rsidR="0007644F" w:rsidRPr="00F30783" w:rsidRDefault="0007644F" w:rsidP="00CD38C1">
      <w:pPr>
        <w:pStyle w:val="FootnoteText"/>
        <w:ind w:firstLine="720"/>
        <w:rPr>
          <w:lang w:val="es-US"/>
        </w:rPr>
      </w:pPr>
    </w:p>
  </w:footnote>
  <w:footnote w:id="8">
    <w:p w14:paraId="7211A654" w14:textId="77777777" w:rsidR="0020118A" w:rsidRPr="0020118A" w:rsidRDefault="0020118A" w:rsidP="00CD38C1">
      <w:pPr>
        <w:pStyle w:val="FootnoteText"/>
        <w:ind w:firstLine="720"/>
        <w:jc w:val="both"/>
        <w:rPr>
          <w:rFonts w:ascii="Cambria" w:hAnsi="Cambria"/>
          <w:sz w:val="16"/>
          <w:szCs w:val="16"/>
          <w:lang w:val="es-ES"/>
        </w:rPr>
      </w:pPr>
      <w:r w:rsidRPr="0020118A">
        <w:rPr>
          <w:rStyle w:val="FootnoteReference"/>
          <w:rFonts w:ascii="Cambria" w:hAnsi="Cambria"/>
          <w:sz w:val="16"/>
          <w:szCs w:val="16"/>
        </w:rPr>
        <w:footnoteRef/>
      </w:r>
      <w:r w:rsidRPr="0020118A">
        <w:rPr>
          <w:rFonts w:ascii="Cambria" w:hAnsi="Cambria"/>
          <w:sz w:val="16"/>
          <w:szCs w:val="16"/>
          <w:lang w:val="es-ES"/>
        </w:rPr>
        <w:t xml:space="preserve"> CIDH. Informe No. 41/16. Petición 142-04. Admisibilidad. José Tomás Tenorio Morales y Otros (Sindicato de Profesionales de la Educación Superior “Ervin Abarca Jiménez” de la Universidad Nacional de Ingeniería). Nicaragua, párr. 53</w:t>
      </w:r>
      <w:r>
        <w:rPr>
          <w:rFonts w:ascii="Cambria" w:hAnsi="Cambria"/>
          <w:sz w:val="16"/>
          <w:szCs w:val="16"/>
          <w:lang w:val="es-ES"/>
        </w:rPr>
        <w:t>; e Informe No. 103/18. Petición 703-07. Admisibilidad. Trabajadores de SINTRAISA, SINTRAISAGEN y SINTRACHIVOR. Colombia, párr.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D9048"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745081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1DA8"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7503FFB" wp14:editId="6CB3568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7C97F6" w14:textId="77777777" w:rsidR="00040C3A" w:rsidRPr="00EC7D62" w:rsidRDefault="00852897" w:rsidP="00A50FCF">
    <w:pPr>
      <w:pStyle w:val="Header"/>
      <w:tabs>
        <w:tab w:val="clear" w:pos="4320"/>
        <w:tab w:val="clear" w:pos="8640"/>
      </w:tabs>
      <w:jc w:val="center"/>
      <w:rPr>
        <w:sz w:val="22"/>
        <w:szCs w:val="22"/>
      </w:rPr>
    </w:pPr>
    <w:r>
      <w:rPr>
        <w:noProof/>
        <w:sz w:val="22"/>
        <w:szCs w:val="22"/>
        <w:bdr w:val="nil"/>
      </w:rPr>
      <w:pict w14:anchorId="370A5B6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AA017" w14:textId="77777777" w:rsidR="00C659DC" w:rsidRDefault="00C65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0644D4"/>
    <w:multiLevelType w:val="multilevel"/>
    <w:tmpl w:val="5574B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54E79"/>
    <w:rsid w:val="00057074"/>
    <w:rsid w:val="00063FF1"/>
    <w:rsid w:val="00065679"/>
    <w:rsid w:val="000716C5"/>
    <w:rsid w:val="00075E23"/>
    <w:rsid w:val="0007644F"/>
    <w:rsid w:val="00083DDD"/>
    <w:rsid w:val="00084261"/>
    <w:rsid w:val="0009344A"/>
    <w:rsid w:val="000A2F98"/>
    <w:rsid w:val="000A392E"/>
    <w:rsid w:val="000A575F"/>
    <w:rsid w:val="000C3830"/>
    <w:rsid w:val="000D05CB"/>
    <w:rsid w:val="000D10DB"/>
    <w:rsid w:val="000E5EB5"/>
    <w:rsid w:val="000F35ED"/>
    <w:rsid w:val="000F3D5B"/>
    <w:rsid w:val="00107131"/>
    <w:rsid w:val="0010736F"/>
    <w:rsid w:val="00113F73"/>
    <w:rsid w:val="00121CC2"/>
    <w:rsid w:val="00131425"/>
    <w:rsid w:val="00133EE5"/>
    <w:rsid w:val="00154634"/>
    <w:rsid w:val="00154875"/>
    <w:rsid w:val="00162879"/>
    <w:rsid w:val="00162E2B"/>
    <w:rsid w:val="00167A34"/>
    <w:rsid w:val="00170B0B"/>
    <w:rsid w:val="0018329D"/>
    <w:rsid w:val="001A34FF"/>
    <w:rsid w:val="001A7870"/>
    <w:rsid w:val="001B3A00"/>
    <w:rsid w:val="001C1B41"/>
    <w:rsid w:val="001D65EF"/>
    <w:rsid w:val="001E49E7"/>
    <w:rsid w:val="001F7201"/>
    <w:rsid w:val="001F7737"/>
    <w:rsid w:val="0020118A"/>
    <w:rsid w:val="002169A9"/>
    <w:rsid w:val="00223A29"/>
    <w:rsid w:val="002250A3"/>
    <w:rsid w:val="00230B6F"/>
    <w:rsid w:val="0023486F"/>
    <w:rsid w:val="00235217"/>
    <w:rsid w:val="00246D1F"/>
    <w:rsid w:val="00247403"/>
    <w:rsid w:val="00247542"/>
    <w:rsid w:val="00247EF9"/>
    <w:rsid w:val="00266B61"/>
    <w:rsid w:val="0026712A"/>
    <w:rsid w:val="002704DB"/>
    <w:rsid w:val="002A0AAE"/>
    <w:rsid w:val="002A5820"/>
    <w:rsid w:val="002A7958"/>
    <w:rsid w:val="002D2B26"/>
    <w:rsid w:val="002D3741"/>
    <w:rsid w:val="002D7EA2"/>
    <w:rsid w:val="002E187C"/>
    <w:rsid w:val="002E501D"/>
    <w:rsid w:val="002F4C0D"/>
    <w:rsid w:val="00302733"/>
    <w:rsid w:val="00314078"/>
    <w:rsid w:val="0031535D"/>
    <w:rsid w:val="003239B8"/>
    <w:rsid w:val="0033169F"/>
    <w:rsid w:val="00344977"/>
    <w:rsid w:val="00346C95"/>
    <w:rsid w:val="00356185"/>
    <w:rsid w:val="00360380"/>
    <w:rsid w:val="00363992"/>
    <w:rsid w:val="00367700"/>
    <w:rsid w:val="0037519E"/>
    <w:rsid w:val="00382358"/>
    <w:rsid w:val="00386CF0"/>
    <w:rsid w:val="0039507C"/>
    <w:rsid w:val="003B70FB"/>
    <w:rsid w:val="003C676B"/>
    <w:rsid w:val="003D3BC2"/>
    <w:rsid w:val="003E09B4"/>
    <w:rsid w:val="003E6CA1"/>
    <w:rsid w:val="003F649B"/>
    <w:rsid w:val="00405F9C"/>
    <w:rsid w:val="004065A8"/>
    <w:rsid w:val="004165C2"/>
    <w:rsid w:val="0042799C"/>
    <w:rsid w:val="00441ECB"/>
    <w:rsid w:val="00442677"/>
    <w:rsid w:val="00445193"/>
    <w:rsid w:val="004529D1"/>
    <w:rsid w:val="00462C1B"/>
    <w:rsid w:val="004655DF"/>
    <w:rsid w:val="00467B7E"/>
    <w:rsid w:val="00473BB4"/>
    <w:rsid w:val="00477592"/>
    <w:rsid w:val="00483623"/>
    <w:rsid w:val="00485ED5"/>
    <w:rsid w:val="00486F1C"/>
    <w:rsid w:val="004940B5"/>
    <w:rsid w:val="0049419D"/>
    <w:rsid w:val="0049613E"/>
    <w:rsid w:val="004A6A54"/>
    <w:rsid w:val="004C20D2"/>
    <w:rsid w:val="004C2312"/>
    <w:rsid w:val="004C4B62"/>
    <w:rsid w:val="004C54C9"/>
    <w:rsid w:val="004C767A"/>
    <w:rsid w:val="004D4ABA"/>
    <w:rsid w:val="004D6025"/>
    <w:rsid w:val="004E2649"/>
    <w:rsid w:val="004F1787"/>
    <w:rsid w:val="004F626F"/>
    <w:rsid w:val="00501399"/>
    <w:rsid w:val="005050C9"/>
    <w:rsid w:val="0050633D"/>
    <w:rsid w:val="00507BC4"/>
    <w:rsid w:val="005128E4"/>
    <w:rsid w:val="005133DB"/>
    <w:rsid w:val="00514504"/>
    <w:rsid w:val="00525560"/>
    <w:rsid w:val="00544C49"/>
    <w:rsid w:val="005516A1"/>
    <w:rsid w:val="005559EF"/>
    <w:rsid w:val="00563557"/>
    <w:rsid w:val="00564749"/>
    <w:rsid w:val="0057402A"/>
    <w:rsid w:val="005771D0"/>
    <w:rsid w:val="0059191A"/>
    <w:rsid w:val="005921FF"/>
    <w:rsid w:val="005A24ED"/>
    <w:rsid w:val="005A6D0E"/>
    <w:rsid w:val="005B52B0"/>
    <w:rsid w:val="005B6806"/>
    <w:rsid w:val="005C4225"/>
    <w:rsid w:val="005D38F9"/>
    <w:rsid w:val="005F0DAD"/>
    <w:rsid w:val="005F0F33"/>
    <w:rsid w:val="00600797"/>
    <w:rsid w:val="00600DEB"/>
    <w:rsid w:val="00627C9F"/>
    <w:rsid w:val="006311E9"/>
    <w:rsid w:val="00632354"/>
    <w:rsid w:val="00635421"/>
    <w:rsid w:val="00642810"/>
    <w:rsid w:val="00652333"/>
    <w:rsid w:val="00665771"/>
    <w:rsid w:val="0068009E"/>
    <w:rsid w:val="00683229"/>
    <w:rsid w:val="00692219"/>
    <w:rsid w:val="006A17D2"/>
    <w:rsid w:val="006A662E"/>
    <w:rsid w:val="006A73E6"/>
    <w:rsid w:val="006B2D5C"/>
    <w:rsid w:val="006C4EB1"/>
    <w:rsid w:val="006D518B"/>
    <w:rsid w:val="006E0166"/>
    <w:rsid w:val="006E2FFB"/>
    <w:rsid w:val="006E7B34"/>
    <w:rsid w:val="0070697F"/>
    <w:rsid w:val="0072199C"/>
    <w:rsid w:val="00722C9F"/>
    <w:rsid w:val="007253B8"/>
    <w:rsid w:val="0073741F"/>
    <w:rsid w:val="0076643F"/>
    <w:rsid w:val="00773960"/>
    <w:rsid w:val="00777F63"/>
    <w:rsid w:val="00796AEF"/>
    <w:rsid w:val="007A5817"/>
    <w:rsid w:val="007B05C4"/>
    <w:rsid w:val="007B1996"/>
    <w:rsid w:val="007B60E9"/>
    <w:rsid w:val="007B6CC3"/>
    <w:rsid w:val="007B76D3"/>
    <w:rsid w:val="007C3334"/>
    <w:rsid w:val="007D2B98"/>
    <w:rsid w:val="007E21BC"/>
    <w:rsid w:val="007E7C82"/>
    <w:rsid w:val="007F2AA1"/>
    <w:rsid w:val="007F588D"/>
    <w:rsid w:val="00800985"/>
    <w:rsid w:val="00803F1C"/>
    <w:rsid w:val="008040CC"/>
    <w:rsid w:val="0080600E"/>
    <w:rsid w:val="00814688"/>
    <w:rsid w:val="00817612"/>
    <w:rsid w:val="008244E3"/>
    <w:rsid w:val="0083127B"/>
    <w:rsid w:val="008338A4"/>
    <w:rsid w:val="00834D49"/>
    <w:rsid w:val="00837C45"/>
    <w:rsid w:val="00842734"/>
    <w:rsid w:val="00844730"/>
    <w:rsid w:val="008457C2"/>
    <w:rsid w:val="00852897"/>
    <w:rsid w:val="00857A82"/>
    <w:rsid w:val="00873836"/>
    <w:rsid w:val="00885737"/>
    <w:rsid w:val="00890650"/>
    <w:rsid w:val="0089234F"/>
    <w:rsid w:val="00897E12"/>
    <w:rsid w:val="008A7E0F"/>
    <w:rsid w:val="008B12F5"/>
    <w:rsid w:val="008C4405"/>
    <w:rsid w:val="008C5E2D"/>
    <w:rsid w:val="008D768D"/>
    <w:rsid w:val="008E313C"/>
    <w:rsid w:val="008E3759"/>
    <w:rsid w:val="008E3BFE"/>
    <w:rsid w:val="008F1912"/>
    <w:rsid w:val="0090270B"/>
    <w:rsid w:val="00902F82"/>
    <w:rsid w:val="009041DC"/>
    <w:rsid w:val="00911883"/>
    <w:rsid w:val="00917B5A"/>
    <w:rsid w:val="00917C4C"/>
    <w:rsid w:val="00920A58"/>
    <w:rsid w:val="00920A8C"/>
    <w:rsid w:val="00934A2C"/>
    <w:rsid w:val="0096706E"/>
    <w:rsid w:val="0097070F"/>
    <w:rsid w:val="00974491"/>
    <w:rsid w:val="00975C4E"/>
    <w:rsid w:val="00981FBA"/>
    <w:rsid w:val="00997BC5"/>
    <w:rsid w:val="009A3E09"/>
    <w:rsid w:val="009A4F41"/>
    <w:rsid w:val="009B381B"/>
    <w:rsid w:val="009C2A4D"/>
    <w:rsid w:val="009C4850"/>
    <w:rsid w:val="009C55B4"/>
    <w:rsid w:val="009D1753"/>
    <w:rsid w:val="009D7611"/>
    <w:rsid w:val="009E0B61"/>
    <w:rsid w:val="009E53DE"/>
    <w:rsid w:val="009E6615"/>
    <w:rsid w:val="00A10DAF"/>
    <w:rsid w:val="00A11212"/>
    <w:rsid w:val="00A11E44"/>
    <w:rsid w:val="00A30100"/>
    <w:rsid w:val="00A328B3"/>
    <w:rsid w:val="00A50FCF"/>
    <w:rsid w:val="00A528D1"/>
    <w:rsid w:val="00A610CD"/>
    <w:rsid w:val="00A70C51"/>
    <w:rsid w:val="00A758AA"/>
    <w:rsid w:val="00A85C91"/>
    <w:rsid w:val="00AA09A2"/>
    <w:rsid w:val="00AA5DCA"/>
    <w:rsid w:val="00AA7996"/>
    <w:rsid w:val="00AC19CB"/>
    <w:rsid w:val="00AC4521"/>
    <w:rsid w:val="00AC59E5"/>
    <w:rsid w:val="00AC6FE2"/>
    <w:rsid w:val="00AD0743"/>
    <w:rsid w:val="00AD29BA"/>
    <w:rsid w:val="00AE5488"/>
    <w:rsid w:val="00AE6F91"/>
    <w:rsid w:val="00AF0E5A"/>
    <w:rsid w:val="00AF4F6C"/>
    <w:rsid w:val="00AF5571"/>
    <w:rsid w:val="00B056FB"/>
    <w:rsid w:val="00B071B3"/>
    <w:rsid w:val="00B07341"/>
    <w:rsid w:val="00B14A7D"/>
    <w:rsid w:val="00B30539"/>
    <w:rsid w:val="00B314DB"/>
    <w:rsid w:val="00B361F2"/>
    <w:rsid w:val="00B3718B"/>
    <w:rsid w:val="00B3745F"/>
    <w:rsid w:val="00B462DA"/>
    <w:rsid w:val="00B4632A"/>
    <w:rsid w:val="00B50FB1"/>
    <w:rsid w:val="00B530F1"/>
    <w:rsid w:val="00B6172C"/>
    <w:rsid w:val="00B90029"/>
    <w:rsid w:val="00B9031C"/>
    <w:rsid w:val="00B93988"/>
    <w:rsid w:val="00BA276C"/>
    <w:rsid w:val="00BB306F"/>
    <w:rsid w:val="00BC04B9"/>
    <w:rsid w:val="00BD4B89"/>
    <w:rsid w:val="00BD5922"/>
    <w:rsid w:val="00BF02CB"/>
    <w:rsid w:val="00BF41B0"/>
    <w:rsid w:val="00BF4852"/>
    <w:rsid w:val="00BF61D1"/>
    <w:rsid w:val="00BF6FD8"/>
    <w:rsid w:val="00C03680"/>
    <w:rsid w:val="00C04FFD"/>
    <w:rsid w:val="00C054DF"/>
    <w:rsid w:val="00C21762"/>
    <w:rsid w:val="00C21FEF"/>
    <w:rsid w:val="00C23BA4"/>
    <w:rsid w:val="00C24543"/>
    <w:rsid w:val="00C256A2"/>
    <w:rsid w:val="00C25ADB"/>
    <w:rsid w:val="00C51515"/>
    <w:rsid w:val="00C5660B"/>
    <w:rsid w:val="00C659DC"/>
    <w:rsid w:val="00C66B72"/>
    <w:rsid w:val="00C87AC4"/>
    <w:rsid w:val="00C94D96"/>
    <w:rsid w:val="00C9567A"/>
    <w:rsid w:val="00CB212D"/>
    <w:rsid w:val="00CB2660"/>
    <w:rsid w:val="00CB7271"/>
    <w:rsid w:val="00CC2DA2"/>
    <w:rsid w:val="00CC5E90"/>
    <w:rsid w:val="00CC7B16"/>
    <w:rsid w:val="00CD046C"/>
    <w:rsid w:val="00CD38C1"/>
    <w:rsid w:val="00CD67C4"/>
    <w:rsid w:val="00CE076C"/>
    <w:rsid w:val="00CE1F80"/>
    <w:rsid w:val="00CE5199"/>
    <w:rsid w:val="00CE66D5"/>
    <w:rsid w:val="00CE690F"/>
    <w:rsid w:val="00CF637A"/>
    <w:rsid w:val="00D0015A"/>
    <w:rsid w:val="00D04071"/>
    <w:rsid w:val="00D059DE"/>
    <w:rsid w:val="00D05ABD"/>
    <w:rsid w:val="00D13FCE"/>
    <w:rsid w:val="00D2687F"/>
    <w:rsid w:val="00D306D1"/>
    <w:rsid w:val="00D30800"/>
    <w:rsid w:val="00D34786"/>
    <w:rsid w:val="00D37BFC"/>
    <w:rsid w:val="00D47A8E"/>
    <w:rsid w:val="00D52D14"/>
    <w:rsid w:val="00D7064C"/>
    <w:rsid w:val="00D712D3"/>
    <w:rsid w:val="00D71422"/>
    <w:rsid w:val="00D72DC6"/>
    <w:rsid w:val="00D7558D"/>
    <w:rsid w:val="00D76854"/>
    <w:rsid w:val="00D81D92"/>
    <w:rsid w:val="00D85499"/>
    <w:rsid w:val="00D876F9"/>
    <w:rsid w:val="00D87F15"/>
    <w:rsid w:val="00DA7B5F"/>
    <w:rsid w:val="00DB2E7F"/>
    <w:rsid w:val="00DC11E7"/>
    <w:rsid w:val="00DC243E"/>
    <w:rsid w:val="00DC24E3"/>
    <w:rsid w:val="00DC7023"/>
    <w:rsid w:val="00DC769A"/>
    <w:rsid w:val="00DD25EE"/>
    <w:rsid w:val="00DD3D86"/>
    <w:rsid w:val="00DD4AD2"/>
    <w:rsid w:val="00DE2CBA"/>
    <w:rsid w:val="00DE3C84"/>
    <w:rsid w:val="00DF1EC4"/>
    <w:rsid w:val="00E0340B"/>
    <w:rsid w:val="00E04A90"/>
    <w:rsid w:val="00E0551F"/>
    <w:rsid w:val="00E21151"/>
    <w:rsid w:val="00E219C7"/>
    <w:rsid w:val="00E21F47"/>
    <w:rsid w:val="00E4118C"/>
    <w:rsid w:val="00E43157"/>
    <w:rsid w:val="00E461CE"/>
    <w:rsid w:val="00E5509F"/>
    <w:rsid w:val="00E555DA"/>
    <w:rsid w:val="00E557A9"/>
    <w:rsid w:val="00E573E4"/>
    <w:rsid w:val="00E57A03"/>
    <w:rsid w:val="00E64C3D"/>
    <w:rsid w:val="00E720CA"/>
    <w:rsid w:val="00E84EB5"/>
    <w:rsid w:val="00E85662"/>
    <w:rsid w:val="00E85DA1"/>
    <w:rsid w:val="00E8789F"/>
    <w:rsid w:val="00E97B71"/>
    <w:rsid w:val="00EA3D34"/>
    <w:rsid w:val="00EB454D"/>
    <w:rsid w:val="00EC4FD7"/>
    <w:rsid w:val="00EC6ED6"/>
    <w:rsid w:val="00ED4FA6"/>
    <w:rsid w:val="00ED549D"/>
    <w:rsid w:val="00ED76BE"/>
    <w:rsid w:val="00EE00E9"/>
    <w:rsid w:val="00EF1AAA"/>
    <w:rsid w:val="00EF619B"/>
    <w:rsid w:val="00F00B55"/>
    <w:rsid w:val="00F02AD1"/>
    <w:rsid w:val="00F253CC"/>
    <w:rsid w:val="00F30783"/>
    <w:rsid w:val="00F32CA5"/>
    <w:rsid w:val="00F37106"/>
    <w:rsid w:val="00F44E25"/>
    <w:rsid w:val="00F45795"/>
    <w:rsid w:val="00F519CF"/>
    <w:rsid w:val="00F56BA5"/>
    <w:rsid w:val="00F60E22"/>
    <w:rsid w:val="00F81395"/>
    <w:rsid w:val="00F81BB8"/>
    <w:rsid w:val="00F90C64"/>
    <w:rsid w:val="00F917D1"/>
    <w:rsid w:val="00F9653B"/>
    <w:rsid w:val="00FB62CF"/>
    <w:rsid w:val="00FC362A"/>
    <w:rsid w:val="00FD3C3B"/>
    <w:rsid w:val="00FE07DD"/>
    <w:rsid w:val="00FE6B45"/>
    <w:rsid w:val="00FF39D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4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0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518B"/>
    <w:pPr>
      <w:spacing w:before="100" w:beforeAutospacing="1" w:after="100" w:afterAutospacing="1"/>
    </w:pPr>
  </w:style>
  <w:style w:type="character" w:styleId="Strong">
    <w:name w:val="Strong"/>
    <w:basedOn w:val="DefaultParagraphFont"/>
    <w:uiPriority w:val="22"/>
    <w:qFormat/>
    <w:rsid w:val="006D518B"/>
    <w:rPr>
      <w:b/>
      <w:bCs/>
    </w:rPr>
  </w:style>
  <w:style w:type="character" w:styleId="CommentReference">
    <w:name w:val="annotation reference"/>
    <w:basedOn w:val="DefaultParagraphFont"/>
    <w:uiPriority w:val="99"/>
    <w:semiHidden/>
    <w:unhideWhenUsed/>
    <w:rsid w:val="009C55B4"/>
    <w:rPr>
      <w:sz w:val="16"/>
      <w:szCs w:val="16"/>
    </w:rPr>
  </w:style>
  <w:style w:type="paragraph" w:styleId="CommentText">
    <w:name w:val="annotation text"/>
    <w:basedOn w:val="Normal"/>
    <w:link w:val="CommentTextChar"/>
    <w:uiPriority w:val="99"/>
    <w:semiHidden/>
    <w:unhideWhenUsed/>
    <w:rsid w:val="009C55B4"/>
    <w:rPr>
      <w:sz w:val="20"/>
      <w:szCs w:val="20"/>
    </w:rPr>
  </w:style>
  <w:style w:type="character" w:customStyle="1" w:styleId="CommentTextChar">
    <w:name w:val="Comment Text Char"/>
    <w:basedOn w:val="DefaultParagraphFont"/>
    <w:link w:val="CommentText"/>
    <w:uiPriority w:val="99"/>
    <w:semiHidden/>
    <w:rsid w:val="009C55B4"/>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9C55B4"/>
    <w:rPr>
      <w:b/>
      <w:bCs/>
    </w:rPr>
  </w:style>
  <w:style w:type="character" w:customStyle="1" w:styleId="CommentSubjectChar">
    <w:name w:val="Comment Subject Char"/>
    <w:basedOn w:val="CommentTextChar"/>
    <w:link w:val="CommentSubject"/>
    <w:uiPriority w:val="99"/>
    <w:semiHidden/>
    <w:rsid w:val="009C55B4"/>
    <w:rPr>
      <w:rFonts w:eastAsia="Times New Roman"/>
      <w:b/>
      <w:bC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353">
      <w:bodyDiv w:val="1"/>
      <w:marLeft w:val="0"/>
      <w:marRight w:val="0"/>
      <w:marTop w:val="0"/>
      <w:marBottom w:val="0"/>
      <w:divBdr>
        <w:top w:val="none" w:sz="0" w:space="0" w:color="auto"/>
        <w:left w:val="none" w:sz="0" w:space="0" w:color="auto"/>
        <w:bottom w:val="none" w:sz="0" w:space="0" w:color="auto"/>
        <w:right w:val="none" w:sz="0" w:space="0" w:color="auto"/>
      </w:divBdr>
    </w:div>
    <w:div w:id="276570277">
      <w:bodyDiv w:val="1"/>
      <w:marLeft w:val="0"/>
      <w:marRight w:val="0"/>
      <w:marTop w:val="0"/>
      <w:marBottom w:val="0"/>
      <w:divBdr>
        <w:top w:val="none" w:sz="0" w:space="0" w:color="auto"/>
        <w:left w:val="none" w:sz="0" w:space="0" w:color="auto"/>
        <w:bottom w:val="none" w:sz="0" w:space="0" w:color="auto"/>
        <w:right w:val="none" w:sz="0" w:space="0" w:color="auto"/>
      </w:divBdr>
    </w:div>
    <w:div w:id="535773920">
      <w:bodyDiv w:val="1"/>
      <w:marLeft w:val="0"/>
      <w:marRight w:val="0"/>
      <w:marTop w:val="0"/>
      <w:marBottom w:val="0"/>
      <w:divBdr>
        <w:top w:val="none" w:sz="0" w:space="0" w:color="auto"/>
        <w:left w:val="none" w:sz="0" w:space="0" w:color="auto"/>
        <w:bottom w:val="none" w:sz="0" w:space="0" w:color="auto"/>
        <w:right w:val="none" w:sz="0" w:space="0" w:color="auto"/>
      </w:divBdr>
    </w:div>
    <w:div w:id="545221679">
      <w:bodyDiv w:val="1"/>
      <w:marLeft w:val="0"/>
      <w:marRight w:val="0"/>
      <w:marTop w:val="0"/>
      <w:marBottom w:val="0"/>
      <w:divBdr>
        <w:top w:val="none" w:sz="0" w:space="0" w:color="auto"/>
        <w:left w:val="none" w:sz="0" w:space="0" w:color="auto"/>
        <w:bottom w:val="none" w:sz="0" w:space="0" w:color="auto"/>
        <w:right w:val="none" w:sz="0" w:space="0" w:color="auto"/>
      </w:divBdr>
    </w:div>
    <w:div w:id="596905543">
      <w:bodyDiv w:val="1"/>
      <w:marLeft w:val="0"/>
      <w:marRight w:val="0"/>
      <w:marTop w:val="0"/>
      <w:marBottom w:val="0"/>
      <w:divBdr>
        <w:top w:val="none" w:sz="0" w:space="0" w:color="auto"/>
        <w:left w:val="none" w:sz="0" w:space="0" w:color="auto"/>
        <w:bottom w:val="none" w:sz="0" w:space="0" w:color="auto"/>
        <w:right w:val="none" w:sz="0" w:space="0" w:color="auto"/>
      </w:divBdr>
    </w:div>
    <w:div w:id="723454394">
      <w:bodyDiv w:val="1"/>
      <w:marLeft w:val="0"/>
      <w:marRight w:val="0"/>
      <w:marTop w:val="0"/>
      <w:marBottom w:val="0"/>
      <w:divBdr>
        <w:top w:val="none" w:sz="0" w:space="0" w:color="auto"/>
        <w:left w:val="none" w:sz="0" w:space="0" w:color="auto"/>
        <w:bottom w:val="none" w:sz="0" w:space="0" w:color="auto"/>
        <w:right w:val="none" w:sz="0" w:space="0" w:color="auto"/>
      </w:divBdr>
    </w:div>
    <w:div w:id="844781651">
      <w:bodyDiv w:val="1"/>
      <w:marLeft w:val="0"/>
      <w:marRight w:val="0"/>
      <w:marTop w:val="0"/>
      <w:marBottom w:val="0"/>
      <w:divBdr>
        <w:top w:val="none" w:sz="0" w:space="0" w:color="auto"/>
        <w:left w:val="none" w:sz="0" w:space="0" w:color="auto"/>
        <w:bottom w:val="none" w:sz="0" w:space="0" w:color="auto"/>
        <w:right w:val="none" w:sz="0" w:space="0" w:color="auto"/>
      </w:divBdr>
    </w:div>
    <w:div w:id="1032266554">
      <w:bodyDiv w:val="1"/>
      <w:marLeft w:val="0"/>
      <w:marRight w:val="0"/>
      <w:marTop w:val="0"/>
      <w:marBottom w:val="0"/>
      <w:divBdr>
        <w:top w:val="none" w:sz="0" w:space="0" w:color="auto"/>
        <w:left w:val="none" w:sz="0" w:space="0" w:color="auto"/>
        <w:bottom w:val="none" w:sz="0" w:space="0" w:color="auto"/>
        <w:right w:val="none" w:sz="0" w:space="0" w:color="auto"/>
      </w:divBdr>
    </w:div>
    <w:div w:id="118778902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6205123">
      <w:bodyDiv w:val="1"/>
      <w:marLeft w:val="0"/>
      <w:marRight w:val="0"/>
      <w:marTop w:val="0"/>
      <w:marBottom w:val="0"/>
      <w:divBdr>
        <w:top w:val="none" w:sz="0" w:space="0" w:color="auto"/>
        <w:left w:val="none" w:sz="0" w:space="0" w:color="auto"/>
        <w:bottom w:val="none" w:sz="0" w:space="0" w:color="auto"/>
        <w:right w:val="none" w:sz="0" w:space="0" w:color="auto"/>
      </w:divBdr>
    </w:div>
    <w:div w:id="1756244408">
      <w:bodyDiv w:val="1"/>
      <w:marLeft w:val="0"/>
      <w:marRight w:val="0"/>
      <w:marTop w:val="0"/>
      <w:marBottom w:val="0"/>
      <w:divBdr>
        <w:top w:val="none" w:sz="0" w:space="0" w:color="auto"/>
        <w:left w:val="none" w:sz="0" w:space="0" w:color="auto"/>
        <w:bottom w:val="none" w:sz="0" w:space="0" w:color="auto"/>
        <w:right w:val="none" w:sz="0" w:space="0" w:color="auto"/>
      </w:divBdr>
    </w:div>
    <w:div w:id="175774707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0510268">
      <w:bodyDiv w:val="1"/>
      <w:marLeft w:val="0"/>
      <w:marRight w:val="0"/>
      <w:marTop w:val="0"/>
      <w:marBottom w:val="0"/>
      <w:divBdr>
        <w:top w:val="none" w:sz="0" w:space="0" w:color="auto"/>
        <w:left w:val="none" w:sz="0" w:space="0" w:color="auto"/>
        <w:bottom w:val="none" w:sz="0" w:space="0" w:color="auto"/>
        <w:right w:val="none" w:sz="0" w:space="0" w:color="auto"/>
      </w:divBdr>
    </w:div>
    <w:div w:id="2021084161">
      <w:bodyDiv w:val="1"/>
      <w:marLeft w:val="0"/>
      <w:marRight w:val="0"/>
      <w:marTop w:val="0"/>
      <w:marBottom w:val="0"/>
      <w:divBdr>
        <w:top w:val="none" w:sz="0" w:space="0" w:color="auto"/>
        <w:left w:val="none" w:sz="0" w:space="0" w:color="auto"/>
        <w:bottom w:val="none" w:sz="0" w:space="0" w:color="auto"/>
        <w:right w:val="none" w:sz="0" w:space="0" w:color="auto"/>
      </w:divBdr>
    </w:div>
    <w:div w:id="2029016371">
      <w:bodyDiv w:val="1"/>
      <w:marLeft w:val="0"/>
      <w:marRight w:val="0"/>
      <w:marTop w:val="0"/>
      <w:marBottom w:val="0"/>
      <w:divBdr>
        <w:top w:val="none" w:sz="0" w:space="0" w:color="auto"/>
        <w:left w:val="none" w:sz="0" w:space="0" w:color="auto"/>
        <w:bottom w:val="none" w:sz="0" w:space="0" w:color="auto"/>
        <w:right w:val="none" w:sz="0" w:space="0" w:color="auto"/>
      </w:divBdr>
    </w:div>
    <w:div w:id="209435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6E56"/>
    <w:rsid w:val="001C4C0A"/>
    <w:rsid w:val="00200821"/>
    <w:rsid w:val="00206FBA"/>
    <w:rsid w:val="00211F6D"/>
    <w:rsid w:val="0025245B"/>
    <w:rsid w:val="002A3923"/>
    <w:rsid w:val="00373016"/>
    <w:rsid w:val="00394049"/>
    <w:rsid w:val="003D4D55"/>
    <w:rsid w:val="004B5BBB"/>
    <w:rsid w:val="004F2DF8"/>
    <w:rsid w:val="005B2F57"/>
    <w:rsid w:val="005E6A32"/>
    <w:rsid w:val="005F61C1"/>
    <w:rsid w:val="006F24A1"/>
    <w:rsid w:val="00740704"/>
    <w:rsid w:val="007E3AAF"/>
    <w:rsid w:val="008C1D0C"/>
    <w:rsid w:val="008C4326"/>
    <w:rsid w:val="00993755"/>
    <w:rsid w:val="009A261B"/>
    <w:rsid w:val="00AA2E17"/>
    <w:rsid w:val="00AC15A4"/>
    <w:rsid w:val="00B0336C"/>
    <w:rsid w:val="00B52923"/>
    <w:rsid w:val="00BA2BD0"/>
    <w:rsid w:val="00C72587"/>
    <w:rsid w:val="00D241E9"/>
    <w:rsid w:val="00D7750D"/>
    <w:rsid w:val="00DF1AB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0089-6D84-4208-93CB-B2E17521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2590</Words>
  <Characters>13809</Characters>
  <Application>Microsoft Office Word</Application>
  <DocSecurity>0</DocSecurity>
  <Lines>265</Lines>
  <Paragraphs>64</Paragraphs>
  <ScaleCrop>false</ScaleCrop>
  <Company/>
  <LinksUpToDate>false</LinksUpToDate>
  <CharactersWithSpaces>16335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132/21</dc:title>
  <dc:creator/>
  <cp:lastModifiedBy/>
  <cp:revision>1</cp:revision>
  <dcterms:created xsi:type="dcterms:W3CDTF">2021-07-08T17:25:00Z</dcterms:created>
  <dcterms:modified xsi:type="dcterms:W3CDTF">2021-07-08T17:26:00Z</dcterms:modified>
</cp:coreProperties>
</file>