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D7479C" w:rsidRDefault="00D306D1" w:rsidP="00627C9F">
      <w:pPr>
        <w:jc w:val="both"/>
        <w:rPr>
          <w:rFonts w:asciiTheme="majorHAnsi" w:hAnsiTheme="majorHAnsi" w:cs="Univers"/>
          <w:b/>
          <w:bCs/>
          <w:sz w:val="20"/>
          <w:szCs w:val="20"/>
          <w:lang w:val="es-ES_tradnl"/>
        </w:rPr>
      </w:pPr>
      <w:r w:rsidRPr="00D7479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AD04424" wp14:editId="02D2ED8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B47C5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7479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0EEFC5A" wp14:editId="1B53FE4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15" w:rsidRDefault="002F5915" w:rsidP="00AE5488">
                            <w:r>
                              <w:rPr>
                                <w:noProof/>
                              </w:rPr>
                              <w:drawing>
                                <wp:inline distT="0" distB="0" distL="0" distR="0" wp14:anchorId="49D5940D" wp14:editId="219D923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EEFC5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F5915" w:rsidRDefault="002F5915" w:rsidP="00AE5488">
                      <w:r>
                        <w:rPr>
                          <w:noProof/>
                        </w:rPr>
                        <w:drawing>
                          <wp:inline distT="0" distB="0" distL="0" distR="0" wp14:anchorId="49D5940D" wp14:editId="219D923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7479C">
        <w:rPr>
          <w:rFonts w:asciiTheme="majorHAnsi" w:hAnsiTheme="majorHAnsi" w:cs="Univers"/>
          <w:b/>
          <w:bCs/>
          <w:sz w:val="20"/>
          <w:szCs w:val="20"/>
          <w:lang w:val="es-ES_tradnl"/>
        </w:rPr>
        <w:t xml:space="preserve"> </w:t>
      </w:r>
    </w:p>
    <w:p w:rsidR="00040C3A" w:rsidRPr="00D7479C" w:rsidRDefault="00040C3A" w:rsidP="00040C3A">
      <w:pPr>
        <w:tabs>
          <w:tab w:val="center" w:pos="5400"/>
        </w:tabs>
        <w:suppressAutoHyphens/>
        <w:jc w:val="both"/>
        <w:rPr>
          <w:rFonts w:asciiTheme="majorHAnsi" w:hAnsiTheme="majorHAnsi"/>
          <w:sz w:val="20"/>
          <w:szCs w:val="20"/>
          <w:lang w:val="es-ES"/>
        </w:rPr>
      </w:pPr>
    </w:p>
    <w:p w:rsidR="00040C3A" w:rsidRPr="00D7479C" w:rsidRDefault="00040C3A" w:rsidP="00040C3A">
      <w:pPr>
        <w:tabs>
          <w:tab w:val="center" w:pos="5400"/>
        </w:tabs>
        <w:suppressAutoHyphens/>
        <w:jc w:val="both"/>
        <w:rPr>
          <w:rFonts w:asciiTheme="majorHAnsi" w:hAnsiTheme="majorHAnsi"/>
          <w:sz w:val="20"/>
          <w:szCs w:val="20"/>
          <w:lang w:val="es-ES"/>
        </w:rPr>
      </w:pPr>
    </w:p>
    <w:p w:rsidR="005128E4" w:rsidRPr="00D7479C" w:rsidRDefault="005128E4" w:rsidP="00040C3A">
      <w:pPr>
        <w:tabs>
          <w:tab w:val="center" w:pos="5400"/>
        </w:tabs>
        <w:suppressAutoHyphens/>
        <w:rPr>
          <w:rFonts w:asciiTheme="majorHAnsi" w:hAnsiTheme="majorHAnsi"/>
          <w:sz w:val="20"/>
          <w:szCs w:val="20"/>
          <w:lang w:val="es-ES_tradnl"/>
        </w:rPr>
      </w:pPr>
    </w:p>
    <w:p w:rsidR="005128E4" w:rsidRPr="00D7479C" w:rsidRDefault="005128E4" w:rsidP="00040C3A">
      <w:pPr>
        <w:tabs>
          <w:tab w:val="center" w:pos="5400"/>
        </w:tabs>
        <w:suppressAutoHyphens/>
        <w:rPr>
          <w:rFonts w:asciiTheme="majorHAnsi" w:hAnsiTheme="majorHAnsi"/>
          <w:sz w:val="20"/>
          <w:szCs w:val="20"/>
          <w:lang w:val="es-ES_tradnl"/>
        </w:rPr>
      </w:pPr>
    </w:p>
    <w:p w:rsidR="005128E4" w:rsidRPr="00D7479C" w:rsidRDefault="005128E4" w:rsidP="00040C3A">
      <w:pPr>
        <w:tabs>
          <w:tab w:val="center" w:pos="5400"/>
        </w:tabs>
        <w:suppressAutoHyphens/>
        <w:rPr>
          <w:rFonts w:asciiTheme="majorHAnsi" w:hAnsiTheme="majorHAnsi"/>
          <w:sz w:val="20"/>
          <w:szCs w:val="20"/>
          <w:lang w:val="es-ES_tradnl"/>
        </w:rPr>
      </w:pPr>
    </w:p>
    <w:p w:rsidR="00040C3A" w:rsidRPr="00D7479C" w:rsidRDefault="00040C3A" w:rsidP="005128E4">
      <w:pPr>
        <w:tabs>
          <w:tab w:val="center" w:pos="5400"/>
        </w:tabs>
        <w:suppressAutoHyphens/>
        <w:jc w:val="center"/>
        <w:rPr>
          <w:rFonts w:asciiTheme="majorHAnsi" w:hAnsiTheme="majorHAnsi"/>
          <w:sz w:val="20"/>
          <w:szCs w:val="20"/>
          <w:lang w:val="es-ES_tradnl"/>
        </w:rPr>
      </w:pPr>
    </w:p>
    <w:p w:rsidR="00040C3A" w:rsidRPr="00D7479C" w:rsidRDefault="00040C3A" w:rsidP="005128E4">
      <w:pPr>
        <w:tabs>
          <w:tab w:val="center" w:pos="5400"/>
        </w:tabs>
        <w:suppressAutoHyphens/>
        <w:jc w:val="center"/>
        <w:rPr>
          <w:rFonts w:asciiTheme="majorHAnsi" w:hAnsiTheme="majorHAnsi"/>
          <w:sz w:val="20"/>
          <w:szCs w:val="20"/>
          <w:lang w:val="es-ES_tradnl"/>
        </w:rPr>
      </w:pPr>
    </w:p>
    <w:p w:rsidR="005B52B0" w:rsidRPr="00D7479C" w:rsidRDefault="005B52B0" w:rsidP="005128E4">
      <w:pPr>
        <w:tabs>
          <w:tab w:val="center" w:pos="5400"/>
        </w:tabs>
        <w:suppressAutoHyphens/>
        <w:jc w:val="center"/>
        <w:rPr>
          <w:rFonts w:asciiTheme="majorHAnsi" w:hAnsiTheme="majorHAnsi"/>
          <w:sz w:val="20"/>
          <w:szCs w:val="20"/>
          <w:lang w:val="es-ES_tradnl"/>
        </w:rPr>
      </w:pPr>
    </w:p>
    <w:p w:rsidR="005B52B0" w:rsidRPr="00D7479C" w:rsidRDefault="005B52B0" w:rsidP="005128E4">
      <w:pPr>
        <w:tabs>
          <w:tab w:val="center" w:pos="5400"/>
        </w:tabs>
        <w:suppressAutoHyphens/>
        <w:jc w:val="center"/>
        <w:rPr>
          <w:rFonts w:asciiTheme="majorHAnsi" w:hAnsiTheme="majorHAnsi"/>
          <w:sz w:val="20"/>
          <w:szCs w:val="20"/>
          <w:lang w:val="es-ES_tradnl"/>
        </w:rPr>
      </w:pPr>
    </w:p>
    <w:p w:rsidR="005B52B0" w:rsidRPr="00D7479C" w:rsidRDefault="005B52B0" w:rsidP="005128E4">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3D3BC2" w:rsidP="00040C3A">
      <w:pPr>
        <w:tabs>
          <w:tab w:val="center" w:pos="5400"/>
        </w:tabs>
        <w:suppressAutoHyphens/>
        <w:jc w:val="center"/>
        <w:rPr>
          <w:rFonts w:asciiTheme="majorHAnsi" w:hAnsiTheme="majorHAnsi"/>
          <w:sz w:val="20"/>
          <w:szCs w:val="20"/>
          <w:lang w:val="es-ES_tradnl"/>
        </w:rPr>
      </w:pPr>
      <w:r w:rsidRPr="00D7479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04E1A99" wp14:editId="4F5F134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15" w:rsidRPr="004E2649" w:rsidRDefault="002F591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13628">
                              <w:rPr>
                                <w:rFonts w:asciiTheme="majorHAnsi" w:hAnsiTheme="majorHAnsi" w:cs="Arial"/>
                                <w:b/>
                                <w:bCs/>
                                <w:color w:val="0D0D0D" w:themeColor="text1" w:themeTint="F2"/>
                                <w:sz w:val="36"/>
                                <w:szCs w:val="22"/>
                                <w:lang w:val="es-ES_tradnl"/>
                              </w:rPr>
                              <w:t xml:space="preserve"> </w:t>
                            </w:r>
                            <w:r w:rsidR="00D7456A">
                              <w:rPr>
                                <w:rFonts w:asciiTheme="majorHAnsi" w:hAnsiTheme="majorHAnsi" w:cs="Arial"/>
                                <w:b/>
                                <w:bCs/>
                                <w:color w:val="0D0D0D" w:themeColor="text1" w:themeTint="F2"/>
                                <w:sz w:val="36"/>
                                <w:szCs w:val="22"/>
                                <w:lang w:val="es-ES_tradnl"/>
                              </w:rPr>
                              <w:t>32</w:t>
                            </w:r>
                            <w:r w:rsidR="00913628">
                              <w:rPr>
                                <w:rFonts w:asciiTheme="majorHAnsi" w:hAnsiTheme="majorHAnsi" w:cs="Arial"/>
                                <w:b/>
                                <w:bCs/>
                                <w:color w:val="0D0D0D" w:themeColor="text1" w:themeTint="F2"/>
                                <w:sz w:val="36"/>
                                <w:szCs w:val="22"/>
                                <w:lang w:val="es-ES_tradnl"/>
                              </w:rPr>
                              <w:t>/21</w:t>
                            </w:r>
                          </w:p>
                          <w:p w:rsidR="002F5915" w:rsidRDefault="002F591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1041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2F5915" w:rsidRPr="0010736F" w:rsidRDefault="002F5915" w:rsidP="00997BC5">
                            <w:pPr>
                              <w:spacing w:line="276" w:lineRule="auto"/>
                              <w:rPr>
                                <w:rFonts w:asciiTheme="majorHAnsi" w:hAnsiTheme="majorHAnsi" w:cs="Arial"/>
                                <w:color w:val="0D0D0D" w:themeColor="text1" w:themeTint="F2"/>
                                <w:szCs w:val="22"/>
                                <w:lang w:val="es-ES_tradnl"/>
                              </w:rPr>
                            </w:pPr>
                            <w:r w:rsidRPr="002E657E">
                              <w:rPr>
                                <w:rFonts w:asciiTheme="majorHAnsi" w:hAnsiTheme="majorHAnsi" w:cs="Arial"/>
                                <w:color w:val="0D0D0D" w:themeColor="text1" w:themeTint="F2"/>
                                <w:szCs w:val="22"/>
                                <w:lang w:val="es-ES_tradnl"/>
                              </w:rPr>
                              <w:t xml:space="preserve">INFORME DE </w:t>
                            </w:r>
                            <w:r w:rsidR="00761793">
                              <w:rPr>
                                <w:rFonts w:asciiTheme="majorHAnsi" w:hAnsiTheme="majorHAnsi" w:cs="Arial"/>
                                <w:color w:val="0D0D0D" w:themeColor="text1" w:themeTint="F2"/>
                                <w:szCs w:val="22"/>
                                <w:lang w:val="es-ES_tradnl"/>
                              </w:rPr>
                              <w:t>IN</w:t>
                            </w:r>
                            <w:r w:rsidRPr="002E657E">
                              <w:rPr>
                                <w:rFonts w:asciiTheme="majorHAnsi" w:hAnsiTheme="majorHAnsi" w:cs="Arial"/>
                                <w:color w:val="0D0D0D" w:themeColor="text1" w:themeTint="F2"/>
                                <w:szCs w:val="22"/>
                                <w:lang w:val="es-ES_tradnl"/>
                              </w:rPr>
                              <w:t xml:space="preserve">ADMISIBILIDAD </w:t>
                            </w:r>
                          </w:p>
                          <w:p w:rsidR="002F5915" w:rsidRPr="0010736F" w:rsidRDefault="002F5915" w:rsidP="00997BC5">
                            <w:pPr>
                              <w:spacing w:line="276" w:lineRule="auto"/>
                              <w:rPr>
                                <w:rFonts w:asciiTheme="majorHAnsi" w:hAnsiTheme="majorHAnsi" w:cs="Arial"/>
                                <w:color w:val="0D0D0D" w:themeColor="text1" w:themeTint="F2"/>
                                <w:szCs w:val="22"/>
                                <w:lang w:val="es-ES_tradnl"/>
                              </w:rPr>
                            </w:pPr>
                            <w:bookmarkStart w:id="1" w:name="_ftnref1"/>
                          </w:p>
                          <w:p w:rsidR="003031CD" w:rsidRDefault="002F59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HEDER GÓMEZ IBARRA, JAIR QUIROGA TORRES </w:t>
                            </w:r>
                          </w:p>
                          <w:p w:rsidR="002F5915" w:rsidRPr="0010736F" w:rsidRDefault="002F59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Y LUIS FERNANDO ZULUAGA CASTRILLÓN </w:t>
                            </w:r>
                          </w:p>
                          <w:bookmarkEnd w:id="1"/>
                          <w:p w:rsidR="002F5915" w:rsidRPr="00AE5488" w:rsidRDefault="002F5915"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4E1A9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F5915" w:rsidRPr="004E2649" w:rsidRDefault="002F591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13628">
                        <w:rPr>
                          <w:rFonts w:asciiTheme="majorHAnsi" w:hAnsiTheme="majorHAnsi" w:cs="Arial"/>
                          <w:b/>
                          <w:bCs/>
                          <w:color w:val="0D0D0D" w:themeColor="text1" w:themeTint="F2"/>
                          <w:sz w:val="36"/>
                          <w:szCs w:val="22"/>
                          <w:lang w:val="es-ES_tradnl"/>
                        </w:rPr>
                        <w:t xml:space="preserve"> </w:t>
                      </w:r>
                      <w:r w:rsidR="00D7456A">
                        <w:rPr>
                          <w:rFonts w:asciiTheme="majorHAnsi" w:hAnsiTheme="majorHAnsi" w:cs="Arial"/>
                          <w:b/>
                          <w:bCs/>
                          <w:color w:val="0D0D0D" w:themeColor="text1" w:themeTint="F2"/>
                          <w:sz w:val="36"/>
                          <w:szCs w:val="22"/>
                          <w:lang w:val="es-ES_tradnl"/>
                        </w:rPr>
                        <w:t>32</w:t>
                      </w:r>
                      <w:r w:rsidR="00913628">
                        <w:rPr>
                          <w:rFonts w:asciiTheme="majorHAnsi" w:hAnsiTheme="majorHAnsi" w:cs="Arial"/>
                          <w:b/>
                          <w:bCs/>
                          <w:color w:val="0D0D0D" w:themeColor="text1" w:themeTint="F2"/>
                          <w:sz w:val="36"/>
                          <w:szCs w:val="22"/>
                          <w:lang w:val="es-ES_tradnl"/>
                        </w:rPr>
                        <w:t>/21</w:t>
                      </w:r>
                    </w:p>
                    <w:p w:rsidR="002F5915" w:rsidRDefault="002F591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1041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2F5915" w:rsidRPr="0010736F" w:rsidRDefault="002F5915" w:rsidP="00997BC5">
                      <w:pPr>
                        <w:spacing w:line="276" w:lineRule="auto"/>
                        <w:rPr>
                          <w:rFonts w:asciiTheme="majorHAnsi" w:hAnsiTheme="majorHAnsi" w:cs="Arial"/>
                          <w:color w:val="0D0D0D" w:themeColor="text1" w:themeTint="F2"/>
                          <w:szCs w:val="22"/>
                          <w:lang w:val="es-ES_tradnl"/>
                        </w:rPr>
                      </w:pPr>
                      <w:r w:rsidRPr="002E657E">
                        <w:rPr>
                          <w:rFonts w:asciiTheme="majorHAnsi" w:hAnsiTheme="majorHAnsi" w:cs="Arial"/>
                          <w:color w:val="0D0D0D" w:themeColor="text1" w:themeTint="F2"/>
                          <w:szCs w:val="22"/>
                          <w:lang w:val="es-ES_tradnl"/>
                        </w:rPr>
                        <w:t xml:space="preserve">INFORME DE </w:t>
                      </w:r>
                      <w:r w:rsidR="00761793">
                        <w:rPr>
                          <w:rFonts w:asciiTheme="majorHAnsi" w:hAnsiTheme="majorHAnsi" w:cs="Arial"/>
                          <w:color w:val="0D0D0D" w:themeColor="text1" w:themeTint="F2"/>
                          <w:szCs w:val="22"/>
                          <w:lang w:val="es-ES_tradnl"/>
                        </w:rPr>
                        <w:t>IN</w:t>
                      </w:r>
                      <w:r w:rsidRPr="002E657E">
                        <w:rPr>
                          <w:rFonts w:asciiTheme="majorHAnsi" w:hAnsiTheme="majorHAnsi" w:cs="Arial"/>
                          <w:color w:val="0D0D0D" w:themeColor="text1" w:themeTint="F2"/>
                          <w:szCs w:val="22"/>
                          <w:lang w:val="es-ES_tradnl"/>
                        </w:rPr>
                        <w:t xml:space="preserve">ADMISIBILIDAD </w:t>
                      </w:r>
                    </w:p>
                    <w:p w:rsidR="002F5915" w:rsidRPr="0010736F" w:rsidRDefault="002F5915" w:rsidP="00997BC5">
                      <w:pPr>
                        <w:spacing w:line="276" w:lineRule="auto"/>
                        <w:rPr>
                          <w:rFonts w:asciiTheme="majorHAnsi" w:hAnsiTheme="majorHAnsi" w:cs="Arial"/>
                          <w:color w:val="0D0D0D" w:themeColor="text1" w:themeTint="F2"/>
                          <w:szCs w:val="22"/>
                          <w:lang w:val="es-ES_tradnl"/>
                        </w:rPr>
                      </w:pPr>
                      <w:bookmarkStart w:id="1" w:name="_ftnref1"/>
                    </w:p>
                    <w:p w:rsidR="003031CD" w:rsidRDefault="002F59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HEDER GÓMEZ IBARRA, JAIR QUIROGA TORRES </w:t>
                      </w:r>
                    </w:p>
                    <w:p w:rsidR="002F5915" w:rsidRPr="0010736F" w:rsidRDefault="002F59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Y LUIS FERNANDO ZULUAGA CASTRILLÓN </w:t>
                      </w:r>
                    </w:p>
                    <w:bookmarkEnd w:id="1"/>
                    <w:p w:rsidR="002F5915" w:rsidRPr="00AE5488" w:rsidRDefault="002F5915"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D7479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D7397BD" wp14:editId="2690E2B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15" w:rsidRPr="00D7456A" w:rsidRDefault="00D7456A" w:rsidP="007A5817">
                            <w:pPr>
                              <w:spacing w:line="276" w:lineRule="auto"/>
                              <w:jc w:val="right"/>
                              <w:rPr>
                                <w:rFonts w:asciiTheme="minorHAnsi" w:hAnsiTheme="minorHAnsi"/>
                                <w:color w:val="FFFFFF" w:themeColor="background1"/>
                                <w:sz w:val="22"/>
                                <w:lang w:val="es-419"/>
                              </w:rPr>
                            </w:pPr>
                            <w:r w:rsidRPr="00D7456A">
                              <w:rPr>
                                <w:rFonts w:asciiTheme="minorHAnsi" w:hAnsiTheme="minorHAnsi"/>
                                <w:color w:val="FFFFFF" w:themeColor="background1"/>
                                <w:sz w:val="22"/>
                                <w:lang w:val="es-419"/>
                              </w:rPr>
                              <w:t>OEA/</w:t>
                            </w:r>
                            <w:proofErr w:type="spellStart"/>
                            <w:r w:rsidRPr="00D7456A">
                              <w:rPr>
                                <w:rFonts w:asciiTheme="minorHAnsi" w:hAnsiTheme="minorHAnsi"/>
                                <w:color w:val="FFFFFF" w:themeColor="background1"/>
                                <w:sz w:val="22"/>
                                <w:lang w:val="es-419"/>
                              </w:rPr>
                              <w:t>Ser.L</w:t>
                            </w:r>
                            <w:proofErr w:type="spellEnd"/>
                            <w:r w:rsidRPr="00D7456A">
                              <w:rPr>
                                <w:rFonts w:asciiTheme="minorHAnsi" w:hAnsiTheme="minorHAnsi"/>
                                <w:color w:val="FFFFFF" w:themeColor="background1"/>
                                <w:sz w:val="22"/>
                                <w:lang w:val="es-419"/>
                              </w:rPr>
                              <w:t>/V/II</w:t>
                            </w:r>
                          </w:p>
                          <w:p w:rsidR="002F5915" w:rsidRPr="00D7456A" w:rsidRDefault="00D7456A" w:rsidP="007A5817">
                            <w:pPr>
                              <w:spacing w:line="276" w:lineRule="auto"/>
                              <w:jc w:val="right"/>
                              <w:rPr>
                                <w:rFonts w:asciiTheme="minorHAnsi" w:hAnsiTheme="minorHAnsi"/>
                                <w:color w:val="FFFFFF" w:themeColor="background1"/>
                                <w:sz w:val="22"/>
                                <w:lang w:val="es-419"/>
                              </w:rPr>
                            </w:pPr>
                            <w:r w:rsidRPr="00D7456A">
                              <w:rPr>
                                <w:rFonts w:asciiTheme="minorHAnsi" w:hAnsiTheme="minorHAnsi"/>
                                <w:color w:val="FFFFFF" w:themeColor="background1"/>
                                <w:sz w:val="22"/>
                                <w:lang w:val="es-419"/>
                              </w:rPr>
                              <w:t>Doc. 36</w:t>
                            </w:r>
                          </w:p>
                          <w:p w:rsidR="002F5915" w:rsidRPr="00C25ADB" w:rsidRDefault="00D745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913628">
                              <w:rPr>
                                <w:rFonts w:asciiTheme="minorHAnsi" w:hAnsiTheme="minorHAnsi"/>
                                <w:color w:val="FFFFFF" w:themeColor="background1"/>
                                <w:sz w:val="22"/>
                                <w:lang w:val="es-PA"/>
                              </w:rPr>
                              <w:t xml:space="preserve"> 2021</w:t>
                            </w:r>
                          </w:p>
                          <w:p w:rsidR="002F5915" w:rsidRPr="00C25ADB" w:rsidRDefault="002F591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7397B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F5915" w:rsidRPr="00D7456A" w:rsidRDefault="00D7456A" w:rsidP="007A5817">
                      <w:pPr>
                        <w:spacing w:line="276" w:lineRule="auto"/>
                        <w:jc w:val="right"/>
                        <w:rPr>
                          <w:rFonts w:asciiTheme="minorHAnsi" w:hAnsiTheme="minorHAnsi"/>
                          <w:color w:val="FFFFFF" w:themeColor="background1"/>
                          <w:sz w:val="22"/>
                          <w:lang w:val="es-419"/>
                        </w:rPr>
                      </w:pPr>
                      <w:r w:rsidRPr="00D7456A">
                        <w:rPr>
                          <w:rFonts w:asciiTheme="minorHAnsi" w:hAnsiTheme="minorHAnsi"/>
                          <w:color w:val="FFFFFF" w:themeColor="background1"/>
                          <w:sz w:val="22"/>
                          <w:lang w:val="es-419"/>
                        </w:rPr>
                        <w:t>OEA/Ser.L/V/II</w:t>
                      </w:r>
                    </w:p>
                    <w:p w:rsidR="002F5915" w:rsidRPr="00D7456A" w:rsidRDefault="00D7456A" w:rsidP="007A5817">
                      <w:pPr>
                        <w:spacing w:line="276" w:lineRule="auto"/>
                        <w:jc w:val="right"/>
                        <w:rPr>
                          <w:rFonts w:asciiTheme="minorHAnsi" w:hAnsiTheme="minorHAnsi"/>
                          <w:color w:val="FFFFFF" w:themeColor="background1"/>
                          <w:sz w:val="22"/>
                          <w:lang w:val="es-419"/>
                        </w:rPr>
                      </w:pPr>
                      <w:r w:rsidRPr="00D7456A">
                        <w:rPr>
                          <w:rFonts w:asciiTheme="minorHAnsi" w:hAnsiTheme="minorHAnsi"/>
                          <w:color w:val="FFFFFF" w:themeColor="background1"/>
                          <w:sz w:val="22"/>
                          <w:lang w:val="es-419"/>
                        </w:rPr>
                        <w:t>Doc. 36</w:t>
                      </w:r>
                    </w:p>
                    <w:p w:rsidR="002F5915" w:rsidRPr="00C25ADB" w:rsidRDefault="00D745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913628">
                        <w:rPr>
                          <w:rFonts w:asciiTheme="minorHAnsi" w:hAnsiTheme="minorHAnsi"/>
                          <w:color w:val="FFFFFF" w:themeColor="background1"/>
                          <w:sz w:val="22"/>
                          <w:lang w:val="es-PA"/>
                        </w:rPr>
                        <w:t xml:space="preserve"> 2021</w:t>
                      </w:r>
                    </w:p>
                    <w:p w:rsidR="002F5915" w:rsidRPr="00C25ADB" w:rsidRDefault="002F591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cs="Arial"/>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5128E4" w:rsidRPr="00D7479C" w:rsidRDefault="005128E4"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5128E4" w:rsidRPr="00D7479C" w:rsidRDefault="005128E4" w:rsidP="00040C3A">
      <w:pPr>
        <w:tabs>
          <w:tab w:val="center" w:pos="5400"/>
        </w:tabs>
        <w:suppressAutoHyphens/>
        <w:jc w:val="center"/>
        <w:rPr>
          <w:rFonts w:asciiTheme="majorHAnsi" w:hAnsiTheme="majorHAnsi"/>
          <w:sz w:val="20"/>
          <w:szCs w:val="20"/>
          <w:lang w:val="es-ES_tradnl"/>
        </w:rPr>
      </w:pPr>
    </w:p>
    <w:p w:rsidR="005128E4" w:rsidRPr="00D7479C" w:rsidRDefault="005128E4" w:rsidP="00040C3A">
      <w:pPr>
        <w:tabs>
          <w:tab w:val="center" w:pos="5400"/>
        </w:tabs>
        <w:suppressAutoHyphens/>
        <w:jc w:val="center"/>
        <w:rPr>
          <w:rFonts w:asciiTheme="majorHAnsi" w:hAnsiTheme="majorHAnsi"/>
          <w:sz w:val="20"/>
          <w:szCs w:val="20"/>
          <w:lang w:val="es-ES_tradnl"/>
        </w:rPr>
      </w:pPr>
    </w:p>
    <w:p w:rsidR="005128E4" w:rsidRPr="00D7479C" w:rsidRDefault="005128E4"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040C3A" w:rsidRPr="00D7479C" w:rsidRDefault="00040C3A"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90270B" w:rsidP="00040C3A">
      <w:pPr>
        <w:tabs>
          <w:tab w:val="center" w:pos="5400"/>
        </w:tabs>
        <w:suppressAutoHyphens/>
        <w:jc w:val="center"/>
        <w:rPr>
          <w:rFonts w:asciiTheme="majorHAnsi" w:hAnsiTheme="majorHAnsi"/>
          <w:sz w:val="20"/>
          <w:szCs w:val="20"/>
          <w:lang w:val="es-ES_tradnl"/>
        </w:rPr>
      </w:pPr>
      <w:r w:rsidRPr="00D7479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F562AAC" wp14:editId="47AFD80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15" w:rsidRPr="00890650" w:rsidRDefault="002F591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031CD">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3031C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13628">
                              <w:rPr>
                                <w:rFonts w:asciiTheme="majorHAnsi" w:hAnsiTheme="majorHAnsi"/>
                                <w:color w:val="0D0D0D" w:themeColor="text1" w:themeTint="F2"/>
                                <w:sz w:val="18"/>
                                <w:szCs w:val="22"/>
                                <w:lang w:val="es-ES"/>
                              </w:rPr>
                              <w:t>21</w:t>
                            </w:r>
                          </w:p>
                          <w:p w:rsidR="002F5915" w:rsidRPr="007A5817" w:rsidRDefault="002F5915" w:rsidP="00247403">
                            <w:pPr>
                              <w:tabs>
                                <w:tab w:val="center" w:pos="5400"/>
                              </w:tabs>
                              <w:suppressAutoHyphens/>
                              <w:spacing w:before="60"/>
                              <w:rPr>
                                <w:rFonts w:asciiTheme="minorHAnsi" w:hAnsiTheme="minorHAnsi" w:cs="Univers"/>
                                <w:color w:val="0D0D0D" w:themeColor="text1" w:themeTint="F2"/>
                                <w:sz w:val="20"/>
                                <w:szCs w:val="20"/>
                                <w:lang w:val="es-ES"/>
                              </w:rPr>
                            </w:pPr>
                          </w:p>
                          <w:p w:rsidR="002F5915" w:rsidRPr="00167A34" w:rsidRDefault="002F591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562AA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F5915" w:rsidRPr="00890650" w:rsidRDefault="002F591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31CD">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3031CD">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13628">
                        <w:rPr>
                          <w:rFonts w:asciiTheme="majorHAnsi" w:hAnsiTheme="majorHAnsi"/>
                          <w:color w:val="0D0D0D" w:themeColor="text1" w:themeTint="F2"/>
                          <w:sz w:val="18"/>
                          <w:szCs w:val="22"/>
                          <w:lang w:val="es-ES"/>
                        </w:rPr>
                        <w:t>21</w:t>
                      </w:r>
                    </w:p>
                    <w:p w:rsidR="002F5915" w:rsidRPr="007A5817" w:rsidRDefault="002F5915" w:rsidP="00247403">
                      <w:pPr>
                        <w:tabs>
                          <w:tab w:val="center" w:pos="5400"/>
                        </w:tabs>
                        <w:suppressAutoHyphens/>
                        <w:spacing w:before="60"/>
                        <w:rPr>
                          <w:rFonts w:asciiTheme="minorHAnsi" w:hAnsiTheme="minorHAnsi" w:cs="Univers"/>
                          <w:color w:val="0D0D0D" w:themeColor="text1" w:themeTint="F2"/>
                          <w:sz w:val="20"/>
                          <w:szCs w:val="20"/>
                          <w:lang w:val="es-ES"/>
                        </w:rPr>
                      </w:pPr>
                    </w:p>
                    <w:p w:rsidR="002F5915" w:rsidRPr="00167A34" w:rsidRDefault="002F591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A50FCF" w:rsidRPr="00D7479C" w:rsidRDefault="0090270B" w:rsidP="00040C3A">
      <w:pPr>
        <w:tabs>
          <w:tab w:val="center" w:pos="5400"/>
        </w:tabs>
        <w:suppressAutoHyphens/>
        <w:jc w:val="center"/>
        <w:rPr>
          <w:rFonts w:asciiTheme="majorHAnsi" w:hAnsiTheme="majorHAnsi"/>
          <w:sz w:val="20"/>
          <w:szCs w:val="20"/>
          <w:lang w:val="es-ES_tradnl"/>
        </w:rPr>
      </w:pPr>
      <w:r w:rsidRPr="00D7479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0008D8B" wp14:editId="7042DC0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15" w:rsidRPr="007B05C4" w:rsidRDefault="002F591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31CD" w:rsidRPr="003031CD">
                              <w:rPr>
                                <w:rFonts w:asciiTheme="majorHAnsi" w:hAnsiTheme="majorHAnsi"/>
                                <w:color w:val="595959" w:themeColor="text1" w:themeTint="A6"/>
                                <w:sz w:val="18"/>
                                <w:szCs w:val="18"/>
                                <w:lang w:val="pt-BR"/>
                              </w:rPr>
                              <w:t>32</w:t>
                            </w:r>
                            <w:r w:rsidRPr="003031CD">
                              <w:rPr>
                                <w:rFonts w:asciiTheme="majorHAnsi" w:hAnsiTheme="majorHAnsi"/>
                                <w:color w:val="595959" w:themeColor="text1" w:themeTint="A6"/>
                                <w:sz w:val="18"/>
                                <w:szCs w:val="18"/>
                                <w:lang w:val="pt-BR"/>
                              </w:rPr>
                              <w:t>/</w:t>
                            </w:r>
                            <w:r w:rsidR="003031CD" w:rsidRPr="003031CD">
                              <w:rPr>
                                <w:rFonts w:asciiTheme="majorHAnsi" w:hAnsiTheme="majorHAnsi"/>
                                <w:color w:val="595959" w:themeColor="text1" w:themeTint="A6"/>
                                <w:sz w:val="18"/>
                                <w:szCs w:val="18"/>
                                <w:lang w:val="pt-BR"/>
                              </w:rPr>
                              <w:t>21</w:t>
                            </w:r>
                            <w:r w:rsidRPr="003031C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723B7D">
                              <w:rPr>
                                <w:rFonts w:asciiTheme="majorHAnsi" w:hAnsiTheme="majorHAnsi"/>
                                <w:color w:val="595959" w:themeColor="text1" w:themeTint="A6"/>
                                <w:sz w:val="18"/>
                                <w:szCs w:val="18"/>
                                <w:lang w:val="es-ES"/>
                              </w:rPr>
                              <w:t>1041</w:t>
                            </w:r>
                            <w:r>
                              <w:rPr>
                                <w:rFonts w:asciiTheme="majorHAnsi" w:hAnsiTheme="majorHAnsi"/>
                                <w:color w:val="595959" w:themeColor="text1" w:themeTint="A6"/>
                                <w:sz w:val="18"/>
                                <w:szCs w:val="18"/>
                                <w:lang w:val="es-ES"/>
                              </w:rPr>
                              <w:t>-</w:t>
                            </w:r>
                            <w:r w:rsidR="00723B7D">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proofErr w:type="spellStart"/>
                            <w:r w:rsidR="003031CD">
                              <w:rPr>
                                <w:rFonts w:asciiTheme="majorHAnsi" w:hAnsiTheme="majorHAnsi"/>
                                <w:color w:val="595959" w:themeColor="text1" w:themeTint="A6"/>
                                <w:sz w:val="18"/>
                                <w:szCs w:val="18"/>
                                <w:lang w:val="es-ES_tradnl"/>
                              </w:rPr>
                              <w:t>In</w:t>
                            </w:r>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723B7D" w:rsidRPr="00723B7D">
                              <w:rPr>
                                <w:rFonts w:asciiTheme="majorHAnsi" w:hAnsiTheme="majorHAnsi"/>
                                <w:bCs/>
                                <w:color w:val="595959" w:themeColor="text1" w:themeTint="A6"/>
                                <w:sz w:val="18"/>
                                <w:szCs w:val="18"/>
                                <w:lang w:val="es-ES_tradnl"/>
                              </w:rPr>
                              <w:t>Heder Gómez Ibarra, Jair Quiroga Torres y Luis Fernando Zuluaga Castrillón</w:t>
                            </w:r>
                            <w:r w:rsidRPr="00890650">
                              <w:rPr>
                                <w:rFonts w:asciiTheme="majorHAnsi" w:hAnsiTheme="majorHAnsi"/>
                                <w:color w:val="595959" w:themeColor="text1" w:themeTint="A6"/>
                                <w:sz w:val="18"/>
                                <w:szCs w:val="18"/>
                                <w:lang w:val="es-ES_tradnl"/>
                              </w:rPr>
                              <w:t xml:space="preserve">. </w:t>
                            </w:r>
                            <w:r w:rsidR="002E657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031CD">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008D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F5915" w:rsidRPr="007B05C4" w:rsidRDefault="002F591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31CD" w:rsidRPr="003031CD">
                        <w:rPr>
                          <w:rFonts w:asciiTheme="majorHAnsi" w:hAnsiTheme="majorHAnsi"/>
                          <w:color w:val="595959" w:themeColor="text1" w:themeTint="A6"/>
                          <w:sz w:val="18"/>
                          <w:szCs w:val="18"/>
                          <w:lang w:val="pt-BR"/>
                        </w:rPr>
                        <w:t>32</w:t>
                      </w:r>
                      <w:r w:rsidRPr="003031CD">
                        <w:rPr>
                          <w:rFonts w:asciiTheme="majorHAnsi" w:hAnsiTheme="majorHAnsi"/>
                          <w:color w:val="595959" w:themeColor="text1" w:themeTint="A6"/>
                          <w:sz w:val="18"/>
                          <w:szCs w:val="18"/>
                          <w:lang w:val="pt-BR"/>
                        </w:rPr>
                        <w:t>/</w:t>
                      </w:r>
                      <w:r w:rsidR="003031CD" w:rsidRPr="003031CD">
                        <w:rPr>
                          <w:rFonts w:asciiTheme="majorHAnsi" w:hAnsiTheme="majorHAnsi"/>
                          <w:color w:val="595959" w:themeColor="text1" w:themeTint="A6"/>
                          <w:sz w:val="18"/>
                          <w:szCs w:val="18"/>
                          <w:lang w:val="pt-BR"/>
                        </w:rPr>
                        <w:t>21</w:t>
                      </w:r>
                      <w:r w:rsidRPr="003031C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723B7D">
                        <w:rPr>
                          <w:rFonts w:asciiTheme="majorHAnsi" w:hAnsiTheme="majorHAnsi"/>
                          <w:color w:val="595959" w:themeColor="text1" w:themeTint="A6"/>
                          <w:sz w:val="18"/>
                          <w:szCs w:val="18"/>
                          <w:lang w:val="es-ES"/>
                        </w:rPr>
                        <w:t>1041</w:t>
                      </w:r>
                      <w:r>
                        <w:rPr>
                          <w:rFonts w:asciiTheme="majorHAnsi" w:hAnsiTheme="majorHAnsi"/>
                          <w:color w:val="595959" w:themeColor="text1" w:themeTint="A6"/>
                          <w:sz w:val="18"/>
                          <w:szCs w:val="18"/>
                          <w:lang w:val="es-ES"/>
                        </w:rPr>
                        <w:t>-</w:t>
                      </w:r>
                      <w:r w:rsidR="00723B7D">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003031CD">
                        <w:rPr>
                          <w:rFonts w:asciiTheme="majorHAnsi" w:hAnsiTheme="majorHAnsi"/>
                          <w:color w:val="595959" w:themeColor="text1" w:themeTint="A6"/>
                          <w:sz w:val="18"/>
                          <w:szCs w:val="18"/>
                          <w:lang w:val="es-ES_tradnl"/>
                        </w:rPr>
                        <w:t>In</w:t>
                      </w:r>
                      <w:r w:rsidRPr="00890650">
                        <w:rPr>
                          <w:rFonts w:asciiTheme="majorHAnsi" w:hAnsiTheme="majorHAnsi"/>
                          <w:color w:val="595959" w:themeColor="text1" w:themeTint="A6"/>
                          <w:sz w:val="18"/>
                          <w:szCs w:val="18"/>
                          <w:lang w:val="es-ES_tradnl"/>
                        </w:rPr>
                        <w:t xml:space="preserve">dmisibilidad. </w:t>
                      </w:r>
                      <w:r w:rsidR="00723B7D" w:rsidRPr="00723B7D">
                        <w:rPr>
                          <w:rFonts w:asciiTheme="majorHAnsi" w:hAnsiTheme="majorHAnsi"/>
                          <w:bCs/>
                          <w:color w:val="595959" w:themeColor="text1" w:themeTint="A6"/>
                          <w:sz w:val="18"/>
                          <w:szCs w:val="18"/>
                          <w:lang w:val="es-ES_tradnl"/>
                        </w:rPr>
                        <w:t>Heder Gómez Ibarra, Jair Quiroga Torres y Luis Fernando Zuluaga Castrillón</w:t>
                      </w:r>
                      <w:r w:rsidRPr="00890650">
                        <w:rPr>
                          <w:rFonts w:asciiTheme="majorHAnsi" w:hAnsiTheme="majorHAnsi"/>
                          <w:color w:val="595959" w:themeColor="text1" w:themeTint="A6"/>
                          <w:sz w:val="18"/>
                          <w:szCs w:val="18"/>
                          <w:lang w:val="es-ES_tradnl"/>
                        </w:rPr>
                        <w:t xml:space="preserve">. </w:t>
                      </w:r>
                      <w:r w:rsidR="002E657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031CD">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D7479C" w:rsidRDefault="00A50FCF" w:rsidP="00040C3A">
      <w:pPr>
        <w:tabs>
          <w:tab w:val="center" w:pos="5400"/>
        </w:tabs>
        <w:suppressAutoHyphens/>
        <w:jc w:val="center"/>
        <w:rPr>
          <w:rFonts w:asciiTheme="majorHAnsi" w:hAnsiTheme="majorHAnsi"/>
          <w:sz w:val="20"/>
          <w:szCs w:val="20"/>
          <w:lang w:val="es-ES_tradnl"/>
        </w:rPr>
      </w:pPr>
    </w:p>
    <w:p w:rsidR="0090270B" w:rsidRPr="00D7479C" w:rsidRDefault="00D306D1" w:rsidP="005516A1">
      <w:pPr>
        <w:tabs>
          <w:tab w:val="center" w:pos="5400"/>
        </w:tabs>
        <w:suppressAutoHyphens/>
        <w:jc w:val="center"/>
        <w:rPr>
          <w:rFonts w:asciiTheme="majorHAnsi" w:hAnsiTheme="majorHAnsi"/>
          <w:b/>
          <w:sz w:val="20"/>
          <w:szCs w:val="20"/>
          <w:lang w:val="es-ES_tradnl"/>
        </w:rPr>
      </w:pPr>
      <w:r w:rsidRPr="00D7479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FFF9371" wp14:editId="1AC837F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15" w:rsidRPr="00D72DC6" w:rsidRDefault="00A2269B" w:rsidP="00F02AD1">
                            <w:pPr>
                              <w:rPr>
                                <w:color w:val="FFFFFF" w:themeColor="background1"/>
                                <w14:textFill>
                                  <w14:noFill/>
                                </w14:textFill>
                              </w:rPr>
                            </w:pPr>
                            <w:r>
                              <w:rPr>
                                <w:noProof/>
                                <w:color w:val="FFFFFF" w:themeColor="background1"/>
                              </w:rPr>
                              <w:drawing>
                                <wp:inline distT="0" distB="0" distL="0" distR="0" wp14:anchorId="6DA08FDD" wp14:editId="43BC101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F9371"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F5915" w:rsidRPr="00D72DC6" w:rsidRDefault="00A2269B" w:rsidP="00F02AD1">
                      <w:pPr>
                        <w:rPr>
                          <w:color w:val="FFFFFF" w:themeColor="background1"/>
                          <w14:textFill>
                            <w14:noFill/>
                          </w14:textFill>
                        </w:rPr>
                      </w:pPr>
                      <w:r>
                        <w:rPr>
                          <w:noProof/>
                          <w:color w:val="FFFFFF" w:themeColor="background1"/>
                        </w:rPr>
                        <w:drawing>
                          <wp:inline distT="0" distB="0" distL="0" distR="0" wp14:anchorId="6DA08FDD" wp14:editId="43BC101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7479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E188189" wp14:editId="5D2E271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915" w:rsidRPr="004B7EB6" w:rsidRDefault="002F59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18818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F5915" w:rsidRPr="004B7EB6" w:rsidRDefault="002F59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7479C" w:rsidRDefault="004A6A54" w:rsidP="005516A1">
      <w:pPr>
        <w:tabs>
          <w:tab w:val="center" w:pos="5400"/>
        </w:tabs>
        <w:suppressAutoHyphens/>
        <w:jc w:val="center"/>
        <w:rPr>
          <w:rFonts w:asciiTheme="majorHAnsi" w:hAnsiTheme="majorHAnsi"/>
          <w:b/>
          <w:sz w:val="20"/>
          <w:szCs w:val="20"/>
          <w:lang w:val="es-ES_tradnl"/>
        </w:rPr>
        <w:sectPr w:rsidR="0070697F" w:rsidRPr="00D7479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D7479C">
        <w:rPr>
          <w:rFonts w:asciiTheme="majorHAnsi" w:hAnsiTheme="majorHAnsi"/>
          <w:b/>
          <w:sz w:val="20"/>
          <w:szCs w:val="20"/>
          <w:lang w:val="es-ES_tradnl"/>
        </w:rPr>
        <w:tab/>
      </w:r>
    </w:p>
    <w:p w:rsidR="003239B8" w:rsidRPr="002E06BC" w:rsidRDefault="003239B8" w:rsidP="004A6A54">
      <w:pPr>
        <w:spacing w:after="240"/>
        <w:ind w:firstLine="720"/>
        <w:jc w:val="both"/>
        <w:rPr>
          <w:rFonts w:asciiTheme="majorHAnsi" w:hAnsiTheme="majorHAnsi"/>
          <w:b/>
          <w:bCs/>
          <w:sz w:val="20"/>
          <w:szCs w:val="20"/>
          <w:lang w:val="es-ES"/>
        </w:rPr>
      </w:pPr>
      <w:r w:rsidRPr="002E06BC">
        <w:rPr>
          <w:rFonts w:asciiTheme="majorHAnsi" w:hAnsiTheme="majorHAnsi"/>
          <w:b/>
          <w:bCs/>
          <w:sz w:val="20"/>
          <w:szCs w:val="20"/>
          <w:lang w:val="es-ES"/>
        </w:rPr>
        <w:lastRenderedPageBreak/>
        <w:t>I.</w:t>
      </w:r>
      <w:r w:rsidRPr="002E06B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2269B" w:rsidTr="004A6A54">
        <w:tc>
          <w:tcPr>
            <w:tcW w:w="3600" w:type="dxa"/>
            <w:tcBorders>
              <w:top w:val="single" w:sz="4"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Parte peticionaria:</w:t>
            </w:r>
          </w:p>
        </w:tc>
        <w:tc>
          <w:tcPr>
            <w:tcW w:w="5760" w:type="dxa"/>
            <w:vAlign w:val="center"/>
          </w:tcPr>
          <w:p w:rsidR="003239B8" w:rsidRPr="002E06BC" w:rsidRDefault="002A3AE9" w:rsidP="002F5915">
            <w:pPr>
              <w:jc w:val="both"/>
              <w:rPr>
                <w:rFonts w:asciiTheme="majorHAnsi" w:hAnsiTheme="majorHAnsi"/>
                <w:bCs/>
                <w:sz w:val="20"/>
                <w:szCs w:val="20"/>
                <w:lang w:val="es-ES"/>
              </w:rPr>
            </w:pPr>
            <w:r w:rsidRPr="002E06BC">
              <w:rPr>
                <w:rFonts w:asciiTheme="majorHAnsi" w:hAnsiTheme="majorHAnsi"/>
                <w:bCs/>
                <w:sz w:val="20"/>
                <w:szCs w:val="20"/>
                <w:lang w:val="es-ES"/>
              </w:rPr>
              <w:t>Hugo Bocanegra Pascuas</w:t>
            </w:r>
            <w:r w:rsidR="00A32DA0" w:rsidRPr="002E06BC">
              <w:rPr>
                <w:rFonts w:asciiTheme="majorHAnsi" w:hAnsiTheme="majorHAnsi"/>
                <w:bCs/>
                <w:sz w:val="20"/>
                <w:szCs w:val="20"/>
                <w:lang w:val="es-ES"/>
              </w:rPr>
              <w:t xml:space="preserve"> </w:t>
            </w:r>
            <w:r w:rsidR="00E732E5" w:rsidRPr="002E06BC">
              <w:rPr>
                <w:rFonts w:asciiTheme="majorHAnsi" w:hAnsiTheme="majorHAnsi"/>
                <w:bCs/>
                <w:sz w:val="20"/>
                <w:szCs w:val="20"/>
                <w:lang w:val="es-ES"/>
              </w:rPr>
              <w:t xml:space="preserve">y Asociación Sindical de Empelados del Instituto Nacional Penitenciario y Carcelario </w:t>
            </w:r>
            <w:r w:rsidR="00A32DA0" w:rsidRPr="002E06BC">
              <w:rPr>
                <w:rFonts w:asciiTheme="majorHAnsi" w:hAnsiTheme="majorHAnsi"/>
                <w:bCs/>
                <w:sz w:val="20"/>
                <w:szCs w:val="20"/>
                <w:lang w:val="es-ES"/>
              </w:rPr>
              <w:t xml:space="preserve">- </w:t>
            </w:r>
            <w:r w:rsidR="00E732E5" w:rsidRPr="002E06BC">
              <w:rPr>
                <w:rFonts w:asciiTheme="majorHAnsi" w:hAnsiTheme="majorHAnsi"/>
                <w:bCs/>
                <w:sz w:val="20"/>
                <w:szCs w:val="20"/>
                <w:lang w:val="es-ES"/>
              </w:rPr>
              <w:t>ASEINPEC</w:t>
            </w:r>
          </w:p>
        </w:tc>
      </w:tr>
      <w:tr w:rsidR="003239B8" w:rsidRPr="00A2269B" w:rsidTr="004A6A54">
        <w:tc>
          <w:tcPr>
            <w:tcW w:w="3600" w:type="dxa"/>
            <w:tcBorders>
              <w:top w:val="single" w:sz="6" w:space="0" w:color="auto"/>
              <w:bottom w:val="single" w:sz="6" w:space="0" w:color="auto"/>
            </w:tcBorders>
            <w:shd w:val="clear" w:color="auto" w:fill="386294"/>
            <w:vAlign w:val="center"/>
          </w:tcPr>
          <w:p w:rsidR="003239B8" w:rsidRPr="002E06BC" w:rsidRDefault="0062759E" w:rsidP="002F5915">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442AF" w:rsidRPr="002E06BC">
                  <w:rPr>
                    <w:rFonts w:asciiTheme="majorHAnsi" w:hAnsiTheme="majorHAnsi"/>
                    <w:b/>
                    <w:bCs/>
                    <w:color w:val="FFFFFF" w:themeColor="background1"/>
                    <w:sz w:val="20"/>
                    <w:szCs w:val="20"/>
                    <w:lang w:val="es-ES"/>
                  </w:rPr>
                  <w:t>Presunta víctima</w:t>
                </w:r>
              </w:sdtContent>
            </w:sdt>
            <w:r w:rsidR="003239B8" w:rsidRPr="002E06BC">
              <w:rPr>
                <w:rFonts w:asciiTheme="majorHAnsi" w:hAnsiTheme="majorHAnsi"/>
                <w:b/>
                <w:bCs/>
                <w:color w:val="FFFFFF" w:themeColor="background1"/>
                <w:sz w:val="20"/>
                <w:szCs w:val="20"/>
                <w:lang w:val="es-ES"/>
              </w:rPr>
              <w:t>:</w:t>
            </w:r>
          </w:p>
        </w:tc>
        <w:tc>
          <w:tcPr>
            <w:tcW w:w="5760" w:type="dxa"/>
            <w:vAlign w:val="center"/>
          </w:tcPr>
          <w:p w:rsidR="003239B8" w:rsidRPr="002E06BC" w:rsidRDefault="00C23254" w:rsidP="002F5915">
            <w:pPr>
              <w:jc w:val="both"/>
              <w:rPr>
                <w:rFonts w:asciiTheme="majorHAnsi" w:hAnsiTheme="majorHAnsi"/>
                <w:bCs/>
                <w:sz w:val="20"/>
                <w:szCs w:val="20"/>
                <w:lang w:val="es-ES"/>
              </w:rPr>
            </w:pPr>
            <w:r w:rsidRPr="002E06BC">
              <w:rPr>
                <w:rFonts w:asciiTheme="majorHAnsi" w:hAnsiTheme="majorHAnsi"/>
                <w:bCs/>
                <w:sz w:val="20"/>
                <w:szCs w:val="20"/>
                <w:lang w:val="es-ES"/>
              </w:rPr>
              <w:t xml:space="preserve">Heder Gómez Ibarra, Jair Quiroga Torres </w:t>
            </w:r>
            <w:r w:rsidR="00BE149F" w:rsidRPr="002E06BC">
              <w:rPr>
                <w:rFonts w:asciiTheme="majorHAnsi" w:hAnsiTheme="majorHAnsi"/>
                <w:bCs/>
                <w:sz w:val="20"/>
                <w:szCs w:val="20"/>
                <w:lang w:val="es-ES"/>
              </w:rPr>
              <w:t xml:space="preserve">y </w:t>
            </w:r>
            <w:r w:rsidRPr="002E06BC">
              <w:rPr>
                <w:rFonts w:asciiTheme="majorHAnsi" w:hAnsiTheme="majorHAnsi"/>
                <w:bCs/>
                <w:sz w:val="20"/>
                <w:szCs w:val="20"/>
                <w:lang w:val="es-ES"/>
              </w:rPr>
              <w:t xml:space="preserve">Luis Fernando Zuluaga Castrillón </w:t>
            </w:r>
          </w:p>
        </w:tc>
      </w:tr>
      <w:tr w:rsidR="003239B8" w:rsidRPr="002E06BC" w:rsidTr="004A6A54">
        <w:tc>
          <w:tcPr>
            <w:tcW w:w="3600" w:type="dxa"/>
            <w:tcBorders>
              <w:top w:val="single" w:sz="6"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Estado denunciado:</w:t>
            </w:r>
          </w:p>
        </w:tc>
        <w:tc>
          <w:tcPr>
            <w:tcW w:w="5760" w:type="dxa"/>
            <w:vAlign w:val="center"/>
          </w:tcPr>
          <w:p w:rsidR="003239B8" w:rsidRPr="002E06BC" w:rsidRDefault="00C23254" w:rsidP="002F5915">
            <w:pPr>
              <w:jc w:val="both"/>
              <w:rPr>
                <w:rFonts w:asciiTheme="majorHAnsi" w:hAnsiTheme="majorHAnsi"/>
                <w:bCs/>
                <w:sz w:val="20"/>
                <w:szCs w:val="20"/>
                <w:lang w:val="es-ES"/>
              </w:rPr>
            </w:pPr>
            <w:r w:rsidRPr="002E06BC">
              <w:rPr>
                <w:rFonts w:asciiTheme="majorHAnsi" w:hAnsiTheme="majorHAnsi"/>
                <w:bCs/>
                <w:sz w:val="20"/>
                <w:szCs w:val="20"/>
                <w:lang w:val="es-ES"/>
              </w:rPr>
              <w:t>Colombia</w:t>
            </w:r>
          </w:p>
        </w:tc>
      </w:tr>
      <w:tr w:rsidR="00223A29" w:rsidRPr="00A2269B" w:rsidTr="004A6A54">
        <w:tc>
          <w:tcPr>
            <w:tcW w:w="3600" w:type="dxa"/>
            <w:tcBorders>
              <w:top w:val="single" w:sz="6" w:space="0" w:color="auto"/>
              <w:bottom w:val="single" w:sz="6" w:space="0" w:color="auto"/>
            </w:tcBorders>
            <w:shd w:val="clear" w:color="auto" w:fill="386294"/>
            <w:vAlign w:val="center"/>
          </w:tcPr>
          <w:p w:rsidR="00223A29" w:rsidRPr="002E06BC" w:rsidRDefault="001B3A00" w:rsidP="00E4118C">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 xml:space="preserve">Derechos </w:t>
            </w:r>
            <w:r w:rsidR="00E4118C" w:rsidRPr="002E06BC">
              <w:rPr>
                <w:rFonts w:asciiTheme="majorHAnsi" w:hAnsiTheme="majorHAnsi"/>
                <w:b/>
                <w:bCs/>
                <w:color w:val="FFFFFF" w:themeColor="background1"/>
                <w:sz w:val="20"/>
                <w:szCs w:val="20"/>
                <w:lang w:val="es-ES"/>
              </w:rPr>
              <w:t>invocados</w:t>
            </w:r>
            <w:r w:rsidRPr="002E06BC">
              <w:rPr>
                <w:rFonts w:asciiTheme="majorHAnsi" w:hAnsiTheme="majorHAnsi"/>
                <w:b/>
                <w:bCs/>
                <w:color w:val="FFFFFF" w:themeColor="background1"/>
                <w:sz w:val="20"/>
                <w:szCs w:val="20"/>
                <w:lang w:val="es-ES"/>
              </w:rPr>
              <w:t>:</w:t>
            </w:r>
          </w:p>
        </w:tc>
        <w:tc>
          <w:tcPr>
            <w:tcW w:w="5760" w:type="dxa"/>
            <w:vAlign w:val="center"/>
          </w:tcPr>
          <w:p w:rsidR="00223A29" w:rsidRPr="002E06BC" w:rsidRDefault="008B01FB" w:rsidP="002F5915">
            <w:pPr>
              <w:jc w:val="both"/>
              <w:rPr>
                <w:rFonts w:asciiTheme="majorHAnsi" w:hAnsiTheme="majorHAnsi"/>
                <w:bCs/>
                <w:sz w:val="20"/>
                <w:szCs w:val="20"/>
                <w:lang w:val="es-ES"/>
              </w:rPr>
            </w:pPr>
            <w:r w:rsidRPr="002E06BC">
              <w:rPr>
                <w:rFonts w:asciiTheme="majorHAnsi" w:hAnsiTheme="majorHAnsi"/>
                <w:bCs/>
                <w:sz w:val="20"/>
                <w:szCs w:val="20"/>
                <w:lang w:val="es-ES"/>
              </w:rPr>
              <w:t>Artículos 8 (garantías judiciales), 16 (libertad de asociación), 24 (igualdad</w:t>
            </w:r>
            <w:r w:rsidR="00DD0D2D" w:rsidRPr="002E06BC">
              <w:rPr>
                <w:rFonts w:asciiTheme="majorHAnsi" w:hAnsiTheme="majorHAnsi"/>
                <w:bCs/>
                <w:sz w:val="20"/>
                <w:szCs w:val="20"/>
                <w:lang w:val="es-ES"/>
              </w:rPr>
              <w:t xml:space="preserve"> ante la ley</w:t>
            </w:r>
            <w:r w:rsidRPr="002E06BC">
              <w:rPr>
                <w:rFonts w:asciiTheme="majorHAnsi" w:hAnsiTheme="majorHAnsi"/>
                <w:bCs/>
                <w:sz w:val="20"/>
                <w:szCs w:val="20"/>
                <w:lang w:val="es-ES"/>
              </w:rPr>
              <w:t>), 25 (protección judicial) de la Convención Americana sobre Derechos Humano</w:t>
            </w:r>
            <w:r w:rsidR="00131B63" w:rsidRPr="002E06BC">
              <w:rPr>
                <w:rFonts w:asciiTheme="majorHAnsi" w:hAnsiTheme="majorHAnsi"/>
                <w:bCs/>
                <w:sz w:val="20"/>
                <w:szCs w:val="20"/>
                <w:lang w:val="es-ES"/>
              </w:rPr>
              <w:t>s</w:t>
            </w:r>
            <w:r w:rsidRPr="002E06BC">
              <w:rPr>
                <w:rStyle w:val="FootnoteReference"/>
                <w:rFonts w:asciiTheme="majorHAnsi" w:hAnsiTheme="majorHAnsi"/>
                <w:bCs/>
                <w:sz w:val="20"/>
                <w:szCs w:val="20"/>
                <w:lang w:val="es-ES"/>
              </w:rPr>
              <w:footnoteReference w:id="2"/>
            </w:r>
            <w:r w:rsidRPr="002E06BC">
              <w:rPr>
                <w:rFonts w:asciiTheme="majorHAnsi" w:hAnsiTheme="majorHAnsi"/>
                <w:bCs/>
                <w:sz w:val="20"/>
                <w:szCs w:val="20"/>
                <w:lang w:val="es-ES"/>
              </w:rPr>
              <w:t xml:space="preserve"> en conexión con el artículo 1</w:t>
            </w:r>
            <w:r w:rsidR="00537982" w:rsidRPr="002E06BC">
              <w:rPr>
                <w:rFonts w:asciiTheme="majorHAnsi" w:hAnsiTheme="majorHAnsi"/>
                <w:bCs/>
                <w:sz w:val="20"/>
                <w:szCs w:val="20"/>
                <w:lang w:val="es-ES"/>
              </w:rPr>
              <w:t>.1</w:t>
            </w:r>
            <w:r w:rsidRPr="002E06BC">
              <w:rPr>
                <w:rFonts w:asciiTheme="majorHAnsi" w:hAnsiTheme="majorHAnsi"/>
                <w:bCs/>
                <w:sz w:val="20"/>
                <w:szCs w:val="20"/>
                <w:lang w:val="es-ES"/>
              </w:rPr>
              <w:t xml:space="preserve"> (obligación de respetar derechos) </w:t>
            </w:r>
            <w:r w:rsidR="00E96074" w:rsidRPr="002E06BC">
              <w:rPr>
                <w:rFonts w:asciiTheme="majorHAnsi" w:hAnsiTheme="majorHAnsi"/>
                <w:bCs/>
                <w:sz w:val="20"/>
                <w:szCs w:val="20"/>
                <w:lang w:val="es-ES"/>
              </w:rPr>
              <w:t>del mismo instrumento</w:t>
            </w:r>
          </w:p>
        </w:tc>
      </w:tr>
    </w:tbl>
    <w:p w:rsidR="003239B8" w:rsidRPr="002E06BC" w:rsidRDefault="003239B8" w:rsidP="003239B8">
      <w:pPr>
        <w:spacing w:before="240" w:after="240"/>
        <w:ind w:firstLine="720"/>
        <w:jc w:val="both"/>
        <w:rPr>
          <w:rFonts w:asciiTheme="majorHAnsi" w:hAnsiTheme="majorHAnsi"/>
          <w:b/>
          <w:bCs/>
          <w:sz w:val="20"/>
          <w:szCs w:val="20"/>
          <w:lang w:val="es-ES"/>
        </w:rPr>
      </w:pPr>
      <w:r w:rsidRPr="002E06BC">
        <w:rPr>
          <w:rFonts w:asciiTheme="majorHAnsi" w:hAnsiTheme="majorHAnsi"/>
          <w:b/>
          <w:bCs/>
          <w:sz w:val="20"/>
          <w:szCs w:val="20"/>
          <w:lang w:val="es-ES"/>
        </w:rPr>
        <w:t>II.</w:t>
      </w:r>
      <w:r w:rsidRPr="002E06BC">
        <w:rPr>
          <w:rFonts w:asciiTheme="majorHAnsi" w:hAnsiTheme="majorHAnsi"/>
          <w:b/>
          <w:bCs/>
          <w:sz w:val="20"/>
          <w:szCs w:val="20"/>
          <w:lang w:val="es-ES"/>
        </w:rPr>
        <w:tab/>
        <w:t>TRÁMITE ANTE LA CIDH</w:t>
      </w:r>
      <w:r w:rsidR="008E3BFE" w:rsidRPr="002E06BC">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E06BC" w:rsidTr="004A6A54">
        <w:tc>
          <w:tcPr>
            <w:tcW w:w="3600" w:type="dxa"/>
            <w:tcBorders>
              <w:top w:val="single" w:sz="6" w:space="0" w:color="auto"/>
              <w:bottom w:val="single" w:sz="6" w:space="0" w:color="auto"/>
            </w:tcBorders>
            <w:shd w:val="clear" w:color="auto" w:fill="386294"/>
            <w:vAlign w:val="center"/>
          </w:tcPr>
          <w:p w:rsidR="004C2312" w:rsidRPr="002E06BC" w:rsidRDefault="004A6A54" w:rsidP="004A6A54">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P</w:t>
            </w:r>
            <w:r w:rsidR="004C2312" w:rsidRPr="002E06BC">
              <w:rPr>
                <w:rFonts w:asciiTheme="majorHAnsi" w:hAnsiTheme="majorHAnsi"/>
                <w:b/>
                <w:bCs/>
                <w:color w:val="FFFFFF" w:themeColor="background1"/>
                <w:sz w:val="20"/>
                <w:szCs w:val="20"/>
                <w:lang w:val="es-ES"/>
              </w:rPr>
              <w:t>resentación de la petición:</w:t>
            </w:r>
          </w:p>
        </w:tc>
        <w:tc>
          <w:tcPr>
            <w:tcW w:w="5760" w:type="dxa"/>
            <w:vAlign w:val="center"/>
          </w:tcPr>
          <w:p w:rsidR="004C2312" w:rsidRPr="002E06BC" w:rsidRDefault="002A3AE9" w:rsidP="002F5915">
            <w:pPr>
              <w:jc w:val="both"/>
              <w:rPr>
                <w:rFonts w:asciiTheme="majorHAnsi" w:hAnsiTheme="majorHAnsi"/>
                <w:bCs/>
                <w:sz w:val="20"/>
                <w:szCs w:val="20"/>
                <w:lang w:val="es-ES"/>
              </w:rPr>
            </w:pPr>
            <w:r w:rsidRPr="002E06BC">
              <w:rPr>
                <w:rFonts w:asciiTheme="majorHAnsi" w:hAnsiTheme="majorHAnsi"/>
                <w:bCs/>
                <w:sz w:val="20"/>
                <w:szCs w:val="20"/>
                <w:lang w:val="es-ES"/>
              </w:rPr>
              <w:t>4 de agosto de 2011</w:t>
            </w:r>
          </w:p>
        </w:tc>
      </w:tr>
      <w:tr w:rsidR="00131425" w:rsidRPr="00A2269B" w:rsidTr="004A6A54">
        <w:tc>
          <w:tcPr>
            <w:tcW w:w="3600" w:type="dxa"/>
            <w:tcBorders>
              <w:top w:val="single" w:sz="6" w:space="0" w:color="auto"/>
              <w:bottom w:val="single" w:sz="6" w:space="0" w:color="auto"/>
            </w:tcBorders>
            <w:shd w:val="clear" w:color="auto" w:fill="386294"/>
            <w:vAlign w:val="center"/>
          </w:tcPr>
          <w:p w:rsidR="00131425" w:rsidRPr="002E06BC" w:rsidRDefault="00131425" w:rsidP="004A6A54">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31425" w:rsidRPr="002E06BC" w:rsidRDefault="00815CD0" w:rsidP="002F5915">
            <w:pPr>
              <w:jc w:val="both"/>
              <w:rPr>
                <w:rFonts w:asciiTheme="majorHAnsi" w:hAnsiTheme="majorHAnsi"/>
                <w:bCs/>
                <w:sz w:val="20"/>
                <w:szCs w:val="20"/>
                <w:lang w:val="es-ES"/>
              </w:rPr>
            </w:pPr>
            <w:r w:rsidRPr="002E06BC">
              <w:rPr>
                <w:rFonts w:asciiTheme="majorHAnsi" w:hAnsiTheme="majorHAnsi"/>
                <w:bCs/>
                <w:sz w:val="20"/>
                <w:szCs w:val="20"/>
                <w:lang w:val="es-ES"/>
              </w:rPr>
              <w:t xml:space="preserve">6 </w:t>
            </w:r>
            <w:r w:rsidR="00EB629F" w:rsidRPr="002E06BC">
              <w:rPr>
                <w:rFonts w:asciiTheme="majorHAnsi" w:hAnsiTheme="majorHAnsi"/>
                <w:bCs/>
                <w:sz w:val="20"/>
                <w:szCs w:val="20"/>
                <w:lang w:val="es-ES"/>
              </w:rPr>
              <w:t>de marzo de 2012</w:t>
            </w:r>
            <w:r w:rsidR="00CB3FEA" w:rsidRPr="002E06BC">
              <w:rPr>
                <w:rFonts w:asciiTheme="majorHAnsi" w:hAnsiTheme="majorHAnsi"/>
                <w:bCs/>
                <w:sz w:val="20"/>
                <w:szCs w:val="20"/>
                <w:lang w:val="es-ES"/>
              </w:rPr>
              <w:t xml:space="preserve">, 26 de marzo de 2012, 6 de mayo de 2013, </w:t>
            </w:r>
            <w:r w:rsidR="00CC103D" w:rsidRPr="002E06BC">
              <w:rPr>
                <w:rFonts w:asciiTheme="majorHAnsi" w:hAnsiTheme="majorHAnsi"/>
                <w:bCs/>
                <w:sz w:val="20"/>
                <w:szCs w:val="20"/>
                <w:lang w:val="es-ES"/>
              </w:rPr>
              <w:t>20 de junio de 201</w:t>
            </w:r>
            <w:r w:rsidR="00717B59" w:rsidRPr="002E06BC">
              <w:rPr>
                <w:rFonts w:asciiTheme="majorHAnsi" w:hAnsiTheme="majorHAnsi"/>
                <w:bCs/>
                <w:sz w:val="20"/>
                <w:szCs w:val="20"/>
                <w:lang w:val="es-ES"/>
              </w:rPr>
              <w:t>3</w:t>
            </w:r>
            <w:r w:rsidR="00537982" w:rsidRPr="002E06BC">
              <w:rPr>
                <w:rFonts w:asciiTheme="majorHAnsi" w:hAnsiTheme="majorHAnsi"/>
                <w:bCs/>
                <w:sz w:val="20"/>
                <w:szCs w:val="20"/>
                <w:lang w:val="es-ES"/>
              </w:rPr>
              <w:t xml:space="preserve"> y</w:t>
            </w:r>
            <w:r w:rsidR="00F025C8" w:rsidRPr="002E06BC">
              <w:rPr>
                <w:rFonts w:asciiTheme="majorHAnsi" w:hAnsiTheme="majorHAnsi"/>
                <w:bCs/>
                <w:sz w:val="20"/>
                <w:szCs w:val="20"/>
                <w:lang w:val="es-ES"/>
              </w:rPr>
              <w:t xml:space="preserve"> 9 de septiembre de 2014</w:t>
            </w:r>
          </w:p>
        </w:tc>
      </w:tr>
      <w:tr w:rsidR="004C2312" w:rsidRPr="002E06BC" w:rsidTr="004A6A54">
        <w:tc>
          <w:tcPr>
            <w:tcW w:w="3600" w:type="dxa"/>
            <w:tcBorders>
              <w:top w:val="single" w:sz="6" w:space="0" w:color="auto"/>
              <w:bottom w:val="single" w:sz="6" w:space="0" w:color="auto"/>
            </w:tcBorders>
            <w:shd w:val="clear" w:color="auto" w:fill="386294"/>
            <w:vAlign w:val="center"/>
          </w:tcPr>
          <w:p w:rsidR="004C2312" w:rsidRPr="002E06BC" w:rsidRDefault="004A6A54" w:rsidP="004A6A54">
            <w:pPr>
              <w:jc w:val="center"/>
              <w:rPr>
                <w:rFonts w:asciiTheme="majorHAnsi" w:hAnsiTheme="majorHAnsi"/>
                <w:b/>
                <w:bCs/>
                <w:color w:val="FFFFFF" w:themeColor="background1"/>
                <w:sz w:val="20"/>
                <w:szCs w:val="20"/>
                <w:lang w:val="es-ES"/>
              </w:rPr>
            </w:pPr>
            <w:r w:rsidRPr="002E06BC">
              <w:rPr>
                <w:rFonts w:asciiTheme="majorHAnsi" w:hAnsiTheme="majorHAnsi"/>
                <w:b/>
                <w:color w:val="FFFFFF" w:themeColor="background1"/>
                <w:sz w:val="20"/>
                <w:szCs w:val="20"/>
                <w:lang w:val="es-ES"/>
              </w:rPr>
              <w:t>N</w:t>
            </w:r>
            <w:r w:rsidR="004C2312" w:rsidRPr="002E06BC">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2E06BC" w:rsidRDefault="00717B59" w:rsidP="002F5915">
            <w:pPr>
              <w:jc w:val="both"/>
              <w:rPr>
                <w:rFonts w:asciiTheme="majorHAnsi" w:hAnsiTheme="majorHAnsi"/>
                <w:bCs/>
                <w:sz w:val="20"/>
                <w:szCs w:val="20"/>
                <w:lang w:val="es-ES"/>
              </w:rPr>
            </w:pPr>
            <w:r w:rsidRPr="002E06BC">
              <w:rPr>
                <w:rFonts w:asciiTheme="majorHAnsi" w:hAnsiTheme="majorHAnsi"/>
                <w:bCs/>
                <w:sz w:val="20"/>
                <w:szCs w:val="20"/>
                <w:lang w:val="es-ES"/>
              </w:rPr>
              <w:t xml:space="preserve">13 </w:t>
            </w:r>
            <w:r w:rsidR="00EF6EC7" w:rsidRPr="002E06BC">
              <w:rPr>
                <w:rFonts w:asciiTheme="majorHAnsi" w:hAnsiTheme="majorHAnsi"/>
                <w:bCs/>
                <w:sz w:val="20"/>
                <w:szCs w:val="20"/>
                <w:lang w:val="es-ES"/>
              </w:rPr>
              <w:t>de junio de 2017</w:t>
            </w:r>
          </w:p>
        </w:tc>
      </w:tr>
      <w:tr w:rsidR="004C2312" w:rsidRPr="002E06BC" w:rsidTr="004A6A54">
        <w:tc>
          <w:tcPr>
            <w:tcW w:w="3600" w:type="dxa"/>
            <w:tcBorders>
              <w:top w:val="single" w:sz="6" w:space="0" w:color="auto"/>
              <w:bottom w:val="single" w:sz="6" w:space="0" w:color="auto"/>
            </w:tcBorders>
            <w:shd w:val="clear" w:color="auto" w:fill="386294"/>
            <w:vAlign w:val="center"/>
          </w:tcPr>
          <w:p w:rsidR="004C2312" w:rsidRPr="002E06BC" w:rsidRDefault="004A6A54" w:rsidP="004A6A54">
            <w:pPr>
              <w:jc w:val="center"/>
              <w:rPr>
                <w:rFonts w:asciiTheme="majorHAnsi" w:hAnsiTheme="majorHAnsi"/>
                <w:b/>
                <w:bCs/>
                <w:color w:val="FFFFFF" w:themeColor="background1"/>
                <w:sz w:val="20"/>
                <w:szCs w:val="20"/>
                <w:lang w:val="es-ES"/>
              </w:rPr>
            </w:pPr>
            <w:r w:rsidRPr="002E06BC">
              <w:rPr>
                <w:rFonts w:asciiTheme="majorHAnsi" w:hAnsiTheme="majorHAnsi"/>
                <w:b/>
                <w:color w:val="FFFFFF" w:themeColor="background1"/>
                <w:sz w:val="20"/>
                <w:szCs w:val="20"/>
                <w:lang w:val="es-ES"/>
              </w:rPr>
              <w:t>P</w:t>
            </w:r>
            <w:r w:rsidR="004C2312" w:rsidRPr="002E06BC">
              <w:rPr>
                <w:rFonts w:asciiTheme="majorHAnsi" w:hAnsiTheme="majorHAnsi"/>
                <w:b/>
                <w:color w:val="FFFFFF" w:themeColor="background1"/>
                <w:sz w:val="20"/>
                <w:szCs w:val="20"/>
                <w:lang w:val="es-ES"/>
              </w:rPr>
              <w:t>rimera respuesta del Estado:</w:t>
            </w:r>
          </w:p>
        </w:tc>
        <w:tc>
          <w:tcPr>
            <w:tcW w:w="5760" w:type="dxa"/>
            <w:vAlign w:val="center"/>
          </w:tcPr>
          <w:p w:rsidR="004C2312" w:rsidRPr="002E06BC" w:rsidRDefault="00DC0308" w:rsidP="002F5915">
            <w:pPr>
              <w:jc w:val="both"/>
              <w:rPr>
                <w:rFonts w:asciiTheme="majorHAnsi" w:hAnsiTheme="majorHAnsi"/>
                <w:bCs/>
                <w:sz w:val="20"/>
                <w:szCs w:val="20"/>
                <w:lang w:val="es-ES"/>
              </w:rPr>
            </w:pPr>
            <w:r w:rsidRPr="002E06BC">
              <w:rPr>
                <w:rFonts w:asciiTheme="majorHAnsi" w:hAnsiTheme="majorHAnsi"/>
                <w:bCs/>
                <w:sz w:val="20"/>
                <w:szCs w:val="20"/>
                <w:lang w:val="es-ES"/>
              </w:rPr>
              <w:t>4</w:t>
            </w:r>
            <w:r w:rsidR="000A4043" w:rsidRPr="002E06BC">
              <w:rPr>
                <w:rFonts w:asciiTheme="majorHAnsi" w:hAnsiTheme="majorHAnsi"/>
                <w:bCs/>
                <w:sz w:val="20"/>
                <w:szCs w:val="20"/>
                <w:lang w:val="es-ES"/>
              </w:rPr>
              <w:t xml:space="preserve"> de abril de 2018</w:t>
            </w:r>
          </w:p>
        </w:tc>
      </w:tr>
      <w:tr w:rsidR="004C2312" w:rsidRPr="00A2269B" w:rsidTr="004A6A54">
        <w:tc>
          <w:tcPr>
            <w:tcW w:w="3600" w:type="dxa"/>
            <w:tcBorders>
              <w:top w:val="single" w:sz="6" w:space="0" w:color="auto"/>
              <w:bottom w:val="single" w:sz="6" w:space="0" w:color="auto"/>
            </w:tcBorders>
            <w:shd w:val="clear" w:color="auto" w:fill="386294"/>
            <w:vAlign w:val="center"/>
          </w:tcPr>
          <w:p w:rsidR="004C2312" w:rsidRPr="002E06BC" w:rsidRDefault="008E3BFE" w:rsidP="008E3BFE">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2E06BC" w:rsidRDefault="00E40BC4" w:rsidP="002F5915">
            <w:pPr>
              <w:jc w:val="both"/>
              <w:rPr>
                <w:rFonts w:asciiTheme="majorHAnsi" w:hAnsiTheme="majorHAnsi"/>
                <w:bCs/>
                <w:sz w:val="20"/>
                <w:szCs w:val="20"/>
                <w:lang w:val="es-ES"/>
              </w:rPr>
            </w:pPr>
            <w:r w:rsidRPr="002E06BC">
              <w:rPr>
                <w:rFonts w:asciiTheme="majorHAnsi" w:hAnsiTheme="majorHAnsi"/>
                <w:bCs/>
                <w:sz w:val="20"/>
                <w:szCs w:val="20"/>
                <w:lang w:val="es-ES"/>
              </w:rPr>
              <w:t>31 de julio de 2017</w:t>
            </w:r>
            <w:r w:rsidR="005D65F0" w:rsidRPr="002E06BC">
              <w:rPr>
                <w:rFonts w:asciiTheme="majorHAnsi" w:hAnsiTheme="majorHAnsi"/>
                <w:bCs/>
                <w:sz w:val="20"/>
                <w:szCs w:val="20"/>
                <w:lang w:val="es-ES"/>
              </w:rPr>
              <w:t xml:space="preserve"> </w:t>
            </w:r>
            <w:r w:rsidR="00FF2F74" w:rsidRPr="002E06BC">
              <w:rPr>
                <w:rFonts w:asciiTheme="majorHAnsi" w:hAnsiTheme="majorHAnsi"/>
                <w:bCs/>
                <w:sz w:val="20"/>
                <w:szCs w:val="20"/>
                <w:lang w:val="es-ES"/>
              </w:rPr>
              <w:t>y 13 de diciembre de 2018</w:t>
            </w:r>
          </w:p>
        </w:tc>
      </w:tr>
    </w:tbl>
    <w:p w:rsidR="003239B8" w:rsidRPr="002E06BC" w:rsidRDefault="003239B8" w:rsidP="003239B8">
      <w:pPr>
        <w:spacing w:before="240" w:after="240"/>
        <w:ind w:firstLine="720"/>
        <w:jc w:val="both"/>
        <w:rPr>
          <w:rFonts w:asciiTheme="majorHAnsi" w:hAnsiTheme="majorHAnsi"/>
          <w:b/>
          <w:bCs/>
          <w:sz w:val="20"/>
          <w:szCs w:val="20"/>
          <w:lang w:val="es-ES"/>
        </w:rPr>
      </w:pPr>
      <w:r w:rsidRPr="002E06BC">
        <w:rPr>
          <w:rFonts w:asciiTheme="majorHAnsi" w:hAnsiTheme="majorHAnsi"/>
          <w:b/>
          <w:bCs/>
          <w:sz w:val="20"/>
          <w:szCs w:val="20"/>
          <w:lang w:val="es-ES"/>
        </w:rPr>
        <w:t xml:space="preserve">III. </w:t>
      </w:r>
      <w:r w:rsidRPr="002E06BC">
        <w:rPr>
          <w:rFonts w:asciiTheme="majorHAnsi" w:hAnsiTheme="majorHAnsi"/>
          <w:b/>
          <w:bCs/>
          <w:sz w:val="20"/>
          <w:szCs w:val="20"/>
          <w:lang w:val="es-ES"/>
        </w:rPr>
        <w:tab/>
        <w:t>COMPETENCIA</w:t>
      </w:r>
      <w:r w:rsidR="00EE00E9" w:rsidRPr="002E06B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E06BC" w:rsidTr="004A6A54">
        <w:trPr>
          <w:cantSplit/>
        </w:trPr>
        <w:tc>
          <w:tcPr>
            <w:tcW w:w="3600" w:type="dxa"/>
            <w:tcBorders>
              <w:top w:val="single" w:sz="4"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i/>
                <w:color w:val="FFFFFF" w:themeColor="background1"/>
                <w:sz w:val="20"/>
                <w:szCs w:val="20"/>
                <w:lang w:val="es-ES"/>
              </w:rPr>
            </w:pPr>
            <w:r w:rsidRPr="002E06BC">
              <w:rPr>
                <w:rFonts w:asciiTheme="majorHAnsi" w:hAnsiTheme="majorHAnsi"/>
                <w:b/>
                <w:bCs/>
                <w:color w:val="FFFFFF" w:themeColor="background1"/>
                <w:sz w:val="20"/>
                <w:szCs w:val="20"/>
                <w:lang w:val="es-ES"/>
              </w:rPr>
              <w:t>Competencia</w:t>
            </w:r>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Ratione</w:t>
            </w:r>
            <w:proofErr w:type="spellEnd"/>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personae</w:t>
            </w:r>
            <w:proofErr w:type="spellEnd"/>
            <w:r w:rsidRPr="002E06BC">
              <w:rPr>
                <w:rFonts w:asciiTheme="majorHAnsi" w:hAnsiTheme="majorHAnsi"/>
                <w:b/>
                <w:bCs/>
                <w:i/>
                <w:color w:val="FFFFFF" w:themeColor="background1"/>
                <w:sz w:val="20"/>
                <w:szCs w:val="20"/>
                <w:lang w:val="es-ES"/>
              </w:rPr>
              <w:t>:</w:t>
            </w:r>
          </w:p>
        </w:tc>
        <w:tc>
          <w:tcPr>
            <w:tcW w:w="5760" w:type="dxa"/>
            <w:vAlign w:val="center"/>
          </w:tcPr>
          <w:p w:rsidR="003239B8" w:rsidRPr="002E06BC" w:rsidRDefault="00A32DA0" w:rsidP="002F5915">
            <w:pPr>
              <w:rPr>
                <w:rFonts w:asciiTheme="majorHAnsi" w:hAnsiTheme="majorHAnsi"/>
                <w:bCs/>
                <w:sz w:val="20"/>
                <w:szCs w:val="20"/>
                <w:lang w:val="es-ES"/>
              </w:rPr>
            </w:pPr>
            <w:r w:rsidRPr="002E06BC">
              <w:rPr>
                <w:rFonts w:asciiTheme="majorHAnsi" w:hAnsiTheme="majorHAnsi"/>
                <w:bCs/>
                <w:sz w:val="20"/>
                <w:szCs w:val="20"/>
                <w:lang w:val="es-ES"/>
              </w:rPr>
              <w:t>Sí</w:t>
            </w:r>
          </w:p>
        </w:tc>
      </w:tr>
      <w:tr w:rsidR="003239B8" w:rsidRPr="002E06BC" w:rsidTr="004A6A54">
        <w:trPr>
          <w:cantSplit/>
        </w:trPr>
        <w:tc>
          <w:tcPr>
            <w:tcW w:w="3600" w:type="dxa"/>
            <w:tcBorders>
              <w:top w:val="single" w:sz="6"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Competencia</w:t>
            </w:r>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Ratione</w:t>
            </w:r>
            <w:proofErr w:type="spellEnd"/>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loci</w:t>
            </w:r>
            <w:proofErr w:type="spellEnd"/>
            <w:r w:rsidRPr="002E06BC">
              <w:rPr>
                <w:rFonts w:asciiTheme="majorHAnsi" w:hAnsiTheme="majorHAnsi"/>
                <w:b/>
                <w:bCs/>
                <w:color w:val="FFFFFF" w:themeColor="background1"/>
                <w:sz w:val="20"/>
                <w:szCs w:val="20"/>
                <w:lang w:val="es-ES"/>
              </w:rPr>
              <w:t>:</w:t>
            </w:r>
          </w:p>
        </w:tc>
        <w:tc>
          <w:tcPr>
            <w:tcW w:w="5760" w:type="dxa"/>
            <w:vAlign w:val="center"/>
          </w:tcPr>
          <w:p w:rsidR="003239B8" w:rsidRPr="002E06BC" w:rsidRDefault="00A32DA0" w:rsidP="002F5915">
            <w:pPr>
              <w:rPr>
                <w:rFonts w:asciiTheme="majorHAnsi" w:hAnsiTheme="majorHAnsi"/>
                <w:bCs/>
                <w:sz w:val="20"/>
                <w:szCs w:val="20"/>
                <w:lang w:val="es-ES"/>
              </w:rPr>
            </w:pPr>
            <w:r w:rsidRPr="002E06BC">
              <w:rPr>
                <w:rFonts w:asciiTheme="majorHAnsi" w:hAnsiTheme="majorHAnsi"/>
                <w:bCs/>
                <w:sz w:val="20"/>
                <w:szCs w:val="20"/>
                <w:lang w:val="es-ES"/>
              </w:rPr>
              <w:t>Sí</w:t>
            </w:r>
          </w:p>
        </w:tc>
      </w:tr>
      <w:tr w:rsidR="003239B8" w:rsidRPr="002E06BC" w:rsidTr="004A6A54">
        <w:trPr>
          <w:cantSplit/>
        </w:trPr>
        <w:tc>
          <w:tcPr>
            <w:tcW w:w="3600" w:type="dxa"/>
            <w:tcBorders>
              <w:top w:val="single" w:sz="6"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Competencia</w:t>
            </w:r>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Ratione</w:t>
            </w:r>
            <w:proofErr w:type="spellEnd"/>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temporis</w:t>
            </w:r>
            <w:proofErr w:type="spellEnd"/>
            <w:r w:rsidRPr="002E06BC">
              <w:rPr>
                <w:rFonts w:asciiTheme="majorHAnsi" w:hAnsiTheme="majorHAnsi"/>
                <w:b/>
                <w:bCs/>
                <w:color w:val="FFFFFF" w:themeColor="background1"/>
                <w:sz w:val="20"/>
                <w:szCs w:val="20"/>
                <w:lang w:val="es-ES"/>
              </w:rPr>
              <w:t>:</w:t>
            </w:r>
          </w:p>
        </w:tc>
        <w:tc>
          <w:tcPr>
            <w:tcW w:w="5760" w:type="dxa"/>
            <w:vAlign w:val="center"/>
          </w:tcPr>
          <w:p w:rsidR="003239B8" w:rsidRPr="002E06BC" w:rsidRDefault="00A32DA0" w:rsidP="002F5915">
            <w:pPr>
              <w:rPr>
                <w:rFonts w:asciiTheme="majorHAnsi" w:hAnsiTheme="majorHAnsi"/>
                <w:bCs/>
                <w:sz w:val="20"/>
                <w:szCs w:val="20"/>
                <w:lang w:val="es-ES"/>
              </w:rPr>
            </w:pPr>
            <w:r w:rsidRPr="002E06BC">
              <w:rPr>
                <w:rFonts w:asciiTheme="majorHAnsi" w:hAnsiTheme="majorHAnsi"/>
                <w:bCs/>
                <w:sz w:val="20"/>
                <w:szCs w:val="20"/>
                <w:lang w:val="es-ES"/>
              </w:rPr>
              <w:t>Sí</w:t>
            </w:r>
          </w:p>
        </w:tc>
      </w:tr>
      <w:tr w:rsidR="003239B8" w:rsidRPr="00A2269B" w:rsidTr="004A6A54">
        <w:trPr>
          <w:cantSplit/>
        </w:trPr>
        <w:tc>
          <w:tcPr>
            <w:tcW w:w="3600" w:type="dxa"/>
            <w:tcBorders>
              <w:top w:val="single" w:sz="6"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Competencia</w:t>
            </w:r>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Ratione</w:t>
            </w:r>
            <w:proofErr w:type="spellEnd"/>
            <w:r w:rsidRPr="002E06BC">
              <w:rPr>
                <w:rFonts w:asciiTheme="majorHAnsi" w:hAnsiTheme="majorHAnsi"/>
                <w:b/>
                <w:bCs/>
                <w:i/>
                <w:color w:val="FFFFFF" w:themeColor="background1"/>
                <w:sz w:val="20"/>
                <w:szCs w:val="20"/>
                <w:lang w:val="es-ES"/>
              </w:rPr>
              <w:t xml:space="preserve"> </w:t>
            </w:r>
            <w:proofErr w:type="spellStart"/>
            <w:r w:rsidRPr="002E06BC">
              <w:rPr>
                <w:rFonts w:asciiTheme="majorHAnsi" w:hAnsiTheme="majorHAnsi"/>
                <w:b/>
                <w:bCs/>
                <w:i/>
                <w:color w:val="FFFFFF" w:themeColor="background1"/>
                <w:sz w:val="20"/>
                <w:szCs w:val="20"/>
                <w:lang w:val="es-ES"/>
              </w:rPr>
              <w:t>materia</w:t>
            </w:r>
            <w:r w:rsidR="00EE00E9" w:rsidRPr="002E06BC">
              <w:rPr>
                <w:rFonts w:asciiTheme="majorHAnsi" w:hAnsiTheme="majorHAnsi"/>
                <w:b/>
                <w:bCs/>
                <w:i/>
                <w:color w:val="FFFFFF" w:themeColor="background1"/>
                <w:sz w:val="20"/>
                <w:szCs w:val="20"/>
                <w:lang w:val="es-ES"/>
              </w:rPr>
              <w:t>e</w:t>
            </w:r>
            <w:proofErr w:type="spellEnd"/>
            <w:r w:rsidRPr="002E06BC">
              <w:rPr>
                <w:rFonts w:asciiTheme="majorHAnsi" w:hAnsiTheme="majorHAnsi"/>
                <w:b/>
                <w:bCs/>
                <w:color w:val="FFFFFF" w:themeColor="background1"/>
                <w:sz w:val="20"/>
                <w:szCs w:val="20"/>
                <w:lang w:val="es-ES"/>
              </w:rPr>
              <w:t>:</w:t>
            </w:r>
          </w:p>
        </w:tc>
        <w:tc>
          <w:tcPr>
            <w:tcW w:w="5760" w:type="dxa"/>
            <w:vAlign w:val="center"/>
          </w:tcPr>
          <w:p w:rsidR="003239B8" w:rsidRPr="002E06BC" w:rsidRDefault="00A32DA0" w:rsidP="002F5915">
            <w:pPr>
              <w:jc w:val="both"/>
              <w:rPr>
                <w:rFonts w:asciiTheme="majorHAnsi" w:hAnsiTheme="majorHAnsi"/>
                <w:bCs/>
                <w:sz w:val="20"/>
                <w:szCs w:val="20"/>
                <w:lang w:val="es-ES"/>
              </w:rPr>
            </w:pPr>
            <w:r w:rsidRPr="002E06BC">
              <w:rPr>
                <w:rFonts w:asciiTheme="majorHAnsi" w:hAnsiTheme="majorHAnsi"/>
                <w:bCs/>
                <w:sz w:val="20"/>
                <w:szCs w:val="20"/>
                <w:lang w:val="es-ES"/>
              </w:rPr>
              <w:t xml:space="preserve">Sí, Convención Americana (depósito de instrumento de ratificación realizado el </w:t>
            </w:r>
            <w:r w:rsidR="00B52A35" w:rsidRPr="002E06BC">
              <w:rPr>
                <w:rFonts w:asciiTheme="majorHAnsi" w:hAnsiTheme="majorHAnsi"/>
                <w:bCs/>
                <w:sz w:val="20"/>
                <w:szCs w:val="20"/>
                <w:lang w:val="es-ES"/>
              </w:rPr>
              <w:t>31 de julio de 1973</w:t>
            </w:r>
            <w:r w:rsidRPr="002E06BC">
              <w:rPr>
                <w:rFonts w:asciiTheme="majorHAnsi" w:hAnsiTheme="majorHAnsi"/>
                <w:bCs/>
                <w:sz w:val="20"/>
                <w:szCs w:val="20"/>
                <w:lang w:val="es-ES"/>
              </w:rPr>
              <w:t>)</w:t>
            </w:r>
          </w:p>
        </w:tc>
      </w:tr>
    </w:tbl>
    <w:p w:rsidR="003239B8" w:rsidRPr="002E06BC" w:rsidRDefault="003239B8" w:rsidP="003239B8">
      <w:pPr>
        <w:spacing w:before="240" w:after="240"/>
        <w:ind w:firstLine="720"/>
        <w:jc w:val="both"/>
        <w:rPr>
          <w:rFonts w:asciiTheme="majorHAnsi" w:hAnsiTheme="majorHAnsi"/>
          <w:b/>
          <w:bCs/>
          <w:sz w:val="20"/>
          <w:szCs w:val="20"/>
          <w:lang w:val="es-ES"/>
        </w:rPr>
      </w:pPr>
      <w:r w:rsidRPr="002E06BC">
        <w:rPr>
          <w:rFonts w:asciiTheme="majorHAnsi" w:hAnsiTheme="majorHAnsi"/>
          <w:b/>
          <w:bCs/>
          <w:sz w:val="20"/>
          <w:szCs w:val="20"/>
          <w:lang w:val="es-ES"/>
        </w:rPr>
        <w:t xml:space="preserve">IV. </w:t>
      </w:r>
      <w:r w:rsidRPr="002E06BC">
        <w:rPr>
          <w:rFonts w:asciiTheme="majorHAnsi" w:hAnsiTheme="majorHAnsi"/>
          <w:b/>
          <w:bCs/>
          <w:sz w:val="20"/>
          <w:szCs w:val="20"/>
          <w:lang w:val="es-ES"/>
        </w:rPr>
        <w:tab/>
      </w:r>
      <w:r w:rsidR="00EE00E9" w:rsidRPr="002E06BC">
        <w:rPr>
          <w:rFonts w:asciiTheme="majorHAnsi" w:hAnsiTheme="majorHAnsi"/>
          <w:b/>
          <w:bCs/>
          <w:sz w:val="20"/>
          <w:szCs w:val="20"/>
          <w:lang w:val="es-ES"/>
        </w:rPr>
        <w:t>DUPLICACIÓN</w:t>
      </w:r>
      <w:r w:rsidR="00EE00E9" w:rsidRPr="002E06BC">
        <w:rPr>
          <w:rFonts w:asciiTheme="majorHAnsi" w:hAnsiTheme="majorHAnsi"/>
          <w:b/>
          <w:bCs/>
          <w:color w:val="FFFFFF" w:themeColor="background1"/>
          <w:sz w:val="20"/>
          <w:szCs w:val="20"/>
          <w:lang w:val="es-ES"/>
        </w:rPr>
        <w:t xml:space="preserve"> </w:t>
      </w:r>
      <w:r w:rsidR="00EE00E9" w:rsidRPr="002E06BC">
        <w:rPr>
          <w:rFonts w:asciiTheme="majorHAnsi" w:hAnsiTheme="majorHAnsi"/>
          <w:b/>
          <w:bCs/>
          <w:sz w:val="20"/>
          <w:szCs w:val="20"/>
          <w:lang w:val="es-ES"/>
        </w:rPr>
        <w:t>DE PROCEDIMIENTOS Y COSA JUZGADA</w:t>
      </w:r>
      <w:r w:rsidR="00EE00E9" w:rsidRPr="002E06BC">
        <w:rPr>
          <w:rFonts w:asciiTheme="majorHAnsi" w:hAnsiTheme="majorHAnsi"/>
          <w:b/>
          <w:bCs/>
          <w:i/>
          <w:sz w:val="20"/>
          <w:szCs w:val="20"/>
          <w:lang w:val="es-ES"/>
        </w:rPr>
        <w:t xml:space="preserve"> </w:t>
      </w:r>
      <w:r w:rsidR="008823EA" w:rsidRPr="002E06BC">
        <w:rPr>
          <w:rFonts w:asciiTheme="majorHAnsi" w:hAnsiTheme="majorHAnsi"/>
          <w:b/>
          <w:bCs/>
          <w:sz w:val="20"/>
          <w:szCs w:val="20"/>
          <w:lang w:val="es-ES"/>
        </w:rPr>
        <w:t>INTERNACIONAL, CARACTERIZACIÓN</w:t>
      </w:r>
      <w:r w:rsidRPr="002E06BC">
        <w:rPr>
          <w:rFonts w:asciiTheme="majorHAnsi" w:hAnsiTheme="majorHAnsi"/>
          <w:b/>
          <w:bCs/>
          <w:sz w:val="20"/>
          <w:szCs w:val="20"/>
          <w:lang w:val="es-ES"/>
        </w:rPr>
        <w:t xml:space="preserve">, </w:t>
      </w:r>
      <w:r w:rsidRPr="002E06B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2E06BC" w:rsidTr="004A6A54">
        <w:trPr>
          <w:cantSplit/>
        </w:trPr>
        <w:tc>
          <w:tcPr>
            <w:tcW w:w="3600" w:type="dxa"/>
            <w:tcBorders>
              <w:top w:val="single" w:sz="4" w:space="0" w:color="auto"/>
              <w:bottom w:val="single" w:sz="6" w:space="0" w:color="auto"/>
            </w:tcBorders>
            <w:shd w:val="clear" w:color="auto" w:fill="386294"/>
            <w:vAlign w:val="center"/>
          </w:tcPr>
          <w:p w:rsidR="00EE00E9" w:rsidRPr="002E06BC" w:rsidRDefault="00EE00E9"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2E06BC" w:rsidRDefault="008F71CE" w:rsidP="002F5915">
            <w:pPr>
              <w:jc w:val="both"/>
              <w:rPr>
                <w:rFonts w:asciiTheme="majorHAnsi" w:hAnsiTheme="majorHAnsi"/>
                <w:bCs/>
                <w:sz w:val="20"/>
                <w:szCs w:val="20"/>
                <w:lang w:val="es-ES"/>
              </w:rPr>
            </w:pPr>
            <w:r w:rsidRPr="002E06BC">
              <w:rPr>
                <w:rFonts w:asciiTheme="majorHAnsi" w:hAnsiTheme="majorHAnsi"/>
                <w:bCs/>
                <w:sz w:val="20"/>
                <w:szCs w:val="20"/>
                <w:lang w:val="es-ES"/>
              </w:rPr>
              <w:t>No</w:t>
            </w:r>
          </w:p>
        </w:tc>
      </w:tr>
      <w:tr w:rsidR="003239B8" w:rsidRPr="002E06BC" w:rsidTr="004A6A54">
        <w:trPr>
          <w:cantSplit/>
        </w:trPr>
        <w:tc>
          <w:tcPr>
            <w:tcW w:w="3600" w:type="dxa"/>
            <w:tcBorders>
              <w:top w:val="single" w:sz="4"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i/>
                <w:color w:val="FFFFFF" w:themeColor="background1"/>
                <w:sz w:val="20"/>
                <w:szCs w:val="20"/>
                <w:lang w:val="es-ES"/>
              </w:rPr>
            </w:pPr>
            <w:r w:rsidRPr="002E06BC">
              <w:rPr>
                <w:rFonts w:asciiTheme="majorHAnsi" w:hAnsiTheme="majorHAnsi"/>
                <w:b/>
                <w:bCs/>
                <w:color w:val="FFFFFF" w:themeColor="background1"/>
                <w:sz w:val="20"/>
                <w:szCs w:val="20"/>
                <w:lang w:val="es-ES"/>
              </w:rPr>
              <w:t>Derechos declarados admisibles</w:t>
            </w:r>
            <w:r w:rsidRPr="002E06BC">
              <w:rPr>
                <w:rFonts w:asciiTheme="majorHAnsi" w:hAnsiTheme="majorHAnsi"/>
                <w:b/>
                <w:bCs/>
                <w:i/>
                <w:color w:val="FFFFFF" w:themeColor="background1"/>
                <w:sz w:val="20"/>
                <w:szCs w:val="20"/>
                <w:lang w:val="es-ES"/>
              </w:rPr>
              <w:t>:</w:t>
            </w:r>
          </w:p>
        </w:tc>
        <w:tc>
          <w:tcPr>
            <w:tcW w:w="5760" w:type="dxa"/>
            <w:vAlign w:val="center"/>
          </w:tcPr>
          <w:p w:rsidR="003239B8" w:rsidRPr="002E06BC" w:rsidRDefault="00004B24" w:rsidP="002F5915">
            <w:pPr>
              <w:jc w:val="both"/>
              <w:rPr>
                <w:rFonts w:asciiTheme="majorHAnsi" w:hAnsiTheme="majorHAnsi"/>
                <w:bCs/>
                <w:sz w:val="20"/>
                <w:szCs w:val="20"/>
                <w:lang w:val="es-ES"/>
              </w:rPr>
            </w:pPr>
            <w:r w:rsidRPr="002E06BC">
              <w:rPr>
                <w:rFonts w:asciiTheme="majorHAnsi" w:hAnsiTheme="majorHAnsi"/>
                <w:bCs/>
                <w:sz w:val="20"/>
                <w:szCs w:val="20"/>
                <w:lang w:val="es-ES"/>
              </w:rPr>
              <w:t>Ninguno</w:t>
            </w:r>
          </w:p>
        </w:tc>
      </w:tr>
      <w:tr w:rsidR="003239B8" w:rsidRPr="00A2269B" w:rsidTr="004A6A54">
        <w:trPr>
          <w:cantSplit/>
        </w:trPr>
        <w:tc>
          <w:tcPr>
            <w:tcW w:w="3600" w:type="dxa"/>
            <w:tcBorders>
              <w:top w:val="single" w:sz="6"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Agotamiento de recursos internos</w:t>
            </w:r>
            <w:r w:rsidR="00EE00E9" w:rsidRPr="002E06BC">
              <w:rPr>
                <w:rFonts w:asciiTheme="majorHAnsi" w:hAnsiTheme="majorHAnsi"/>
                <w:b/>
                <w:bCs/>
                <w:color w:val="FFFFFF" w:themeColor="background1"/>
                <w:sz w:val="20"/>
                <w:szCs w:val="20"/>
                <w:lang w:val="es-ES"/>
              </w:rPr>
              <w:t xml:space="preserve"> o procedencia de una excepción</w:t>
            </w:r>
            <w:r w:rsidRPr="002E06BC">
              <w:rPr>
                <w:rFonts w:asciiTheme="majorHAnsi" w:hAnsiTheme="majorHAnsi"/>
                <w:b/>
                <w:bCs/>
                <w:color w:val="FFFFFF" w:themeColor="background1"/>
                <w:sz w:val="20"/>
                <w:szCs w:val="20"/>
                <w:lang w:val="es-ES"/>
              </w:rPr>
              <w:t>:</w:t>
            </w:r>
          </w:p>
        </w:tc>
        <w:tc>
          <w:tcPr>
            <w:tcW w:w="5760" w:type="dxa"/>
            <w:vAlign w:val="center"/>
          </w:tcPr>
          <w:p w:rsidR="003239B8" w:rsidRPr="002E06BC" w:rsidRDefault="00004B24" w:rsidP="002F5915">
            <w:pPr>
              <w:rPr>
                <w:rFonts w:asciiTheme="majorHAnsi" w:hAnsiTheme="majorHAnsi"/>
                <w:bCs/>
                <w:sz w:val="20"/>
                <w:szCs w:val="20"/>
                <w:lang w:val="es-ES"/>
              </w:rPr>
            </w:pPr>
            <w:r w:rsidRPr="002E06BC">
              <w:rPr>
                <w:rFonts w:asciiTheme="majorHAnsi" w:hAnsiTheme="majorHAnsi"/>
                <w:bCs/>
                <w:sz w:val="20"/>
                <w:szCs w:val="20"/>
                <w:lang w:val="es-ES"/>
              </w:rPr>
              <w:t>Sí, en los términos de la sección VI</w:t>
            </w:r>
          </w:p>
        </w:tc>
      </w:tr>
      <w:tr w:rsidR="003239B8" w:rsidRPr="00A2269B" w:rsidTr="004A6A54">
        <w:trPr>
          <w:cantSplit/>
        </w:trPr>
        <w:tc>
          <w:tcPr>
            <w:tcW w:w="3600" w:type="dxa"/>
            <w:tcBorders>
              <w:top w:val="single" w:sz="6" w:space="0" w:color="auto"/>
              <w:bottom w:val="single" w:sz="6" w:space="0" w:color="auto"/>
            </w:tcBorders>
            <w:shd w:val="clear" w:color="auto" w:fill="386294"/>
            <w:vAlign w:val="center"/>
          </w:tcPr>
          <w:p w:rsidR="003239B8" w:rsidRPr="002E06BC" w:rsidRDefault="003239B8" w:rsidP="002F5915">
            <w:pPr>
              <w:jc w:val="center"/>
              <w:rPr>
                <w:rFonts w:asciiTheme="majorHAnsi" w:hAnsiTheme="majorHAnsi"/>
                <w:b/>
                <w:bCs/>
                <w:color w:val="FFFFFF" w:themeColor="background1"/>
                <w:sz w:val="20"/>
                <w:szCs w:val="20"/>
                <w:lang w:val="es-ES"/>
              </w:rPr>
            </w:pPr>
            <w:r w:rsidRPr="002E06BC">
              <w:rPr>
                <w:rFonts w:asciiTheme="majorHAnsi" w:hAnsiTheme="majorHAnsi"/>
                <w:b/>
                <w:bCs/>
                <w:color w:val="FFFFFF" w:themeColor="background1"/>
                <w:sz w:val="20"/>
                <w:szCs w:val="20"/>
                <w:lang w:val="es-ES"/>
              </w:rPr>
              <w:t>Presentación dentro de plazo:</w:t>
            </w:r>
          </w:p>
        </w:tc>
        <w:tc>
          <w:tcPr>
            <w:tcW w:w="5760" w:type="dxa"/>
            <w:vAlign w:val="center"/>
          </w:tcPr>
          <w:p w:rsidR="003239B8" w:rsidRPr="002E06BC" w:rsidRDefault="00004B24" w:rsidP="002F5915">
            <w:pPr>
              <w:rPr>
                <w:rFonts w:asciiTheme="majorHAnsi" w:hAnsiTheme="majorHAnsi"/>
                <w:bCs/>
                <w:sz w:val="20"/>
                <w:szCs w:val="20"/>
                <w:lang w:val="es-ES"/>
              </w:rPr>
            </w:pPr>
            <w:r w:rsidRPr="002E06BC">
              <w:rPr>
                <w:rFonts w:asciiTheme="majorHAnsi" w:hAnsiTheme="majorHAnsi"/>
                <w:bCs/>
                <w:sz w:val="20"/>
                <w:szCs w:val="20"/>
                <w:lang w:val="es-ES"/>
              </w:rPr>
              <w:t>Sí, en los términos de la sección VI</w:t>
            </w:r>
          </w:p>
        </w:tc>
      </w:tr>
    </w:tbl>
    <w:p w:rsidR="003239B8" w:rsidRPr="002E06BC" w:rsidRDefault="00223A29" w:rsidP="003239B8">
      <w:pPr>
        <w:spacing w:before="240" w:after="240"/>
        <w:ind w:firstLine="720"/>
        <w:jc w:val="both"/>
        <w:rPr>
          <w:rFonts w:asciiTheme="majorHAnsi" w:hAnsiTheme="majorHAnsi"/>
          <w:b/>
          <w:sz w:val="20"/>
          <w:szCs w:val="20"/>
          <w:lang w:val="es-ES"/>
        </w:rPr>
      </w:pPr>
      <w:r w:rsidRPr="002E06BC">
        <w:rPr>
          <w:rFonts w:asciiTheme="majorHAnsi" w:hAnsiTheme="majorHAnsi"/>
          <w:b/>
          <w:sz w:val="20"/>
          <w:szCs w:val="20"/>
          <w:lang w:val="es-ES"/>
        </w:rPr>
        <w:t xml:space="preserve">V. </w:t>
      </w:r>
      <w:r w:rsidRPr="002E06BC">
        <w:rPr>
          <w:rFonts w:asciiTheme="majorHAnsi" w:hAnsiTheme="majorHAnsi"/>
          <w:b/>
          <w:sz w:val="20"/>
          <w:szCs w:val="20"/>
          <w:lang w:val="es-ES"/>
        </w:rPr>
        <w:tab/>
      </w:r>
      <w:r w:rsidR="003239B8" w:rsidRPr="002E06BC">
        <w:rPr>
          <w:rFonts w:asciiTheme="majorHAnsi" w:hAnsiTheme="majorHAnsi"/>
          <w:b/>
          <w:sz w:val="20"/>
          <w:szCs w:val="20"/>
          <w:lang w:val="es-ES"/>
        </w:rPr>
        <w:t xml:space="preserve">HECHOS ALEGADOS </w:t>
      </w:r>
    </w:p>
    <w:p w:rsidR="00384230" w:rsidRPr="002E06BC" w:rsidRDefault="000914E8" w:rsidP="00384230">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bCs/>
          <w:sz w:val="20"/>
          <w:szCs w:val="20"/>
          <w:lang w:val="es-ES"/>
        </w:rPr>
        <w:t xml:space="preserve">La parte peticionaria </w:t>
      </w:r>
      <w:r w:rsidR="00384230" w:rsidRPr="002E06BC">
        <w:rPr>
          <w:rFonts w:asciiTheme="majorHAnsi" w:hAnsiTheme="majorHAnsi"/>
          <w:bCs/>
          <w:sz w:val="20"/>
          <w:szCs w:val="20"/>
          <w:lang w:val="es-ES"/>
        </w:rPr>
        <w:t>denuncia</w:t>
      </w:r>
      <w:r w:rsidRPr="002E06BC">
        <w:rPr>
          <w:rFonts w:asciiTheme="majorHAnsi" w:hAnsiTheme="majorHAnsi"/>
          <w:bCs/>
          <w:sz w:val="20"/>
          <w:szCs w:val="20"/>
          <w:lang w:val="es-ES"/>
        </w:rPr>
        <w:t xml:space="preserve"> que el Estado de Colombia violó los derechos </w:t>
      </w:r>
      <w:r w:rsidR="00384230" w:rsidRPr="002E06BC">
        <w:rPr>
          <w:rFonts w:asciiTheme="majorHAnsi" w:hAnsiTheme="majorHAnsi"/>
          <w:bCs/>
          <w:sz w:val="20"/>
          <w:szCs w:val="20"/>
          <w:lang w:val="es-ES"/>
        </w:rPr>
        <w:t xml:space="preserve">de las presuntas víctimas, al retirarlos indebidamente de sus cargos como </w:t>
      </w:r>
      <w:r w:rsidR="007B18DA" w:rsidRPr="002E06BC">
        <w:rPr>
          <w:rFonts w:asciiTheme="majorHAnsi" w:hAnsiTheme="majorHAnsi"/>
          <w:bCs/>
          <w:sz w:val="20"/>
          <w:szCs w:val="20"/>
          <w:lang w:val="es-ES"/>
        </w:rPr>
        <w:t>dragoneante</w:t>
      </w:r>
      <w:r w:rsidR="00384230" w:rsidRPr="002E06BC">
        <w:rPr>
          <w:rFonts w:asciiTheme="majorHAnsi" w:hAnsiTheme="majorHAnsi"/>
          <w:bCs/>
          <w:sz w:val="20"/>
          <w:szCs w:val="20"/>
          <w:lang w:val="es-ES"/>
        </w:rPr>
        <w:t>s</w:t>
      </w:r>
      <w:r w:rsidR="007B18DA" w:rsidRPr="002E06BC">
        <w:rPr>
          <w:rFonts w:asciiTheme="majorHAnsi" w:hAnsiTheme="majorHAnsi"/>
          <w:bCs/>
          <w:sz w:val="20"/>
          <w:szCs w:val="20"/>
          <w:lang w:val="es-ES"/>
        </w:rPr>
        <w:t xml:space="preserve"> </w:t>
      </w:r>
      <w:r w:rsidR="00CA1C23" w:rsidRPr="002E06BC">
        <w:rPr>
          <w:rFonts w:asciiTheme="majorHAnsi" w:hAnsiTheme="majorHAnsi"/>
          <w:bCs/>
          <w:sz w:val="20"/>
          <w:szCs w:val="20"/>
          <w:lang w:val="es-ES"/>
        </w:rPr>
        <w:t xml:space="preserve">del cuerpo de custodia y vigilancia </w:t>
      </w:r>
      <w:r w:rsidR="007B18DA" w:rsidRPr="002E06BC">
        <w:rPr>
          <w:rFonts w:asciiTheme="majorHAnsi" w:hAnsiTheme="majorHAnsi"/>
          <w:bCs/>
          <w:sz w:val="20"/>
          <w:szCs w:val="20"/>
          <w:lang w:val="es-ES"/>
        </w:rPr>
        <w:t xml:space="preserve">en </w:t>
      </w:r>
      <w:r w:rsidRPr="002E06BC">
        <w:rPr>
          <w:rFonts w:asciiTheme="majorHAnsi" w:hAnsiTheme="majorHAnsi"/>
          <w:bCs/>
          <w:sz w:val="20"/>
          <w:szCs w:val="20"/>
          <w:lang w:val="es-ES"/>
        </w:rPr>
        <w:t>el Instituto Nacional Penitenciario y Carcelario (en adelante</w:t>
      </w:r>
      <w:r w:rsidR="00384230" w:rsidRPr="002E06BC">
        <w:rPr>
          <w:rFonts w:asciiTheme="majorHAnsi" w:hAnsiTheme="majorHAnsi"/>
          <w:bCs/>
          <w:sz w:val="20"/>
          <w:szCs w:val="20"/>
          <w:lang w:val="es-ES"/>
        </w:rPr>
        <w:t>,</w:t>
      </w:r>
      <w:r w:rsidRPr="002E06BC">
        <w:rPr>
          <w:rFonts w:asciiTheme="majorHAnsi" w:hAnsiTheme="majorHAnsi"/>
          <w:bCs/>
          <w:sz w:val="20"/>
          <w:szCs w:val="20"/>
          <w:lang w:val="es-ES"/>
        </w:rPr>
        <w:t xml:space="preserve"> </w:t>
      </w:r>
      <w:r w:rsidR="006A2A9F" w:rsidRPr="002E06BC">
        <w:rPr>
          <w:rFonts w:asciiTheme="majorHAnsi" w:hAnsiTheme="majorHAnsi"/>
          <w:bCs/>
          <w:sz w:val="20"/>
          <w:szCs w:val="20"/>
          <w:lang w:val="es-ES"/>
        </w:rPr>
        <w:t>“</w:t>
      </w:r>
      <w:r w:rsidRPr="002E06BC">
        <w:rPr>
          <w:rFonts w:asciiTheme="majorHAnsi" w:hAnsiTheme="majorHAnsi"/>
          <w:bCs/>
          <w:sz w:val="20"/>
          <w:szCs w:val="20"/>
          <w:lang w:val="es-ES"/>
        </w:rPr>
        <w:t>INPEC</w:t>
      </w:r>
      <w:r w:rsidR="006A2A9F" w:rsidRPr="002E06BC">
        <w:rPr>
          <w:rFonts w:asciiTheme="majorHAnsi" w:hAnsiTheme="majorHAnsi"/>
          <w:bCs/>
          <w:sz w:val="20"/>
          <w:szCs w:val="20"/>
          <w:lang w:val="es-ES"/>
        </w:rPr>
        <w:t>”</w:t>
      </w:r>
      <w:r w:rsidRPr="002E06BC">
        <w:rPr>
          <w:rFonts w:asciiTheme="majorHAnsi" w:hAnsiTheme="majorHAnsi"/>
          <w:bCs/>
          <w:sz w:val="20"/>
          <w:szCs w:val="20"/>
          <w:lang w:val="es-ES"/>
        </w:rPr>
        <w:t>)</w:t>
      </w:r>
      <w:r w:rsidR="004E054A" w:rsidRPr="002E06BC">
        <w:rPr>
          <w:rFonts w:asciiTheme="majorHAnsi" w:hAnsiTheme="majorHAnsi"/>
          <w:bCs/>
          <w:sz w:val="20"/>
          <w:szCs w:val="20"/>
          <w:lang w:val="es-ES"/>
        </w:rPr>
        <w:t xml:space="preserve">. </w:t>
      </w:r>
    </w:p>
    <w:p w:rsidR="00384230" w:rsidRPr="002E06BC" w:rsidRDefault="00395225" w:rsidP="00893103">
      <w:pPr>
        <w:pStyle w:val="ListParagraph"/>
        <w:numPr>
          <w:ilvl w:val="0"/>
          <w:numId w:val="62"/>
        </w:numPr>
        <w:shd w:val="clear" w:color="auto" w:fill="FFFFFF"/>
        <w:spacing w:after="240"/>
        <w:ind w:left="0" w:firstLine="720"/>
        <w:jc w:val="both"/>
        <w:rPr>
          <w:rFonts w:asciiTheme="majorHAnsi" w:hAnsiTheme="majorHAnsi"/>
          <w:bCs/>
          <w:sz w:val="20"/>
          <w:szCs w:val="20"/>
          <w:lang w:val="es-ES"/>
        </w:rPr>
      </w:pPr>
      <w:r w:rsidRPr="002E06BC">
        <w:rPr>
          <w:rFonts w:asciiTheme="majorHAnsi" w:hAnsiTheme="majorHAnsi"/>
          <w:bCs/>
          <w:sz w:val="20"/>
          <w:szCs w:val="20"/>
          <w:lang w:val="es-ES"/>
        </w:rPr>
        <w:t>Detalla que al momento de ser retiradas</w:t>
      </w:r>
      <w:r w:rsidR="00384230" w:rsidRPr="002E06BC">
        <w:rPr>
          <w:rFonts w:asciiTheme="majorHAnsi" w:hAnsiTheme="majorHAnsi"/>
          <w:bCs/>
          <w:sz w:val="20"/>
          <w:szCs w:val="20"/>
          <w:lang w:val="es-ES"/>
        </w:rPr>
        <w:t xml:space="preserve"> las presuntas víctimas se encontraban afiliadas</w:t>
      </w:r>
      <w:r w:rsidR="0037670B" w:rsidRPr="002E06BC">
        <w:rPr>
          <w:rFonts w:asciiTheme="majorHAnsi" w:hAnsiTheme="majorHAnsi"/>
          <w:bCs/>
          <w:sz w:val="20"/>
          <w:szCs w:val="20"/>
          <w:lang w:val="es-ES"/>
        </w:rPr>
        <w:t xml:space="preserve"> a la Asociación Sindical de Empl</w:t>
      </w:r>
      <w:r w:rsidR="00EC5361" w:rsidRPr="002E06BC">
        <w:rPr>
          <w:rFonts w:asciiTheme="majorHAnsi" w:hAnsiTheme="majorHAnsi"/>
          <w:bCs/>
          <w:sz w:val="20"/>
          <w:szCs w:val="20"/>
          <w:lang w:val="es-ES"/>
        </w:rPr>
        <w:t>e</w:t>
      </w:r>
      <w:r w:rsidR="0037670B" w:rsidRPr="002E06BC">
        <w:rPr>
          <w:rFonts w:asciiTheme="majorHAnsi" w:hAnsiTheme="majorHAnsi"/>
          <w:bCs/>
          <w:sz w:val="20"/>
          <w:szCs w:val="20"/>
          <w:lang w:val="es-ES"/>
        </w:rPr>
        <w:t>ados del Instituto Nacional Penitenciario y Carcelario (en adela</w:t>
      </w:r>
      <w:r w:rsidR="00E87CD0" w:rsidRPr="002E06BC">
        <w:rPr>
          <w:rFonts w:asciiTheme="majorHAnsi" w:hAnsiTheme="majorHAnsi"/>
          <w:bCs/>
          <w:sz w:val="20"/>
          <w:szCs w:val="20"/>
          <w:lang w:val="es-ES"/>
        </w:rPr>
        <w:t>nte ASEINPEC) e</w:t>
      </w:r>
      <w:r w:rsidR="00893103" w:rsidRPr="002E06BC">
        <w:rPr>
          <w:rFonts w:asciiTheme="majorHAnsi" w:hAnsiTheme="majorHAnsi"/>
          <w:bCs/>
          <w:sz w:val="20"/>
          <w:szCs w:val="20"/>
          <w:lang w:val="es-ES"/>
        </w:rPr>
        <w:t xml:space="preserve"> </w:t>
      </w:r>
      <w:r w:rsidR="00893103" w:rsidRPr="002E06BC">
        <w:rPr>
          <w:rFonts w:asciiTheme="majorHAnsi" w:hAnsiTheme="majorHAnsi"/>
          <w:bCs/>
          <w:sz w:val="20"/>
          <w:szCs w:val="20"/>
          <w:lang w:val="es-ES"/>
        </w:rPr>
        <w:lastRenderedPageBreak/>
        <w:t>inscrita</w:t>
      </w:r>
      <w:r w:rsidR="0037670B" w:rsidRPr="002E06BC">
        <w:rPr>
          <w:rFonts w:asciiTheme="majorHAnsi" w:hAnsiTheme="majorHAnsi"/>
          <w:bCs/>
          <w:sz w:val="20"/>
          <w:szCs w:val="20"/>
          <w:lang w:val="es-ES"/>
        </w:rPr>
        <w:t>s en la carrera administrativa penitenciaria que les brindaba estabilidad en su cargo</w:t>
      </w:r>
      <w:r w:rsidR="00893103" w:rsidRPr="002E06BC">
        <w:rPr>
          <w:rStyle w:val="FootnoteReference"/>
          <w:rFonts w:asciiTheme="majorHAnsi" w:hAnsiTheme="majorHAnsi"/>
          <w:bCs/>
          <w:sz w:val="20"/>
          <w:szCs w:val="20"/>
          <w:lang w:val="es-ES"/>
        </w:rPr>
        <w:footnoteReference w:id="4"/>
      </w:r>
      <w:r w:rsidR="00893103" w:rsidRPr="002E06BC">
        <w:rPr>
          <w:rFonts w:asciiTheme="majorHAnsi" w:hAnsiTheme="majorHAnsi"/>
          <w:bCs/>
          <w:sz w:val="20"/>
          <w:szCs w:val="20"/>
          <w:lang w:val="es-ES"/>
        </w:rPr>
        <w:t xml:space="preserve">. </w:t>
      </w:r>
      <w:r w:rsidR="003B259A" w:rsidRPr="002E06BC">
        <w:rPr>
          <w:rFonts w:asciiTheme="majorHAnsi" w:hAnsiTheme="majorHAnsi"/>
          <w:bCs/>
          <w:sz w:val="20"/>
          <w:szCs w:val="20"/>
          <w:lang w:val="es-ES"/>
        </w:rPr>
        <w:t>Alega que, n</w:t>
      </w:r>
      <w:r w:rsidR="00893103" w:rsidRPr="002E06BC">
        <w:rPr>
          <w:rFonts w:asciiTheme="majorHAnsi" w:hAnsiTheme="majorHAnsi"/>
          <w:bCs/>
          <w:sz w:val="20"/>
          <w:szCs w:val="20"/>
          <w:lang w:val="es-ES"/>
        </w:rPr>
        <w:t>o obstante, el Gobierno decidió en dicha época</w:t>
      </w:r>
      <w:r w:rsidR="00822E11" w:rsidRPr="002E06BC">
        <w:rPr>
          <w:rFonts w:asciiTheme="majorHAnsi" w:hAnsiTheme="majorHAnsi"/>
          <w:bCs/>
          <w:sz w:val="20"/>
          <w:szCs w:val="20"/>
          <w:lang w:val="es-ES"/>
        </w:rPr>
        <w:t xml:space="preserve"> destituir de manera arbitraria</w:t>
      </w:r>
      <w:r w:rsidR="00893103" w:rsidRPr="002E06BC">
        <w:rPr>
          <w:rFonts w:asciiTheme="majorHAnsi" w:hAnsiTheme="majorHAnsi"/>
          <w:bCs/>
          <w:sz w:val="20"/>
          <w:szCs w:val="20"/>
          <w:lang w:val="es-ES"/>
        </w:rPr>
        <w:t xml:space="preserve"> a los dragoneantes del INPEC que estaban protegidos por el fuero sindical. </w:t>
      </w:r>
    </w:p>
    <w:p w:rsidR="00E87CD0" w:rsidRPr="002E06BC" w:rsidRDefault="009A7C88" w:rsidP="00384230">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bCs/>
          <w:sz w:val="20"/>
          <w:szCs w:val="20"/>
          <w:lang w:val="es-ES"/>
        </w:rPr>
        <w:t>Indica que l</w:t>
      </w:r>
      <w:r w:rsidR="00822E11" w:rsidRPr="002E06BC">
        <w:rPr>
          <w:rFonts w:asciiTheme="majorHAnsi" w:hAnsiTheme="majorHAnsi"/>
          <w:bCs/>
          <w:sz w:val="20"/>
          <w:szCs w:val="20"/>
          <w:lang w:val="es-ES"/>
        </w:rPr>
        <w:t>as presuntas víctimas desempeñaban</w:t>
      </w:r>
      <w:r w:rsidRPr="002E06BC">
        <w:rPr>
          <w:rFonts w:asciiTheme="majorHAnsi" w:hAnsiTheme="majorHAnsi"/>
          <w:bCs/>
          <w:sz w:val="20"/>
          <w:szCs w:val="20"/>
          <w:lang w:val="es-ES"/>
        </w:rPr>
        <w:t xml:space="preserve"> un trabajo ejemplar, dado que nunca recibieron algún llamado de atención ni recibieron sanciones mientras </w:t>
      </w:r>
      <w:r w:rsidR="00822E11" w:rsidRPr="002E06BC">
        <w:rPr>
          <w:rFonts w:asciiTheme="majorHAnsi" w:hAnsiTheme="majorHAnsi"/>
          <w:bCs/>
          <w:sz w:val="20"/>
          <w:szCs w:val="20"/>
          <w:lang w:val="es-ES"/>
        </w:rPr>
        <w:t>ejercían</w:t>
      </w:r>
      <w:r w:rsidRPr="002E06BC">
        <w:rPr>
          <w:rFonts w:asciiTheme="majorHAnsi" w:hAnsiTheme="majorHAnsi"/>
          <w:bCs/>
          <w:sz w:val="20"/>
          <w:szCs w:val="20"/>
          <w:lang w:val="es-ES"/>
        </w:rPr>
        <w:t xml:space="preserve"> sus funciones. A pesar de ello, s</w:t>
      </w:r>
      <w:r w:rsidR="00105C59" w:rsidRPr="002E06BC">
        <w:rPr>
          <w:rFonts w:asciiTheme="majorHAnsi" w:hAnsiTheme="majorHAnsi"/>
          <w:bCs/>
          <w:sz w:val="20"/>
          <w:szCs w:val="20"/>
          <w:lang w:val="es-ES"/>
        </w:rPr>
        <w:t>ostiene</w:t>
      </w:r>
      <w:r w:rsidR="00E87CD0" w:rsidRPr="002E06BC">
        <w:rPr>
          <w:rFonts w:asciiTheme="majorHAnsi" w:hAnsiTheme="majorHAnsi"/>
          <w:bCs/>
          <w:sz w:val="20"/>
          <w:szCs w:val="20"/>
          <w:lang w:val="es-ES"/>
        </w:rPr>
        <w:t xml:space="preserve"> </w:t>
      </w:r>
      <w:r w:rsidR="00822E11" w:rsidRPr="002E06BC">
        <w:rPr>
          <w:rFonts w:asciiTheme="majorHAnsi" w:hAnsiTheme="majorHAnsi"/>
          <w:bCs/>
          <w:sz w:val="20"/>
          <w:szCs w:val="20"/>
          <w:lang w:val="es-ES"/>
        </w:rPr>
        <w:t xml:space="preserve">que </w:t>
      </w:r>
      <w:r w:rsidR="00E87CD0" w:rsidRPr="002E06BC">
        <w:rPr>
          <w:rFonts w:asciiTheme="majorHAnsi" w:hAnsiTheme="majorHAnsi"/>
          <w:bCs/>
          <w:sz w:val="20"/>
          <w:szCs w:val="20"/>
          <w:lang w:val="es-ES"/>
        </w:rPr>
        <w:t>la Junta Asesora del INPEC citó a las presuntas víctimas para retirarlos de sus cargos por la inconveniencia de sus servicios y que,</w:t>
      </w:r>
      <w:r w:rsidR="00822E11" w:rsidRPr="002E06BC">
        <w:rPr>
          <w:rFonts w:asciiTheme="majorHAnsi" w:hAnsiTheme="majorHAnsi"/>
          <w:bCs/>
          <w:sz w:val="20"/>
          <w:szCs w:val="20"/>
          <w:lang w:val="es-ES"/>
        </w:rPr>
        <w:t xml:space="preserve"> mediante tal procedimiento, </w:t>
      </w:r>
      <w:r w:rsidR="00E87CD0" w:rsidRPr="002E06BC">
        <w:rPr>
          <w:rFonts w:asciiTheme="majorHAnsi" w:hAnsiTheme="majorHAnsi"/>
          <w:bCs/>
          <w:sz w:val="20"/>
          <w:szCs w:val="20"/>
          <w:lang w:val="es-ES"/>
        </w:rPr>
        <w:t xml:space="preserve">intentó justificar que las destituciones respetaron el derecho al debido proceso. </w:t>
      </w:r>
    </w:p>
    <w:p w:rsidR="00822E11" w:rsidRPr="002E06BC" w:rsidRDefault="00630AA8" w:rsidP="00822E11">
      <w:pPr>
        <w:pStyle w:val="ListParagraph"/>
        <w:numPr>
          <w:ilvl w:val="0"/>
          <w:numId w:val="62"/>
        </w:numPr>
        <w:shd w:val="clear" w:color="auto" w:fill="FFFFFF"/>
        <w:spacing w:after="240"/>
        <w:ind w:left="0" w:firstLine="720"/>
        <w:jc w:val="both"/>
        <w:rPr>
          <w:rFonts w:asciiTheme="majorHAnsi" w:hAnsiTheme="majorHAnsi"/>
          <w:bCs/>
          <w:sz w:val="20"/>
          <w:szCs w:val="20"/>
          <w:lang w:val="es-ES"/>
        </w:rPr>
      </w:pPr>
      <w:r w:rsidRPr="002E06BC">
        <w:rPr>
          <w:rFonts w:asciiTheme="majorHAnsi" w:hAnsiTheme="majorHAnsi"/>
          <w:bCs/>
          <w:sz w:val="20"/>
          <w:szCs w:val="20"/>
          <w:lang w:val="es-ES"/>
        </w:rPr>
        <w:t xml:space="preserve">La parte peticionaria indica que </w:t>
      </w:r>
      <w:r w:rsidR="00822E11" w:rsidRPr="002E06BC">
        <w:rPr>
          <w:rFonts w:asciiTheme="majorHAnsi" w:hAnsiTheme="majorHAnsi"/>
          <w:bCs/>
          <w:sz w:val="20"/>
          <w:szCs w:val="20"/>
          <w:lang w:val="es-ES"/>
        </w:rPr>
        <w:t>presuntas víctimas</w:t>
      </w:r>
      <w:r w:rsidR="00150C5B" w:rsidRPr="002E06BC">
        <w:rPr>
          <w:rFonts w:asciiTheme="majorHAnsi" w:hAnsiTheme="majorHAnsi"/>
          <w:bCs/>
          <w:sz w:val="20"/>
          <w:szCs w:val="20"/>
          <w:lang w:val="es-ES"/>
        </w:rPr>
        <w:t xml:space="preserve"> </w:t>
      </w:r>
      <w:r w:rsidRPr="002E06BC">
        <w:rPr>
          <w:rFonts w:asciiTheme="majorHAnsi" w:hAnsiTheme="majorHAnsi"/>
          <w:bCs/>
          <w:sz w:val="20"/>
          <w:szCs w:val="20"/>
          <w:lang w:val="es-ES"/>
        </w:rPr>
        <w:t>s</w:t>
      </w:r>
      <w:r w:rsidR="00822E11" w:rsidRPr="002E06BC">
        <w:rPr>
          <w:rFonts w:asciiTheme="majorHAnsi" w:hAnsiTheme="majorHAnsi"/>
          <w:bCs/>
          <w:sz w:val="20"/>
          <w:szCs w:val="20"/>
          <w:lang w:val="es-ES"/>
        </w:rPr>
        <w:t>olicitaron la revocatoria de su destitución, pero que tales peticiones</w:t>
      </w:r>
      <w:r w:rsidR="00DC20F0" w:rsidRPr="002E06BC">
        <w:rPr>
          <w:rFonts w:asciiTheme="majorHAnsi" w:hAnsiTheme="majorHAnsi"/>
          <w:bCs/>
          <w:sz w:val="20"/>
          <w:szCs w:val="20"/>
          <w:lang w:val="es-ES"/>
        </w:rPr>
        <w:t xml:space="preserve"> no prosperaron. Luego</w:t>
      </w:r>
      <w:r w:rsidR="00822E11" w:rsidRPr="002E06BC">
        <w:rPr>
          <w:rFonts w:asciiTheme="majorHAnsi" w:hAnsiTheme="majorHAnsi"/>
          <w:bCs/>
          <w:sz w:val="20"/>
          <w:szCs w:val="20"/>
          <w:lang w:val="es-ES"/>
        </w:rPr>
        <w:t>, i</w:t>
      </w:r>
      <w:r w:rsidR="00A2143A" w:rsidRPr="002E06BC">
        <w:rPr>
          <w:rFonts w:asciiTheme="majorHAnsi" w:hAnsiTheme="majorHAnsi"/>
          <w:bCs/>
          <w:sz w:val="20"/>
          <w:szCs w:val="20"/>
          <w:lang w:val="es-ES"/>
        </w:rPr>
        <w:t>nstauraron</w:t>
      </w:r>
      <w:r w:rsidR="00822E11" w:rsidRPr="002E06BC">
        <w:rPr>
          <w:rFonts w:asciiTheme="majorHAnsi" w:hAnsiTheme="majorHAnsi"/>
          <w:bCs/>
          <w:sz w:val="20"/>
          <w:szCs w:val="20"/>
          <w:lang w:val="es-ES"/>
        </w:rPr>
        <w:t xml:space="preserve"> una </w:t>
      </w:r>
      <w:r w:rsidR="00A2143A" w:rsidRPr="002E06BC">
        <w:rPr>
          <w:rFonts w:asciiTheme="majorHAnsi" w:hAnsiTheme="majorHAnsi"/>
          <w:bCs/>
          <w:sz w:val="20"/>
          <w:szCs w:val="20"/>
          <w:lang w:val="es-ES"/>
        </w:rPr>
        <w:t xml:space="preserve">demanda de nulidad y restablecimiento </w:t>
      </w:r>
      <w:r w:rsidR="00822E11" w:rsidRPr="002E06BC">
        <w:rPr>
          <w:rFonts w:asciiTheme="majorHAnsi" w:hAnsiTheme="majorHAnsi"/>
          <w:bCs/>
          <w:sz w:val="20"/>
          <w:szCs w:val="20"/>
          <w:lang w:val="es-ES"/>
        </w:rPr>
        <w:t>de derecho</w:t>
      </w:r>
      <w:r w:rsidR="008823EA" w:rsidRPr="002E06BC">
        <w:rPr>
          <w:rFonts w:asciiTheme="majorHAnsi" w:hAnsiTheme="majorHAnsi"/>
          <w:bCs/>
          <w:sz w:val="20"/>
          <w:szCs w:val="20"/>
          <w:lang w:val="es-ES"/>
        </w:rPr>
        <w:t xml:space="preserve">. </w:t>
      </w:r>
      <w:r w:rsidR="00822E11" w:rsidRPr="002E06BC">
        <w:rPr>
          <w:rFonts w:asciiTheme="majorHAnsi" w:hAnsiTheme="majorHAnsi"/>
          <w:bCs/>
          <w:sz w:val="20"/>
          <w:szCs w:val="20"/>
          <w:lang w:val="es-ES"/>
        </w:rPr>
        <w:t xml:space="preserve">Sin embargo, el 20 de febrero de 2007 el Juzgado Administrativo del Circuito de Buenaventura rechazó tal recurso, al considerar que la Junta Asesora del INPEC dio oportunidad a las presuntas víctimas de exponer argumentos de defensa y que, conforme al Decreto 407 de 1994, el director de tal organismo posee la facultad discrecional para desvincular por razones de inconveniencia a los empleados de su entidad. Sostiene que las presuntas víctimas presentaron un recurso de apelación contra tal resolución, pero que el </w:t>
      </w:r>
      <w:r w:rsidR="008823EA" w:rsidRPr="002E06BC">
        <w:rPr>
          <w:rFonts w:asciiTheme="majorHAnsi" w:hAnsiTheme="majorHAnsi"/>
          <w:bCs/>
          <w:sz w:val="20"/>
          <w:szCs w:val="20"/>
          <w:lang w:val="es-ES"/>
        </w:rPr>
        <w:t xml:space="preserve">15 de marzo de 2010 el Tribunal Administrativo del Valle del Cauca confirmó el rechazo de la demanda. </w:t>
      </w:r>
    </w:p>
    <w:p w:rsidR="008823EA" w:rsidRPr="002E06BC" w:rsidRDefault="008823EA" w:rsidP="00822E11">
      <w:pPr>
        <w:pStyle w:val="ListParagraph"/>
        <w:numPr>
          <w:ilvl w:val="0"/>
          <w:numId w:val="62"/>
        </w:numPr>
        <w:shd w:val="clear" w:color="auto" w:fill="FFFFFF"/>
        <w:spacing w:after="240"/>
        <w:ind w:left="0" w:firstLine="720"/>
        <w:jc w:val="both"/>
        <w:rPr>
          <w:rFonts w:asciiTheme="majorHAnsi" w:hAnsiTheme="majorHAnsi"/>
          <w:bCs/>
          <w:sz w:val="20"/>
          <w:szCs w:val="20"/>
          <w:lang w:val="es-ES"/>
        </w:rPr>
      </w:pPr>
      <w:r w:rsidRPr="002E06BC">
        <w:rPr>
          <w:rFonts w:asciiTheme="majorHAnsi" w:hAnsiTheme="majorHAnsi"/>
          <w:bCs/>
          <w:sz w:val="20"/>
          <w:szCs w:val="20"/>
          <w:lang w:val="es-ES"/>
        </w:rPr>
        <w:t>Ante ello, precisa que las</w:t>
      </w:r>
      <w:r w:rsidR="000B7BC7" w:rsidRPr="002E06BC">
        <w:rPr>
          <w:rFonts w:asciiTheme="majorHAnsi" w:hAnsiTheme="majorHAnsi"/>
          <w:bCs/>
          <w:sz w:val="20"/>
          <w:szCs w:val="20"/>
          <w:lang w:val="es-ES"/>
        </w:rPr>
        <w:t xml:space="preserve"> presuntas víctimas presentaron individualmente</w:t>
      </w:r>
      <w:r w:rsidRPr="002E06BC">
        <w:rPr>
          <w:rFonts w:asciiTheme="majorHAnsi" w:hAnsiTheme="majorHAnsi"/>
          <w:bCs/>
          <w:sz w:val="20"/>
          <w:szCs w:val="20"/>
          <w:lang w:val="es-ES"/>
        </w:rPr>
        <w:t xml:space="preserve"> acciones de tutela contra la citada decisión de segunda instancia, alegando la violación de derechos al debido proceso e igu</w:t>
      </w:r>
      <w:r w:rsidR="000B7BC7" w:rsidRPr="002E06BC">
        <w:rPr>
          <w:rFonts w:asciiTheme="majorHAnsi" w:hAnsiTheme="majorHAnsi"/>
          <w:bCs/>
          <w:sz w:val="20"/>
          <w:szCs w:val="20"/>
          <w:lang w:val="es-ES"/>
        </w:rPr>
        <w:t xml:space="preserve">aldad. No obstante, </w:t>
      </w:r>
      <w:r w:rsidRPr="002E06BC">
        <w:rPr>
          <w:rFonts w:asciiTheme="majorHAnsi" w:hAnsiTheme="majorHAnsi"/>
          <w:bCs/>
          <w:sz w:val="20"/>
          <w:szCs w:val="20"/>
          <w:lang w:val="es-ES"/>
        </w:rPr>
        <w:t>el Consejo de Estado declaró improcedentes todas las demandas</w:t>
      </w:r>
      <w:r w:rsidR="007F292E" w:rsidRPr="002E06BC">
        <w:rPr>
          <w:rFonts w:asciiTheme="majorHAnsi" w:hAnsiTheme="majorHAnsi"/>
          <w:bCs/>
          <w:sz w:val="20"/>
          <w:szCs w:val="20"/>
          <w:lang w:val="es-ES"/>
        </w:rPr>
        <w:t xml:space="preserve"> al considerar que las destituciones no fueron arbitrarias</w:t>
      </w:r>
      <w:r w:rsidRPr="002E06BC">
        <w:rPr>
          <w:rFonts w:asciiTheme="majorHAnsi" w:hAnsiTheme="majorHAnsi"/>
          <w:bCs/>
          <w:sz w:val="20"/>
          <w:szCs w:val="20"/>
          <w:lang w:val="es-ES"/>
        </w:rPr>
        <w:t xml:space="preserve">. </w:t>
      </w:r>
      <w:r w:rsidR="000B4CFA" w:rsidRPr="002E06BC">
        <w:rPr>
          <w:rFonts w:asciiTheme="majorHAnsi" w:hAnsiTheme="majorHAnsi"/>
          <w:bCs/>
          <w:sz w:val="20"/>
          <w:szCs w:val="20"/>
          <w:lang w:val="es-ES"/>
        </w:rPr>
        <w:t>El peticionario indica que</w:t>
      </w:r>
      <w:r w:rsidRPr="002E06BC">
        <w:rPr>
          <w:rFonts w:asciiTheme="majorHAnsi" w:hAnsiTheme="majorHAnsi"/>
          <w:bCs/>
          <w:sz w:val="20"/>
          <w:szCs w:val="20"/>
          <w:lang w:val="es-ES"/>
        </w:rPr>
        <w:t xml:space="preserve"> los expedientes fueron enviados </w:t>
      </w:r>
      <w:r w:rsidR="000B4CFA" w:rsidRPr="002E06BC">
        <w:rPr>
          <w:rFonts w:asciiTheme="majorHAnsi" w:hAnsiTheme="majorHAnsi"/>
          <w:bCs/>
          <w:sz w:val="20"/>
          <w:szCs w:val="20"/>
          <w:lang w:val="es-ES"/>
        </w:rPr>
        <w:t>posteriormente a la Corte Constitucional para su revisión</w:t>
      </w:r>
      <w:r w:rsidRPr="002E06BC">
        <w:rPr>
          <w:rFonts w:asciiTheme="majorHAnsi" w:hAnsiTheme="majorHAnsi"/>
          <w:bCs/>
          <w:sz w:val="20"/>
          <w:szCs w:val="20"/>
          <w:lang w:val="es-ES"/>
        </w:rPr>
        <w:t xml:space="preserve">, pero que dicho tribunal no seleccionó ninguno de los casos. Detalla que las decisiones fueron notificadas a los Sres. Gómez, Quiroga y Zuluaga el 24 de junio de 2011, 31 de marzo de 2011 y 10 de junio de 2011, respectivamente. </w:t>
      </w:r>
    </w:p>
    <w:p w:rsidR="00384230" w:rsidRPr="002E06BC" w:rsidRDefault="008823EA" w:rsidP="00C702F1">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bCs/>
          <w:sz w:val="20"/>
          <w:szCs w:val="20"/>
          <w:lang w:val="es-ES"/>
        </w:rPr>
        <w:t>La parte peticionaria</w:t>
      </w:r>
      <w:r w:rsidR="00F31878" w:rsidRPr="002E06BC">
        <w:rPr>
          <w:rFonts w:asciiTheme="majorHAnsi" w:hAnsiTheme="majorHAnsi"/>
          <w:bCs/>
          <w:sz w:val="20"/>
          <w:szCs w:val="20"/>
          <w:lang w:val="es-ES"/>
        </w:rPr>
        <w:t xml:space="preserve"> so</w:t>
      </w:r>
      <w:r w:rsidR="001004DE" w:rsidRPr="002E06BC">
        <w:rPr>
          <w:rFonts w:asciiTheme="majorHAnsi" w:hAnsiTheme="majorHAnsi"/>
          <w:bCs/>
          <w:sz w:val="20"/>
          <w:szCs w:val="20"/>
          <w:lang w:val="es-ES"/>
        </w:rPr>
        <w:t>s</w:t>
      </w:r>
      <w:r w:rsidRPr="002E06BC">
        <w:rPr>
          <w:rFonts w:asciiTheme="majorHAnsi" w:hAnsiTheme="majorHAnsi"/>
          <w:bCs/>
          <w:sz w:val="20"/>
          <w:szCs w:val="20"/>
          <w:lang w:val="es-ES"/>
        </w:rPr>
        <w:t>tiene</w:t>
      </w:r>
      <w:r w:rsidR="007F292E" w:rsidRPr="002E06BC">
        <w:rPr>
          <w:rFonts w:asciiTheme="majorHAnsi" w:hAnsiTheme="majorHAnsi"/>
          <w:bCs/>
          <w:sz w:val="20"/>
          <w:szCs w:val="20"/>
          <w:lang w:val="es-ES"/>
        </w:rPr>
        <w:t xml:space="preserve"> que se vulneró el derecho de las presuntas víctimas al debido proceso, ya que la Junta Asesora del INPEC no les informó de los cargos o las razones de su retiro al momento en que fueron citadas. Agrega que tampoco tuvieron acceso a la solicitud del superior que solicitó su retiro, a pesar que la jurisprudencia constitucional ha reconocido dicha garantía. </w:t>
      </w:r>
      <w:r w:rsidR="00EC20A4" w:rsidRPr="002E06BC">
        <w:rPr>
          <w:rFonts w:asciiTheme="majorHAnsi" w:hAnsiTheme="majorHAnsi"/>
          <w:bCs/>
          <w:sz w:val="20"/>
          <w:szCs w:val="20"/>
          <w:lang w:val="es-ES"/>
        </w:rPr>
        <w:t>Detalla que las presuntas víctimas intuyeron que las razones de su retiro estaban relacionadas</w:t>
      </w:r>
      <w:r w:rsidR="00857EBA" w:rsidRPr="002E06BC">
        <w:rPr>
          <w:rFonts w:asciiTheme="majorHAnsi" w:hAnsiTheme="majorHAnsi"/>
          <w:bCs/>
          <w:sz w:val="20"/>
          <w:szCs w:val="20"/>
          <w:lang w:val="es-ES"/>
        </w:rPr>
        <w:t xml:space="preserve"> con una fuga de presos y que </w:t>
      </w:r>
      <w:r w:rsidR="00EC20A4" w:rsidRPr="002E06BC">
        <w:rPr>
          <w:rFonts w:asciiTheme="majorHAnsi" w:hAnsiTheme="majorHAnsi"/>
          <w:bCs/>
          <w:sz w:val="20"/>
          <w:szCs w:val="20"/>
          <w:lang w:val="es-ES"/>
        </w:rPr>
        <w:t xml:space="preserve">en casos análogos se han tutelado los derechos de otros dragoneantes, por lo que existe una afectación a la igualdad. </w:t>
      </w:r>
      <w:r w:rsidR="00C702F1" w:rsidRPr="002E06BC">
        <w:rPr>
          <w:rFonts w:asciiTheme="majorHAnsi" w:hAnsiTheme="majorHAnsi"/>
          <w:bCs/>
          <w:sz w:val="20"/>
          <w:szCs w:val="20"/>
          <w:lang w:val="es-ES"/>
        </w:rPr>
        <w:t xml:space="preserve">Añade que hubo una vulneración al derecho a la libertad de asociación, toda vez que las autoridades debieron pedir autorización judicial antes de retirar a las presuntas víctimas. Finalmente, especifica que </w:t>
      </w:r>
      <w:r w:rsidR="000A0D7A" w:rsidRPr="002E06BC">
        <w:rPr>
          <w:rFonts w:asciiTheme="majorHAnsi" w:hAnsiTheme="majorHAnsi"/>
          <w:bCs/>
          <w:sz w:val="20"/>
          <w:szCs w:val="20"/>
          <w:lang w:val="es-ES"/>
        </w:rPr>
        <w:t>a pesar de que existía el recurso de reintegro</w:t>
      </w:r>
      <w:r w:rsidR="00CC1675" w:rsidRPr="002E06BC">
        <w:rPr>
          <w:rFonts w:asciiTheme="majorHAnsi" w:hAnsiTheme="majorHAnsi"/>
          <w:bCs/>
          <w:sz w:val="20"/>
          <w:szCs w:val="20"/>
          <w:lang w:val="es-ES"/>
        </w:rPr>
        <w:t>,</w:t>
      </w:r>
      <w:r w:rsidR="006A380A" w:rsidRPr="002E06BC">
        <w:rPr>
          <w:rFonts w:asciiTheme="majorHAnsi" w:hAnsiTheme="majorHAnsi"/>
          <w:bCs/>
          <w:sz w:val="20"/>
          <w:szCs w:val="20"/>
          <w:lang w:val="es-ES"/>
        </w:rPr>
        <w:t xml:space="preserve"> </w:t>
      </w:r>
      <w:r w:rsidR="00CC1675" w:rsidRPr="002E06BC">
        <w:rPr>
          <w:rFonts w:asciiTheme="majorHAnsi" w:hAnsiTheme="majorHAnsi"/>
          <w:bCs/>
          <w:sz w:val="20"/>
          <w:szCs w:val="20"/>
          <w:lang w:val="es-ES"/>
        </w:rPr>
        <w:t xml:space="preserve">el recurso contencioso administrativo </w:t>
      </w:r>
      <w:r w:rsidR="00C702F1" w:rsidRPr="002E06BC">
        <w:rPr>
          <w:rFonts w:asciiTheme="majorHAnsi" w:hAnsiTheme="majorHAnsi"/>
          <w:bCs/>
          <w:sz w:val="20"/>
          <w:szCs w:val="20"/>
          <w:lang w:val="es-ES"/>
        </w:rPr>
        <w:t xml:space="preserve">también </w:t>
      </w:r>
      <w:r w:rsidR="00F7066B" w:rsidRPr="002E06BC">
        <w:rPr>
          <w:rFonts w:asciiTheme="majorHAnsi" w:hAnsiTheme="majorHAnsi"/>
          <w:bCs/>
          <w:sz w:val="20"/>
          <w:szCs w:val="20"/>
          <w:lang w:val="es-ES"/>
        </w:rPr>
        <w:t>era</w:t>
      </w:r>
      <w:r w:rsidR="00CC1675" w:rsidRPr="002E06BC">
        <w:rPr>
          <w:rFonts w:asciiTheme="majorHAnsi" w:hAnsiTheme="majorHAnsi"/>
          <w:bCs/>
          <w:sz w:val="20"/>
          <w:szCs w:val="20"/>
          <w:lang w:val="es-ES"/>
        </w:rPr>
        <w:t xml:space="preserve"> </w:t>
      </w:r>
      <w:r w:rsidR="00E10C9F" w:rsidRPr="002E06BC">
        <w:rPr>
          <w:rFonts w:asciiTheme="majorHAnsi" w:hAnsiTheme="majorHAnsi"/>
          <w:bCs/>
          <w:sz w:val="20"/>
          <w:szCs w:val="20"/>
          <w:lang w:val="es-ES"/>
        </w:rPr>
        <w:t xml:space="preserve">adecuado </w:t>
      </w:r>
      <w:r w:rsidR="00F7066B" w:rsidRPr="002E06BC">
        <w:rPr>
          <w:rFonts w:asciiTheme="majorHAnsi" w:hAnsiTheme="majorHAnsi"/>
          <w:bCs/>
          <w:sz w:val="20"/>
          <w:szCs w:val="20"/>
          <w:lang w:val="es-ES"/>
        </w:rPr>
        <w:t xml:space="preserve">para reclamar la vulneración del derecho de asociación, </w:t>
      </w:r>
      <w:r w:rsidR="00C702F1" w:rsidRPr="002E06BC">
        <w:rPr>
          <w:rFonts w:asciiTheme="majorHAnsi" w:hAnsiTheme="majorHAnsi"/>
          <w:bCs/>
          <w:sz w:val="20"/>
          <w:szCs w:val="20"/>
          <w:lang w:val="es-ES"/>
        </w:rPr>
        <w:t>por lo que</w:t>
      </w:r>
      <w:r w:rsidR="003945E8" w:rsidRPr="002E06BC">
        <w:rPr>
          <w:rFonts w:asciiTheme="majorHAnsi" w:hAnsiTheme="majorHAnsi"/>
          <w:bCs/>
          <w:sz w:val="20"/>
          <w:szCs w:val="20"/>
          <w:lang w:val="es-ES"/>
        </w:rPr>
        <w:t>, a su juicio,</w:t>
      </w:r>
      <w:r w:rsidR="00C702F1" w:rsidRPr="002E06BC">
        <w:rPr>
          <w:rFonts w:asciiTheme="majorHAnsi" w:hAnsiTheme="majorHAnsi"/>
          <w:bCs/>
          <w:sz w:val="20"/>
          <w:szCs w:val="20"/>
          <w:lang w:val="es-ES"/>
        </w:rPr>
        <w:t xml:space="preserve"> se agotó correctamente la jurisdicción interna</w:t>
      </w:r>
      <w:r w:rsidR="00E10C9F" w:rsidRPr="002E06BC">
        <w:rPr>
          <w:rFonts w:asciiTheme="majorHAnsi" w:hAnsiTheme="majorHAnsi"/>
          <w:bCs/>
          <w:sz w:val="20"/>
          <w:szCs w:val="20"/>
          <w:lang w:val="es-ES"/>
        </w:rPr>
        <w:t xml:space="preserve">. </w:t>
      </w:r>
      <w:r w:rsidR="000A0D7A" w:rsidRPr="002E06BC">
        <w:rPr>
          <w:rFonts w:asciiTheme="majorHAnsi" w:hAnsiTheme="majorHAnsi"/>
          <w:bCs/>
          <w:sz w:val="20"/>
          <w:szCs w:val="20"/>
          <w:lang w:val="es-ES"/>
        </w:rPr>
        <w:t xml:space="preserve">  </w:t>
      </w:r>
    </w:p>
    <w:p w:rsidR="009A7C88" w:rsidRPr="002E06BC" w:rsidRDefault="00F44EEC" w:rsidP="00F63248">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bCs/>
          <w:sz w:val="20"/>
          <w:szCs w:val="20"/>
          <w:lang w:val="es-ES"/>
        </w:rPr>
        <w:t>Por su parte</w:t>
      </w:r>
      <w:r w:rsidR="00005182" w:rsidRPr="002E06BC">
        <w:rPr>
          <w:rFonts w:asciiTheme="majorHAnsi" w:hAnsiTheme="majorHAnsi"/>
          <w:bCs/>
          <w:sz w:val="20"/>
          <w:szCs w:val="20"/>
          <w:lang w:val="es-ES"/>
        </w:rPr>
        <w:t>,</w:t>
      </w:r>
      <w:r w:rsidRPr="002E06BC">
        <w:rPr>
          <w:rFonts w:asciiTheme="majorHAnsi" w:hAnsiTheme="majorHAnsi"/>
          <w:bCs/>
          <w:sz w:val="20"/>
          <w:szCs w:val="20"/>
          <w:lang w:val="es-ES"/>
        </w:rPr>
        <w:t xml:space="preserve"> el Estado</w:t>
      </w:r>
      <w:r w:rsidR="00005182" w:rsidRPr="002E06BC">
        <w:rPr>
          <w:rFonts w:asciiTheme="majorHAnsi" w:hAnsiTheme="majorHAnsi"/>
          <w:bCs/>
          <w:sz w:val="20"/>
          <w:szCs w:val="20"/>
          <w:lang w:val="es-ES"/>
        </w:rPr>
        <w:t xml:space="preserve"> </w:t>
      </w:r>
      <w:r w:rsidR="009A7C88" w:rsidRPr="002E06BC">
        <w:rPr>
          <w:rFonts w:asciiTheme="majorHAnsi" w:hAnsiTheme="majorHAnsi"/>
          <w:bCs/>
          <w:sz w:val="20"/>
          <w:szCs w:val="20"/>
          <w:lang w:val="es-ES"/>
        </w:rPr>
        <w:t xml:space="preserve">replica </w:t>
      </w:r>
      <w:r w:rsidR="009A7C88" w:rsidRPr="002E06BC">
        <w:rPr>
          <w:sz w:val="20"/>
          <w:szCs w:val="20"/>
          <w:lang w:val="es-ES"/>
        </w:rPr>
        <w:t>que la petición es inadmisible</w:t>
      </w:r>
      <w:r w:rsidR="00A94C56" w:rsidRPr="002E06BC">
        <w:rPr>
          <w:sz w:val="20"/>
          <w:szCs w:val="20"/>
          <w:lang w:val="es-ES"/>
        </w:rPr>
        <w:t>,</w:t>
      </w:r>
      <w:r w:rsidR="009A7C88" w:rsidRPr="002E06BC">
        <w:rPr>
          <w:sz w:val="20"/>
          <w:szCs w:val="20"/>
          <w:lang w:val="es-ES"/>
        </w:rPr>
        <w:t xml:space="preserve"> </w:t>
      </w:r>
      <w:r w:rsidR="00A94C56" w:rsidRPr="002E06BC">
        <w:rPr>
          <w:sz w:val="20"/>
          <w:szCs w:val="20"/>
          <w:lang w:val="es-ES"/>
        </w:rPr>
        <w:t>alega que</w:t>
      </w:r>
      <w:r w:rsidR="009A7C88" w:rsidRPr="002E06BC">
        <w:rPr>
          <w:sz w:val="20"/>
          <w:szCs w:val="20"/>
          <w:lang w:val="es-ES"/>
        </w:rPr>
        <w:t xml:space="preserve"> no se han agotado los recursos de la jurisdicción interna</w:t>
      </w:r>
      <w:r w:rsidR="00507165" w:rsidRPr="002E06BC">
        <w:rPr>
          <w:sz w:val="20"/>
          <w:szCs w:val="20"/>
          <w:lang w:val="es-ES"/>
        </w:rPr>
        <w:t xml:space="preserve"> respecto a </w:t>
      </w:r>
      <w:r w:rsidR="00C702F1" w:rsidRPr="002E06BC">
        <w:rPr>
          <w:sz w:val="20"/>
          <w:szCs w:val="20"/>
          <w:lang w:val="es-ES"/>
        </w:rPr>
        <w:t>la alegada vulneración al dere</w:t>
      </w:r>
      <w:r w:rsidR="00507165" w:rsidRPr="002E06BC">
        <w:rPr>
          <w:sz w:val="20"/>
          <w:szCs w:val="20"/>
          <w:lang w:val="es-ES"/>
        </w:rPr>
        <w:t>cho a la libertad de asociación. Al respecto, sostiene</w:t>
      </w:r>
      <w:r w:rsidR="00C702F1" w:rsidRPr="002E06BC">
        <w:rPr>
          <w:sz w:val="20"/>
          <w:szCs w:val="20"/>
          <w:lang w:val="es-ES"/>
        </w:rPr>
        <w:t xml:space="preserve"> que las presuntas víctimas</w:t>
      </w:r>
      <w:r w:rsidR="00C702F1" w:rsidRPr="002E06BC">
        <w:rPr>
          <w:rFonts w:asciiTheme="majorHAnsi" w:hAnsiTheme="majorHAnsi"/>
          <w:bCs/>
          <w:sz w:val="20"/>
          <w:szCs w:val="20"/>
          <w:lang w:val="es-ES"/>
        </w:rPr>
        <w:t xml:space="preserve"> no utilizaron el recurso adecuado, toda vez que no presentar</w:t>
      </w:r>
      <w:r w:rsidR="00A94C56" w:rsidRPr="002E06BC">
        <w:rPr>
          <w:rFonts w:asciiTheme="majorHAnsi" w:hAnsiTheme="majorHAnsi"/>
          <w:bCs/>
          <w:sz w:val="20"/>
          <w:szCs w:val="20"/>
          <w:lang w:val="es-ES"/>
        </w:rPr>
        <w:t>on</w:t>
      </w:r>
      <w:r w:rsidR="00C702F1" w:rsidRPr="002E06BC">
        <w:rPr>
          <w:rFonts w:asciiTheme="majorHAnsi" w:hAnsiTheme="majorHAnsi"/>
          <w:bCs/>
          <w:sz w:val="20"/>
          <w:szCs w:val="20"/>
          <w:lang w:val="es-ES"/>
        </w:rPr>
        <w:t xml:space="preserve"> una acción de reintegro mediante un proceso laboral. Asimismo, detalla </w:t>
      </w:r>
      <w:r w:rsidR="00F63248" w:rsidRPr="002E06BC">
        <w:rPr>
          <w:rFonts w:asciiTheme="majorHAnsi" w:hAnsiTheme="majorHAnsi"/>
          <w:bCs/>
          <w:sz w:val="20"/>
          <w:szCs w:val="20"/>
          <w:lang w:val="es-ES"/>
        </w:rPr>
        <w:t xml:space="preserve">que la presunta afectación a tal derecho no fue presentada a nivel interno, a pesar que pudieron reclamarla por medio de la acción de tutela. </w:t>
      </w:r>
    </w:p>
    <w:p w:rsidR="00384230" w:rsidRPr="002E06BC" w:rsidRDefault="009A7C88" w:rsidP="00A65AAA">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cs="Times New Roman"/>
          <w:color w:val="auto"/>
          <w:sz w:val="20"/>
          <w:szCs w:val="20"/>
          <w:lang w:val="es-ES" w:eastAsia="en-US"/>
        </w:rPr>
        <w:t xml:space="preserve">Adicionalmente, arguye que </w:t>
      </w:r>
      <w:r w:rsidRPr="002E06BC">
        <w:rPr>
          <w:rFonts w:asciiTheme="majorHAnsi" w:hAnsiTheme="majorHAnsi"/>
          <w:sz w:val="20"/>
          <w:szCs w:val="20"/>
          <w:lang w:val="es-ES"/>
        </w:rPr>
        <w:t xml:space="preserve">los hechos denunciados no representan una violación de derechos humanos. </w:t>
      </w:r>
      <w:r w:rsidR="00AD63BC" w:rsidRPr="002E06BC">
        <w:rPr>
          <w:rFonts w:asciiTheme="majorHAnsi" w:hAnsiTheme="majorHAnsi"/>
          <w:bCs/>
          <w:sz w:val="20"/>
          <w:szCs w:val="20"/>
          <w:lang w:val="es-ES"/>
        </w:rPr>
        <w:t xml:space="preserve">Argumenta que la parte peticionaria </w:t>
      </w:r>
      <w:r w:rsidR="00507165" w:rsidRPr="002E06BC">
        <w:rPr>
          <w:rFonts w:asciiTheme="majorHAnsi" w:hAnsiTheme="majorHAnsi"/>
          <w:bCs/>
          <w:sz w:val="20"/>
          <w:szCs w:val="20"/>
          <w:lang w:val="es-ES"/>
        </w:rPr>
        <w:t>presentó</w:t>
      </w:r>
      <w:r w:rsidR="00AD63BC" w:rsidRPr="002E06BC">
        <w:rPr>
          <w:rFonts w:asciiTheme="majorHAnsi" w:hAnsiTheme="majorHAnsi"/>
          <w:bCs/>
          <w:sz w:val="20"/>
          <w:szCs w:val="20"/>
          <w:lang w:val="es-ES"/>
        </w:rPr>
        <w:t xml:space="preserve"> u</w:t>
      </w:r>
      <w:r w:rsidR="004746CE" w:rsidRPr="002E06BC">
        <w:rPr>
          <w:rFonts w:asciiTheme="majorHAnsi" w:hAnsiTheme="majorHAnsi"/>
          <w:bCs/>
          <w:sz w:val="20"/>
          <w:szCs w:val="20"/>
          <w:lang w:val="es-ES"/>
        </w:rPr>
        <w:t>n contexto abstracto</w:t>
      </w:r>
      <w:r w:rsidR="00721FB6" w:rsidRPr="002E06BC">
        <w:rPr>
          <w:rFonts w:asciiTheme="majorHAnsi" w:hAnsiTheme="majorHAnsi"/>
          <w:bCs/>
          <w:sz w:val="20"/>
          <w:szCs w:val="20"/>
          <w:lang w:val="es-ES"/>
        </w:rPr>
        <w:t xml:space="preserve"> sin nexo causal con los</w:t>
      </w:r>
      <w:r w:rsidR="004746CE" w:rsidRPr="002E06BC">
        <w:rPr>
          <w:rFonts w:asciiTheme="majorHAnsi" w:hAnsiTheme="majorHAnsi"/>
          <w:bCs/>
          <w:sz w:val="20"/>
          <w:szCs w:val="20"/>
          <w:lang w:val="es-ES"/>
        </w:rPr>
        <w:t xml:space="preserve"> hechos alegados en la petición, el cual</w:t>
      </w:r>
      <w:r w:rsidR="00721FB6" w:rsidRPr="002E06BC">
        <w:rPr>
          <w:rFonts w:asciiTheme="majorHAnsi" w:hAnsiTheme="majorHAnsi"/>
          <w:bCs/>
          <w:sz w:val="20"/>
          <w:szCs w:val="20"/>
          <w:lang w:val="es-ES"/>
        </w:rPr>
        <w:t xml:space="preserve"> en sí mismo no genera su responsabilidad a nivel internacional. </w:t>
      </w:r>
      <w:r w:rsidR="00507165" w:rsidRPr="002E06BC">
        <w:rPr>
          <w:rFonts w:asciiTheme="majorHAnsi" w:hAnsiTheme="majorHAnsi"/>
          <w:bCs/>
          <w:sz w:val="20"/>
          <w:szCs w:val="20"/>
          <w:lang w:val="es-ES"/>
        </w:rPr>
        <w:t xml:space="preserve">Asimismo, indica </w:t>
      </w:r>
      <w:r w:rsidR="00C43093" w:rsidRPr="002E06BC">
        <w:rPr>
          <w:rFonts w:asciiTheme="majorHAnsi" w:hAnsiTheme="majorHAnsi"/>
          <w:bCs/>
          <w:sz w:val="20"/>
          <w:szCs w:val="20"/>
          <w:lang w:val="es-ES"/>
        </w:rPr>
        <w:t xml:space="preserve">que </w:t>
      </w:r>
      <w:r w:rsidR="00BF47C8" w:rsidRPr="002E06BC">
        <w:rPr>
          <w:rFonts w:asciiTheme="majorHAnsi" w:hAnsiTheme="majorHAnsi"/>
          <w:bCs/>
          <w:sz w:val="20"/>
          <w:szCs w:val="20"/>
          <w:lang w:val="es-ES"/>
        </w:rPr>
        <w:t xml:space="preserve">las presuntas víctimas tuvieron acceso a un recurso sencillo y rápido para solicitar el amparo contra los actos que consideraron que vulneraban sus derechos, </w:t>
      </w:r>
      <w:r w:rsidR="003D04F9" w:rsidRPr="002E06BC">
        <w:rPr>
          <w:rFonts w:asciiTheme="majorHAnsi" w:hAnsiTheme="majorHAnsi"/>
          <w:bCs/>
          <w:sz w:val="20"/>
          <w:szCs w:val="20"/>
          <w:lang w:val="es-ES"/>
        </w:rPr>
        <w:t>y</w:t>
      </w:r>
      <w:r w:rsidR="00A65AAA" w:rsidRPr="002E06BC">
        <w:rPr>
          <w:rFonts w:asciiTheme="majorHAnsi" w:hAnsiTheme="majorHAnsi"/>
          <w:bCs/>
          <w:sz w:val="20"/>
          <w:szCs w:val="20"/>
          <w:lang w:val="es-ES"/>
        </w:rPr>
        <w:t xml:space="preserve"> que</w:t>
      </w:r>
      <w:r w:rsidR="00BF47C8" w:rsidRPr="002E06BC">
        <w:rPr>
          <w:rFonts w:asciiTheme="majorHAnsi" w:hAnsiTheme="majorHAnsi"/>
          <w:bCs/>
          <w:sz w:val="20"/>
          <w:szCs w:val="20"/>
          <w:lang w:val="es-ES"/>
        </w:rPr>
        <w:t xml:space="preserve"> el Consejo de Estado</w:t>
      </w:r>
      <w:r w:rsidR="00A65AAA" w:rsidRPr="002E06BC">
        <w:rPr>
          <w:rFonts w:asciiTheme="majorHAnsi" w:hAnsiTheme="majorHAnsi"/>
          <w:bCs/>
          <w:sz w:val="20"/>
          <w:szCs w:val="20"/>
          <w:lang w:val="es-ES"/>
        </w:rPr>
        <w:t xml:space="preserve"> resolvió </w:t>
      </w:r>
      <w:r w:rsidR="00A65AAA" w:rsidRPr="002E06BC">
        <w:rPr>
          <w:rFonts w:asciiTheme="majorHAnsi" w:hAnsiTheme="majorHAnsi"/>
          <w:bCs/>
          <w:sz w:val="20"/>
          <w:szCs w:val="20"/>
          <w:lang w:val="es-ES"/>
        </w:rPr>
        <w:lastRenderedPageBreak/>
        <w:t xml:space="preserve">los casos adecuadamente al considerar que no hubo vulneraciones al debido proceso u actos arbitrarios por parte de los jueces. Precisa que la normativa y jurisprudencia interna han establecido </w:t>
      </w:r>
      <w:r w:rsidR="004442AF" w:rsidRPr="002E06BC">
        <w:rPr>
          <w:rFonts w:asciiTheme="majorHAnsi" w:hAnsiTheme="majorHAnsi"/>
          <w:bCs/>
          <w:sz w:val="20"/>
          <w:szCs w:val="20"/>
          <w:lang w:val="es-ES"/>
        </w:rPr>
        <w:t>que el Director General del INPEC cuenta con la facultad discrecional para retirar del servici</w:t>
      </w:r>
      <w:r w:rsidR="0062703E" w:rsidRPr="002E06BC">
        <w:rPr>
          <w:rFonts w:asciiTheme="majorHAnsi" w:hAnsiTheme="majorHAnsi"/>
          <w:bCs/>
          <w:sz w:val="20"/>
          <w:szCs w:val="20"/>
          <w:lang w:val="es-ES"/>
        </w:rPr>
        <w:t>o</w:t>
      </w:r>
      <w:r w:rsidR="004442AF" w:rsidRPr="002E06BC">
        <w:rPr>
          <w:rFonts w:asciiTheme="majorHAnsi" w:hAnsiTheme="majorHAnsi"/>
          <w:bCs/>
          <w:sz w:val="20"/>
          <w:szCs w:val="20"/>
          <w:lang w:val="es-ES"/>
        </w:rPr>
        <w:t xml:space="preserve"> por razones de inconveniencia a los dragoneantes, condicionada al concepto previo o recomendación de la Junta Asesora</w:t>
      </w:r>
      <w:r w:rsidR="00A65AAA" w:rsidRPr="002E06BC">
        <w:rPr>
          <w:rFonts w:asciiTheme="majorHAnsi" w:hAnsiTheme="majorHAnsi"/>
          <w:bCs/>
          <w:sz w:val="20"/>
          <w:szCs w:val="20"/>
          <w:lang w:val="es-ES"/>
        </w:rPr>
        <w:t xml:space="preserve"> del INPEC.</w:t>
      </w:r>
      <w:r w:rsidR="00006266" w:rsidRPr="002E06BC">
        <w:rPr>
          <w:rFonts w:asciiTheme="majorHAnsi" w:hAnsiTheme="majorHAnsi"/>
          <w:bCs/>
          <w:sz w:val="20"/>
          <w:szCs w:val="20"/>
          <w:lang w:val="es-ES"/>
        </w:rPr>
        <w:t xml:space="preserve"> </w:t>
      </w:r>
      <w:r w:rsidR="00A65AAA" w:rsidRPr="002E06BC">
        <w:rPr>
          <w:rFonts w:asciiTheme="majorHAnsi" w:hAnsiTheme="majorHAnsi"/>
          <w:bCs/>
          <w:sz w:val="20"/>
          <w:szCs w:val="20"/>
          <w:lang w:val="es-ES"/>
        </w:rPr>
        <w:t xml:space="preserve">En razón a ello, </w:t>
      </w:r>
      <w:r w:rsidR="00A65AAA" w:rsidRPr="002E06BC">
        <w:rPr>
          <w:rFonts w:asciiTheme="majorHAnsi" w:hAnsiTheme="majorHAnsi"/>
          <w:sz w:val="20"/>
          <w:szCs w:val="20"/>
          <w:bdr w:val="none" w:sz="0" w:space="0" w:color="auto"/>
          <w:lang w:val="es-ES"/>
        </w:rPr>
        <w:t xml:space="preserve">solicita que la petición sea declarada inadmisible con fundamento en el artículo 47(b) de la Convención Americana, toda vez que considera que la pretensión de la peticionaria es que la Comisión actúe como un tribunal de alzada, en contradicción </w:t>
      </w:r>
      <w:r w:rsidR="00CF6A9B" w:rsidRPr="002E06BC">
        <w:rPr>
          <w:rFonts w:asciiTheme="majorHAnsi" w:hAnsiTheme="majorHAnsi"/>
          <w:sz w:val="20"/>
          <w:szCs w:val="20"/>
          <w:bdr w:val="none" w:sz="0" w:space="0" w:color="auto"/>
          <w:lang w:val="es-ES"/>
        </w:rPr>
        <w:t>con</w:t>
      </w:r>
      <w:r w:rsidR="00A65AAA" w:rsidRPr="002E06BC">
        <w:rPr>
          <w:rFonts w:asciiTheme="majorHAnsi" w:hAnsiTheme="majorHAnsi"/>
          <w:sz w:val="20"/>
          <w:szCs w:val="20"/>
          <w:bdr w:val="none" w:sz="0" w:space="0" w:color="auto"/>
          <w:lang w:val="es-ES"/>
        </w:rPr>
        <w:t xml:space="preserve"> su naturaleza complementaria.</w:t>
      </w:r>
    </w:p>
    <w:p w:rsidR="00384230" w:rsidRPr="002E06BC" w:rsidRDefault="00384230" w:rsidP="00384230">
      <w:pPr>
        <w:spacing w:before="240" w:after="240"/>
        <w:ind w:firstLine="720"/>
        <w:jc w:val="both"/>
        <w:rPr>
          <w:rFonts w:asciiTheme="majorHAnsi" w:eastAsia="Cambria" w:hAnsiTheme="majorHAnsi" w:cs="Cambria"/>
          <w:b/>
          <w:bCs/>
          <w:color w:val="000000"/>
          <w:sz w:val="20"/>
          <w:szCs w:val="20"/>
          <w:u w:color="000000"/>
          <w:lang w:val="es-ES" w:eastAsia="es-ES"/>
        </w:rPr>
      </w:pPr>
      <w:r w:rsidRPr="002E06BC">
        <w:rPr>
          <w:rFonts w:asciiTheme="majorHAnsi" w:eastAsia="Cambria" w:hAnsiTheme="majorHAnsi" w:cs="Cambria"/>
          <w:b/>
          <w:bCs/>
          <w:color w:val="000000"/>
          <w:sz w:val="20"/>
          <w:szCs w:val="20"/>
          <w:u w:color="000000"/>
          <w:lang w:val="es-ES" w:eastAsia="es-ES"/>
        </w:rPr>
        <w:t>VI.</w:t>
      </w:r>
      <w:r w:rsidRPr="002E06BC">
        <w:rPr>
          <w:rFonts w:asciiTheme="majorHAnsi" w:eastAsia="Cambria" w:hAnsiTheme="majorHAnsi" w:cs="Cambria"/>
          <w:b/>
          <w:bCs/>
          <w:color w:val="000000"/>
          <w:sz w:val="20"/>
          <w:szCs w:val="20"/>
          <w:u w:color="000000"/>
          <w:lang w:val="es-ES" w:eastAsia="es-ES"/>
        </w:rPr>
        <w:tab/>
      </w:r>
      <w:r w:rsidRPr="002E06BC">
        <w:rPr>
          <w:rFonts w:asciiTheme="majorHAnsi" w:hAnsiTheme="majorHAnsi"/>
          <w:b/>
          <w:bCs/>
          <w:sz w:val="20"/>
          <w:szCs w:val="20"/>
          <w:lang w:val="es-ES"/>
        </w:rPr>
        <w:t xml:space="preserve">ANÁLISIS DE </w:t>
      </w:r>
      <w:r w:rsidRPr="002E06BC">
        <w:rPr>
          <w:rFonts w:asciiTheme="majorHAnsi" w:hAnsiTheme="majorHAnsi"/>
          <w:b/>
          <w:sz w:val="20"/>
          <w:szCs w:val="20"/>
          <w:lang w:val="es-ES"/>
        </w:rPr>
        <w:t>AGOTAMIENTO DE LOS RECURSOS INTERNOS Y PLAZO DE PRESENTACIÓN</w:t>
      </w:r>
      <w:r w:rsidRPr="002E06BC">
        <w:rPr>
          <w:rFonts w:asciiTheme="majorHAnsi" w:eastAsia="Cambria" w:hAnsiTheme="majorHAnsi" w:cs="Cambria"/>
          <w:b/>
          <w:bCs/>
          <w:color w:val="000000"/>
          <w:sz w:val="20"/>
          <w:szCs w:val="20"/>
          <w:u w:color="000000"/>
          <w:lang w:val="es-ES" w:eastAsia="es-ES"/>
        </w:rPr>
        <w:t xml:space="preserve"> </w:t>
      </w:r>
    </w:p>
    <w:p w:rsidR="00834724" w:rsidRPr="002E06BC" w:rsidRDefault="00DB3C73" w:rsidP="00834724">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sz w:val="20"/>
          <w:szCs w:val="20"/>
          <w:lang w:val="es-ES"/>
        </w:rPr>
        <w:t>La Comisión observa que l</w:t>
      </w:r>
      <w:r w:rsidR="00180A1D" w:rsidRPr="002E06BC">
        <w:rPr>
          <w:rFonts w:asciiTheme="majorHAnsi" w:hAnsiTheme="majorHAnsi"/>
          <w:sz w:val="20"/>
          <w:szCs w:val="20"/>
          <w:lang w:val="es-ES"/>
        </w:rPr>
        <w:t xml:space="preserve">os peticionarios señalan que </w:t>
      </w:r>
      <w:r w:rsidR="00605BCD" w:rsidRPr="002E06BC">
        <w:rPr>
          <w:rFonts w:asciiTheme="majorHAnsi" w:hAnsiTheme="majorHAnsi"/>
          <w:sz w:val="20"/>
          <w:szCs w:val="20"/>
          <w:lang w:val="es-ES"/>
        </w:rPr>
        <w:t>se agotaron los recursos interno</w:t>
      </w:r>
      <w:r w:rsidR="00E87555" w:rsidRPr="002E06BC">
        <w:rPr>
          <w:rFonts w:asciiTheme="majorHAnsi" w:hAnsiTheme="majorHAnsi"/>
          <w:sz w:val="20"/>
          <w:szCs w:val="20"/>
          <w:lang w:val="es-ES"/>
        </w:rPr>
        <w:t xml:space="preserve">s con las decisiones de la Corte Constitucional del </w:t>
      </w:r>
      <w:r w:rsidR="00E87555" w:rsidRPr="002E06BC">
        <w:rPr>
          <w:rFonts w:asciiTheme="majorHAnsi" w:hAnsiTheme="majorHAnsi"/>
          <w:bCs/>
          <w:sz w:val="20"/>
          <w:szCs w:val="20"/>
          <w:lang w:val="es-ES"/>
        </w:rPr>
        <w:t>24 de junio de 2011, 31 de mayo de 2011 y el 10 de junio de 2010 que no seleccionaron a las s</w:t>
      </w:r>
      <w:r w:rsidR="004332CA" w:rsidRPr="002E06BC">
        <w:rPr>
          <w:rFonts w:asciiTheme="majorHAnsi" w:hAnsiTheme="majorHAnsi"/>
          <w:bCs/>
          <w:sz w:val="20"/>
          <w:szCs w:val="20"/>
          <w:lang w:val="es-ES"/>
        </w:rPr>
        <w:t>entencias para su revisión, por</w:t>
      </w:r>
      <w:r w:rsidR="00E87555" w:rsidRPr="002E06BC">
        <w:rPr>
          <w:rFonts w:asciiTheme="majorHAnsi" w:hAnsiTheme="majorHAnsi"/>
          <w:bCs/>
          <w:sz w:val="20"/>
          <w:szCs w:val="20"/>
          <w:lang w:val="es-ES"/>
        </w:rPr>
        <w:t xml:space="preserve">que cumplen con el artículo 46.1.a) de la Convención Americana. </w:t>
      </w:r>
      <w:r w:rsidR="009C7DCC" w:rsidRPr="002E06BC">
        <w:rPr>
          <w:rFonts w:asciiTheme="majorHAnsi" w:hAnsiTheme="majorHAnsi"/>
          <w:sz w:val="20"/>
          <w:szCs w:val="20"/>
          <w:lang w:val="es-ES"/>
        </w:rPr>
        <w:t>Por su parte, el Estado sostiene</w:t>
      </w:r>
      <w:r w:rsidR="00AA0787" w:rsidRPr="002E06BC">
        <w:rPr>
          <w:rFonts w:asciiTheme="majorHAnsi" w:hAnsiTheme="majorHAnsi"/>
          <w:sz w:val="20"/>
          <w:szCs w:val="20"/>
          <w:lang w:val="es-ES"/>
        </w:rPr>
        <w:t xml:space="preserve"> </w:t>
      </w:r>
      <w:r w:rsidR="009C7DCC" w:rsidRPr="002E06BC">
        <w:rPr>
          <w:rFonts w:asciiTheme="majorHAnsi" w:hAnsiTheme="majorHAnsi"/>
          <w:sz w:val="20"/>
          <w:szCs w:val="20"/>
          <w:lang w:val="es-ES"/>
        </w:rPr>
        <w:t xml:space="preserve">que las presuntas víctimas no agotaron los recursos internos en relación </w:t>
      </w:r>
      <w:r w:rsidR="007D5EDB" w:rsidRPr="002E06BC">
        <w:rPr>
          <w:rFonts w:asciiTheme="majorHAnsi" w:hAnsiTheme="majorHAnsi"/>
          <w:sz w:val="20"/>
          <w:szCs w:val="20"/>
          <w:lang w:val="es-ES"/>
        </w:rPr>
        <w:t xml:space="preserve">con los alegatos relacionados a la vulneración del </w:t>
      </w:r>
      <w:r w:rsidR="00E67250" w:rsidRPr="002E06BC">
        <w:rPr>
          <w:rFonts w:asciiTheme="majorHAnsi" w:hAnsiTheme="majorHAnsi"/>
          <w:sz w:val="20"/>
          <w:szCs w:val="20"/>
          <w:lang w:val="es-ES"/>
        </w:rPr>
        <w:t xml:space="preserve">derecho de </w:t>
      </w:r>
      <w:r w:rsidR="0060588F" w:rsidRPr="002E06BC">
        <w:rPr>
          <w:rFonts w:asciiTheme="majorHAnsi" w:hAnsiTheme="majorHAnsi"/>
          <w:sz w:val="20"/>
          <w:szCs w:val="20"/>
          <w:lang w:val="es-ES"/>
        </w:rPr>
        <w:t xml:space="preserve">libertad </w:t>
      </w:r>
      <w:r w:rsidR="00E67250" w:rsidRPr="002E06BC">
        <w:rPr>
          <w:rFonts w:asciiTheme="majorHAnsi" w:hAnsiTheme="majorHAnsi"/>
          <w:sz w:val="20"/>
          <w:szCs w:val="20"/>
          <w:lang w:val="es-ES"/>
        </w:rPr>
        <w:t>asociación</w:t>
      </w:r>
      <w:r w:rsidR="007D5EDB" w:rsidRPr="002E06BC">
        <w:rPr>
          <w:rFonts w:asciiTheme="majorHAnsi" w:hAnsiTheme="majorHAnsi"/>
          <w:sz w:val="20"/>
          <w:szCs w:val="20"/>
          <w:lang w:val="es-ES"/>
        </w:rPr>
        <w:t>, puesto que no interpusieron el recurso de reintegro laboral que es reconocido por el Código Sustantivo del Trabajo como el recurso adecuado e idóneo</w:t>
      </w:r>
      <w:r w:rsidR="009912CE" w:rsidRPr="002E06BC">
        <w:rPr>
          <w:rFonts w:asciiTheme="majorHAnsi" w:hAnsiTheme="majorHAnsi"/>
          <w:sz w:val="20"/>
          <w:szCs w:val="20"/>
          <w:lang w:val="es-ES"/>
        </w:rPr>
        <w:t>, y tampoco presentaron tal alegato en el proceso de tutela</w:t>
      </w:r>
      <w:r w:rsidR="007D5EDB" w:rsidRPr="002E06BC">
        <w:rPr>
          <w:rFonts w:asciiTheme="majorHAnsi" w:hAnsiTheme="majorHAnsi"/>
          <w:sz w:val="20"/>
          <w:szCs w:val="20"/>
          <w:lang w:val="es-ES"/>
        </w:rPr>
        <w:t xml:space="preserve">. </w:t>
      </w:r>
      <w:r w:rsidR="008A7DB1" w:rsidRPr="002E06BC">
        <w:rPr>
          <w:rFonts w:asciiTheme="majorHAnsi" w:hAnsiTheme="majorHAnsi"/>
          <w:sz w:val="20"/>
          <w:szCs w:val="20"/>
          <w:lang w:val="es-ES"/>
        </w:rPr>
        <w:t xml:space="preserve">Ninguna de los dos partes hace referencia al plazo de presentación de la petición. </w:t>
      </w:r>
    </w:p>
    <w:p w:rsidR="00A5505A" w:rsidRPr="002E06BC" w:rsidRDefault="00A5505A" w:rsidP="00834724">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sz w:val="20"/>
          <w:szCs w:val="20"/>
          <w:lang w:val="es-ES"/>
        </w:rPr>
        <w:t>Al res</w:t>
      </w:r>
      <w:r w:rsidR="00D65D72" w:rsidRPr="002E06BC">
        <w:rPr>
          <w:rFonts w:asciiTheme="majorHAnsi" w:hAnsiTheme="majorHAnsi"/>
          <w:sz w:val="20"/>
          <w:szCs w:val="20"/>
          <w:lang w:val="es-ES"/>
        </w:rPr>
        <w:t>pecto, la Comisión recuerda que</w:t>
      </w:r>
      <w:r w:rsidRPr="002E06BC">
        <w:rPr>
          <w:rFonts w:asciiTheme="majorHAnsi" w:hAnsiTheme="majorHAnsi"/>
          <w:sz w:val="20"/>
          <w:szCs w:val="20"/>
          <w:lang w:val="es-ES"/>
        </w:rPr>
        <w:t xml:space="preserve"> </w:t>
      </w:r>
      <w:r w:rsidRPr="002E06BC">
        <w:rPr>
          <w:rFonts w:cs="Times New Roman"/>
          <w:color w:val="auto"/>
          <w:sz w:val="20"/>
          <w:szCs w:val="20"/>
          <w:lang w:val="es-ES" w:eastAsia="en-US"/>
        </w:rPr>
        <w:t>si la parte peticionaria alega haber agotado los recursos de la jurisdicción interna, el reclamo sobre la presunta violación a la Convención Americana planteado en su petición debe haber sido ventilado ante los órganos judiciales nacionales, por lo menos de manera implícita bajo las normas aplicables del derecho interno. De esta forma se garantiza que el Estado tenga la oportunidad de remediar la violación alegada antes de que sea conocida por los órganos del sistema interamericano</w:t>
      </w:r>
      <w:r w:rsidRPr="002E06BC">
        <w:rPr>
          <w:rStyle w:val="FootnoteReference"/>
          <w:rFonts w:cs="Times New Roman"/>
          <w:color w:val="auto"/>
          <w:sz w:val="20"/>
          <w:szCs w:val="20"/>
          <w:lang w:val="es-ES" w:eastAsia="en-US"/>
        </w:rPr>
        <w:footnoteReference w:id="5"/>
      </w:r>
      <w:r w:rsidR="007C4057" w:rsidRPr="002E06BC">
        <w:rPr>
          <w:rFonts w:cs="Times New Roman"/>
          <w:color w:val="auto"/>
          <w:sz w:val="20"/>
          <w:szCs w:val="20"/>
          <w:lang w:val="es-ES" w:eastAsia="en-US"/>
        </w:rPr>
        <w:t xml:space="preserve">. En base a ello, respecto a la alegada </w:t>
      </w:r>
      <w:r w:rsidRPr="002E06BC">
        <w:rPr>
          <w:rFonts w:cs="Times New Roman"/>
          <w:color w:val="auto"/>
          <w:sz w:val="20"/>
          <w:szCs w:val="20"/>
          <w:lang w:val="es-ES" w:eastAsia="en-US"/>
        </w:rPr>
        <w:t>afectaci</w:t>
      </w:r>
      <w:r w:rsidR="007C4057" w:rsidRPr="002E06BC">
        <w:rPr>
          <w:rFonts w:cs="Times New Roman"/>
          <w:color w:val="auto"/>
          <w:sz w:val="20"/>
          <w:szCs w:val="20"/>
          <w:lang w:val="es-ES" w:eastAsia="en-US"/>
        </w:rPr>
        <w:t>ón a los derechos a la igualdad ante la ley y</w:t>
      </w:r>
      <w:r w:rsidRPr="002E06BC">
        <w:rPr>
          <w:rFonts w:cs="Times New Roman"/>
          <w:color w:val="auto"/>
          <w:sz w:val="20"/>
          <w:szCs w:val="20"/>
          <w:lang w:val="es-ES" w:eastAsia="en-US"/>
        </w:rPr>
        <w:t xml:space="preserve"> libertad de asociación, conforme a la información aportada por las partes, la CIDH observa que las presuntas víctimas no reclamaron internamente la protección de </w:t>
      </w:r>
      <w:r w:rsidR="007C4057" w:rsidRPr="002E06BC">
        <w:rPr>
          <w:rFonts w:cs="Times New Roman"/>
          <w:color w:val="auto"/>
          <w:sz w:val="20"/>
          <w:szCs w:val="20"/>
          <w:lang w:val="es-ES" w:eastAsia="en-US"/>
        </w:rPr>
        <w:t>tales derechos</w:t>
      </w:r>
      <w:r w:rsidRPr="002E06BC">
        <w:rPr>
          <w:rFonts w:cs="Times New Roman"/>
          <w:color w:val="auto"/>
          <w:sz w:val="20"/>
          <w:szCs w:val="20"/>
          <w:lang w:val="es-ES" w:eastAsia="en-US"/>
        </w:rPr>
        <w:t xml:space="preserve"> mediante la acción de tutela interpuesta y únicamente se limitaron </w:t>
      </w:r>
      <w:r w:rsidR="007C4057" w:rsidRPr="002E06BC">
        <w:rPr>
          <w:rFonts w:cs="Times New Roman"/>
          <w:color w:val="auto"/>
          <w:sz w:val="20"/>
          <w:szCs w:val="20"/>
          <w:lang w:val="es-ES" w:eastAsia="en-US"/>
        </w:rPr>
        <w:t>a argumentar</w:t>
      </w:r>
      <w:r w:rsidRPr="002E06BC">
        <w:rPr>
          <w:rFonts w:cs="Times New Roman"/>
          <w:color w:val="auto"/>
          <w:sz w:val="20"/>
          <w:szCs w:val="20"/>
          <w:lang w:val="es-ES" w:eastAsia="en-US"/>
        </w:rPr>
        <w:t xml:space="preserve"> </w:t>
      </w:r>
      <w:r w:rsidR="007C4057" w:rsidRPr="002E06BC">
        <w:rPr>
          <w:rFonts w:cs="Times New Roman"/>
          <w:color w:val="auto"/>
          <w:sz w:val="20"/>
          <w:szCs w:val="20"/>
          <w:lang w:val="es-ES" w:eastAsia="en-US"/>
        </w:rPr>
        <w:t xml:space="preserve">la afectación </w:t>
      </w:r>
      <w:r w:rsidRPr="002E06BC">
        <w:rPr>
          <w:rFonts w:cs="Times New Roman"/>
          <w:color w:val="auto"/>
          <w:sz w:val="20"/>
          <w:szCs w:val="20"/>
          <w:lang w:val="es-ES" w:eastAsia="en-US"/>
        </w:rPr>
        <w:t xml:space="preserve">al debido proceso. </w:t>
      </w:r>
      <w:r w:rsidR="007C4057" w:rsidRPr="002E06BC">
        <w:rPr>
          <w:rFonts w:cs="Times New Roman"/>
          <w:color w:val="auto"/>
          <w:sz w:val="20"/>
          <w:szCs w:val="20"/>
          <w:lang w:val="es-ES" w:eastAsia="en-US"/>
        </w:rPr>
        <w:t xml:space="preserve">En consecuencia, la Comisión </w:t>
      </w:r>
      <w:r w:rsidR="007C4057" w:rsidRPr="002E06BC">
        <w:rPr>
          <w:rFonts w:eastAsia="Times New Roman"/>
          <w:sz w:val="20"/>
          <w:szCs w:val="20"/>
          <w:bdr w:val="none" w:sz="0" w:space="0" w:color="auto"/>
          <w:lang w:val="es-ES"/>
        </w:rPr>
        <w:t>concluye que no se ha acreditado el requisito del agotamiento de la jurisdicción interna</w:t>
      </w:r>
      <w:r w:rsidR="00507165" w:rsidRPr="002E06BC">
        <w:rPr>
          <w:rFonts w:eastAsia="Times New Roman"/>
          <w:sz w:val="20"/>
          <w:szCs w:val="20"/>
          <w:bdr w:val="none" w:sz="0" w:space="0" w:color="auto"/>
          <w:lang w:val="es-ES"/>
        </w:rPr>
        <w:t xml:space="preserve"> respecto a estos alegatos</w:t>
      </w:r>
      <w:r w:rsidR="007C4057" w:rsidRPr="002E06BC">
        <w:rPr>
          <w:rFonts w:eastAsia="Times New Roman"/>
          <w:sz w:val="20"/>
          <w:szCs w:val="20"/>
          <w:bdr w:val="none" w:sz="0" w:space="0" w:color="auto"/>
          <w:lang w:val="es-ES"/>
        </w:rPr>
        <w:t>, por lo que no puede dar por cumplido el requisito previsto en el artículo 46.1.a</w:t>
      </w:r>
      <w:r w:rsidR="00D65D72" w:rsidRPr="002E06BC">
        <w:rPr>
          <w:rFonts w:eastAsia="Times New Roman"/>
          <w:sz w:val="20"/>
          <w:szCs w:val="20"/>
          <w:bdr w:val="none" w:sz="0" w:space="0" w:color="auto"/>
          <w:lang w:val="es-ES"/>
        </w:rPr>
        <w:t>)</w:t>
      </w:r>
      <w:r w:rsidR="007C4057" w:rsidRPr="002E06BC">
        <w:rPr>
          <w:rFonts w:eastAsia="Times New Roman"/>
          <w:sz w:val="20"/>
          <w:szCs w:val="20"/>
          <w:bdr w:val="none" w:sz="0" w:space="0" w:color="auto"/>
          <w:lang w:val="es-ES"/>
        </w:rPr>
        <w:t xml:space="preserve"> de la Convención. </w:t>
      </w:r>
    </w:p>
    <w:p w:rsidR="00834724" w:rsidRPr="002E06BC" w:rsidRDefault="00834724" w:rsidP="00834724">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sz w:val="20"/>
          <w:szCs w:val="20"/>
          <w:lang w:val="es-ES"/>
        </w:rPr>
        <w:t>Asimismo, en concordancia con lo anterior, l</w:t>
      </w:r>
      <w:r w:rsidR="00605BCD" w:rsidRPr="002E06BC">
        <w:rPr>
          <w:rFonts w:asciiTheme="majorHAnsi" w:hAnsiTheme="majorHAnsi"/>
          <w:sz w:val="20"/>
          <w:szCs w:val="20"/>
          <w:lang w:val="es-ES"/>
        </w:rPr>
        <w:t xml:space="preserve">a </w:t>
      </w:r>
      <w:r w:rsidRPr="002E06BC">
        <w:rPr>
          <w:rFonts w:asciiTheme="majorHAnsi" w:hAnsiTheme="majorHAnsi"/>
          <w:sz w:val="20"/>
          <w:szCs w:val="20"/>
          <w:lang w:val="es-ES"/>
        </w:rPr>
        <w:t xml:space="preserve">CIDH </w:t>
      </w:r>
      <w:r w:rsidR="00D7479C" w:rsidRPr="002E06BC">
        <w:rPr>
          <w:rFonts w:asciiTheme="majorHAnsi" w:hAnsiTheme="majorHAnsi"/>
          <w:sz w:val="20"/>
          <w:szCs w:val="20"/>
          <w:lang w:val="es-ES"/>
        </w:rPr>
        <w:t>considera</w:t>
      </w:r>
      <w:r w:rsidR="00605BCD" w:rsidRPr="002E06BC">
        <w:rPr>
          <w:rFonts w:asciiTheme="majorHAnsi" w:hAnsiTheme="majorHAnsi"/>
          <w:sz w:val="20"/>
          <w:szCs w:val="20"/>
          <w:lang w:val="es-ES"/>
        </w:rPr>
        <w:t xml:space="preserve"> </w:t>
      </w:r>
      <w:r w:rsidR="00867A8F" w:rsidRPr="002E06BC">
        <w:rPr>
          <w:rFonts w:asciiTheme="majorHAnsi" w:hAnsiTheme="majorHAnsi"/>
          <w:sz w:val="20"/>
          <w:szCs w:val="20"/>
          <w:lang w:val="es-ES"/>
        </w:rPr>
        <w:t xml:space="preserve">que </w:t>
      </w:r>
      <w:r w:rsidRPr="002E06BC">
        <w:rPr>
          <w:rFonts w:asciiTheme="majorHAnsi" w:hAnsiTheme="majorHAnsi"/>
          <w:sz w:val="20"/>
          <w:szCs w:val="20"/>
          <w:lang w:val="es-ES"/>
        </w:rPr>
        <w:t>tanto el recurso de nulidad y restablecimiento de derecho como la acción de tutela representan recurso</w:t>
      </w:r>
      <w:r w:rsidR="00507165" w:rsidRPr="002E06BC">
        <w:rPr>
          <w:rFonts w:asciiTheme="majorHAnsi" w:hAnsiTheme="majorHAnsi"/>
          <w:sz w:val="20"/>
          <w:szCs w:val="20"/>
          <w:lang w:val="es-ES"/>
        </w:rPr>
        <w:t>s</w:t>
      </w:r>
      <w:r w:rsidRPr="002E06BC">
        <w:rPr>
          <w:rFonts w:asciiTheme="majorHAnsi" w:hAnsiTheme="majorHAnsi"/>
          <w:sz w:val="20"/>
          <w:szCs w:val="20"/>
          <w:lang w:val="es-ES"/>
        </w:rPr>
        <w:t xml:space="preserve"> adecuados e idóneos para debatir posibles afectaciones al derecho al debido proceso</w:t>
      </w:r>
      <w:r w:rsidRPr="002E06BC">
        <w:rPr>
          <w:rStyle w:val="FootnoteReference"/>
          <w:rFonts w:asciiTheme="majorHAnsi" w:hAnsiTheme="majorHAnsi"/>
          <w:sz w:val="20"/>
          <w:szCs w:val="20"/>
          <w:lang w:val="es-ES"/>
        </w:rPr>
        <w:footnoteReference w:id="6"/>
      </w:r>
      <w:r w:rsidRPr="002E06BC">
        <w:rPr>
          <w:rFonts w:asciiTheme="majorHAnsi" w:hAnsiTheme="majorHAnsi"/>
          <w:sz w:val="20"/>
          <w:szCs w:val="20"/>
          <w:lang w:val="es-ES"/>
        </w:rPr>
        <w:t>. De hecho, la Comisión observa que</w:t>
      </w:r>
      <w:r w:rsidRPr="002E06BC">
        <w:rPr>
          <w:sz w:val="20"/>
          <w:szCs w:val="20"/>
          <w:lang w:val="es-ES"/>
        </w:rPr>
        <w:t xml:space="preserve"> las instancias judiciales que conocieron los reclamos, si bien desestimaron los argumentos de fondo de la presunta víctima, afirmaron su competencia para analizar la controversia planteada y declararon cumplidos los requisitos de procedencia de la acción. En consecuencia, la CIDH considera que, respecto a este punto, se cumple</w:t>
      </w:r>
      <w:r w:rsidR="008869D1" w:rsidRPr="002E06BC">
        <w:rPr>
          <w:rFonts w:asciiTheme="majorHAnsi" w:hAnsiTheme="majorHAnsi"/>
          <w:sz w:val="20"/>
          <w:szCs w:val="20"/>
          <w:lang w:val="es-ES"/>
        </w:rPr>
        <w:t xml:space="preserve"> con el requisito establecido en el artículo 46.1.a) en la Convención Americana.</w:t>
      </w:r>
      <w:r w:rsidR="0007601A" w:rsidRPr="002E06BC">
        <w:rPr>
          <w:rFonts w:asciiTheme="majorHAnsi" w:hAnsiTheme="majorHAnsi"/>
          <w:sz w:val="20"/>
          <w:szCs w:val="20"/>
          <w:lang w:val="es-ES"/>
        </w:rPr>
        <w:t xml:space="preserve"> </w:t>
      </w:r>
    </w:p>
    <w:p w:rsidR="00384230" w:rsidRPr="002E06BC" w:rsidRDefault="00DC376E" w:rsidP="00834724">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rFonts w:asciiTheme="majorHAnsi" w:hAnsiTheme="majorHAnsi"/>
          <w:sz w:val="20"/>
          <w:szCs w:val="20"/>
          <w:lang w:val="es-ES"/>
        </w:rPr>
        <w:t xml:space="preserve">En cuanto al plazo de presentación, la Comisión observa que la petición fue presentada el 4 de agosto de 2011, y </w:t>
      </w:r>
      <w:r w:rsidR="00EC5A25" w:rsidRPr="002E06BC">
        <w:rPr>
          <w:rFonts w:asciiTheme="majorHAnsi" w:hAnsiTheme="majorHAnsi"/>
          <w:sz w:val="20"/>
          <w:szCs w:val="20"/>
          <w:lang w:val="es-ES"/>
        </w:rPr>
        <w:t xml:space="preserve">las notificaciones de la Corte Constitucional frente a la decisión de no seleccionar las tutelas para una revisión se dieron </w:t>
      </w:r>
      <w:r w:rsidR="00057CC0" w:rsidRPr="002E06BC">
        <w:rPr>
          <w:rFonts w:asciiTheme="majorHAnsi" w:hAnsiTheme="majorHAnsi"/>
          <w:sz w:val="20"/>
          <w:szCs w:val="20"/>
          <w:lang w:val="es-ES"/>
        </w:rPr>
        <w:t xml:space="preserve">el </w:t>
      </w:r>
      <w:r w:rsidR="00057CC0" w:rsidRPr="002E06BC">
        <w:rPr>
          <w:rFonts w:asciiTheme="majorHAnsi" w:hAnsiTheme="majorHAnsi"/>
          <w:bCs/>
          <w:sz w:val="20"/>
          <w:szCs w:val="20"/>
          <w:lang w:val="es-ES"/>
        </w:rPr>
        <w:t xml:space="preserve">24 de junio de 2011, el 31 de marzo de 2011 y el 10 de junio de 2011 de la decisión, por </w:t>
      </w:r>
      <w:r w:rsidR="00834724" w:rsidRPr="002E06BC">
        <w:rPr>
          <w:rFonts w:asciiTheme="majorHAnsi" w:hAnsiTheme="majorHAnsi"/>
          <w:bCs/>
          <w:sz w:val="20"/>
          <w:szCs w:val="20"/>
          <w:lang w:val="es-ES"/>
        </w:rPr>
        <w:t>lo que también</w:t>
      </w:r>
      <w:r w:rsidR="00057CC0" w:rsidRPr="002E06BC">
        <w:rPr>
          <w:rFonts w:asciiTheme="majorHAnsi" w:hAnsiTheme="majorHAnsi"/>
          <w:bCs/>
          <w:sz w:val="20"/>
          <w:szCs w:val="20"/>
          <w:lang w:val="es-ES"/>
        </w:rPr>
        <w:t xml:space="preserve"> se cumple con el plazo de seis meses establecido en el artículo 46.1.b) de la Convención Americana. </w:t>
      </w:r>
    </w:p>
    <w:p w:rsidR="00384230" w:rsidRPr="002E06BC" w:rsidRDefault="00384230" w:rsidP="00384230">
      <w:pPr>
        <w:spacing w:before="240" w:after="240"/>
        <w:ind w:firstLine="720"/>
        <w:jc w:val="both"/>
        <w:rPr>
          <w:rFonts w:asciiTheme="majorHAnsi" w:hAnsiTheme="majorHAnsi"/>
          <w:b/>
          <w:bCs/>
          <w:sz w:val="20"/>
          <w:szCs w:val="20"/>
          <w:lang w:val="es-ES"/>
        </w:rPr>
      </w:pPr>
      <w:r w:rsidRPr="002E06BC">
        <w:rPr>
          <w:rFonts w:asciiTheme="majorHAnsi" w:hAnsiTheme="majorHAnsi"/>
          <w:b/>
          <w:bCs/>
          <w:sz w:val="20"/>
          <w:szCs w:val="20"/>
          <w:lang w:val="es-ES"/>
        </w:rPr>
        <w:t>VII.</w:t>
      </w:r>
      <w:r w:rsidRPr="002E06BC">
        <w:rPr>
          <w:rFonts w:asciiTheme="majorHAnsi" w:hAnsiTheme="majorHAnsi"/>
          <w:b/>
          <w:bCs/>
          <w:sz w:val="20"/>
          <w:szCs w:val="20"/>
          <w:lang w:val="es-ES"/>
        </w:rPr>
        <w:tab/>
        <w:t>ANÁLISIS DE CARACTERIZACIÓN DE LOS HECHOS ALEGADOS</w:t>
      </w:r>
    </w:p>
    <w:p w:rsidR="004B597A" w:rsidRPr="002E06BC" w:rsidRDefault="008A20DD" w:rsidP="008A20DD">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sz w:val="20"/>
          <w:szCs w:val="20"/>
          <w:lang w:val="es-ES"/>
        </w:rPr>
        <w:t xml:space="preserve">En el presente caso, la peticionaria denuncia que las presuntas víctimas sufrieron la violación su derecho al debido proceso al momento de ser destituidas de sus puestos como </w:t>
      </w:r>
      <w:r w:rsidRPr="002E06BC">
        <w:rPr>
          <w:rFonts w:asciiTheme="majorHAnsi" w:hAnsiTheme="majorHAnsi"/>
          <w:bCs/>
          <w:sz w:val="20"/>
          <w:szCs w:val="20"/>
          <w:lang w:val="es-ES"/>
        </w:rPr>
        <w:t>dragoneantes.</w:t>
      </w:r>
      <w:r w:rsidRPr="002E06BC">
        <w:rPr>
          <w:sz w:val="20"/>
          <w:szCs w:val="20"/>
          <w:lang w:val="es-ES"/>
        </w:rPr>
        <w:t xml:space="preserve"> El Estado replica que la situación fue debidamente examinada por las autoridades judiciales domésticas quienes </w:t>
      </w:r>
      <w:r w:rsidRPr="002E06BC">
        <w:rPr>
          <w:sz w:val="20"/>
          <w:szCs w:val="20"/>
          <w:lang w:val="es-ES"/>
        </w:rPr>
        <w:lastRenderedPageBreak/>
        <w:t xml:space="preserve">concluyeron que no se afectó tal derecho, pues las presuntas víctimas contaron </w:t>
      </w:r>
      <w:r w:rsidR="004B597A" w:rsidRPr="002E06BC">
        <w:rPr>
          <w:sz w:val="20"/>
          <w:szCs w:val="20"/>
          <w:lang w:val="es-ES"/>
        </w:rPr>
        <w:t xml:space="preserve">con </w:t>
      </w:r>
      <w:r w:rsidRPr="002E06BC">
        <w:rPr>
          <w:sz w:val="20"/>
          <w:szCs w:val="20"/>
          <w:lang w:val="es-ES"/>
        </w:rPr>
        <w:t>la posibilidad de present</w:t>
      </w:r>
      <w:r w:rsidR="00004B24" w:rsidRPr="002E06BC">
        <w:rPr>
          <w:sz w:val="20"/>
          <w:szCs w:val="20"/>
          <w:lang w:val="es-ES"/>
        </w:rPr>
        <w:t>ar sus alegatos de defensa y contar con una decisión fundamentada</w:t>
      </w:r>
      <w:r w:rsidRPr="002E06BC">
        <w:rPr>
          <w:sz w:val="20"/>
          <w:szCs w:val="20"/>
          <w:lang w:val="es-ES"/>
        </w:rPr>
        <w:t xml:space="preserve">. </w:t>
      </w:r>
    </w:p>
    <w:p w:rsidR="008A20DD" w:rsidRPr="002E06BC" w:rsidRDefault="008A20DD" w:rsidP="008A20DD">
      <w:pPr>
        <w:pStyle w:val="ListParagraph"/>
        <w:numPr>
          <w:ilvl w:val="0"/>
          <w:numId w:val="62"/>
        </w:numPr>
        <w:shd w:val="clear" w:color="auto" w:fill="FFFFFF"/>
        <w:spacing w:after="240"/>
        <w:ind w:left="0" w:firstLine="720"/>
        <w:jc w:val="both"/>
        <w:rPr>
          <w:rFonts w:cs="Times New Roman"/>
          <w:color w:val="auto"/>
          <w:sz w:val="20"/>
          <w:szCs w:val="20"/>
          <w:lang w:val="es-ES" w:eastAsia="en-US"/>
        </w:rPr>
      </w:pPr>
      <w:r w:rsidRPr="002E06BC">
        <w:rPr>
          <w:sz w:val="20"/>
          <w:szCs w:val="20"/>
          <w:lang w:val="es-ES"/>
        </w:rPr>
        <w:t xml:space="preserve">Al respecto, la CIDH observa que la peticionaria no ha presentado elementos de hecho o de derecho que </w:t>
      </w:r>
      <w:r w:rsidR="007F2DA3" w:rsidRPr="002E06BC">
        <w:rPr>
          <w:sz w:val="20"/>
          <w:szCs w:val="20"/>
          <w:lang w:val="es-ES"/>
        </w:rPr>
        <w:t xml:space="preserve">permitan establecer, al menos </w:t>
      </w:r>
      <w:r w:rsidR="007F2DA3" w:rsidRPr="002E06BC">
        <w:rPr>
          <w:i/>
          <w:sz w:val="20"/>
          <w:szCs w:val="20"/>
          <w:lang w:val="es-ES"/>
        </w:rPr>
        <w:t>prima facie</w:t>
      </w:r>
      <w:r w:rsidR="007F2DA3" w:rsidRPr="002E06BC">
        <w:rPr>
          <w:sz w:val="20"/>
          <w:szCs w:val="20"/>
          <w:lang w:val="es-ES"/>
        </w:rPr>
        <w:t>,</w:t>
      </w:r>
      <w:r w:rsidRPr="002E06BC">
        <w:rPr>
          <w:sz w:val="20"/>
          <w:szCs w:val="20"/>
          <w:lang w:val="es-ES"/>
        </w:rPr>
        <w:t xml:space="preserve"> que tales decisiones </w:t>
      </w:r>
      <w:r w:rsidR="003C529F" w:rsidRPr="002E06BC">
        <w:rPr>
          <w:sz w:val="20"/>
          <w:szCs w:val="20"/>
          <w:lang w:val="es-ES"/>
        </w:rPr>
        <w:t>judiciales se hayan dado de forma tal que se hayan vulnerado los derechos humanos de las presuntas víctimas en los términos de la Convención Americana, en particular los establecidos en sus artículos 8 (garantías judiciales) o 25 (protección judicial)</w:t>
      </w:r>
      <w:r w:rsidRPr="002E06BC">
        <w:rPr>
          <w:sz w:val="20"/>
          <w:szCs w:val="20"/>
          <w:lang w:val="es-ES"/>
        </w:rPr>
        <w:t xml:space="preserve">. </w:t>
      </w:r>
      <w:r w:rsidRPr="002E06BC">
        <w:rPr>
          <w:sz w:val="20"/>
          <w:szCs w:val="20"/>
          <w:bdr w:val="none" w:sz="0" w:space="0" w:color="auto"/>
          <w:lang w:val="es-ES"/>
        </w:rPr>
        <w:t xml:space="preserve">Por lo tanto, la Comisión concluye que la presente petición resulta inadmisible con fundamento en el artículo </w:t>
      </w:r>
      <w:r w:rsidR="003C529F" w:rsidRPr="002E06BC">
        <w:rPr>
          <w:sz w:val="20"/>
          <w:szCs w:val="20"/>
          <w:bdr w:val="none" w:sz="0" w:space="0" w:color="auto"/>
          <w:lang w:val="es-ES"/>
        </w:rPr>
        <w:t>47(</w:t>
      </w:r>
      <w:r w:rsidRPr="002E06BC">
        <w:rPr>
          <w:sz w:val="20"/>
          <w:szCs w:val="20"/>
          <w:bdr w:val="none" w:sz="0" w:space="0" w:color="auto"/>
          <w:lang w:val="es-ES"/>
        </w:rPr>
        <w:t>b</w:t>
      </w:r>
      <w:r w:rsidR="003C529F" w:rsidRPr="002E06BC">
        <w:rPr>
          <w:sz w:val="20"/>
          <w:szCs w:val="20"/>
          <w:bdr w:val="none" w:sz="0" w:space="0" w:color="auto"/>
          <w:lang w:val="es-ES"/>
        </w:rPr>
        <w:t>)</w:t>
      </w:r>
      <w:r w:rsidRPr="002E06BC">
        <w:rPr>
          <w:sz w:val="20"/>
          <w:szCs w:val="20"/>
          <w:bdr w:val="none" w:sz="0" w:space="0" w:color="auto"/>
          <w:lang w:val="es-ES"/>
        </w:rPr>
        <w:t xml:space="preserve"> de la Convención Americana, toda vez que de los hechos expuestos no se desprenden, ni siquiera </w:t>
      </w:r>
      <w:r w:rsidRPr="002E06BC">
        <w:rPr>
          <w:i/>
          <w:sz w:val="20"/>
          <w:szCs w:val="20"/>
          <w:bdr w:val="none" w:sz="0" w:space="0" w:color="auto"/>
          <w:lang w:val="es-ES"/>
        </w:rPr>
        <w:t>prima facie</w:t>
      </w:r>
      <w:r w:rsidRPr="002E06BC">
        <w:rPr>
          <w:sz w:val="20"/>
          <w:szCs w:val="20"/>
          <w:bdr w:val="none" w:sz="0" w:space="0" w:color="auto"/>
          <w:lang w:val="es-ES"/>
        </w:rPr>
        <w:t xml:space="preserve">, posibles violaciones a </w:t>
      </w:r>
      <w:r w:rsidR="003C529F" w:rsidRPr="002E06BC">
        <w:rPr>
          <w:sz w:val="20"/>
          <w:szCs w:val="20"/>
          <w:bdr w:val="none" w:sz="0" w:space="0" w:color="auto"/>
          <w:lang w:val="es-ES"/>
        </w:rPr>
        <w:t>ese tratado.</w:t>
      </w:r>
    </w:p>
    <w:p w:rsidR="003239B8" w:rsidRPr="002E06BC" w:rsidRDefault="003239B8" w:rsidP="003239B8">
      <w:pPr>
        <w:pStyle w:val="ListParagraph"/>
        <w:spacing w:before="240" w:after="240"/>
        <w:jc w:val="both"/>
        <w:rPr>
          <w:rFonts w:asciiTheme="majorHAnsi" w:hAnsiTheme="majorHAnsi"/>
          <w:b/>
          <w:bCs/>
          <w:sz w:val="20"/>
          <w:szCs w:val="20"/>
          <w:lang w:val="es-ES"/>
        </w:rPr>
      </w:pPr>
      <w:r w:rsidRPr="002E06BC">
        <w:rPr>
          <w:rFonts w:asciiTheme="majorHAnsi" w:hAnsiTheme="majorHAnsi"/>
          <w:b/>
          <w:bCs/>
          <w:sz w:val="20"/>
          <w:szCs w:val="20"/>
          <w:lang w:val="es-ES"/>
        </w:rPr>
        <w:t xml:space="preserve">VIII. </w:t>
      </w:r>
      <w:r w:rsidRPr="002E06BC">
        <w:rPr>
          <w:rFonts w:asciiTheme="majorHAnsi" w:hAnsiTheme="majorHAnsi"/>
          <w:b/>
          <w:bCs/>
          <w:sz w:val="20"/>
          <w:szCs w:val="20"/>
          <w:lang w:val="es-ES"/>
        </w:rPr>
        <w:tab/>
        <w:t>DECISIÓN</w:t>
      </w:r>
    </w:p>
    <w:p w:rsidR="000419AD" w:rsidRPr="002E06BC" w:rsidRDefault="000419AD" w:rsidP="00305835">
      <w:pPr>
        <w:pStyle w:val="ListParagraph"/>
        <w:numPr>
          <w:ilvl w:val="0"/>
          <w:numId w:val="55"/>
        </w:numPr>
        <w:rPr>
          <w:rFonts w:asciiTheme="majorHAnsi" w:eastAsia="Arial Unicode MS" w:hAnsiTheme="majorHAnsi" w:cs="Times New Roman"/>
          <w:color w:val="auto"/>
          <w:sz w:val="20"/>
          <w:szCs w:val="20"/>
          <w:lang w:val="es-ES" w:eastAsia="en-US"/>
        </w:rPr>
      </w:pPr>
      <w:r w:rsidRPr="002E06BC">
        <w:rPr>
          <w:rFonts w:asciiTheme="majorHAnsi" w:eastAsia="Arial Unicode MS" w:hAnsiTheme="majorHAnsi" w:cs="Times New Roman"/>
          <w:color w:val="auto"/>
          <w:sz w:val="20"/>
          <w:szCs w:val="20"/>
          <w:lang w:val="es-ES" w:eastAsia="en-US"/>
        </w:rPr>
        <w:t xml:space="preserve">Declarar </w:t>
      </w:r>
      <w:r w:rsidRPr="002E06BC">
        <w:rPr>
          <w:rFonts w:asciiTheme="majorHAnsi" w:eastAsia="Arial Unicode MS" w:hAnsiTheme="majorHAnsi" w:cs="Times New Roman"/>
          <w:color w:val="000000" w:themeColor="text1"/>
          <w:sz w:val="20"/>
          <w:szCs w:val="20"/>
          <w:lang w:val="es-ES" w:eastAsia="en-US"/>
        </w:rPr>
        <w:t xml:space="preserve">inadmisible </w:t>
      </w:r>
      <w:r w:rsidRPr="002E06BC">
        <w:rPr>
          <w:rFonts w:asciiTheme="majorHAnsi" w:eastAsia="Arial Unicode MS" w:hAnsiTheme="majorHAnsi" w:cs="Times New Roman"/>
          <w:color w:val="auto"/>
          <w:sz w:val="20"/>
          <w:szCs w:val="20"/>
          <w:lang w:val="es-ES" w:eastAsia="en-US"/>
        </w:rPr>
        <w:t>la presente petición</w:t>
      </w:r>
      <w:r w:rsidR="008F71CE" w:rsidRPr="002E06BC">
        <w:rPr>
          <w:rFonts w:asciiTheme="majorHAnsi" w:hAnsiTheme="majorHAnsi"/>
          <w:sz w:val="20"/>
          <w:szCs w:val="20"/>
          <w:lang w:val="es-ES"/>
        </w:rPr>
        <w:t>;</w:t>
      </w:r>
    </w:p>
    <w:p w:rsidR="000419AD" w:rsidRPr="002E06BC" w:rsidRDefault="000419AD" w:rsidP="000419AD">
      <w:pPr>
        <w:pStyle w:val="ListParagraph"/>
        <w:rPr>
          <w:rFonts w:asciiTheme="majorHAnsi" w:eastAsia="Arial Unicode MS" w:hAnsiTheme="majorHAnsi" w:cs="Times New Roman"/>
          <w:color w:val="auto"/>
          <w:sz w:val="20"/>
          <w:szCs w:val="20"/>
          <w:lang w:val="es-ES" w:eastAsia="en-US"/>
        </w:rPr>
      </w:pPr>
    </w:p>
    <w:p w:rsidR="008D768D" w:rsidRPr="002E06BC"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E06BC">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rsidR="003031CD" w:rsidRPr="00A37B82" w:rsidRDefault="003031CD" w:rsidP="00A2269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031CD" w:rsidRPr="00A37B82"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62FFB1" w16cid:durableId="234E75E8"/>
  <w16cid:commentId w16cid:paraId="27F7F4FB" w16cid:durableId="234E75E9"/>
  <w16cid:commentId w16cid:paraId="6E7E0631" w16cid:durableId="234E75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9E" w:rsidRDefault="0062759E">
      <w:r>
        <w:separator/>
      </w:r>
    </w:p>
  </w:endnote>
  <w:endnote w:type="continuationSeparator" w:id="0">
    <w:p w:rsidR="0062759E" w:rsidRDefault="0062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F5" w:rsidRDefault="00A51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2F5915" w:rsidRPr="00934A2C" w:rsidRDefault="002F591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51AF5">
          <w:rPr>
            <w:noProof/>
            <w:sz w:val="16"/>
            <w:szCs w:val="22"/>
          </w:rPr>
          <w:t>1</w:t>
        </w:r>
        <w:r w:rsidRPr="00934A2C">
          <w:rPr>
            <w:noProof/>
            <w:sz w:val="16"/>
            <w:szCs w:val="22"/>
          </w:rPr>
          <w:fldChar w:fldCharType="end"/>
        </w:r>
      </w:p>
    </w:sdtContent>
  </w:sdt>
  <w:p w:rsidR="002F5915" w:rsidRDefault="002F59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15" w:rsidRPr="00934A2C" w:rsidRDefault="002F5915">
    <w:pPr>
      <w:pStyle w:val="Footer"/>
      <w:jc w:val="center"/>
      <w:rPr>
        <w:sz w:val="16"/>
        <w:szCs w:val="22"/>
      </w:rPr>
    </w:pPr>
  </w:p>
  <w:p w:rsidR="002F5915" w:rsidRDefault="002F5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9E" w:rsidRPr="000F35ED" w:rsidRDefault="0062759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2759E" w:rsidRPr="000F35ED" w:rsidRDefault="0062759E" w:rsidP="000F35ED">
      <w:pPr>
        <w:rPr>
          <w:rFonts w:asciiTheme="majorHAnsi" w:hAnsiTheme="majorHAnsi"/>
          <w:sz w:val="16"/>
          <w:szCs w:val="16"/>
        </w:rPr>
      </w:pPr>
      <w:r w:rsidRPr="000F35ED">
        <w:rPr>
          <w:rFonts w:asciiTheme="majorHAnsi" w:hAnsiTheme="majorHAnsi"/>
          <w:sz w:val="16"/>
          <w:szCs w:val="16"/>
        </w:rPr>
        <w:separator/>
      </w:r>
    </w:p>
    <w:p w:rsidR="0062759E" w:rsidRPr="000F35ED" w:rsidRDefault="0062759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2759E" w:rsidRPr="000F35ED" w:rsidRDefault="0062759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F5915" w:rsidRPr="008B01FB" w:rsidRDefault="002F5915" w:rsidP="008B01FB">
      <w:pPr>
        <w:pStyle w:val="FootnoteText"/>
        <w:ind w:firstLine="720"/>
        <w:rPr>
          <w:rFonts w:asciiTheme="majorHAnsi" w:hAnsiTheme="majorHAnsi"/>
          <w:sz w:val="16"/>
          <w:szCs w:val="16"/>
          <w:lang w:val="es-ES"/>
        </w:rPr>
      </w:pPr>
      <w:r w:rsidRPr="008B01FB">
        <w:rPr>
          <w:rStyle w:val="FootnoteReference"/>
          <w:rFonts w:asciiTheme="majorHAnsi" w:hAnsiTheme="majorHAnsi"/>
          <w:sz w:val="16"/>
          <w:szCs w:val="16"/>
        </w:rPr>
        <w:footnoteRef/>
      </w:r>
      <w:r w:rsidR="00395225">
        <w:rPr>
          <w:rFonts w:asciiTheme="majorHAnsi" w:hAnsiTheme="majorHAnsi"/>
          <w:sz w:val="16"/>
          <w:szCs w:val="16"/>
          <w:lang w:val="es-ES"/>
        </w:rPr>
        <w:t xml:space="preserve"> </w:t>
      </w:r>
      <w:r w:rsidRPr="008B01FB">
        <w:rPr>
          <w:rFonts w:asciiTheme="majorHAnsi" w:hAnsiTheme="majorHAnsi"/>
          <w:sz w:val="16"/>
          <w:szCs w:val="16"/>
          <w:lang w:val="es-ES"/>
        </w:rPr>
        <w:t xml:space="preserve">En adelante “la Convención Americana” o “la Convención”. </w:t>
      </w:r>
    </w:p>
  </w:footnote>
  <w:footnote w:id="3">
    <w:p w:rsidR="002F5915" w:rsidRPr="00306F33" w:rsidRDefault="002F5915" w:rsidP="00306F33">
      <w:pPr>
        <w:pStyle w:val="FootnoteText"/>
        <w:ind w:firstLine="720"/>
        <w:jc w:val="both"/>
        <w:rPr>
          <w:rFonts w:asciiTheme="majorHAnsi" w:hAnsiTheme="majorHAnsi"/>
          <w:sz w:val="16"/>
          <w:szCs w:val="16"/>
          <w:lang w:val="es-ES"/>
        </w:rPr>
      </w:pPr>
      <w:r w:rsidRPr="008B01FB">
        <w:rPr>
          <w:rStyle w:val="FootnoteReference"/>
          <w:rFonts w:asciiTheme="majorHAnsi" w:hAnsiTheme="majorHAnsi"/>
          <w:sz w:val="16"/>
          <w:szCs w:val="16"/>
        </w:rPr>
        <w:footnoteRef/>
      </w:r>
      <w:r w:rsidRPr="008B01FB">
        <w:rPr>
          <w:rFonts w:asciiTheme="majorHAnsi" w:hAnsiTheme="majorHAnsi"/>
          <w:sz w:val="16"/>
          <w:szCs w:val="16"/>
          <w:lang w:val="es-ES"/>
        </w:rPr>
        <w:t xml:space="preserve"> Las observaciones de cada parte fueron debidamente trasladadas a la parte contraria.</w:t>
      </w:r>
    </w:p>
  </w:footnote>
  <w:footnote w:id="4">
    <w:p w:rsidR="00893103" w:rsidRPr="00893103" w:rsidRDefault="00893103" w:rsidP="00893103">
      <w:pPr>
        <w:shd w:val="clear" w:color="auto" w:fill="FFFFFF"/>
        <w:spacing w:after="240"/>
        <w:ind w:firstLine="720"/>
        <w:jc w:val="both"/>
        <w:rPr>
          <w:rFonts w:asciiTheme="majorHAnsi" w:hAnsiTheme="majorHAnsi" w:cs="Cambria"/>
          <w:bCs/>
          <w:color w:val="000000"/>
          <w:sz w:val="16"/>
          <w:szCs w:val="16"/>
          <w:lang w:val="es-UY" w:eastAsia="es-ES"/>
        </w:rPr>
      </w:pPr>
      <w:r w:rsidRPr="00893103">
        <w:rPr>
          <w:rStyle w:val="FootnoteReference"/>
          <w:rFonts w:asciiTheme="majorHAnsi" w:hAnsiTheme="majorHAnsi"/>
          <w:sz w:val="16"/>
          <w:szCs w:val="16"/>
        </w:rPr>
        <w:footnoteRef/>
      </w:r>
      <w:r w:rsidRPr="00893103">
        <w:rPr>
          <w:rFonts w:asciiTheme="majorHAnsi" w:hAnsiTheme="majorHAnsi"/>
          <w:sz w:val="16"/>
          <w:szCs w:val="16"/>
          <w:lang w:val="es-ES"/>
        </w:rPr>
        <w:t xml:space="preserve"> </w:t>
      </w:r>
      <w:r w:rsidRPr="00893103">
        <w:rPr>
          <w:rFonts w:asciiTheme="majorHAnsi" w:hAnsiTheme="majorHAnsi"/>
          <w:bCs/>
          <w:sz w:val="16"/>
          <w:szCs w:val="16"/>
          <w:lang w:val="es-ES"/>
        </w:rPr>
        <w:t xml:space="preserve">Precisa que </w:t>
      </w:r>
      <w:r w:rsidRPr="00893103">
        <w:rPr>
          <w:rFonts w:asciiTheme="majorHAnsi" w:hAnsiTheme="majorHAnsi"/>
          <w:bCs/>
          <w:sz w:val="16"/>
          <w:szCs w:val="16"/>
          <w:lang w:val="es-UY"/>
        </w:rPr>
        <w:t xml:space="preserve">el Sr. Gómez trabajó desde el 1 de julio de 1991 hasta el 19 de enero de 2001 y fue primer suplente de la Junta Seccional de Buenaventura del ASEINPEC; que el Sr. Quiroga trabajó desde el 12 de enero de 1994 hasta el 19 de enero de 2001 y fue vicepresidente de la Junta Seccional de Buenaventura del ASEINPEC; y que el Sr. Zuluaga trabajó desde el 5 de enero de 1995 hasta el 19 de enero de 2001 y fue primer suplente de la Junta Seccional de Buenaventura del ASEINPEC. </w:t>
      </w:r>
    </w:p>
    <w:p w:rsidR="00893103" w:rsidRPr="00893103" w:rsidRDefault="00893103">
      <w:pPr>
        <w:pStyle w:val="FootnoteText"/>
        <w:rPr>
          <w:lang w:val="es-UY"/>
        </w:rPr>
      </w:pPr>
    </w:p>
  </w:footnote>
  <w:footnote w:id="5">
    <w:p w:rsidR="00A5505A" w:rsidRPr="00004B24" w:rsidRDefault="00A5505A" w:rsidP="00A5505A">
      <w:pPr>
        <w:pStyle w:val="FootnoteText"/>
        <w:ind w:firstLine="720"/>
        <w:jc w:val="both"/>
        <w:rPr>
          <w:rFonts w:asciiTheme="majorHAnsi" w:hAnsiTheme="majorHAnsi"/>
          <w:sz w:val="16"/>
          <w:szCs w:val="16"/>
          <w:lang w:val="es-ES"/>
        </w:rPr>
      </w:pPr>
      <w:r w:rsidRPr="00004B24">
        <w:rPr>
          <w:rStyle w:val="FootnoteReference"/>
          <w:rFonts w:asciiTheme="majorHAnsi" w:hAnsiTheme="majorHAnsi"/>
          <w:sz w:val="16"/>
          <w:szCs w:val="16"/>
        </w:rPr>
        <w:footnoteRef/>
      </w:r>
      <w:r w:rsidRPr="00004B24">
        <w:rPr>
          <w:rFonts w:asciiTheme="majorHAnsi" w:hAnsiTheme="majorHAnsi"/>
          <w:sz w:val="16"/>
          <w:szCs w:val="16"/>
          <w:lang w:val="es-ES"/>
        </w:rPr>
        <w:t xml:space="preserve"> CIDH, Informe No. 75/14, Petición 1018-08. Admisibilidad. Ronald Moya Chacón y Freddy Parrales Chaves. Costa Rica. 15 de agosto de 2014, párr. 32</w:t>
      </w:r>
    </w:p>
  </w:footnote>
  <w:footnote w:id="6">
    <w:p w:rsidR="00834724" w:rsidRPr="00E87CD0" w:rsidRDefault="00834724" w:rsidP="00004B24">
      <w:pPr>
        <w:pStyle w:val="FootnoteText"/>
        <w:ind w:firstLine="720"/>
        <w:jc w:val="both"/>
        <w:rPr>
          <w:rFonts w:asciiTheme="majorHAnsi" w:hAnsiTheme="majorHAnsi"/>
          <w:sz w:val="16"/>
          <w:szCs w:val="16"/>
          <w:lang w:val="es-ES"/>
        </w:rPr>
      </w:pPr>
      <w:r w:rsidRPr="00CE6A93">
        <w:rPr>
          <w:rStyle w:val="FootnoteReference"/>
          <w:rFonts w:asciiTheme="majorHAnsi" w:hAnsiTheme="majorHAnsi"/>
          <w:sz w:val="16"/>
          <w:szCs w:val="16"/>
        </w:rPr>
        <w:footnoteRef/>
      </w:r>
      <w:r w:rsidRPr="00CE6A93">
        <w:rPr>
          <w:rFonts w:asciiTheme="majorHAnsi" w:hAnsiTheme="majorHAnsi"/>
          <w:sz w:val="16"/>
          <w:szCs w:val="16"/>
          <w:lang w:val="es-ES"/>
        </w:rPr>
        <w:t xml:space="preserve"> </w:t>
      </w:r>
      <w:r w:rsidRPr="003C2B2A">
        <w:rPr>
          <w:rFonts w:asciiTheme="majorHAnsi" w:hAnsiTheme="majorHAnsi"/>
          <w:sz w:val="16"/>
          <w:szCs w:val="16"/>
          <w:lang w:val="es-ES"/>
        </w:rPr>
        <w:t xml:space="preserve">CIDH, Informe No. 96/18. Petición 1293-07. Admisibilidad. </w:t>
      </w:r>
      <w:proofErr w:type="spellStart"/>
      <w:r w:rsidRPr="003C2B2A">
        <w:rPr>
          <w:rFonts w:asciiTheme="majorHAnsi" w:hAnsiTheme="majorHAnsi"/>
          <w:sz w:val="16"/>
          <w:szCs w:val="16"/>
          <w:lang w:val="es-ES"/>
        </w:rPr>
        <w:t>Benedesmo</w:t>
      </w:r>
      <w:proofErr w:type="spellEnd"/>
      <w:r w:rsidRPr="003C2B2A">
        <w:rPr>
          <w:rFonts w:asciiTheme="majorHAnsi" w:hAnsiTheme="majorHAnsi"/>
          <w:sz w:val="16"/>
          <w:szCs w:val="16"/>
          <w:lang w:val="es-ES"/>
        </w:rPr>
        <w:t xml:space="preserve"> Palacios Mosquera. Colombia. 5 de septiembre de 2018</w:t>
      </w:r>
      <w:r>
        <w:rPr>
          <w:rFonts w:asciiTheme="majorHAnsi" w:hAnsiTheme="majorHAnsi"/>
          <w:sz w:val="16"/>
          <w:szCs w:val="16"/>
          <w:lang w:val="es-ES"/>
        </w:rPr>
        <w:t xml:space="preserve">, </w:t>
      </w:r>
      <w:proofErr w:type="spellStart"/>
      <w:r>
        <w:rPr>
          <w:rFonts w:asciiTheme="majorHAnsi" w:hAnsiTheme="majorHAnsi"/>
          <w:sz w:val="16"/>
          <w:szCs w:val="16"/>
          <w:lang w:val="es-ES"/>
        </w:rPr>
        <w:t>párrs</w:t>
      </w:r>
      <w:proofErr w:type="spellEnd"/>
      <w:r>
        <w:rPr>
          <w:rFonts w:asciiTheme="majorHAnsi" w:hAnsiTheme="majorHAnsi"/>
          <w:sz w:val="16"/>
          <w:szCs w:val="16"/>
          <w:lang w:val="es-ES"/>
        </w:rPr>
        <w:t xml:space="preserve">. 10-11; </w:t>
      </w:r>
      <w:r w:rsidRPr="00CE6A93">
        <w:rPr>
          <w:rFonts w:asciiTheme="majorHAnsi" w:hAnsiTheme="majorHAnsi"/>
          <w:sz w:val="16"/>
          <w:szCs w:val="16"/>
          <w:lang w:val="es-ES"/>
        </w:rPr>
        <w:t xml:space="preserve">CIDH, Informe No. 54/17. Petición 1327-07. Admisibilidad. Luz Angélica Porras Camacho y Otros. </w:t>
      </w:r>
      <w:r w:rsidRPr="00CE6A93">
        <w:rPr>
          <w:rFonts w:asciiTheme="majorHAnsi" w:hAnsiTheme="majorHAnsi"/>
          <w:sz w:val="16"/>
          <w:szCs w:val="16"/>
        </w:rPr>
        <w:t>Colombia. 25 de mayo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15" w:rsidRDefault="002F5915" w:rsidP="002F591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F5915" w:rsidRDefault="002F5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15" w:rsidRDefault="002F5915" w:rsidP="00A50FCF">
    <w:pPr>
      <w:pStyle w:val="Header"/>
      <w:tabs>
        <w:tab w:val="clear" w:pos="4320"/>
        <w:tab w:val="clear" w:pos="8640"/>
      </w:tabs>
      <w:jc w:val="center"/>
      <w:rPr>
        <w:sz w:val="22"/>
        <w:szCs w:val="22"/>
      </w:rPr>
    </w:pPr>
    <w:r>
      <w:rPr>
        <w:noProof/>
        <w:sz w:val="22"/>
        <w:szCs w:val="22"/>
      </w:rPr>
      <w:drawing>
        <wp:inline distT="0" distB="0" distL="0" distR="0" wp14:anchorId="554A7513" wp14:editId="247A4A7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F5915" w:rsidRPr="00EC7D62" w:rsidRDefault="0062759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F5" w:rsidRDefault="00A51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6B1445"/>
    <w:multiLevelType w:val="hybridMultilevel"/>
    <w:tmpl w:val="6C2075C8"/>
    <w:lvl w:ilvl="0" w:tplc="C2105410">
      <w:start w:val="4"/>
      <w:numFmt w:val="bullet"/>
      <w:lvlText w:val="-"/>
      <w:lvlJc w:val="left"/>
      <w:pPr>
        <w:ind w:left="1800" w:hanging="360"/>
      </w:pPr>
      <w:rPr>
        <w:rFonts w:ascii="Times New Roman" w:eastAsia="Arial Unicode M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9C0EBC"/>
    <w:multiLevelType w:val="hybridMultilevel"/>
    <w:tmpl w:val="306029A6"/>
    <w:lvl w:ilvl="0" w:tplc="32A6542C">
      <w:start w:val="1"/>
      <w:numFmt w:val="decimal"/>
      <w:lvlText w:val="%1."/>
      <w:lvlJc w:val="left"/>
      <w:pPr>
        <w:ind w:left="1890" w:hanging="360"/>
      </w:pPr>
      <w:rPr>
        <w:sz w:val="20"/>
        <w:szCs w:val="20"/>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9143FD"/>
    <w:multiLevelType w:val="hybridMultilevel"/>
    <w:tmpl w:val="E77E5004"/>
    <w:lvl w:ilvl="0" w:tplc="E09C5B1E">
      <w:start w:val="10"/>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5B56952"/>
    <w:multiLevelType w:val="hybridMultilevel"/>
    <w:tmpl w:val="EFE6E67E"/>
    <w:lvl w:ilvl="0" w:tplc="6A3AB52C">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2"/>
  </w:num>
  <w:num w:numId="5">
    <w:abstractNumId w:val="50"/>
  </w:num>
  <w:num w:numId="6">
    <w:abstractNumId w:val="29"/>
  </w:num>
  <w:num w:numId="7">
    <w:abstractNumId w:val="6"/>
  </w:num>
  <w:num w:numId="8">
    <w:abstractNumId w:val="17"/>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49"/>
  </w:num>
  <w:num w:numId="42">
    <w:abstractNumId w:val="51"/>
  </w:num>
  <w:num w:numId="43">
    <w:abstractNumId w:val="52"/>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1"/>
  </w:num>
  <w:num w:numId="52">
    <w:abstractNumId w:val="44"/>
  </w:num>
  <w:num w:numId="53">
    <w:abstractNumId w:val="53"/>
  </w:num>
  <w:num w:numId="54">
    <w:abstractNumId w:val="48"/>
  </w:num>
  <w:num w:numId="55">
    <w:abstractNumId w:val="46"/>
  </w:num>
  <w:num w:numId="56">
    <w:abstractNumId w:val="28"/>
  </w:num>
  <w:num w:numId="57">
    <w:abstractNumId w:val="26"/>
  </w:num>
  <w:num w:numId="58">
    <w:abstractNumId w:val="39"/>
  </w:num>
  <w:num w:numId="59">
    <w:abstractNumId w:val="34"/>
  </w:num>
  <w:num w:numId="60">
    <w:abstractNumId w:val="55"/>
  </w:num>
  <w:num w:numId="61">
    <w:abstractNumId w:val="14"/>
  </w:num>
  <w:num w:numId="62">
    <w:abstractNumId w:val="20"/>
  </w:num>
  <w:num w:numId="6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B24"/>
    <w:rsid w:val="00005182"/>
    <w:rsid w:val="00006266"/>
    <w:rsid w:val="00006E1F"/>
    <w:rsid w:val="000070D7"/>
    <w:rsid w:val="0001788C"/>
    <w:rsid w:val="000320D1"/>
    <w:rsid w:val="000337EF"/>
    <w:rsid w:val="000363B2"/>
    <w:rsid w:val="00040C3A"/>
    <w:rsid w:val="000419AD"/>
    <w:rsid w:val="000433C9"/>
    <w:rsid w:val="00057CC0"/>
    <w:rsid w:val="00065C23"/>
    <w:rsid w:val="00071174"/>
    <w:rsid w:val="000716C5"/>
    <w:rsid w:val="00074129"/>
    <w:rsid w:val="00075E23"/>
    <w:rsid w:val="0007601A"/>
    <w:rsid w:val="00087A89"/>
    <w:rsid w:val="000914E8"/>
    <w:rsid w:val="0009344A"/>
    <w:rsid w:val="000A0D7A"/>
    <w:rsid w:val="000A392E"/>
    <w:rsid w:val="000A4043"/>
    <w:rsid w:val="000A575F"/>
    <w:rsid w:val="000B4CFA"/>
    <w:rsid w:val="000B7BC7"/>
    <w:rsid w:val="000C50A9"/>
    <w:rsid w:val="000C5882"/>
    <w:rsid w:val="000C75FC"/>
    <w:rsid w:val="000D05CB"/>
    <w:rsid w:val="000D10DB"/>
    <w:rsid w:val="000D65CE"/>
    <w:rsid w:val="000E328D"/>
    <w:rsid w:val="000E5EB5"/>
    <w:rsid w:val="000F35ED"/>
    <w:rsid w:val="000F36A6"/>
    <w:rsid w:val="000F4DCE"/>
    <w:rsid w:val="001004DE"/>
    <w:rsid w:val="00104EBF"/>
    <w:rsid w:val="00105C59"/>
    <w:rsid w:val="00107131"/>
    <w:rsid w:val="0010736F"/>
    <w:rsid w:val="001120DE"/>
    <w:rsid w:val="00113817"/>
    <w:rsid w:val="00113F73"/>
    <w:rsid w:val="00121CC2"/>
    <w:rsid w:val="00124689"/>
    <w:rsid w:val="00131425"/>
    <w:rsid w:val="00131B63"/>
    <w:rsid w:val="00133EE5"/>
    <w:rsid w:val="00136283"/>
    <w:rsid w:val="00140B66"/>
    <w:rsid w:val="00150C5B"/>
    <w:rsid w:val="0015629A"/>
    <w:rsid w:val="001565A4"/>
    <w:rsid w:val="0016099F"/>
    <w:rsid w:val="00167A34"/>
    <w:rsid w:val="00180A1D"/>
    <w:rsid w:val="00182501"/>
    <w:rsid w:val="0018509C"/>
    <w:rsid w:val="00190E11"/>
    <w:rsid w:val="00193E6C"/>
    <w:rsid w:val="001A19AE"/>
    <w:rsid w:val="001A4A32"/>
    <w:rsid w:val="001A520D"/>
    <w:rsid w:val="001A7870"/>
    <w:rsid w:val="001B3A00"/>
    <w:rsid w:val="001B4B38"/>
    <w:rsid w:val="001C1B41"/>
    <w:rsid w:val="001D65EF"/>
    <w:rsid w:val="001D6F9E"/>
    <w:rsid w:val="001E49E7"/>
    <w:rsid w:val="001F7201"/>
    <w:rsid w:val="00212635"/>
    <w:rsid w:val="00213A51"/>
    <w:rsid w:val="00223A29"/>
    <w:rsid w:val="00223F72"/>
    <w:rsid w:val="002250A3"/>
    <w:rsid w:val="00235217"/>
    <w:rsid w:val="00237C49"/>
    <w:rsid w:val="00246D1F"/>
    <w:rsid w:val="00247403"/>
    <w:rsid w:val="00247542"/>
    <w:rsid w:val="00255C1D"/>
    <w:rsid w:val="00266B61"/>
    <w:rsid w:val="0026712A"/>
    <w:rsid w:val="002703B9"/>
    <w:rsid w:val="002704DB"/>
    <w:rsid w:val="00286236"/>
    <w:rsid w:val="002A0AAE"/>
    <w:rsid w:val="002A1E86"/>
    <w:rsid w:val="002A3AE9"/>
    <w:rsid w:val="002A5820"/>
    <w:rsid w:val="002B5051"/>
    <w:rsid w:val="002D2B26"/>
    <w:rsid w:val="002D7EA2"/>
    <w:rsid w:val="002E06BC"/>
    <w:rsid w:val="002E187C"/>
    <w:rsid w:val="002E657E"/>
    <w:rsid w:val="002F5915"/>
    <w:rsid w:val="002F5AE1"/>
    <w:rsid w:val="00302733"/>
    <w:rsid w:val="003031CD"/>
    <w:rsid w:val="00305835"/>
    <w:rsid w:val="00306F33"/>
    <w:rsid w:val="00307B33"/>
    <w:rsid w:val="003106A3"/>
    <w:rsid w:val="00314078"/>
    <w:rsid w:val="0031535D"/>
    <w:rsid w:val="00315D3C"/>
    <w:rsid w:val="00316B3E"/>
    <w:rsid w:val="003239B8"/>
    <w:rsid w:val="0033169F"/>
    <w:rsid w:val="00341624"/>
    <w:rsid w:val="00344977"/>
    <w:rsid w:val="00346C95"/>
    <w:rsid w:val="00356185"/>
    <w:rsid w:val="00360380"/>
    <w:rsid w:val="00374B6C"/>
    <w:rsid w:val="0037519E"/>
    <w:rsid w:val="0037670B"/>
    <w:rsid w:val="00384230"/>
    <w:rsid w:val="00385D56"/>
    <w:rsid w:val="00386CF0"/>
    <w:rsid w:val="003945E8"/>
    <w:rsid w:val="00395225"/>
    <w:rsid w:val="003A1721"/>
    <w:rsid w:val="003A786E"/>
    <w:rsid w:val="003B259A"/>
    <w:rsid w:val="003B70FB"/>
    <w:rsid w:val="003C2B2A"/>
    <w:rsid w:val="003C529F"/>
    <w:rsid w:val="003C676B"/>
    <w:rsid w:val="003D04F9"/>
    <w:rsid w:val="003D3BC2"/>
    <w:rsid w:val="003E6CA1"/>
    <w:rsid w:val="003F26FD"/>
    <w:rsid w:val="003F5154"/>
    <w:rsid w:val="00405F9C"/>
    <w:rsid w:val="004065A8"/>
    <w:rsid w:val="004165C2"/>
    <w:rsid w:val="00426750"/>
    <w:rsid w:val="004332CA"/>
    <w:rsid w:val="00441ECB"/>
    <w:rsid w:val="004442AF"/>
    <w:rsid w:val="00445193"/>
    <w:rsid w:val="00462C1B"/>
    <w:rsid w:val="004651DB"/>
    <w:rsid w:val="00467B7E"/>
    <w:rsid w:val="00473BB4"/>
    <w:rsid w:val="004746CE"/>
    <w:rsid w:val="00477592"/>
    <w:rsid w:val="00480706"/>
    <w:rsid w:val="00486F1C"/>
    <w:rsid w:val="004906EA"/>
    <w:rsid w:val="0049419D"/>
    <w:rsid w:val="004A6A54"/>
    <w:rsid w:val="004B421C"/>
    <w:rsid w:val="004B447D"/>
    <w:rsid w:val="004B597A"/>
    <w:rsid w:val="004C20D2"/>
    <w:rsid w:val="004C2312"/>
    <w:rsid w:val="004C4B62"/>
    <w:rsid w:val="004C54C9"/>
    <w:rsid w:val="004D2972"/>
    <w:rsid w:val="004D4ABA"/>
    <w:rsid w:val="004D54F0"/>
    <w:rsid w:val="004D6025"/>
    <w:rsid w:val="004E054A"/>
    <w:rsid w:val="004E2649"/>
    <w:rsid w:val="004F626F"/>
    <w:rsid w:val="00501399"/>
    <w:rsid w:val="005047ED"/>
    <w:rsid w:val="0050633D"/>
    <w:rsid w:val="00507165"/>
    <w:rsid w:val="00507BC4"/>
    <w:rsid w:val="00512255"/>
    <w:rsid w:val="005128E4"/>
    <w:rsid w:val="005133DB"/>
    <w:rsid w:val="00514504"/>
    <w:rsid w:val="0051482D"/>
    <w:rsid w:val="00521E1F"/>
    <w:rsid w:val="00525560"/>
    <w:rsid w:val="00537982"/>
    <w:rsid w:val="00544C49"/>
    <w:rsid w:val="005516A1"/>
    <w:rsid w:val="00553235"/>
    <w:rsid w:val="005537AB"/>
    <w:rsid w:val="005559EF"/>
    <w:rsid w:val="00563557"/>
    <w:rsid w:val="00567C6A"/>
    <w:rsid w:val="0057402A"/>
    <w:rsid w:val="005771D0"/>
    <w:rsid w:val="0059191A"/>
    <w:rsid w:val="005921FF"/>
    <w:rsid w:val="005A1F69"/>
    <w:rsid w:val="005A24ED"/>
    <w:rsid w:val="005A6D0E"/>
    <w:rsid w:val="005B050F"/>
    <w:rsid w:val="005B52B0"/>
    <w:rsid w:val="005B6806"/>
    <w:rsid w:val="005C4225"/>
    <w:rsid w:val="005D53BC"/>
    <w:rsid w:val="005D65F0"/>
    <w:rsid w:val="005D66BF"/>
    <w:rsid w:val="005E1720"/>
    <w:rsid w:val="005E269E"/>
    <w:rsid w:val="005F0DAD"/>
    <w:rsid w:val="005F0F33"/>
    <w:rsid w:val="005F2386"/>
    <w:rsid w:val="00600DEB"/>
    <w:rsid w:val="00600F49"/>
    <w:rsid w:val="0060588F"/>
    <w:rsid w:val="00605BCD"/>
    <w:rsid w:val="00612258"/>
    <w:rsid w:val="00616EC1"/>
    <w:rsid w:val="006227BC"/>
    <w:rsid w:val="0062703E"/>
    <w:rsid w:val="0062759E"/>
    <w:rsid w:val="00627C9F"/>
    <w:rsid w:val="00630AA8"/>
    <w:rsid w:val="006311E9"/>
    <w:rsid w:val="00632354"/>
    <w:rsid w:val="006326AD"/>
    <w:rsid w:val="006343AF"/>
    <w:rsid w:val="00635421"/>
    <w:rsid w:val="00636288"/>
    <w:rsid w:val="00642810"/>
    <w:rsid w:val="00652333"/>
    <w:rsid w:val="00654CFA"/>
    <w:rsid w:val="0067170B"/>
    <w:rsid w:val="00672B1F"/>
    <w:rsid w:val="0068009E"/>
    <w:rsid w:val="00686D90"/>
    <w:rsid w:val="0069015F"/>
    <w:rsid w:val="00692219"/>
    <w:rsid w:val="006A17D2"/>
    <w:rsid w:val="006A2A9F"/>
    <w:rsid w:val="006A317C"/>
    <w:rsid w:val="006A380A"/>
    <w:rsid w:val="006A73E6"/>
    <w:rsid w:val="006B2D5C"/>
    <w:rsid w:val="006C0ECF"/>
    <w:rsid w:val="006C4EB1"/>
    <w:rsid w:val="006E0166"/>
    <w:rsid w:val="006E07DD"/>
    <w:rsid w:val="006E2FFB"/>
    <w:rsid w:val="006E7268"/>
    <w:rsid w:val="006E7B34"/>
    <w:rsid w:val="006F573E"/>
    <w:rsid w:val="0070697F"/>
    <w:rsid w:val="007103C4"/>
    <w:rsid w:val="00714892"/>
    <w:rsid w:val="00717B59"/>
    <w:rsid w:val="0072199C"/>
    <w:rsid w:val="00721FB6"/>
    <w:rsid w:val="00722C9F"/>
    <w:rsid w:val="00723B7D"/>
    <w:rsid w:val="0072464A"/>
    <w:rsid w:val="007253B8"/>
    <w:rsid w:val="0073741F"/>
    <w:rsid w:val="00740AB2"/>
    <w:rsid w:val="007608E2"/>
    <w:rsid w:val="00761793"/>
    <w:rsid w:val="00765968"/>
    <w:rsid w:val="0076643F"/>
    <w:rsid w:val="00777F63"/>
    <w:rsid w:val="00794606"/>
    <w:rsid w:val="007A0612"/>
    <w:rsid w:val="007A1FC9"/>
    <w:rsid w:val="007A4D1F"/>
    <w:rsid w:val="007A5817"/>
    <w:rsid w:val="007B05C4"/>
    <w:rsid w:val="007B18DA"/>
    <w:rsid w:val="007B60E9"/>
    <w:rsid w:val="007B62EE"/>
    <w:rsid w:val="007B6CC3"/>
    <w:rsid w:val="007B76D3"/>
    <w:rsid w:val="007C1A50"/>
    <w:rsid w:val="007C3334"/>
    <w:rsid w:val="007C4057"/>
    <w:rsid w:val="007C7E00"/>
    <w:rsid w:val="007D2B98"/>
    <w:rsid w:val="007D5EDB"/>
    <w:rsid w:val="007E21BC"/>
    <w:rsid w:val="007E26DB"/>
    <w:rsid w:val="007E7C82"/>
    <w:rsid w:val="007F292E"/>
    <w:rsid w:val="007F2AA1"/>
    <w:rsid w:val="007F2DA3"/>
    <w:rsid w:val="007F2F9C"/>
    <w:rsid w:val="007F588D"/>
    <w:rsid w:val="00803F1C"/>
    <w:rsid w:val="00804A11"/>
    <w:rsid w:val="0080600E"/>
    <w:rsid w:val="00814688"/>
    <w:rsid w:val="008148B6"/>
    <w:rsid w:val="00815CD0"/>
    <w:rsid w:val="00817612"/>
    <w:rsid w:val="00822E11"/>
    <w:rsid w:val="00825FC2"/>
    <w:rsid w:val="008338A4"/>
    <w:rsid w:val="00834724"/>
    <w:rsid w:val="00834D49"/>
    <w:rsid w:val="00837C45"/>
    <w:rsid w:val="00844730"/>
    <w:rsid w:val="008457C2"/>
    <w:rsid w:val="00851330"/>
    <w:rsid w:val="00857A82"/>
    <w:rsid w:val="00857EBA"/>
    <w:rsid w:val="00867A8F"/>
    <w:rsid w:val="00873836"/>
    <w:rsid w:val="008823EA"/>
    <w:rsid w:val="00885737"/>
    <w:rsid w:val="008869D1"/>
    <w:rsid w:val="00890650"/>
    <w:rsid w:val="00893103"/>
    <w:rsid w:val="0089325F"/>
    <w:rsid w:val="008944AE"/>
    <w:rsid w:val="008944DC"/>
    <w:rsid w:val="00897E12"/>
    <w:rsid w:val="008A20DD"/>
    <w:rsid w:val="008A7DB1"/>
    <w:rsid w:val="008A7E0F"/>
    <w:rsid w:val="008B01FB"/>
    <w:rsid w:val="008B12F5"/>
    <w:rsid w:val="008B4006"/>
    <w:rsid w:val="008B64C5"/>
    <w:rsid w:val="008C5E2D"/>
    <w:rsid w:val="008D768D"/>
    <w:rsid w:val="008E3759"/>
    <w:rsid w:val="008E3BFE"/>
    <w:rsid w:val="008E5A0F"/>
    <w:rsid w:val="008F1912"/>
    <w:rsid w:val="008F71CE"/>
    <w:rsid w:val="008F75EA"/>
    <w:rsid w:val="0090270B"/>
    <w:rsid w:val="009041DC"/>
    <w:rsid w:val="009076C3"/>
    <w:rsid w:val="00913628"/>
    <w:rsid w:val="00917B5A"/>
    <w:rsid w:val="00920A58"/>
    <w:rsid w:val="00920A8C"/>
    <w:rsid w:val="009214C3"/>
    <w:rsid w:val="009244C5"/>
    <w:rsid w:val="00925331"/>
    <w:rsid w:val="00926765"/>
    <w:rsid w:val="00934A2C"/>
    <w:rsid w:val="00937A9C"/>
    <w:rsid w:val="0094382E"/>
    <w:rsid w:val="0094706A"/>
    <w:rsid w:val="00960251"/>
    <w:rsid w:val="00962772"/>
    <w:rsid w:val="0096706E"/>
    <w:rsid w:val="0096793D"/>
    <w:rsid w:val="00970358"/>
    <w:rsid w:val="00974491"/>
    <w:rsid w:val="00975C4E"/>
    <w:rsid w:val="009766C5"/>
    <w:rsid w:val="00981FBA"/>
    <w:rsid w:val="00986CCD"/>
    <w:rsid w:val="009912CE"/>
    <w:rsid w:val="00995256"/>
    <w:rsid w:val="00996660"/>
    <w:rsid w:val="00997BC5"/>
    <w:rsid w:val="009A4F41"/>
    <w:rsid w:val="009A687A"/>
    <w:rsid w:val="009A7C88"/>
    <w:rsid w:val="009B381B"/>
    <w:rsid w:val="009C7DCC"/>
    <w:rsid w:val="009D1753"/>
    <w:rsid w:val="009D7611"/>
    <w:rsid w:val="009E0B61"/>
    <w:rsid w:val="009E4A2A"/>
    <w:rsid w:val="009E53DE"/>
    <w:rsid w:val="009E5DFC"/>
    <w:rsid w:val="009F1B9F"/>
    <w:rsid w:val="009F54B0"/>
    <w:rsid w:val="00A03A48"/>
    <w:rsid w:val="00A11212"/>
    <w:rsid w:val="00A11E44"/>
    <w:rsid w:val="00A15C3F"/>
    <w:rsid w:val="00A2143A"/>
    <w:rsid w:val="00A2269B"/>
    <w:rsid w:val="00A30100"/>
    <w:rsid w:val="00A328B3"/>
    <w:rsid w:val="00A32DA0"/>
    <w:rsid w:val="00A368B6"/>
    <w:rsid w:val="00A50D11"/>
    <w:rsid w:val="00A50FCF"/>
    <w:rsid w:val="00A51AF5"/>
    <w:rsid w:val="00A51FAC"/>
    <w:rsid w:val="00A528D1"/>
    <w:rsid w:val="00A5505A"/>
    <w:rsid w:val="00A6011B"/>
    <w:rsid w:val="00A610CD"/>
    <w:rsid w:val="00A6474B"/>
    <w:rsid w:val="00A65AAA"/>
    <w:rsid w:val="00A758AA"/>
    <w:rsid w:val="00A81D71"/>
    <w:rsid w:val="00A862B6"/>
    <w:rsid w:val="00A935D3"/>
    <w:rsid w:val="00A94C56"/>
    <w:rsid w:val="00AA0787"/>
    <w:rsid w:val="00AA09A2"/>
    <w:rsid w:val="00AA1386"/>
    <w:rsid w:val="00AA7996"/>
    <w:rsid w:val="00AC19CB"/>
    <w:rsid w:val="00AC2405"/>
    <w:rsid w:val="00AD0E2C"/>
    <w:rsid w:val="00AD63BC"/>
    <w:rsid w:val="00AE5488"/>
    <w:rsid w:val="00AE6F91"/>
    <w:rsid w:val="00AF4AE3"/>
    <w:rsid w:val="00AF5571"/>
    <w:rsid w:val="00B07341"/>
    <w:rsid w:val="00B07AC6"/>
    <w:rsid w:val="00B234CB"/>
    <w:rsid w:val="00B25379"/>
    <w:rsid w:val="00B259C7"/>
    <w:rsid w:val="00B30539"/>
    <w:rsid w:val="00B314DB"/>
    <w:rsid w:val="00B320FA"/>
    <w:rsid w:val="00B361F2"/>
    <w:rsid w:val="00B3718B"/>
    <w:rsid w:val="00B3745F"/>
    <w:rsid w:val="00B41DE6"/>
    <w:rsid w:val="00B4632A"/>
    <w:rsid w:val="00B52A35"/>
    <w:rsid w:val="00B530F1"/>
    <w:rsid w:val="00B532B7"/>
    <w:rsid w:val="00B61718"/>
    <w:rsid w:val="00B84A9C"/>
    <w:rsid w:val="00B928BA"/>
    <w:rsid w:val="00B93D7F"/>
    <w:rsid w:val="00B949AE"/>
    <w:rsid w:val="00BA276C"/>
    <w:rsid w:val="00BB019D"/>
    <w:rsid w:val="00BB306F"/>
    <w:rsid w:val="00BC1869"/>
    <w:rsid w:val="00BD0FF5"/>
    <w:rsid w:val="00BD1D88"/>
    <w:rsid w:val="00BD4B89"/>
    <w:rsid w:val="00BD5922"/>
    <w:rsid w:val="00BE149F"/>
    <w:rsid w:val="00BF02CB"/>
    <w:rsid w:val="00BF08A0"/>
    <w:rsid w:val="00BF47C8"/>
    <w:rsid w:val="00BF6FD8"/>
    <w:rsid w:val="00C03680"/>
    <w:rsid w:val="00C054DF"/>
    <w:rsid w:val="00C0701B"/>
    <w:rsid w:val="00C072BC"/>
    <w:rsid w:val="00C21762"/>
    <w:rsid w:val="00C21FEF"/>
    <w:rsid w:val="00C23254"/>
    <w:rsid w:val="00C23BA4"/>
    <w:rsid w:val="00C24543"/>
    <w:rsid w:val="00C256A2"/>
    <w:rsid w:val="00C2572D"/>
    <w:rsid w:val="00C25ADB"/>
    <w:rsid w:val="00C43093"/>
    <w:rsid w:val="00C43F27"/>
    <w:rsid w:val="00C51515"/>
    <w:rsid w:val="00C52172"/>
    <w:rsid w:val="00C53880"/>
    <w:rsid w:val="00C5660B"/>
    <w:rsid w:val="00C66B72"/>
    <w:rsid w:val="00C702F1"/>
    <w:rsid w:val="00C72319"/>
    <w:rsid w:val="00C87AC4"/>
    <w:rsid w:val="00C9567A"/>
    <w:rsid w:val="00CA1C23"/>
    <w:rsid w:val="00CA547A"/>
    <w:rsid w:val="00CA55E6"/>
    <w:rsid w:val="00CA7F90"/>
    <w:rsid w:val="00CB212D"/>
    <w:rsid w:val="00CB2660"/>
    <w:rsid w:val="00CB3FEA"/>
    <w:rsid w:val="00CC103D"/>
    <w:rsid w:val="00CC1675"/>
    <w:rsid w:val="00CC5E90"/>
    <w:rsid w:val="00CC6DB6"/>
    <w:rsid w:val="00CD046C"/>
    <w:rsid w:val="00CD6DFF"/>
    <w:rsid w:val="00CE076C"/>
    <w:rsid w:val="00CE4A94"/>
    <w:rsid w:val="00CE5199"/>
    <w:rsid w:val="00CE66D5"/>
    <w:rsid w:val="00CE6A93"/>
    <w:rsid w:val="00CF637A"/>
    <w:rsid w:val="00CF6A9B"/>
    <w:rsid w:val="00D059DE"/>
    <w:rsid w:val="00D05ABD"/>
    <w:rsid w:val="00D07BE9"/>
    <w:rsid w:val="00D13FCE"/>
    <w:rsid w:val="00D221F1"/>
    <w:rsid w:val="00D23CB8"/>
    <w:rsid w:val="00D2685B"/>
    <w:rsid w:val="00D306D1"/>
    <w:rsid w:val="00D30800"/>
    <w:rsid w:val="00D34786"/>
    <w:rsid w:val="00D3478F"/>
    <w:rsid w:val="00D37BFC"/>
    <w:rsid w:val="00D47A8E"/>
    <w:rsid w:val="00D52D14"/>
    <w:rsid w:val="00D55AD9"/>
    <w:rsid w:val="00D65D72"/>
    <w:rsid w:val="00D67B2E"/>
    <w:rsid w:val="00D712D3"/>
    <w:rsid w:val="00D71422"/>
    <w:rsid w:val="00D72DC6"/>
    <w:rsid w:val="00D7456A"/>
    <w:rsid w:val="00D7479C"/>
    <w:rsid w:val="00D7554C"/>
    <w:rsid w:val="00D7558D"/>
    <w:rsid w:val="00D81D92"/>
    <w:rsid w:val="00D876F9"/>
    <w:rsid w:val="00DA0AED"/>
    <w:rsid w:val="00DA7B5F"/>
    <w:rsid w:val="00DB3C73"/>
    <w:rsid w:val="00DB7546"/>
    <w:rsid w:val="00DC0308"/>
    <w:rsid w:val="00DC064D"/>
    <w:rsid w:val="00DC11E7"/>
    <w:rsid w:val="00DC20F0"/>
    <w:rsid w:val="00DC24E3"/>
    <w:rsid w:val="00DC376E"/>
    <w:rsid w:val="00DC3AF0"/>
    <w:rsid w:val="00DC7023"/>
    <w:rsid w:val="00DC769A"/>
    <w:rsid w:val="00DD0645"/>
    <w:rsid w:val="00DD0D2D"/>
    <w:rsid w:val="00DD1BE7"/>
    <w:rsid w:val="00DD3D86"/>
    <w:rsid w:val="00DD4AD2"/>
    <w:rsid w:val="00DE0F55"/>
    <w:rsid w:val="00DE2862"/>
    <w:rsid w:val="00DF1EC4"/>
    <w:rsid w:val="00DF23A8"/>
    <w:rsid w:val="00E0340B"/>
    <w:rsid w:val="00E04A90"/>
    <w:rsid w:val="00E0551F"/>
    <w:rsid w:val="00E10C9F"/>
    <w:rsid w:val="00E219C7"/>
    <w:rsid w:val="00E40BC4"/>
    <w:rsid w:val="00E4118C"/>
    <w:rsid w:val="00E43157"/>
    <w:rsid w:val="00E452E5"/>
    <w:rsid w:val="00E461CE"/>
    <w:rsid w:val="00E47C0A"/>
    <w:rsid w:val="00E55139"/>
    <w:rsid w:val="00E55910"/>
    <w:rsid w:val="00E573E4"/>
    <w:rsid w:val="00E64C3D"/>
    <w:rsid w:val="00E67250"/>
    <w:rsid w:val="00E720CA"/>
    <w:rsid w:val="00E732E5"/>
    <w:rsid w:val="00E817A0"/>
    <w:rsid w:val="00E84EB5"/>
    <w:rsid w:val="00E85662"/>
    <w:rsid w:val="00E87555"/>
    <w:rsid w:val="00E8789F"/>
    <w:rsid w:val="00E87CD0"/>
    <w:rsid w:val="00E92AD5"/>
    <w:rsid w:val="00E942AD"/>
    <w:rsid w:val="00E96074"/>
    <w:rsid w:val="00E97B71"/>
    <w:rsid w:val="00EA3D34"/>
    <w:rsid w:val="00EB454D"/>
    <w:rsid w:val="00EB629F"/>
    <w:rsid w:val="00EB716B"/>
    <w:rsid w:val="00EC20A4"/>
    <w:rsid w:val="00EC5361"/>
    <w:rsid w:val="00EC5A25"/>
    <w:rsid w:val="00ED549D"/>
    <w:rsid w:val="00ED5E10"/>
    <w:rsid w:val="00ED76BE"/>
    <w:rsid w:val="00EE00E9"/>
    <w:rsid w:val="00EE099D"/>
    <w:rsid w:val="00EF1AAA"/>
    <w:rsid w:val="00EF619B"/>
    <w:rsid w:val="00EF6EC7"/>
    <w:rsid w:val="00F00B55"/>
    <w:rsid w:val="00F025C8"/>
    <w:rsid w:val="00F02AD1"/>
    <w:rsid w:val="00F04156"/>
    <w:rsid w:val="00F12F40"/>
    <w:rsid w:val="00F253CC"/>
    <w:rsid w:val="00F27985"/>
    <w:rsid w:val="00F27D9D"/>
    <w:rsid w:val="00F31878"/>
    <w:rsid w:val="00F37106"/>
    <w:rsid w:val="00F44E25"/>
    <w:rsid w:val="00F44EEC"/>
    <w:rsid w:val="00F45C76"/>
    <w:rsid w:val="00F519CF"/>
    <w:rsid w:val="00F56BA5"/>
    <w:rsid w:val="00F60E22"/>
    <w:rsid w:val="00F6156A"/>
    <w:rsid w:val="00F63248"/>
    <w:rsid w:val="00F7066B"/>
    <w:rsid w:val="00F74269"/>
    <w:rsid w:val="00F81395"/>
    <w:rsid w:val="00F81BB8"/>
    <w:rsid w:val="00F81EA4"/>
    <w:rsid w:val="00F90C64"/>
    <w:rsid w:val="00F917D1"/>
    <w:rsid w:val="00F9653B"/>
    <w:rsid w:val="00FB62CF"/>
    <w:rsid w:val="00FD05A8"/>
    <w:rsid w:val="00FD3C3B"/>
    <w:rsid w:val="00FE07DD"/>
    <w:rsid w:val="00FE221E"/>
    <w:rsid w:val="00FE6B45"/>
    <w:rsid w:val="00FF1F4C"/>
    <w:rsid w:val="00FF2F74"/>
    <w:rsid w:val="00FF55F3"/>
    <w:rsid w:val="00FF5851"/>
    <w:rsid w:val="00FF5DE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A32"/>
    <w:rPr>
      <w:sz w:val="16"/>
      <w:szCs w:val="16"/>
    </w:rPr>
  </w:style>
  <w:style w:type="paragraph" w:styleId="CommentText">
    <w:name w:val="annotation text"/>
    <w:basedOn w:val="Normal"/>
    <w:link w:val="CommentTextChar"/>
    <w:uiPriority w:val="99"/>
    <w:semiHidden/>
    <w:unhideWhenUsed/>
    <w:rsid w:val="001A4A32"/>
    <w:rPr>
      <w:sz w:val="20"/>
      <w:szCs w:val="20"/>
    </w:rPr>
  </w:style>
  <w:style w:type="character" w:customStyle="1" w:styleId="CommentTextChar">
    <w:name w:val="Comment Text Char"/>
    <w:basedOn w:val="DefaultParagraphFont"/>
    <w:link w:val="CommentText"/>
    <w:uiPriority w:val="99"/>
    <w:semiHidden/>
    <w:rsid w:val="001A4A32"/>
    <w:rPr>
      <w:lang w:val="en-US" w:eastAsia="en-US"/>
    </w:rPr>
  </w:style>
  <w:style w:type="paragraph" w:styleId="CommentSubject">
    <w:name w:val="annotation subject"/>
    <w:basedOn w:val="CommentText"/>
    <w:next w:val="CommentText"/>
    <w:link w:val="CommentSubjectChar"/>
    <w:uiPriority w:val="99"/>
    <w:semiHidden/>
    <w:unhideWhenUsed/>
    <w:rsid w:val="001A4A32"/>
    <w:rPr>
      <w:b/>
      <w:bCs/>
    </w:rPr>
  </w:style>
  <w:style w:type="character" w:customStyle="1" w:styleId="CommentSubjectChar">
    <w:name w:val="Comment Subject Char"/>
    <w:basedOn w:val="CommentTextChar"/>
    <w:link w:val="CommentSubject"/>
    <w:uiPriority w:val="99"/>
    <w:semiHidden/>
    <w:rsid w:val="001A4A32"/>
    <w:rPr>
      <w:b/>
      <w:bCs/>
      <w:lang w:val="en-US" w:eastAsia="en-US"/>
    </w:rPr>
  </w:style>
  <w:style w:type="paragraph" w:styleId="Revision">
    <w:name w:val="Revision"/>
    <w:hidden/>
    <w:uiPriority w:val="99"/>
    <w:semiHidden/>
    <w:rsid w:val="00374B6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2338">
      <w:bodyDiv w:val="1"/>
      <w:marLeft w:val="0"/>
      <w:marRight w:val="0"/>
      <w:marTop w:val="0"/>
      <w:marBottom w:val="0"/>
      <w:divBdr>
        <w:top w:val="none" w:sz="0" w:space="0" w:color="auto"/>
        <w:left w:val="none" w:sz="0" w:space="0" w:color="auto"/>
        <w:bottom w:val="none" w:sz="0" w:space="0" w:color="auto"/>
        <w:right w:val="none" w:sz="0" w:space="0" w:color="auto"/>
      </w:divBdr>
    </w:div>
    <w:div w:id="245723388">
      <w:bodyDiv w:val="1"/>
      <w:marLeft w:val="0"/>
      <w:marRight w:val="0"/>
      <w:marTop w:val="0"/>
      <w:marBottom w:val="0"/>
      <w:divBdr>
        <w:top w:val="none" w:sz="0" w:space="0" w:color="auto"/>
        <w:left w:val="none" w:sz="0" w:space="0" w:color="auto"/>
        <w:bottom w:val="none" w:sz="0" w:space="0" w:color="auto"/>
        <w:right w:val="none" w:sz="0" w:space="0" w:color="auto"/>
      </w:divBdr>
    </w:div>
    <w:div w:id="631519155">
      <w:bodyDiv w:val="1"/>
      <w:marLeft w:val="0"/>
      <w:marRight w:val="0"/>
      <w:marTop w:val="0"/>
      <w:marBottom w:val="0"/>
      <w:divBdr>
        <w:top w:val="none" w:sz="0" w:space="0" w:color="auto"/>
        <w:left w:val="none" w:sz="0" w:space="0" w:color="auto"/>
        <w:bottom w:val="none" w:sz="0" w:space="0" w:color="auto"/>
        <w:right w:val="none" w:sz="0" w:space="0" w:color="auto"/>
      </w:divBdr>
    </w:div>
    <w:div w:id="87280873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171106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2775"/>
    <w:rsid w:val="0007299B"/>
    <w:rsid w:val="00152415"/>
    <w:rsid w:val="00200821"/>
    <w:rsid w:val="0025245B"/>
    <w:rsid w:val="002A3923"/>
    <w:rsid w:val="00394049"/>
    <w:rsid w:val="003B0C71"/>
    <w:rsid w:val="00471555"/>
    <w:rsid w:val="004B5BBB"/>
    <w:rsid w:val="004F2DF8"/>
    <w:rsid w:val="00517E2A"/>
    <w:rsid w:val="00587DB7"/>
    <w:rsid w:val="006F24A1"/>
    <w:rsid w:val="007873A1"/>
    <w:rsid w:val="007B54F8"/>
    <w:rsid w:val="009A261B"/>
    <w:rsid w:val="00AA2E17"/>
    <w:rsid w:val="00AB5FB1"/>
    <w:rsid w:val="00AC15A4"/>
    <w:rsid w:val="00B0336C"/>
    <w:rsid w:val="00B348D4"/>
    <w:rsid w:val="00BA5544"/>
    <w:rsid w:val="00C048BB"/>
    <w:rsid w:val="00CE7B17"/>
    <w:rsid w:val="00D07E76"/>
    <w:rsid w:val="00D241E9"/>
    <w:rsid w:val="00D7750D"/>
    <w:rsid w:val="00E23D2B"/>
    <w:rsid w:val="00EB1E1B"/>
    <w:rsid w:val="00EB222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29F0-0834-487D-A06C-11B733B6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10267</Characters>
  <Application>Microsoft Office Word</Application>
  <DocSecurity>0</DocSecurity>
  <Lines>201</Lines>
  <Paragraphs>61</Paragraphs>
  <ScaleCrop>false</ScaleCrop>
  <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32/21</dc:title>
  <dc:subject/>
  <dc:creator/>
  <cp:keywords/>
  <dc:description/>
  <cp:lastModifiedBy/>
  <cp:revision>1</cp:revision>
  <dcterms:created xsi:type="dcterms:W3CDTF">2021-04-12T19:34:00Z</dcterms:created>
  <dcterms:modified xsi:type="dcterms:W3CDTF">2021-04-12T19:34:00Z</dcterms:modified>
</cp:coreProperties>
</file>