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2F9C" w:rsidRDefault="00D306D1" w:rsidP="00AD16FE">
      <w:pPr>
        <w:jc w:val="both"/>
        <w:rPr>
          <w:rFonts w:asciiTheme="majorHAnsi" w:hAnsiTheme="majorHAnsi" w:cs="Univers"/>
          <w:b/>
          <w:bCs/>
          <w:sz w:val="22"/>
          <w:szCs w:val="22"/>
          <w:lang w:val="es-ES"/>
        </w:rPr>
      </w:pPr>
      <w:r w:rsidRPr="008C2F9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83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C2F9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D3D5C" w:rsidRDefault="00BD3D5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BD3D5C" w:rsidRDefault="00BD3D5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C2F9C" w:rsidRDefault="00040C3A" w:rsidP="00AD16FE">
      <w:pPr>
        <w:tabs>
          <w:tab w:val="center" w:pos="5400"/>
        </w:tabs>
        <w:suppressAutoHyphens/>
        <w:jc w:val="both"/>
        <w:rPr>
          <w:rFonts w:asciiTheme="majorHAnsi" w:hAnsiTheme="majorHAnsi"/>
          <w:sz w:val="22"/>
          <w:szCs w:val="22"/>
          <w:lang w:val="es-ES"/>
        </w:rPr>
      </w:pPr>
    </w:p>
    <w:p w14:paraId="5A87E141" w14:textId="77777777" w:rsidR="00040C3A" w:rsidRPr="008C2F9C" w:rsidRDefault="00040C3A" w:rsidP="00AD16FE">
      <w:pPr>
        <w:tabs>
          <w:tab w:val="center" w:pos="5400"/>
        </w:tabs>
        <w:suppressAutoHyphens/>
        <w:jc w:val="both"/>
        <w:rPr>
          <w:rFonts w:asciiTheme="majorHAnsi" w:hAnsiTheme="majorHAnsi"/>
          <w:sz w:val="22"/>
          <w:szCs w:val="22"/>
          <w:lang w:val="es-ES"/>
        </w:rPr>
      </w:pPr>
    </w:p>
    <w:p w14:paraId="29D95BCC" w14:textId="77777777" w:rsidR="005128E4" w:rsidRPr="008C2F9C" w:rsidRDefault="005128E4" w:rsidP="00AD16FE">
      <w:pPr>
        <w:tabs>
          <w:tab w:val="center" w:pos="5400"/>
        </w:tabs>
        <w:suppressAutoHyphens/>
        <w:rPr>
          <w:rFonts w:asciiTheme="majorHAnsi" w:hAnsiTheme="majorHAnsi"/>
          <w:sz w:val="22"/>
          <w:szCs w:val="22"/>
          <w:lang w:val="es-ES"/>
        </w:rPr>
      </w:pPr>
    </w:p>
    <w:p w14:paraId="12A36B24" w14:textId="77777777" w:rsidR="005128E4" w:rsidRPr="008C2F9C" w:rsidRDefault="005128E4" w:rsidP="00AD16FE">
      <w:pPr>
        <w:tabs>
          <w:tab w:val="center" w:pos="5400"/>
        </w:tabs>
        <w:suppressAutoHyphens/>
        <w:rPr>
          <w:rFonts w:asciiTheme="majorHAnsi" w:hAnsiTheme="majorHAnsi"/>
          <w:sz w:val="22"/>
          <w:szCs w:val="22"/>
          <w:lang w:val="es-ES"/>
        </w:rPr>
      </w:pPr>
    </w:p>
    <w:p w14:paraId="2252093D" w14:textId="77777777" w:rsidR="005128E4" w:rsidRPr="008C2F9C" w:rsidRDefault="005128E4" w:rsidP="00AD16FE">
      <w:pPr>
        <w:tabs>
          <w:tab w:val="center" w:pos="5400"/>
        </w:tabs>
        <w:suppressAutoHyphens/>
        <w:rPr>
          <w:rFonts w:asciiTheme="majorHAnsi" w:hAnsiTheme="majorHAnsi"/>
          <w:sz w:val="22"/>
          <w:szCs w:val="22"/>
          <w:lang w:val="es-ES"/>
        </w:rPr>
      </w:pPr>
    </w:p>
    <w:p w14:paraId="403935BD"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6DCF5F8F"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4791F13A" w14:textId="77777777" w:rsidR="005B52B0" w:rsidRPr="008C2F9C" w:rsidRDefault="005B52B0" w:rsidP="00AD16FE">
      <w:pPr>
        <w:tabs>
          <w:tab w:val="center" w:pos="5400"/>
        </w:tabs>
        <w:suppressAutoHyphens/>
        <w:jc w:val="center"/>
        <w:rPr>
          <w:rFonts w:asciiTheme="majorHAnsi" w:hAnsiTheme="majorHAnsi"/>
          <w:sz w:val="22"/>
          <w:szCs w:val="22"/>
          <w:lang w:val="es-ES"/>
        </w:rPr>
      </w:pPr>
    </w:p>
    <w:p w14:paraId="44E016B6" w14:textId="77777777" w:rsidR="005B52B0" w:rsidRPr="008C2F9C" w:rsidRDefault="005B52B0" w:rsidP="00AD16FE">
      <w:pPr>
        <w:tabs>
          <w:tab w:val="center" w:pos="5400"/>
        </w:tabs>
        <w:suppressAutoHyphens/>
        <w:jc w:val="center"/>
        <w:rPr>
          <w:rFonts w:asciiTheme="majorHAnsi" w:hAnsiTheme="majorHAnsi"/>
          <w:sz w:val="22"/>
          <w:szCs w:val="22"/>
          <w:lang w:val="es-ES"/>
        </w:rPr>
      </w:pPr>
    </w:p>
    <w:p w14:paraId="63D41962" w14:textId="77777777" w:rsidR="005B52B0" w:rsidRPr="008C2F9C" w:rsidRDefault="005B52B0" w:rsidP="00AD16FE">
      <w:pPr>
        <w:tabs>
          <w:tab w:val="center" w:pos="5400"/>
        </w:tabs>
        <w:suppressAutoHyphens/>
        <w:jc w:val="center"/>
        <w:rPr>
          <w:rFonts w:asciiTheme="majorHAnsi" w:hAnsiTheme="majorHAnsi"/>
          <w:sz w:val="22"/>
          <w:szCs w:val="22"/>
          <w:lang w:val="es-ES"/>
        </w:rPr>
      </w:pPr>
    </w:p>
    <w:p w14:paraId="5ADEB990"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2D81B7E8"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64791D04" w14:textId="77777777" w:rsidR="00040C3A" w:rsidRPr="008C2F9C" w:rsidRDefault="003D3BC2" w:rsidP="00AD16FE">
      <w:pPr>
        <w:tabs>
          <w:tab w:val="center" w:pos="5400"/>
        </w:tabs>
        <w:suppressAutoHyphens/>
        <w:jc w:val="center"/>
        <w:rPr>
          <w:rFonts w:asciiTheme="majorHAnsi" w:hAnsiTheme="majorHAnsi"/>
          <w:sz w:val="22"/>
          <w:szCs w:val="22"/>
          <w:lang w:val="es-ES"/>
        </w:rPr>
      </w:pPr>
      <w:r w:rsidRPr="008C2F9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0DCF95C" w:rsidR="00BD3D5C" w:rsidRPr="004E2649" w:rsidRDefault="00BD3D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51A1B">
                              <w:rPr>
                                <w:rFonts w:asciiTheme="majorHAnsi" w:hAnsiTheme="majorHAnsi" w:cs="Arial"/>
                                <w:b/>
                                <w:bCs/>
                                <w:color w:val="0D0D0D" w:themeColor="text1" w:themeTint="F2"/>
                                <w:sz w:val="36"/>
                                <w:szCs w:val="22"/>
                                <w:lang w:val="es-ES_tradnl"/>
                              </w:rPr>
                              <w:t>276</w:t>
                            </w:r>
                            <w:r>
                              <w:rPr>
                                <w:rFonts w:asciiTheme="majorHAnsi" w:hAnsiTheme="majorHAnsi" w:cs="Arial"/>
                                <w:b/>
                                <w:bCs/>
                                <w:color w:val="0D0D0D" w:themeColor="text1" w:themeTint="F2"/>
                                <w:sz w:val="36"/>
                                <w:szCs w:val="22"/>
                                <w:lang w:val="es-ES_tradnl"/>
                              </w:rPr>
                              <w:t>/</w:t>
                            </w:r>
                            <w:r w:rsidR="00880760">
                              <w:rPr>
                                <w:rFonts w:asciiTheme="majorHAnsi" w:hAnsiTheme="majorHAnsi" w:cs="Arial"/>
                                <w:b/>
                                <w:bCs/>
                                <w:color w:val="0D0D0D" w:themeColor="text1" w:themeTint="F2"/>
                                <w:sz w:val="36"/>
                                <w:szCs w:val="22"/>
                                <w:lang w:val="es-ES_tradnl"/>
                              </w:rPr>
                              <w:t>21</w:t>
                            </w:r>
                          </w:p>
                          <w:p w14:paraId="09C54AB3" w14:textId="766C8CD0" w:rsidR="00BD3D5C" w:rsidRDefault="00BD3D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p>
                          <w:p w14:paraId="70CF6833" w14:textId="203CCB02" w:rsidR="00BD3D5C" w:rsidRPr="0010736F" w:rsidRDefault="00BD3D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BD3D5C" w:rsidRPr="0010736F" w:rsidRDefault="00BD3D5C"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57CED7F" w:rsidR="00BD3D5C" w:rsidRPr="0010736F" w:rsidRDefault="00D01F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BD3D5C">
                              <w:rPr>
                                <w:rFonts w:asciiTheme="majorHAnsi" w:hAnsiTheme="majorHAnsi" w:cs="Arial"/>
                                <w:color w:val="0D0D0D" w:themeColor="text1" w:themeTint="F2"/>
                                <w:szCs w:val="22"/>
                                <w:lang w:val="es-ES_tradnl"/>
                              </w:rPr>
                              <w:t>NGEL DOMINGO ORTIZ MORALES Y ED</w:t>
                            </w:r>
                            <w:r w:rsidR="005B4895">
                              <w:rPr>
                                <w:rFonts w:asciiTheme="majorHAnsi" w:hAnsiTheme="majorHAnsi" w:cs="Arial"/>
                                <w:color w:val="0D0D0D" w:themeColor="text1" w:themeTint="F2"/>
                                <w:szCs w:val="22"/>
                                <w:lang w:val="es-ES_tradnl"/>
                              </w:rPr>
                              <w:t>V</w:t>
                            </w:r>
                            <w:r w:rsidR="00BD3D5C">
                              <w:rPr>
                                <w:rFonts w:asciiTheme="majorHAnsi" w:hAnsiTheme="majorHAnsi" w:cs="Arial"/>
                                <w:color w:val="0D0D0D" w:themeColor="text1" w:themeTint="F2"/>
                                <w:szCs w:val="22"/>
                                <w:lang w:val="es-ES_tradnl"/>
                              </w:rPr>
                              <w:t>IN OR</w:t>
                            </w:r>
                            <w:r>
                              <w:rPr>
                                <w:rFonts w:asciiTheme="majorHAnsi" w:hAnsiTheme="majorHAnsi" w:cs="Arial"/>
                                <w:color w:val="0D0D0D" w:themeColor="text1" w:themeTint="F2"/>
                                <w:szCs w:val="22"/>
                                <w:lang w:val="es-ES_tradnl"/>
                              </w:rPr>
                              <w:t>T</w:t>
                            </w:r>
                            <w:r w:rsidR="00BD3D5C">
                              <w:rPr>
                                <w:rFonts w:asciiTheme="majorHAnsi" w:hAnsiTheme="majorHAnsi" w:cs="Arial"/>
                                <w:color w:val="0D0D0D" w:themeColor="text1" w:themeTint="F2"/>
                                <w:szCs w:val="22"/>
                                <w:lang w:val="es-ES_tradnl"/>
                              </w:rPr>
                              <w:t>IZ TORRES</w:t>
                            </w:r>
                          </w:p>
                          <w:bookmarkEnd w:id="0"/>
                          <w:p w14:paraId="35068D0D" w14:textId="3759F2D1" w:rsidR="00BD3D5C" w:rsidRPr="0010736F" w:rsidRDefault="00BD3D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BD3D5C" w:rsidRPr="00AE5488" w:rsidRDefault="00BD3D5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0DCF95C" w:rsidR="00BD3D5C" w:rsidRPr="004E2649" w:rsidRDefault="00BD3D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51A1B">
                        <w:rPr>
                          <w:rFonts w:asciiTheme="majorHAnsi" w:hAnsiTheme="majorHAnsi" w:cs="Arial"/>
                          <w:b/>
                          <w:bCs/>
                          <w:color w:val="0D0D0D" w:themeColor="text1" w:themeTint="F2"/>
                          <w:sz w:val="36"/>
                          <w:szCs w:val="22"/>
                          <w:lang w:val="es-ES_tradnl"/>
                        </w:rPr>
                        <w:t>276</w:t>
                      </w:r>
                      <w:r>
                        <w:rPr>
                          <w:rFonts w:asciiTheme="majorHAnsi" w:hAnsiTheme="majorHAnsi" w:cs="Arial"/>
                          <w:b/>
                          <w:bCs/>
                          <w:color w:val="0D0D0D" w:themeColor="text1" w:themeTint="F2"/>
                          <w:sz w:val="36"/>
                          <w:szCs w:val="22"/>
                          <w:lang w:val="es-ES_tradnl"/>
                        </w:rPr>
                        <w:t>/</w:t>
                      </w:r>
                      <w:r w:rsidR="00880760">
                        <w:rPr>
                          <w:rFonts w:asciiTheme="majorHAnsi" w:hAnsiTheme="majorHAnsi" w:cs="Arial"/>
                          <w:b/>
                          <w:bCs/>
                          <w:color w:val="0D0D0D" w:themeColor="text1" w:themeTint="F2"/>
                          <w:sz w:val="36"/>
                          <w:szCs w:val="22"/>
                          <w:lang w:val="es-ES_tradnl"/>
                        </w:rPr>
                        <w:t>21</w:t>
                      </w:r>
                    </w:p>
                    <w:p w14:paraId="09C54AB3" w14:textId="766C8CD0" w:rsidR="00BD3D5C" w:rsidRDefault="00BD3D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p>
                    <w:p w14:paraId="70CF6833" w14:textId="203CCB02" w:rsidR="00BD3D5C" w:rsidRPr="0010736F" w:rsidRDefault="00BD3D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BD3D5C" w:rsidRPr="0010736F" w:rsidRDefault="00BD3D5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57CED7F" w:rsidR="00BD3D5C" w:rsidRPr="0010736F" w:rsidRDefault="00D01F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BD3D5C">
                        <w:rPr>
                          <w:rFonts w:asciiTheme="majorHAnsi" w:hAnsiTheme="majorHAnsi" w:cs="Arial"/>
                          <w:color w:val="0D0D0D" w:themeColor="text1" w:themeTint="F2"/>
                          <w:szCs w:val="22"/>
                          <w:lang w:val="es-ES_tradnl"/>
                        </w:rPr>
                        <w:t>NGEL DOMINGO ORTIZ MORALES Y ED</w:t>
                      </w:r>
                      <w:r w:rsidR="005B4895">
                        <w:rPr>
                          <w:rFonts w:asciiTheme="majorHAnsi" w:hAnsiTheme="majorHAnsi" w:cs="Arial"/>
                          <w:color w:val="0D0D0D" w:themeColor="text1" w:themeTint="F2"/>
                          <w:szCs w:val="22"/>
                          <w:lang w:val="es-ES_tradnl"/>
                        </w:rPr>
                        <w:t>V</w:t>
                      </w:r>
                      <w:r w:rsidR="00BD3D5C">
                        <w:rPr>
                          <w:rFonts w:asciiTheme="majorHAnsi" w:hAnsiTheme="majorHAnsi" w:cs="Arial"/>
                          <w:color w:val="0D0D0D" w:themeColor="text1" w:themeTint="F2"/>
                          <w:szCs w:val="22"/>
                          <w:lang w:val="es-ES_tradnl"/>
                        </w:rPr>
                        <w:t>IN OR</w:t>
                      </w:r>
                      <w:r>
                        <w:rPr>
                          <w:rFonts w:asciiTheme="majorHAnsi" w:hAnsiTheme="majorHAnsi" w:cs="Arial"/>
                          <w:color w:val="0D0D0D" w:themeColor="text1" w:themeTint="F2"/>
                          <w:szCs w:val="22"/>
                          <w:lang w:val="es-ES_tradnl"/>
                        </w:rPr>
                        <w:t>T</w:t>
                      </w:r>
                      <w:r w:rsidR="00BD3D5C">
                        <w:rPr>
                          <w:rFonts w:asciiTheme="majorHAnsi" w:hAnsiTheme="majorHAnsi" w:cs="Arial"/>
                          <w:color w:val="0D0D0D" w:themeColor="text1" w:themeTint="F2"/>
                          <w:szCs w:val="22"/>
                          <w:lang w:val="es-ES_tradnl"/>
                        </w:rPr>
                        <w:t>IZ TORRES</w:t>
                      </w:r>
                    </w:p>
                    <w:bookmarkEnd w:id="1"/>
                    <w:p w14:paraId="35068D0D" w14:textId="3759F2D1" w:rsidR="00BD3D5C" w:rsidRPr="0010736F" w:rsidRDefault="00BD3D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BD3D5C" w:rsidRPr="00AE5488" w:rsidRDefault="00BD3D5C" w:rsidP="007A5817">
                      <w:pPr>
                        <w:rPr>
                          <w:color w:val="0D0D0D" w:themeColor="text1" w:themeTint="F2"/>
                          <w:lang w:val="es-ES_tradnl"/>
                        </w:rPr>
                      </w:pPr>
                    </w:p>
                  </w:txbxContent>
                </v:textbox>
              </v:shape>
            </w:pict>
          </mc:Fallback>
        </mc:AlternateContent>
      </w:r>
      <w:r w:rsidR="004E2649" w:rsidRPr="008C2F9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F6E0BD" w:rsidR="00BD3D5C" w:rsidRPr="00D01F81" w:rsidRDefault="00BD3D5C" w:rsidP="007A5817">
                            <w:pPr>
                              <w:spacing w:line="276" w:lineRule="auto"/>
                              <w:jc w:val="right"/>
                              <w:rPr>
                                <w:rFonts w:asciiTheme="minorHAnsi" w:hAnsiTheme="minorHAnsi"/>
                                <w:color w:val="FFFFFF" w:themeColor="background1"/>
                                <w:sz w:val="22"/>
                                <w:lang w:val="es-419"/>
                              </w:rPr>
                            </w:pPr>
                            <w:r w:rsidRPr="00D01F81">
                              <w:rPr>
                                <w:rFonts w:asciiTheme="minorHAnsi" w:hAnsiTheme="minorHAnsi"/>
                                <w:color w:val="FFFFFF" w:themeColor="background1"/>
                                <w:sz w:val="22"/>
                                <w:lang w:val="es-419"/>
                              </w:rPr>
                              <w:t>OEA/</w:t>
                            </w:r>
                            <w:proofErr w:type="spellStart"/>
                            <w:r w:rsidRPr="00D01F81">
                              <w:rPr>
                                <w:rFonts w:asciiTheme="minorHAnsi" w:hAnsiTheme="minorHAnsi"/>
                                <w:color w:val="FFFFFF" w:themeColor="background1"/>
                                <w:sz w:val="22"/>
                                <w:lang w:val="es-419"/>
                              </w:rPr>
                              <w:t>Ser.L</w:t>
                            </w:r>
                            <w:proofErr w:type="spellEnd"/>
                            <w:r w:rsidRPr="00D01F81">
                              <w:rPr>
                                <w:rFonts w:asciiTheme="minorHAnsi" w:hAnsiTheme="minorHAnsi"/>
                                <w:color w:val="FFFFFF" w:themeColor="background1"/>
                                <w:sz w:val="22"/>
                                <w:lang w:val="es-419"/>
                              </w:rPr>
                              <w:t>/V/II</w:t>
                            </w:r>
                          </w:p>
                          <w:p w14:paraId="6A41611B" w14:textId="488C0DF3" w:rsidR="00BD3D5C" w:rsidRPr="00D01F81" w:rsidRDefault="00BD3D5C" w:rsidP="007A5817">
                            <w:pPr>
                              <w:spacing w:line="276" w:lineRule="auto"/>
                              <w:jc w:val="right"/>
                              <w:rPr>
                                <w:rFonts w:asciiTheme="minorHAnsi" w:hAnsiTheme="minorHAnsi"/>
                                <w:color w:val="FFFFFF" w:themeColor="background1"/>
                                <w:sz w:val="22"/>
                                <w:lang w:val="es-419"/>
                              </w:rPr>
                            </w:pPr>
                            <w:r w:rsidRPr="00D01F81">
                              <w:rPr>
                                <w:rFonts w:asciiTheme="minorHAnsi" w:hAnsiTheme="minorHAnsi"/>
                                <w:color w:val="FFFFFF" w:themeColor="background1"/>
                                <w:sz w:val="22"/>
                                <w:lang w:val="es-419"/>
                              </w:rPr>
                              <w:t xml:space="preserve">Doc. </w:t>
                            </w:r>
                            <w:r w:rsidR="00751A1B" w:rsidRPr="00D01F81">
                              <w:rPr>
                                <w:rFonts w:asciiTheme="minorHAnsi" w:hAnsiTheme="minorHAnsi"/>
                                <w:color w:val="FFFFFF" w:themeColor="background1"/>
                                <w:sz w:val="22"/>
                                <w:lang w:val="es-419"/>
                              </w:rPr>
                              <w:t>285</w:t>
                            </w:r>
                          </w:p>
                          <w:p w14:paraId="69373ED2" w14:textId="02FD2D21" w:rsidR="00BD3D5C" w:rsidRPr="001B4C00" w:rsidRDefault="00751A1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octubre</w:t>
                            </w:r>
                            <w:r w:rsidR="00BD3D5C" w:rsidRPr="001B4C00">
                              <w:rPr>
                                <w:rFonts w:asciiTheme="minorHAnsi" w:hAnsiTheme="minorHAnsi"/>
                                <w:color w:val="FFFFFF" w:themeColor="background1"/>
                                <w:sz w:val="22"/>
                                <w:lang w:val="es-ES"/>
                              </w:rPr>
                              <w:t xml:space="preserve"> 20</w:t>
                            </w:r>
                            <w:r w:rsidR="00880760">
                              <w:rPr>
                                <w:rFonts w:asciiTheme="minorHAnsi" w:hAnsiTheme="minorHAnsi"/>
                                <w:color w:val="FFFFFF" w:themeColor="background1"/>
                                <w:sz w:val="22"/>
                                <w:lang w:val="es-ES"/>
                              </w:rPr>
                              <w:t>21</w:t>
                            </w:r>
                          </w:p>
                          <w:p w14:paraId="0771DB5B" w14:textId="77777777" w:rsidR="00BD3D5C" w:rsidRPr="001B4C00" w:rsidRDefault="00BD3D5C"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F6E0BD" w:rsidR="00BD3D5C" w:rsidRPr="00D01F81" w:rsidRDefault="00BD3D5C" w:rsidP="007A5817">
                      <w:pPr>
                        <w:spacing w:line="276" w:lineRule="auto"/>
                        <w:jc w:val="right"/>
                        <w:rPr>
                          <w:rFonts w:asciiTheme="minorHAnsi" w:hAnsiTheme="minorHAnsi"/>
                          <w:color w:val="FFFFFF" w:themeColor="background1"/>
                          <w:sz w:val="22"/>
                          <w:lang w:val="es-419"/>
                        </w:rPr>
                      </w:pPr>
                      <w:r w:rsidRPr="00D01F81">
                        <w:rPr>
                          <w:rFonts w:asciiTheme="minorHAnsi" w:hAnsiTheme="minorHAnsi"/>
                          <w:color w:val="FFFFFF" w:themeColor="background1"/>
                          <w:sz w:val="22"/>
                          <w:lang w:val="es-419"/>
                        </w:rPr>
                        <w:t>OEA/Ser.L/V/II</w:t>
                      </w:r>
                    </w:p>
                    <w:p w14:paraId="6A41611B" w14:textId="488C0DF3" w:rsidR="00BD3D5C" w:rsidRPr="00D01F81" w:rsidRDefault="00BD3D5C" w:rsidP="007A5817">
                      <w:pPr>
                        <w:spacing w:line="276" w:lineRule="auto"/>
                        <w:jc w:val="right"/>
                        <w:rPr>
                          <w:rFonts w:asciiTheme="minorHAnsi" w:hAnsiTheme="minorHAnsi"/>
                          <w:color w:val="FFFFFF" w:themeColor="background1"/>
                          <w:sz w:val="22"/>
                          <w:lang w:val="es-419"/>
                        </w:rPr>
                      </w:pPr>
                      <w:r w:rsidRPr="00D01F81">
                        <w:rPr>
                          <w:rFonts w:asciiTheme="minorHAnsi" w:hAnsiTheme="minorHAnsi"/>
                          <w:color w:val="FFFFFF" w:themeColor="background1"/>
                          <w:sz w:val="22"/>
                          <w:lang w:val="es-419"/>
                        </w:rPr>
                        <w:t xml:space="preserve">Doc. </w:t>
                      </w:r>
                      <w:r w:rsidR="00751A1B" w:rsidRPr="00D01F81">
                        <w:rPr>
                          <w:rFonts w:asciiTheme="minorHAnsi" w:hAnsiTheme="minorHAnsi"/>
                          <w:color w:val="FFFFFF" w:themeColor="background1"/>
                          <w:sz w:val="22"/>
                          <w:lang w:val="es-419"/>
                        </w:rPr>
                        <w:t>285</w:t>
                      </w:r>
                    </w:p>
                    <w:p w14:paraId="69373ED2" w14:textId="02FD2D21" w:rsidR="00BD3D5C" w:rsidRPr="001B4C00" w:rsidRDefault="00751A1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octubre</w:t>
                      </w:r>
                      <w:r w:rsidR="00BD3D5C" w:rsidRPr="001B4C00">
                        <w:rPr>
                          <w:rFonts w:asciiTheme="minorHAnsi" w:hAnsiTheme="minorHAnsi"/>
                          <w:color w:val="FFFFFF" w:themeColor="background1"/>
                          <w:sz w:val="22"/>
                          <w:lang w:val="es-ES"/>
                        </w:rPr>
                        <w:t xml:space="preserve"> 20</w:t>
                      </w:r>
                      <w:r w:rsidR="00880760">
                        <w:rPr>
                          <w:rFonts w:asciiTheme="minorHAnsi" w:hAnsiTheme="minorHAnsi"/>
                          <w:color w:val="FFFFFF" w:themeColor="background1"/>
                          <w:sz w:val="22"/>
                          <w:lang w:val="es-ES"/>
                        </w:rPr>
                        <w:t>21</w:t>
                      </w:r>
                    </w:p>
                    <w:p w14:paraId="0771DB5B" w14:textId="77777777" w:rsidR="00BD3D5C" w:rsidRPr="001B4C00" w:rsidRDefault="00BD3D5C"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5FE3AB87"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3C383BC0" w14:textId="77777777" w:rsidR="00040C3A" w:rsidRPr="008C2F9C" w:rsidRDefault="00040C3A" w:rsidP="00AD16FE">
      <w:pPr>
        <w:tabs>
          <w:tab w:val="center" w:pos="5400"/>
        </w:tabs>
        <w:suppressAutoHyphens/>
        <w:jc w:val="center"/>
        <w:rPr>
          <w:rFonts w:asciiTheme="majorHAnsi" w:hAnsiTheme="majorHAnsi" w:cs="Arial"/>
          <w:sz w:val="22"/>
          <w:szCs w:val="22"/>
          <w:lang w:val="es-ES"/>
        </w:rPr>
      </w:pPr>
    </w:p>
    <w:p w14:paraId="54590931"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76C291D6"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2161B44F"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3C4EEE07"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3B0E4647" w14:textId="77777777" w:rsidR="005128E4" w:rsidRPr="008C2F9C" w:rsidRDefault="005128E4" w:rsidP="00AD16FE">
      <w:pPr>
        <w:tabs>
          <w:tab w:val="center" w:pos="5400"/>
        </w:tabs>
        <w:suppressAutoHyphens/>
        <w:jc w:val="center"/>
        <w:rPr>
          <w:rFonts w:asciiTheme="majorHAnsi" w:hAnsiTheme="majorHAnsi"/>
          <w:sz w:val="22"/>
          <w:szCs w:val="22"/>
          <w:lang w:val="es-ES"/>
        </w:rPr>
      </w:pPr>
    </w:p>
    <w:p w14:paraId="2DAAF36D"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12496A14" w14:textId="77777777" w:rsidR="005128E4" w:rsidRPr="008C2F9C" w:rsidRDefault="005128E4" w:rsidP="00AD16FE">
      <w:pPr>
        <w:tabs>
          <w:tab w:val="center" w:pos="5400"/>
        </w:tabs>
        <w:suppressAutoHyphens/>
        <w:jc w:val="center"/>
        <w:rPr>
          <w:rFonts w:asciiTheme="majorHAnsi" w:hAnsiTheme="majorHAnsi"/>
          <w:sz w:val="22"/>
          <w:szCs w:val="22"/>
          <w:lang w:val="es-ES"/>
        </w:rPr>
      </w:pPr>
    </w:p>
    <w:p w14:paraId="25772DB3" w14:textId="77777777" w:rsidR="005128E4" w:rsidRPr="008C2F9C" w:rsidRDefault="005128E4" w:rsidP="00AD16FE">
      <w:pPr>
        <w:tabs>
          <w:tab w:val="center" w:pos="5400"/>
        </w:tabs>
        <w:suppressAutoHyphens/>
        <w:jc w:val="center"/>
        <w:rPr>
          <w:rFonts w:asciiTheme="majorHAnsi" w:hAnsiTheme="majorHAnsi"/>
          <w:sz w:val="22"/>
          <w:szCs w:val="22"/>
          <w:lang w:val="es-ES"/>
        </w:rPr>
      </w:pPr>
    </w:p>
    <w:p w14:paraId="6820FADA" w14:textId="77777777" w:rsidR="005128E4" w:rsidRPr="008C2F9C" w:rsidRDefault="005128E4" w:rsidP="00AD16FE">
      <w:pPr>
        <w:tabs>
          <w:tab w:val="center" w:pos="5400"/>
        </w:tabs>
        <w:suppressAutoHyphens/>
        <w:jc w:val="center"/>
        <w:rPr>
          <w:rFonts w:asciiTheme="majorHAnsi" w:hAnsiTheme="majorHAnsi"/>
          <w:sz w:val="22"/>
          <w:szCs w:val="22"/>
          <w:lang w:val="es-ES"/>
        </w:rPr>
      </w:pPr>
    </w:p>
    <w:p w14:paraId="54445A55"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5D4A4040" w14:textId="77777777" w:rsidR="00040C3A" w:rsidRPr="008C2F9C" w:rsidRDefault="00040C3A" w:rsidP="00AD16FE">
      <w:pPr>
        <w:tabs>
          <w:tab w:val="center" w:pos="5400"/>
        </w:tabs>
        <w:suppressAutoHyphens/>
        <w:jc w:val="center"/>
        <w:rPr>
          <w:rFonts w:asciiTheme="majorHAnsi" w:hAnsiTheme="majorHAnsi"/>
          <w:sz w:val="22"/>
          <w:szCs w:val="22"/>
          <w:lang w:val="es-ES"/>
        </w:rPr>
      </w:pPr>
    </w:p>
    <w:p w14:paraId="048FBB22"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190ABFB3"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4C690048"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733CA438"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7874DEEB"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3698D0D6"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1F907823"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045D9AC1"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16068EE5"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14A4A430"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0B3B735F"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02C5C441"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7806A2B0"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319C392B"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514A0182" w14:textId="77777777" w:rsidR="00A50FCF" w:rsidRPr="008C2F9C" w:rsidRDefault="0090270B" w:rsidP="00AD16FE">
      <w:pPr>
        <w:tabs>
          <w:tab w:val="center" w:pos="5400"/>
        </w:tabs>
        <w:suppressAutoHyphens/>
        <w:jc w:val="center"/>
        <w:rPr>
          <w:rFonts w:asciiTheme="majorHAnsi" w:hAnsiTheme="majorHAnsi"/>
          <w:sz w:val="18"/>
          <w:szCs w:val="22"/>
          <w:lang w:val="es-ES"/>
        </w:rPr>
      </w:pPr>
      <w:r w:rsidRPr="008C2F9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E3EAF16" w:rsidR="00BD3D5C" w:rsidRPr="00890650" w:rsidRDefault="00BD3D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51A1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751A1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437465">
                              <w:rPr>
                                <w:rFonts w:asciiTheme="majorHAnsi" w:hAnsiTheme="majorHAnsi"/>
                                <w:color w:val="0D0D0D" w:themeColor="text1" w:themeTint="F2"/>
                                <w:sz w:val="18"/>
                                <w:szCs w:val="22"/>
                                <w:lang w:val="es-ES"/>
                              </w:rPr>
                              <w:t>21</w:t>
                            </w:r>
                            <w:r w:rsidR="005F4418">
                              <w:rPr>
                                <w:rFonts w:asciiTheme="majorHAnsi" w:hAnsiTheme="majorHAnsi"/>
                                <w:color w:val="0D0D0D" w:themeColor="text1" w:themeTint="F2"/>
                                <w:sz w:val="18"/>
                                <w:szCs w:val="22"/>
                                <w:lang w:val="es-ES"/>
                              </w:rPr>
                              <w:t>.</w:t>
                            </w:r>
                          </w:p>
                          <w:p w14:paraId="4BDF3581" w14:textId="77777777" w:rsidR="00BD3D5C" w:rsidRPr="007A5817" w:rsidRDefault="00BD3D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D3D5C" w:rsidRPr="00167A34" w:rsidRDefault="00BD3D5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E3EAF16" w:rsidR="00BD3D5C" w:rsidRPr="00890650" w:rsidRDefault="00BD3D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51A1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751A1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437465">
                        <w:rPr>
                          <w:rFonts w:asciiTheme="majorHAnsi" w:hAnsiTheme="majorHAnsi"/>
                          <w:color w:val="0D0D0D" w:themeColor="text1" w:themeTint="F2"/>
                          <w:sz w:val="18"/>
                          <w:szCs w:val="22"/>
                          <w:lang w:val="es-ES"/>
                        </w:rPr>
                        <w:t>21</w:t>
                      </w:r>
                      <w:r w:rsidR="005F4418">
                        <w:rPr>
                          <w:rFonts w:asciiTheme="majorHAnsi" w:hAnsiTheme="majorHAnsi"/>
                          <w:color w:val="0D0D0D" w:themeColor="text1" w:themeTint="F2"/>
                          <w:sz w:val="18"/>
                          <w:szCs w:val="22"/>
                          <w:lang w:val="es-ES"/>
                        </w:rPr>
                        <w:t>.</w:t>
                      </w:r>
                    </w:p>
                    <w:p w14:paraId="4BDF3581" w14:textId="77777777" w:rsidR="00BD3D5C" w:rsidRPr="007A5817" w:rsidRDefault="00BD3D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D3D5C" w:rsidRPr="00167A34" w:rsidRDefault="00BD3D5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7929D1FD"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5469D0BE"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7A79F059"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330672AE" w14:textId="77777777" w:rsidR="00A50FCF" w:rsidRPr="008C2F9C" w:rsidRDefault="0090270B" w:rsidP="00AD16FE">
      <w:pPr>
        <w:tabs>
          <w:tab w:val="center" w:pos="5400"/>
        </w:tabs>
        <w:suppressAutoHyphens/>
        <w:jc w:val="center"/>
        <w:rPr>
          <w:rFonts w:asciiTheme="majorHAnsi" w:hAnsiTheme="majorHAnsi"/>
          <w:sz w:val="18"/>
          <w:szCs w:val="22"/>
          <w:lang w:val="es-ES"/>
        </w:rPr>
      </w:pPr>
      <w:r w:rsidRPr="008C2F9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0C2DD64" w:rsidR="00BD3D5C" w:rsidRPr="007B05C4" w:rsidRDefault="00BD3D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1A1B" w:rsidRPr="00751A1B">
                              <w:rPr>
                                <w:rFonts w:asciiTheme="majorHAnsi" w:hAnsiTheme="majorHAnsi"/>
                                <w:color w:val="595959" w:themeColor="text1" w:themeTint="A6"/>
                                <w:sz w:val="18"/>
                                <w:szCs w:val="18"/>
                                <w:lang w:val="pt-BR"/>
                              </w:rPr>
                              <w:t>276</w:t>
                            </w:r>
                            <w:r w:rsidRPr="00751A1B">
                              <w:rPr>
                                <w:rFonts w:asciiTheme="majorHAnsi" w:hAnsiTheme="majorHAnsi"/>
                                <w:color w:val="595959" w:themeColor="text1" w:themeTint="A6"/>
                                <w:sz w:val="18"/>
                                <w:szCs w:val="18"/>
                                <w:lang w:val="pt-BR"/>
                              </w:rPr>
                              <w:t>/</w:t>
                            </w:r>
                            <w:r w:rsidR="00751A1B" w:rsidRPr="00751A1B">
                              <w:rPr>
                                <w:rFonts w:asciiTheme="majorHAnsi" w:hAnsiTheme="majorHAnsi"/>
                                <w:color w:val="595959" w:themeColor="text1" w:themeTint="A6"/>
                                <w:sz w:val="18"/>
                                <w:szCs w:val="18"/>
                                <w:lang w:val="pt-BR"/>
                              </w:rPr>
                              <w:t>21</w:t>
                            </w:r>
                            <w:r w:rsidRPr="00751A1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51A1B" w:rsidRPr="00751A1B">
                              <w:rPr>
                                <w:rFonts w:asciiTheme="majorHAnsi" w:hAnsiTheme="majorHAnsi"/>
                                <w:color w:val="595959" w:themeColor="text1" w:themeTint="A6"/>
                                <w:sz w:val="18"/>
                                <w:szCs w:val="18"/>
                                <w:lang w:val="es-ES_tradnl"/>
                              </w:rPr>
                              <w:t>Ángel Domingo Ortiz Morales y Ed</w:t>
                            </w:r>
                            <w:r w:rsidR="005B4895">
                              <w:rPr>
                                <w:rFonts w:asciiTheme="majorHAnsi" w:hAnsiTheme="majorHAnsi"/>
                                <w:color w:val="595959" w:themeColor="text1" w:themeTint="A6"/>
                                <w:sz w:val="18"/>
                                <w:szCs w:val="18"/>
                                <w:lang w:val="es-ES_tradnl"/>
                              </w:rPr>
                              <w:t>v</w:t>
                            </w:r>
                            <w:r w:rsidR="00751A1B" w:rsidRPr="00751A1B">
                              <w:rPr>
                                <w:rFonts w:asciiTheme="majorHAnsi" w:hAnsiTheme="majorHAnsi"/>
                                <w:color w:val="595959" w:themeColor="text1" w:themeTint="A6"/>
                                <w:sz w:val="18"/>
                                <w:szCs w:val="18"/>
                                <w:lang w:val="es-ES_tradnl"/>
                              </w:rPr>
                              <w:t>in Ortiz Torres</w:t>
                            </w:r>
                            <w:r w:rsidR="00751A1B">
                              <w:rPr>
                                <w:rFonts w:asciiTheme="majorHAnsi" w:hAnsiTheme="majorHAnsi"/>
                                <w:color w:val="595959" w:themeColor="text1" w:themeTint="A6"/>
                                <w:sz w:val="18"/>
                                <w:szCs w:val="18"/>
                                <w:lang w:val="es-ES_tradnl"/>
                              </w:rPr>
                              <w:t>. Costa Rica</w:t>
                            </w:r>
                            <w:r w:rsidRPr="00890650">
                              <w:rPr>
                                <w:rFonts w:asciiTheme="majorHAnsi" w:hAnsiTheme="majorHAnsi"/>
                                <w:color w:val="595959" w:themeColor="text1" w:themeTint="A6"/>
                                <w:sz w:val="18"/>
                                <w:szCs w:val="18"/>
                                <w:lang w:val="es-ES_tradnl"/>
                              </w:rPr>
                              <w:t xml:space="preserve">. </w:t>
                            </w:r>
                            <w:r w:rsidR="00751A1B">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0C2DD64" w:rsidR="00BD3D5C" w:rsidRPr="007B05C4" w:rsidRDefault="00BD3D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1A1B" w:rsidRPr="00751A1B">
                        <w:rPr>
                          <w:rFonts w:asciiTheme="majorHAnsi" w:hAnsiTheme="majorHAnsi"/>
                          <w:color w:val="595959" w:themeColor="text1" w:themeTint="A6"/>
                          <w:sz w:val="18"/>
                          <w:szCs w:val="18"/>
                          <w:lang w:val="pt-BR"/>
                        </w:rPr>
                        <w:t>276</w:t>
                      </w:r>
                      <w:r w:rsidRPr="00751A1B">
                        <w:rPr>
                          <w:rFonts w:asciiTheme="majorHAnsi" w:hAnsiTheme="majorHAnsi"/>
                          <w:color w:val="595959" w:themeColor="text1" w:themeTint="A6"/>
                          <w:sz w:val="18"/>
                          <w:szCs w:val="18"/>
                          <w:lang w:val="pt-BR"/>
                        </w:rPr>
                        <w:t>/</w:t>
                      </w:r>
                      <w:r w:rsidR="00751A1B" w:rsidRPr="00751A1B">
                        <w:rPr>
                          <w:rFonts w:asciiTheme="majorHAnsi" w:hAnsiTheme="majorHAnsi"/>
                          <w:color w:val="595959" w:themeColor="text1" w:themeTint="A6"/>
                          <w:sz w:val="18"/>
                          <w:szCs w:val="18"/>
                          <w:lang w:val="pt-BR"/>
                        </w:rPr>
                        <w:t>21</w:t>
                      </w:r>
                      <w:r w:rsidRPr="00751A1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51A1B" w:rsidRPr="00751A1B">
                        <w:rPr>
                          <w:rFonts w:asciiTheme="majorHAnsi" w:hAnsiTheme="majorHAnsi"/>
                          <w:color w:val="595959" w:themeColor="text1" w:themeTint="A6"/>
                          <w:sz w:val="18"/>
                          <w:szCs w:val="18"/>
                          <w:lang w:val="es-ES_tradnl"/>
                        </w:rPr>
                        <w:t>Ángel Domingo Ortiz Morales y Ed</w:t>
                      </w:r>
                      <w:r w:rsidR="005B4895">
                        <w:rPr>
                          <w:rFonts w:asciiTheme="majorHAnsi" w:hAnsiTheme="majorHAnsi"/>
                          <w:color w:val="595959" w:themeColor="text1" w:themeTint="A6"/>
                          <w:sz w:val="18"/>
                          <w:szCs w:val="18"/>
                          <w:lang w:val="es-ES_tradnl"/>
                        </w:rPr>
                        <w:t>v</w:t>
                      </w:r>
                      <w:r w:rsidR="00751A1B" w:rsidRPr="00751A1B">
                        <w:rPr>
                          <w:rFonts w:asciiTheme="majorHAnsi" w:hAnsiTheme="majorHAnsi"/>
                          <w:color w:val="595959" w:themeColor="text1" w:themeTint="A6"/>
                          <w:sz w:val="18"/>
                          <w:szCs w:val="18"/>
                          <w:lang w:val="es-ES_tradnl"/>
                        </w:rPr>
                        <w:t>in Ortiz Torres</w:t>
                      </w:r>
                      <w:r w:rsidR="00751A1B">
                        <w:rPr>
                          <w:rFonts w:asciiTheme="majorHAnsi" w:hAnsiTheme="majorHAnsi"/>
                          <w:color w:val="595959" w:themeColor="text1" w:themeTint="A6"/>
                          <w:sz w:val="18"/>
                          <w:szCs w:val="18"/>
                          <w:lang w:val="es-ES_tradnl"/>
                        </w:rPr>
                        <w:t>. Costa Rica</w:t>
                      </w:r>
                      <w:r w:rsidRPr="00890650">
                        <w:rPr>
                          <w:rFonts w:asciiTheme="majorHAnsi" w:hAnsiTheme="majorHAnsi"/>
                          <w:color w:val="595959" w:themeColor="text1" w:themeTint="A6"/>
                          <w:sz w:val="18"/>
                          <w:szCs w:val="18"/>
                          <w:lang w:val="es-ES_tradnl"/>
                        </w:rPr>
                        <w:t xml:space="preserve">. </w:t>
                      </w:r>
                      <w:r w:rsidR="00751A1B">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C2F9C" w:rsidRDefault="00A50FCF" w:rsidP="00AD16FE">
      <w:pPr>
        <w:tabs>
          <w:tab w:val="center" w:pos="5400"/>
        </w:tabs>
        <w:suppressAutoHyphens/>
        <w:jc w:val="center"/>
        <w:rPr>
          <w:rFonts w:asciiTheme="majorHAnsi" w:hAnsiTheme="majorHAnsi"/>
          <w:sz w:val="18"/>
          <w:szCs w:val="22"/>
          <w:lang w:val="es-ES"/>
        </w:rPr>
      </w:pPr>
    </w:p>
    <w:p w14:paraId="1DA07629" w14:textId="71DFB380" w:rsidR="0090270B" w:rsidRPr="008C2F9C" w:rsidRDefault="00D306D1" w:rsidP="00AD16FE">
      <w:pPr>
        <w:tabs>
          <w:tab w:val="center" w:pos="5400"/>
        </w:tabs>
        <w:suppressAutoHyphens/>
        <w:jc w:val="center"/>
        <w:rPr>
          <w:rFonts w:asciiTheme="majorHAnsi" w:hAnsiTheme="majorHAnsi"/>
          <w:b/>
          <w:sz w:val="20"/>
          <w:lang w:val="es-ES"/>
        </w:rPr>
      </w:pPr>
      <w:r w:rsidRPr="008C2F9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E5F4F1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D3D5C" w:rsidRPr="004B7EB6" w:rsidRDefault="00BD3D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BD3D5C" w:rsidRPr="004B7EB6" w:rsidRDefault="00BD3D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DF6219F" w:rsidR="0070697F" w:rsidRPr="008C2F9C" w:rsidRDefault="00751A1B" w:rsidP="00AD16FE">
      <w:pPr>
        <w:tabs>
          <w:tab w:val="center" w:pos="5400"/>
        </w:tabs>
        <w:suppressAutoHyphens/>
        <w:jc w:val="center"/>
        <w:rPr>
          <w:rFonts w:asciiTheme="majorHAnsi" w:hAnsiTheme="majorHAnsi"/>
          <w:b/>
          <w:sz w:val="20"/>
          <w:lang w:val="es-ES"/>
        </w:rPr>
        <w:sectPr w:rsidR="0070697F" w:rsidRPr="008C2F9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C2F9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A51273C">
                <wp:simplePos x="0" y="0"/>
                <wp:positionH relativeFrom="column">
                  <wp:posOffset>1327785</wp:posOffset>
                </wp:positionH>
                <wp:positionV relativeFrom="paragraph">
                  <wp:posOffset>585924</wp:posOffset>
                </wp:positionV>
                <wp:extent cx="4096385" cy="57694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576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D3D5C" w:rsidRPr="00D72DC6" w:rsidRDefault="00BD3D5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6361D77">
                                  <wp:extent cx="1725385" cy="4438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38138" cy="447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6.15pt;width:322.55pt;height:4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SjwIAAJEFAAAOAAAAZHJzL2Uyb0RvYy54bWysVMFuGyEQvVfqPyDuzdqJ7cRW1pGbKFWl&#10;KInqVDljFmJUYChg77pf34Hdtd00l1S97ALzZoZ5vJnLq8ZoshU+KLAlHZ4MKBGWQ6XsS0m/P91+&#10;uqAkRGYrpsGKku5EoFfzjx8uazcTp7AGXQlPMIgNs9qVdB2jmxVF4GthWDgBJywaJXjDIm79S1F5&#10;VmN0o4vTwWBS1OAr54GLEPD0pjXSeY4vpeDxQcogItElxbvF/PX5u0rfYn7JZi+eubXi3TXYP9zC&#10;MGUx6T7UDYuMbLz6K5RR3EMAGU84mAKkVFzkGrCa4eBVNcs1cyLXguQEt6cp/L+w/H776ImqSjql&#10;xDKDT/Qkmkg+Q0OmiZ3ahRmClg5hscFjfOX+POBhKrqR3qQ/lkPQjjzv9tymYBwPR4Pp5OxiTAlH&#10;2/h8Mh2dpTDFwdv5EL8IMCQtSurx7TKlbHsXYgvtISlZAK2qW6V13iS9iGvtyZbhS+uY74jB/0Bp&#10;S+qSTs7GgxzYQnJvI2ubwoismC5dqrytMK/iTouE0fabkMhYLvSN3IxzYff5MzqhJKZ6j2OHP9zq&#10;Pc5tHeiRM4ONe2ejLPhcfW6xA2XVj54y2eLxbY7qTsvYrJoslXEvgBVUO9SFh7avguO3Ch/vjoX4&#10;yDw2EkoBh0N8wI/UgORDt6JkDf7XW+cJj/pGKyU1NmZJw88N84IS/dWi8qfD0Sh1ct6MxuenuPHH&#10;ltWxxW7MNaAihjiGHM/LhI+6X0oP5hlnyCJlRROzHHOXNPbL69iOC5xBXCwWGYS961i8s0vHU+jE&#10;cpLmU/PMvOv0G1H599C3MJu9knGLTZ4WFpsIUmWNJ55bVjv+se9zl3QzKg2W431GHSbp/DcAAAD/&#10;/wMAUEsDBBQABgAIAAAAIQBmRvyA4QAAAAoBAAAPAAAAZHJzL2Rvd25yZXYueG1sTI9NT4NAEIbv&#10;Jv6HzZh4MXYpWEuRpTHGj8SbpWq8bdkRiOwsYbeA/97xpMfJ++R9n8m3s+3EiINvHSlYLiIQSJUz&#10;LdUK9uXDZQrCB01Gd45QwTd62BanJ7nOjJvoBcddqAWXkM+0giaEPpPSVw1a7ReuR+Ls0w1WBz6H&#10;WppBT1xuOxlH0bW0uiVeaHSPdw1WX7ujVfBxUb8/+/nxdUpWSX//NJbrN1MqdX42396ACDiHPxh+&#10;9VkdCnY6uCMZLzoFcbRZMqpgEycgGEhXVzGIA5NpEoMscvn/heIHAAD//wMAUEsBAi0AFAAGAAgA&#10;AAAhALaDOJL+AAAA4QEAABMAAAAAAAAAAAAAAAAAAAAAAFtDb250ZW50X1R5cGVzXS54bWxQSwEC&#10;LQAUAAYACAAAACEAOP0h/9YAAACUAQAACwAAAAAAAAAAAAAAAAAvAQAAX3JlbHMvLnJlbHNQSwEC&#10;LQAUAAYACAAAACEA/y1sko8CAACRBQAADgAAAAAAAAAAAAAAAAAuAgAAZHJzL2Uyb0RvYy54bWxQ&#10;SwECLQAUAAYACAAAACEAZkb8gOEAAAAKAQAADwAAAAAAAAAAAAAAAADpBAAAZHJzL2Rvd25yZXYu&#10;eG1sUEsFBgAAAAAEAAQA8wAAAPcFAAAAAA==&#10;" fillcolor="white [3201]" stroked="f" strokeweight=".5pt">
                <v:textbox>
                  <w:txbxContent>
                    <w:p w14:paraId="2A1ECD3C" w14:textId="77777777" w:rsidR="00BD3D5C" w:rsidRPr="00D72DC6" w:rsidRDefault="00BD3D5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6361D77">
                            <wp:extent cx="1725385" cy="4438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38138" cy="447136"/>
                                    </a:xfrm>
                                    <a:prstGeom prst="rect">
                                      <a:avLst/>
                                    </a:prstGeom>
                                    <a:noFill/>
                                    <a:ln>
                                      <a:noFill/>
                                    </a:ln>
                                  </pic:spPr>
                                </pic:pic>
                              </a:graphicData>
                            </a:graphic>
                          </wp:inline>
                        </w:drawing>
                      </w:r>
                    </w:p>
                  </w:txbxContent>
                </v:textbox>
              </v:shape>
            </w:pict>
          </mc:Fallback>
        </mc:AlternateContent>
      </w:r>
      <w:r w:rsidR="004A6A54" w:rsidRPr="008C2F9C">
        <w:rPr>
          <w:rFonts w:asciiTheme="majorHAnsi" w:hAnsiTheme="majorHAnsi"/>
          <w:b/>
          <w:sz w:val="20"/>
          <w:lang w:val="es-ES"/>
        </w:rPr>
        <w:tab/>
      </w:r>
    </w:p>
    <w:p w14:paraId="376DDC8B" w14:textId="2613207F" w:rsidR="003239B8" w:rsidRPr="009E50F0" w:rsidRDefault="003239B8" w:rsidP="009E50F0">
      <w:pPr>
        <w:pStyle w:val="ListParagraph"/>
        <w:numPr>
          <w:ilvl w:val="0"/>
          <w:numId w:val="61"/>
        </w:numPr>
        <w:jc w:val="both"/>
        <w:rPr>
          <w:rFonts w:asciiTheme="majorHAnsi" w:hAnsiTheme="majorHAnsi"/>
          <w:b/>
          <w:bCs/>
          <w:sz w:val="20"/>
          <w:szCs w:val="20"/>
          <w:lang w:val="es-ES"/>
        </w:rPr>
      </w:pPr>
      <w:r w:rsidRPr="009E50F0">
        <w:rPr>
          <w:rFonts w:asciiTheme="majorHAnsi" w:hAnsiTheme="majorHAnsi"/>
          <w:b/>
          <w:bCs/>
          <w:sz w:val="20"/>
          <w:szCs w:val="20"/>
          <w:lang w:val="es-ES"/>
        </w:rPr>
        <w:lastRenderedPageBreak/>
        <w:t xml:space="preserve">DATOS DE LA PETICIÓN </w:t>
      </w:r>
    </w:p>
    <w:p w14:paraId="7D183E18" w14:textId="77777777" w:rsidR="009E50F0" w:rsidRPr="009E50F0" w:rsidRDefault="009E50F0" w:rsidP="009E50F0">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C2F9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8C2F9C" w:rsidRDefault="00D77503"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Parte peticionaria</w:t>
            </w:r>
          </w:p>
        </w:tc>
        <w:tc>
          <w:tcPr>
            <w:tcW w:w="6570" w:type="dxa"/>
            <w:vAlign w:val="center"/>
          </w:tcPr>
          <w:p w14:paraId="3C5315D8" w14:textId="0BB7603E" w:rsidR="003239B8" w:rsidRPr="008C2F9C" w:rsidRDefault="00B10928" w:rsidP="00AD16FE">
            <w:pPr>
              <w:jc w:val="both"/>
              <w:rPr>
                <w:rFonts w:ascii="Cambria" w:hAnsi="Cambria"/>
                <w:bCs/>
                <w:sz w:val="20"/>
                <w:szCs w:val="20"/>
                <w:lang w:val="es-ES"/>
              </w:rPr>
            </w:pPr>
            <w:r w:rsidRPr="008C2F9C">
              <w:rPr>
                <w:rFonts w:ascii="Cambria" w:hAnsi="Cambria"/>
                <w:bCs/>
                <w:sz w:val="20"/>
                <w:szCs w:val="20"/>
                <w:lang w:val="es-ES"/>
              </w:rPr>
              <w:t>Roy Rodríguez Araya</w:t>
            </w:r>
          </w:p>
        </w:tc>
      </w:tr>
      <w:tr w:rsidR="003239B8" w:rsidRPr="005F4418"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8C2F9C" w:rsidRDefault="002355A9"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Presunta víctima</w:t>
            </w:r>
          </w:p>
        </w:tc>
        <w:tc>
          <w:tcPr>
            <w:tcW w:w="6570" w:type="dxa"/>
            <w:vAlign w:val="center"/>
          </w:tcPr>
          <w:p w14:paraId="4AEBF59E" w14:textId="53D0F01B" w:rsidR="003239B8" w:rsidRPr="008C2F9C" w:rsidRDefault="00B10928" w:rsidP="00AD16FE">
            <w:pPr>
              <w:jc w:val="both"/>
              <w:rPr>
                <w:rFonts w:ascii="Cambria" w:hAnsi="Cambria"/>
                <w:bCs/>
                <w:sz w:val="20"/>
                <w:szCs w:val="20"/>
                <w:lang w:val="es-ES"/>
              </w:rPr>
            </w:pPr>
            <w:r w:rsidRPr="008C2F9C">
              <w:rPr>
                <w:rFonts w:ascii="Cambria" w:hAnsi="Cambria"/>
                <w:bCs/>
                <w:sz w:val="20"/>
                <w:szCs w:val="20"/>
                <w:lang w:val="es-ES"/>
              </w:rPr>
              <w:t xml:space="preserve">Ángel Domingo Ortiz Morales y </w:t>
            </w:r>
            <w:r w:rsidR="00BE0AD5" w:rsidRPr="008C2F9C">
              <w:rPr>
                <w:rFonts w:ascii="Cambria" w:hAnsi="Cambria"/>
                <w:bCs/>
                <w:sz w:val="20"/>
                <w:szCs w:val="20"/>
                <w:lang w:val="es-ES"/>
              </w:rPr>
              <w:t>Ed</w:t>
            </w:r>
            <w:r w:rsidR="005B4895">
              <w:rPr>
                <w:rFonts w:ascii="Cambria" w:hAnsi="Cambria"/>
                <w:bCs/>
                <w:sz w:val="20"/>
                <w:szCs w:val="20"/>
                <w:lang w:val="es-ES"/>
              </w:rPr>
              <w:t>v</w:t>
            </w:r>
            <w:r w:rsidR="00BE0AD5" w:rsidRPr="008C2F9C">
              <w:rPr>
                <w:rFonts w:ascii="Cambria" w:hAnsi="Cambria"/>
                <w:bCs/>
                <w:sz w:val="20"/>
                <w:szCs w:val="20"/>
                <w:lang w:val="es-ES"/>
              </w:rPr>
              <w:t>in</w:t>
            </w:r>
            <w:r w:rsidRPr="008C2F9C">
              <w:rPr>
                <w:rFonts w:ascii="Cambria" w:hAnsi="Cambria"/>
                <w:bCs/>
                <w:sz w:val="20"/>
                <w:szCs w:val="20"/>
                <w:lang w:val="es-ES"/>
              </w:rPr>
              <w:t xml:space="preserve"> Ortiz Torres</w:t>
            </w:r>
          </w:p>
        </w:tc>
      </w:tr>
      <w:tr w:rsidR="003239B8" w:rsidRPr="008C2F9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8C2F9C" w:rsidRDefault="00D77503"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Estado denunciado</w:t>
            </w:r>
          </w:p>
        </w:tc>
        <w:tc>
          <w:tcPr>
            <w:tcW w:w="6570" w:type="dxa"/>
            <w:vAlign w:val="center"/>
          </w:tcPr>
          <w:p w14:paraId="274C8A50" w14:textId="06B46E25" w:rsidR="003239B8" w:rsidRPr="008C2F9C" w:rsidRDefault="00B10928" w:rsidP="00AD16FE">
            <w:pPr>
              <w:jc w:val="both"/>
              <w:rPr>
                <w:rFonts w:ascii="Cambria" w:hAnsi="Cambria"/>
                <w:bCs/>
                <w:sz w:val="20"/>
                <w:szCs w:val="20"/>
                <w:lang w:val="es-ES"/>
              </w:rPr>
            </w:pPr>
            <w:r w:rsidRPr="008C2F9C">
              <w:rPr>
                <w:rFonts w:ascii="Cambria" w:hAnsi="Cambria"/>
                <w:bCs/>
                <w:sz w:val="20"/>
                <w:szCs w:val="20"/>
                <w:lang w:val="es-ES"/>
              </w:rPr>
              <w:t>Costa Rica</w:t>
            </w:r>
          </w:p>
        </w:tc>
      </w:tr>
      <w:tr w:rsidR="00223A29" w:rsidRPr="005F441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8C2F9C" w:rsidRDefault="001B3A00"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 xml:space="preserve">Derechos </w:t>
            </w:r>
            <w:r w:rsidR="00E4118C" w:rsidRPr="008C2F9C">
              <w:rPr>
                <w:rFonts w:ascii="Cambria" w:hAnsi="Cambria"/>
                <w:bCs/>
                <w:color w:val="FFFFFF" w:themeColor="background1"/>
                <w:sz w:val="20"/>
                <w:szCs w:val="20"/>
                <w:lang w:val="es-ES"/>
              </w:rPr>
              <w:t>invocados</w:t>
            </w:r>
          </w:p>
        </w:tc>
        <w:tc>
          <w:tcPr>
            <w:tcW w:w="6570" w:type="dxa"/>
            <w:vAlign w:val="center"/>
          </w:tcPr>
          <w:p w14:paraId="6DEE1EEB" w14:textId="4CB066A0" w:rsidR="00223A29" w:rsidRPr="008C2F9C" w:rsidRDefault="00BF514A" w:rsidP="00AD16FE">
            <w:pPr>
              <w:jc w:val="both"/>
              <w:rPr>
                <w:rFonts w:ascii="Cambria" w:hAnsi="Cambria"/>
                <w:bCs/>
                <w:sz w:val="20"/>
                <w:szCs w:val="20"/>
                <w:lang w:val="es-ES"/>
              </w:rPr>
            </w:pPr>
            <w:r w:rsidRPr="008C2F9C">
              <w:rPr>
                <w:rFonts w:ascii="Cambria" w:hAnsi="Cambria"/>
                <w:bCs/>
                <w:sz w:val="20"/>
                <w:szCs w:val="20"/>
                <w:lang w:val="es-ES"/>
              </w:rPr>
              <w:t>Artículos</w:t>
            </w:r>
            <w:r w:rsidR="00EA6E8E" w:rsidRPr="008C2F9C">
              <w:rPr>
                <w:rFonts w:ascii="Cambria" w:hAnsi="Cambria"/>
                <w:bCs/>
                <w:sz w:val="20"/>
                <w:szCs w:val="20"/>
                <w:lang w:val="es-ES"/>
              </w:rPr>
              <w:t xml:space="preserve"> 7 (libertad personal), 8 (garantías judiciales) y 25 (protección judicial)</w:t>
            </w:r>
            <w:r w:rsidRPr="008C2F9C">
              <w:rPr>
                <w:rFonts w:ascii="Cambria" w:hAnsi="Cambria"/>
                <w:bCs/>
                <w:sz w:val="20"/>
                <w:szCs w:val="20"/>
                <w:lang w:val="es-ES"/>
              </w:rPr>
              <w:t xml:space="preserve"> de la Convención Americana sobre Derechos Humanos</w:t>
            </w:r>
            <w:r w:rsidRPr="008C2F9C">
              <w:rPr>
                <w:rStyle w:val="FootnoteReference"/>
                <w:rFonts w:ascii="Cambria" w:hAnsi="Cambria"/>
                <w:bCs/>
                <w:sz w:val="20"/>
                <w:szCs w:val="20"/>
                <w:lang w:val="es-ES"/>
              </w:rPr>
              <w:footnoteReference w:id="2"/>
            </w:r>
          </w:p>
        </w:tc>
      </w:tr>
    </w:tbl>
    <w:p w14:paraId="4FAC4B97" w14:textId="77777777" w:rsidR="009E50F0" w:rsidRDefault="009E50F0" w:rsidP="00AD16FE">
      <w:pPr>
        <w:ind w:firstLine="720"/>
        <w:jc w:val="both"/>
        <w:rPr>
          <w:rFonts w:asciiTheme="majorHAnsi" w:hAnsiTheme="majorHAnsi"/>
          <w:b/>
          <w:bCs/>
          <w:sz w:val="20"/>
          <w:szCs w:val="20"/>
          <w:lang w:val="es-ES"/>
        </w:rPr>
      </w:pPr>
    </w:p>
    <w:p w14:paraId="20263696" w14:textId="47C05A1A" w:rsidR="003239B8" w:rsidRPr="009E50F0" w:rsidRDefault="003239B8" w:rsidP="009E50F0">
      <w:pPr>
        <w:pStyle w:val="ListParagraph"/>
        <w:numPr>
          <w:ilvl w:val="0"/>
          <w:numId w:val="61"/>
        </w:numPr>
        <w:jc w:val="both"/>
        <w:rPr>
          <w:rFonts w:asciiTheme="majorHAnsi" w:hAnsiTheme="majorHAnsi"/>
          <w:b/>
          <w:bCs/>
          <w:sz w:val="20"/>
          <w:szCs w:val="20"/>
          <w:lang w:val="es-ES"/>
        </w:rPr>
      </w:pPr>
      <w:r w:rsidRPr="009E50F0">
        <w:rPr>
          <w:rFonts w:asciiTheme="majorHAnsi" w:hAnsiTheme="majorHAnsi"/>
          <w:b/>
          <w:bCs/>
          <w:sz w:val="20"/>
          <w:szCs w:val="20"/>
          <w:lang w:val="es-ES"/>
        </w:rPr>
        <w:t>TRÁMITE ANTE LA CIDH</w:t>
      </w:r>
      <w:r w:rsidR="008E3BFE" w:rsidRPr="008C2F9C">
        <w:rPr>
          <w:rStyle w:val="FootnoteReference"/>
          <w:b/>
          <w:sz w:val="20"/>
          <w:szCs w:val="20"/>
          <w:lang w:val="es-ES"/>
        </w:rPr>
        <w:footnoteReference w:id="3"/>
      </w:r>
    </w:p>
    <w:p w14:paraId="724B2DA5" w14:textId="77777777" w:rsidR="009E50F0" w:rsidRPr="009E50F0" w:rsidRDefault="009E50F0" w:rsidP="009E50F0">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8C2F9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8C2F9C" w:rsidRDefault="000C1C69"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Recepción</w:t>
            </w:r>
            <w:r w:rsidR="00D77503" w:rsidRPr="008C2F9C">
              <w:rPr>
                <w:rFonts w:ascii="Cambria" w:hAnsi="Cambria"/>
                <w:bCs/>
                <w:color w:val="FFFFFF" w:themeColor="background1"/>
                <w:sz w:val="20"/>
                <w:szCs w:val="20"/>
                <w:lang w:val="es-ES"/>
              </w:rPr>
              <w:t xml:space="preserve"> de la petición</w:t>
            </w:r>
          </w:p>
        </w:tc>
        <w:tc>
          <w:tcPr>
            <w:tcW w:w="6570" w:type="dxa"/>
            <w:vAlign w:val="center"/>
          </w:tcPr>
          <w:p w14:paraId="6E579153" w14:textId="7FFD8389" w:rsidR="004C2312" w:rsidRPr="008C2F9C" w:rsidRDefault="00F34C34" w:rsidP="00AD16FE">
            <w:pPr>
              <w:jc w:val="both"/>
              <w:rPr>
                <w:rFonts w:ascii="Cambria" w:hAnsi="Cambria"/>
                <w:bCs/>
                <w:sz w:val="20"/>
                <w:szCs w:val="20"/>
                <w:lang w:val="es-ES"/>
              </w:rPr>
            </w:pPr>
            <w:r w:rsidRPr="008C2F9C">
              <w:rPr>
                <w:rFonts w:ascii="Cambria" w:hAnsi="Cambria"/>
                <w:bCs/>
                <w:sz w:val="20"/>
                <w:szCs w:val="20"/>
                <w:lang w:val="es-ES"/>
              </w:rPr>
              <w:t>5 de abril de 2011</w:t>
            </w:r>
          </w:p>
        </w:tc>
      </w:tr>
      <w:tr w:rsidR="006E772A" w:rsidRPr="008C2F9C"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8C2F9C" w:rsidRDefault="006E772A"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 xml:space="preserve">Información adicional </w:t>
            </w:r>
            <w:r w:rsidR="002355A9" w:rsidRPr="008C2F9C">
              <w:rPr>
                <w:rFonts w:ascii="Cambria" w:hAnsi="Cambria"/>
                <w:bCs/>
                <w:color w:val="FFFFFF" w:themeColor="background1"/>
                <w:sz w:val="20"/>
                <w:szCs w:val="20"/>
                <w:lang w:val="es-ES"/>
              </w:rPr>
              <w:t>recibida en la etapa de estudio</w:t>
            </w:r>
          </w:p>
        </w:tc>
        <w:tc>
          <w:tcPr>
            <w:tcW w:w="6570" w:type="dxa"/>
            <w:vAlign w:val="center"/>
          </w:tcPr>
          <w:p w14:paraId="796669C8" w14:textId="001619F5" w:rsidR="006E772A" w:rsidRPr="008C2F9C" w:rsidRDefault="00F26782" w:rsidP="00AD16FE">
            <w:pPr>
              <w:jc w:val="both"/>
              <w:rPr>
                <w:rFonts w:ascii="Cambria" w:hAnsi="Cambria"/>
                <w:bCs/>
                <w:sz w:val="20"/>
                <w:szCs w:val="20"/>
                <w:lang w:val="es-ES"/>
              </w:rPr>
            </w:pPr>
            <w:r w:rsidRPr="008C2F9C">
              <w:rPr>
                <w:rFonts w:ascii="Cambria" w:hAnsi="Cambria"/>
                <w:bCs/>
                <w:sz w:val="20"/>
                <w:szCs w:val="20"/>
                <w:lang w:val="es-ES"/>
              </w:rPr>
              <w:t>28 de abril de 2011</w:t>
            </w:r>
          </w:p>
        </w:tc>
      </w:tr>
      <w:tr w:rsidR="004C2312" w:rsidRPr="008C2F9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8C2F9C" w:rsidRDefault="004A6A54" w:rsidP="00AD16FE">
            <w:pPr>
              <w:jc w:val="center"/>
              <w:rPr>
                <w:rFonts w:ascii="Cambria" w:hAnsi="Cambria"/>
                <w:bCs/>
                <w:color w:val="FFFFFF" w:themeColor="background1"/>
                <w:sz w:val="20"/>
                <w:szCs w:val="20"/>
                <w:lang w:val="es-ES"/>
              </w:rPr>
            </w:pPr>
            <w:r w:rsidRPr="008C2F9C">
              <w:rPr>
                <w:rFonts w:ascii="Cambria" w:hAnsi="Cambria"/>
                <w:color w:val="FFFFFF" w:themeColor="background1"/>
                <w:sz w:val="20"/>
                <w:szCs w:val="20"/>
                <w:lang w:val="es-ES"/>
              </w:rPr>
              <w:t>N</w:t>
            </w:r>
            <w:r w:rsidR="004C2312" w:rsidRPr="008C2F9C">
              <w:rPr>
                <w:rFonts w:ascii="Cambria" w:hAnsi="Cambria"/>
                <w:color w:val="FFFFFF" w:themeColor="background1"/>
                <w:sz w:val="20"/>
                <w:szCs w:val="20"/>
                <w:lang w:val="es-ES"/>
              </w:rPr>
              <w:t>otificación de la petición</w:t>
            </w:r>
          </w:p>
        </w:tc>
        <w:tc>
          <w:tcPr>
            <w:tcW w:w="6570" w:type="dxa"/>
            <w:vAlign w:val="center"/>
          </w:tcPr>
          <w:p w14:paraId="1519DA6A" w14:textId="16057624" w:rsidR="004C2312" w:rsidRPr="008C2F9C" w:rsidRDefault="00035F7A" w:rsidP="00AD16FE">
            <w:pPr>
              <w:jc w:val="both"/>
              <w:rPr>
                <w:rFonts w:ascii="Cambria" w:hAnsi="Cambria"/>
                <w:bCs/>
                <w:sz w:val="20"/>
                <w:szCs w:val="20"/>
                <w:lang w:val="es-ES"/>
              </w:rPr>
            </w:pPr>
            <w:r w:rsidRPr="008C2F9C">
              <w:rPr>
                <w:rFonts w:ascii="Cambria" w:hAnsi="Cambria"/>
                <w:bCs/>
                <w:sz w:val="20"/>
                <w:szCs w:val="20"/>
                <w:lang w:val="es-ES"/>
              </w:rPr>
              <w:t>9 de diciembre de 2015</w:t>
            </w:r>
          </w:p>
        </w:tc>
      </w:tr>
      <w:tr w:rsidR="00F06354" w:rsidRPr="008C2F9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8C2F9C" w:rsidRDefault="00D77503" w:rsidP="00AD16FE">
            <w:pPr>
              <w:jc w:val="center"/>
              <w:rPr>
                <w:rFonts w:ascii="Cambria" w:hAnsi="Cambria"/>
                <w:bCs/>
                <w:color w:val="FFFFFF" w:themeColor="background1"/>
                <w:sz w:val="20"/>
                <w:szCs w:val="20"/>
                <w:lang w:val="es-ES"/>
              </w:rPr>
            </w:pPr>
            <w:r w:rsidRPr="008C2F9C">
              <w:rPr>
                <w:rFonts w:ascii="Cambria" w:hAnsi="Cambria"/>
                <w:color w:val="FFFFFF" w:themeColor="background1"/>
                <w:sz w:val="20"/>
                <w:szCs w:val="20"/>
                <w:lang w:val="es-ES"/>
              </w:rPr>
              <w:t>Primera respuesta del Estado</w:t>
            </w:r>
          </w:p>
        </w:tc>
        <w:tc>
          <w:tcPr>
            <w:tcW w:w="6570" w:type="dxa"/>
            <w:vAlign w:val="center"/>
          </w:tcPr>
          <w:p w14:paraId="1972B99E" w14:textId="56BC964D" w:rsidR="00F06354" w:rsidRPr="008C2F9C" w:rsidRDefault="00F34C34" w:rsidP="00AD16FE">
            <w:pPr>
              <w:jc w:val="both"/>
              <w:rPr>
                <w:rFonts w:ascii="Cambria" w:hAnsi="Cambria"/>
                <w:bCs/>
                <w:sz w:val="20"/>
                <w:szCs w:val="20"/>
                <w:lang w:val="es-ES"/>
              </w:rPr>
            </w:pPr>
            <w:r w:rsidRPr="008C2F9C">
              <w:rPr>
                <w:rFonts w:ascii="Cambria" w:hAnsi="Cambria"/>
                <w:bCs/>
                <w:sz w:val="20"/>
                <w:szCs w:val="20"/>
                <w:lang w:val="es-ES"/>
              </w:rPr>
              <w:t>4 de agosto de 2017</w:t>
            </w:r>
          </w:p>
        </w:tc>
      </w:tr>
      <w:tr w:rsidR="00F06354" w:rsidRPr="005F441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8C2F9C" w:rsidRDefault="00F06354"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Observaciones adicionales de</w:t>
            </w:r>
            <w:r w:rsidR="00D77503" w:rsidRPr="008C2F9C">
              <w:rPr>
                <w:rFonts w:ascii="Cambria" w:hAnsi="Cambria"/>
                <w:bCs/>
                <w:color w:val="FFFFFF" w:themeColor="background1"/>
                <w:sz w:val="20"/>
                <w:szCs w:val="20"/>
                <w:lang w:val="es-ES"/>
              </w:rPr>
              <w:t xml:space="preserve"> la parte peticionaria</w:t>
            </w:r>
          </w:p>
        </w:tc>
        <w:tc>
          <w:tcPr>
            <w:tcW w:w="6570" w:type="dxa"/>
            <w:vAlign w:val="center"/>
          </w:tcPr>
          <w:p w14:paraId="41D8B862" w14:textId="29BB36EF" w:rsidR="00F06354" w:rsidRPr="008C2F9C" w:rsidRDefault="00EA7C8C" w:rsidP="00AD16FE">
            <w:pPr>
              <w:jc w:val="both"/>
              <w:rPr>
                <w:rFonts w:ascii="Cambria" w:hAnsi="Cambria"/>
                <w:bCs/>
                <w:sz w:val="20"/>
                <w:szCs w:val="20"/>
                <w:lang w:val="es-ES"/>
              </w:rPr>
            </w:pPr>
            <w:r w:rsidRPr="008C2F9C">
              <w:rPr>
                <w:rFonts w:ascii="Cambria" w:hAnsi="Cambria"/>
                <w:bCs/>
                <w:sz w:val="20"/>
                <w:szCs w:val="20"/>
                <w:lang w:val="es-ES"/>
              </w:rPr>
              <w:t>6 de septiembre de 2017 y</w:t>
            </w:r>
            <w:r w:rsidR="00884219" w:rsidRPr="008C2F9C">
              <w:rPr>
                <w:rFonts w:ascii="Cambria" w:hAnsi="Cambria"/>
                <w:bCs/>
                <w:sz w:val="20"/>
                <w:szCs w:val="20"/>
                <w:lang w:val="es-ES"/>
              </w:rPr>
              <w:t xml:space="preserve"> </w:t>
            </w:r>
            <w:r w:rsidR="00CB59D3" w:rsidRPr="008C2F9C">
              <w:rPr>
                <w:rFonts w:ascii="Cambria" w:hAnsi="Cambria"/>
                <w:bCs/>
                <w:sz w:val="20"/>
                <w:szCs w:val="20"/>
                <w:lang w:val="es-ES"/>
              </w:rPr>
              <w:t>14 de agosto de 2018</w:t>
            </w:r>
          </w:p>
        </w:tc>
      </w:tr>
      <w:tr w:rsidR="00F06354" w:rsidRPr="005F4418"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8C2F9C" w:rsidRDefault="00F06354"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Obser</w:t>
            </w:r>
            <w:r w:rsidR="00D77503" w:rsidRPr="008C2F9C">
              <w:rPr>
                <w:rFonts w:ascii="Cambria" w:hAnsi="Cambria"/>
                <w:bCs/>
                <w:color w:val="FFFFFF" w:themeColor="background1"/>
                <w:sz w:val="20"/>
                <w:szCs w:val="20"/>
                <w:lang w:val="es-ES"/>
              </w:rPr>
              <w:t>vaciones adicionales del Estado</w:t>
            </w:r>
          </w:p>
        </w:tc>
        <w:tc>
          <w:tcPr>
            <w:tcW w:w="6570" w:type="dxa"/>
            <w:vAlign w:val="center"/>
          </w:tcPr>
          <w:p w14:paraId="3CE49AFE" w14:textId="79057DC6" w:rsidR="00F06354" w:rsidRPr="008C2F9C" w:rsidRDefault="00EA7C8C" w:rsidP="00AD16FE">
            <w:pPr>
              <w:jc w:val="both"/>
              <w:rPr>
                <w:rFonts w:ascii="Cambria" w:hAnsi="Cambria"/>
                <w:bCs/>
                <w:sz w:val="20"/>
                <w:szCs w:val="20"/>
                <w:lang w:val="es-ES"/>
              </w:rPr>
            </w:pPr>
            <w:r w:rsidRPr="008C2F9C">
              <w:rPr>
                <w:rFonts w:ascii="Cambria" w:hAnsi="Cambria"/>
                <w:bCs/>
                <w:sz w:val="20"/>
                <w:szCs w:val="20"/>
                <w:lang w:val="es-ES"/>
              </w:rPr>
              <w:t>26 de abril de 2016 y</w:t>
            </w:r>
            <w:r w:rsidR="00F34C34" w:rsidRPr="008C2F9C">
              <w:rPr>
                <w:rFonts w:ascii="Cambria" w:hAnsi="Cambria"/>
                <w:bCs/>
                <w:sz w:val="20"/>
                <w:szCs w:val="20"/>
                <w:lang w:val="es-ES"/>
              </w:rPr>
              <w:t xml:space="preserve"> 17 de septiembre de 2018</w:t>
            </w:r>
          </w:p>
        </w:tc>
      </w:tr>
    </w:tbl>
    <w:p w14:paraId="67850E92" w14:textId="77777777" w:rsidR="009E50F0" w:rsidRDefault="009E50F0" w:rsidP="00AD16FE">
      <w:pPr>
        <w:ind w:firstLine="720"/>
        <w:jc w:val="both"/>
        <w:rPr>
          <w:rFonts w:asciiTheme="majorHAnsi" w:hAnsiTheme="majorHAnsi"/>
          <w:b/>
          <w:bCs/>
          <w:sz w:val="20"/>
          <w:szCs w:val="20"/>
          <w:lang w:val="es-ES"/>
        </w:rPr>
      </w:pPr>
    </w:p>
    <w:p w14:paraId="21DAA666" w14:textId="5BCB8A02" w:rsidR="003239B8" w:rsidRPr="009E50F0" w:rsidRDefault="003239B8" w:rsidP="009E50F0">
      <w:pPr>
        <w:pStyle w:val="ListParagraph"/>
        <w:numPr>
          <w:ilvl w:val="0"/>
          <w:numId w:val="61"/>
        </w:numPr>
        <w:jc w:val="both"/>
        <w:rPr>
          <w:rFonts w:asciiTheme="majorHAnsi" w:hAnsiTheme="majorHAnsi"/>
          <w:b/>
          <w:bCs/>
          <w:sz w:val="20"/>
          <w:szCs w:val="20"/>
          <w:lang w:val="es-ES"/>
        </w:rPr>
      </w:pPr>
      <w:r w:rsidRPr="009E50F0">
        <w:rPr>
          <w:rFonts w:asciiTheme="majorHAnsi" w:hAnsiTheme="majorHAnsi"/>
          <w:b/>
          <w:bCs/>
          <w:sz w:val="20"/>
          <w:szCs w:val="20"/>
          <w:lang w:val="es-ES"/>
        </w:rPr>
        <w:t>COMPETENCIA</w:t>
      </w:r>
      <w:r w:rsidR="00EE00E9" w:rsidRPr="009E50F0">
        <w:rPr>
          <w:rFonts w:asciiTheme="majorHAnsi" w:hAnsiTheme="majorHAnsi"/>
          <w:b/>
          <w:bCs/>
          <w:sz w:val="20"/>
          <w:szCs w:val="20"/>
          <w:lang w:val="es-ES"/>
        </w:rPr>
        <w:t xml:space="preserve"> </w:t>
      </w:r>
    </w:p>
    <w:p w14:paraId="1763694E" w14:textId="77777777" w:rsidR="009E50F0" w:rsidRPr="009E50F0" w:rsidRDefault="009E50F0" w:rsidP="009E50F0">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8C2F9C"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8C2F9C" w:rsidRDefault="00D77503" w:rsidP="00AD16FE">
            <w:pPr>
              <w:jc w:val="center"/>
              <w:rPr>
                <w:rFonts w:ascii="Cambria" w:hAnsi="Cambria"/>
                <w:bCs/>
                <w:i/>
                <w:color w:val="FFFFFF" w:themeColor="background1"/>
                <w:sz w:val="20"/>
                <w:szCs w:val="20"/>
                <w:lang w:val="es-ES"/>
              </w:rPr>
            </w:pPr>
            <w:proofErr w:type="spellStart"/>
            <w:r w:rsidRPr="008C2F9C">
              <w:rPr>
                <w:rFonts w:ascii="Cambria" w:hAnsi="Cambria"/>
                <w:bCs/>
                <w:i/>
                <w:color w:val="FFFFFF" w:themeColor="background1"/>
                <w:sz w:val="20"/>
                <w:szCs w:val="20"/>
                <w:lang w:val="es-ES"/>
              </w:rPr>
              <w:t>Ratione</w:t>
            </w:r>
            <w:proofErr w:type="spellEnd"/>
            <w:r w:rsidRPr="008C2F9C">
              <w:rPr>
                <w:rFonts w:ascii="Cambria" w:hAnsi="Cambria"/>
                <w:bCs/>
                <w:i/>
                <w:color w:val="FFFFFF" w:themeColor="background1"/>
                <w:sz w:val="20"/>
                <w:szCs w:val="20"/>
                <w:lang w:val="es-ES"/>
              </w:rPr>
              <w:t xml:space="preserve"> </w:t>
            </w:r>
            <w:proofErr w:type="spellStart"/>
            <w:r w:rsidRPr="008C2F9C">
              <w:rPr>
                <w:rFonts w:ascii="Cambria" w:hAnsi="Cambria"/>
                <w:bCs/>
                <w:i/>
                <w:color w:val="FFFFFF" w:themeColor="background1"/>
                <w:sz w:val="20"/>
                <w:szCs w:val="20"/>
                <w:lang w:val="es-ES"/>
              </w:rPr>
              <w:t>personae</w:t>
            </w:r>
            <w:proofErr w:type="spellEnd"/>
          </w:p>
        </w:tc>
        <w:tc>
          <w:tcPr>
            <w:tcW w:w="6570" w:type="dxa"/>
            <w:vAlign w:val="center"/>
          </w:tcPr>
          <w:p w14:paraId="7707F3E9" w14:textId="21BE4608" w:rsidR="003239B8" w:rsidRPr="008C2F9C" w:rsidRDefault="00EA6E8E" w:rsidP="00AD16FE">
            <w:pPr>
              <w:rPr>
                <w:rFonts w:ascii="Cambria" w:hAnsi="Cambria"/>
                <w:bCs/>
                <w:sz w:val="20"/>
                <w:szCs w:val="20"/>
                <w:lang w:val="es-ES"/>
              </w:rPr>
            </w:pPr>
            <w:r w:rsidRPr="008C2F9C">
              <w:rPr>
                <w:rFonts w:ascii="Cambria" w:hAnsi="Cambria"/>
                <w:bCs/>
                <w:sz w:val="20"/>
                <w:szCs w:val="20"/>
                <w:lang w:val="es-ES"/>
              </w:rPr>
              <w:t>Si</w:t>
            </w:r>
          </w:p>
        </w:tc>
      </w:tr>
      <w:tr w:rsidR="003239B8" w:rsidRPr="008C2F9C"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8C2F9C" w:rsidRDefault="003239B8" w:rsidP="00AD16FE">
            <w:pPr>
              <w:jc w:val="center"/>
              <w:rPr>
                <w:rFonts w:ascii="Cambria" w:hAnsi="Cambria"/>
                <w:bCs/>
                <w:color w:val="FFFFFF" w:themeColor="background1"/>
                <w:sz w:val="20"/>
                <w:szCs w:val="20"/>
                <w:lang w:val="es-ES"/>
              </w:rPr>
            </w:pPr>
            <w:proofErr w:type="spellStart"/>
            <w:r w:rsidRPr="008C2F9C">
              <w:rPr>
                <w:rFonts w:ascii="Cambria" w:hAnsi="Cambria"/>
                <w:bCs/>
                <w:i/>
                <w:color w:val="FFFFFF" w:themeColor="background1"/>
                <w:sz w:val="20"/>
                <w:szCs w:val="20"/>
                <w:lang w:val="es-ES"/>
              </w:rPr>
              <w:t>Ratione</w:t>
            </w:r>
            <w:proofErr w:type="spellEnd"/>
            <w:r w:rsidRPr="008C2F9C">
              <w:rPr>
                <w:rFonts w:ascii="Cambria" w:hAnsi="Cambria"/>
                <w:bCs/>
                <w:i/>
                <w:color w:val="FFFFFF" w:themeColor="background1"/>
                <w:sz w:val="20"/>
                <w:szCs w:val="20"/>
                <w:lang w:val="es-ES"/>
              </w:rPr>
              <w:t xml:space="preserve"> loci</w:t>
            </w:r>
          </w:p>
        </w:tc>
        <w:tc>
          <w:tcPr>
            <w:tcW w:w="6570" w:type="dxa"/>
            <w:vAlign w:val="center"/>
          </w:tcPr>
          <w:p w14:paraId="12C931CB" w14:textId="389FDAEB" w:rsidR="003239B8" w:rsidRPr="008C2F9C" w:rsidRDefault="00EA6E8E" w:rsidP="00AD16FE">
            <w:pPr>
              <w:rPr>
                <w:rFonts w:ascii="Cambria" w:hAnsi="Cambria"/>
                <w:bCs/>
                <w:sz w:val="20"/>
                <w:szCs w:val="20"/>
                <w:lang w:val="es-ES"/>
              </w:rPr>
            </w:pPr>
            <w:r w:rsidRPr="008C2F9C">
              <w:rPr>
                <w:rFonts w:ascii="Cambria" w:hAnsi="Cambria"/>
                <w:bCs/>
                <w:sz w:val="20"/>
                <w:szCs w:val="20"/>
                <w:lang w:val="es-ES"/>
              </w:rPr>
              <w:t>Si</w:t>
            </w:r>
          </w:p>
        </w:tc>
      </w:tr>
      <w:tr w:rsidR="003239B8" w:rsidRPr="008C2F9C"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8C2F9C" w:rsidRDefault="003239B8" w:rsidP="00AD16FE">
            <w:pPr>
              <w:jc w:val="center"/>
              <w:rPr>
                <w:rFonts w:ascii="Cambria" w:hAnsi="Cambria"/>
                <w:bCs/>
                <w:color w:val="FFFFFF" w:themeColor="background1"/>
                <w:sz w:val="20"/>
                <w:szCs w:val="20"/>
                <w:lang w:val="es-ES"/>
              </w:rPr>
            </w:pPr>
            <w:proofErr w:type="spellStart"/>
            <w:r w:rsidRPr="008C2F9C">
              <w:rPr>
                <w:rFonts w:ascii="Cambria" w:hAnsi="Cambria"/>
                <w:bCs/>
                <w:i/>
                <w:color w:val="FFFFFF" w:themeColor="background1"/>
                <w:sz w:val="20"/>
                <w:szCs w:val="20"/>
                <w:lang w:val="es-ES"/>
              </w:rPr>
              <w:t>Ratione</w:t>
            </w:r>
            <w:proofErr w:type="spellEnd"/>
            <w:r w:rsidRPr="008C2F9C">
              <w:rPr>
                <w:rFonts w:ascii="Cambria" w:hAnsi="Cambria"/>
                <w:bCs/>
                <w:i/>
                <w:color w:val="FFFFFF" w:themeColor="background1"/>
                <w:sz w:val="20"/>
                <w:szCs w:val="20"/>
                <w:lang w:val="es-ES"/>
              </w:rPr>
              <w:t xml:space="preserve"> </w:t>
            </w:r>
            <w:proofErr w:type="spellStart"/>
            <w:r w:rsidRPr="008C2F9C">
              <w:rPr>
                <w:rFonts w:ascii="Cambria" w:hAnsi="Cambria"/>
                <w:bCs/>
                <w:i/>
                <w:color w:val="FFFFFF" w:themeColor="background1"/>
                <w:sz w:val="20"/>
                <w:szCs w:val="20"/>
                <w:lang w:val="es-ES"/>
              </w:rPr>
              <w:t>temporis</w:t>
            </w:r>
            <w:proofErr w:type="spellEnd"/>
          </w:p>
        </w:tc>
        <w:tc>
          <w:tcPr>
            <w:tcW w:w="6570" w:type="dxa"/>
            <w:vAlign w:val="center"/>
          </w:tcPr>
          <w:p w14:paraId="6F8B059B" w14:textId="7D10DD9B" w:rsidR="003239B8" w:rsidRPr="008C2F9C" w:rsidRDefault="00EA6E8E" w:rsidP="00AD16FE">
            <w:pPr>
              <w:rPr>
                <w:rFonts w:ascii="Cambria" w:hAnsi="Cambria"/>
                <w:bCs/>
                <w:sz w:val="20"/>
                <w:szCs w:val="20"/>
                <w:lang w:val="es-ES"/>
              </w:rPr>
            </w:pPr>
            <w:r w:rsidRPr="008C2F9C">
              <w:rPr>
                <w:rFonts w:ascii="Cambria" w:hAnsi="Cambria"/>
                <w:bCs/>
                <w:sz w:val="20"/>
                <w:szCs w:val="20"/>
                <w:lang w:val="es-ES"/>
              </w:rPr>
              <w:t>Si</w:t>
            </w:r>
          </w:p>
        </w:tc>
      </w:tr>
      <w:tr w:rsidR="003239B8" w:rsidRPr="005F4418"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8C2F9C" w:rsidRDefault="003239B8" w:rsidP="00AD16FE">
            <w:pPr>
              <w:jc w:val="center"/>
              <w:rPr>
                <w:rFonts w:ascii="Cambria" w:hAnsi="Cambria"/>
                <w:bCs/>
                <w:color w:val="FFFFFF" w:themeColor="background1"/>
                <w:sz w:val="20"/>
                <w:szCs w:val="20"/>
                <w:lang w:val="es-ES"/>
              </w:rPr>
            </w:pPr>
            <w:proofErr w:type="spellStart"/>
            <w:r w:rsidRPr="008C2F9C">
              <w:rPr>
                <w:rFonts w:ascii="Cambria" w:hAnsi="Cambria"/>
                <w:bCs/>
                <w:i/>
                <w:color w:val="FFFFFF" w:themeColor="background1"/>
                <w:sz w:val="20"/>
                <w:szCs w:val="20"/>
                <w:lang w:val="es-ES"/>
              </w:rPr>
              <w:t>Ratione</w:t>
            </w:r>
            <w:proofErr w:type="spellEnd"/>
            <w:r w:rsidRPr="008C2F9C">
              <w:rPr>
                <w:rFonts w:ascii="Cambria" w:hAnsi="Cambria"/>
                <w:bCs/>
                <w:i/>
                <w:color w:val="FFFFFF" w:themeColor="background1"/>
                <w:sz w:val="20"/>
                <w:szCs w:val="20"/>
                <w:lang w:val="es-ES"/>
              </w:rPr>
              <w:t xml:space="preserve"> </w:t>
            </w:r>
            <w:proofErr w:type="spellStart"/>
            <w:r w:rsidRPr="008C2F9C">
              <w:rPr>
                <w:rFonts w:ascii="Cambria" w:hAnsi="Cambria"/>
                <w:bCs/>
                <w:i/>
                <w:color w:val="FFFFFF" w:themeColor="background1"/>
                <w:sz w:val="20"/>
                <w:szCs w:val="20"/>
                <w:lang w:val="es-ES"/>
              </w:rPr>
              <w:t>materia</w:t>
            </w:r>
            <w:r w:rsidR="00EE00E9" w:rsidRPr="008C2F9C">
              <w:rPr>
                <w:rFonts w:ascii="Cambria" w:hAnsi="Cambria"/>
                <w:bCs/>
                <w:i/>
                <w:color w:val="FFFFFF" w:themeColor="background1"/>
                <w:sz w:val="20"/>
                <w:szCs w:val="20"/>
                <w:lang w:val="es-ES"/>
              </w:rPr>
              <w:t>e</w:t>
            </w:r>
            <w:proofErr w:type="spellEnd"/>
          </w:p>
        </w:tc>
        <w:tc>
          <w:tcPr>
            <w:tcW w:w="6570" w:type="dxa"/>
            <w:vAlign w:val="center"/>
          </w:tcPr>
          <w:p w14:paraId="0C122F44" w14:textId="550039D4" w:rsidR="003239B8" w:rsidRPr="008C2F9C" w:rsidRDefault="00EA6E8E" w:rsidP="00AD16FE">
            <w:pPr>
              <w:jc w:val="both"/>
              <w:rPr>
                <w:rFonts w:ascii="Cambria" w:hAnsi="Cambria"/>
                <w:bCs/>
                <w:sz w:val="20"/>
                <w:szCs w:val="20"/>
                <w:lang w:val="es-ES"/>
              </w:rPr>
            </w:pPr>
            <w:r w:rsidRPr="008C2F9C">
              <w:rPr>
                <w:rFonts w:ascii="Cambria" w:hAnsi="Cambria"/>
                <w:bCs/>
                <w:sz w:val="20"/>
                <w:szCs w:val="20"/>
                <w:lang w:val="es-ES"/>
              </w:rPr>
              <w:t>Si</w:t>
            </w:r>
            <w:r w:rsidR="008A0F5D" w:rsidRPr="008C2F9C">
              <w:rPr>
                <w:rFonts w:ascii="Cambria" w:hAnsi="Cambria"/>
                <w:bCs/>
                <w:sz w:val="20"/>
                <w:szCs w:val="20"/>
                <w:lang w:val="es-ES"/>
              </w:rPr>
              <w:t xml:space="preserve">, </w:t>
            </w:r>
            <w:r w:rsidR="008A0F5D" w:rsidRPr="008C2F9C">
              <w:rPr>
                <w:rFonts w:ascii="Cambria" w:hAnsi="Cambria"/>
                <w:bCs/>
                <w:sz w:val="20"/>
                <w:szCs w:val="20"/>
                <w:lang w:val="es-ES_tradnl"/>
              </w:rPr>
              <w:t>Convención Americana (depósito del instrumento de ratificación realizado el</w:t>
            </w:r>
            <w:r w:rsidR="008A0F5D" w:rsidRPr="008C2F9C">
              <w:rPr>
                <w:rFonts w:ascii="Cambria" w:hAnsi="Cambria"/>
                <w:bCs/>
                <w:sz w:val="20"/>
                <w:szCs w:val="20"/>
                <w:lang w:val="es-ES"/>
              </w:rPr>
              <w:t xml:space="preserve"> 4 de agosto de 1970)</w:t>
            </w:r>
          </w:p>
        </w:tc>
      </w:tr>
    </w:tbl>
    <w:p w14:paraId="141386F1" w14:textId="77777777" w:rsidR="009E50F0" w:rsidRDefault="009E50F0" w:rsidP="00AD16FE">
      <w:pPr>
        <w:ind w:firstLine="720"/>
        <w:jc w:val="both"/>
        <w:rPr>
          <w:rFonts w:asciiTheme="majorHAnsi" w:hAnsiTheme="majorHAnsi"/>
          <w:b/>
          <w:bCs/>
          <w:sz w:val="20"/>
          <w:szCs w:val="20"/>
          <w:lang w:val="es-ES"/>
        </w:rPr>
      </w:pPr>
    </w:p>
    <w:p w14:paraId="4E92C444" w14:textId="0290A4E6" w:rsidR="003239B8" w:rsidRPr="009E50F0" w:rsidRDefault="009E50F0" w:rsidP="009E50F0">
      <w:pPr>
        <w:ind w:firstLine="720"/>
        <w:jc w:val="both"/>
        <w:rPr>
          <w:rFonts w:asciiTheme="majorHAnsi" w:hAnsiTheme="majorHAnsi"/>
          <w:b/>
          <w:sz w:val="20"/>
          <w:szCs w:val="20"/>
          <w:lang w:val="es-ES"/>
        </w:rPr>
      </w:pPr>
      <w:r w:rsidRPr="009E50F0">
        <w:rPr>
          <w:rFonts w:asciiTheme="majorHAnsi" w:hAnsiTheme="majorHAnsi"/>
          <w:b/>
          <w:bCs/>
          <w:sz w:val="20"/>
          <w:szCs w:val="20"/>
          <w:lang w:val="es-ES"/>
        </w:rPr>
        <w:t>IV.</w:t>
      </w:r>
      <w:r>
        <w:rPr>
          <w:rFonts w:asciiTheme="majorHAnsi" w:hAnsiTheme="majorHAnsi"/>
          <w:b/>
          <w:bCs/>
          <w:sz w:val="20"/>
          <w:szCs w:val="20"/>
          <w:lang w:val="es-ES"/>
        </w:rPr>
        <w:t xml:space="preserve"> </w:t>
      </w:r>
      <w:r>
        <w:rPr>
          <w:rFonts w:asciiTheme="majorHAnsi" w:hAnsiTheme="majorHAnsi"/>
          <w:b/>
          <w:bCs/>
          <w:sz w:val="20"/>
          <w:szCs w:val="20"/>
          <w:lang w:val="es-ES"/>
        </w:rPr>
        <w:tab/>
      </w:r>
      <w:r w:rsidR="00EE00E9" w:rsidRPr="009E50F0">
        <w:rPr>
          <w:rFonts w:asciiTheme="majorHAnsi" w:hAnsiTheme="majorHAnsi"/>
          <w:b/>
          <w:bCs/>
          <w:sz w:val="20"/>
          <w:szCs w:val="20"/>
          <w:lang w:val="es-ES"/>
        </w:rPr>
        <w:t>DUPLICACIÓN</w:t>
      </w:r>
      <w:r w:rsidR="00EE00E9" w:rsidRPr="009E50F0">
        <w:rPr>
          <w:rFonts w:asciiTheme="majorHAnsi" w:hAnsiTheme="majorHAnsi"/>
          <w:b/>
          <w:bCs/>
          <w:color w:val="FFFFFF" w:themeColor="background1"/>
          <w:sz w:val="20"/>
          <w:szCs w:val="20"/>
          <w:lang w:val="es-ES"/>
        </w:rPr>
        <w:t xml:space="preserve"> </w:t>
      </w:r>
      <w:r w:rsidR="00EE00E9" w:rsidRPr="009E50F0">
        <w:rPr>
          <w:rFonts w:asciiTheme="majorHAnsi" w:hAnsiTheme="majorHAnsi"/>
          <w:b/>
          <w:bCs/>
          <w:sz w:val="20"/>
          <w:szCs w:val="20"/>
          <w:lang w:val="es-ES"/>
        </w:rPr>
        <w:t>DE PROCEDIMIENTOS Y COSA JUZGADA</w:t>
      </w:r>
      <w:r w:rsidR="00EE00E9" w:rsidRPr="009E50F0">
        <w:rPr>
          <w:rFonts w:asciiTheme="majorHAnsi" w:hAnsiTheme="majorHAnsi"/>
          <w:b/>
          <w:bCs/>
          <w:i/>
          <w:sz w:val="20"/>
          <w:szCs w:val="20"/>
          <w:lang w:val="es-ES"/>
        </w:rPr>
        <w:t xml:space="preserve"> </w:t>
      </w:r>
      <w:proofErr w:type="gramStart"/>
      <w:r w:rsidR="00EE00E9" w:rsidRPr="009E50F0">
        <w:rPr>
          <w:rFonts w:asciiTheme="majorHAnsi" w:hAnsiTheme="majorHAnsi"/>
          <w:b/>
          <w:bCs/>
          <w:sz w:val="20"/>
          <w:szCs w:val="20"/>
          <w:lang w:val="es-ES"/>
        </w:rPr>
        <w:t xml:space="preserve">INTERNACIONAL, </w:t>
      </w:r>
      <w:r w:rsidR="003239B8" w:rsidRPr="009E50F0">
        <w:rPr>
          <w:rFonts w:asciiTheme="majorHAnsi" w:hAnsiTheme="majorHAnsi"/>
          <w:b/>
          <w:bCs/>
          <w:sz w:val="20"/>
          <w:szCs w:val="20"/>
          <w:lang w:val="es-ES"/>
        </w:rPr>
        <w:t xml:space="preserve"> CARACTERIZACIÓN</w:t>
      </w:r>
      <w:proofErr w:type="gramEnd"/>
      <w:r w:rsidR="003239B8" w:rsidRPr="009E50F0">
        <w:rPr>
          <w:rFonts w:asciiTheme="majorHAnsi" w:hAnsiTheme="majorHAnsi"/>
          <w:b/>
          <w:bCs/>
          <w:sz w:val="20"/>
          <w:szCs w:val="20"/>
          <w:lang w:val="es-ES"/>
        </w:rPr>
        <w:t xml:space="preserve">, </w:t>
      </w:r>
      <w:r w:rsidR="003239B8" w:rsidRPr="009E50F0">
        <w:rPr>
          <w:rFonts w:asciiTheme="majorHAnsi" w:hAnsiTheme="majorHAnsi"/>
          <w:b/>
          <w:sz w:val="20"/>
          <w:szCs w:val="20"/>
          <w:lang w:val="es-ES"/>
        </w:rPr>
        <w:t>AGOTAMIENTO DE LOS RECURSOS INTERNOS Y PLAZO DE PRESENTACIÓN</w:t>
      </w:r>
    </w:p>
    <w:p w14:paraId="62C9F8F0" w14:textId="77777777" w:rsidR="009E50F0" w:rsidRPr="009E50F0" w:rsidRDefault="009E50F0" w:rsidP="009E50F0">
      <w:pPr>
        <w:ind w:firstLine="720"/>
        <w:rPr>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8C2F9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8C2F9C" w:rsidRDefault="00EE00E9"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 xml:space="preserve">Duplicación </w:t>
            </w:r>
            <w:r w:rsidR="00D77503" w:rsidRPr="008C2F9C">
              <w:rPr>
                <w:rFonts w:ascii="Cambria" w:hAnsi="Cambria"/>
                <w:bCs/>
                <w:color w:val="FFFFFF" w:themeColor="background1"/>
                <w:sz w:val="20"/>
                <w:szCs w:val="20"/>
                <w:lang w:val="es-ES"/>
              </w:rPr>
              <w:t>y cosa juzgada internacional</w:t>
            </w:r>
          </w:p>
        </w:tc>
        <w:tc>
          <w:tcPr>
            <w:tcW w:w="6570" w:type="dxa"/>
            <w:vAlign w:val="center"/>
          </w:tcPr>
          <w:p w14:paraId="240941E6" w14:textId="2E2517CC" w:rsidR="00EE00E9" w:rsidRPr="008C2F9C" w:rsidRDefault="00F26782" w:rsidP="00AD16FE">
            <w:pPr>
              <w:jc w:val="both"/>
              <w:rPr>
                <w:rFonts w:ascii="Cambria" w:hAnsi="Cambria"/>
                <w:bCs/>
                <w:sz w:val="20"/>
                <w:szCs w:val="20"/>
                <w:lang w:val="es-ES"/>
              </w:rPr>
            </w:pPr>
            <w:r w:rsidRPr="008C2F9C">
              <w:rPr>
                <w:rFonts w:ascii="Cambria" w:hAnsi="Cambria"/>
                <w:bCs/>
                <w:sz w:val="20"/>
                <w:szCs w:val="20"/>
                <w:lang w:val="es-ES"/>
              </w:rPr>
              <w:t>No</w:t>
            </w:r>
          </w:p>
        </w:tc>
      </w:tr>
      <w:tr w:rsidR="003239B8" w:rsidRPr="005F4418"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8C2F9C" w:rsidRDefault="003239B8" w:rsidP="00AD16FE">
            <w:pPr>
              <w:jc w:val="center"/>
              <w:rPr>
                <w:rFonts w:ascii="Cambria" w:hAnsi="Cambria"/>
                <w:bCs/>
                <w:i/>
                <w:color w:val="FFFFFF" w:themeColor="background1"/>
                <w:sz w:val="20"/>
                <w:szCs w:val="20"/>
                <w:lang w:val="es-ES"/>
              </w:rPr>
            </w:pPr>
            <w:r w:rsidRPr="008C2F9C">
              <w:rPr>
                <w:rFonts w:ascii="Cambria" w:hAnsi="Cambria"/>
                <w:bCs/>
                <w:color w:val="FFFFFF" w:themeColor="background1"/>
                <w:sz w:val="20"/>
                <w:szCs w:val="20"/>
                <w:lang w:val="es-ES"/>
              </w:rPr>
              <w:t>Derechos admi</w:t>
            </w:r>
            <w:r w:rsidR="00954B82" w:rsidRPr="008C2F9C">
              <w:rPr>
                <w:rFonts w:ascii="Cambria" w:hAnsi="Cambria"/>
                <w:bCs/>
                <w:color w:val="FFFFFF" w:themeColor="background1"/>
                <w:sz w:val="20"/>
                <w:szCs w:val="20"/>
                <w:lang w:val="es-ES"/>
              </w:rPr>
              <w:t>tidos</w:t>
            </w:r>
          </w:p>
        </w:tc>
        <w:tc>
          <w:tcPr>
            <w:tcW w:w="6570" w:type="dxa"/>
            <w:vAlign w:val="center"/>
          </w:tcPr>
          <w:p w14:paraId="6310C8F7" w14:textId="1267A5A4" w:rsidR="003239B8" w:rsidRPr="008C2F9C" w:rsidRDefault="006E3575" w:rsidP="00AD16FE">
            <w:pPr>
              <w:jc w:val="both"/>
              <w:rPr>
                <w:rFonts w:ascii="Cambria" w:hAnsi="Cambria"/>
                <w:bCs/>
                <w:sz w:val="20"/>
                <w:szCs w:val="20"/>
                <w:lang w:val="es-ES"/>
              </w:rPr>
            </w:pPr>
            <w:r w:rsidRPr="008C2F9C">
              <w:rPr>
                <w:rFonts w:ascii="Cambria" w:hAnsi="Cambria"/>
                <w:bCs/>
                <w:sz w:val="20"/>
                <w:szCs w:val="20"/>
                <w:lang w:val="es-ES"/>
              </w:rPr>
              <w:t>Artículos 7 (libertad personal), 8 (garantías judiciales) y 25 (protección judicial) de la Convención Americana</w:t>
            </w:r>
          </w:p>
        </w:tc>
      </w:tr>
      <w:tr w:rsidR="003239B8" w:rsidRPr="005F4418"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8C2F9C" w:rsidRDefault="003239B8"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Agotamiento de</w:t>
            </w:r>
            <w:r w:rsidR="0069402E" w:rsidRPr="008C2F9C">
              <w:rPr>
                <w:rFonts w:ascii="Cambria" w:hAnsi="Cambria"/>
                <w:bCs/>
                <w:color w:val="FFFFFF" w:themeColor="background1"/>
                <w:sz w:val="20"/>
                <w:szCs w:val="20"/>
                <w:lang w:val="es-ES"/>
              </w:rPr>
              <w:t xml:space="preserve"> </w:t>
            </w:r>
            <w:r w:rsidRPr="008C2F9C">
              <w:rPr>
                <w:rFonts w:ascii="Cambria" w:hAnsi="Cambria"/>
                <w:bCs/>
                <w:color w:val="FFFFFF" w:themeColor="background1"/>
                <w:sz w:val="20"/>
                <w:szCs w:val="20"/>
                <w:lang w:val="es-ES"/>
              </w:rPr>
              <w:t xml:space="preserve">recursos </w:t>
            </w:r>
            <w:r w:rsidR="00D77503" w:rsidRPr="008C2F9C">
              <w:rPr>
                <w:rFonts w:ascii="Cambria" w:hAnsi="Cambria"/>
                <w:bCs/>
                <w:color w:val="FFFFFF" w:themeColor="background1"/>
                <w:sz w:val="20"/>
                <w:szCs w:val="20"/>
                <w:lang w:val="es-ES"/>
              </w:rPr>
              <w:t>o procedencia de una excepción</w:t>
            </w:r>
          </w:p>
        </w:tc>
        <w:tc>
          <w:tcPr>
            <w:tcW w:w="6570" w:type="dxa"/>
            <w:vAlign w:val="center"/>
          </w:tcPr>
          <w:p w14:paraId="69C53E8A" w14:textId="6730793B" w:rsidR="003239B8" w:rsidRPr="008C2F9C" w:rsidRDefault="00EA6E8E" w:rsidP="00AD16FE">
            <w:pPr>
              <w:rPr>
                <w:rFonts w:ascii="Cambria" w:hAnsi="Cambria"/>
                <w:bCs/>
                <w:sz w:val="20"/>
                <w:szCs w:val="20"/>
                <w:lang w:val="es-ES"/>
              </w:rPr>
            </w:pPr>
            <w:r w:rsidRPr="008C2F9C">
              <w:rPr>
                <w:rFonts w:ascii="Cambria" w:hAnsi="Cambria"/>
                <w:bCs/>
                <w:sz w:val="20"/>
                <w:szCs w:val="20"/>
                <w:lang w:val="es-ES"/>
              </w:rPr>
              <w:t>Sí, en los términos de la sección IV</w:t>
            </w:r>
          </w:p>
        </w:tc>
      </w:tr>
      <w:tr w:rsidR="003239B8" w:rsidRPr="005F4418"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8C2F9C" w:rsidRDefault="00D77503" w:rsidP="00AD16FE">
            <w:pPr>
              <w:jc w:val="center"/>
              <w:rPr>
                <w:rFonts w:ascii="Cambria" w:hAnsi="Cambria"/>
                <w:bCs/>
                <w:color w:val="FFFFFF" w:themeColor="background1"/>
                <w:sz w:val="20"/>
                <w:szCs w:val="20"/>
                <w:lang w:val="es-ES"/>
              </w:rPr>
            </w:pPr>
            <w:r w:rsidRPr="008C2F9C">
              <w:rPr>
                <w:rFonts w:ascii="Cambria" w:hAnsi="Cambria"/>
                <w:bCs/>
                <w:color w:val="FFFFFF" w:themeColor="background1"/>
                <w:sz w:val="20"/>
                <w:szCs w:val="20"/>
                <w:lang w:val="es-ES"/>
              </w:rPr>
              <w:t>Presentación dentro de plazo</w:t>
            </w:r>
          </w:p>
        </w:tc>
        <w:tc>
          <w:tcPr>
            <w:tcW w:w="6570" w:type="dxa"/>
            <w:vAlign w:val="center"/>
          </w:tcPr>
          <w:p w14:paraId="4A2A4569" w14:textId="419C8657" w:rsidR="003239B8" w:rsidRPr="008C2F9C" w:rsidRDefault="00EA6E8E" w:rsidP="00AD16FE">
            <w:pPr>
              <w:rPr>
                <w:rFonts w:ascii="Cambria" w:hAnsi="Cambria"/>
                <w:bCs/>
                <w:sz w:val="20"/>
                <w:szCs w:val="20"/>
                <w:lang w:val="es-ES"/>
              </w:rPr>
            </w:pPr>
            <w:r w:rsidRPr="008C2F9C">
              <w:rPr>
                <w:rFonts w:ascii="Cambria" w:hAnsi="Cambria"/>
                <w:bCs/>
                <w:sz w:val="20"/>
                <w:szCs w:val="20"/>
                <w:lang w:val="es-ES"/>
              </w:rPr>
              <w:t>Sí, en los términos de la sección IV</w:t>
            </w:r>
          </w:p>
        </w:tc>
      </w:tr>
    </w:tbl>
    <w:p w14:paraId="562DEF8C" w14:textId="77777777" w:rsidR="00AA6694" w:rsidRPr="008C2F9C" w:rsidRDefault="00AA6694" w:rsidP="00AD16FE">
      <w:pPr>
        <w:jc w:val="both"/>
        <w:rPr>
          <w:rFonts w:asciiTheme="majorHAnsi" w:hAnsiTheme="majorHAnsi"/>
          <w:b/>
          <w:sz w:val="20"/>
          <w:szCs w:val="20"/>
          <w:lang w:val="es-ES"/>
        </w:rPr>
      </w:pPr>
    </w:p>
    <w:p w14:paraId="18E6423B" w14:textId="463ABB3D" w:rsidR="003239B8" w:rsidRPr="008C2F9C" w:rsidRDefault="00223A29" w:rsidP="00AD16FE">
      <w:pPr>
        <w:ind w:firstLine="720"/>
        <w:jc w:val="both"/>
        <w:rPr>
          <w:rFonts w:asciiTheme="majorHAnsi" w:hAnsiTheme="majorHAnsi"/>
          <w:b/>
          <w:sz w:val="20"/>
          <w:szCs w:val="20"/>
          <w:lang w:val="es-ES"/>
        </w:rPr>
      </w:pPr>
      <w:r w:rsidRPr="008C2F9C">
        <w:rPr>
          <w:rFonts w:asciiTheme="majorHAnsi" w:hAnsiTheme="majorHAnsi"/>
          <w:b/>
          <w:sz w:val="20"/>
          <w:szCs w:val="20"/>
          <w:lang w:val="es-ES"/>
        </w:rPr>
        <w:t xml:space="preserve">V. </w:t>
      </w:r>
      <w:r w:rsidRPr="008C2F9C">
        <w:rPr>
          <w:rFonts w:asciiTheme="majorHAnsi" w:hAnsiTheme="majorHAnsi"/>
          <w:b/>
          <w:sz w:val="20"/>
          <w:szCs w:val="20"/>
          <w:lang w:val="es-ES"/>
        </w:rPr>
        <w:tab/>
      </w:r>
      <w:r w:rsidR="0034224A" w:rsidRPr="008C2F9C">
        <w:rPr>
          <w:rFonts w:asciiTheme="majorHAnsi" w:hAnsiTheme="majorHAnsi"/>
          <w:b/>
          <w:sz w:val="20"/>
          <w:szCs w:val="20"/>
          <w:lang w:val="es-ES"/>
        </w:rPr>
        <w:t>RESUMEN DE LOS HECHOS ALEGADOS</w:t>
      </w:r>
    </w:p>
    <w:p w14:paraId="6036B228" w14:textId="77777777" w:rsidR="00AA6694" w:rsidRPr="008C2F9C" w:rsidRDefault="00AA6694"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A6F0AA1" w14:textId="1263B467" w:rsidR="00E478A8" w:rsidRPr="008C2F9C" w:rsidRDefault="00F82A77"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La parte peticionaria denuncia que el Estado violó los derechos de </w:t>
      </w:r>
      <w:r w:rsidR="00AA6694" w:rsidRPr="008C2F9C">
        <w:rPr>
          <w:rFonts w:ascii="Cambria" w:hAnsi="Cambria"/>
          <w:bCs/>
          <w:sz w:val="20"/>
          <w:szCs w:val="20"/>
          <w:lang w:val="es-ES"/>
        </w:rPr>
        <w:t>Ángel Domingo Ortiz Morales y Ed</w:t>
      </w:r>
      <w:r w:rsidR="005B4895">
        <w:rPr>
          <w:rFonts w:ascii="Cambria" w:hAnsi="Cambria"/>
          <w:bCs/>
          <w:sz w:val="20"/>
          <w:szCs w:val="20"/>
          <w:lang w:val="es-ES"/>
        </w:rPr>
        <w:t>v</w:t>
      </w:r>
      <w:r w:rsidR="00AA6694" w:rsidRPr="008C2F9C">
        <w:rPr>
          <w:rFonts w:ascii="Cambria" w:hAnsi="Cambria"/>
          <w:bCs/>
          <w:sz w:val="20"/>
          <w:szCs w:val="20"/>
          <w:lang w:val="es-ES"/>
        </w:rPr>
        <w:t>in Ortiz Torres (en adelante “</w:t>
      </w:r>
      <w:r w:rsidRPr="008C2F9C">
        <w:rPr>
          <w:rFonts w:ascii="Cambria" w:hAnsi="Cambria"/>
          <w:sz w:val="20"/>
          <w:szCs w:val="20"/>
          <w:lang w:val="es-ES"/>
        </w:rPr>
        <w:t>las presuntas víctimas</w:t>
      </w:r>
      <w:r w:rsidR="00AA6694" w:rsidRPr="008C2F9C">
        <w:rPr>
          <w:rFonts w:ascii="Cambria" w:hAnsi="Cambria"/>
          <w:sz w:val="20"/>
          <w:szCs w:val="20"/>
          <w:lang w:val="es-ES"/>
        </w:rPr>
        <w:t>”)</w:t>
      </w:r>
      <w:r w:rsidRPr="008C2F9C">
        <w:rPr>
          <w:rFonts w:ascii="Cambria" w:hAnsi="Cambria"/>
          <w:sz w:val="20"/>
          <w:szCs w:val="20"/>
          <w:lang w:val="es-ES"/>
        </w:rPr>
        <w:t xml:space="preserve"> al imponerles un régimen de prisión preventiva desproporcionado, que no tomó en consideración su pertenencia a comunidades indígenas; y </w:t>
      </w:r>
      <w:r w:rsidR="00AA6694" w:rsidRPr="008C2F9C">
        <w:rPr>
          <w:rFonts w:ascii="Cambria" w:hAnsi="Cambria"/>
          <w:sz w:val="20"/>
          <w:szCs w:val="20"/>
          <w:lang w:val="es-ES"/>
        </w:rPr>
        <w:t xml:space="preserve">al </w:t>
      </w:r>
      <w:r w:rsidRPr="008C2F9C">
        <w:rPr>
          <w:rFonts w:ascii="Cambria" w:hAnsi="Cambria"/>
          <w:sz w:val="20"/>
          <w:szCs w:val="20"/>
          <w:lang w:val="es-ES"/>
        </w:rPr>
        <w:t xml:space="preserve">no brindarles un traductor en el proceso penal en su contra, entre otras afectaciones a las garantías judiciales. </w:t>
      </w:r>
      <w:r w:rsidR="00AA6694" w:rsidRPr="008C2F9C">
        <w:rPr>
          <w:rFonts w:ascii="Cambria" w:hAnsi="Cambria"/>
          <w:sz w:val="20"/>
          <w:szCs w:val="20"/>
          <w:lang w:val="es-ES"/>
        </w:rPr>
        <w:t xml:space="preserve">Las </w:t>
      </w:r>
      <w:r w:rsidR="00EF506F" w:rsidRPr="008C2F9C">
        <w:rPr>
          <w:rFonts w:ascii="Cambria" w:hAnsi="Cambria"/>
          <w:sz w:val="20"/>
          <w:szCs w:val="20"/>
          <w:lang w:val="es-ES"/>
        </w:rPr>
        <w:t xml:space="preserve">presuntas víctimas, pertenecientes a la etnia </w:t>
      </w:r>
      <w:r w:rsidR="00483358" w:rsidRPr="008C2F9C">
        <w:rPr>
          <w:rFonts w:ascii="Cambria" w:hAnsi="Cambria"/>
          <w:sz w:val="20"/>
          <w:szCs w:val="20"/>
          <w:lang w:val="es-ES"/>
        </w:rPr>
        <w:t>B</w:t>
      </w:r>
      <w:r w:rsidR="00EF506F" w:rsidRPr="008C2F9C">
        <w:rPr>
          <w:rFonts w:ascii="Cambria" w:hAnsi="Cambria"/>
          <w:sz w:val="20"/>
          <w:szCs w:val="20"/>
          <w:lang w:val="es-ES"/>
        </w:rPr>
        <w:t xml:space="preserve">ribri, eran vecinos </w:t>
      </w:r>
      <w:r w:rsidR="00AA6694" w:rsidRPr="008C2F9C">
        <w:rPr>
          <w:rFonts w:ascii="Cambria" w:hAnsi="Cambria"/>
          <w:sz w:val="20"/>
          <w:szCs w:val="20"/>
          <w:lang w:val="es-ES"/>
        </w:rPr>
        <w:t>d</w:t>
      </w:r>
      <w:r w:rsidR="00EF506F" w:rsidRPr="008C2F9C">
        <w:rPr>
          <w:rFonts w:ascii="Cambria" w:hAnsi="Cambria"/>
          <w:sz w:val="20"/>
          <w:szCs w:val="20"/>
          <w:lang w:val="es-ES"/>
        </w:rPr>
        <w:t xml:space="preserve">el territorio indígena </w:t>
      </w:r>
      <w:proofErr w:type="spellStart"/>
      <w:r w:rsidR="00EF506F" w:rsidRPr="008C2F9C">
        <w:rPr>
          <w:rFonts w:ascii="Cambria" w:hAnsi="Cambria"/>
          <w:sz w:val="20"/>
          <w:szCs w:val="20"/>
          <w:lang w:val="es-ES"/>
        </w:rPr>
        <w:t>Cabagra</w:t>
      </w:r>
      <w:proofErr w:type="spellEnd"/>
      <w:r w:rsidR="00EF506F" w:rsidRPr="008C2F9C">
        <w:rPr>
          <w:rFonts w:ascii="Cambria" w:hAnsi="Cambria"/>
          <w:sz w:val="20"/>
          <w:szCs w:val="20"/>
          <w:lang w:val="es-ES"/>
        </w:rPr>
        <w:t xml:space="preserve"> </w:t>
      </w:r>
      <w:r w:rsidR="00AA6694" w:rsidRPr="008C2F9C">
        <w:rPr>
          <w:rFonts w:ascii="Cambria" w:hAnsi="Cambria"/>
          <w:sz w:val="20"/>
          <w:szCs w:val="20"/>
          <w:lang w:val="es-ES"/>
        </w:rPr>
        <w:t xml:space="preserve">en </w:t>
      </w:r>
      <w:r w:rsidR="00EF506F" w:rsidRPr="008C2F9C">
        <w:rPr>
          <w:rFonts w:ascii="Cambria" w:hAnsi="Cambria"/>
          <w:sz w:val="20"/>
          <w:szCs w:val="20"/>
          <w:lang w:val="es-ES"/>
        </w:rPr>
        <w:t>San Rafael de Buenos Aires Zona Sur</w:t>
      </w:r>
      <w:r w:rsidR="00AA6694" w:rsidRPr="008C2F9C">
        <w:rPr>
          <w:rFonts w:ascii="Cambria" w:hAnsi="Cambria"/>
          <w:sz w:val="20"/>
          <w:szCs w:val="20"/>
          <w:lang w:val="es-ES"/>
        </w:rPr>
        <w:t>;</w:t>
      </w:r>
      <w:r w:rsidR="00EF506F" w:rsidRPr="008C2F9C">
        <w:rPr>
          <w:rFonts w:ascii="Cambria" w:hAnsi="Cambria"/>
          <w:sz w:val="20"/>
          <w:szCs w:val="20"/>
          <w:lang w:val="es-ES"/>
        </w:rPr>
        <w:t xml:space="preserve"> como parte de su cultura, se dedica</w:t>
      </w:r>
      <w:r w:rsidR="00003273" w:rsidRPr="008C2F9C">
        <w:rPr>
          <w:rFonts w:ascii="Cambria" w:hAnsi="Cambria"/>
          <w:sz w:val="20"/>
          <w:szCs w:val="20"/>
          <w:lang w:val="es-ES"/>
        </w:rPr>
        <w:t>n</w:t>
      </w:r>
      <w:r w:rsidR="00EF506F" w:rsidRPr="008C2F9C">
        <w:rPr>
          <w:rFonts w:ascii="Cambria" w:hAnsi="Cambria"/>
          <w:sz w:val="20"/>
          <w:szCs w:val="20"/>
          <w:lang w:val="es-ES"/>
        </w:rPr>
        <w:t xml:space="preserve"> al cuidado de la tierra y a la agricultura. </w:t>
      </w:r>
    </w:p>
    <w:p w14:paraId="76FA0040" w14:textId="77777777" w:rsidR="00AA6694" w:rsidRPr="008C2F9C" w:rsidRDefault="00AA6694"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50897BE" w14:textId="63B1AC8B" w:rsidR="00412BDB" w:rsidRPr="008C2F9C" w:rsidRDefault="00AA6694"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lastRenderedPageBreak/>
        <w:t xml:space="preserve">En </w:t>
      </w:r>
      <w:r w:rsidR="00EF506F" w:rsidRPr="008C2F9C">
        <w:rPr>
          <w:rFonts w:ascii="Cambria" w:hAnsi="Cambria"/>
          <w:sz w:val="20"/>
          <w:szCs w:val="20"/>
          <w:lang w:val="es-ES"/>
        </w:rPr>
        <w:t>2010 la Fiscalía inició</w:t>
      </w:r>
      <w:r w:rsidRPr="008C2F9C">
        <w:rPr>
          <w:rFonts w:ascii="Cambria" w:hAnsi="Cambria"/>
          <w:sz w:val="20"/>
          <w:szCs w:val="20"/>
          <w:lang w:val="es-ES"/>
        </w:rPr>
        <w:t xml:space="preserve"> </w:t>
      </w:r>
      <w:r w:rsidR="00EF506F" w:rsidRPr="008C2F9C">
        <w:rPr>
          <w:rFonts w:ascii="Cambria" w:hAnsi="Cambria"/>
          <w:sz w:val="20"/>
          <w:szCs w:val="20"/>
          <w:lang w:val="es-ES"/>
        </w:rPr>
        <w:t xml:space="preserve">una investigación </w:t>
      </w:r>
      <w:r w:rsidRPr="008C2F9C">
        <w:rPr>
          <w:rFonts w:ascii="Cambria" w:hAnsi="Cambria"/>
          <w:sz w:val="20"/>
          <w:szCs w:val="20"/>
          <w:lang w:val="es-ES"/>
        </w:rPr>
        <w:t xml:space="preserve">contra las presuntas víctimas </w:t>
      </w:r>
      <w:r w:rsidR="00EF506F" w:rsidRPr="008C2F9C">
        <w:rPr>
          <w:rFonts w:ascii="Cambria" w:hAnsi="Cambria"/>
          <w:sz w:val="20"/>
          <w:szCs w:val="20"/>
          <w:lang w:val="es-ES"/>
        </w:rPr>
        <w:t>por homicidio calificado</w:t>
      </w:r>
      <w:r w:rsidRPr="008C2F9C">
        <w:rPr>
          <w:rFonts w:ascii="Cambria" w:hAnsi="Cambria"/>
          <w:sz w:val="20"/>
          <w:szCs w:val="20"/>
          <w:lang w:val="es-ES"/>
        </w:rPr>
        <w:t>, en el expediente No. 10-00037-990-PE. La parte peticionaria alega que el</w:t>
      </w:r>
      <w:r w:rsidR="00EF506F" w:rsidRPr="008C2F9C">
        <w:rPr>
          <w:rFonts w:ascii="Cambria" w:hAnsi="Cambria"/>
          <w:sz w:val="20"/>
          <w:szCs w:val="20"/>
          <w:lang w:val="es-ES"/>
        </w:rPr>
        <w:t xml:space="preserve"> 31 de enero de dicho año ambas personas fueron privadas de libertad de manera ilegítima, debido</w:t>
      </w:r>
      <w:r w:rsidR="000A7E71" w:rsidRPr="008C2F9C">
        <w:rPr>
          <w:rFonts w:ascii="Cambria" w:hAnsi="Cambria"/>
          <w:sz w:val="20"/>
          <w:szCs w:val="20"/>
          <w:lang w:val="es-ES"/>
        </w:rPr>
        <w:t xml:space="preserve"> a la imposición de un régimen de prisión preventiva</w:t>
      </w:r>
      <w:r w:rsidR="00FC42CA" w:rsidRPr="008C2F9C">
        <w:rPr>
          <w:rFonts w:ascii="Cambria" w:hAnsi="Cambria"/>
          <w:sz w:val="20"/>
          <w:szCs w:val="20"/>
          <w:lang w:val="es-ES"/>
        </w:rPr>
        <w:t xml:space="preserve"> que no cumplió con los requisitos establecidos por ley</w:t>
      </w:r>
      <w:r w:rsidRPr="008C2F9C">
        <w:rPr>
          <w:rFonts w:ascii="Cambria" w:hAnsi="Cambria"/>
          <w:sz w:val="20"/>
          <w:szCs w:val="20"/>
          <w:lang w:val="es-ES"/>
        </w:rPr>
        <w:t xml:space="preserve">, ya que no había </w:t>
      </w:r>
      <w:r w:rsidR="000A7E71" w:rsidRPr="008C2F9C">
        <w:rPr>
          <w:rFonts w:ascii="Cambria" w:hAnsi="Cambria"/>
          <w:sz w:val="20"/>
          <w:szCs w:val="20"/>
          <w:lang w:val="es-ES"/>
        </w:rPr>
        <w:t xml:space="preserve">indicio de obstaculización </w:t>
      </w:r>
      <w:r w:rsidRPr="008C2F9C">
        <w:rPr>
          <w:rFonts w:ascii="Cambria" w:hAnsi="Cambria"/>
          <w:sz w:val="20"/>
          <w:szCs w:val="20"/>
          <w:lang w:val="es-ES"/>
        </w:rPr>
        <w:t>de</w:t>
      </w:r>
      <w:r w:rsidR="000A7E71" w:rsidRPr="008C2F9C">
        <w:rPr>
          <w:rFonts w:ascii="Cambria" w:hAnsi="Cambria"/>
          <w:sz w:val="20"/>
          <w:szCs w:val="20"/>
          <w:lang w:val="es-ES"/>
        </w:rPr>
        <w:t xml:space="preserve"> la justicia ni peligro de fuga, toda vez que las presuntas víctimas tienen un fuerte</w:t>
      </w:r>
      <w:r w:rsidR="00412BDB" w:rsidRPr="008C2F9C">
        <w:rPr>
          <w:rFonts w:ascii="Cambria" w:hAnsi="Cambria"/>
          <w:sz w:val="20"/>
          <w:szCs w:val="20"/>
          <w:lang w:val="es-ES"/>
        </w:rPr>
        <w:t xml:space="preserve"> arraigo familiar y a la tierra,</w:t>
      </w:r>
      <w:r w:rsidR="000A7E71" w:rsidRPr="008C2F9C">
        <w:rPr>
          <w:rFonts w:ascii="Cambria" w:hAnsi="Cambria"/>
          <w:sz w:val="20"/>
          <w:szCs w:val="20"/>
          <w:lang w:val="es-ES"/>
        </w:rPr>
        <w:t xml:space="preserve"> además de carecer de recursos económicos y antecedentes penales.</w:t>
      </w:r>
      <w:r w:rsidR="00FC42CA" w:rsidRPr="008C2F9C">
        <w:rPr>
          <w:rFonts w:ascii="Cambria" w:hAnsi="Cambria"/>
          <w:sz w:val="20"/>
          <w:szCs w:val="20"/>
          <w:lang w:val="es-ES"/>
        </w:rPr>
        <w:t xml:space="preserve"> Afirma que la imposición de tal medida cautelar tuvo un impacto desproporcionado en las presuntas víctimas, debido a su condición de personas indígenas, y que la decisión se basó en que se dedicaban al trabajo agrícola. </w:t>
      </w:r>
    </w:p>
    <w:p w14:paraId="6C77D09F" w14:textId="77777777" w:rsidR="00AA6694" w:rsidRPr="008C2F9C" w:rsidRDefault="00AA6694"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7BCB1EF" w14:textId="156C9630" w:rsidR="00501393" w:rsidRPr="008C2F9C" w:rsidRDefault="00262388"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El </w:t>
      </w:r>
      <w:r w:rsidR="000A7E71" w:rsidRPr="008C2F9C">
        <w:rPr>
          <w:rFonts w:ascii="Cambria" w:hAnsi="Cambria"/>
          <w:sz w:val="20"/>
          <w:szCs w:val="20"/>
          <w:lang w:val="es-ES"/>
        </w:rPr>
        <w:t>1</w:t>
      </w:r>
      <w:r w:rsidRPr="008C2F9C">
        <w:rPr>
          <w:rFonts w:ascii="Cambria" w:hAnsi="Cambria"/>
          <w:sz w:val="20"/>
          <w:szCs w:val="20"/>
          <w:lang w:val="es-ES"/>
        </w:rPr>
        <w:t xml:space="preserve">º </w:t>
      </w:r>
      <w:r w:rsidR="000A7E71" w:rsidRPr="008C2F9C">
        <w:rPr>
          <w:rFonts w:ascii="Cambria" w:hAnsi="Cambria"/>
          <w:sz w:val="20"/>
          <w:szCs w:val="20"/>
          <w:lang w:val="es-ES"/>
        </w:rPr>
        <w:t>de noviembre de 2010 la jueza de la etapa preparatoria prorrogó por tres meses el citado régimen de prisión preventiva</w:t>
      </w:r>
      <w:r w:rsidRPr="008C2F9C">
        <w:rPr>
          <w:rFonts w:ascii="Cambria" w:hAnsi="Cambria"/>
          <w:sz w:val="20"/>
          <w:szCs w:val="20"/>
          <w:lang w:val="es-ES"/>
        </w:rPr>
        <w:t>. Con fecha</w:t>
      </w:r>
      <w:r w:rsidR="00501393" w:rsidRPr="008C2F9C">
        <w:rPr>
          <w:rFonts w:ascii="Cambria" w:hAnsi="Cambria"/>
          <w:sz w:val="20"/>
          <w:szCs w:val="20"/>
          <w:lang w:val="es-ES"/>
        </w:rPr>
        <w:t xml:space="preserve"> 3 de noviembre de 2010 el representante del señor Ortiz Morales presentó un recurso de hábeas corpus, </w:t>
      </w:r>
      <w:r w:rsidRPr="008C2F9C">
        <w:rPr>
          <w:rFonts w:ascii="Cambria" w:hAnsi="Cambria"/>
          <w:sz w:val="20"/>
          <w:szCs w:val="20"/>
          <w:lang w:val="es-ES"/>
        </w:rPr>
        <w:t xml:space="preserve">por considerar </w:t>
      </w:r>
      <w:r w:rsidR="00501393" w:rsidRPr="008C2F9C">
        <w:rPr>
          <w:rFonts w:ascii="Cambria" w:hAnsi="Cambria"/>
          <w:sz w:val="20"/>
          <w:szCs w:val="20"/>
          <w:lang w:val="es-ES"/>
        </w:rPr>
        <w:t>que no</w:t>
      </w:r>
      <w:r w:rsidR="00FC42CA" w:rsidRPr="008C2F9C">
        <w:rPr>
          <w:rFonts w:ascii="Cambria" w:hAnsi="Cambria"/>
          <w:sz w:val="20"/>
          <w:szCs w:val="20"/>
          <w:lang w:val="es-ES"/>
        </w:rPr>
        <w:t xml:space="preserve"> se</w:t>
      </w:r>
      <w:r w:rsidR="00501393" w:rsidRPr="008C2F9C">
        <w:rPr>
          <w:rFonts w:ascii="Cambria" w:hAnsi="Cambria"/>
          <w:sz w:val="20"/>
          <w:szCs w:val="20"/>
          <w:lang w:val="es-ES"/>
        </w:rPr>
        <w:t xml:space="preserve"> cumplían los requisitos para </w:t>
      </w:r>
      <w:r w:rsidR="000A7E71" w:rsidRPr="008C2F9C">
        <w:rPr>
          <w:rFonts w:ascii="Cambria" w:hAnsi="Cambria"/>
          <w:sz w:val="20"/>
          <w:szCs w:val="20"/>
          <w:lang w:val="es-ES"/>
        </w:rPr>
        <w:t xml:space="preserve">que </w:t>
      </w:r>
      <w:r w:rsidRPr="008C2F9C">
        <w:rPr>
          <w:rFonts w:ascii="Cambria" w:hAnsi="Cambria"/>
          <w:sz w:val="20"/>
          <w:szCs w:val="20"/>
          <w:lang w:val="es-ES"/>
        </w:rPr>
        <w:t xml:space="preserve">mantener </w:t>
      </w:r>
      <w:r w:rsidR="000A7E71" w:rsidRPr="008C2F9C">
        <w:rPr>
          <w:rFonts w:ascii="Cambria" w:hAnsi="Cambria"/>
          <w:sz w:val="20"/>
          <w:szCs w:val="20"/>
          <w:lang w:val="es-ES"/>
        </w:rPr>
        <w:t>tal medida cautelar</w:t>
      </w:r>
      <w:r w:rsidRPr="008C2F9C">
        <w:rPr>
          <w:rFonts w:ascii="Cambria" w:hAnsi="Cambria"/>
          <w:sz w:val="20"/>
          <w:szCs w:val="20"/>
          <w:lang w:val="es-ES"/>
        </w:rPr>
        <w:t>;</w:t>
      </w:r>
      <w:r w:rsidR="000A7E71" w:rsidRPr="008C2F9C">
        <w:rPr>
          <w:rFonts w:ascii="Cambria" w:hAnsi="Cambria"/>
          <w:sz w:val="20"/>
          <w:szCs w:val="20"/>
          <w:lang w:val="es-ES"/>
        </w:rPr>
        <w:t xml:space="preserve"> </w:t>
      </w:r>
      <w:r w:rsidR="00501393" w:rsidRPr="008C2F9C">
        <w:rPr>
          <w:rFonts w:ascii="Cambria" w:hAnsi="Cambria"/>
          <w:sz w:val="20"/>
          <w:szCs w:val="20"/>
          <w:lang w:val="es-ES"/>
        </w:rPr>
        <w:t xml:space="preserve">y </w:t>
      </w:r>
      <w:r w:rsidRPr="008C2F9C">
        <w:rPr>
          <w:rFonts w:ascii="Cambria" w:hAnsi="Cambria"/>
          <w:sz w:val="20"/>
          <w:szCs w:val="20"/>
          <w:lang w:val="es-ES"/>
        </w:rPr>
        <w:t>por</w:t>
      </w:r>
      <w:r w:rsidR="00501393" w:rsidRPr="008C2F9C">
        <w:rPr>
          <w:rFonts w:ascii="Cambria" w:hAnsi="Cambria"/>
          <w:sz w:val="20"/>
          <w:szCs w:val="20"/>
          <w:lang w:val="es-ES"/>
        </w:rPr>
        <w:t xml:space="preserve">que se había violado el derecho a la defensa al no brindar un traductor </w:t>
      </w:r>
      <w:r w:rsidRPr="008C2F9C">
        <w:rPr>
          <w:rFonts w:ascii="Cambria" w:hAnsi="Cambria"/>
          <w:sz w:val="20"/>
          <w:szCs w:val="20"/>
          <w:lang w:val="es-ES"/>
        </w:rPr>
        <w:t>a</w:t>
      </w:r>
      <w:r w:rsidR="00501393" w:rsidRPr="008C2F9C">
        <w:rPr>
          <w:rFonts w:ascii="Cambria" w:hAnsi="Cambria"/>
          <w:sz w:val="20"/>
          <w:szCs w:val="20"/>
          <w:lang w:val="es-ES"/>
        </w:rPr>
        <w:t xml:space="preserve"> la lengua bribri</w:t>
      </w:r>
      <w:r w:rsidR="000A7E71" w:rsidRPr="008C2F9C">
        <w:rPr>
          <w:rFonts w:ascii="Cambria" w:hAnsi="Cambria"/>
          <w:sz w:val="20"/>
          <w:szCs w:val="20"/>
          <w:lang w:val="es-ES"/>
        </w:rPr>
        <w:t xml:space="preserve"> en dicho proceso</w:t>
      </w:r>
      <w:r w:rsidR="00501393" w:rsidRPr="008C2F9C">
        <w:rPr>
          <w:rFonts w:ascii="Cambria" w:hAnsi="Cambria"/>
          <w:sz w:val="20"/>
          <w:szCs w:val="20"/>
          <w:lang w:val="es-ES"/>
        </w:rPr>
        <w:t xml:space="preserve">. </w:t>
      </w:r>
      <w:r w:rsidRPr="008C2F9C">
        <w:rPr>
          <w:rFonts w:ascii="Cambria" w:hAnsi="Cambria"/>
          <w:sz w:val="20"/>
          <w:szCs w:val="20"/>
          <w:lang w:val="es-ES"/>
        </w:rPr>
        <w:t>El</w:t>
      </w:r>
      <w:r w:rsidR="00501393" w:rsidRPr="008C2F9C">
        <w:rPr>
          <w:rFonts w:ascii="Cambria" w:hAnsi="Cambria"/>
          <w:sz w:val="20"/>
          <w:szCs w:val="20"/>
          <w:lang w:val="es-ES"/>
        </w:rPr>
        <w:t xml:space="preserve"> 10 de noviembre de 2010 la Sala Constitucional de </w:t>
      </w:r>
      <w:r w:rsidR="00B6600F" w:rsidRPr="008C2F9C">
        <w:rPr>
          <w:rFonts w:ascii="Cambria" w:hAnsi="Cambria"/>
          <w:sz w:val="20"/>
          <w:szCs w:val="20"/>
          <w:lang w:val="es-ES"/>
        </w:rPr>
        <w:t>la Corte Suprema de Justicia</w:t>
      </w:r>
      <w:r w:rsidR="00501393" w:rsidRPr="008C2F9C">
        <w:rPr>
          <w:rFonts w:ascii="Cambria" w:hAnsi="Cambria"/>
          <w:sz w:val="20"/>
          <w:szCs w:val="20"/>
          <w:lang w:val="es-ES"/>
        </w:rPr>
        <w:t xml:space="preserve"> rechazó dicho recurso</w:t>
      </w:r>
      <w:r w:rsidR="00680938" w:rsidRPr="008C2F9C">
        <w:rPr>
          <w:rFonts w:ascii="Cambria" w:hAnsi="Cambria"/>
          <w:sz w:val="20"/>
          <w:szCs w:val="20"/>
          <w:lang w:val="es-ES"/>
        </w:rPr>
        <w:t xml:space="preserve"> </w:t>
      </w:r>
      <w:r w:rsidRPr="008C2F9C">
        <w:rPr>
          <w:rFonts w:ascii="Cambria" w:hAnsi="Cambria"/>
          <w:sz w:val="20"/>
          <w:szCs w:val="20"/>
          <w:lang w:val="es-ES"/>
        </w:rPr>
        <w:t>por</w:t>
      </w:r>
      <w:r w:rsidR="00680938" w:rsidRPr="008C2F9C">
        <w:rPr>
          <w:rFonts w:ascii="Cambria" w:hAnsi="Cambria"/>
          <w:sz w:val="20"/>
          <w:szCs w:val="20"/>
          <w:lang w:val="es-ES"/>
        </w:rPr>
        <w:t xml:space="preserve"> considerar que la decisión estuvo correctamente fundamentada y que las presuntas víctimas contaron una traductora. La parte peticionaria cuestiona que tal decisión tuvo como único sustento la declaración jurada de la citada jueza de la etapa preparatoria. </w:t>
      </w:r>
    </w:p>
    <w:p w14:paraId="1A243226" w14:textId="77777777" w:rsidR="00262388" w:rsidRPr="008C2F9C" w:rsidRDefault="0026238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2719AFC" w14:textId="6A4ACB3D" w:rsidR="007D58B9" w:rsidRPr="008C2F9C" w:rsidRDefault="00262388"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El</w:t>
      </w:r>
      <w:r w:rsidR="007D58B9" w:rsidRPr="008C2F9C">
        <w:rPr>
          <w:rFonts w:ascii="Cambria" w:hAnsi="Cambria"/>
          <w:sz w:val="20"/>
          <w:szCs w:val="20"/>
          <w:lang w:val="es-ES"/>
        </w:rPr>
        <w:t xml:space="preserve"> 2 de mayo de 2011, </w:t>
      </w:r>
      <w:r w:rsidRPr="008C2F9C">
        <w:rPr>
          <w:rFonts w:ascii="Cambria" w:hAnsi="Cambria"/>
          <w:sz w:val="20"/>
          <w:szCs w:val="20"/>
          <w:lang w:val="es-ES"/>
        </w:rPr>
        <w:t xml:space="preserve">mediante sentencia N º 95-1011 </w:t>
      </w:r>
      <w:r w:rsidR="007D58B9" w:rsidRPr="008C2F9C">
        <w:rPr>
          <w:rFonts w:ascii="Cambria" w:hAnsi="Cambria"/>
          <w:sz w:val="20"/>
          <w:szCs w:val="20"/>
          <w:lang w:val="es-ES"/>
        </w:rPr>
        <w:t>el Tribunal de Juicio del Primer Circuito Judicial de la Zona Sur absolvió al señor Ortiz Morales de los hechos acusados</w:t>
      </w:r>
      <w:r w:rsidRPr="008C2F9C">
        <w:rPr>
          <w:rFonts w:ascii="Cambria" w:hAnsi="Cambria"/>
          <w:sz w:val="20"/>
          <w:szCs w:val="20"/>
          <w:lang w:val="es-ES"/>
        </w:rPr>
        <w:t>. Sin embargo</w:t>
      </w:r>
      <w:r w:rsidR="007D58B9" w:rsidRPr="008C2F9C">
        <w:rPr>
          <w:rFonts w:ascii="Cambria" w:hAnsi="Cambria"/>
          <w:sz w:val="20"/>
          <w:szCs w:val="20"/>
          <w:lang w:val="es-ES"/>
        </w:rPr>
        <w:t>, condenó al señor Ortiz Torres a doce años de pena privativa de libertad por homicidio simple</w:t>
      </w:r>
      <w:r w:rsidRPr="008C2F9C">
        <w:rPr>
          <w:rFonts w:ascii="Cambria" w:hAnsi="Cambria"/>
          <w:sz w:val="20"/>
          <w:szCs w:val="20"/>
          <w:lang w:val="es-ES"/>
        </w:rPr>
        <w:t xml:space="preserve"> y</w:t>
      </w:r>
      <w:r w:rsidR="00A95AA4" w:rsidRPr="008C2F9C">
        <w:rPr>
          <w:rFonts w:ascii="Cambria" w:hAnsi="Cambria"/>
          <w:sz w:val="20"/>
          <w:szCs w:val="20"/>
          <w:lang w:val="es-ES"/>
        </w:rPr>
        <w:t xml:space="preserve"> prolongó por seis meses su régimen de prisión preventiva, a efectos que no impida u obstaculice su ubicación hasta que se confirme el fallo condenatorio.</w:t>
      </w:r>
    </w:p>
    <w:p w14:paraId="5A5EE815" w14:textId="77777777" w:rsidR="00262388" w:rsidRPr="008C2F9C" w:rsidRDefault="0026238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AB3FDDB" w14:textId="1A3F63E9" w:rsidR="00F82A77" w:rsidRPr="008C2F9C" w:rsidRDefault="00262388"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La</w:t>
      </w:r>
      <w:r w:rsidR="007D58B9" w:rsidRPr="008C2F9C">
        <w:rPr>
          <w:rFonts w:ascii="Cambria" w:hAnsi="Cambria"/>
          <w:sz w:val="20"/>
          <w:szCs w:val="20"/>
          <w:lang w:val="es-ES"/>
        </w:rPr>
        <w:t xml:space="preserve"> parte peticionaria denuncia que </w:t>
      </w:r>
      <w:r w:rsidR="00541B75" w:rsidRPr="008C2F9C">
        <w:rPr>
          <w:rFonts w:ascii="Cambria" w:hAnsi="Cambria"/>
          <w:sz w:val="20"/>
          <w:szCs w:val="20"/>
          <w:lang w:val="es-ES"/>
        </w:rPr>
        <w:t>se violó el derecho a las garantías judiciales de las presuntas víctimas</w:t>
      </w:r>
      <w:r w:rsidR="00E478A8" w:rsidRPr="008C2F9C">
        <w:rPr>
          <w:rFonts w:ascii="Cambria" w:hAnsi="Cambria"/>
          <w:sz w:val="20"/>
          <w:szCs w:val="20"/>
          <w:lang w:val="es-ES"/>
        </w:rPr>
        <w:t>, toda vez que fueron privad</w:t>
      </w:r>
      <w:r w:rsidR="006867D3" w:rsidRPr="008C2F9C">
        <w:rPr>
          <w:rFonts w:ascii="Cambria" w:hAnsi="Cambria"/>
          <w:sz w:val="20"/>
          <w:szCs w:val="20"/>
          <w:lang w:val="es-ES"/>
        </w:rPr>
        <w:t>a</w:t>
      </w:r>
      <w:r w:rsidR="00E478A8" w:rsidRPr="008C2F9C">
        <w:rPr>
          <w:rFonts w:ascii="Cambria" w:hAnsi="Cambria"/>
          <w:sz w:val="20"/>
          <w:szCs w:val="20"/>
          <w:lang w:val="es-ES"/>
        </w:rPr>
        <w:t>s de libertad mediante una orden de prisión preventiva desproporcionada</w:t>
      </w:r>
      <w:r w:rsidR="007D58B9" w:rsidRPr="008C2F9C">
        <w:rPr>
          <w:rFonts w:ascii="Cambria" w:hAnsi="Cambria"/>
          <w:sz w:val="20"/>
          <w:szCs w:val="20"/>
          <w:lang w:val="es-ES"/>
        </w:rPr>
        <w:t xml:space="preserve">. </w:t>
      </w:r>
      <w:r w:rsidR="00BA5D03" w:rsidRPr="008C2F9C">
        <w:rPr>
          <w:rFonts w:ascii="Cambria" w:hAnsi="Cambria"/>
          <w:sz w:val="20"/>
          <w:szCs w:val="20"/>
          <w:lang w:val="es-ES"/>
        </w:rPr>
        <w:t>A</w:t>
      </w:r>
      <w:r w:rsidR="00F82A77" w:rsidRPr="008C2F9C">
        <w:rPr>
          <w:rFonts w:ascii="Cambria" w:hAnsi="Cambria"/>
          <w:sz w:val="20"/>
          <w:szCs w:val="20"/>
          <w:lang w:val="es-ES"/>
        </w:rPr>
        <w:t xml:space="preserve">lega que no </w:t>
      </w:r>
      <w:r w:rsidR="006867D3" w:rsidRPr="008C2F9C">
        <w:rPr>
          <w:rFonts w:ascii="Cambria" w:hAnsi="Cambria"/>
          <w:sz w:val="20"/>
          <w:szCs w:val="20"/>
          <w:lang w:val="es-ES"/>
        </w:rPr>
        <w:t>hubo</w:t>
      </w:r>
      <w:r w:rsidR="00F82A77" w:rsidRPr="008C2F9C">
        <w:rPr>
          <w:rFonts w:ascii="Cambria" w:hAnsi="Cambria"/>
          <w:sz w:val="20"/>
          <w:szCs w:val="20"/>
          <w:lang w:val="es-ES"/>
        </w:rPr>
        <w:t xml:space="preserve"> presupuestos que justificaran la imposición de dicha medida cautelar puesto que, debido a la cosmovisión </w:t>
      </w:r>
      <w:r w:rsidR="00FA5F13" w:rsidRPr="008C2F9C">
        <w:rPr>
          <w:rFonts w:ascii="Cambria" w:hAnsi="Cambria"/>
          <w:sz w:val="20"/>
          <w:szCs w:val="20"/>
          <w:lang w:val="es-ES"/>
        </w:rPr>
        <w:t xml:space="preserve">y </w:t>
      </w:r>
      <w:r w:rsidR="00F82A77" w:rsidRPr="008C2F9C">
        <w:rPr>
          <w:rFonts w:ascii="Cambria" w:hAnsi="Cambria"/>
          <w:sz w:val="20"/>
          <w:szCs w:val="20"/>
          <w:lang w:val="es-ES"/>
        </w:rPr>
        <w:t xml:space="preserve">el arraigo familiar que caracteriza a los miembros de las comunidades indígenas, el trabajo agrícola constituye </w:t>
      </w:r>
      <w:r w:rsidR="006867D3" w:rsidRPr="008C2F9C">
        <w:rPr>
          <w:rFonts w:ascii="Cambria" w:hAnsi="Cambria"/>
          <w:sz w:val="20"/>
          <w:szCs w:val="20"/>
          <w:lang w:val="es-ES"/>
        </w:rPr>
        <w:t xml:space="preserve">una </w:t>
      </w:r>
      <w:r w:rsidR="00F82A77" w:rsidRPr="008C2F9C">
        <w:rPr>
          <w:rFonts w:ascii="Cambria" w:hAnsi="Cambria"/>
          <w:sz w:val="20"/>
          <w:szCs w:val="20"/>
          <w:lang w:val="es-ES"/>
        </w:rPr>
        <w:t xml:space="preserve">parte fundamental </w:t>
      </w:r>
      <w:r w:rsidR="006867D3" w:rsidRPr="008C2F9C">
        <w:rPr>
          <w:rFonts w:ascii="Cambria" w:hAnsi="Cambria"/>
          <w:sz w:val="20"/>
          <w:szCs w:val="20"/>
          <w:lang w:val="es-ES"/>
        </w:rPr>
        <w:t>de</w:t>
      </w:r>
      <w:r w:rsidR="00F82A77" w:rsidRPr="008C2F9C">
        <w:rPr>
          <w:rFonts w:ascii="Cambria" w:hAnsi="Cambria"/>
          <w:sz w:val="20"/>
          <w:szCs w:val="20"/>
          <w:lang w:val="es-ES"/>
        </w:rPr>
        <w:t xml:space="preserve"> su supervivencia. En consecuencia, arguye que el establecimiento de un régimen de prisión preventiva afectó de forma drástica la interacción de las presuntas víctimas con los miembros de su familia y comunidad.</w:t>
      </w:r>
    </w:p>
    <w:p w14:paraId="563835D3" w14:textId="77777777" w:rsidR="00262388" w:rsidRPr="008C2F9C" w:rsidRDefault="0026238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D89F087" w14:textId="28D8D5C9" w:rsidR="00E478A8" w:rsidRPr="008C2F9C" w:rsidRDefault="00E478A8"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Además, s</w:t>
      </w:r>
      <w:r w:rsidR="008E5D26" w:rsidRPr="008C2F9C">
        <w:rPr>
          <w:rFonts w:ascii="Cambria" w:hAnsi="Cambria"/>
          <w:sz w:val="20"/>
          <w:szCs w:val="20"/>
          <w:lang w:val="es-ES"/>
        </w:rPr>
        <w:t>ostiene que la misma jueza que dictó la primera prisión preventiva</w:t>
      </w:r>
      <w:r w:rsidR="00036C66" w:rsidRPr="008C2F9C">
        <w:rPr>
          <w:rFonts w:ascii="Cambria" w:hAnsi="Cambria"/>
          <w:sz w:val="20"/>
          <w:szCs w:val="20"/>
          <w:lang w:val="es-ES"/>
        </w:rPr>
        <w:t>, también</w:t>
      </w:r>
      <w:r w:rsidR="008E5D26" w:rsidRPr="008C2F9C">
        <w:rPr>
          <w:rFonts w:ascii="Cambria" w:hAnsi="Cambria"/>
          <w:sz w:val="20"/>
          <w:szCs w:val="20"/>
          <w:lang w:val="es-ES"/>
        </w:rPr>
        <w:t xml:space="preserve"> </w:t>
      </w:r>
      <w:r w:rsidR="006867D3" w:rsidRPr="008C2F9C">
        <w:rPr>
          <w:rFonts w:ascii="Cambria" w:hAnsi="Cambria"/>
          <w:sz w:val="20"/>
          <w:szCs w:val="20"/>
          <w:lang w:val="es-ES"/>
        </w:rPr>
        <w:t>actuó</w:t>
      </w:r>
      <w:r w:rsidR="008E5D26" w:rsidRPr="008C2F9C">
        <w:rPr>
          <w:rFonts w:ascii="Cambria" w:hAnsi="Cambria"/>
          <w:sz w:val="20"/>
          <w:szCs w:val="20"/>
          <w:lang w:val="es-ES"/>
        </w:rPr>
        <w:t xml:space="preserve"> como jueza penal en la etapa intermedia y dictó la</w:t>
      </w:r>
      <w:r w:rsidR="002F7D78" w:rsidRPr="008C2F9C">
        <w:rPr>
          <w:rFonts w:ascii="Cambria" w:hAnsi="Cambria"/>
          <w:sz w:val="20"/>
          <w:szCs w:val="20"/>
          <w:lang w:val="es-ES"/>
        </w:rPr>
        <w:t>s</w:t>
      </w:r>
      <w:r w:rsidR="008E5D26" w:rsidRPr="008C2F9C">
        <w:rPr>
          <w:rFonts w:ascii="Cambria" w:hAnsi="Cambria"/>
          <w:sz w:val="20"/>
          <w:szCs w:val="20"/>
          <w:lang w:val="es-ES"/>
        </w:rPr>
        <w:t xml:space="preserve"> </w:t>
      </w:r>
      <w:r w:rsidR="002F7D78" w:rsidRPr="008C2F9C">
        <w:rPr>
          <w:rFonts w:ascii="Cambria" w:hAnsi="Cambria"/>
          <w:sz w:val="20"/>
          <w:szCs w:val="20"/>
          <w:lang w:val="es-ES"/>
        </w:rPr>
        <w:t>subsiguiente</w:t>
      </w:r>
      <w:r w:rsidR="00193F31" w:rsidRPr="008C2F9C">
        <w:rPr>
          <w:rFonts w:ascii="Cambria" w:hAnsi="Cambria"/>
          <w:sz w:val="20"/>
          <w:szCs w:val="20"/>
          <w:lang w:val="es-ES"/>
        </w:rPr>
        <w:t>s</w:t>
      </w:r>
      <w:r w:rsidR="002F7D78" w:rsidRPr="008C2F9C">
        <w:rPr>
          <w:rFonts w:ascii="Cambria" w:hAnsi="Cambria"/>
          <w:sz w:val="20"/>
          <w:szCs w:val="20"/>
          <w:lang w:val="es-ES"/>
        </w:rPr>
        <w:t xml:space="preserve"> </w:t>
      </w:r>
      <w:r w:rsidR="008E5D26" w:rsidRPr="008C2F9C">
        <w:rPr>
          <w:rFonts w:ascii="Cambria" w:hAnsi="Cambria"/>
          <w:sz w:val="20"/>
          <w:szCs w:val="20"/>
          <w:lang w:val="es-ES"/>
        </w:rPr>
        <w:t>prórroga</w:t>
      </w:r>
      <w:r w:rsidR="002F7D78" w:rsidRPr="008C2F9C">
        <w:rPr>
          <w:rFonts w:ascii="Cambria" w:hAnsi="Cambria"/>
          <w:sz w:val="20"/>
          <w:szCs w:val="20"/>
          <w:lang w:val="es-ES"/>
        </w:rPr>
        <w:t>s</w:t>
      </w:r>
      <w:r w:rsidR="008E5D26" w:rsidRPr="008C2F9C">
        <w:rPr>
          <w:rFonts w:ascii="Cambria" w:hAnsi="Cambria"/>
          <w:sz w:val="20"/>
          <w:szCs w:val="20"/>
          <w:lang w:val="es-ES"/>
        </w:rPr>
        <w:t xml:space="preserve"> de </w:t>
      </w:r>
      <w:r w:rsidR="006867D3" w:rsidRPr="008C2F9C">
        <w:rPr>
          <w:rFonts w:ascii="Cambria" w:hAnsi="Cambria"/>
          <w:sz w:val="20"/>
          <w:szCs w:val="20"/>
          <w:lang w:val="es-ES"/>
        </w:rPr>
        <w:t xml:space="preserve">dicha medida cautelar </w:t>
      </w:r>
      <w:r w:rsidR="005034E2" w:rsidRPr="008C2F9C">
        <w:rPr>
          <w:rFonts w:ascii="Cambria" w:hAnsi="Cambria"/>
          <w:sz w:val="20"/>
          <w:szCs w:val="20"/>
          <w:lang w:val="es-ES"/>
        </w:rPr>
        <w:t xml:space="preserve">dentro del </w:t>
      </w:r>
      <w:r w:rsidR="002F7D78" w:rsidRPr="008C2F9C">
        <w:rPr>
          <w:rFonts w:ascii="Cambria" w:hAnsi="Cambria"/>
          <w:sz w:val="20"/>
          <w:szCs w:val="20"/>
          <w:lang w:val="es-ES"/>
        </w:rPr>
        <w:t>proceso</w:t>
      </w:r>
      <w:r w:rsidR="00541B75" w:rsidRPr="008C2F9C">
        <w:rPr>
          <w:rFonts w:ascii="Cambria" w:hAnsi="Cambria"/>
          <w:sz w:val="20"/>
          <w:szCs w:val="20"/>
          <w:lang w:val="es-ES"/>
        </w:rPr>
        <w:t>.</w:t>
      </w:r>
      <w:r w:rsidRPr="008C2F9C">
        <w:rPr>
          <w:rFonts w:ascii="Cambria" w:hAnsi="Cambria"/>
          <w:sz w:val="20"/>
          <w:szCs w:val="20"/>
          <w:lang w:val="es-ES"/>
        </w:rPr>
        <w:t xml:space="preserve"> Por ello, solicita que se pague a las presuntas víctimas una indemnización por </w:t>
      </w:r>
      <w:r w:rsidR="006867D3" w:rsidRPr="008C2F9C">
        <w:rPr>
          <w:rFonts w:ascii="Cambria" w:hAnsi="Cambria"/>
          <w:sz w:val="20"/>
          <w:szCs w:val="20"/>
          <w:lang w:val="es-ES"/>
        </w:rPr>
        <w:t xml:space="preserve">los </w:t>
      </w:r>
      <w:r w:rsidRPr="008C2F9C">
        <w:rPr>
          <w:rFonts w:ascii="Cambria" w:hAnsi="Cambria"/>
          <w:sz w:val="20"/>
          <w:szCs w:val="20"/>
          <w:lang w:val="es-ES"/>
        </w:rPr>
        <w:t>daño</w:t>
      </w:r>
      <w:r w:rsidR="006867D3" w:rsidRPr="008C2F9C">
        <w:rPr>
          <w:rFonts w:ascii="Cambria" w:hAnsi="Cambria"/>
          <w:sz w:val="20"/>
          <w:szCs w:val="20"/>
          <w:lang w:val="es-ES"/>
        </w:rPr>
        <w:t>s</w:t>
      </w:r>
      <w:r w:rsidRPr="008C2F9C">
        <w:rPr>
          <w:rFonts w:ascii="Cambria" w:hAnsi="Cambria"/>
          <w:sz w:val="20"/>
          <w:szCs w:val="20"/>
          <w:lang w:val="es-ES"/>
        </w:rPr>
        <w:t xml:space="preserve"> moral</w:t>
      </w:r>
      <w:r w:rsidR="006867D3" w:rsidRPr="008C2F9C">
        <w:rPr>
          <w:rFonts w:ascii="Cambria" w:hAnsi="Cambria"/>
          <w:sz w:val="20"/>
          <w:szCs w:val="20"/>
          <w:lang w:val="es-ES"/>
        </w:rPr>
        <w:t>es</w:t>
      </w:r>
      <w:r w:rsidRPr="008C2F9C">
        <w:rPr>
          <w:rFonts w:ascii="Cambria" w:hAnsi="Cambria"/>
          <w:sz w:val="20"/>
          <w:szCs w:val="20"/>
          <w:lang w:val="es-ES"/>
        </w:rPr>
        <w:t>, social</w:t>
      </w:r>
      <w:r w:rsidR="006867D3" w:rsidRPr="008C2F9C">
        <w:rPr>
          <w:rFonts w:ascii="Cambria" w:hAnsi="Cambria"/>
          <w:sz w:val="20"/>
          <w:szCs w:val="20"/>
          <w:lang w:val="es-ES"/>
        </w:rPr>
        <w:t>es</w:t>
      </w:r>
      <w:r w:rsidRPr="008C2F9C">
        <w:rPr>
          <w:rFonts w:ascii="Cambria" w:hAnsi="Cambria"/>
          <w:sz w:val="20"/>
          <w:szCs w:val="20"/>
          <w:lang w:val="es-ES"/>
        </w:rPr>
        <w:t xml:space="preserve"> y psicológico</w:t>
      </w:r>
      <w:r w:rsidR="006867D3" w:rsidRPr="008C2F9C">
        <w:rPr>
          <w:rFonts w:ascii="Cambria" w:hAnsi="Cambria"/>
          <w:sz w:val="20"/>
          <w:szCs w:val="20"/>
          <w:lang w:val="es-ES"/>
        </w:rPr>
        <w:t>s</w:t>
      </w:r>
      <w:r w:rsidRPr="008C2F9C">
        <w:rPr>
          <w:rFonts w:ascii="Cambria" w:hAnsi="Cambria"/>
          <w:sz w:val="20"/>
          <w:szCs w:val="20"/>
          <w:lang w:val="es-ES"/>
        </w:rPr>
        <w:t xml:space="preserve"> sufridos como consecuencia de haber estado privad</w:t>
      </w:r>
      <w:r w:rsidR="006867D3" w:rsidRPr="008C2F9C">
        <w:rPr>
          <w:rFonts w:ascii="Cambria" w:hAnsi="Cambria"/>
          <w:sz w:val="20"/>
          <w:szCs w:val="20"/>
          <w:lang w:val="es-ES"/>
        </w:rPr>
        <w:t>a</w:t>
      </w:r>
      <w:r w:rsidRPr="008C2F9C">
        <w:rPr>
          <w:rFonts w:ascii="Cambria" w:hAnsi="Cambria"/>
          <w:sz w:val="20"/>
          <w:szCs w:val="20"/>
          <w:lang w:val="es-ES"/>
        </w:rPr>
        <w:t>s de libertad de manera ilegitima por 16 meses.</w:t>
      </w:r>
    </w:p>
    <w:p w14:paraId="122ACEAF" w14:textId="77777777" w:rsidR="006867D3" w:rsidRPr="008C2F9C" w:rsidRDefault="006867D3"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A5E8F4D" w14:textId="0763D5A1" w:rsidR="00680938" w:rsidRPr="008C2F9C" w:rsidRDefault="00FA5F13"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Agrega</w:t>
      </w:r>
      <w:r w:rsidR="00541B75" w:rsidRPr="008C2F9C">
        <w:rPr>
          <w:rFonts w:ascii="Cambria" w:hAnsi="Cambria"/>
          <w:sz w:val="20"/>
          <w:szCs w:val="20"/>
          <w:lang w:val="es-ES"/>
        </w:rPr>
        <w:t xml:space="preserve"> que las autoridades nunca proveyeron un </w:t>
      </w:r>
      <w:r w:rsidR="005B2CA4" w:rsidRPr="008C2F9C">
        <w:rPr>
          <w:rFonts w:ascii="Cambria" w:hAnsi="Cambria"/>
          <w:sz w:val="20"/>
          <w:szCs w:val="20"/>
          <w:lang w:val="es-ES"/>
        </w:rPr>
        <w:t>intérprete</w:t>
      </w:r>
      <w:r w:rsidR="00541B75" w:rsidRPr="008C2F9C">
        <w:rPr>
          <w:rFonts w:ascii="Cambria" w:hAnsi="Cambria"/>
          <w:sz w:val="20"/>
          <w:szCs w:val="20"/>
          <w:lang w:val="es-ES"/>
        </w:rPr>
        <w:t xml:space="preserve"> que permitiera un mejor entendimiento del idioma español a las presuntas víctimas. </w:t>
      </w:r>
      <w:r w:rsidR="001118BD" w:rsidRPr="008C2F9C">
        <w:rPr>
          <w:rFonts w:ascii="Cambria" w:hAnsi="Cambria"/>
          <w:sz w:val="20"/>
          <w:szCs w:val="20"/>
          <w:lang w:val="es-ES"/>
        </w:rPr>
        <w:t>Adici</w:t>
      </w:r>
      <w:r w:rsidR="00B85487" w:rsidRPr="008C2F9C">
        <w:rPr>
          <w:rFonts w:ascii="Cambria" w:hAnsi="Cambria"/>
          <w:sz w:val="20"/>
          <w:szCs w:val="20"/>
          <w:lang w:val="es-ES"/>
        </w:rPr>
        <w:t xml:space="preserve">onalmente, </w:t>
      </w:r>
      <w:r w:rsidR="00E478A8" w:rsidRPr="008C2F9C">
        <w:rPr>
          <w:rFonts w:ascii="Cambria" w:hAnsi="Cambria"/>
          <w:sz w:val="20"/>
          <w:szCs w:val="20"/>
          <w:lang w:val="es-ES"/>
        </w:rPr>
        <w:t xml:space="preserve">la parte peticionaria aduce que las autoridades removieron de su cargo </w:t>
      </w:r>
      <w:r w:rsidR="006867D3" w:rsidRPr="008C2F9C">
        <w:rPr>
          <w:rFonts w:ascii="Cambria" w:hAnsi="Cambria"/>
          <w:sz w:val="20"/>
          <w:szCs w:val="20"/>
          <w:lang w:val="es-ES"/>
        </w:rPr>
        <w:t>al</w:t>
      </w:r>
      <w:r w:rsidR="00E478A8" w:rsidRPr="008C2F9C">
        <w:rPr>
          <w:rFonts w:ascii="Cambria" w:hAnsi="Cambria"/>
          <w:sz w:val="20"/>
          <w:szCs w:val="20"/>
          <w:lang w:val="es-ES"/>
        </w:rPr>
        <w:t xml:space="preserve"> representante del señor Ortiz Morales, sin fundamentación ni análisis legal. </w:t>
      </w:r>
      <w:r w:rsidR="00F91BA1" w:rsidRPr="008C2F9C">
        <w:rPr>
          <w:rFonts w:ascii="Cambria" w:hAnsi="Cambria"/>
          <w:sz w:val="20"/>
          <w:szCs w:val="20"/>
          <w:lang w:val="es-ES"/>
        </w:rPr>
        <w:t xml:space="preserve">En consecuencia, </w:t>
      </w:r>
      <w:r w:rsidR="006867D3" w:rsidRPr="008C2F9C">
        <w:rPr>
          <w:rFonts w:ascii="Cambria" w:hAnsi="Cambria"/>
          <w:sz w:val="20"/>
          <w:szCs w:val="20"/>
          <w:lang w:val="es-ES"/>
        </w:rPr>
        <w:t xml:space="preserve">se impuso </w:t>
      </w:r>
      <w:r w:rsidR="00E478A8" w:rsidRPr="008C2F9C">
        <w:rPr>
          <w:rFonts w:ascii="Cambria" w:hAnsi="Cambria"/>
          <w:sz w:val="20"/>
          <w:szCs w:val="20"/>
          <w:lang w:val="es-ES"/>
        </w:rPr>
        <w:t xml:space="preserve">un nuevo defensor público a dicha presunta víctima, </w:t>
      </w:r>
      <w:r w:rsidR="006867D3" w:rsidRPr="008C2F9C">
        <w:rPr>
          <w:rFonts w:ascii="Cambria" w:hAnsi="Cambria"/>
          <w:sz w:val="20"/>
          <w:szCs w:val="20"/>
          <w:lang w:val="es-ES"/>
        </w:rPr>
        <w:t xml:space="preserve">en violación de </w:t>
      </w:r>
      <w:r w:rsidR="00E478A8" w:rsidRPr="008C2F9C">
        <w:rPr>
          <w:rFonts w:ascii="Cambria" w:hAnsi="Cambria"/>
          <w:sz w:val="20"/>
          <w:szCs w:val="20"/>
          <w:lang w:val="es-ES"/>
        </w:rPr>
        <w:t>su derecho a las garantías judiciales y a la libre elección de la defensa técnica.</w:t>
      </w:r>
    </w:p>
    <w:p w14:paraId="6B90504F" w14:textId="77777777" w:rsidR="006867D3" w:rsidRPr="008C2F9C" w:rsidRDefault="006867D3"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D874D89" w14:textId="49AC7862" w:rsidR="00E478A8" w:rsidRPr="008C2F9C" w:rsidRDefault="00D505BB"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Por su parte, el Estado </w:t>
      </w:r>
      <w:r w:rsidR="00E478A8" w:rsidRPr="008C2F9C">
        <w:rPr>
          <w:rFonts w:ascii="Cambria" w:hAnsi="Cambria"/>
          <w:sz w:val="20"/>
          <w:szCs w:val="20"/>
          <w:lang w:val="es-ES"/>
        </w:rPr>
        <w:t>aclara que las presuntas víctimas presentaron</w:t>
      </w:r>
      <w:r w:rsidR="006867D3" w:rsidRPr="008C2F9C">
        <w:rPr>
          <w:rFonts w:ascii="Cambria" w:hAnsi="Cambria"/>
          <w:sz w:val="20"/>
          <w:szCs w:val="20"/>
          <w:lang w:val="es-ES"/>
        </w:rPr>
        <w:t xml:space="preserve"> sendos</w:t>
      </w:r>
      <w:r w:rsidR="00E478A8" w:rsidRPr="008C2F9C">
        <w:rPr>
          <w:rFonts w:ascii="Cambria" w:hAnsi="Cambria"/>
          <w:sz w:val="20"/>
          <w:szCs w:val="20"/>
          <w:lang w:val="es-ES"/>
        </w:rPr>
        <w:t xml:space="preserve"> recursos de casación contra la sentencia </w:t>
      </w:r>
      <w:proofErr w:type="spellStart"/>
      <w:r w:rsidR="00E478A8" w:rsidRPr="008C2F9C">
        <w:rPr>
          <w:rFonts w:ascii="Cambria" w:hAnsi="Cambria"/>
          <w:sz w:val="20"/>
          <w:szCs w:val="20"/>
          <w:lang w:val="es-ES"/>
        </w:rPr>
        <w:t>Nº</w:t>
      </w:r>
      <w:proofErr w:type="spellEnd"/>
      <w:r w:rsidR="00E478A8" w:rsidRPr="008C2F9C">
        <w:rPr>
          <w:rFonts w:ascii="Cambria" w:hAnsi="Cambria"/>
          <w:sz w:val="20"/>
          <w:szCs w:val="20"/>
          <w:lang w:val="es-ES"/>
        </w:rPr>
        <w:t xml:space="preserve"> 95-1011. </w:t>
      </w:r>
      <w:r w:rsidR="006867D3" w:rsidRPr="008C2F9C">
        <w:rPr>
          <w:rFonts w:ascii="Cambria" w:hAnsi="Cambria"/>
          <w:sz w:val="20"/>
          <w:szCs w:val="20"/>
          <w:lang w:val="es-ES"/>
        </w:rPr>
        <w:t>D</w:t>
      </w:r>
      <w:r w:rsidR="00E478A8" w:rsidRPr="008C2F9C">
        <w:rPr>
          <w:rFonts w:ascii="Cambria" w:hAnsi="Cambria"/>
          <w:sz w:val="20"/>
          <w:szCs w:val="20"/>
          <w:lang w:val="es-ES"/>
        </w:rPr>
        <w:t xml:space="preserve">etalla que el 31 de mayo de 2011 la representación del señor Ortiz Morales interpuso </w:t>
      </w:r>
      <w:r w:rsidR="006867D3" w:rsidRPr="008C2F9C">
        <w:rPr>
          <w:rFonts w:ascii="Cambria" w:hAnsi="Cambria"/>
          <w:sz w:val="20"/>
          <w:szCs w:val="20"/>
          <w:lang w:val="es-ES"/>
        </w:rPr>
        <w:t xml:space="preserve">un </w:t>
      </w:r>
      <w:r w:rsidR="00E478A8" w:rsidRPr="008C2F9C">
        <w:rPr>
          <w:rFonts w:ascii="Cambria" w:hAnsi="Cambria"/>
          <w:sz w:val="20"/>
          <w:szCs w:val="20"/>
          <w:lang w:val="es-ES"/>
        </w:rPr>
        <w:t>recurso de casación</w:t>
      </w:r>
      <w:r w:rsidR="006867D3" w:rsidRPr="008C2F9C">
        <w:rPr>
          <w:rFonts w:ascii="Cambria" w:hAnsi="Cambria"/>
          <w:sz w:val="20"/>
          <w:szCs w:val="20"/>
          <w:lang w:val="es-ES"/>
        </w:rPr>
        <w:t xml:space="preserve"> en el que </w:t>
      </w:r>
      <w:r w:rsidR="00FD1437" w:rsidRPr="008C2F9C">
        <w:rPr>
          <w:rFonts w:ascii="Cambria" w:hAnsi="Cambria"/>
          <w:sz w:val="20"/>
          <w:szCs w:val="20"/>
          <w:lang w:val="es-ES"/>
        </w:rPr>
        <w:t>solicit</w:t>
      </w:r>
      <w:r w:rsidR="006867D3" w:rsidRPr="008C2F9C">
        <w:rPr>
          <w:rFonts w:ascii="Cambria" w:hAnsi="Cambria"/>
          <w:sz w:val="20"/>
          <w:szCs w:val="20"/>
          <w:lang w:val="es-ES"/>
        </w:rPr>
        <w:t>ó</w:t>
      </w:r>
      <w:r w:rsidR="00FD1437" w:rsidRPr="008C2F9C">
        <w:rPr>
          <w:rFonts w:ascii="Cambria" w:hAnsi="Cambria"/>
          <w:sz w:val="20"/>
          <w:szCs w:val="20"/>
          <w:lang w:val="es-ES"/>
        </w:rPr>
        <w:t>, entre otr</w:t>
      </w:r>
      <w:r w:rsidR="006867D3" w:rsidRPr="008C2F9C">
        <w:rPr>
          <w:rFonts w:ascii="Cambria" w:hAnsi="Cambria"/>
          <w:sz w:val="20"/>
          <w:szCs w:val="20"/>
          <w:lang w:val="es-ES"/>
        </w:rPr>
        <w:t>as</w:t>
      </w:r>
      <w:r w:rsidR="00FD1437" w:rsidRPr="008C2F9C">
        <w:rPr>
          <w:rFonts w:ascii="Cambria" w:hAnsi="Cambria"/>
          <w:sz w:val="20"/>
          <w:szCs w:val="20"/>
          <w:lang w:val="es-ES"/>
        </w:rPr>
        <w:t xml:space="preserve"> </w:t>
      </w:r>
      <w:r w:rsidR="006867D3" w:rsidRPr="008C2F9C">
        <w:rPr>
          <w:rFonts w:ascii="Cambria" w:hAnsi="Cambria"/>
          <w:sz w:val="20"/>
          <w:szCs w:val="20"/>
          <w:lang w:val="es-ES"/>
        </w:rPr>
        <w:t>cosas</w:t>
      </w:r>
      <w:r w:rsidR="00FD1437" w:rsidRPr="008C2F9C">
        <w:rPr>
          <w:rFonts w:ascii="Cambria" w:hAnsi="Cambria"/>
          <w:sz w:val="20"/>
          <w:szCs w:val="20"/>
          <w:lang w:val="es-ES"/>
        </w:rPr>
        <w:t>, el pago de una indemnización por la indebida imposición de un régimen de prisión preventiva</w:t>
      </w:r>
      <w:r w:rsidR="00E478A8" w:rsidRPr="008C2F9C">
        <w:rPr>
          <w:rFonts w:ascii="Cambria" w:hAnsi="Cambria"/>
          <w:sz w:val="20"/>
          <w:szCs w:val="20"/>
          <w:lang w:val="es-ES"/>
        </w:rPr>
        <w:t xml:space="preserve">; </w:t>
      </w:r>
      <w:r w:rsidR="006867D3" w:rsidRPr="008C2F9C">
        <w:rPr>
          <w:rFonts w:ascii="Cambria" w:hAnsi="Cambria"/>
          <w:sz w:val="20"/>
          <w:szCs w:val="20"/>
          <w:lang w:val="es-ES"/>
        </w:rPr>
        <w:t>y</w:t>
      </w:r>
      <w:r w:rsidR="00E478A8" w:rsidRPr="008C2F9C">
        <w:rPr>
          <w:rFonts w:ascii="Cambria" w:hAnsi="Cambria"/>
          <w:sz w:val="20"/>
          <w:szCs w:val="20"/>
          <w:lang w:val="es-ES"/>
        </w:rPr>
        <w:t xml:space="preserve"> que la defensa del señor Ortiz Torres lo interpuso el 30 de mayo de 2011</w:t>
      </w:r>
      <w:r w:rsidR="00FD1437" w:rsidRPr="008C2F9C">
        <w:rPr>
          <w:rFonts w:ascii="Cambria" w:hAnsi="Cambria"/>
          <w:sz w:val="20"/>
          <w:szCs w:val="20"/>
          <w:lang w:val="es-ES"/>
        </w:rPr>
        <w:t>,</w:t>
      </w:r>
      <w:r w:rsidR="006867D3" w:rsidRPr="008C2F9C">
        <w:rPr>
          <w:rFonts w:ascii="Cambria" w:hAnsi="Cambria"/>
          <w:sz w:val="20"/>
          <w:szCs w:val="20"/>
          <w:lang w:val="es-ES"/>
        </w:rPr>
        <w:t xml:space="preserve"> para</w:t>
      </w:r>
      <w:r w:rsidR="00FD1437" w:rsidRPr="008C2F9C">
        <w:rPr>
          <w:rFonts w:ascii="Cambria" w:hAnsi="Cambria"/>
          <w:sz w:val="20"/>
          <w:szCs w:val="20"/>
          <w:lang w:val="es-ES"/>
        </w:rPr>
        <w:t xml:space="preserve"> cuestiona</w:t>
      </w:r>
      <w:r w:rsidR="006867D3" w:rsidRPr="008C2F9C">
        <w:rPr>
          <w:rFonts w:ascii="Cambria" w:hAnsi="Cambria"/>
          <w:sz w:val="20"/>
          <w:szCs w:val="20"/>
          <w:lang w:val="es-ES"/>
        </w:rPr>
        <w:t>r</w:t>
      </w:r>
      <w:r w:rsidR="00FD1437" w:rsidRPr="008C2F9C">
        <w:rPr>
          <w:rFonts w:ascii="Cambria" w:hAnsi="Cambria"/>
          <w:sz w:val="20"/>
          <w:szCs w:val="20"/>
          <w:lang w:val="es-ES"/>
        </w:rPr>
        <w:t xml:space="preserve"> el fallo condenatorio</w:t>
      </w:r>
      <w:r w:rsidR="0074779A" w:rsidRPr="008C2F9C">
        <w:rPr>
          <w:rFonts w:ascii="Cambria" w:hAnsi="Cambria"/>
          <w:sz w:val="20"/>
          <w:szCs w:val="20"/>
          <w:lang w:val="es-ES"/>
        </w:rPr>
        <w:t xml:space="preserve"> y solicita</w:t>
      </w:r>
      <w:r w:rsidR="006867D3" w:rsidRPr="008C2F9C">
        <w:rPr>
          <w:rFonts w:ascii="Cambria" w:hAnsi="Cambria"/>
          <w:sz w:val="20"/>
          <w:szCs w:val="20"/>
          <w:lang w:val="es-ES"/>
        </w:rPr>
        <w:t>r</w:t>
      </w:r>
      <w:r w:rsidR="0074779A" w:rsidRPr="008C2F9C">
        <w:rPr>
          <w:rFonts w:ascii="Cambria" w:hAnsi="Cambria"/>
          <w:sz w:val="20"/>
          <w:szCs w:val="20"/>
          <w:lang w:val="es-ES"/>
        </w:rPr>
        <w:t xml:space="preserve"> una indemnización por los daños ocasionados</w:t>
      </w:r>
      <w:r w:rsidR="00E478A8" w:rsidRPr="008C2F9C">
        <w:rPr>
          <w:rFonts w:ascii="Cambria" w:hAnsi="Cambria"/>
          <w:sz w:val="20"/>
          <w:szCs w:val="20"/>
          <w:lang w:val="es-ES"/>
        </w:rPr>
        <w:t xml:space="preserve">. </w:t>
      </w:r>
      <w:r w:rsidR="006867D3" w:rsidRPr="008C2F9C">
        <w:rPr>
          <w:rFonts w:ascii="Cambria" w:hAnsi="Cambria"/>
          <w:sz w:val="20"/>
          <w:szCs w:val="20"/>
          <w:lang w:val="es-ES"/>
        </w:rPr>
        <w:t>El</w:t>
      </w:r>
      <w:r w:rsidR="00C14431" w:rsidRPr="008C2F9C">
        <w:rPr>
          <w:rFonts w:ascii="Cambria" w:hAnsi="Cambria"/>
          <w:sz w:val="20"/>
          <w:szCs w:val="20"/>
          <w:lang w:val="es-ES"/>
        </w:rPr>
        <w:t xml:space="preserve"> 24 de noviembre de 2011 </w:t>
      </w:r>
      <w:r w:rsidR="00CD111C" w:rsidRPr="008C2F9C">
        <w:rPr>
          <w:rFonts w:ascii="Cambria" w:hAnsi="Cambria"/>
          <w:sz w:val="20"/>
          <w:szCs w:val="20"/>
          <w:lang w:val="es-ES"/>
        </w:rPr>
        <w:t xml:space="preserve">la Sala Tercera de la Corte Suprema de Justicia rechazó </w:t>
      </w:r>
      <w:r w:rsidR="006867D3" w:rsidRPr="008C2F9C">
        <w:rPr>
          <w:rFonts w:ascii="Cambria" w:hAnsi="Cambria"/>
          <w:sz w:val="20"/>
          <w:szCs w:val="20"/>
          <w:lang w:val="es-ES"/>
        </w:rPr>
        <w:t>ambos</w:t>
      </w:r>
      <w:r w:rsidR="00CD111C" w:rsidRPr="008C2F9C">
        <w:rPr>
          <w:rFonts w:ascii="Cambria" w:hAnsi="Cambria"/>
          <w:sz w:val="20"/>
          <w:szCs w:val="20"/>
          <w:lang w:val="es-ES"/>
        </w:rPr>
        <w:t xml:space="preserve"> recursos, al considerar que el proceso penal no adoleció de vicio </w:t>
      </w:r>
      <w:r w:rsidR="006867D3" w:rsidRPr="008C2F9C">
        <w:rPr>
          <w:rFonts w:ascii="Cambria" w:hAnsi="Cambria"/>
          <w:sz w:val="20"/>
          <w:szCs w:val="20"/>
          <w:lang w:val="es-ES"/>
        </w:rPr>
        <w:t xml:space="preserve">alguno; </w:t>
      </w:r>
      <w:r w:rsidR="00CD111C" w:rsidRPr="008C2F9C">
        <w:rPr>
          <w:rFonts w:ascii="Cambria" w:hAnsi="Cambria"/>
          <w:sz w:val="20"/>
          <w:szCs w:val="20"/>
          <w:lang w:val="es-ES"/>
        </w:rPr>
        <w:t xml:space="preserve">y, particularmente, </w:t>
      </w:r>
      <w:r w:rsidR="006867D3" w:rsidRPr="008C2F9C">
        <w:rPr>
          <w:rFonts w:ascii="Cambria" w:hAnsi="Cambria"/>
          <w:sz w:val="20"/>
          <w:szCs w:val="20"/>
          <w:lang w:val="es-ES"/>
        </w:rPr>
        <w:t>por</w:t>
      </w:r>
      <w:r w:rsidR="00CD111C" w:rsidRPr="008C2F9C">
        <w:rPr>
          <w:rFonts w:ascii="Cambria" w:hAnsi="Cambria"/>
          <w:sz w:val="20"/>
          <w:szCs w:val="20"/>
          <w:lang w:val="es-ES"/>
        </w:rPr>
        <w:t>que no hubo una afectación sustantiva y concreta al derecho a la defensa de las presuntas víctimas por no contar con un traductor en la primera indagatoria ante el Ministerio Público.</w:t>
      </w:r>
    </w:p>
    <w:p w14:paraId="472C786F" w14:textId="77777777" w:rsidR="006867D3" w:rsidRPr="008C2F9C" w:rsidRDefault="006867D3"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712395A" w14:textId="5961A447" w:rsidR="002463C5" w:rsidRPr="009E50F0" w:rsidRDefault="00895044" w:rsidP="00A90C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r w:rsidRPr="008C2F9C">
        <w:rPr>
          <w:rFonts w:ascii="Cambria" w:hAnsi="Cambria"/>
          <w:sz w:val="20"/>
          <w:szCs w:val="20"/>
          <w:lang w:val="es-ES"/>
        </w:rPr>
        <w:lastRenderedPageBreak/>
        <w:t xml:space="preserve">El Estado </w:t>
      </w:r>
      <w:r w:rsidR="00483358" w:rsidRPr="008C2F9C">
        <w:rPr>
          <w:rFonts w:ascii="Cambria" w:hAnsi="Cambria"/>
          <w:sz w:val="20"/>
          <w:szCs w:val="20"/>
          <w:lang w:val="es-ES"/>
        </w:rPr>
        <w:t>señala que la parte peticionaria presentó la petición el 5 de abril de 2011 y que los recursos de casación se interpusieron el 30 de mayo y 31 de mayo de 2011, respectivamente; por lo tanto,</w:t>
      </w:r>
      <w:r w:rsidR="00E478A8" w:rsidRPr="008C2F9C">
        <w:rPr>
          <w:rFonts w:ascii="Cambria" w:hAnsi="Cambria"/>
          <w:sz w:val="20"/>
          <w:szCs w:val="20"/>
          <w:lang w:val="es-ES"/>
        </w:rPr>
        <w:t xml:space="preserve"> </w:t>
      </w:r>
      <w:r w:rsidRPr="008C2F9C">
        <w:rPr>
          <w:rFonts w:ascii="Cambria" w:hAnsi="Cambria"/>
          <w:sz w:val="20"/>
          <w:szCs w:val="20"/>
          <w:lang w:val="es-ES"/>
        </w:rPr>
        <w:t xml:space="preserve">al momento de presentación de la petición no se habían </w:t>
      </w:r>
      <w:r w:rsidR="00E478A8" w:rsidRPr="008C2F9C">
        <w:rPr>
          <w:rFonts w:ascii="Cambria" w:hAnsi="Cambria"/>
          <w:sz w:val="20"/>
          <w:szCs w:val="20"/>
          <w:lang w:val="es-ES"/>
        </w:rPr>
        <w:t xml:space="preserve">agotado los recursos de la jurisdicción </w:t>
      </w:r>
      <w:r w:rsidRPr="008C2F9C">
        <w:rPr>
          <w:rFonts w:ascii="Cambria" w:hAnsi="Cambria"/>
          <w:sz w:val="20"/>
          <w:szCs w:val="20"/>
          <w:lang w:val="es-ES"/>
        </w:rPr>
        <w:t>interna</w:t>
      </w:r>
      <w:r w:rsidR="00483358" w:rsidRPr="008C2F9C">
        <w:rPr>
          <w:rFonts w:ascii="Cambria" w:hAnsi="Cambria"/>
          <w:sz w:val="20"/>
          <w:szCs w:val="20"/>
          <w:lang w:val="es-ES"/>
        </w:rPr>
        <w:t>.</w:t>
      </w:r>
      <w:r w:rsidR="00FD1437" w:rsidRPr="008C2F9C">
        <w:rPr>
          <w:rFonts w:ascii="Cambria" w:hAnsi="Cambria"/>
          <w:sz w:val="20"/>
          <w:szCs w:val="20"/>
          <w:lang w:val="es-ES"/>
        </w:rPr>
        <w:t xml:space="preserve"> </w:t>
      </w:r>
      <w:r w:rsidR="00BA5D03" w:rsidRPr="008C2F9C">
        <w:rPr>
          <w:rFonts w:ascii="Cambria" w:hAnsi="Cambria"/>
          <w:sz w:val="20"/>
          <w:szCs w:val="20"/>
          <w:lang w:val="es-ES"/>
        </w:rPr>
        <w:t>Sostiene asimismo que</w:t>
      </w:r>
      <w:r w:rsidR="00943E8E" w:rsidRPr="008C2F9C">
        <w:rPr>
          <w:rFonts w:ascii="Cambria" w:hAnsi="Cambria"/>
          <w:color w:val="000000" w:themeColor="text1"/>
          <w:sz w:val="20"/>
          <w:szCs w:val="20"/>
          <w:lang w:val="es-ES"/>
        </w:rPr>
        <w:t xml:space="preserve"> </w:t>
      </w:r>
      <w:r w:rsidR="002463C5" w:rsidRPr="008C2F9C">
        <w:rPr>
          <w:rFonts w:ascii="Cambria" w:hAnsi="Cambria"/>
          <w:color w:val="000000" w:themeColor="text1"/>
          <w:sz w:val="20"/>
          <w:szCs w:val="20"/>
          <w:lang w:val="es-ES"/>
        </w:rPr>
        <w:t xml:space="preserve">el señor </w:t>
      </w:r>
      <w:r w:rsidR="002463C5" w:rsidRPr="008C2F9C">
        <w:rPr>
          <w:rFonts w:ascii="Cambria" w:hAnsi="Cambria"/>
          <w:bCs/>
          <w:color w:val="000000" w:themeColor="text1"/>
          <w:sz w:val="19"/>
          <w:szCs w:val="19"/>
          <w:lang w:val="es-ES"/>
        </w:rPr>
        <w:t>Ortiz Torres no presentó un recurso de hábeas corpus para cuestionar su prisión preventiva</w:t>
      </w:r>
      <w:r w:rsidR="00BA5D03" w:rsidRPr="008C2F9C">
        <w:rPr>
          <w:rFonts w:ascii="Cambria" w:hAnsi="Cambria"/>
          <w:bCs/>
          <w:color w:val="000000" w:themeColor="text1"/>
          <w:sz w:val="19"/>
          <w:szCs w:val="19"/>
          <w:lang w:val="es-ES"/>
        </w:rPr>
        <w:t>,</w:t>
      </w:r>
      <w:r w:rsidR="00BA5D03" w:rsidRPr="008C2F9C">
        <w:rPr>
          <w:rFonts w:ascii="Cambria" w:hAnsi="Cambria"/>
          <w:sz w:val="20"/>
          <w:szCs w:val="20"/>
          <w:lang w:val="es-ES"/>
        </w:rPr>
        <w:t xml:space="preserve"> a</w:t>
      </w:r>
      <w:r w:rsidR="00BA5D03" w:rsidRPr="008C2F9C">
        <w:rPr>
          <w:rFonts w:ascii="Cambria" w:hAnsi="Cambria"/>
          <w:color w:val="000000" w:themeColor="text1"/>
          <w:sz w:val="20"/>
          <w:szCs w:val="20"/>
          <w:lang w:val="es-ES"/>
        </w:rPr>
        <w:t xml:space="preserve"> diferencia del </w:t>
      </w:r>
      <w:r w:rsidR="00BA5D03" w:rsidRPr="008C2F9C">
        <w:rPr>
          <w:rFonts w:ascii="Cambria" w:hAnsi="Cambria"/>
          <w:sz w:val="20"/>
          <w:szCs w:val="20"/>
          <w:lang w:val="es-ES"/>
        </w:rPr>
        <w:t>señor Ortiz Morales</w:t>
      </w:r>
      <w:r w:rsidR="002463C5" w:rsidRPr="008C2F9C">
        <w:rPr>
          <w:rFonts w:ascii="Cambria" w:hAnsi="Cambria"/>
          <w:bCs/>
          <w:color w:val="000000" w:themeColor="text1"/>
          <w:sz w:val="19"/>
          <w:szCs w:val="19"/>
          <w:lang w:val="es-ES"/>
        </w:rPr>
        <w:t xml:space="preserve">. En consecuencia, sostiene que los argumentos presentados en favor de dicha presunta víctima respecto a tal medida cautelar no deben ser admitidos por la CIDH, toda vez que no se planteó tal asunto </w:t>
      </w:r>
      <w:r w:rsidR="00483358" w:rsidRPr="008C2F9C">
        <w:rPr>
          <w:rFonts w:ascii="Cambria" w:hAnsi="Cambria"/>
          <w:bCs/>
          <w:color w:val="000000" w:themeColor="text1"/>
          <w:sz w:val="19"/>
          <w:szCs w:val="19"/>
          <w:lang w:val="es-ES"/>
        </w:rPr>
        <w:t>en el ámbito interno</w:t>
      </w:r>
      <w:r w:rsidR="002463C5" w:rsidRPr="008C2F9C">
        <w:rPr>
          <w:rFonts w:ascii="Cambria" w:hAnsi="Cambria"/>
          <w:bCs/>
          <w:color w:val="000000" w:themeColor="text1"/>
          <w:sz w:val="19"/>
          <w:szCs w:val="19"/>
          <w:lang w:val="es-ES"/>
        </w:rPr>
        <w:t xml:space="preserve">.  </w:t>
      </w:r>
    </w:p>
    <w:p w14:paraId="0EA5E947" w14:textId="77777777" w:rsidR="009E50F0" w:rsidRDefault="009E50F0" w:rsidP="009E50F0">
      <w:pPr>
        <w:pStyle w:val="ListParagraph"/>
        <w:rPr>
          <w:color w:val="000000" w:themeColor="text1"/>
          <w:sz w:val="20"/>
          <w:szCs w:val="20"/>
          <w:lang w:val="es-ES"/>
        </w:rPr>
      </w:pPr>
    </w:p>
    <w:p w14:paraId="11E80F76" w14:textId="77777777" w:rsidR="009E50F0" w:rsidRPr="008C2F9C" w:rsidRDefault="009E50F0" w:rsidP="009E50F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olor w:val="000000" w:themeColor="text1"/>
          <w:sz w:val="20"/>
          <w:szCs w:val="20"/>
          <w:lang w:val="es-ES"/>
        </w:rPr>
      </w:pPr>
    </w:p>
    <w:p w14:paraId="218A2A01" w14:textId="0336A1BD" w:rsidR="00FA71EB" w:rsidRPr="008C2F9C" w:rsidRDefault="0043497B"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Adicionalmente</w:t>
      </w:r>
      <w:r w:rsidR="00745569" w:rsidRPr="008C2F9C">
        <w:rPr>
          <w:rFonts w:ascii="Cambria" w:hAnsi="Cambria"/>
          <w:sz w:val="20"/>
          <w:szCs w:val="20"/>
          <w:lang w:val="es-ES"/>
        </w:rPr>
        <w:t>,</w:t>
      </w:r>
      <w:r w:rsidRPr="008C2F9C">
        <w:rPr>
          <w:rFonts w:ascii="Cambria" w:hAnsi="Cambria"/>
          <w:sz w:val="20"/>
          <w:szCs w:val="20"/>
          <w:lang w:val="es-ES"/>
        </w:rPr>
        <w:t xml:space="preserve"> </w:t>
      </w:r>
      <w:r w:rsidR="00483358" w:rsidRPr="008C2F9C">
        <w:rPr>
          <w:rFonts w:ascii="Cambria" w:hAnsi="Cambria"/>
          <w:sz w:val="20"/>
          <w:szCs w:val="20"/>
          <w:lang w:val="es-ES"/>
        </w:rPr>
        <w:t xml:space="preserve">el Estado </w:t>
      </w:r>
      <w:r w:rsidR="00FC42CA" w:rsidRPr="008C2F9C">
        <w:rPr>
          <w:rFonts w:ascii="Cambria" w:hAnsi="Cambria"/>
          <w:sz w:val="20"/>
          <w:szCs w:val="20"/>
          <w:lang w:val="es-ES"/>
        </w:rPr>
        <w:t xml:space="preserve">sostiene que los hechos denunciados no caracterizan </w:t>
      </w:r>
      <w:r w:rsidR="00483358" w:rsidRPr="008C2F9C">
        <w:rPr>
          <w:rFonts w:ascii="Cambria" w:hAnsi="Cambria"/>
          <w:sz w:val="20"/>
          <w:szCs w:val="20"/>
          <w:lang w:val="es-ES"/>
        </w:rPr>
        <w:t xml:space="preserve">posibles </w:t>
      </w:r>
      <w:r w:rsidR="00FC42CA" w:rsidRPr="008C2F9C">
        <w:rPr>
          <w:rFonts w:ascii="Cambria" w:hAnsi="Cambria"/>
          <w:sz w:val="20"/>
          <w:szCs w:val="20"/>
          <w:lang w:val="es-ES"/>
        </w:rPr>
        <w:t xml:space="preserve">violaciones </w:t>
      </w:r>
      <w:r w:rsidR="00483358" w:rsidRPr="008C2F9C">
        <w:rPr>
          <w:rFonts w:ascii="Cambria" w:hAnsi="Cambria"/>
          <w:sz w:val="20"/>
          <w:szCs w:val="20"/>
          <w:lang w:val="es-ES"/>
        </w:rPr>
        <w:t>de</w:t>
      </w:r>
      <w:r w:rsidR="00FC42CA" w:rsidRPr="008C2F9C">
        <w:rPr>
          <w:rFonts w:ascii="Cambria" w:hAnsi="Cambria"/>
          <w:sz w:val="20"/>
          <w:szCs w:val="20"/>
          <w:lang w:val="es-ES"/>
        </w:rPr>
        <w:t xml:space="preserve"> derechos humanos. S</w:t>
      </w:r>
      <w:r w:rsidR="00FD1437" w:rsidRPr="008C2F9C">
        <w:rPr>
          <w:rFonts w:ascii="Cambria" w:hAnsi="Cambria"/>
          <w:sz w:val="20"/>
          <w:szCs w:val="20"/>
          <w:lang w:val="es-ES"/>
        </w:rPr>
        <w:t xml:space="preserve">eñala </w:t>
      </w:r>
      <w:r w:rsidR="00745569" w:rsidRPr="008C2F9C">
        <w:rPr>
          <w:rFonts w:ascii="Cambria" w:hAnsi="Cambria"/>
          <w:sz w:val="20"/>
          <w:szCs w:val="20"/>
          <w:lang w:val="es-ES"/>
        </w:rPr>
        <w:t>que</w:t>
      </w:r>
      <w:r w:rsidR="008D4D42" w:rsidRPr="008C2F9C">
        <w:rPr>
          <w:rFonts w:ascii="Cambria" w:hAnsi="Cambria"/>
          <w:sz w:val="20"/>
          <w:szCs w:val="20"/>
          <w:lang w:val="es-ES"/>
        </w:rPr>
        <w:t xml:space="preserve"> </w:t>
      </w:r>
      <w:r w:rsidR="009C3B82" w:rsidRPr="008C2F9C">
        <w:rPr>
          <w:rFonts w:ascii="Cambria" w:hAnsi="Cambria"/>
          <w:sz w:val="20"/>
          <w:szCs w:val="20"/>
          <w:lang w:val="es-ES"/>
        </w:rPr>
        <w:t>la</w:t>
      </w:r>
      <w:r w:rsidR="00514159" w:rsidRPr="008C2F9C">
        <w:rPr>
          <w:rFonts w:ascii="Cambria" w:hAnsi="Cambria"/>
          <w:sz w:val="20"/>
          <w:szCs w:val="20"/>
          <w:lang w:val="es-ES"/>
        </w:rPr>
        <w:t xml:space="preserve">s presuntas víctimas contaron </w:t>
      </w:r>
      <w:r w:rsidR="00483358" w:rsidRPr="008C2F9C">
        <w:rPr>
          <w:rFonts w:ascii="Cambria" w:hAnsi="Cambria"/>
          <w:sz w:val="20"/>
          <w:szCs w:val="20"/>
          <w:lang w:val="es-ES"/>
        </w:rPr>
        <w:t xml:space="preserve">durante el proceso </w:t>
      </w:r>
      <w:r w:rsidR="00514159" w:rsidRPr="008C2F9C">
        <w:rPr>
          <w:rFonts w:ascii="Cambria" w:hAnsi="Cambria"/>
          <w:sz w:val="20"/>
          <w:szCs w:val="20"/>
          <w:lang w:val="es-ES"/>
        </w:rPr>
        <w:t xml:space="preserve">con todos los recursos judiciales disponibles para la protección de </w:t>
      </w:r>
      <w:r w:rsidR="00FC42CA" w:rsidRPr="008C2F9C">
        <w:rPr>
          <w:rFonts w:ascii="Cambria" w:hAnsi="Cambria"/>
          <w:sz w:val="20"/>
          <w:szCs w:val="20"/>
          <w:lang w:val="es-ES"/>
        </w:rPr>
        <w:t>sus</w:t>
      </w:r>
      <w:r w:rsidR="00514159" w:rsidRPr="008C2F9C">
        <w:rPr>
          <w:rFonts w:ascii="Cambria" w:hAnsi="Cambria"/>
          <w:sz w:val="20"/>
          <w:szCs w:val="20"/>
          <w:lang w:val="es-ES"/>
        </w:rPr>
        <w:t xml:space="preserve"> derechos. Respecto a la violaci</w:t>
      </w:r>
      <w:r w:rsidR="009C3B82" w:rsidRPr="008C2F9C">
        <w:rPr>
          <w:rFonts w:ascii="Cambria" w:hAnsi="Cambria"/>
          <w:sz w:val="20"/>
          <w:szCs w:val="20"/>
          <w:lang w:val="es-ES"/>
        </w:rPr>
        <w:t>ón de</w:t>
      </w:r>
      <w:r w:rsidR="00514159" w:rsidRPr="008C2F9C">
        <w:rPr>
          <w:rFonts w:ascii="Cambria" w:hAnsi="Cambria"/>
          <w:sz w:val="20"/>
          <w:szCs w:val="20"/>
          <w:lang w:val="es-ES"/>
        </w:rPr>
        <w:t xml:space="preserve">l </w:t>
      </w:r>
      <w:r w:rsidR="00FC42CA" w:rsidRPr="008C2F9C">
        <w:rPr>
          <w:rFonts w:ascii="Cambria" w:hAnsi="Cambria"/>
          <w:sz w:val="20"/>
          <w:szCs w:val="20"/>
          <w:lang w:val="es-ES"/>
        </w:rPr>
        <w:t>d</w:t>
      </w:r>
      <w:r w:rsidR="00514159" w:rsidRPr="008C2F9C">
        <w:rPr>
          <w:rFonts w:ascii="Cambria" w:hAnsi="Cambria"/>
          <w:sz w:val="20"/>
          <w:szCs w:val="20"/>
          <w:lang w:val="es-ES"/>
        </w:rPr>
        <w:t xml:space="preserve">erecho a la </w:t>
      </w:r>
      <w:r w:rsidR="00FC42CA" w:rsidRPr="008C2F9C">
        <w:rPr>
          <w:rFonts w:ascii="Cambria" w:hAnsi="Cambria"/>
          <w:sz w:val="20"/>
          <w:szCs w:val="20"/>
          <w:lang w:val="es-ES"/>
        </w:rPr>
        <w:t>l</w:t>
      </w:r>
      <w:r w:rsidR="00514159" w:rsidRPr="008C2F9C">
        <w:rPr>
          <w:rFonts w:ascii="Cambria" w:hAnsi="Cambria"/>
          <w:sz w:val="20"/>
          <w:szCs w:val="20"/>
          <w:lang w:val="es-ES"/>
        </w:rPr>
        <w:t xml:space="preserve">ibertad </w:t>
      </w:r>
      <w:r w:rsidR="00FC42CA" w:rsidRPr="008C2F9C">
        <w:rPr>
          <w:rFonts w:ascii="Cambria" w:hAnsi="Cambria"/>
          <w:sz w:val="20"/>
          <w:szCs w:val="20"/>
          <w:lang w:val="es-ES"/>
        </w:rPr>
        <w:t>p</w:t>
      </w:r>
      <w:r w:rsidR="009C3B82" w:rsidRPr="008C2F9C">
        <w:rPr>
          <w:rFonts w:ascii="Cambria" w:hAnsi="Cambria"/>
          <w:sz w:val="20"/>
          <w:szCs w:val="20"/>
          <w:lang w:val="es-ES"/>
        </w:rPr>
        <w:t>ersonal</w:t>
      </w:r>
      <w:r w:rsidR="00745569" w:rsidRPr="008C2F9C">
        <w:rPr>
          <w:rFonts w:ascii="Cambria" w:hAnsi="Cambria"/>
          <w:sz w:val="20"/>
          <w:szCs w:val="20"/>
          <w:lang w:val="es-ES"/>
        </w:rPr>
        <w:t>,</w:t>
      </w:r>
      <w:r w:rsidR="009C3B82" w:rsidRPr="008C2F9C">
        <w:rPr>
          <w:rFonts w:ascii="Cambria" w:hAnsi="Cambria"/>
          <w:sz w:val="20"/>
          <w:szCs w:val="20"/>
          <w:lang w:val="es-ES"/>
        </w:rPr>
        <w:t xml:space="preserve"> argumenta que el Juzgado Penal de Buenos Aires de Puntarenas de la Corte Suprema de Justicia</w:t>
      </w:r>
      <w:r w:rsidR="00BA5D03" w:rsidRPr="008C2F9C">
        <w:rPr>
          <w:rFonts w:ascii="Cambria" w:hAnsi="Cambria"/>
          <w:sz w:val="20"/>
          <w:szCs w:val="20"/>
          <w:lang w:val="es-ES"/>
        </w:rPr>
        <w:t xml:space="preserve"> (“Juzgado Penal de Buenos Aires”)</w:t>
      </w:r>
      <w:r w:rsidR="009C3B82" w:rsidRPr="008C2F9C">
        <w:rPr>
          <w:rFonts w:ascii="Cambria" w:hAnsi="Cambria"/>
          <w:sz w:val="20"/>
          <w:szCs w:val="20"/>
          <w:lang w:val="es-ES"/>
        </w:rPr>
        <w:t xml:space="preserve">, por medio de resolución </w:t>
      </w:r>
      <w:r w:rsidR="00483358" w:rsidRPr="008C2F9C">
        <w:rPr>
          <w:rFonts w:ascii="Cambria" w:hAnsi="Cambria"/>
          <w:sz w:val="20"/>
          <w:szCs w:val="20"/>
          <w:lang w:val="es-ES"/>
        </w:rPr>
        <w:t>de</w:t>
      </w:r>
      <w:r w:rsidR="009C3B82" w:rsidRPr="008C2F9C">
        <w:rPr>
          <w:rFonts w:ascii="Cambria" w:hAnsi="Cambria"/>
          <w:sz w:val="20"/>
          <w:szCs w:val="20"/>
          <w:lang w:val="es-ES"/>
        </w:rPr>
        <w:t xml:space="preserve"> 19 de enero de 2010</w:t>
      </w:r>
      <w:r w:rsidR="00FC42CA" w:rsidRPr="008C2F9C">
        <w:rPr>
          <w:rFonts w:ascii="Cambria" w:hAnsi="Cambria"/>
          <w:sz w:val="20"/>
          <w:szCs w:val="20"/>
          <w:lang w:val="es-ES"/>
        </w:rPr>
        <w:t>,</w:t>
      </w:r>
      <w:r w:rsidR="009C3B82" w:rsidRPr="008C2F9C">
        <w:rPr>
          <w:rFonts w:ascii="Cambria" w:hAnsi="Cambria"/>
          <w:sz w:val="20"/>
          <w:szCs w:val="20"/>
          <w:lang w:val="es-ES"/>
        </w:rPr>
        <w:t xml:space="preserve"> determinó procedente la imposición de prisión preventiva a los </w:t>
      </w:r>
      <w:r w:rsidR="00FC42CA" w:rsidRPr="008C2F9C">
        <w:rPr>
          <w:rFonts w:ascii="Cambria" w:hAnsi="Cambria"/>
          <w:sz w:val="20"/>
          <w:szCs w:val="20"/>
          <w:lang w:val="es-ES"/>
        </w:rPr>
        <w:t>s</w:t>
      </w:r>
      <w:r w:rsidR="009C3B82" w:rsidRPr="008C2F9C">
        <w:rPr>
          <w:rFonts w:ascii="Cambria" w:hAnsi="Cambria"/>
          <w:sz w:val="20"/>
          <w:szCs w:val="20"/>
          <w:lang w:val="es-ES"/>
        </w:rPr>
        <w:t>eñores Ortiz Morales y Ortiz Torres</w:t>
      </w:r>
      <w:r w:rsidR="00C14431" w:rsidRPr="008C2F9C">
        <w:rPr>
          <w:rFonts w:ascii="Cambria" w:hAnsi="Cambria"/>
          <w:sz w:val="20"/>
          <w:szCs w:val="20"/>
          <w:lang w:val="es-ES"/>
        </w:rPr>
        <w:t xml:space="preserve"> </w:t>
      </w:r>
      <w:r w:rsidR="00483358" w:rsidRPr="008C2F9C">
        <w:rPr>
          <w:rFonts w:ascii="Cambria" w:hAnsi="Cambria"/>
          <w:sz w:val="20"/>
          <w:szCs w:val="20"/>
          <w:lang w:val="es-ES"/>
        </w:rPr>
        <w:t>por</w:t>
      </w:r>
      <w:r w:rsidR="009C3B82" w:rsidRPr="008C2F9C">
        <w:rPr>
          <w:rFonts w:ascii="Cambria" w:hAnsi="Cambria"/>
          <w:sz w:val="20"/>
          <w:szCs w:val="20"/>
          <w:lang w:val="es-ES"/>
        </w:rPr>
        <w:t xml:space="preserve"> considera</w:t>
      </w:r>
      <w:r w:rsidR="00C14431" w:rsidRPr="008C2F9C">
        <w:rPr>
          <w:rFonts w:ascii="Cambria" w:hAnsi="Cambria"/>
          <w:sz w:val="20"/>
          <w:szCs w:val="20"/>
          <w:lang w:val="es-ES"/>
        </w:rPr>
        <w:t>r</w:t>
      </w:r>
      <w:r w:rsidR="009C3B82" w:rsidRPr="008C2F9C">
        <w:rPr>
          <w:rFonts w:ascii="Cambria" w:hAnsi="Cambria"/>
          <w:sz w:val="20"/>
          <w:szCs w:val="20"/>
          <w:lang w:val="es-ES"/>
        </w:rPr>
        <w:t xml:space="preserve"> que las pruebas </w:t>
      </w:r>
      <w:r w:rsidR="00483358" w:rsidRPr="008C2F9C">
        <w:rPr>
          <w:rFonts w:ascii="Cambria" w:hAnsi="Cambria"/>
          <w:sz w:val="20"/>
          <w:szCs w:val="20"/>
          <w:lang w:val="es-ES"/>
        </w:rPr>
        <w:t>del expediente</w:t>
      </w:r>
      <w:r w:rsidR="009C3B82" w:rsidRPr="008C2F9C">
        <w:rPr>
          <w:rFonts w:ascii="Cambria" w:hAnsi="Cambria"/>
          <w:sz w:val="20"/>
          <w:szCs w:val="20"/>
          <w:lang w:val="es-ES"/>
        </w:rPr>
        <w:t xml:space="preserve"> demostraban un alto grado de probabilidad de la </w:t>
      </w:r>
      <w:r w:rsidR="009D3CDE" w:rsidRPr="008C2F9C">
        <w:rPr>
          <w:rFonts w:ascii="Cambria" w:hAnsi="Cambria"/>
          <w:sz w:val="20"/>
          <w:szCs w:val="20"/>
          <w:lang w:val="es-ES"/>
        </w:rPr>
        <w:t>comisión</w:t>
      </w:r>
      <w:r w:rsidR="009C3B82" w:rsidRPr="008C2F9C">
        <w:rPr>
          <w:rFonts w:ascii="Cambria" w:hAnsi="Cambria"/>
          <w:sz w:val="20"/>
          <w:szCs w:val="20"/>
          <w:lang w:val="es-ES"/>
        </w:rPr>
        <w:t xml:space="preserve"> del delito</w:t>
      </w:r>
      <w:r w:rsidR="00483358" w:rsidRPr="008C2F9C">
        <w:rPr>
          <w:rFonts w:ascii="Cambria" w:hAnsi="Cambria"/>
          <w:sz w:val="20"/>
          <w:szCs w:val="20"/>
          <w:lang w:val="es-ES"/>
        </w:rPr>
        <w:t>.</w:t>
      </w:r>
      <w:r w:rsidR="004D30CC" w:rsidRPr="008C2F9C">
        <w:rPr>
          <w:rFonts w:ascii="Cambria" w:hAnsi="Cambria"/>
          <w:sz w:val="20"/>
          <w:szCs w:val="20"/>
          <w:lang w:val="es-ES"/>
        </w:rPr>
        <w:t xml:space="preserve"> </w:t>
      </w:r>
      <w:r w:rsidR="00483358" w:rsidRPr="008C2F9C">
        <w:rPr>
          <w:rFonts w:ascii="Cambria" w:hAnsi="Cambria"/>
          <w:sz w:val="20"/>
          <w:szCs w:val="20"/>
          <w:lang w:val="es-ES"/>
        </w:rPr>
        <w:t xml:space="preserve">El juzgado consideró además </w:t>
      </w:r>
      <w:r w:rsidR="004D30CC" w:rsidRPr="008C2F9C">
        <w:rPr>
          <w:rFonts w:ascii="Cambria" w:hAnsi="Cambria"/>
          <w:sz w:val="20"/>
          <w:szCs w:val="20"/>
          <w:lang w:val="es-ES"/>
        </w:rPr>
        <w:t xml:space="preserve">los peligros procesales que se hubieran podido presentar, </w:t>
      </w:r>
      <w:r w:rsidR="00EB52E4" w:rsidRPr="008C2F9C">
        <w:rPr>
          <w:rFonts w:ascii="Cambria" w:hAnsi="Cambria"/>
          <w:sz w:val="20"/>
          <w:szCs w:val="20"/>
          <w:lang w:val="es-ES"/>
        </w:rPr>
        <w:t xml:space="preserve">tales </w:t>
      </w:r>
      <w:r w:rsidR="004D30CC" w:rsidRPr="008C2F9C">
        <w:rPr>
          <w:rFonts w:ascii="Cambria" w:hAnsi="Cambria"/>
          <w:sz w:val="20"/>
          <w:szCs w:val="20"/>
          <w:lang w:val="es-ES"/>
        </w:rPr>
        <w:t xml:space="preserve">como la obstaculización del proceso o la fuga de los indiciados; </w:t>
      </w:r>
      <w:r w:rsidR="00483358" w:rsidRPr="008C2F9C">
        <w:rPr>
          <w:rFonts w:ascii="Cambria" w:hAnsi="Cambria"/>
          <w:sz w:val="20"/>
          <w:szCs w:val="20"/>
          <w:lang w:val="es-ES"/>
        </w:rPr>
        <w:t>y</w:t>
      </w:r>
      <w:r w:rsidR="004D30CC" w:rsidRPr="008C2F9C">
        <w:rPr>
          <w:rFonts w:ascii="Cambria" w:hAnsi="Cambria"/>
          <w:sz w:val="20"/>
          <w:szCs w:val="20"/>
          <w:lang w:val="es-ES"/>
        </w:rPr>
        <w:t xml:space="preserve"> que el delito por el </w:t>
      </w:r>
      <w:r w:rsidR="00483358" w:rsidRPr="008C2F9C">
        <w:rPr>
          <w:rFonts w:ascii="Cambria" w:hAnsi="Cambria"/>
          <w:sz w:val="20"/>
          <w:szCs w:val="20"/>
          <w:lang w:val="es-ES"/>
        </w:rPr>
        <w:t>que</w:t>
      </w:r>
      <w:r w:rsidR="004D30CC" w:rsidRPr="008C2F9C">
        <w:rPr>
          <w:rFonts w:ascii="Cambria" w:hAnsi="Cambria"/>
          <w:sz w:val="20"/>
          <w:szCs w:val="20"/>
          <w:lang w:val="es-ES"/>
        </w:rPr>
        <w:t xml:space="preserve"> las presuntas víctimas est</w:t>
      </w:r>
      <w:r w:rsidR="008A723F" w:rsidRPr="008C2F9C">
        <w:rPr>
          <w:rFonts w:ascii="Cambria" w:hAnsi="Cambria"/>
          <w:sz w:val="20"/>
          <w:szCs w:val="20"/>
          <w:lang w:val="es-ES"/>
        </w:rPr>
        <w:t>aban siendo procesad</w:t>
      </w:r>
      <w:r w:rsidR="00483358" w:rsidRPr="008C2F9C">
        <w:rPr>
          <w:rFonts w:ascii="Cambria" w:hAnsi="Cambria"/>
          <w:sz w:val="20"/>
          <w:szCs w:val="20"/>
          <w:lang w:val="es-ES"/>
        </w:rPr>
        <w:t>a</w:t>
      </w:r>
      <w:r w:rsidR="008A723F" w:rsidRPr="008C2F9C">
        <w:rPr>
          <w:rFonts w:ascii="Cambria" w:hAnsi="Cambria"/>
          <w:sz w:val="20"/>
          <w:szCs w:val="20"/>
          <w:lang w:val="es-ES"/>
        </w:rPr>
        <w:t>s establecía</w:t>
      </w:r>
      <w:r w:rsidR="004D30CC" w:rsidRPr="008C2F9C">
        <w:rPr>
          <w:rFonts w:ascii="Cambria" w:hAnsi="Cambria"/>
          <w:sz w:val="20"/>
          <w:szCs w:val="20"/>
          <w:lang w:val="es-ES"/>
        </w:rPr>
        <w:t xml:space="preserve"> una pena de prisión privativa de la libertad</w:t>
      </w:r>
      <w:r w:rsidR="00FA71EB" w:rsidRPr="008C2F9C">
        <w:rPr>
          <w:rFonts w:ascii="Cambria" w:hAnsi="Cambria"/>
          <w:sz w:val="20"/>
          <w:szCs w:val="20"/>
          <w:lang w:val="es-ES"/>
        </w:rPr>
        <w:t>.</w:t>
      </w:r>
    </w:p>
    <w:p w14:paraId="40D2F1CE" w14:textId="77777777" w:rsidR="00483358" w:rsidRPr="008C2F9C" w:rsidRDefault="0048335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DEB38B2" w14:textId="7918AD47" w:rsidR="00B6600F" w:rsidRPr="008C2F9C" w:rsidRDefault="00FC42CA" w:rsidP="006F28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En relación con</w:t>
      </w:r>
      <w:r w:rsidR="00FA71EB" w:rsidRPr="008C2F9C">
        <w:rPr>
          <w:rFonts w:ascii="Cambria" w:hAnsi="Cambria"/>
          <w:sz w:val="20"/>
          <w:szCs w:val="20"/>
          <w:lang w:val="es-ES"/>
        </w:rPr>
        <w:t xml:space="preserve"> la designac</w:t>
      </w:r>
      <w:r w:rsidR="008A723F" w:rsidRPr="008C2F9C">
        <w:rPr>
          <w:rFonts w:ascii="Cambria" w:hAnsi="Cambria"/>
          <w:sz w:val="20"/>
          <w:szCs w:val="20"/>
          <w:lang w:val="es-ES"/>
        </w:rPr>
        <w:t>ión de un intérprete de lengua B</w:t>
      </w:r>
      <w:r w:rsidR="00FA71EB" w:rsidRPr="008C2F9C">
        <w:rPr>
          <w:rFonts w:ascii="Cambria" w:hAnsi="Cambria"/>
          <w:sz w:val="20"/>
          <w:szCs w:val="20"/>
          <w:lang w:val="es-ES"/>
        </w:rPr>
        <w:t>ribri</w:t>
      </w:r>
      <w:r w:rsidR="00522AD7" w:rsidRPr="008C2F9C">
        <w:rPr>
          <w:rFonts w:ascii="Cambria" w:hAnsi="Cambria"/>
          <w:sz w:val="20"/>
          <w:szCs w:val="20"/>
          <w:lang w:val="es-ES"/>
        </w:rPr>
        <w:t>, aduce que</w:t>
      </w:r>
      <w:r w:rsidRPr="008C2F9C">
        <w:rPr>
          <w:rFonts w:ascii="Cambria" w:hAnsi="Cambria"/>
          <w:sz w:val="20"/>
          <w:szCs w:val="20"/>
          <w:lang w:val="es-ES"/>
        </w:rPr>
        <w:t xml:space="preserve"> </w:t>
      </w:r>
      <w:r w:rsidR="00483358" w:rsidRPr="008C2F9C">
        <w:rPr>
          <w:rFonts w:ascii="Cambria" w:hAnsi="Cambria"/>
          <w:sz w:val="20"/>
          <w:szCs w:val="20"/>
          <w:lang w:val="es-ES"/>
        </w:rPr>
        <w:t xml:space="preserve">no fue sino hasta </w:t>
      </w:r>
      <w:r w:rsidRPr="008C2F9C">
        <w:rPr>
          <w:rFonts w:ascii="Cambria" w:hAnsi="Cambria"/>
          <w:sz w:val="20"/>
          <w:szCs w:val="20"/>
          <w:lang w:val="es-ES"/>
        </w:rPr>
        <w:t>el 21 de septiembre de 2010</w:t>
      </w:r>
      <w:r w:rsidR="00522AD7" w:rsidRPr="008C2F9C">
        <w:rPr>
          <w:rFonts w:ascii="Cambria" w:hAnsi="Cambria"/>
          <w:sz w:val="20"/>
          <w:szCs w:val="20"/>
          <w:lang w:val="es-ES"/>
        </w:rPr>
        <w:t xml:space="preserve"> </w:t>
      </w:r>
      <w:r w:rsidR="00483358" w:rsidRPr="008C2F9C">
        <w:rPr>
          <w:rFonts w:ascii="Cambria" w:hAnsi="Cambria"/>
          <w:sz w:val="20"/>
          <w:szCs w:val="20"/>
          <w:lang w:val="es-ES"/>
        </w:rPr>
        <w:t>que</w:t>
      </w:r>
      <w:r w:rsidRPr="008C2F9C">
        <w:rPr>
          <w:rFonts w:ascii="Cambria" w:hAnsi="Cambria"/>
          <w:sz w:val="20"/>
          <w:szCs w:val="20"/>
          <w:lang w:val="es-ES"/>
        </w:rPr>
        <w:t xml:space="preserve"> las presuntas víctimas solicitaron</w:t>
      </w:r>
      <w:r w:rsidR="00483358" w:rsidRPr="008C2F9C">
        <w:rPr>
          <w:rFonts w:ascii="Cambria" w:hAnsi="Cambria"/>
          <w:sz w:val="20"/>
          <w:szCs w:val="20"/>
          <w:lang w:val="es-ES"/>
        </w:rPr>
        <w:t xml:space="preserve"> la asistencia de un intérprete</w:t>
      </w:r>
      <w:r w:rsidRPr="008C2F9C">
        <w:rPr>
          <w:rFonts w:ascii="Cambria" w:hAnsi="Cambria"/>
          <w:sz w:val="20"/>
          <w:szCs w:val="20"/>
          <w:lang w:val="es-ES"/>
        </w:rPr>
        <w:t xml:space="preserve"> en base a su condición de personas indígenas</w:t>
      </w:r>
      <w:r w:rsidR="00483358" w:rsidRPr="008C2F9C">
        <w:rPr>
          <w:rFonts w:ascii="Cambria" w:hAnsi="Cambria"/>
          <w:sz w:val="20"/>
          <w:szCs w:val="20"/>
          <w:lang w:val="es-ES"/>
        </w:rPr>
        <w:t>;</w:t>
      </w:r>
      <w:r w:rsidRPr="008C2F9C">
        <w:rPr>
          <w:rFonts w:ascii="Cambria" w:hAnsi="Cambria"/>
          <w:sz w:val="20"/>
          <w:szCs w:val="20"/>
          <w:lang w:val="es-ES"/>
        </w:rPr>
        <w:t xml:space="preserve"> </w:t>
      </w:r>
      <w:r w:rsidR="00483358" w:rsidRPr="008C2F9C">
        <w:rPr>
          <w:rFonts w:ascii="Cambria" w:hAnsi="Cambria"/>
          <w:sz w:val="20"/>
          <w:szCs w:val="20"/>
          <w:lang w:val="es-ES"/>
        </w:rPr>
        <w:t xml:space="preserve">y que les fue asignado por </w:t>
      </w:r>
      <w:r w:rsidRPr="008C2F9C">
        <w:rPr>
          <w:rFonts w:ascii="Cambria" w:hAnsi="Cambria"/>
          <w:sz w:val="20"/>
          <w:szCs w:val="20"/>
          <w:lang w:val="es-ES"/>
        </w:rPr>
        <w:t>el Juzgado Penal de Buenos Aires.</w:t>
      </w:r>
      <w:r w:rsidR="00582E8B" w:rsidRPr="008C2F9C">
        <w:rPr>
          <w:rFonts w:ascii="Cambria" w:hAnsi="Cambria"/>
          <w:sz w:val="20"/>
          <w:szCs w:val="20"/>
          <w:lang w:val="es-ES"/>
        </w:rPr>
        <w:t xml:space="preserve"> Asegura que la audiencia preliminar y el debate se efectuaron en presencia del traductor de lengu</w:t>
      </w:r>
      <w:r w:rsidR="00FF564C" w:rsidRPr="008C2F9C">
        <w:rPr>
          <w:rFonts w:ascii="Cambria" w:hAnsi="Cambria"/>
          <w:sz w:val="20"/>
          <w:szCs w:val="20"/>
          <w:lang w:val="es-ES"/>
        </w:rPr>
        <w:t>a B</w:t>
      </w:r>
      <w:r w:rsidR="00582E8B" w:rsidRPr="008C2F9C">
        <w:rPr>
          <w:rFonts w:ascii="Cambria" w:hAnsi="Cambria"/>
          <w:sz w:val="20"/>
          <w:szCs w:val="20"/>
          <w:lang w:val="es-ES"/>
        </w:rPr>
        <w:t>ribri</w:t>
      </w:r>
      <w:r w:rsidR="00B77D8D" w:rsidRPr="008C2F9C">
        <w:rPr>
          <w:rFonts w:ascii="Cambria" w:hAnsi="Cambria"/>
          <w:sz w:val="20"/>
          <w:szCs w:val="20"/>
          <w:lang w:val="es-ES"/>
        </w:rPr>
        <w:t xml:space="preserve">, </w:t>
      </w:r>
      <w:r w:rsidR="00C14431" w:rsidRPr="008C2F9C">
        <w:rPr>
          <w:rFonts w:ascii="Cambria" w:hAnsi="Cambria"/>
          <w:sz w:val="20"/>
          <w:szCs w:val="20"/>
          <w:lang w:val="es-ES"/>
        </w:rPr>
        <w:t xml:space="preserve">por lo que el único acto preliminar de investigación realizado sin asistencia de </w:t>
      </w:r>
      <w:r w:rsidR="00CD111C" w:rsidRPr="008C2F9C">
        <w:rPr>
          <w:rFonts w:ascii="Cambria" w:hAnsi="Cambria"/>
          <w:sz w:val="20"/>
          <w:szCs w:val="20"/>
          <w:lang w:val="es-ES"/>
        </w:rPr>
        <w:t>intérprete</w:t>
      </w:r>
      <w:r w:rsidR="00C14431" w:rsidRPr="008C2F9C">
        <w:rPr>
          <w:rFonts w:ascii="Cambria" w:hAnsi="Cambria"/>
          <w:sz w:val="20"/>
          <w:szCs w:val="20"/>
          <w:lang w:val="es-ES"/>
        </w:rPr>
        <w:t xml:space="preserve"> fue la primera indagatoria ante el Ministerio Público, en que </w:t>
      </w:r>
      <w:r w:rsidR="00CD111C" w:rsidRPr="008C2F9C">
        <w:rPr>
          <w:rFonts w:ascii="Cambria" w:hAnsi="Cambria"/>
          <w:sz w:val="20"/>
          <w:szCs w:val="20"/>
          <w:lang w:val="es-ES"/>
        </w:rPr>
        <w:t xml:space="preserve">fueron asistidos por defensores públicos. </w:t>
      </w:r>
      <w:r w:rsidR="00BA5D03" w:rsidRPr="008C2F9C">
        <w:rPr>
          <w:rFonts w:ascii="Cambria" w:hAnsi="Cambria"/>
          <w:sz w:val="20"/>
          <w:szCs w:val="20"/>
          <w:lang w:val="es-ES"/>
        </w:rPr>
        <w:t>El Estado aclara que, si bien las fiscalías que atienden a la población indígena deben informar a tales personas que tienen el derecho de contar con un intérprete en su idioma, la persona usuaria debe indicar si lo requiere; no puede ser una imposición de las autoridades. S</w:t>
      </w:r>
      <w:r w:rsidR="00B6600F" w:rsidRPr="008C2F9C">
        <w:rPr>
          <w:rFonts w:ascii="Cambria" w:hAnsi="Cambria"/>
          <w:sz w:val="20"/>
          <w:szCs w:val="20"/>
          <w:lang w:val="es-ES"/>
        </w:rPr>
        <w:t xml:space="preserve">ostiene que el 31 de mayo de 2010 la Fiscalía de Asuntos Indígenas emitió una constancia </w:t>
      </w:r>
      <w:r w:rsidR="00BA5D03" w:rsidRPr="008C2F9C">
        <w:rPr>
          <w:rFonts w:ascii="Cambria" w:hAnsi="Cambria"/>
          <w:sz w:val="20"/>
          <w:szCs w:val="20"/>
          <w:lang w:val="es-ES"/>
        </w:rPr>
        <w:t>en la que</w:t>
      </w:r>
      <w:r w:rsidR="00B6600F" w:rsidRPr="008C2F9C">
        <w:rPr>
          <w:rFonts w:ascii="Cambria" w:hAnsi="Cambria"/>
          <w:sz w:val="20"/>
          <w:szCs w:val="20"/>
          <w:lang w:val="es-ES"/>
        </w:rPr>
        <w:t xml:space="preserve"> consignó lo siguiente:</w:t>
      </w:r>
    </w:p>
    <w:p w14:paraId="6C687E3C" w14:textId="77777777" w:rsidR="00483358" w:rsidRPr="008C2F9C" w:rsidRDefault="0048335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340A814" w14:textId="79FF4CE4" w:rsidR="00FC42CA" w:rsidRPr="008C2F9C" w:rsidRDefault="00B6600F"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
        </w:rPr>
      </w:pPr>
      <w:r w:rsidRPr="008C2F9C">
        <w:rPr>
          <w:rFonts w:ascii="Cambria" w:hAnsi="Cambria"/>
          <w:sz w:val="20"/>
          <w:szCs w:val="20"/>
          <w:lang w:val="es-ES"/>
        </w:rPr>
        <w:t>(…) vista la nota de folio 123 en la cual se desprende que los imputados de la causa No. 10-00037-990-PE, no contaron con traductor al momento de su indagatoria y se procede a consultar al defensor público (…) su deseo de amplia la indagatoria, a lo cual manifestó que no lo consideraba necesario, no obstante a pesar de ello en vista de la dificultad de expresión y dominio del idioma español de sus defendidos, se considera necesario para el resto de diligencias contar con la presencia de un traductor</w:t>
      </w:r>
      <w:r w:rsidRPr="008C2F9C">
        <w:rPr>
          <w:rStyle w:val="FootnoteReference"/>
          <w:rFonts w:ascii="Cambria" w:hAnsi="Cambria"/>
          <w:sz w:val="20"/>
          <w:szCs w:val="20"/>
          <w:lang w:val="es-ES"/>
        </w:rPr>
        <w:footnoteReference w:id="4"/>
      </w:r>
      <w:r w:rsidRPr="008C2F9C">
        <w:rPr>
          <w:rFonts w:ascii="Cambria" w:hAnsi="Cambria"/>
          <w:sz w:val="20"/>
          <w:szCs w:val="20"/>
          <w:lang w:val="es-ES"/>
        </w:rPr>
        <w:t xml:space="preserve">. </w:t>
      </w:r>
    </w:p>
    <w:p w14:paraId="4C57D0E6" w14:textId="77777777" w:rsidR="00483358" w:rsidRPr="008C2F9C" w:rsidRDefault="0048335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1F5EAA2" w14:textId="44D72F15" w:rsidR="00436376" w:rsidRPr="008C2F9C" w:rsidRDefault="004073B2"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Respecto a la libre elección de la </w:t>
      </w:r>
      <w:r w:rsidR="00B6600F" w:rsidRPr="008C2F9C">
        <w:rPr>
          <w:rFonts w:ascii="Cambria" w:hAnsi="Cambria"/>
          <w:sz w:val="20"/>
          <w:szCs w:val="20"/>
          <w:lang w:val="es-ES"/>
        </w:rPr>
        <w:t>d</w:t>
      </w:r>
      <w:r w:rsidRPr="008C2F9C">
        <w:rPr>
          <w:rFonts w:ascii="Cambria" w:hAnsi="Cambria"/>
          <w:sz w:val="20"/>
          <w:szCs w:val="20"/>
          <w:lang w:val="es-ES"/>
        </w:rPr>
        <w:t xml:space="preserve">efensa </w:t>
      </w:r>
      <w:r w:rsidR="00B6600F" w:rsidRPr="008C2F9C">
        <w:rPr>
          <w:rFonts w:ascii="Cambria" w:hAnsi="Cambria"/>
          <w:sz w:val="20"/>
          <w:szCs w:val="20"/>
          <w:lang w:val="es-ES"/>
        </w:rPr>
        <w:t>t</w:t>
      </w:r>
      <w:r w:rsidRPr="008C2F9C">
        <w:rPr>
          <w:rFonts w:ascii="Cambria" w:hAnsi="Cambria"/>
          <w:sz w:val="20"/>
          <w:szCs w:val="20"/>
          <w:lang w:val="es-ES"/>
        </w:rPr>
        <w:t>écnica</w:t>
      </w:r>
      <w:r w:rsidR="008A723F" w:rsidRPr="008C2F9C">
        <w:rPr>
          <w:rFonts w:ascii="Cambria" w:hAnsi="Cambria"/>
          <w:sz w:val="20"/>
          <w:szCs w:val="20"/>
          <w:lang w:val="es-ES"/>
        </w:rPr>
        <w:t>,</w:t>
      </w:r>
      <w:r w:rsidRPr="008C2F9C">
        <w:rPr>
          <w:rFonts w:ascii="Cambria" w:hAnsi="Cambria"/>
          <w:sz w:val="20"/>
          <w:szCs w:val="20"/>
          <w:lang w:val="es-ES"/>
        </w:rPr>
        <w:t xml:space="preserve"> el Estado a</w:t>
      </w:r>
      <w:r w:rsidR="00E21F80" w:rsidRPr="008C2F9C">
        <w:rPr>
          <w:rFonts w:ascii="Cambria" w:hAnsi="Cambria"/>
          <w:sz w:val="20"/>
          <w:szCs w:val="20"/>
          <w:lang w:val="es-ES"/>
        </w:rPr>
        <w:t>firma</w:t>
      </w:r>
      <w:r w:rsidRPr="008C2F9C">
        <w:rPr>
          <w:rFonts w:ascii="Cambria" w:hAnsi="Cambria"/>
          <w:sz w:val="20"/>
          <w:szCs w:val="20"/>
          <w:lang w:val="es-ES"/>
        </w:rPr>
        <w:t xml:space="preserve"> que</w:t>
      </w:r>
      <w:r w:rsidR="00BA5D03" w:rsidRPr="008C2F9C">
        <w:rPr>
          <w:rFonts w:ascii="Cambria" w:hAnsi="Cambria"/>
          <w:sz w:val="20"/>
          <w:szCs w:val="20"/>
          <w:lang w:val="es-ES"/>
        </w:rPr>
        <w:t xml:space="preserve"> </w:t>
      </w:r>
      <w:r w:rsidR="00B6600F" w:rsidRPr="008C2F9C">
        <w:rPr>
          <w:rFonts w:ascii="Cambria" w:hAnsi="Cambria"/>
          <w:sz w:val="20"/>
          <w:szCs w:val="20"/>
          <w:lang w:val="es-ES"/>
        </w:rPr>
        <w:t xml:space="preserve">el 15 de marzo de 2011, </w:t>
      </w:r>
      <w:r w:rsidRPr="008C2F9C">
        <w:rPr>
          <w:rFonts w:ascii="Cambria" w:hAnsi="Cambria"/>
          <w:sz w:val="20"/>
          <w:szCs w:val="20"/>
          <w:lang w:val="es-ES"/>
        </w:rPr>
        <w:t xml:space="preserve">el Juez Penal de Buenos Aires separó </w:t>
      </w:r>
      <w:r w:rsidR="008A723F" w:rsidRPr="008C2F9C">
        <w:rPr>
          <w:rFonts w:ascii="Cambria" w:hAnsi="Cambria"/>
          <w:sz w:val="20"/>
          <w:szCs w:val="20"/>
          <w:lang w:val="es-ES"/>
        </w:rPr>
        <w:t>al defens</w:t>
      </w:r>
      <w:r w:rsidR="00BA5D03" w:rsidRPr="008C2F9C">
        <w:rPr>
          <w:rFonts w:ascii="Cambria" w:hAnsi="Cambria"/>
          <w:sz w:val="20"/>
          <w:szCs w:val="20"/>
          <w:lang w:val="es-ES"/>
        </w:rPr>
        <w:t>or</w:t>
      </w:r>
      <w:r w:rsidR="008A723F" w:rsidRPr="008C2F9C">
        <w:rPr>
          <w:rFonts w:ascii="Cambria" w:hAnsi="Cambria"/>
          <w:sz w:val="20"/>
          <w:szCs w:val="20"/>
          <w:lang w:val="es-ES"/>
        </w:rPr>
        <w:t xml:space="preserve"> del </w:t>
      </w:r>
      <w:r w:rsidR="00B6600F" w:rsidRPr="008C2F9C">
        <w:rPr>
          <w:rFonts w:ascii="Cambria" w:hAnsi="Cambria"/>
          <w:sz w:val="20"/>
          <w:szCs w:val="20"/>
          <w:lang w:val="es-ES"/>
        </w:rPr>
        <w:t>señor</w:t>
      </w:r>
      <w:r w:rsidR="008A723F" w:rsidRPr="008C2F9C">
        <w:rPr>
          <w:rFonts w:ascii="Cambria" w:hAnsi="Cambria"/>
          <w:sz w:val="20"/>
          <w:szCs w:val="20"/>
          <w:lang w:val="es-ES"/>
        </w:rPr>
        <w:t xml:space="preserve"> Ortiz Morales</w:t>
      </w:r>
      <w:r w:rsidR="00213596" w:rsidRPr="008C2F9C">
        <w:rPr>
          <w:rFonts w:ascii="Cambria" w:hAnsi="Cambria"/>
          <w:sz w:val="20"/>
          <w:szCs w:val="20"/>
          <w:lang w:val="es-ES"/>
        </w:rPr>
        <w:t xml:space="preserve"> dado que no acudió al señalamiento de audiencia preliminar sin justificación alguna; y que con posterioridad adujo que </w:t>
      </w:r>
      <w:r w:rsidR="00E21F80" w:rsidRPr="008C2F9C">
        <w:rPr>
          <w:rFonts w:ascii="Cambria" w:hAnsi="Cambria"/>
          <w:sz w:val="20"/>
          <w:szCs w:val="20"/>
          <w:lang w:val="es-ES"/>
        </w:rPr>
        <w:t xml:space="preserve">su ausencia se debió a </w:t>
      </w:r>
      <w:r w:rsidR="00213596" w:rsidRPr="008C2F9C">
        <w:rPr>
          <w:rFonts w:ascii="Cambria" w:hAnsi="Cambria"/>
          <w:sz w:val="20"/>
          <w:szCs w:val="20"/>
          <w:lang w:val="es-ES"/>
        </w:rPr>
        <w:t xml:space="preserve">que </w:t>
      </w:r>
      <w:r w:rsidR="00E21F80" w:rsidRPr="008C2F9C">
        <w:rPr>
          <w:rFonts w:ascii="Cambria" w:hAnsi="Cambria"/>
          <w:sz w:val="20"/>
          <w:szCs w:val="20"/>
          <w:lang w:val="es-ES"/>
        </w:rPr>
        <w:t xml:space="preserve">la pericia ofrecida </w:t>
      </w:r>
      <w:r w:rsidR="00213596" w:rsidRPr="008C2F9C">
        <w:rPr>
          <w:rFonts w:ascii="Cambria" w:hAnsi="Cambria"/>
          <w:sz w:val="20"/>
          <w:szCs w:val="20"/>
          <w:lang w:val="es-ES"/>
        </w:rPr>
        <w:t xml:space="preserve">no constaba en </w:t>
      </w:r>
      <w:r w:rsidR="00E21F80" w:rsidRPr="008C2F9C">
        <w:rPr>
          <w:rFonts w:ascii="Cambria" w:hAnsi="Cambria"/>
          <w:sz w:val="20"/>
          <w:szCs w:val="20"/>
          <w:lang w:val="es-ES"/>
        </w:rPr>
        <w:t>el expediente</w:t>
      </w:r>
      <w:r w:rsidR="00213596" w:rsidRPr="008C2F9C">
        <w:rPr>
          <w:rFonts w:ascii="Cambria" w:hAnsi="Cambria"/>
          <w:sz w:val="20"/>
          <w:szCs w:val="20"/>
          <w:lang w:val="es-ES"/>
        </w:rPr>
        <w:t>.</w:t>
      </w:r>
      <w:r w:rsidR="008E0A3E" w:rsidRPr="008C2F9C">
        <w:rPr>
          <w:rFonts w:ascii="Cambria" w:hAnsi="Cambria"/>
          <w:sz w:val="20"/>
          <w:szCs w:val="20"/>
          <w:lang w:val="es-ES"/>
        </w:rPr>
        <w:t xml:space="preserve"> </w:t>
      </w:r>
      <w:r w:rsidR="00B6600F" w:rsidRPr="008C2F9C">
        <w:rPr>
          <w:rFonts w:ascii="Cambria" w:hAnsi="Cambria"/>
          <w:sz w:val="20"/>
          <w:szCs w:val="20"/>
          <w:lang w:val="es-ES"/>
        </w:rPr>
        <w:t>Aduce que las autoridades garantizar</w:t>
      </w:r>
      <w:r w:rsidR="00E21F80" w:rsidRPr="008C2F9C">
        <w:rPr>
          <w:rFonts w:ascii="Cambria" w:hAnsi="Cambria"/>
          <w:sz w:val="20"/>
          <w:szCs w:val="20"/>
          <w:lang w:val="es-ES"/>
        </w:rPr>
        <w:t>on</w:t>
      </w:r>
      <w:r w:rsidR="00B6600F" w:rsidRPr="008C2F9C">
        <w:rPr>
          <w:rFonts w:ascii="Cambria" w:hAnsi="Cambria"/>
          <w:sz w:val="20"/>
          <w:szCs w:val="20"/>
          <w:lang w:val="es-ES"/>
        </w:rPr>
        <w:t xml:space="preserve"> el derecho a la defensa de la presunta víctima </w:t>
      </w:r>
      <w:r w:rsidR="008E0A3E" w:rsidRPr="008C2F9C">
        <w:rPr>
          <w:rFonts w:ascii="Cambria" w:hAnsi="Cambria"/>
          <w:sz w:val="20"/>
          <w:szCs w:val="20"/>
          <w:lang w:val="es-ES"/>
        </w:rPr>
        <w:t>al proveer</w:t>
      </w:r>
      <w:r w:rsidR="00B6600F" w:rsidRPr="008C2F9C">
        <w:rPr>
          <w:rFonts w:ascii="Cambria" w:hAnsi="Cambria"/>
          <w:sz w:val="20"/>
          <w:szCs w:val="20"/>
          <w:lang w:val="es-ES"/>
        </w:rPr>
        <w:t>le</w:t>
      </w:r>
      <w:r w:rsidR="008E0A3E" w:rsidRPr="008C2F9C">
        <w:rPr>
          <w:rFonts w:ascii="Cambria" w:hAnsi="Cambria"/>
          <w:sz w:val="20"/>
          <w:szCs w:val="20"/>
          <w:lang w:val="es-ES"/>
        </w:rPr>
        <w:t xml:space="preserve"> otro defensor.</w:t>
      </w:r>
    </w:p>
    <w:p w14:paraId="00128DA5" w14:textId="77777777" w:rsidR="00483358" w:rsidRPr="008C2F9C" w:rsidRDefault="00483358" w:rsidP="00E21F8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1AC821E" w14:textId="1EC54551" w:rsidR="00943E8E" w:rsidRPr="008C2F9C" w:rsidRDefault="00B6600F"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Por último</w:t>
      </w:r>
      <w:r w:rsidR="002172B1" w:rsidRPr="008C2F9C">
        <w:rPr>
          <w:rFonts w:ascii="Cambria" w:hAnsi="Cambria"/>
          <w:sz w:val="20"/>
          <w:szCs w:val="20"/>
          <w:lang w:val="es-ES"/>
        </w:rPr>
        <w:t>,</w:t>
      </w:r>
      <w:r w:rsidRPr="008C2F9C">
        <w:rPr>
          <w:rFonts w:ascii="Cambria" w:hAnsi="Cambria"/>
          <w:sz w:val="20"/>
          <w:szCs w:val="20"/>
          <w:lang w:val="es-ES"/>
        </w:rPr>
        <w:t xml:space="preserve"> argumenta</w:t>
      </w:r>
      <w:r w:rsidR="002172B1" w:rsidRPr="008C2F9C">
        <w:rPr>
          <w:rFonts w:ascii="Cambria" w:hAnsi="Cambria"/>
          <w:sz w:val="20"/>
          <w:szCs w:val="20"/>
          <w:lang w:val="es-ES"/>
        </w:rPr>
        <w:t xml:space="preserve"> </w:t>
      </w:r>
      <w:r w:rsidRPr="008C2F9C">
        <w:rPr>
          <w:rFonts w:ascii="Cambria" w:hAnsi="Cambria"/>
          <w:sz w:val="20"/>
          <w:szCs w:val="20"/>
          <w:lang w:val="es-ES"/>
        </w:rPr>
        <w:t>que el 10 de noviembre de 2010 la Sala Constitucional de la Corte Suprema de Justicia declaró sin lugar el recurso de hábeas corpus presentado en favor del señor Ortiz Morales</w:t>
      </w:r>
      <w:r w:rsidR="00BA5D03" w:rsidRPr="008C2F9C">
        <w:rPr>
          <w:rFonts w:ascii="Cambria" w:hAnsi="Cambria"/>
          <w:sz w:val="20"/>
          <w:szCs w:val="20"/>
          <w:lang w:val="es-ES"/>
        </w:rPr>
        <w:t>.</w:t>
      </w:r>
      <w:r w:rsidRPr="008C2F9C">
        <w:rPr>
          <w:rFonts w:ascii="Cambria" w:hAnsi="Cambria"/>
          <w:sz w:val="20"/>
          <w:szCs w:val="20"/>
          <w:lang w:val="es-ES"/>
        </w:rPr>
        <w:t xml:space="preserve"> </w:t>
      </w:r>
      <w:r w:rsidR="00BA5D03" w:rsidRPr="008C2F9C">
        <w:rPr>
          <w:rFonts w:ascii="Cambria" w:hAnsi="Cambria"/>
          <w:sz w:val="20"/>
          <w:szCs w:val="20"/>
          <w:lang w:val="es-ES"/>
        </w:rPr>
        <w:t>A tal efecto tomó en cuenta</w:t>
      </w:r>
      <w:r w:rsidRPr="008C2F9C">
        <w:rPr>
          <w:rFonts w:ascii="Cambria" w:hAnsi="Cambria"/>
          <w:sz w:val="20"/>
          <w:szCs w:val="20"/>
          <w:lang w:val="es-ES"/>
        </w:rPr>
        <w:t xml:space="preserve"> diversas pruebas</w:t>
      </w:r>
      <w:r w:rsidR="00943E8E" w:rsidRPr="008C2F9C">
        <w:rPr>
          <w:rFonts w:ascii="Cambria" w:hAnsi="Cambria"/>
          <w:sz w:val="20"/>
          <w:szCs w:val="20"/>
          <w:lang w:val="es-ES"/>
        </w:rPr>
        <w:t>, tales como</w:t>
      </w:r>
      <w:r w:rsidR="008A723F" w:rsidRPr="008C2F9C">
        <w:rPr>
          <w:rFonts w:ascii="Cambria" w:hAnsi="Cambria"/>
          <w:sz w:val="20"/>
          <w:szCs w:val="20"/>
          <w:lang w:val="es-ES"/>
        </w:rPr>
        <w:t xml:space="preserve"> </w:t>
      </w:r>
      <w:r w:rsidR="00BA5D03" w:rsidRPr="008C2F9C">
        <w:rPr>
          <w:rFonts w:ascii="Cambria" w:hAnsi="Cambria"/>
          <w:sz w:val="20"/>
          <w:szCs w:val="20"/>
          <w:lang w:val="es-ES"/>
        </w:rPr>
        <w:t xml:space="preserve">los </w:t>
      </w:r>
      <w:r w:rsidR="008A723F" w:rsidRPr="008C2F9C">
        <w:rPr>
          <w:rFonts w:ascii="Cambria" w:hAnsi="Cambria"/>
          <w:sz w:val="20"/>
          <w:szCs w:val="20"/>
          <w:lang w:val="es-ES"/>
        </w:rPr>
        <w:t>oficios en que constaba</w:t>
      </w:r>
      <w:r w:rsidR="00BC0A34" w:rsidRPr="008C2F9C">
        <w:rPr>
          <w:rFonts w:ascii="Cambria" w:hAnsi="Cambria"/>
          <w:sz w:val="20"/>
          <w:szCs w:val="20"/>
          <w:lang w:val="es-ES"/>
        </w:rPr>
        <w:t xml:space="preserve"> la causa penal </w:t>
      </w:r>
      <w:r w:rsidR="00E21F80" w:rsidRPr="008C2F9C">
        <w:rPr>
          <w:rFonts w:ascii="Cambria" w:hAnsi="Cambria"/>
          <w:sz w:val="20"/>
          <w:szCs w:val="20"/>
          <w:lang w:val="es-ES"/>
        </w:rPr>
        <w:t xml:space="preserve">en su </w:t>
      </w:r>
      <w:r w:rsidR="00BA5D03" w:rsidRPr="008C2F9C">
        <w:rPr>
          <w:rFonts w:ascii="Cambria" w:hAnsi="Cambria"/>
          <w:sz w:val="20"/>
          <w:szCs w:val="20"/>
          <w:lang w:val="es-ES"/>
        </w:rPr>
        <w:t>contra por homicidio</w:t>
      </w:r>
      <w:r w:rsidR="00943E8E" w:rsidRPr="008C2F9C">
        <w:rPr>
          <w:rFonts w:ascii="Cambria" w:hAnsi="Cambria"/>
          <w:sz w:val="20"/>
          <w:szCs w:val="20"/>
          <w:lang w:val="es-ES"/>
        </w:rPr>
        <w:t xml:space="preserve">; </w:t>
      </w:r>
      <w:r w:rsidR="00BC0A34" w:rsidRPr="008C2F9C">
        <w:rPr>
          <w:rFonts w:ascii="Cambria" w:hAnsi="Cambria"/>
          <w:sz w:val="20"/>
          <w:szCs w:val="20"/>
          <w:lang w:val="es-ES"/>
        </w:rPr>
        <w:t>la resolución de 1</w:t>
      </w:r>
      <w:r w:rsidR="00BA5D03" w:rsidRPr="008C2F9C">
        <w:rPr>
          <w:rFonts w:ascii="Cambria" w:hAnsi="Cambria"/>
          <w:sz w:val="20"/>
          <w:szCs w:val="20"/>
          <w:lang w:val="es-ES"/>
        </w:rPr>
        <w:t xml:space="preserve">º </w:t>
      </w:r>
      <w:r w:rsidR="00BC0A34" w:rsidRPr="008C2F9C">
        <w:rPr>
          <w:rFonts w:ascii="Cambria" w:hAnsi="Cambria"/>
          <w:sz w:val="20"/>
          <w:szCs w:val="20"/>
          <w:lang w:val="es-ES"/>
        </w:rPr>
        <w:t>de noviembre de 2010 mediante la cual el Juzgado Penal de Buenos Aires extendía la medida cautelar de prisión preventiva a la presunta víctima</w:t>
      </w:r>
      <w:r w:rsidR="00AD16FE" w:rsidRPr="008C2F9C">
        <w:rPr>
          <w:rFonts w:ascii="Cambria" w:hAnsi="Cambria"/>
          <w:sz w:val="20"/>
          <w:szCs w:val="20"/>
          <w:lang w:val="es-ES"/>
        </w:rPr>
        <w:t>;</w:t>
      </w:r>
      <w:r w:rsidR="00BC0A34" w:rsidRPr="008C2F9C">
        <w:rPr>
          <w:rFonts w:ascii="Cambria" w:hAnsi="Cambria"/>
          <w:sz w:val="20"/>
          <w:szCs w:val="20"/>
          <w:lang w:val="es-ES"/>
        </w:rPr>
        <w:t xml:space="preserve"> y</w:t>
      </w:r>
      <w:r w:rsidR="00943E8E" w:rsidRPr="008C2F9C">
        <w:rPr>
          <w:rFonts w:ascii="Cambria" w:hAnsi="Cambria"/>
          <w:sz w:val="20"/>
          <w:szCs w:val="20"/>
          <w:lang w:val="es-ES"/>
        </w:rPr>
        <w:t xml:space="preserve"> los documentos que acreditaron que contó con una traductora. En consecuencia, </w:t>
      </w:r>
      <w:r w:rsidR="007B0D54" w:rsidRPr="008C2F9C">
        <w:rPr>
          <w:rFonts w:ascii="Cambria" w:hAnsi="Cambria"/>
          <w:color w:val="000000" w:themeColor="text1"/>
          <w:sz w:val="20"/>
          <w:szCs w:val="20"/>
          <w:lang w:val="es-US"/>
        </w:rPr>
        <w:t>solicita que la petición se</w:t>
      </w:r>
      <w:r w:rsidR="007B0D54" w:rsidRPr="008C2F9C">
        <w:rPr>
          <w:rFonts w:ascii="Cambria" w:hAnsi="Cambria"/>
          <w:color w:val="000000" w:themeColor="text1"/>
          <w:sz w:val="20"/>
          <w:szCs w:val="20"/>
          <w:lang w:val="es-ES"/>
        </w:rPr>
        <w:t>a</w:t>
      </w:r>
      <w:r w:rsidR="007B0D54" w:rsidRPr="008C2F9C">
        <w:rPr>
          <w:rFonts w:ascii="Cambria" w:hAnsi="Cambria"/>
          <w:color w:val="000000" w:themeColor="text1"/>
          <w:sz w:val="20"/>
          <w:szCs w:val="20"/>
          <w:lang w:val="es-US"/>
        </w:rPr>
        <w:t xml:space="preserve"> declara</w:t>
      </w:r>
      <w:r w:rsidR="007B0D54" w:rsidRPr="008C2F9C">
        <w:rPr>
          <w:rFonts w:ascii="Cambria" w:hAnsi="Cambria"/>
          <w:color w:val="000000" w:themeColor="text1"/>
          <w:sz w:val="20"/>
          <w:szCs w:val="20"/>
          <w:lang w:val="es-ES"/>
        </w:rPr>
        <w:t>da</w:t>
      </w:r>
      <w:r w:rsidR="007B0D54" w:rsidRPr="008C2F9C">
        <w:rPr>
          <w:rFonts w:ascii="Cambria" w:hAnsi="Cambria"/>
          <w:color w:val="000000" w:themeColor="text1"/>
          <w:sz w:val="20"/>
          <w:szCs w:val="20"/>
          <w:lang w:val="es-US"/>
        </w:rPr>
        <w:t xml:space="preserve"> inadmisible con fundamento en el artículo 47(b) de la Convención Americana</w:t>
      </w:r>
      <w:r w:rsidR="00E21F80" w:rsidRPr="008C2F9C">
        <w:rPr>
          <w:rFonts w:ascii="Cambria" w:hAnsi="Cambria"/>
          <w:color w:val="000000" w:themeColor="text1"/>
          <w:sz w:val="20"/>
          <w:szCs w:val="20"/>
          <w:lang w:val="es-US"/>
        </w:rPr>
        <w:t>,</w:t>
      </w:r>
      <w:r w:rsidR="007B0D54" w:rsidRPr="008C2F9C">
        <w:rPr>
          <w:rFonts w:ascii="Cambria" w:hAnsi="Cambria"/>
          <w:color w:val="000000" w:themeColor="text1"/>
          <w:sz w:val="20"/>
          <w:szCs w:val="20"/>
          <w:lang w:val="es-US"/>
        </w:rPr>
        <w:t xml:space="preserve"> toda vez que considera que la pretensión del peticionario es que la Comisión actúe como un tribunal de alzada, en contradicción </w:t>
      </w:r>
      <w:r w:rsidR="00E21F80" w:rsidRPr="008C2F9C">
        <w:rPr>
          <w:rFonts w:ascii="Cambria" w:hAnsi="Cambria"/>
          <w:color w:val="000000" w:themeColor="text1"/>
          <w:sz w:val="20"/>
          <w:szCs w:val="20"/>
          <w:lang w:val="es-US"/>
        </w:rPr>
        <w:t>a</w:t>
      </w:r>
      <w:r w:rsidR="007B0D54" w:rsidRPr="008C2F9C">
        <w:rPr>
          <w:rFonts w:ascii="Cambria" w:hAnsi="Cambria"/>
          <w:color w:val="000000" w:themeColor="text1"/>
          <w:sz w:val="20"/>
          <w:szCs w:val="20"/>
          <w:lang w:val="es-US"/>
        </w:rPr>
        <w:t xml:space="preserve"> su naturaleza </w:t>
      </w:r>
      <w:r w:rsidR="007B0D54" w:rsidRPr="008C2F9C">
        <w:rPr>
          <w:rFonts w:ascii="Cambria" w:hAnsi="Cambria"/>
          <w:color w:val="000000" w:themeColor="text1"/>
          <w:sz w:val="20"/>
          <w:szCs w:val="20"/>
          <w:lang w:val="es-ES"/>
        </w:rPr>
        <w:t>complementaria.</w:t>
      </w:r>
      <w:r w:rsidR="007B0D54" w:rsidRPr="008C2F9C">
        <w:rPr>
          <w:rFonts w:ascii="Cambria" w:hAnsi="Cambria"/>
          <w:sz w:val="20"/>
          <w:szCs w:val="20"/>
          <w:lang w:val="es-ES_tradnl"/>
        </w:rPr>
        <w:t xml:space="preserve"> </w:t>
      </w:r>
    </w:p>
    <w:p w14:paraId="7AB81B17" w14:textId="77777777" w:rsidR="00483358" w:rsidRPr="008C2F9C" w:rsidRDefault="00483358"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3FE6F5AE" w14:textId="42BC6C49" w:rsidR="004C616A" w:rsidRPr="008C2F9C" w:rsidRDefault="004C616A"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8C2F9C">
        <w:rPr>
          <w:rFonts w:asciiTheme="majorHAnsi" w:hAnsiTheme="majorHAnsi"/>
          <w:b/>
          <w:bCs/>
          <w:sz w:val="20"/>
          <w:szCs w:val="20"/>
          <w:lang w:val="es-ES"/>
        </w:rPr>
        <w:lastRenderedPageBreak/>
        <w:t xml:space="preserve">VI. </w:t>
      </w:r>
      <w:r w:rsidRPr="008C2F9C">
        <w:rPr>
          <w:rFonts w:asciiTheme="majorHAnsi" w:hAnsiTheme="majorHAnsi"/>
          <w:b/>
          <w:bCs/>
          <w:sz w:val="20"/>
          <w:szCs w:val="20"/>
          <w:lang w:val="es-ES"/>
        </w:rPr>
        <w:tab/>
        <w:t>AGOTAMIENTO DE RECURSOS INTERNOS Y PLAZO DE PRESENTACIÓN</w:t>
      </w:r>
    </w:p>
    <w:p w14:paraId="4D79B0B2"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48781D1F" w14:textId="79DC1ED5" w:rsidR="00E52953" w:rsidRPr="008C2F9C" w:rsidRDefault="00F91BA1"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Respecto al hecho </w:t>
      </w:r>
      <w:r w:rsidR="00E21F80" w:rsidRPr="008C2F9C">
        <w:rPr>
          <w:rFonts w:ascii="Cambria" w:hAnsi="Cambria"/>
          <w:sz w:val="20"/>
          <w:szCs w:val="20"/>
          <w:lang w:val="es-ES"/>
        </w:rPr>
        <w:t xml:space="preserve">de </w:t>
      </w:r>
      <w:r w:rsidRPr="008C2F9C">
        <w:rPr>
          <w:rFonts w:ascii="Cambria" w:hAnsi="Cambria"/>
          <w:sz w:val="20"/>
          <w:szCs w:val="20"/>
          <w:lang w:val="es-ES"/>
        </w:rPr>
        <w:t>que el agotamiento se produj</w:t>
      </w:r>
      <w:r w:rsidR="00E21F80" w:rsidRPr="008C2F9C">
        <w:rPr>
          <w:rFonts w:ascii="Cambria" w:hAnsi="Cambria"/>
          <w:sz w:val="20"/>
          <w:szCs w:val="20"/>
          <w:lang w:val="es-ES"/>
        </w:rPr>
        <w:t>era</w:t>
      </w:r>
      <w:r w:rsidRPr="008C2F9C">
        <w:rPr>
          <w:rFonts w:ascii="Cambria" w:hAnsi="Cambria"/>
          <w:sz w:val="20"/>
          <w:szCs w:val="20"/>
          <w:lang w:val="es-ES"/>
        </w:rPr>
        <w:t xml:space="preserve"> con posterioridad a la presentación de la petición, la CIDH reitera su posición constante según la cual la situación que debe tenerse en cuenta para establecer si se han agotado los recursos de la jurisdicción interna es la </w:t>
      </w:r>
      <w:r w:rsidR="00E21F80" w:rsidRPr="008C2F9C">
        <w:rPr>
          <w:rFonts w:ascii="Cambria" w:hAnsi="Cambria"/>
          <w:sz w:val="20"/>
          <w:szCs w:val="20"/>
          <w:lang w:val="es-ES"/>
        </w:rPr>
        <w:t>vigente</w:t>
      </w:r>
      <w:r w:rsidRPr="008C2F9C">
        <w:rPr>
          <w:rFonts w:ascii="Cambria" w:hAnsi="Cambria"/>
          <w:sz w:val="20"/>
          <w:szCs w:val="20"/>
          <w:lang w:val="es-ES"/>
        </w:rPr>
        <w:t xml:space="preserve"> al decidir sobre la admisibilidad</w:t>
      </w:r>
      <w:r w:rsidR="00E52953" w:rsidRPr="008C2F9C">
        <w:rPr>
          <w:rStyle w:val="FootnoteReference"/>
          <w:rFonts w:ascii="Cambria" w:hAnsi="Cambria"/>
          <w:sz w:val="20"/>
          <w:szCs w:val="20"/>
          <w:lang w:val="es-ES"/>
        </w:rPr>
        <w:footnoteReference w:id="5"/>
      </w:r>
      <w:r w:rsidRPr="008C2F9C">
        <w:rPr>
          <w:rFonts w:ascii="Cambria" w:hAnsi="Cambria"/>
          <w:sz w:val="20"/>
          <w:szCs w:val="20"/>
          <w:lang w:val="es-ES"/>
        </w:rPr>
        <w:t>.</w:t>
      </w:r>
      <w:r w:rsidR="00A95AA4" w:rsidRPr="008C2F9C">
        <w:rPr>
          <w:rFonts w:ascii="Cambria" w:hAnsi="Cambria"/>
          <w:sz w:val="20"/>
          <w:szCs w:val="20"/>
          <w:lang w:val="es-ES"/>
        </w:rPr>
        <w:t xml:space="preserve"> </w:t>
      </w:r>
      <w:r w:rsidR="00E52953" w:rsidRPr="008C2F9C">
        <w:rPr>
          <w:rFonts w:ascii="Cambria" w:hAnsi="Cambria"/>
          <w:sz w:val="20"/>
          <w:szCs w:val="20"/>
          <w:lang w:val="es-ES"/>
        </w:rPr>
        <w:t xml:space="preserve">Asimismo, </w:t>
      </w:r>
      <w:r w:rsidR="00E52953" w:rsidRPr="008C2F9C">
        <w:rPr>
          <w:rFonts w:ascii="Cambria" w:eastAsia="Times New Roman" w:hAnsi="Cambria"/>
          <w:sz w:val="20"/>
          <w:szCs w:val="20"/>
          <w:bdr w:val="none" w:sz="0" w:space="0" w:color="auto"/>
          <w:lang w:val="es-ES"/>
        </w:rPr>
        <w:t xml:space="preserve">la </w:t>
      </w:r>
      <w:r w:rsidR="00E21F80" w:rsidRPr="008C2F9C">
        <w:rPr>
          <w:rFonts w:ascii="Cambria" w:eastAsia="Times New Roman" w:hAnsi="Cambria"/>
          <w:sz w:val="20"/>
          <w:szCs w:val="20"/>
          <w:bdr w:val="none" w:sz="0" w:space="0" w:color="auto"/>
          <w:lang w:val="es-ES"/>
        </w:rPr>
        <w:t xml:space="preserve">Comisión Interamericana </w:t>
      </w:r>
      <w:r w:rsidR="00E52953" w:rsidRPr="008C2F9C">
        <w:rPr>
          <w:rFonts w:ascii="Cambria" w:eastAsia="Times New Roman" w:hAnsi="Cambria"/>
          <w:sz w:val="20"/>
          <w:szCs w:val="20"/>
          <w:bdr w:val="none" w:sz="0" w:space="0" w:color="auto"/>
          <w:lang w:val="es-ES"/>
        </w:rPr>
        <w:t xml:space="preserve">ha establecido que </w:t>
      </w:r>
      <w:r w:rsidR="00E21F80" w:rsidRPr="008C2F9C">
        <w:rPr>
          <w:rFonts w:ascii="Cambria" w:eastAsia="Times New Roman" w:hAnsi="Cambria"/>
          <w:sz w:val="20"/>
          <w:szCs w:val="20"/>
          <w:bdr w:val="none" w:sz="0" w:space="0" w:color="auto"/>
          <w:lang w:val="es-ES"/>
        </w:rPr>
        <w:t>dicho</w:t>
      </w:r>
      <w:r w:rsidR="00E52953" w:rsidRPr="008C2F9C">
        <w:rPr>
          <w:rFonts w:ascii="Cambria" w:eastAsia="Times New Roman" w:hAnsi="Cambria"/>
          <w:sz w:val="20"/>
          <w:szCs w:val="20"/>
          <w:bdr w:val="none" w:sz="0" w:space="0" w:color="auto"/>
          <w:lang w:val="es-ES"/>
        </w:rPr>
        <w:t xml:space="preserve"> requisito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w:t>
      </w:r>
      <w:r w:rsidR="00E21F80" w:rsidRPr="008C2F9C">
        <w:rPr>
          <w:rFonts w:ascii="Cambria" w:eastAsia="Times New Roman" w:hAnsi="Cambria"/>
          <w:sz w:val="20"/>
          <w:szCs w:val="20"/>
          <w:bdr w:val="none" w:sz="0" w:space="0" w:color="auto"/>
          <w:lang w:val="es-ES"/>
        </w:rPr>
        <w:t>,</w:t>
      </w:r>
      <w:r w:rsidR="00E52953" w:rsidRPr="008C2F9C">
        <w:rPr>
          <w:rFonts w:ascii="Cambria" w:eastAsia="Times New Roman" w:hAnsi="Cambria"/>
          <w:sz w:val="20"/>
          <w:szCs w:val="20"/>
          <w:bdr w:val="none" w:sz="0" w:space="0" w:color="auto"/>
          <w:lang w:val="es-ES"/>
        </w:rPr>
        <w:t xml:space="preserve"> y el Estado tuvo la oportunidad de remediar la cuestión en su jurisdicción, la finalidad de la norma internacional está cumplida</w:t>
      </w:r>
      <w:r w:rsidR="00E52953" w:rsidRPr="008C2F9C">
        <w:rPr>
          <w:rStyle w:val="FootnoteReference"/>
          <w:rFonts w:ascii="Cambria" w:eastAsia="Times New Roman" w:hAnsi="Cambria"/>
          <w:sz w:val="20"/>
          <w:szCs w:val="20"/>
          <w:bdr w:val="none" w:sz="0" w:space="0" w:color="auto"/>
        </w:rPr>
        <w:footnoteReference w:id="6"/>
      </w:r>
      <w:r w:rsidR="00E52953" w:rsidRPr="008C2F9C">
        <w:rPr>
          <w:rFonts w:ascii="Cambria" w:eastAsia="Times New Roman" w:hAnsi="Cambria"/>
          <w:sz w:val="20"/>
          <w:szCs w:val="20"/>
          <w:bdr w:val="none" w:sz="0" w:space="0" w:color="auto"/>
          <w:lang w:val="es-ES"/>
        </w:rPr>
        <w:t>.</w:t>
      </w:r>
    </w:p>
    <w:p w14:paraId="76654B6D"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B1030AB" w14:textId="1FF02C07" w:rsidR="00F91BA1" w:rsidRPr="008C2F9C" w:rsidRDefault="00E52953"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2F9C">
        <w:rPr>
          <w:rFonts w:ascii="Cambria" w:hAnsi="Cambria"/>
          <w:sz w:val="20"/>
          <w:szCs w:val="20"/>
          <w:lang w:val="es-ES"/>
        </w:rPr>
        <w:t xml:space="preserve">En presente </w:t>
      </w:r>
      <w:r w:rsidR="00E21F80" w:rsidRPr="008C2F9C">
        <w:rPr>
          <w:rFonts w:ascii="Cambria" w:hAnsi="Cambria"/>
          <w:sz w:val="20"/>
          <w:szCs w:val="20"/>
          <w:lang w:val="es-ES"/>
        </w:rPr>
        <w:t>asunto</w:t>
      </w:r>
      <w:r w:rsidRPr="008C2F9C">
        <w:rPr>
          <w:rFonts w:ascii="Cambria" w:hAnsi="Cambria"/>
          <w:sz w:val="20"/>
          <w:szCs w:val="20"/>
          <w:lang w:val="es-ES"/>
        </w:rPr>
        <w:t xml:space="preserve">, la Comisión </w:t>
      </w:r>
      <w:r w:rsidR="00E21F80" w:rsidRPr="008C2F9C">
        <w:rPr>
          <w:rFonts w:ascii="Cambria" w:hAnsi="Cambria"/>
          <w:sz w:val="20"/>
          <w:szCs w:val="20"/>
          <w:lang w:val="es-ES"/>
        </w:rPr>
        <w:t xml:space="preserve">Interamericana </w:t>
      </w:r>
      <w:r w:rsidRPr="008C2F9C">
        <w:rPr>
          <w:rFonts w:ascii="Cambria" w:hAnsi="Cambria"/>
          <w:sz w:val="20"/>
          <w:szCs w:val="20"/>
          <w:lang w:val="es-ES"/>
        </w:rPr>
        <w:t>observa que ambas presuntas víctimas interpusieron recursos de casación contra la sentencia N º 95-1011, en la que solicitaron una indemnización por los daños ocasionados por la prisión preventiva</w:t>
      </w:r>
      <w:r w:rsidR="00E21F80" w:rsidRPr="008C2F9C">
        <w:rPr>
          <w:rFonts w:ascii="Cambria" w:hAnsi="Cambria"/>
          <w:sz w:val="20"/>
          <w:szCs w:val="20"/>
          <w:lang w:val="es-ES"/>
        </w:rPr>
        <w:t>; y que</w:t>
      </w:r>
      <w:r w:rsidRPr="008C2F9C">
        <w:rPr>
          <w:rFonts w:ascii="Cambria" w:hAnsi="Cambria"/>
          <w:sz w:val="20"/>
          <w:szCs w:val="20"/>
          <w:lang w:val="es-ES"/>
        </w:rPr>
        <w:t xml:space="preserve"> la representación del señor Ortiz Torres </w:t>
      </w:r>
      <w:r w:rsidR="00E21F80" w:rsidRPr="008C2F9C">
        <w:rPr>
          <w:rFonts w:ascii="Cambria" w:hAnsi="Cambria"/>
          <w:sz w:val="20"/>
          <w:szCs w:val="20"/>
          <w:lang w:val="es-ES"/>
        </w:rPr>
        <w:t xml:space="preserve">también </w:t>
      </w:r>
      <w:r w:rsidRPr="008C2F9C">
        <w:rPr>
          <w:rFonts w:ascii="Cambria" w:hAnsi="Cambria"/>
          <w:sz w:val="20"/>
          <w:szCs w:val="20"/>
          <w:lang w:val="es-ES"/>
        </w:rPr>
        <w:t xml:space="preserve">cuestionó su condena mediante dicha acción. Al respecto, el Estado no cuestiona que el recurso utilizado por las presuntas víctimas para canalizar sus pretensiones </w:t>
      </w:r>
      <w:r w:rsidR="00E21F80" w:rsidRPr="008C2F9C">
        <w:rPr>
          <w:rFonts w:ascii="Cambria" w:hAnsi="Cambria"/>
          <w:sz w:val="20"/>
          <w:szCs w:val="20"/>
          <w:lang w:val="es-ES"/>
        </w:rPr>
        <w:t>hubiera</w:t>
      </w:r>
      <w:r w:rsidRPr="008C2F9C">
        <w:rPr>
          <w:rFonts w:ascii="Cambria" w:hAnsi="Cambria"/>
          <w:sz w:val="20"/>
          <w:szCs w:val="20"/>
          <w:lang w:val="es-ES"/>
        </w:rPr>
        <w:t xml:space="preserve"> sido inadecuado o ineficaz, sino que se limit</w:t>
      </w:r>
      <w:r w:rsidR="00E21F80" w:rsidRPr="008C2F9C">
        <w:rPr>
          <w:rFonts w:ascii="Cambria" w:hAnsi="Cambria"/>
          <w:sz w:val="20"/>
          <w:szCs w:val="20"/>
          <w:lang w:val="es-ES"/>
        </w:rPr>
        <w:t>a</w:t>
      </w:r>
      <w:r w:rsidRPr="008C2F9C">
        <w:rPr>
          <w:rFonts w:ascii="Cambria" w:hAnsi="Cambria"/>
          <w:sz w:val="20"/>
          <w:szCs w:val="20"/>
          <w:lang w:val="es-ES"/>
        </w:rPr>
        <w:t xml:space="preserve"> a indicar que </w:t>
      </w:r>
      <w:r w:rsidR="00E21F80" w:rsidRPr="008C2F9C">
        <w:rPr>
          <w:rFonts w:ascii="Cambria" w:hAnsi="Cambria"/>
          <w:sz w:val="20"/>
          <w:szCs w:val="20"/>
          <w:lang w:val="es-ES"/>
        </w:rPr>
        <w:t>había</w:t>
      </w:r>
      <w:r w:rsidRPr="008C2F9C">
        <w:rPr>
          <w:rFonts w:ascii="Cambria" w:hAnsi="Cambria"/>
          <w:sz w:val="20"/>
          <w:szCs w:val="20"/>
          <w:lang w:val="es-ES"/>
        </w:rPr>
        <w:t xml:space="preserve"> otras vías disponibles que no fueron utilizadas. </w:t>
      </w:r>
      <w:r w:rsidR="00E45CD0" w:rsidRPr="008C2F9C">
        <w:rPr>
          <w:rFonts w:ascii="Cambria" w:hAnsi="Cambria"/>
          <w:sz w:val="20"/>
          <w:szCs w:val="20"/>
          <w:lang w:val="es-ES"/>
        </w:rPr>
        <w:t>Con</w:t>
      </w:r>
      <w:r w:rsidRPr="008C2F9C">
        <w:rPr>
          <w:rFonts w:ascii="Cambria" w:hAnsi="Cambria"/>
          <w:sz w:val="20"/>
          <w:szCs w:val="20"/>
          <w:lang w:val="es-ES"/>
        </w:rPr>
        <w:t xml:space="preserve"> base </w:t>
      </w:r>
      <w:r w:rsidR="00E45CD0" w:rsidRPr="008C2F9C">
        <w:rPr>
          <w:rFonts w:ascii="Cambria" w:hAnsi="Cambria"/>
          <w:sz w:val="20"/>
          <w:szCs w:val="20"/>
          <w:lang w:val="es-ES"/>
        </w:rPr>
        <w:t>en</w:t>
      </w:r>
      <w:r w:rsidRPr="008C2F9C">
        <w:rPr>
          <w:rFonts w:ascii="Cambria" w:hAnsi="Cambria"/>
          <w:sz w:val="20"/>
          <w:szCs w:val="20"/>
          <w:lang w:val="es-ES"/>
        </w:rPr>
        <w:t xml:space="preserve"> la información </w:t>
      </w:r>
      <w:r w:rsidR="00E45CD0" w:rsidRPr="008C2F9C">
        <w:rPr>
          <w:rFonts w:ascii="Cambria" w:hAnsi="Cambria"/>
          <w:sz w:val="20"/>
          <w:szCs w:val="20"/>
          <w:lang w:val="es-ES"/>
        </w:rPr>
        <w:t xml:space="preserve">disponible </w:t>
      </w:r>
      <w:r w:rsidRPr="008C2F9C">
        <w:rPr>
          <w:rFonts w:ascii="Cambria" w:hAnsi="Cambria"/>
          <w:sz w:val="20"/>
          <w:szCs w:val="20"/>
          <w:lang w:val="es-ES"/>
        </w:rPr>
        <w:t>en el expediente, la C</w:t>
      </w:r>
      <w:r w:rsidR="00E45CD0" w:rsidRPr="008C2F9C">
        <w:rPr>
          <w:rFonts w:ascii="Cambria" w:hAnsi="Cambria"/>
          <w:sz w:val="20"/>
          <w:szCs w:val="20"/>
          <w:lang w:val="es-ES"/>
        </w:rPr>
        <w:t>IDH</w:t>
      </w:r>
      <w:r w:rsidRPr="008C2F9C">
        <w:rPr>
          <w:rFonts w:ascii="Cambria" w:hAnsi="Cambria"/>
          <w:sz w:val="20"/>
          <w:szCs w:val="20"/>
          <w:lang w:val="es-ES"/>
        </w:rPr>
        <w:t xml:space="preserve"> considera que los recursos de la jurisdicción interna </w:t>
      </w:r>
      <w:r w:rsidR="00E45CD0" w:rsidRPr="008C2F9C">
        <w:rPr>
          <w:rFonts w:ascii="Cambria" w:hAnsi="Cambria"/>
          <w:sz w:val="20"/>
          <w:szCs w:val="20"/>
          <w:lang w:val="es-ES"/>
        </w:rPr>
        <w:t xml:space="preserve">se agotaron </w:t>
      </w:r>
      <w:r w:rsidRPr="008C2F9C">
        <w:rPr>
          <w:rFonts w:ascii="Cambria" w:hAnsi="Cambria"/>
          <w:sz w:val="20"/>
          <w:szCs w:val="20"/>
          <w:lang w:val="es-ES"/>
        </w:rPr>
        <w:t>con la decisión de la Sala Constitucional de la Corte Suprema de Justicia, conforme al artículo 46.1</w:t>
      </w:r>
      <w:r w:rsidR="00E45CD0" w:rsidRPr="008C2F9C">
        <w:rPr>
          <w:rFonts w:ascii="Cambria" w:hAnsi="Cambria"/>
          <w:sz w:val="20"/>
          <w:szCs w:val="20"/>
          <w:lang w:val="es-ES"/>
        </w:rPr>
        <w:t>(</w:t>
      </w:r>
      <w:r w:rsidRPr="008C2F9C">
        <w:rPr>
          <w:rFonts w:ascii="Cambria" w:hAnsi="Cambria"/>
          <w:sz w:val="20"/>
          <w:szCs w:val="20"/>
          <w:lang w:val="es-ES"/>
        </w:rPr>
        <w:t>a) de la Convención Americana. Asimismo, dado que la citada decisión se emitió el 24 de noviembre de 2011, mientras la petición se encontraba en etapa de estudio, la CIDH considera que la</w:t>
      </w:r>
      <w:r w:rsidR="00916602" w:rsidRPr="008C2F9C">
        <w:rPr>
          <w:rFonts w:ascii="Cambria" w:hAnsi="Cambria"/>
          <w:sz w:val="20"/>
          <w:szCs w:val="20"/>
          <w:lang w:val="es-ES"/>
        </w:rPr>
        <w:t xml:space="preserve"> parte peticionaria interpuso la petición en plazo, </w:t>
      </w:r>
      <w:r w:rsidR="00396F2D" w:rsidRPr="008C2F9C">
        <w:rPr>
          <w:rFonts w:ascii="Cambria" w:hAnsi="Cambria"/>
          <w:sz w:val="20"/>
          <w:szCs w:val="20"/>
          <w:lang w:val="es-ES"/>
        </w:rPr>
        <w:t>de acuerdo con el</w:t>
      </w:r>
      <w:r w:rsidR="00916602" w:rsidRPr="008C2F9C">
        <w:rPr>
          <w:rFonts w:ascii="Cambria" w:hAnsi="Cambria"/>
          <w:sz w:val="20"/>
          <w:szCs w:val="20"/>
          <w:lang w:val="es-ES"/>
        </w:rPr>
        <w:t xml:space="preserve"> artículo 46.1</w:t>
      </w:r>
      <w:r w:rsidR="00E45CD0" w:rsidRPr="008C2F9C">
        <w:rPr>
          <w:rFonts w:ascii="Cambria" w:hAnsi="Cambria"/>
          <w:sz w:val="20"/>
          <w:szCs w:val="20"/>
          <w:lang w:val="es-ES"/>
        </w:rPr>
        <w:t>(</w:t>
      </w:r>
      <w:r w:rsidR="00916602" w:rsidRPr="008C2F9C">
        <w:rPr>
          <w:rFonts w:ascii="Cambria" w:hAnsi="Cambria"/>
          <w:sz w:val="20"/>
          <w:szCs w:val="20"/>
          <w:lang w:val="es-ES"/>
        </w:rPr>
        <w:t xml:space="preserve">b) de </w:t>
      </w:r>
      <w:r w:rsidR="00E45CD0" w:rsidRPr="008C2F9C">
        <w:rPr>
          <w:rFonts w:ascii="Cambria" w:hAnsi="Cambria"/>
          <w:sz w:val="20"/>
          <w:szCs w:val="20"/>
          <w:lang w:val="es-ES"/>
        </w:rPr>
        <w:t>dicho tratado</w:t>
      </w:r>
      <w:r w:rsidR="00916602" w:rsidRPr="008C2F9C">
        <w:rPr>
          <w:rFonts w:ascii="Cambria" w:hAnsi="Cambria"/>
          <w:sz w:val="20"/>
          <w:szCs w:val="20"/>
          <w:lang w:val="es-ES"/>
        </w:rPr>
        <w:t xml:space="preserve">. </w:t>
      </w:r>
    </w:p>
    <w:p w14:paraId="034CA328" w14:textId="77777777" w:rsidR="00AD16FE" w:rsidRPr="008C2F9C" w:rsidRDefault="00AD16FE" w:rsidP="00AD16FE">
      <w:pPr>
        <w:jc w:val="both"/>
        <w:rPr>
          <w:rFonts w:asciiTheme="majorHAnsi" w:hAnsiTheme="majorHAnsi"/>
          <w:b/>
          <w:bCs/>
          <w:sz w:val="20"/>
          <w:szCs w:val="20"/>
          <w:lang w:val="es-ES"/>
        </w:rPr>
      </w:pPr>
    </w:p>
    <w:p w14:paraId="19832C58" w14:textId="270B9B2C" w:rsidR="00CE4F9D" w:rsidRPr="008C2F9C" w:rsidRDefault="00F04591" w:rsidP="00AD16FE">
      <w:pPr>
        <w:pStyle w:val="ListParagraph"/>
        <w:jc w:val="both"/>
        <w:rPr>
          <w:rFonts w:asciiTheme="majorHAnsi" w:hAnsiTheme="majorHAnsi"/>
          <w:b/>
          <w:bCs/>
          <w:color w:val="auto"/>
          <w:sz w:val="20"/>
          <w:szCs w:val="20"/>
          <w:lang w:val="es-ES"/>
        </w:rPr>
      </w:pPr>
      <w:r w:rsidRPr="008C2F9C">
        <w:rPr>
          <w:rFonts w:asciiTheme="majorHAnsi" w:hAnsiTheme="majorHAnsi"/>
          <w:b/>
          <w:bCs/>
          <w:color w:val="auto"/>
          <w:sz w:val="20"/>
          <w:szCs w:val="20"/>
          <w:lang w:val="es-ES"/>
        </w:rPr>
        <w:t>V</w:t>
      </w:r>
      <w:r w:rsidR="000E2789" w:rsidRPr="008C2F9C">
        <w:rPr>
          <w:rFonts w:asciiTheme="majorHAnsi" w:hAnsiTheme="majorHAnsi"/>
          <w:b/>
          <w:bCs/>
          <w:color w:val="auto"/>
          <w:sz w:val="20"/>
          <w:szCs w:val="20"/>
          <w:lang w:val="es-ES"/>
        </w:rPr>
        <w:t>I</w:t>
      </w:r>
      <w:r w:rsidRPr="008C2F9C">
        <w:rPr>
          <w:rFonts w:asciiTheme="majorHAnsi" w:hAnsiTheme="majorHAnsi"/>
          <w:b/>
          <w:bCs/>
          <w:color w:val="auto"/>
          <w:sz w:val="20"/>
          <w:szCs w:val="20"/>
          <w:lang w:val="es-ES"/>
        </w:rPr>
        <w:t xml:space="preserve">I. </w:t>
      </w:r>
      <w:r w:rsidRPr="008C2F9C">
        <w:rPr>
          <w:rFonts w:asciiTheme="majorHAnsi" w:hAnsiTheme="majorHAnsi"/>
          <w:b/>
          <w:bCs/>
          <w:color w:val="auto"/>
          <w:sz w:val="20"/>
          <w:szCs w:val="20"/>
          <w:lang w:val="es-ES"/>
        </w:rPr>
        <w:tab/>
        <w:t>CARACTERIZACIÓN</w:t>
      </w:r>
    </w:p>
    <w:p w14:paraId="7EF4ECD7" w14:textId="77777777" w:rsidR="00AD16FE" w:rsidRPr="008C2F9C" w:rsidRDefault="00AD16FE" w:rsidP="00E45C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u w:val="single"/>
          <w:lang w:val="es-ES"/>
        </w:rPr>
      </w:pPr>
    </w:p>
    <w:p w14:paraId="11865476" w14:textId="0D18FDDC" w:rsidR="00396F2D" w:rsidRPr="008C2F9C" w:rsidRDefault="00F446CF"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u w:val="single"/>
          <w:lang w:val="es-ES"/>
        </w:rPr>
      </w:pPr>
      <w:r w:rsidRPr="008C2F9C">
        <w:rPr>
          <w:rFonts w:ascii="Cambria" w:hAnsi="Cambria"/>
          <w:color w:val="000000" w:themeColor="text1"/>
          <w:sz w:val="20"/>
          <w:szCs w:val="20"/>
          <w:lang w:val="es-ES"/>
        </w:rPr>
        <w:t xml:space="preserve">Respecto </w:t>
      </w:r>
      <w:r w:rsidR="00E45CD0" w:rsidRPr="008C2F9C">
        <w:rPr>
          <w:rFonts w:ascii="Cambria" w:hAnsi="Cambria"/>
          <w:color w:val="000000" w:themeColor="text1"/>
          <w:sz w:val="20"/>
          <w:szCs w:val="20"/>
          <w:lang w:val="es-ES"/>
        </w:rPr>
        <w:t>a los alegatos sobre violación del derecho a la libertad person</w:t>
      </w:r>
      <w:r w:rsidRPr="008C2F9C">
        <w:rPr>
          <w:rFonts w:ascii="Cambria" w:hAnsi="Cambria"/>
          <w:color w:val="000000" w:themeColor="text1"/>
          <w:sz w:val="20"/>
          <w:szCs w:val="20"/>
          <w:lang w:val="es-ES"/>
        </w:rPr>
        <w:t>al, l</w:t>
      </w:r>
      <w:r w:rsidR="00396F2D" w:rsidRPr="008C2F9C">
        <w:rPr>
          <w:rFonts w:ascii="Cambria" w:hAnsi="Cambria"/>
          <w:color w:val="000000" w:themeColor="text1"/>
          <w:sz w:val="20"/>
          <w:szCs w:val="20"/>
          <w:lang w:val="es-ES"/>
        </w:rPr>
        <w:t xml:space="preserve">a CIDH recuerda que </w:t>
      </w:r>
      <w:r w:rsidR="00396F2D" w:rsidRPr="008C2F9C">
        <w:rPr>
          <w:rFonts w:asciiTheme="majorHAnsi" w:hAnsiTheme="majorHAnsi"/>
          <w:color w:val="000000" w:themeColor="text1"/>
          <w:sz w:val="20"/>
          <w:szCs w:val="20"/>
          <w:lang w:val="es-ES"/>
        </w:rPr>
        <w:t>l</w:t>
      </w:r>
      <w:r w:rsidR="00396F2D" w:rsidRPr="008C2F9C">
        <w:rPr>
          <w:rFonts w:ascii="Cambria" w:hAnsi="Cambria"/>
          <w:color w:val="000000" w:themeColor="text1"/>
          <w:sz w:val="20"/>
          <w:szCs w:val="20"/>
          <w:lang w:val="es-ES"/>
        </w:rPr>
        <w:t xml:space="preserve">a prisión preventiva tiene un carácter estrictamente excepcional, y su aplicación se debe adecuar a los principios de legalidad, presunción de inocencia, razonabilidad, necesidad y proporcionalidad. Esta medida procede única y exclusivamente en los casos y conforme a los requisitos expresamente previstos por la </w:t>
      </w:r>
      <w:r w:rsidR="00E45CD0" w:rsidRPr="008C2F9C">
        <w:rPr>
          <w:rFonts w:ascii="Cambria" w:hAnsi="Cambria"/>
          <w:color w:val="000000" w:themeColor="text1"/>
          <w:sz w:val="20"/>
          <w:szCs w:val="20"/>
          <w:lang w:val="es-ES"/>
        </w:rPr>
        <w:t>l</w:t>
      </w:r>
      <w:r w:rsidR="00396F2D" w:rsidRPr="008C2F9C">
        <w:rPr>
          <w:rFonts w:ascii="Cambria" w:hAnsi="Cambria"/>
          <w:color w:val="000000" w:themeColor="text1"/>
          <w:sz w:val="20"/>
          <w:szCs w:val="20"/>
          <w:lang w:val="es-ES"/>
        </w:rPr>
        <w:t>ey, y sólo es admisible cuando se dirige a cumplir sus fines legítimos, que conforme al artículo 7.5 de la Convención Americana son los siguientes: prevenir el riesgo de que el imputado eluda la acción de la justicia, para lo cual se podrá tener en cuenta su nivel de arraigo en la comunidad, su conducta durante el proceso, la gravedad de la imputación y la eventual condena; o evitar que obstruya el normal desarrollo de las investigaciones o el proceso, para lo cual podrá valorarse la capacidad del acusado de alterar gravemente las pruebas, influir en los testigos o inducir a terceras personas a cometer estos actos</w:t>
      </w:r>
      <w:r w:rsidR="00EA4057" w:rsidRPr="008C2F9C">
        <w:rPr>
          <w:rStyle w:val="FootnoteReference"/>
          <w:rFonts w:ascii="Cambria" w:hAnsi="Cambria"/>
          <w:color w:val="000000" w:themeColor="text1"/>
          <w:sz w:val="20"/>
          <w:szCs w:val="20"/>
          <w:lang w:val="es-ES"/>
        </w:rPr>
        <w:footnoteReference w:id="7"/>
      </w:r>
      <w:r w:rsidR="00396F2D" w:rsidRPr="008C2F9C">
        <w:rPr>
          <w:rFonts w:ascii="Cambria" w:hAnsi="Cambria"/>
          <w:color w:val="000000" w:themeColor="text1"/>
          <w:sz w:val="20"/>
          <w:szCs w:val="20"/>
          <w:lang w:val="es-ES"/>
        </w:rPr>
        <w:t>.</w:t>
      </w:r>
    </w:p>
    <w:p w14:paraId="4217F236"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lang w:val="es-ES"/>
        </w:rPr>
      </w:pPr>
    </w:p>
    <w:p w14:paraId="2D980CE0" w14:textId="0D5D78B7" w:rsidR="008A0F5D" w:rsidRPr="008C2F9C" w:rsidRDefault="00E45CD0"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lang w:val="es-ES"/>
        </w:rPr>
      </w:pPr>
      <w:r w:rsidRPr="008C2F9C">
        <w:rPr>
          <w:rFonts w:asciiTheme="majorHAnsi" w:hAnsiTheme="majorHAnsi"/>
          <w:sz w:val="20"/>
          <w:szCs w:val="20"/>
          <w:lang w:val="es-ES"/>
        </w:rPr>
        <w:t xml:space="preserve">Asimismo, </w:t>
      </w:r>
      <w:r w:rsidR="00396F2D" w:rsidRPr="008C2F9C">
        <w:rPr>
          <w:rFonts w:asciiTheme="majorHAnsi" w:hAnsiTheme="majorHAnsi"/>
          <w:sz w:val="20"/>
          <w:szCs w:val="20"/>
          <w:lang w:val="es-ES"/>
        </w:rPr>
        <w:t xml:space="preserve">la Comisión </w:t>
      </w:r>
      <w:r w:rsidRPr="008C2F9C">
        <w:rPr>
          <w:rFonts w:asciiTheme="majorHAnsi" w:hAnsiTheme="majorHAnsi"/>
          <w:sz w:val="20"/>
          <w:szCs w:val="20"/>
          <w:lang w:val="es-ES"/>
        </w:rPr>
        <w:t xml:space="preserve">Interamericana </w:t>
      </w:r>
      <w:r w:rsidR="00396F2D" w:rsidRPr="008C2F9C">
        <w:rPr>
          <w:rFonts w:asciiTheme="majorHAnsi" w:hAnsiTheme="majorHAnsi"/>
          <w:sz w:val="20"/>
          <w:szCs w:val="20"/>
          <w:lang w:val="es-ES"/>
        </w:rPr>
        <w:t xml:space="preserve">recuerda que </w:t>
      </w:r>
      <w:r w:rsidRPr="008C2F9C">
        <w:rPr>
          <w:rFonts w:asciiTheme="majorHAnsi" w:hAnsiTheme="majorHAnsi"/>
          <w:sz w:val="20"/>
          <w:szCs w:val="20"/>
          <w:lang w:val="es-ES"/>
        </w:rPr>
        <w:t xml:space="preserve">una </w:t>
      </w:r>
      <w:r w:rsidR="00396F2D" w:rsidRPr="008C2F9C">
        <w:rPr>
          <w:rFonts w:asciiTheme="majorHAnsi" w:hAnsiTheme="majorHAnsi"/>
          <w:sz w:val="20"/>
          <w:szCs w:val="20"/>
          <w:lang w:val="es-ES"/>
        </w:rPr>
        <w:t>medida cautelar</w:t>
      </w:r>
      <w:r w:rsidRPr="008C2F9C">
        <w:rPr>
          <w:rFonts w:asciiTheme="majorHAnsi" w:hAnsiTheme="majorHAnsi"/>
          <w:sz w:val="20"/>
          <w:szCs w:val="20"/>
          <w:lang w:val="es-ES"/>
        </w:rPr>
        <w:t xml:space="preserve"> en ningún caso puede ser discriminatoria</w:t>
      </w:r>
      <w:r w:rsidR="00F446CF" w:rsidRPr="008C2F9C">
        <w:rPr>
          <w:rFonts w:asciiTheme="majorHAnsi" w:hAnsiTheme="majorHAnsi"/>
          <w:sz w:val="20"/>
          <w:szCs w:val="20"/>
          <w:lang w:val="es-ES"/>
        </w:rPr>
        <w:t xml:space="preserve">. A modo de ejemplo, exigir a las personas </w:t>
      </w:r>
      <w:r w:rsidRPr="008C2F9C">
        <w:rPr>
          <w:rFonts w:asciiTheme="majorHAnsi" w:hAnsiTheme="majorHAnsi"/>
          <w:sz w:val="20"/>
          <w:szCs w:val="20"/>
          <w:lang w:val="es-ES"/>
        </w:rPr>
        <w:t xml:space="preserve">un </w:t>
      </w:r>
      <w:r w:rsidR="00F446CF" w:rsidRPr="008C2F9C">
        <w:rPr>
          <w:rFonts w:asciiTheme="majorHAnsi" w:hAnsiTheme="majorHAnsi"/>
          <w:sz w:val="20"/>
          <w:szCs w:val="20"/>
          <w:lang w:val="es-ES"/>
        </w:rPr>
        <w:t>arraigo en la comunidad, mediante pruebas como un trabajo estable, propiedades o vínculos familiares formales, entre otros, pueden constituir un trato discriminatorio en perjuicio de las personas que se encuentran mayor situación de vulnerabilidad económica</w:t>
      </w:r>
      <w:r w:rsidR="00F446CF" w:rsidRPr="008C2F9C">
        <w:rPr>
          <w:rStyle w:val="FootnoteReference"/>
          <w:rFonts w:asciiTheme="majorHAnsi" w:hAnsiTheme="majorHAnsi"/>
          <w:sz w:val="20"/>
          <w:szCs w:val="20"/>
          <w:lang w:val="es-ES"/>
        </w:rPr>
        <w:footnoteReference w:id="8"/>
      </w:r>
      <w:r w:rsidR="00F446CF" w:rsidRPr="008C2F9C">
        <w:rPr>
          <w:rFonts w:asciiTheme="majorHAnsi" w:hAnsiTheme="majorHAnsi"/>
          <w:sz w:val="20"/>
          <w:szCs w:val="20"/>
          <w:lang w:val="es-ES"/>
        </w:rPr>
        <w:t xml:space="preserve">. En consecuencia, las autoridades deben asegurar que dichas medidas se adecuen al criterio de igualdad material, a </w:t>
      </w:r>
      <w:r w:rsidRPr="008C2F9C">
        <w:rPr>
          <w:rFonts w:asciiTheme="majorHAnsi" w:hAnsiTheme="majorHAnsi"/>
          <w:sz w:val="20"/>
          <w:szCs w:val="20"/>
          <w:lang w:val="es-ES"/>
        </w:rPr>
        <w:t>fin</w:t>
      </w:r>
      <w:r w:rsidR="00F446CF" w:rsidRPr="008C2F9C">
        <w:rPr>
          <w:rFonts w:asciiTheme="majorHAnsi" w:hAnsiTheme="majorHAnsi"/>
          <w:sz w:val="20"/>
          <w:szCs w:val="20"/>
          <w:lang w:val="es-ES"/>
        </w:rPr>
        <w:t xml:space="preserve"> de no generar un trato desproporcionado en algunas personas.</w:t>
      </w:r>
    </w:p>
    <w:p w14:paraId="2B4DA7D4"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lang w:val="es-ES"/>
        </w:rPr>
      </w:pPr>
    </w:p>
    <w:p w14:paraId="38DC8531" w14:textId="06B86A83" w:rsidR="00D233E9" w:rsidRPr="008C2F9C" w:rsidRDefault="008A0F5D"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lang w:val="es-ES"/>
        </w:rPr>
      </w:pPr>
      <w:r w:rsidRPr="008C2F9C">
        <w:rPr>
          <w:rFonts w:asciiTheme="majorHAnsi" w:hAnsiTheme="majorHAnsi"/>
          <w:sz w:val="20"/>
          <w:szCs w:val="20"/>
          <w:lang w:val="es-ES"/>
        </w:rPr>
        <w:t>Asimismo, la C</w:t>
      </w:r>
      <w:r w:rsidR="00E505DE" w:rsidRPr="008C2F9C">
        <w:rPr>
          <w:rFonts w:asciiTheme="majorHAnsi" w:hAnsiTheme="majorHAnsi"/>
          <w:sz w:val="20"/>
          <w:szCs w:val="20"/>
          <w:lang w:val="es-ES"/>
        </w:rPr>
        <w:t>IDH</w:t>
      </w:r>
      <w:r w:rsidRPr="008C2F9C">
        <w:rPr>
          <w:rFonts w:asciiTheme="majorHAnsi" w:hAnsiTheme="majorHAnsi"/>
          <w:sz w:val="20"/>
          <w:szCs w:val="20"/>
          <w:lang w:val="es-ES"/>
        </w:rPr>
        <w:t xml:space="preserve"> destaca que los artículos 10 y 12 del Convenio 169 de la Organización Internacional del Trabajo, ratificado por Costa Rica en 1993, contiene</w:t>
      </w:r>
      <w:r w:rsidR="00E505DE" w:rsidRPr="008C2F9C">
        <w:rPr>
          <w:rFonts w:asciiTheme="majorHAnsi" w:hAnsiTheme="majorHAnsi"/>
          <w:sz w:val="20"/>
          <w:szCs w:val="20"/>
          <w:lang w:val="es-ES"/>
        </w:rPr>
        <w:t>n</w:t>
      </w:r>
      <w:r w:rsidRPr="008C2F9C">
        <w:rPr>
          <w:rFonts w:asciiTheme="majorHAnsi" w:hAnsiTheme="majorHAnsi"/>
          <w:sz w:val="20"/>
          <w:szCs w:val="20"/>
          <w:lang w:val="es-ES"/>
        </w:rPr>
        <w:t xml:space="preserve"> normas específicas destinadas a garantizar que los miembros de los pueblos indígenas puedan comprender y hacerse comprender en </w:t>
      </w:r>
      <w:r w:rsidRPr="008C2F9C">
        <w:rPr>
          <w:rFonts w:asciiTheme="majorHAnsi" w:hAnsiTheme="majorHAnsi"/>
          <w:sz w:val="20"/>
          <w:szCs w:val="20"/>
          <w:lang w:val="es-ES"/>
        </w:rPr>
        <w:lastRenderedPageBreak/>
        <w:t>procedimientos legales. Asimismo, determina que debe tenerse en cuenta al momento de imponer sanciones penales y establece la preferencia a tipos de sanción distintos al encarcelamiento</w:t>
      </w:r>
      <w:r w:rsidRPr="008C2F9C">
        <w:rPr>
          <w:rStyle w:val="FootnoteReference"/>
          <w:rFonts w:asciiTheme="majorHAnsi" w:hAnsiTheme="majorHAnsi"/>
          <w:sz w:val="20"/>
          <w:szCs w:val="20"/>
          <w:lang w:val="es-ES"/>
        </w:rPr>
        <w:footnoteReference w:id="9"/>
      </w:r>
      <w:r w:rsidRPr="008C2F9C">
        <w:rPr>
          <w:rFonts w:asciiTheme="majorHAnsi" w:hAnsiTheme="majorHAnsi"/>
          <w:sz w:val="20"/>
          <w:szCs w:val="20"/>
          <w:lang w:val="es-ES"/>
        </w:rPr>
        <w:t>.</w:t>
      </w:r>
      <w:r w:rsidR="00F446CF" w:rsidRPr="008C2F9C">
        <w:rPr>
          <w:rFonts w:asciiTheme="majorHAnsi" w:hAnsiTheme="majorHAnsi"/>
          <w:sz w:val="20"/>
          <w:szCs w:val="20"/>
          <w:lang w:val="es-ES"/>
        </w:rPr>
        <w:t xml:space="preserve"> </w:t>
      </w:r>
    </w:p>
    <w:p w14:paraId="03ECACD5"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bdr w:val="none" w:sz="0" w:space="0" w:color="auto"/>
          <w:lang w:val="es-ES"/>
        </w:rPr>
      </w:pPr>
    </w:p>
    <w:p w14:paraId="0BD9C099" w14:textId="7F12779D" w:rsidR="006E3575" w:rsidRPr="008C2F9C" w:rsidRDefault="00E505DE" w:rsidP="00AD16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bdr w:val="none" w:sz="0" w:space="0" w:color="auto"/>
          <w:lang w:val="es-ES"/>
        </w:rPr>
      </w:pPr>
      <w:r w:rsidRPr="008C2F9C">
        <w:rPr>
          <w:rFonts w:ascii="Cambria" w:hAnsi="Cambria"/>
          <w:sz w:val="20"/>
          <w:szCs w:val="20"/>
          <w:bdr w:val="none" w:sz="0" w:space="0" w:color="auto"/>
          <w:lang w:val="es-ES"/>
        </w:rPr>
        <w:t>T</w:t>
      </w:r>
      <w:r w:rsidR="006E3575" w:rsidRPr="008C2F9C">
        <w:rPr>
          <w:rFonts w:ascii="Cambria" w:hAnsi="Cambria"/>
          <w:sz w:val="20"/>
          <w:szCs w:val="20"/>
          <w:bdr w:val="none" w:sz="0" w:space="0" w:color="auto"/>
          <w:lang w:val="es-ES"/>
        </w:rPr>
        <w:t xml:space="preserve">ras examinar los elementos de hecho y de derecho expuestos por las partes, la Comisión </w:t>
      </w:r>
      <w:r w:rsidRPr="008C2F9C">
        <w:rPr>
          <w:rFonts w:ascii="Cambria" w:hAnsi="Cambria"/>
          <w:sz w:val="20"/>
          <w:szCs w:val="20"/>
          <w:bdr w:val="none" w:sz="0" w:space="0" w:color="auto"/>
          <w:lang w:val="es-ES"/>
        </w:rPr>
        <w:t xml:space="preserve">Interamericana </w:t>
      </w:r>
      <w:r w:rsidR="006E3575" w:rsidRPr="008C2F9C">
        <w:rPr>
          <w:rFonts w:ascii="Cambria" w:hAnsi="Cambria"/>
          <w:sz w:val="20"/>
          <w:szCs w:val="20"/>
          <w:bdr w:val="none" w:sz="0" w:space="0" w:color="auto"/>
          <w:lang w:val="es-ES"/>
        </w:rPr>
        <w:t xml:space="preserve">estima que </w:t>
      </w:r>
      <w:r w:rsidRPr="008C2F9C">
        <w:rPr>
          <w:rFonts w:ascii="Cambria" w:hAnsi="Cambria"/>
          <w:sz w:val="20"/>
          <w:szCs w:val="20"/>
          <w:bdr w:val="none" w:sz="0" w:space="0" w:color="auto"/>
          <w:lang w:val="es-ES"/>
        </w:rPr>
        <w:t>los alegatos sobre</w:t>
      </w:r>
      <w:r w:rsidR="006E3575" w:rsidRPr="008C2F9C">
        <w:rPr>
          <w:rFonts w:ascii="Cambria" w:hAnsi="Cambria"/>
          <w:sz w:val="20"/>
          <w:szCs w:val="20"/>
          <w:bdr w:val="none" w:sz="0" w:space="0" w:color="auto"/>
          <w:lang w:val="es-ES"/>
        </w:rPr>
        <w:t xml:space="preserve"> la afectación del derecho a la defensa </w:t>
      </w:r>
      <w:r w:rsidRPr="008C2F9C">
        <w:rPr>
          <w:rFonts w:ascii="Cambria" w:hAnsi="Cambria"/>
          <w:sz w:val="20"/>
          <w:szCs w:val="20"/>
          <w:bdr w:val="none" w:sz="0" w:space="0" w:color="auto"/>
          <w:lang w:val="es-ES"/>
        </w:rPr>
        <w:t xml:space="preserve">por </w:t>
      </w:r>
      <w:r w:rsidR="006E3575" w:rsidRPr="008C2F9C">
        <w:rPr>
          <w:rFonts w:ascii="Cambria" w:hAnsi="Cambria"/>
          <w:sz w:val="20"/>
          <w:szCs w:val="20"/>
          <w:bdr w:val="none" w:sz="0" w:space="0" w:color="auto"/>
          <w:lang w:val="es-ES"/>
        </w:rPr>
        <w:t xml:space="preserve">la falta de un traductor en la </w:t>
      </w:r>
      <w:r w:rsidR="008A0F5D" w:rsidRPr="008C2F9C">
        <w:rPr>
          <w:rFonts w:ascii="Cambria" w:hAnsi="Cambria"/>
          <w:sz w:val="20"/>
          <w:szCs w:val="20"/>
          <w:bdr w:val="none" w:sz="0" w:space="0" w:color="auto"/>
          <w:lang w:val="es-ES"/>
        </w:rPr>
        <w:t>primera indagatoria ante el Ministerio Público</w:t>
      </w:r>
      <w:r w:rsidRPr="008C2F9C">
        <w:rPr>
          <w:rFonts w:ascii="Cambria" w:hAnsi="Cambria"/>
          <w:sz w:val="20"/>
          <w:szCs w:val="20"/>
          <w:bdr w:val="none" w:sz="0" w:space="0" w:color="auto"/>
          <w:lang w:val="es-ES"/>
        </w:rPr>
        <w:t>, así como</w:t>
      </w:r>
      <w:r w:rsidR="006E3575" w:rsidRPr="008C2F9C">
        <w:rPr>
          <w:rFonts w:ascii="Cambria" w:hAnsi="Cambria"/>
          <w:sz w:val="20"/>
          <w:szCs w:val="20"/>
          <w:bdr w:val="none" w:sz="0" w:space="0" w:color="auto"/>
          <w:lang w:val="es-ES"/>
        </w:rPr>
        <w:t xml:space="preserve"> la falta de una adecuada argumentación para acreditar el requisito de riesgo de fuga u obstaculización de la justicia en la resolución que impuso un régimen de prisión preventiva, no resultan manifiestamente infundadas y requieren un estudio de fondo</w:t>
      </w:r>
      <w:r w:rsidRPr="008C2F9C">
        <w:rPr>
          <w:rFonts w:ascii="Cambria" w:hAnsi="Cambria"/>
          <w:sz w:val="20"/>
          <w:szCs w:val="20"/>
          <w:bdr w:val="none" w:sz="0" w:space="0" w:color="auto"/>
          <w:lang w:val="es-ES"/>
        </w:rPr>
        <w:t>,</w:t>
      </w:r>
      <w:r w:rsidR="006E3575" w:rsidRPr="008C2F9C">
        <w:rPr>
          <w:rFonts w:ascii="Cambria" w:hAnsi="Cambria"/>
          <w:sz w:val="20"/>
          <w:szCs w:val="20"/>
          <w:bdr w:val="none" w:sz="0" w:space="0" w:color="auto"/>
          <w:lang w:val="es-ES"/>
        </w:rPr>
        <w:t xml:space="preserve"> pues los hechos alegados, de corroborarse como ciertos podrían caracterizar violaciones </w:t>
      </w:r>
      <w:r w:rsidRPr="008C2F9C">
        <w:rPr>
          <w:rFonts w:ascii="Cambria" w:hAnsi="Cambria"/>
          <w:sz w:val="20"/>
          <w:szCs w:val="20"/>
          <w:bdr w:val="none" w:sz="0" w:space="0" w:color="auto"/>
          <w:lang w:val="es-ES"/>
        </w:rPr>
        <w:t>de los derechos reconocidos en</w:t>
      </w:r>
      <w:r w:rsidR="006E3575" w:rsidRPr="008C2F9C">
        <w:rPr>
          <w:rFonts w:ascii="Cambria" w:hAnsi="Cambria"/>
          <w:sz w:val="20"/>
          <w:szCs w:val="20"/>
          <w:bdr w:val="none" w:sz="0" w:space="0" w:color="auto"/>
          <w:lang w:val="es-ES"/>
        </w:rPr>
        <w:t xml:space="preserve"> los artículos 7 (libertad personal), 8 (garantías judiciales) y 25 (protección judicial) de la Convención Americana</w:t>
      </w:r>
      <w:r w:rsidRPr="008C2F9C">
        <w:rPr>
          <w:rFonts w:ascii="Cambria" w:hAnsi="Cambria"/>
          <w:sz w:val="20"/>
          <w:szCs w:val="20"/>
          <w:bdr w:val="none" w:sz="0" w:space="0" w:color="auto"/>
          <w:lang w:val="es-ES"/>
        </w:rPr>
        <w:t>,</w:t>
      </w:r>
      <w:r w:rsidR="006E3575" w:rsidRPr="008C2F9C">
        <w:rPr>
          <w:rFonts w:ascii="Cambria" w:hAnsi="Cambria"/>
          <w:sz w:val="20"/>
          <w:szCs w:val="20"/>
          <w:bdr w:val="none" w:sz="0" w:space="0" w:color="auto"/>
          <w:lang w:val="es-ES"/>
        </w:rPr>
        <w:t xml:space="preserve"> en concordancia con el artículo 1.1 del mismo instrumento.</w:t>
      </w:r>
    </w:p>
    <w:p w14:paraId="28466212"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28A6F65F" w:rsidR="003239B8" w:rsidRPr="008C2F9C" w:rsidRDefault="00EC72AB" w:rsidP="00AD16F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8C2F9C">
        <w:rPr>
          <w:rFonts w:asciiTheme="majorHAnsi" w:hAnsiTheme="majorHAnsi"/>
          <w:b/>
          <w:bCs/>
          <w:sz w:val="20"/>
          <w:szCs w:val="20"/>
          <w:lang w:val="es-ES"/>
        </w:rPr>
        <w:t>VI</w:t>
      </w:r>
      <w:r w:rsidR="00F04591" w:rsidRPr="008C2F9C">
        <w:rPr>
          <w:rFonts w:asciiTheme="majorHAnsi" w:hAnsiTheme="majorHAnsi"/>
          <w:b/>
          <w:bCs/>
          <w:sz w:val="20"/>
          <w:szCs w:val="20"/>
          <w:lang w:val="es-ES"/>
        </w:rPr>
        <w:t>II</w:t>
      </w:r>
      <w:r w:rsidR="003239B8" w:rsidRPr="008C2F9C">
        <w:rPr>
          <w:rFonts w:asciiTheme="majorHAnsi" w:hAnsiTheme="majorHAnsi"/>
          <w:b/>
          <w:bCs/>
          <w:sz w:val="20"/>
          <w:szCs w:val="20"/>
          <w:lang w:val="es-ES"/>
        </w:rPr>
        <w:t xml:space="preserve">. </w:t>
      </w:r>
      <w:r w:rsidR="003239B8" w:rsidRPr="008C2F9C">
        <w:rPr>
          <w:rFonts w:asciiTheme="majorHAnsi" w:hAnsiTheme="majorHAnsi"/>
          <w:b/>
          <w:bCs/>
          <w:sz w:val="20"/>
          <w:szCs w:val="20"/>
          <w:lang w:val="es-ES"/>
        </w:rPr>
        <w:tab/>
        <w:t>DECISIÓN</w:t>
      </w:r>
    </w:p>
    <w:p w14:paraId="6F156C37" w14:textId="77777777" w:rsidR="00AD16FE" w:rsidRPr="008C2F9C" w:rsidRDefault="00AD16FE" w:rsidP="00AD16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u w:color="000000"/>
          <w:bdr w:val="none" w:sz="0" w:space="0" w:color="auto"/>
          <w:lang w:val="es-ES"/>
        </w:rPr>
      </w:pPr>
    </w:p>
    <w:p w14:paraId="13FEC2ED" w14:textId="1920EB5D" w:rsidR="00AD16FE" w:rsidRPr="008C2F9C" w:rsidRDefault="006E3575" w:rsidP="00AD16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u w:color="000000"/>
          <w:bdr w:val="none" w:sz="0" w:space="0" w:color="auto"/>
          <w:lang w:val="es-ES"/>
        </w:rPr>
      </w:pPr>
      <w:r w:rsidRPr="008C2F9C">
        <w:rPr>
          <w:rFonts w:ascii="Cambria" w:hAnsi="Cambria"/>
          <w:sz w:val="20"/>
          <w:szCs w:val="20"/>
          <w:u w:color="000000"/>
          <w:bdr w:val="none" w:sz="0" w:space="0" w:color="auto"/>
          <w:lang w:val="es-ES"/>
        </w:rPr>
        <w:t>Declarar admisible la presente petición en relación con los artículos 7, 8 y 25 de la Convención Americana</w:t>
      </w:r>
      <w:r w:rsidR="00E505DE" w:rsidRPr="008C2F9C">
        <w:rPr>
          <w:rFonts w:ascii="Cambria" w:hAnsi="Cambria"/>
          <w:sz w:val="20"/>
          <w:szCs w:val="20"/>
          <w:u w:color="000000"/>
          <w:bdr w:val="none" w:sz="0" w:space="0" w:color="auto"/>
          <w:lang w:val="es-ES"/>
        </w:rPr>
        <w:t>,</w:t>
      </w:r>
      <w:r w:rsidRPr="008C2F9C">
        <w:rPr>
          <w:rFonts w:ascii="Cambria" w:hAnsi="Cambria"/>
          <w:sz w:val="20"/>
          <w:szCs w:val="20"/>
          <w:u w:color="000000"/>
          <w:bdr w:val="none" w:sz="0" w:space="0" w:color="auto"/>
          <w:lang w:val="es-ES"/>
        </w:rPr>
        <w:t xml:space="preserve"> en concordancia con el artículo 1</w:t>
      </w:r>
      <w:r w:rsidR="00E505DE" w:rsidRPr="008C2F9C">
        <w:rPr>
          <w:rFonts w:ascii="Cambria" w:hAnsi="Cambria"/>
          <w:sz w:val="20"/>
          <w:szCs w:val="20"/>
          <w:u w:color="000000"/>
          <w:bdr w:val="none" w:sz="0" w:space="0" w:color="auto"/>
          <w:lang w:val="es-ES"/>
        </w:rPr>
        <w:t>.1</w:t>
      </w:r>
      <w:r w:rsidRPr="008C2F9C">
        <w:rPr>
          <w:rFonts w:ascii="Cambria" w:hAnsi="Cambria"/>
          <w:sz w:val="20"/>
          <w:szCs w:val="20"/>
          <w:u w:color="000000"/>
          <w:bdr w:val="none" w:sz="0" w:space="0" w:color="auto"/>
          <w:lang w:val="es-ES"/>
        </w:rPr>
        <w:t xml:space="preserve"> de este mismo instrumento</w:t>
      </w:r>
      <w:r w:rsidR="00AD16FE" w:rsidRPr="008C2F9C">
        <w:rPr>
          <w:rFonts w:ascii="Cambria" w:hAnsi="Cambria"/>
          <w:sz w:val="20"/>
          <w:szCs w:val="20"/>
          <w:u w:color="000000"/>
          <w:bdr w:val="none" w:sz="0" w:space="0" w:color="auto"/>
          <w:lang w:val="es-ES"/>
        </w:rPr>
        <w:t>.</w:t>
      </w:r>
    </w:p>
    <w:p w14:paraId="477D5305" w14:textId="77777777" w:rsidR="006E3575" w:rsidRPr="008C2F9C" w:rsidRDefault="006E3575" w:rsidP="00AD16F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hAnsi="Cambria"/>
          <w:sz w:val="20"/>
          <w:szCs w:val="20"/>
          <w:u w:color="000000"/>
          <w:bdr w:val="none" w:sz="0" w:space="0" w:color="auto"/>
          <w:lang w:val="es-ES"/>
        </w:rPr>
      </w:pPr>
    </w:p>
    <w:p w14:paraId="2DE6D3C3" w14:textId="77777777" w:rsidR="006E3575" w:rsidRPr="008C2F9C" w:rsidRDefault="006E3575" w:rsidP="00AD16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bdr w:val="none" w:sz="0" w:space="0" w:color="auto"/>
          <w:lang w:val="es-ES"/>
        </w:rPr>
      </w:pPr>
      <w:r w:rsidRPr="008C2F9C">
        <w:rPr>
          <w:rFonts w:asciiTheme="majorHAnsi" w:hAnsiTheme="majorHAnsi"/>
          <w:sz w:val="20"/>
          <w:szCs w:val="20"/>
          <w:bdr w:val="none" w:sz="0" w:space="0" w:color="auto"/>
          <w:lang w:val="es-ES"/>
        </w:rPr>
        <w:t>Notificar a las partes la presente decisión; continuar con el análisis del fondo de la cuestión; y publicar esta decisión e incluirla en su Informe Anual a la Asamblea General de la Organización de los Estados Americanos.</w:t>
      </w:r>
    </w:p>
    <w:p w14:paraId="7520F250" w14:textId="0DF3003E" w:rsidR="00684CEE" w:rsidRDefault="00684CEE" w:rsidP="008C2F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uppressAutoHyphens/>
        <w:jc w:val="both"/>
        <w:rPr>
          <w:rFonts w:asciiTheme="majorHAnsi" w:hAnsiTheme="majorHAnsi"/>
          <w:color w:val="FF0000"/>
          <w:sz w:val="20"/>
          <w:szCs w:val="20"/>
          <w:lang w:val="es-ES"/>
        </w:rPr>
      </w:pPr>
    </w:p>
    <w:p w14:paraId="5EBE6C50" w14:textId="099A913B" w:rsidR="009E50F0" w:rsidRPr="00A37B82" w:rsidRDefault="009E50F0" w:rsidP="009E50F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A4E30A6" w14:textId="77777777" w:rsidR="009E50F0" w:rsidRPr="00A37B82" w:rsidRDefault="009E50F0" w:rsidP="009E50F0">
      <w:pPr>
        <w:suppressAutoHyphens/>
        <w:ind w:firstLine="720"/>
        <w:jc w:val="both"/>
        <w:rPr>
          <w:rFonts w:asciiTheme="majorHAnsi" w:hAnsiTheme="majorHAnsi" w:cs="Arial"/>
          <w:noProof/>
          <w:spacing w:val="-2"/>
          <w:sz w:val="20"/>
          <w:szCs w:val="20"/>
          <w:lang w:val="es-CL"/>
        </w:rPr>
      </w:pPr>
    </w:p>
    <w:sectPr w:rsidR="009E50F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4163" w14:textId="77777777" w:rsidR="00700A9A" w:rsidRDefault="00700A9A">
      <w:r>
        <w:separator/>
      </w:r>
    </w:p>
  </w:endnote>
  <w:endnote w:type="continuationSeparator" w:id="0">
    <w:p w14:paraId="6A0B5D2C" w14:textId="77777777" w:rsidR="00700A9A" w:rsidRDefault="007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890D" w14:textId="15AEBB00" w:rsidR="00BD3D5C" w:rsidRDefault="00BD3D5C">
    <w:pPr>
      <w:pStyle w:val="Footer"/>
    </w:pPr>
  </w:p>
  <w:p w14:paraId="68530E6A" w14:textId="77777777" w:rsidR="00BD3D5C" w:rsidRDefault="00BD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BD3D5C" w:rsidRPr="00934A2C" w:rsidRDefault="00BD3D5C">
    <w:pPr>
      <w:pStyle w:val="Footer"/>
      <w:jc w:val="center"/>
      <w:rPr>
        <w:sz w:val="16"/>
        <w:szCs w:val="22"/>
      </w:rPr>
    </w:pPr>
  </w:p>
  <w:p w14:paraId="49059CE3" w14:textId="77777777" w:rsidR="00BD3D5C" w:rsidRDefault="00BD3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9C18" w14:textId="77777777" w:rsidR="00700A9A" w:rsidRPr="000F35ED" w:rsidRDefault="00700A9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923A5F" w14:textId="77777777" w:rsidR="00700A9A" w:rsidRPr="000F35ED" w:rsidRDefault="00700A9A" w:rsidP="000F35ED">
      <w:pPr>
        <w:rPr>
          <w:rFonts w:asciiTheme="majorHAnsi" w:hAnsiTheme="majorHAnsi"/>
          <w:sz w:val="16"/>
          <w:szCs w:val="16"/>
        </w:rPr>
      </w:pPr>
      <w:r w:rsidRPr="000F35ED">
        <w:rPr>
          <w:rFonts w:asciiTheme="majorHAnsi" w:hAnsiTheme="majorHAnsi"/>
          <w:sz w:val="16"/>
          <w:szCs w:val="16"/>
        </w:rPr>
        <w:separator/>
      </w:r>
    </w:p>
    <w:p w14:paraId="47D61AA4" w14:textId="77777777" w:rsidR="00700A9A" w:rsidRPr="000F35ED" w:rsidRDefault="00700A9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194FB8B" w14:textId="77777777" w:rsidR="00700A9A" w:rsidRPr="000F35ED" w:rsidRDefault="00700A9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7A1F80A5" w:rsidR="00BD3D5C" w:rsidRPr="00DD061E" w:rsidRDefault="00BD3D5C" w:rsidP="009E50F0">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w:t>
      </w:r>
    </w:p>
  </w:footnote>
  <w:footnote w:id="3">
    <w:p w14:paraId="79F07139" w14:textId="77777777" w:rsidR="00BD3D5C" w:rsidRPr="00DD061E" w:rsidRDefault="00BD3D5C" w:rsidP="009E50F0">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14:paraId="3D5492CB" w14:textId="15D659C4" w:rsidR="00B6600F" w:rsidRPr="00B6600F" w:rsidRDefault="00B6600F" w:rsidP="009E50F0">
      <w:pPr>
        <w:pStyle w:val="FootnoteText"/>
        <w:ind w:firstLine="720"/>
        <w:rPr>
          <w:rFonts w:ascii="Cambria" w:hAnsi="Cambria"/>
          <w:sz w:val="16"/>
          <w:szCs w:val="16"/>
          <w:lang w:val="es-ES"/>
        </w:rPr>
      </w:pPr>
      <w:r w:rsidRPr="00B6600F">
        <w:rPr>
          <w:rStyle w:val="FootnoteReference"/>
          <w:rFonts w:ascii="Cambria" w:hAnsi="Cambria"/>
          <w:sz w:val="16"/>
          <w:szCs w:val="16"/>
        </w:rPr>
        <w:footnoteRef/>
      </w:r>
      <w:r w:rsidRPr="00B6600F">
        <w:rPr>
          <w:rFonts w:ascii="Cambria" w:hAnsi="Cambria"/>
          <w:sz w:val="16"/>
          <w:szCs w:val="16"/>
          <w:lang w:val="es-ES"/>
        </w:rPr>
        <w:t xml:space="preserve"> Primera respuesta del Estado</w:t>
      </w:r>
      <w:r w:rsidR="00E14183">
        <w:rPr>
          <w:rFonts w:ascii="Cambria" w:hAnsi="Cambria"/>
          <w:sz w:val="16"/>
          <w:szCs w:val="16"/>
          <w:lang w:val="es-ES"/>
        </w:rPr>
        <w:t>,</w:t>
      </w:r>
      <w:r w:rsidRPr="00B6600F">
        <w:rPr>
          <w:rFonts w:ascii="Cambria" w:hAnsi="Cambria"/>
          <w:sz w:val="16"/>
          <w:szCs w:val="16"/>
          <w:lang w:val="es-ES"/>
        </w:rPr>
        <w:t xml:space="preserve"> 4 de agosto de 2017. </w:t>
      </w:r>
    </w:p>
  </w:footnote>
  <w:footnote w:id="5">
    <w:p w14:paraId="0391222F" w14:textId="0ED45A38" w:rsidR="00E52953" w:rsidRPr="009D4EFD" w:rsidRDefault="00E52953" w:rsidP="009E50F0">
      <w:pPr>
        <w:pStyle w:val="FootnoteText"/>
        <w:ind w:firstLine="720"/>
        <w:rPr>
          <w:rFonts w:ascii="Cambria" w:hAnsi="Cambria"/>
          <w:sz w:val="16"/>
          <w:szCs w:val="16"/>
          <w:lang w:val="es-ES"/>
        </w:rPr>
      </w:pPr>
      <w:r w:rsidRPr="00E52953">
        <w:rPr>
          <w:rStyle w:val="FootnoteReference"/>
          <w:rFonts w:ascii="Cambria" w:hAnsi="Cambria"/>
          <w:sz w:val="16"/>
          <w:szCs w:val="16"/>
        </w:rPr>
        <w:footnoteRef/>
      </w:r>
      <w:r w:rsidRPr="00E52953">
        <w:rPr>
          <w:rFonts w:ascii="Cambria" w:hAnsi="Cambria"/>
          <w:sz w:val="16"/>
          <w:szCs w:val="16"/>
          <w:lang w:val="es-ES"/>
        </w:rPr>
        <w:t xml:space="preserve"> </w:t>
      </w:r>
      <w:r w:rsidRPr="009D4EFD">
        <w:rPr>
          <w:rFonts w:ascii="Cambria" w:hAnsi="Cambria"/>
          <w:sz w:val="16"/>
          <w:szCs w:val="16"/>
          <w:lang w:val="es-ES"/>
        </w:rPr>
        <w:t xml:space="preserve">CIDH, Informe No. 4/15, Petición582-01. Admisibilidad. </w:t>
      </w:r>
      <w:r w:rsidRPr="008C2F9C">
        <w:rPr>
          <w:rFonts w:ascii="Cambria" w:hAnsi="Cambria"/>
          <w:sz w:val="16"/>
          <w:szCs w:val="16"/>
          <w:lang w:val="pt-BR"/>
        </w:rPr>
        <w:t xml:space="preserve">Raúl Rolando Romero Feris. Argentina. </w:t>
      </w:r>
      <w:r w:rsidRPr="009D4EFD">
        <w:rPr>
          <w:rFonts w:ascii="Cambria" w:hAnsi="Cambria"/>
          <w:sz w:val="16"/>
          <w:szCs w:val="16"/>
          <w:lang w:val="es-ES"/>
        </w:rPr>
        <w:t>29 de enero de 2015, párr. 40.</w:t>
      </w:r>
      <w:r w:rsidRPr="00396F2D">
        <w:rPr>
          <w:rFonts w:ascii="Cambria" w:hAnsi="Cambria"/>
          <w:sz w:val="16"/>
          <w:szCs w:val="16"/>
          <w:lang w:val="es-ES"/>
        </w:rPr>
        <w:t xml:space="preserve"> </w:t>
      </w:r>
    </w:p>
  </w:footnote>
  <w:footnote w:id="6">
    <w:p w14:paraId="3854B289" w14:textId="28AF6825" w:rsidR="00E52953" w:rsidRPr="009D4EFD" w:rsidRDefault="00E52953" w:rsidP="009E50F0">
      <w:pPr>
        <w:pStyle w:val="FootnoteText"/>
        <w:ind w:firstLine="720"/>
        <w:rPr>
          <w:rFonts w:ascii="Cambria" w:hAnsi="Cambria"/>
          <w:sz w:val="16"/>
          <w:szCs w:val="16"/>
          <w:lang w:val="es-ES"/>
        </w:rPr>
      </w:pPr>
      <w:r w:rsidRPr="00EA4057">
        <w:rPr>
          <w:rStyle w:val="FootnoteReference"/>
          <w:rFonts w:ascii="Cambria" w:hAnsi="Cambria"/>
          <w:sz w:val="16"/>
          <w:szCs w:val="16"/>
        </w:rPr>
        <w:footnoteRef/>
      </w:r>
      <w:r w:rsidRPr="00EA4057">
        <w:rPr>
          <w:rFonts w:ascii="Cambria" w:hAnsi="Cambria"/>
          <w:sz w:val="16"/>
          <w:szCs w:val="16"/>
          <w:lang w:val="es-ES"/>
        </w:rPr>
        <w:t xml:space="preserve"> </w:t>
      </w:r>
      <w:r w:rsidRPr="009D4EFD">
        <w:rPr>
          <w:rFonts w:ascii="Cambria" w:hAnsi="Cambria"/>
          <w:sz w:val="16"/>
          <w:szCs w:val="16"/>
          <w:lang w:val="es-ES"/>
        </w:rPr>
        <w:t>CIDH, Informe No. 16/18, Petición 884-07. Admisibilidad. Victoria Piedad Palacios Tejada de Saavedra. Perú. 24 de febrero de 2018, párr. 12.</w:t>
      </w:r>
      <w:r w:rsidRPr="009D4EFD">
        <w:rPr>
          <w:rFonts w:ascii="Cambria" w:hAnsi="Cambria"/>
          <w:sz w:val="16"/>
          <w:szCs w:val="16"/>
          <w:lang w:val="es-ES"/>
        </w:rPr>
        <w:tab/>
      </w:r>
    </w:p>
  </w:footnote>
  <w:footnote w:id="7">
    <w:p w14:paraId="05B09413" w14:textId="212F9847" w:rsidR="00EA4057" w:rsidRPr="008A0F5D" w:rsidRDefault="00EA4057" w:rsidP="009E50F0">
      <w:pPr>
        <w:pStyle w:val="FootnoteText"/>
        <w:ind w:firstLine="720"/>
        <w:rPr>
          <w:rFonts w:asciiTheme="majorHAnsi" w:hAnsiTheme="majorHAnsi"/>
          <w:sz w:val="16"/>
          <w:szCs w:val="16"/>
          <w:lang w:val="es-ES"/>
        </w:rPr>
      </w:pPr>
      <w:r w:rsidRPr="00EA4057">
        <w:rPr>
          <w:rStyle w:val="FootnoteReference"/>
          <w:rFonts w:ascii="Cambria" w:hAnsi="Cambria"/>
          <w:sz w:val="16"/>
          <w:szCs w:val="16"/>
        </w:rPr>
        <w:footnoteRef/>
      </w:r>
      <w:r w:rsidRPr="00EA4057">
        <w:rPr>
          <w:rFonts w:ascii="Cambria" w:hAnsi="Cambria"/>
          <w:sz w:val="16"/>
          <w:szCs w:val="16"/>
          <w:lang w:val="es-ES"/>
        </w:rPr>
        <w:t xml:space="preserve"> CIDH, Informe sobre el uso de la prisión preventiv</w:t>
      </w:r>
      <w:r>
        <w:rPr>
          <w:rFonts w:ascii="Cambria" w:hAnsi="Cambria"/>
          <w:sz w:val="16"/>
          <w:szCs w:val="16"/>
          <w:lang w:val="es-ES"/>
        </w:rPr>
        <w:t>a</w:t>
      </w:r>
      <w:r w:rsidRPr="00EA4057">
        <w:rPr>
          <w:rFonts w:ascii="Cambria" w:hAnsi="Cambria"/>
          <w:sz w:val="16"/>
          <w:szCs w:val="16"/>
          <w:lang w:val="es-ES"/>
        </w:rPr>
        <w:t xml:space="preserve"> en las Américas, </w:t>
      </w:r>
      <w:r>
        <w:rPr>
          <w:rFonts w:ascii="Cambria" w:hAnsi="Cambria"/>
          <w:sz w:val="16"/>
          <w:szCs w:val="16"/>
          <w:lang w:val="es-ES"/>
        </w:rPr>
        <w:t xml:space="preserve">30 </w:t>
      </w:r>
      <w:r w:rsidRPr="008A0F5D">
        <w:rPr>
          <w:rFonts w:asciiTheme="majorHAnsi" w:hAnsiTheme="majorHAnsi"/>
          <w:sz w:val="16"/>
          <w:szCs w:val="16"/>
          <w:lang w:val="es-ES"/>
        </w:rPr>
        <w:t>de diciembre de 2013, párr. 232.</w:t>
      </w:r>
    </w:p>
  </w:footnote>
  <w:footnote w:id="8">
    <w:p w14:paraId="50060145" w14:textId="2D1268B7" w:rsidR="00F446CF" w:rsidRPr="008A0F5D" w:rsidRDefault="00F446CF" w:rsidP="009E50F0">
      <w:pPr>
        <w:pStyle w:val="FootnoteText"/>
        <w:ind w:firstLine="720"/>
        <w:rPr>
          <w:rFonts w:asciiTheme="majorHAnsi" w:hAnsiTheme="majorHAnsi"/>
          <w:sz w:val="16"/>
          <w:szCs w:val="16"/>
          <w:lang w:val="es-ES"/>
        </w:rPr>
      </w:pPr>
      <w:r w:rsidRPr="008A0F5D">
        <w:rPr>
          <w:rStyle w:val="FootnoteReference"/>
          <w:rFonts w:asciiTheme="majorHAnsi" w:hAnsiTheme="majorHAnsi"/>
          <w:sz w:val="16"/>
          <w:szCs w:val="16"/>
        </w:rPr>
        <w:footnoteRef/>
      </w:r>
      <w:r w:rsidRPr="008A0F5D">
        <w:rPr>
          <w:rFonts w:asciiTheme="majorHAnsi" w:hAnsiTheme="majorHAnsi"/>
          <w:sz w:val="16"/>
          <w:szCs w:val="16"/>
          <w:lang w:val="es-ES"/>
        </w:rPr>
        <w:t xml:space="preserve"> </w:t>
      </w:r>
      <w:r w:rsidR="00EA4057" w:rsidRPr="008A0F5D">
        <w:rPr>
          <w:rFonts w:asciiTheme="majorHAnsi" w:hAnsiTheme="majorHAnsi"/>
          <w:sz w:val="16"/>
          <w:szCs w:val="16"/>
          <w:lang w:val="es-ES"/>
        </w:rPr>
        <w:t>CIDH, Informe sobre el uso de la prisión preventiva en las Américas, 30 de diciembre de 2013, párr. 235.</w:t>
      </w:r>
    </w:p>
  </w:footnote>
  <w:footnote w:id="9">
    <w:p w14:paraId="5EBA5357" w14:textId="54474B82" w:rsidR="008A0F5D" w:rsidRPr="008A0F5D" w:rsidRDefault="008A0F5D" w:rsidP="009E50F0">
      <w:pPr>
        <w:pStyle w:val="FootnoteText"/>
        <w:ind w:firstLine="720"/>
        <w:jc w:val="both"/>
        <w:rPr>
          <w:rFonts w:asciiTheme="majorHAnsi" w:hAnsiTheme="majorHAnsi"/>
          <w:sz w:val="16"/>
          <w:szCs w:val="16"/>
          <w:lang w:val="es-ES"/>
        </w:rPr>
      </w:pPr>
      <w:r w:rsidRPr="008A0F5D">
        <w:rPr>
          <w:rStyle w:val="FootnoteReference"/>
          <w:rFonts w:asciiTheme="majorHAnsi" w:hAnsiTheme="majorHAnsi"/>
          <w:sz w:val="16"/>
          <w:szCs w:val="16"/>
        </w:rPr>
        <w:footnoteRef/>
      </w:r>
      <w:r w:rsidRPr="008A0F5D">
        <w:rPr>
          <w:rFonts w:asciiTheme="majorHAnsi" w:hAnsiTheme="majorHAnsi"/>
          <w:sz w:val="16"/>
          <w:szCs w:val="16"/>
          <w:lang w:val="es-ES"/>
        </w:rPr>
        <w:t xml:space="preserve"> </w:t>
      </w:r>
      <w:r w:rsidR="00E505DE">
        <w:rPr>
          <w:rFonts w:asciiTheme="majorHAnsi" w:hAnsiTheme="majorHAnsi"/>
          <w:sz w:val="16"/>
          <w:szCs w:val="16"/>
          <w:lang w:val="es-ES"/>
        </w:rPr>
        <w:t>El a</w:t>
      </w:r>
      <w:r w:rsidRPr="008A0F5D">
        <w:rPr>
          <w:rFonts w:asciiTheme="majorHAnsi" w:hAnsiTheme="majorHAnsi"/>
          <w:sz w:val="16"/>
          <w:szCs w:val="16"/>
          <w:lang w:val="es-ES"/>
        </w:rPr>
        <w:t>rtículo 10.1</w:t>
      </w:r>
      <w:r w:rsidR="00E505DE" w:rsidRPr="00E505DE">
        <w:rPr>
          <w:rFonts w:asciiTheme="majorHAnsi" w:hAnsiTheme="majorHAnsi"/>
          <w:sz w:val="16"/>
          <w:szCs w:val="16"/>
          <w:lang w:val="es-ES"/>
        </w:rPr>
        <w:t xml:space="preserve"> </w:t>
      </w:r>
      <w:r w:rsidR="00E505DE">
        <w:rPr>
          <w:rFonts w:asciiTheme="majorHAnsi" w:hAnsiTheme="majorHAnsi"/>
          <w:sz w:val="16"/>
          <w:szCs w:val="16"/>
          <w:lang w:val="es-ES"/>
        </w:rPr>
        <w:t xml:space="preserve">del </w:t>
      </w:r>
      <w:r w:rsidR="00E505DE" w:rsidRPr="008A0F5D">
        <w:rPr>
          <w:rFonts w:asciiTheme="majorHAnsi" w:hAnsiTheme="majorHAnsi"/>
          <w:sz w:val="16"/>
          <w:szCs w:val="16"/>
          <w:lang w:val="es-ES"/>
        </w:rPr>
        <w:t>Convenio 169 de la O</w:t>
      </w:r>
      <w:r w:rsidR="005C332E">
        <w:rPr>
          <w:rFonts w:asciiTheme="majorHAnsi" w:hAnsiTheme="majorHAnsi"/>
          <w:sz w:val="16"/>
          <w:szCs w:val="16"/>
          <w:lang w:val="es-ES"/>
        </w:rPr>
        <w:t>IT</w:t>
      </w:r>
      <w:r w:rsidR="00E505DE">
        <w:rPr>
          <w:rFonts w:asciiTheme="majorHAnsi" w:hAnsiTheme="majorHAnsi"/>
          <w:sz w:val="16"/>
          <w:szCs w:val="16"/>
          <w:lang w:val="es-ES"/>
        </w:rPr>
        <w:t xml:space="preserve"> </w:t>
      </w:r>
      <w:r w:rsidR="00E14183">
        <w:rPr>
          <w:rFonts w:asciiTheme="majorHAnsi" w:hAnsiTheme="majorHAnsi"/>
          <w:sz w:val="16"/>
          <w:szCs w:val="16"/>
          <w:lang w:val="es-ES"/>
        </w:rPr>
        <w:t xml:space="preserve">dispone </w:t>
      </w:r>
      <w:r w:rsidR="00E505DE">
        <w:rPr>
          <w:rFonts w:asciiTheme="majorHAnsi" w:hAnsiTheme="majorHAnsi"/>
          <w:sz w:val="16"/>
          <w:szCs w:val="16"/>
          <w:lang w:val="es-ES"/>
        </w:rPr>
        <w:t>que “c</w:t>
      </w:r>
      <w:r w:rsidRPr="008A0F5D">
        <w:rPr>
          <w:rFonts w:asciiTheme="majorHAnsi" w:hAnsiTheme="majorHAnsi"/>
          <w:sz w:val="16"/>
          <w:szCs w:val="16"/>
          <w:lang w:val="es-ES"/>
        </w:rPr>
        <w:t>uando se impongan sanciones penales previstas por la legislación general a miembros de dichos pueblos deberán tenerse en cuenta sus características económicas, sociales y culturales</w:t>
      </w:r>
      <w:r w:rsidR="00E505DE">
        <w:rPr>
          <w:rFonts w:asciiTheme="majorHAnsi" w:hAnsiTheme="majorHAnsi"/>
          <w:sz w:val="16"/>
          <w:szCs w:val="16"/>
          <w:lang w:val="es-ES"/>
        </w:rPr>
        <w:t>”</w:t>
      </w:r>
      <w:r w:rsidRPr="008A0F5D">
        <w:rPr>
          <w:rFonts w:asciiTheme="majorHAnsi" w:hAnsiTheme="majorHAnsi"/>
          <w:sz w:val="16"/>
          <w:szCs w:val="16"/>
          <w:lang w:val="es-ES"/>
        </w:rPr>
        <w:t>.</w:t>
      </w:r>
      <w:r>
        <w:rPr>
          <w:rFonts w:asciiTheme="majorHAnsi" w:hAnsiTheme="majorHAnsi"/>
          <w:sz w:val="16"/>
          <w:szCs w:val="16"/>
          <w:lang w:val="es-ES"/>
        </w:rPr>
        <w:t xml:space="preserve"> </w:t>
      </w:r>
      <w:r w:rsidR="00E505DE">
        <w:rPr>
          <w:rFonts w:asciiTheme="majorHAnsi" w:hAnsiTheme="majorHAnsi"/>
          <w:sz w:val="16"/>
          <w:szCs w:val="16"/>
          <w:lang w:val="es-ES"/>
        </w:rPr>
        <w:t>El a</w:t>
      </w:r>
      <w:r w:rsidRPr="008A0F5D">
        <w:rPr>
          <w:rFonts w:asciiTheme="majorHAnsi" w:hAnsiTheme="majorHAnsi"/>
          <w:sz w:val="16"/>
          <w:szCs w:val="16"/>
          <w:lang w:val="es-ES"/>
        </w:rPr>
        <w:t>rtículo 10.2</w:t>
      </w:r>
      <w:r w:rsidR="00E505DE">
        <w:rPr>
          <w:rFonts w:asciiTheme="majorHAnsi" w:hAnsiTheme="majorHAnsi"/>
          <w:sz w:val="16"/>
          <w:szCs w:val="16"/>
          <w:lang w:val="es-ES"/>
        </w:rPr>
        <w:t xml:space="preserve"> establece que “d</w:t>
      </w:r>
      <w:r w:rsidRPr="008A0F5D">
        <w:rPr>
          <w:rFonts w:asciiTheme="majorHAnsi" w:hAnsiTheme="majorHAnsi"/>
          <w:sz w:val="16"/>
          <w:szCs w:val="16"/>
          <w:lang w:val="es-ES"/>
        </w:rPr>
        <w:t>eberá darse la preferencia a tipos de sanción distintos del encarcelamiento</w:t>
      </w:r>
      <w:r w:rsidR="00E505DE">
        <w:rPr>
          <w:rFonts w:asciiTheme="majorHAnsi" w:hAnsiTheme="majorHAnsi"/>
          <w:sz w:val="16"/>
          <w:szCs w:val="16"/>
          <w:lang w:val="es-ES"/>
        </w:rPr>
        <w:t>”, y el a</w:t>
      </w:r>
      <w:r w:rsidRPr="008A0F5D">
        <w:rPr>
          <w:rFonts w:asciiTheme="majorHAnsi" w:hAnsiTheme="majorHAnsi"/>
          <w:sz w:val="16"/>
          <w:szCs w:val="16"/>
          <w:lang w:val="es-ES"/>
        </w:rPr>
        <w:t>rtículo 12</w:t>
      </w:r>
      <w:r w:rsidR="00E505DE">
        <w:rPr>
          <w:rFonts w:asciiTheme="majorHAnsi" w:hAnsiTheme="majorHAnsi"/>
          <w:sz w:val="16"/>
          <w:szCs w:val="16"/>
          <w:lang w:val="es-ES"/>
        </w:rPr>
        <w:t xml:space="preserve"> manifiesta que “l</w:t>
      </w:r>
      <w:r w:rsidRPr="008A0F5D">
        <w:rPr>
          <w:rFonts w:asciiTheme="majorHAnsi" w:hAnsiTheme="majorHAnsi"/>
          <w:sz w:val="16"/>
          <w:szCs w:val="16"/>
          <w:lang w:val="es-ES"/>
        </w:rPr>
        <w:t>os pueblos interesados deberán tener protección contra la violación de sus derechos, y poder iniciar procedimientos legales, sea personalmente o bien por conducto de sus organismos representativos, para asegurar el respeto efectivo de tales derechos</w:t>
      </w:r>
      <w:r w:rsidR="00E505DE">
        <w:rPr>
          <w:rFonts w:asciiTheme="majorHAnsi" w:hAnsiTheme="majorHAnsi"/>
          <w:sz w:val="16"/>
          <w:szCs w:val="16"/>
          <w:lang w:val="es-ES"/>
        </w:rPr>
        <w:t>” y que “d</w:t>
      </w:r>
      <w:r w:rsidRPr="008A0F5D">
        <w:rPr>
          <w:rFonts w:asciiTheme="majorHAnsi" w:hAnsiTheme="majorHAnsi"/>
          <w:sz w:val="16"/>
          <w:szCs w:val="16"/>
          <w:lang w:val="es-ES"/>
        </w:rPr>
        <w:t>eberán tomarse medidas para garantizar que los miembros de dichos pueblos puedan comprender y hacerse comprender en procedimientos legales, facilitándoles, si fuere necesario, intérpretes u otros medios eficaces</w:t>
      </w:r>
      <w:r w:rsidR="00E505DE">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BD3D5C" w:rsidRDefault="00BD3D5C" w:rsidP="00F34C3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D3D5C" w:rsidRDefault="00BD3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BD3D5C" w:rsidRDefault="00BD3D5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D3D5C" w:rsidRPr="00EC7D62" w:rsidRDefault="00700A9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DC6DFA8"/>
    <w:lvl w:ilvl="0" w:tplc="BF6E619A">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D11286"/>
    <w:multiLevelType w:val="hybridMultilevel"/>
    <w:tmpl w:val="94AAABA4"/>
    <w:lvl w:ilvl="0" w:tplc="11204C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1"/>
  </w:num>
  <w:num w:numId="53">
    <w:abstractNumId w:val="51"/>
  </w:num>
  <w:num w:numId="54">
    <w:abstractNumId w:val="45"/>
  </w:num>
  <w:num w:numId="55">
    <w:abstractNumId w:val="5"/>
  </w:num>
  <w:num w:numId="56">
    <w:abstractNumId w:val="43"/>
  </w:num>
  <w:num w:numId="57">
    <w:abstractNumId w:val="59"/>
  </w:num>
  <w:num w:numId="58">
    <w:abstractNumId w:val="20"/>
  </w:num>
  <w:num w:numId="59">
    <w:abstractNumId w:val="3"/>
  </w:num>
  <w:num w:numId="60">
    <w:abstractNumId w:val="47"/>
  </w:num>
  <w:num w:numId="61">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3273"/>
    <w:rsid w:val="000065D0"/>
    <w:rsid w:val="00006B74"/>
    <w:rsid w:val="00006E1F"/>
    <w:rsid w:val="000070D7"/>
    <w:rsid w:val="000104F5"/>
    <w:rsid w:val="00015701"/>
    <w:rsid w:val="00016145"/>
    <w:rsid w:val="0001788C"/>
    <w:rsid w:val="0002186F"/>
    <w:rsid w:val="000337EF"/>
    <w:rsid w:val="00035F7A"/>
    <w:rsid w:val="00036C66"/>
    <w:rsid w:val="00040258"/>
    <w:rsid w:val="00040C3A"/>
    <w:rsid w:val="000419AD"/>
    <w:rsid w:val="000609E2"/>
    <w:rsid w:val="00065AF6"/>
    <w:rsid w:val="000716C5"/>
    <w:rsid w:val="000726DA"/>
    <w:rsid w:val="00075E23"/>
    <w:rsid w:val="00076CA2"/>
    <w:rsid w:val="0009006E"/>
    <w:rsid w:val="0009344A"/>
    <w:rsid w:val="000A19F8"/>
    <w:rsid w:val="000A263D"/>
    <w:rsid w:val="000A3254"/>
    <w:rsid w:val="000A392E"/>
    <w:rsid w:val="000A575F"/>
    <w:rsid w:val="000A63D0"/>
    <w:rsid w:val="000A7E71"/>
    <w:rsid w:val="000B0579"/>
    <w:rsid w:val="000B50EE"/>
    <w:rsid w:val="000C1C69"/>
    <w:rsid w:val="000C3A31"/>
    <w:rsid w:val="000D10DB"/>
    <w:rsid w:val="000E2789"/>
    <w:rsid w:val="000E5EB5"/>
    <w:rsid w:val="000F35ED"/>
    <w:rsid w:val="00107131"/>
    <w:rsid w:val="0010736F"/>
    <w:rsid w:val="00110FD9"/>
    <w:rsid w:val="001118BD"/>
    <w:rsid w:val="00111A8A"/>
    <w:rsid w:val="00113BD2"/>
    <w:rsid w:val="00113F73"/>
    <w:rsid w:val="00121CC2"/>
    <w:rsid w:val="00131D8B"/>
    <w:rsid w:val="00133EE5"/>
    <w:rsid w:val="001340BC"/>
    <w:rsid w:val="00136E3D"/>
    <w:rsid w:val="00143EFE"/>
    <w:rsid w:val="001479C0"/>
    <w:rsid w:val="001513FF"/>
    <w:rsid w:val="0015330B"/>
    <w:rsid w:val="00154E40"/>
    <w:rsid w:val="00155596"/>
    <w:rsid w:val="001613E6"/>
    <w:rsid w:val="00167A34"/>
    <w:rsid w:val="00176BB3"/>
    <w:rsid w:val="00177EEF"/>
    <w:rsid w:val="00193F31"/>
    <w:rsid w:val="001A202D"/>
    <w:rsid w:val="001A7870"/>
    <w:rsid w:val="001B3A00"/>
    <w:rsid w:val="001B4C00"/>
    <w:rsid w:val="001C0FFC"/>
    <w:rsid w:val="001C1B41"/>
    <w:rsid w:val="001D65EF"/>
    <w:rsid w:val="001E49E7"/>
    <w:rsid w:val="001F271B"/>
    <w:rsid w:val="001F7201"/>
    <w:rsid w:val="00204931"/>
    <w:rsid w:val="00213596"/>
    <w:rsid w:val="002172B1"/>
    <w:rsid w:val="00222127"/>
    <w:rsid w:val="00223A29"/>
    <w:rsid w:val="002250A3"/>
    <w:rsid w:val="00231294"/>
    <w:rsid w:val="00234916"/>
    <w:rsid w:val="00235217"/>
    <w:rsid w:val="002355A9"/>
    <w:rsid w:val="00241E82"/>
    <w:rsid w:val="00243DB7"/>
    <w:rsid w:val="002463C5"/>
    <w:rsid w:val="00246D1F"/>
    <w:rsid w:val="00247403"/>
    <w:rsid w:val="00247542"/>
    <w:rsid w:val="00262388"/>
    <w:rsid w:val="00265311"/>
    <w:rsid w:val="00266B61"/>
    <w:rsid w:val="0026712A"/>
    <w:rsid w:val="002704DB"/>
    <w:rsid w:val="002747B0"/>
    <w:rsid w:val="00277BDA"/>
    <w:rsid w:val="00291727"/>
    <w:rsid w:val="0029575A"/>
    <w:rsid w:val="002A0AAE"/>
    <w:rsid w:val="002A5553"/>
    <w:rsid w:val="002A5820"/>
    <w:rsid w:val="002C3350"/>
    <w:rsid w:val="002D2B26"/>
    <w:rsid w:val="002D3257"/>
    <w:rsid w:val="002D7EA2"/>
    <w:rsid w:val="002E187C"/>
    <w:rsid w:val="002E6E9E"/>
    <w:rsid w:val="002E7512"/>
    <w:rsid w:val="002F3724"/>
    <w:rsid w:val="002F5A41"/>
    <w:rsid w:val="002F7D78"/>
    <w:rsid w:val="00302733"/>
    <w:rsid w:val="003121D5"/>
    <w:rsid w:val="003133D8"/>
    <w:rsid w:val="00314078"/>
    <w:rsid w:val="0031535D"/>
    <w:rsid w:val="003239B8"/>
    <w:rsid w:val="0033169F"/>
    <w:rsid w:val="0034224A"/>
    <w:rsid w:val="00343438"/>
    <w:rsid w:val="00344977"/>
    <w:rsid w:val="00346C95"/>
    <w:rsid w:val="00351155"/>
    <w:rsid w:val="00356185"/>
    <w:rsid w:val="00360380"/>
    <w:rsid w:val="0037519E"/>
    <w:rsid w:val="0038543A"/>
    <w:rsid w:val="00386C6C"/>
    <w:rsid w:val="00386CF0"/>
    <w:rsid w:val="003942EC"/>
    <w:rsid w:val="003959FA"/>
    <w:rsid w:val="00396811"/>
    <w:rsid w:val="00396F2D"/>
    <w:rsid w:val="003A1FAB"/>
    <w:rsid w:val="003A6337"/>
    <w:rsid w:val="003B123C"/>
    <w:rsid w:val="003B4FF6"/>
    <w:rsid w:val="003B70FB"/>
    <w:rsid w:val="003C6112"/>
    <w:rsid w:val="003C676B"/>
    <w:rsid w:val="003D0A55"/>
    <w:rsid w:val="003D1EA9"/>
    <w:rsid w:val="003D3BC2"/>
    <w:rsid w:val="003E614F"/>
    <w:rsid w:val="003E6CA1"/>
    <w:rsid w:val="003F0141"/>
    <w:rsid w:val="00402140"/>
    <w:rsid w:val="004065A8"/>
    <w:rsid w:val="004073B2"/>
    <w:rsid w:val="00410F46"/>
    <w:rsid w:val="00412BDB"/>
    <w:rsid w:val="004153F5"/>
    <w:rsid w:val="004165C2"/>
    <w:rsid w:val="0041692C"/>
    <w:rsid w:val="0043021B"/>
    <w:rsid w:val="004304AD"/>
    <w:rsid w:val="0043497B"/>
    <w:rsid w:val="00436376"/>
    <w:rsid w:val="00437465"/>
    <w:rsid w:val="00441ECB"/>
    <w:rsid w:val="00445193"/>
    <w:rsid w:val="00447CCF"/>
    <w:rsid w:val="004565BA"/>
    <w:rsid w:val="00462C1B"/>
    <w:rsid w:val="00467B7E"/>
    <w:rsid w:val="0047080D"/>
    <w:rsid w:val="00473BB4"/>
    <w:rsid w:val="00476211"/>
    <w:rsid w:val="00477592"/>
    <w:rsid w:val="00480ED2"/>
    <w:rsid w:val="00483358"/>
    <w:rsid w:val="00486E31"/>
    <w:rsid w:val="00486F1C"/>
    <w:rsid w:val="0049419D"/>
    <w:rsid w:val="004A59CC"/>
    <w:rsid w:val="004A6A54"/>
    <w:rsid w:val="004C20D2"/>
    <w:rsid w:val="004C2312"/>
    <w:rsid w:val="004C4B62"/>
    <w:rsid w:val="004C54C9"/>
    <w:rsid w:val="004C616A"/>
    <w:rsid w:val="004C6C12"/>
    <w:rsid w:val="004D30CC"/>
    <w:rsid w:val="004D4ABA"/>
    <w:rsid w:val="004D6025"/>
    <w:rsid w:val="004E19B1"/>
    <w:rsid w:val="004E2649"/>
    <w:rsid w:val="004E528B"/>
    <w:rsid w:val="004E76D7"/>
    <w:rsid w:val="004F164D"/>
    <w:rsid w:val="00501393"/>
    <w:rsid w:val="00501399"/>
    <w:rsid w:val="00501652"/>
    <w:rsid w:val="005034E2"/>
    <w:rsid w:val="0050633D"/>
    <w:rsid w:val="00507BC4"/>
    <w:rsid w:val="005128E4"/>
    <w:rsid w:val="005133DB"/>
    <w:rsid w:val="00514159"/>
    <w:rsid w:val="00522AD7"/>
    <w:rsid w:val="00525560"/>
    <w:rsid w:val="005415E6"/>
    <w:rsid w:val="00541B75"/>
    <w:rsid w:val="00543FF3"/>
    <w:rsid w:val="00544216"/>
    <w:rsid w:val="00544C49"/>
    <w:rsid w:val="005516A1"/>
    <w:rsid w:val="00563557"/>
    <w:rsid w:val="0057402A"/>
    <w:rsid w:val="00574CB7"/>
    <w:rsid w:val="005771D0"/>
    <w:rsid w:val="00582E8B"/>
    <w:rsid w:val="0059191A"/>
    <w:rsid w:val="005921FF"/>
    <w:rsid w:val="00592FFE"/>
    <w:rsid w:val="00594707"/>
    <w:rsid w:val="005A24ED"/>
    <w:rsid w:val="005A6D0E"/>
    <w:rsid w:val="005A73B7"/>
    <w:rsid w:val="005B2CA4"/>
    <w:rsid w:val="005B37CC"/>
    <w:rsid w:val="005B4895"/>
    <w:rsid w:val="005B52B0"/>
    <w:rsid w:val="005B6806"/>
    <w:rsid w:val="005B6D22"/>
    <w:rsid w:val="005C261A"/>
    <w:rsid w:val="005C270A"/>
    <w:rsid w:val="005C332E"/>
    <w:rsid w:val="005C4225"/>
    <w:rsid w:val="005C5B89"/>
    <w:rsid w:val="005C7989"/>
    <w:rsid w:val="005D66AD"/>
    <w:rsid w:val="005D6FA1"/>
    <w:rsid w:val="005E0B65"/>
    <w:rsid w:val="005E11B2"/>
    <w:rsid w:val="005E22EE"/>
    <w:rsid w:val="005F0DAD"/>
    <w:rsid w:val="005F0F33"/>
    <w:rsid w:val="005F4418"/>
    <w:rsid w:val="00600DEB"/>
    <w:rsid w:val="006068B7"/>
    <w:rsid w:val="00606B3E"/>
    <w:rsid w:val="006277DE"/>
    <w:rsid w:val="00627C9F"/>
    <w:rsid w:val="006311E9"/>
    <w:rsid w:val="00631B7F"/>
    <w:rsid w:val="00632354"/>
    <w:rsid w:val="00637AE2"/>
    <w:rsid w:val="00642810"/>
    <w:rsid w:val="00647756"/>
    <w:rsid w:val="006505EA"/>
    <w:rsid w:val="006509DA"/>
    <w:rsid w:val="00651E00"/>
    <w:rsid w:val="00652333"/>
    <w:rsid w:val="00666859"/>
    <w:rsid w:val="00674AD7"/>
    <w:rsid w:val="006775AB"/>
    <w:rsid w:val="0068009E"/>
    <w:rsid w:val="00680938"/>
    <w:rsid w:val="006819E9"/>
    <w:rsid w:val="00684B24"/>
    <w:rsid w:val="00684CEE"/>
    <w:rsid w:val="00686471"/>
    <w:rsid w:val="006867D3"/>
    <w:rsid w:val="0068794B"/>
    <w:rsid w:val="00691BBE"/>
    <w:rsid w:val="00692219"/>
    <w:rsid w:val="0069402E"/>
    <w:rsid w:val="006A17D2"/>
    <w:rsid w:val="006A67D4"/>
    <w:rsid w:val="006A73E6"/>
    <w:rsid w:val="006B2D5C"/>
    <w:rsid w:val="006B2EE8"/>
    <w:rsid w:val="006C4EB1"/>
    <w:rsid w:val="006E0166"/>
    <w:rsid w:val="006E1B4B"/>
    <w:rsid w:val="006E3575"/>
    <w:rsid w:val="006E772A"/>
    <w:rsid w:val="006E7B34"/>
    <w:rsid w:val="00700A9A"/>
    <w:rsid w:val="00703675"/>
    <w:rsid w:val="0070697F"/>
    <w:rsid w:val="00707AEB"/>
    <w:rsid w:val="0072199C"/>
    <w:rsid w:val="00722C9F"/>
    <w:rsid w:val="0072344C"/>
    <w:rsid w:val="007253B8"/>
    <w:rsid w:val="00727B0E"/>
    <w:rsid w:val="0073598C"/>
    <w:rsid w:val="0073741F"/>
    <w:rsid w:val="0074147C"/>
    <w:rsid w:val="00745569"/>
    <w:rsid w:val="0074779A"/>
    <w:rsid w:val="00751A1B"/>
    <w:rsid w:val="0076643F"/>
    <w:rsid w:val="00767E7C"/>
    <w:rsid w:val="007701B9"/>
    <w:rsid w:val="00775FA1"/>
    <w:rsid w:val="00777F63"/>
    <w:rsid w:val="007852B5"/>
    <w:rsid w:val="00796A37"/>
    <w:rsid w:val="007A5817"/>
    <w:rsid w:val="007B05C4"/>
    <w:rsid w:val="007B0D54"/>
    <w:rsid w:val="007B3A72"/>
    <w:rsid w:val="007B4A4A"/>
    <w:rsid w:val="007B60E9"/>
    <w:rsid w:val="007B6CC3"/>
    <w:rsid w:val="007C3334"/>
    <w:rsid w:val="007C402A"/>
    <w:rsid w:val="007D2B98"/>
    <w:rsid w:val="007D4B30"/>
    <w:rsid w:val="007D58B9"/>
    <w:rsid w:val="007D7C02"/>
    <w:rsid w:val="007E21BC"/>
    <w:rsid w:val="007E58FE"/>
    <w:rsid w:val="007E7C82"/>
    <w:rsid w:val="007F588D"/>
    <w:rsid w:val="007F699D"/>
    <w:rsid w:val="00802748"/>
    <w:rsid w:val="00803F1C"/>
    <w:rsid w:val="0080600E"/>
    <w:rsid w:val="00811963"/>
    <w:rsid w:val="00817612"/>
    <w:rsid w:val="008306B0"/>
    <w:rsid w:val="008338A4"/>
    <w:rsid w:val="00834D49"/>
    <w:rsid w:val="00837C45"/>
    <w:rsid w:val="008411F0"/>
    <w:rsid w:val="008439BC"/>
    <w:rsid w:val="00844730"/>
    <w:rsid w:val="008457C2"/>
    <w:rsid w:val="00857A82"/>
    <w:rsid w:val="008600B3"/>
    <w:rsid w:val="00871526"/>
    <w:rsid w:val="00873836"/>
    <w:rsid w:val="00875668"/>
    <w:rsid w:val="00880760"/>
    <w:rsid w:val="00884219"/>
    <w:rsid w:val="00885737"/>
    <w:rsid w:val="00890650"/>
    <w:rsid w:val="00895044"/>
    <w:rsid w:val="00897E12"/>
    <w:rsid w:val="008A0F5D"/>
    <w:rsid w:val="008A0F81"/>
    <w:rsid w:val="008A310C"/>
    <w:rsid w:val="008A723F"/>
    <w:rsid w:val="008A7E0F"/>
    <w:rsid w:val="008B12F5"/>
    <w:rsid w:val="008B308F"/>
    <w:rsid w:val="008B5932"/>
    <w:rsid w:val="008C2F9C"/>
    <w:rsid w:val="008C5751"/>
    <w:rsid w:val="008D4D42"/>
    <w:rsid w:val="008D768D"/>
    <w:rsid w:val="008E0423"/>
    <w:rsid w:val="008E0A3E"/>
    <w:rsid w:val="008E0FD8"/>
    <w:rsid w:val="008E328A"/>
    <w:rsid w:val="008E3759"/>
    <w:rsid w:val="008E3BFE"/>
    <w:rsid w:val="008E5D26"/>
    <w:rsid w:val="008E7900"/>
    <w:rsid w:val="008F1912"/>
    <w:rsid w:val="008F40BD"/>
    <w:rsid w:val="0090270B"/>
    <w:rsid w:val="009041DC"/>
    <w:rsid w:val="00914759"/>
    <w:rsid w:val="00916602"/>
    <w:rsid w:val="00917B5A"/>
    <w:rsid w:val="00920A58"/>
    <w:rsid w:val="00920A8C"/>
    <w:rsid w:val="009234B9"/>
    <w:rsid w:val="00925EAA"/>
    <w:rsid w:val="00934A2C"/>
    <w:rsid w:val="00935F06"/>
    <w:rsid w:val="00937B3A"/>
    <w:rsid w:val="00943E8E"/>
    <w:rsid w:val="00954B82"/>
    <w:rsid w:val="00957000"/>
    <w:rsid w:val="00962436"/>
    <w:rsid w:val="0096706E"/>
    <w:rsid w:val="00974491"/>
    <w:rsid w:val="00975C4E"/>
    <w:rsid w:val="00981FBA"/>
    <w:rsid w:val="0098266D"/>
    <w:rsid w:val="0099257D"/>
    <w:rsid w:val="00997BC5"/>
    <w:rsid w:val="009A05CA"/>
    <w:rsid w:val="009A4F41"/>
    <w:rsid w:val="009B381B"/>
    <w:rsid w:val="009C2FC5"/>
    <w:rsid w:val="009C3B82"/>
    <w:rsid w:val="009D1753"/>
    <w:rsid w:val="009D1E84"/>
    <w:rsid w:val="009D3CDE"/>
    <w:rsid w:val="009D4EFD"/>
    <w:rsid w:val="009D6502"/>
    <w:rsid w:val="009D7611"/>
    <w:rsid w:val="009D78A5"/>
    <w:rsid w:val="009E08DD"/>
    <w:rsid w:val="009E0B61"/>
    <w:rsid w:val="009E50F0"/>
    <w:rsid w:val="009E53DE"/>
    <w:rsid w:val="009E7C00"/>
    <w:rsid w:val="00A04396"/>
    <w:rsid w:val="00A0691C"/>
    <w:rsid w:val="00A107E1"/>
    <w:rsid w:val="00A10DEA"/>
    <w:rsid w:val="00A11E44"/>
    <w:rsid w:val="00A154C8"/>
    <w:rsid w:val="00A1682C"/>
    <w:rsid w:val="00A22397"/>
    <w:rsid w:val="00A32313"/>
    <w:rsid w:val="00A328B3"/>
    <w:rsid w:val="00A50FCF"/>
    <w:rsid w:val="00A528D1"/>
    <w:rsid w:val="00A5658D"/>
    <w:rsid w:val="00A610CD"/>
    <w:rsid w:val="00A61C82"/>
    <w:rsid w:val="00A625E0"/>
    <w:rsid w:val="00A74947"/>
    <w:rsid w:val="00A758AA"/>
    <w:rsid w:val="00A8798C"/>
    <w:rsid w:val="00A92093"/>
    <w:rsid w:val="00A95AA4"/>
    <w:rsid w:val="00AA09A2"/>
    <w:rsid w:val="00AA6694"/>
    <w:rsid w:val="00AA7996"/>
    <w:rsid w:val="00AB4EEE"/>
    <w:rsid w:val="00AC19CB"/>
    <w:rsid w:val="00AD16FE"/>
    <w:rsid w:val="00AD1886"/>
    <w:rsid w:val="00AE5488"/>
    <w:rsid w:val="00AE6F91"/>
    <w:rsid w:val="00AF5571"/>
    <w:rsid w:val="00B06B4E"/>
    <w:rsid w:val="00B07341"/>
    <w:rsid w:val="00B10928"/>
    <w:rsid w:val="00B117AA"/>
    <w:rsid w:val="00B202B5"/>
    <w:rsid w:val="00B2456C"/>
    <w:rsid w:val="00B24886"/>
    <w:rsid w:val="00B30539"/>
    <w:rsid w:val="00B314DB"/>
    <w:rsid w:val="00B321FE"/>
    <w:rsid w:val="00B361F2"/>
    <w:rsid w:val="00B3718B"/>
    <w:rsid w:val="00B4632A"/>
    <w:rsid w:val="00B5067D"/>
    <w:rsid w:val="00B530F1"/>
    <w:rsid w:val="00B57297"/>
    <w:rsid w:val="00B57DF4"/>
    <w:rsid w:val="00B6600F"/>
    <w:rsid w:val="00B736AF"/>
    <w:rsid w:val="00B742BE"/>
    <w:rsid w:val="00B77D8D"/>
    <w:rsid w:val="00B85487"/>
    <w:rsid w:val="00B87359"/>
    <w:rsid w:val="00B97946"/>
    <w:rsid w:val="00BA276C"/>
    <w:rsid w:val="00BA2A4E"/>
    <w:rsid w:val="00BA5544"/>
    <w:rsid w:val="00BA5D03"/>
    <w:rsid w:val="00BB306F"/>
    <w:rsid w:val="00BB3483"/>
    <w:rsid w:val="00BB3FBD"/>
    <w:rsid w:val="00BC0A34"/>
    <w:rsid w:val="00BC2C5E"/>
    <w:rsid w:val="00BC5001"/>
    <w:rsid w:val="00BC6CD0"/>
    <w:rsid w:val="00BD3D5C"/>
    <w:rsid w:val="00BD4B89"/>
    <w:rsid w:val="00BD5922"/>
    <w:rsid w:val="00BD5CAE"/>
    <w:rsid w:val="00BD76D9"/>
    <w:rsid w:val="00BE0AD5"/>
    <w:rsid w:val="00BF02CB"/>
    <w:rsid w:val="00BF514A"/>
    <w:rsid w:val="00BF6FD8"/>
    <w:rsid w:val="00BF775D"/>
    <w:rsid w:val="00BF7766"/>
    <w:rsid w:val="00C03680"/>
    <w:rsid w:val="00C054DF"/>
    <w:rsid w:val="00C10AFC"/>
    <w:rsid w:val="00C14431"/>
    <w:rsid w:val="00C21562"/>
    <w:rsid w:val="00C21762"/>
    <w:rsid w:val="00C21FEF"/>
    <w:rsid w:val="00C24543"/>
    <w:rsid w:val="00C256A2"/>
    <w:rsid w:val="00C35A26"/>
    <w:rsid w:val="00C51515"/>
    <w:rsid w:val="00C53910"/>
    <w:rsid w:val="00C5660B"/>
    <w:rsid w:val="00C56854"/>
    <w:rsid w:val="00C5788A"/>
    <w:rsid w:val="00C66B72"/>
    <w:rsid w:val="00C87AC4"/>
    <w:rsid w:val="00C94C4D"/>
    <w:rsid w:val="00C9567A"/>
    <w:rsid w:val="00CA2116"/>
    <w:rsid w:val="00CA2D0C"/>
    <w:rsid w:val="00CA48A3"/>
    <w:rsid w:val="00CB212D"/>
    <w:rsid w:val="00CB2660"/>
    <w:rsid w:val="00CB59D3"/>
    <w:rsid w:val="00CB6511"/>
    <w:rsid w:val="00CC1E2F"/>
    <w:rsid w:val="00CC5E90"/>
    <w:rsid w:val="00CD046C"/>
    <w:rsid w:val="00CD111C"/>
    <w:rsid w:val="00CD186A"/>
    <w:rsid w:val="00CE076C"/>
    <w:rsid w:val="00CE2CA0"/>
    <w:rsid w:val="00CE4F9D"/>
    <w:rsid w:val="00CE5199"/>
    <w:rsid w:val="00CE53E5"/>
    <w:rsid w:val="00CE66D5"/>
    <w:rsid w:val="00CF637A"/>
    <w:rsid w:val="00D01567"/>
    <w:rsid w:val="00D01F81"/>
    <w:rsid w:val="00D059B0"/>
    <w:rsid w:val="00D059DE"/>
    <w:rsid w:val="00D05ABD"/>
    <w:rsid w:val="00D13FCE"/>
    <w:rsid w:val="00D17E8C"/>
    <w:rsid w:val="00D2001E"/>
    <w:rsid w:val="00D233E9"/>
    <w:rsid w:val="00D306D1"/>
    <w:rsid w:val="00D30800"/>
    <w:rsid w:val="00D34786"/>
    <w:rsid w:val="00D37BFC"/>
    <w:rsid w:val="00D42822"/>
    <w:rsid w:val="00D47A8E"/>
    <w:rsid w:val="00D505BB"/>
    <w:rsid w:val="00D508A2"/>
    <w:rsid w:val="00D52D14"/>
    <w:rsid w:val="00D55256"/>
    <w:rsid w:val="00D56D93"/>
    <w:rsid w:val="00D712D3"/>
    <w:rsid w:val="00D71422"/>
    <w:rsid w:val="00D72DC6"/>
    <w:rsid w:val="00D73F5E"/>
    <w:rsid w:val="00D7558D"/>
    <w:rsid w:val="00D77503"/>
    <w:rsid w:val="00D81D92"/>
    <w:rsid w:val="00D83992"/>
    <w:rsid w:val="00D876F9"/>
    <w:rsid w:val="00D877B6"/>
    <w:rsid w:val="00D93A90"/>
    <w:rsid w:val="00DA14DE"/>
    <w:rsid w:val="00DA7B5F"/>
    <w:rsid w:val="00DC11E7"/>
    <w:rsid w:val="00DC7023"/>
    <w:rsid w:val="00DC769A"/>
    <w:rsid w:val="00DD061E"/>
    <w:rsid w:val="00DD3D86"/>
    <w:rsid w:val="00DE12F0"/>
    <w:rsid w:val="00DF1EC4"/>
    <w:rsid w:val="00DF51E9"/>
    <w:rsid w:val="00E01943"/>
    <w:rsid w:val="00E0340B"/>
    <w:rsid w:val="00E035AB"/>
    <w:rsid w:val="00E04A90"/>
    <w:rsid w:val="00E0551F"/>
    <w:rsid w:val="00E122DF"/>
    <w:rsid w:val="00E14183"/>
    <w:rsid w:val="00E219C7"/>
    <w:rsid w:val="00E21F80"/>
    <w:rsid w:val="00E26CCA"/>
    <w:rsid w:val="00E271A9"/>
    <w:rsid w:val="00E27F56"/>
    <w:rsid w:val="00E40DEB"/>
    <w:rsid w:val="00E4118C"/>
    <w:rsid w:val="00E43157"/>
    <w:rsid w:val="00E45CD0"/>
    <w:rsid w:val="00E461CE"/>
    <w:rsid w:val="00E478A8"/>
    <w:rsid w:val="00E505DE"/>
    <w:rsid w:val="00E52953"/>
    <w:rsid w:val="00E720CA"/>
    <w:rsid w:val="00E84EB5"/>
    <w:rsid w:val="00E85662"/>
    <w:rsid w:val="00E8789F"/>
    <w:rsid w:val="00E92747"/>
    <w:rsid w:val="00E9678F"/>
    <w:rsid w:val="00E97B71"/>
    <w:rsid w:val="00EA3D34"/>
    <w:rsid w:val="00EA4057"/>
    <w:rsid w:val="00EA6BC7"/>
    <w:rsid w:val="00EA6E8E"/>
    <w:rsid w:val="00EA7C8C"/>
    <w:rsid w:val="00EB454D"/>
    <w:rsid w:val="00EB52E4"/>
    <w:rsid w:val="00EC26E9"/>
    <w:rsid w:val="00EC72AB"/>
    <w:rsid w:val="00ED2F03"/>
    <w:rsid w:val="00ED549D"/>
    <w:rsid w:val="00ED76BE"/>
    <w:rsid w:val="00ED7F05"/>
    <w:rsid w:val="00EE00E9"/>
    <w:rsid w:val="00EE014D"/>
    <w:rsid w:val="00EE4858"/>
    <w:rsid w:val="00EF35AB"/>
    <w:rsid w:val="00EF4C44"/>
    <w:rsid w:val="00EF506F"/>
    <w:rsid w:val="00EF619B"/>
    <w:rsid w:val="00F00B55"/>
    <w:rsid w:val="00F02AD1"/>
    <w:rsid w:val="00F04591"/>
    <w:rsid w:val="00F06354"/>
    <w:rsid w:val="00F253CC"/>
    <w:rsid w:val="00F26782"/>
    <w:rsid w:val="00F321B4"/>
    <w:rsid w:val="00F332EF"/>
    <w:rsid w:val="00F34C34"/>
    <w:rsid w:val="00F37106"/>
    <w:rsid w:val="00F446CF"/>
    <w:rsid w:val="00F519CF"/>
    <w:rsid w:val="00F52BBA"/>
    <w:rsid w:val="00F53168"/>
    <w:rsid w:val="00F56BA5"/>
    <w:rsid w:val="00F60E22"/>
    <w:rsid w:val="00F63B39"/>
    <w:rsid w:val="00F81395"/>
    <w:rsid w:val="00F81887"/>
    <w:rsid w:val="00F81BB8"/>
    <w:rsid w:val="00F82A77"/>
    <w:rsid w:val="00F917D1"/>
    <w:rsid w:val="00F91BA1"/>
    <w:rsid w:val="00F9342C"/>
    <w:rsid w:val="00F9653B"/>
    <w:rsid w:val="00F9777C"/>
    <w:rsid w:val="00FA56EA"/>
    <w:rsid w:val="00FA5F13"/>
    <w:rsid w:val="00FA71EB"/>
    <w:rsid w:val="00FA7BFE"/>
    <w:rsid w:val="00FB62CF"/>
    <w:rsid w:val="00FC0F4A"/>
    <w:rsid w:val="00FC3330"/>
    <w:rsid w:val="00FC42CA"/>
    <w:rsid w:val="00FD1437"/>
    <w:rsid w:val="00FD3C3B"/>
    <w:rsid w:val="00FE07DD"/>
    <w:rsid w:val="00FE431F"/>
    <w:rsid w:val="00FE6B45"/>
    <w:rsid w:val="00FF0F0D"/>
    <w:rsid w:val="00FF55F3"/>
    <w:rsid w:val="00FF564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537">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811170931">
      <w:bodyDiv w:val="1"/>
      <w:marLeft w:val="0"/>
      <w:marRight w:val="0"/>
      <w:marTop w:val="0"/>
      <w:marBottom w:val="0"/>
      <w:divBdr>
        <w:top w:val="none" w:sz="0" w:space="0" w:color="auto"/>
        <w:left w:val="none" w:sz="0" w:space="0" w:color="auto"/>
        <w:bottom w:val="none" w:sz="0" w:space="0" w:color="auto"/>
        <w:right w:val="none" w:sz="0" w:space="0" w:color="auto"/>
      </w:divBdr>
    </w:div>
    <w:div w:id="1146123918">
      <w:bodyDiv w:val="1"/>
      <w:marLeft w:val="0"/>
      <w:marRight w:val="0"/>
      <w:marTop w:val="0"/>
      <w:marBottom w:val="0"/>
      <w:divBdr>
        <w:top w:val="none" w:sz="0" w:space="0" w:color="auto"/>
        <w:left w:val="none" w:sz="0" w:space="0" w:color="auto"/>
        <w:bottom w:val="none" w:sz="0" w:space="0" w:color="auto"/>
        <w:right w:val="none" w:sz="0" w:space="0" w:color="auto"/>
      </w:divBdr>
    </w:div>
    <w:div w:id="17376994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42058428">
      <w:bodyDiv w:val="1"/>
      <w:marLeft w:val="0"/>
      <w:marRight w:val="0"/>
      <w:marTop w:val="0"/>
      <w:marBottom w:val="0"/>
      <w:divBdr>
        <w:top w:val="none" w:sz="0" w:space="0" w:color="auto"/>
        <w:left w:val="none" w:sz="0" w:space="0" w:color="auto"/>
        <w:bottom w:val="none" w:sz="0" w:space="0" w:color="auto"/>
        <w:right w:val="none" w:sz="0" w:space="0" w:color="auto"/>
      </w:divBdr>
    </w:div>
    <w:div w:id="205777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6EA6-5C43-4AD1-AE7B-9AC302B7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14322</Characters>
  <Application>Microsoft Office Word</Application>
  <DocSecurity>0</DocSecurity>
  <Lines>223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276/21</dc:title>
  <dc:creator/>
  <cp:lastModifiedBy/>
  <cp:revision>1</cp:revision>
  <dcterms:created xsi:type="dcterms:W3CDTF">2021-12-06T20:28:00Z</dcterms:created>
  <dcterms:modified xsi:type="dcterms:W3CDTF">2021-12-06T20:28:00Z</dcterms:modified>
</cp:coreProperties>
</file>