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F891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455D80" w:rsidRDefault="00455D8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455D80" w:rsidRDefault="00455D8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8DF0FD2" w:rsidR="00455D80" w:rsidRPr="004E2649" w:rsidRDefault="00455D8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32AB4">
                              <w:rPr>
                                <w:rFonts w:asciiTheme="majorHAnsi" w:hAnsiTheme="majorHAnsi" w:cs="Arial"/>
                                <w:b/>
                                <w:bCs/>
                                <w:color w:val="0D0D0D" w:themeColor="text1" w:themeTint="F2"/>
                                <w:sz w:val="36"/>
                                <w:szCs w:val="22"/>
                                <w:lang w:val="es-ES_tradnl"/>
                              </w:rPr>
                              <w:t>432</w:t>
                            </w:r>
                            <w:r>
                              <w:rPr>
                                <w:rFonts w:asciiTheme="majorHAnsi" w:hAnsiTheme="majorHAnsi" w:cs="Arial"/>
                                <w:b/>
                                <w:bCs/>
                                <w:color w:val="0D0D0D" w:themeColor="text1" w:themeTint="F2"/>
                                <w:sz w:val="36"/>
                                <w:szCs w:val="22"/>
                                <w:lang w:val="es-ES_tradnl"/>
                              </w:rPr>
                              <w:t>/</w:t>
                            </w:r>
                            <w:r w:rsidR="00E5203D">
                              <w:rPr>
                                <w:rFonts w:asciiTheme="majorHAnsi" w:hAnsiTheme="majorHAnsi" w:cs="Arial"/>
                                <w:b/>
                                <w:bCs/>
                                <w:color w:val="0D0D0D" w:themeColor="text1" w:themeTint="F2"/>
                                <w:sz w:val="36"/>
                                <w:szCs w:val="22"/>
                                <w:lang w:val="es-ES_tradnl"/>
                              </w:rPr>
                              <w:t>21</w:t>
                            </w:r>
                          </w:p>
                          <w:p w14:paraId="09C54AB3" w14:textId="2C2709D1" w:rsidR="00455D80" w:rsidRDefault="00455D8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5203D">
                              <w:rPr>
                                <w:rFonts w:asciiTheme="majorHAnsi" w:hAnsiTheme="majorHAnsi" w:cs="Arial"/>
                                <w:b/>
                                <w:color w:val="0D0D0D" w:themeColor="text1" w:themeTint="F2"/>
                                <w:sz w:val="36"/>
                                <w:szCs w:val="22"/>
                                <w:lang w:val="es-ES_tradnl"/>
                              </w:rPr>
                              <w:t>1461</w:t>
                            </w:r>
                            <w:r w:rsidR="000851F2">
                              <w:rPr>
                                <w:rFonts w:asciiTheme="majorHAnsi" w:hAnsiTheme="majorHAnsi" w:cs="Arial"/>
                                <w:b/>
                                <w:color w:val="0D0D0D" w:themeColor="text1" w:themeTint="F2"/>
                                <w:sz w:val="36"/>
                                <w:szCs w:val="22"/>
                                <w:lang w:val="es-ES_tradnl"/>
                              </w:rPr>
                              <w:t>-</w:t>
                            </w:r>
                            <w:r w:rsidR="00E5203D">
                              <w:rPr>
                                <w:rFonts w:asciiTheme="majorHAnsi" w:hAnsiTheme="majorHAnsi" w:cs="Arial"/>
                                <w:b/>
                                <w:color w:val="0D0D0D" w:themeColor="text1" w:themeTint="F2"/>
                                <w:sz w:val="36"/>
                                <w:szCs w:val="22"/>
                                <w:lang w:val="es-ES_tradnl"/>
                              </w:rPr>
                              <w:t>13</w:t>
                            </w:r>
                            <w:r w:rsidRPr="004E2649">
                              <w:rPr>
                                <w:rFonts w:asciiTheme="majorHAnsi" w:hAnsiTheme="majorHAnsi" w:cs="Arial"/>
                                <w:b/>
                                <w:color w:val="0D0D0D" w:themeColor="text1" w:themeTint="F2"/>
                                <w:sz w:val="36"/>
                                <w:szCs w:val="22"/>
                                <w:lang w:val="es-ES_tradnl"/>
                              </w:rPr>
                              <w:t xml:space="preserve"> </w:t>
                            </w:r>
                          </w:p>
                          <w:p w14:paraId="70CF6833" w14:textId="584C81DB" w:rsidR="00455D80" w:rsidRPr="0010736F" w:rsidRDefault="00455D8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455D80" w:rsidRPr="0010736F" w:rsidRDefault="00455D80"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483A68B" w:rsidR="00455D80" w:rsidRPr="0010736F" w:rsidRDefault="00227616" w:rsidP="00997BC5">
                            <w:pPr>
                              <w:spacing w:line="276" w:lineRule="auto"/>
                              <w:rPr>
                                <w:rFonts w:asciiTheme="majorHAnsi" w:hAnsiTheme="majorHAnsi" w:cs="Arial"/>
                                <w:color w:val="0D0D0D" w:themeColor="text1" w:themeTint="F2"/>
                                <w:szCs w:val="22"/>
                                <w:lang w:val="es-ES_tradnl"/>
                              </w:rPr>
                            </w:pPr>
                            <w:r w:rsidRPr="00227616">
                              <w:rPr>
                                <w:rFonts w:asciiTheme="majorHAnsi" w:hAnsiTheme="majorHAnsi" w:cs="Arial"/>
                                <w:bCs/>
                                <w:color w:val="0D0D0D" w:themeColor="text1" w:themeTint="F2"/>
                                <w:szCs w:val="22"/>
                                <w:lang w:val="es-ES"/>
                              </w:rPr>
                              <w:t>WILSON ARLEY IDARRAGA GARCÍA Y FAMILIA</w:t>
                            </w:r>
                          </w:p>
                          <w:bookmarkEnd w:id="0"/>
                          <w:p w14:paraId="35068D0D" w14:textId="2ADA8833" w:rsidR="00455D80" w:rsidRPr="0010736F" w:rsidRDefault="00E5203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455D80" w:rsidRPr="00AE5488" w:rsidRDefault="00455D8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8DF0FD2" w:rsidR="00455D80" w:rsidRPr="004E2649" w:rsidRDefault="00455D8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32AB4">
                        <w:rPr>
                          <w:rFonts w:asciiTheme="majorHAnsi" w:hAnsiTheme="majorHAnsi" w:cs="Arial"/>
                          <w:b/>
                          <w:bCs/>
                          <w:color w:val="0D0D0D" w:themeColor="text1" w:themeTint="F2"/>
                          <w:sz w:val="36"/>
                          <w:szCs w:val="22"/>
                          <w:lang w:val="es-ES_tradnl"/>
                        </w:rPr>
                        <w:t>432</w:t>
                      </w:r>
                      <w:r>
                        <w:rPr>
                          <w:rFonts w:asciiTheme="majorHAnsi" w:hAnsiTheme="majorHAnsi" w:cs="Arial"/>
                          <w:b/>
                          <w:bCs/>
                          <w:color w:val="0D0D0D" w:themeColor="text1" w:themeTint="F2"/>
                          <w:sz w:val="36"/>
                          <w:szCs w:val="22"/>
                          <w:lang w:val="es-ES_tradnl"/>
                        </w:rPr>
                        <w:t>/</w:t>
                      </w:r>
                      <w:r w:rsidR="00E5203D">
                        <w:rPr>
                          <w:rFonts w:asciiTheme="majorHAnsi" w:hAnsiTheme="majorHAnsi" w:cs="Arial"/>
                          <w:b/>
                          <w:bCs/>
                          <w:color w:val="0D0D0D" w:themeColor="text1" w:themeTint="F2"/>
                          <w:sz w:val="36"/>
                          <w:szCs w:val="22"/>
                          <w:lang w:val="es-ES_tradnl"/>
                        </w:rPr>
                        <w:t>21</w:t>
                      </w:r>
                    </w:p>
                    <w:p w14:paraId="09C54AB3" w14:textId="2C2709D1" w:rsidR="00455D80" w:rsidRDefault="00455D8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5203D">
                        <w:rPr>
                          <w:rFonts w:asciiTheme="majorHAnsi" w:hAnsiTheme="majorHAnsi" w:cs="Arial"/>
                          <w:b/>
                          <w:color w:val="0D0D0D" w:themeColor="text1" w:themeTint="F2"/>
                          <w:sz w:val="36"/>
                          <w:szCs w:val="22"/>
                          <w:lang w:val="es-ES_tradnl"/>
                        </w:rPr>
                        <w:t>1461</w:t>
                      </w:r>
                      <w:r w:rsidR="000851F2">
                        <w:rPr>
                          <w:rFonts w:asciiTheme="majorHAnsi" w:hAnsiTheme="majorHAnsi" w:cs="Arial"/>
                          <w:b/>
                          <w:color w:val="0D0D0D" w:themeColor="text1" w:themeTint="F2"/>
                          <w:sz w:val="36"/>
                          <w:szCs w:val="22"/>
                          <w:lang w:val="es-ES_tradnl"/>
                        </w:rPr>
                        <w:t>-</w:t>
                      </w:r>
                      <w:r w:rsidR="00E5203D">
                        <w:rPr>
                          <w:rFonts w:asciiTheme="majorHAnsi" w:hAnsiTheme="majorHAnsi" w:cs="Arial"/>
                          <w:b/>
                          <w:color w:val="0D0D0D" w:themeColor="text1" w:themeTint="F2"/>
                          <w:sz w:val="36"/>
                          <w:szCs w:val="22"/>
                          <w:lang w:val="es-ES_tradnl"/>
                        </w:rPr>
                        <w:t>13</w:t>
                      </w:r>
                      <w:r w:rsidRPr="004E2649">
                        <w:rPr>
                          <w:rFonts w:asciiTheme="majorHAnsi" w:hAnsiTheme="majorHAnsi" w:cs="Arial"/>
                          <w:b/>
                          <w:color w:val="0D0D0D" w:themeColor="text1" w:themeTint="F2"/>
                          <w:sz w:val="36"/>
                          <w:szCs w:val="22"/>
                          <w:lang w:val="es-ES_tradnl"/>
                        </w:rPr>
                        <w:t xml:space="preserve"> </w:t>
                      </w:r>
                    </w:p>
                    <w:p w14:paraId="70CF6833" w14:textId="584C81DB" w:rsidR="00455D80" w:rsidRPr="0010736F" w:rsidRDefault="00455D8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455D80" w:rsidRPr="0010736F" w:rsidRDefault="00455D80"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483A68B" w:rsidR="00455D80" w:rsidRPr="0010736F" w:rsidRDefault="00227616" w:rsidP="00997BC5">
                      <w:pPr>
                        <w:spacing w:line="276" w:lineRule="auto"/>
                        <w:rPr>
                          <w:rFonts w:asciiTheme="majorHAnsi" w:hAnsiTheme="majorHAnsi" w:cs="Arial"/>
                          <w:color w:val="0D0D0D" w:themeColor="text1" w:themeTint="F2"/>
                          <w:szCs w:val="22"/>
                          <w:lang w:val="es-ES_tradnl"/>
                        </w:rPr>
                      </w:pPr>
                      <w:r w:rsidRPr="00227616">
                        <w:rPr>
                          <w:rFonts w:asciiTheme="majorHAnsi" w:hAnsiTheme="majorHAnsi" w:cs="Arial"/>
                          <w:bCs/>
                          <w:color w:val="0D0D0D" w:themeColor="text1" w:themeTint="F2"/>
                          <w:szCs w:val="22"/>
                          <w:lang w:val="es-ES"/>
                        </w:rPr>
                        <w:t>WILSON ARLEY IDARRAGA GARCÍA Y FAMILIA</w:t>
                      </w:r>
                    </w:p>
                    <w:bookmarkEnd w:id="1"/>
                    <w:p w14:paraId="35068D0D" w14:textId="2ADA8833" w:rsidR="00455D80" w:rsidRPr="0010736F" w:rsidRDefault="00E5203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455D80" w:rsidRPr="00AE5488" w:rsidRDefault="00455D8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E4C10CF" w:rsidR="00455D80" w:rsidRPr="00C7480B" w:rsidRDefault="00455D80" w:rsidP="007A5817">
                            <w:pPr>
                              <w:spacing w:line="276" w:lineRule="auto"/>
                              <w:jc w:val="right"/>
                              <w:rPr>
                                <w:rFonts w:asciiTheme="minorHAnsi" w:hAnsiTheme="minorHAnsi"/>
                                <w:color w:val="FFFFFF" w:themeColor="background1"/>
                                <w:sz w:val="22"/>
                                <w:lang w:val="es-US"/>
                              </w:rPr>
                            </w:pPr>
                            <w:r w:rsidRPr="00C7480B">
                              <w:rPr>
                                <w:rFonts w:asciiTheme="minorHAnsi" w:hAnsiTheme="minorHAnsi"/>
                                <w:color w:val="FFFFFF" w:themeColor="background1"/>
                                <w:sz w:val="22"/>
                                <w:lang w:val="es-US"/>
                              </w:rPr>
                              <w:t>OEA/</w:t>
                            </w:r>
                            <w:proofErr w:type="spellStart"/>
                            <w:r w:rsidRPr="00C7480B">
                              <w:rPr>
                                <w:rFonts w:asciiTheme="minorHAnsi" w:hAnsiTheme="minorHAnsi"/>
                                <w:color w:val="FFFFFF" w:themeColor="background1"/>
                                <w:sz w:val="22"/>
                                <w:lang w:val="es-US"/>
                              </w:rPr>
                              <w:t>Ser.L</w:t>
                            </w:r>
                            <w:proofErr w:type="spellEnd"/>
                            <w:r w:rsidRPr="00C7480B">
                              <w:rPr>
                                <w:rFonts w:asciiTheme="minorHAnsi" w:hAnsiTheme="minorHAnsi"/>
                                <w:color w:val="FFFFFF" w:themeColor="background1"/>
                                <w:sz w:val="22"/>
                                <w:lang w:val="es-US"/>
                              </w:rPr>
                              <w:t>/V/II</w:t>
                            </w:r>
                          </w:p>
                          <w:p w14:paraId="6A41611B" w14:textId="12D5C872" w:rsidR="00455D80" w:rsidRPr="00C7480B" w:rsidRDefault="00455D80" w:rsidP="007A5817">
                            <w:pPr>
                              <w:spacing w:line="276" w:lineRule="auto"/>
                              <w:jc w:val="right"/>
                              <w:rPr>
                                <w:rFonts w:asciiTheme="minorHAnsi" w:hAnsiTheme="minorHAnsi"/>
                                <w:color w:val="FFFFFF" w:themeColor="background1"/>
                                <w:sz w:val="22"/>
                                <w:lang w:val="es-US"/>
                              </w:rPr>
                            </w:pPr>
                            <w:r w:rsidRPr="00C7480B">
                              <w:rPr>
                                <w:rFonts w:asciiTheme="minorHAnsi" w:hAnsiTheme="minorHAnsi"/>
                                <w:color w:val="FFFFFF" w:themeColor="background1"/>
                                <w:sz w:val="22"/>
                                <w:lang w:val="es-US"/>
                              </w:rPr>
                              <w:t xml:space="preserve">Doc. </w:t>
                            </w:r>
                            <w:r w:rsidR="007F77A5">
                              <w:rPr>
                                <w:rFonts w:asciiTheme="minorHAnsi" w:hAnsiTheme="minorHAnsi"/>
                                <w:color w:val="FFFFFF" w:themeColor="background1"/>
                                <w:sz w:val="22"/>
                                <w:lang w:val="es-US"/>
                              </w:rPr>
                              <w:t>444</w:t>
                            </w:r>
                          </w:p>
                          <w:p w14:paraId="69373ED2" w14:textId="7C98DC2D" w:rsidR="00455D80" w:rsidRPr="00E5203D" w:rsidRDefault="007F77A5"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31</w:t>
                            </w:r>
                            <w:r w:rsidR="007D1B81">
                              <w:rPr>
                                <w:rFonts w:asciiTheme="minorHAnsi" w:hAnsiTheme="minorHAnsi"/>
                                <w:color w:val="FFFFFF" w:themeColor="background1"/>
                                <w:sz w:val="22"/>
                                <w:lang w:val="es-419"/>
                              </w:rPr>
                              <w:t xml:space="preserve"> diciembre</w:t>
                            </w:r>
                            <w:r w:rsidR="00455D80" w:rsidRPr="00E5203D">
                              <w:rPr>
                                <w:rFonts w:asciiTheme="minorHAnsi" w:hAnsiTheme="minorHAnsi"/>
                                <w:color w:val="FFFFFF" w:themeColor="background1"/>
                                <w:sz w:val="22"/>
                                <w:lang w:val="es-419"/>
                              </w:rPr>
                              <w:t xml:space="preserve"> 20</w:t>
                            </w:r>
                            <w:r w:rsidR="00E5203D">
                              <w:rPr>
                                <w:rFonts w:asciiTheme="minorHAnsi" w:hAnsiTheme="minorHAnsi"/>
                                <w:color w:val="FFFFFF" w:themeColor="background1"/>
                                <w:sz w:val="22"/>
                                <w:lang w:val="es-419"/>
                              </w:rPr>
                              <w:t>21</w:t>
                            </w:r>
                          </w:p>
                          <w:p w14:paraId="0771DB5B" w14:textId="77777777" w:rsidR="00455D80" w:rsidRPr="00E5203D" w:rsidRDefault="00455D80" w:rsidP="007A5817">
                            <w:pPr>
                              <w:spacing w:line="276" w:lineRule="auto"/>
                              <w:jc w:val="right"/>
                              <w:rPr>
                                <w:rFonts w:asciiTheme="minorHAnsi" w:hAnsiTheme="minorHAnsi"/>
                                <w:color w:val="FFFFFF" w:themeColor="background1"/>
                                <w:sz w:val="22"/>
                                <w:lang w:val="es-419"/>
                              </w:rPr>
                            </w:pPr>
                            <w:r w:rsidRPr="00E5203D">
                              <w:rPr>
                                <w:rFonts w:asciiTheme="minorHAnsi" w:hAnsiTheme="minorHAnsi"/>
                                <w:color w:val="FFFFFF" w:themeColor="background1"/>
                                <w:sz w:val="22"/>
                                <w:lang w:val="es-419"/>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E4C10CF" w:rsidR="00455D80" w:rsidRPr="00C7480B" w:rsidRDefault="00455D80" w:rsidP="007A5817">
                      <w:pPr>
                        <w:spacing w:line="276" w:lineRule="auto"/>
                        <w:jc w:val="right"/>
                        <w:rPr>
                          <w:rFonts w:asciiTheme="minorHAnsi" w:hAnsiTheme="minorHAnsi"/>
                          <w:color w:val="FFFFFF" w:themeColor="background1"/>
                          <w:sz w:val="22"/>
                          <w:lang w:val="es-US"/>
                        </w:rPr>
                      </w:pPr>
                      <w:r w:rsidRPr="00C7480B">
                        <w:rPr>
                          <w:rFonts w:asciiTheme="minorHAnsi" w:hAnsiTheme="minorHAnsi"/>
                          <w:color w:val="FFFFFF" w:themeColor="background1"/>
                          <w:sz w:val="22"/>
                          <w:lang w:val="es-US"/>
                        </w:rPr>
                        <w:t>OEA/Ser.L/V/II</w:t>
                      </w:r>
                    </w:p>
                    <w:p w14:paraId="6A41611B" w14:textId="12D5C872" w:rsidR="00455D80" w:rsidRPr="00C7480B" w:rsidRDefault="00455D80" w:rsidP="007A5817">
                      <w:pPr>
                        <w:spacing w:line="276" w:lineRule="auto"/>
                        <w:jc w:val="right"/>
                        <w:rPr>
                          <w:rFonts w:asciiTheme="minorHAnsi" w:hAnsiTheme="minorHAnsi"/>
                          <w:color w:val="FFFFFF" w:themeColor="background1"/>
                          <w:sz w:val="22"/>
                          <w:lang w:val="es-US"/>
                        </w:rPr>
                      </w:pPr>
                      <w:r w:rsidRPr="00C7480B">
                        <w:rPr>
                          <w:rFonts w:asciiTheme="minorHAnsi" w:hAnsiTheme="minorHAnsi"/>
                          <w:color w:val="FFFFFF" w:themeColor="background1"/>
                          <w:sz w:val="22"/>
                          <w:lang w:val="es-US"/>
                        </w:rPr>
                        <w:t xml:space="preserve">Doc. </w:t>
                      </w:r>
                      <w:r w:rsidR="007F77A5">
                        <w:rPr>
                          <w:rFonts w:asciiTheme="minorHAnsi" w:hAnsiTheme="minorHAnsi"/>
                          <w:color w:val="FFFFFF" w:themeColor="background1"/>
                          <w:sz w:val="22"/>
                          <w:lang w:val="es-US"/>
                        </w:rPr>
                        <w:t>444</w:t>
                      </w:r>
                    </w:p>
                    <w:p w14:paraId="69373ED2" w14:textId="7C98DC2D" w:rsidR="00455D80" w:rsidRPr="00E5203D" w:rsidRDefault="007F77A5"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31</w:t>
                      </w:r>
                      <w:r w:rsidR="007D1B81">
                        <w:rPr>
                          <w:rFonts w:asciiTheme="minorHAnsi" w:hAnsiTheme="minorHAnsi"/>
                          <w:color w:val="FFFFFF" w:themeColor="background1"/>
                          <w:sz w:val="22"/>
                          <w:lang w:val="es-419"/>
                        </w:rPr>
                        <w:t xml:space="preserve"> diciembre</w:t>
                      </w:r>
                      <w:r w:rsidR="00455D80" w:rsidRPr="00E5203D">
                        <w:rPr>
                          <w:rFonts w:asciiTheme="minorHAnsi" w:hAnsiTheme="minorHAnsi"/>
                          <w:color w:val="FFFFFF" w:themeColor="background1"/>
                          <w:sz w:val="22"/>
                          <w:lang w:val="es-419"/>
                        </w:rPr>
                        <w:t xml:space="preserve"> 20</w:t>
                      </w:r>
                      <w:r w:rsidR="00E5203D">
                        <w:rPr>
                          <w:rFonts w:asciiTheme="minorHAnsi" w:hAnsiTheme="minorHAnsi"/>
                          <w:color w:val="FFFFFF" w:themeColor="background1"/>
                          <w:sz w:val="22"/>
                          <w:lang w:val="es-419"/>
                        </w:rPr>
                        <w:t>21</w:t>
                      </w:r>
                    </w:p>
                    <w:p w14:paraId="0771DB5B" w14:textId="77777777" w:rsidR="00455D80" w:rsidRPr="00E5203D" w:rsidRDefault="00455D80" w:rsidP="007A5817">
                      <w:pPr>
                        <w:spacing w:line="276" w:lineRule="auto"/>
                        <w:jc w:val="right"/>
                        <w:rPr>
                          <w:rFonts w:asciiTheme="minorHAnsi" w:hAnsiTheme="minorHAnsi"/>
                          <w:color w:val="FFFFFF" w:themeColor="background1"/>
                          <w:sz w:val="22"/>
                          <w:lang w:val="es-419"/>
                        </w:rPr>
                      </w:pPr>
                      <w:r w:rsidRPr="00E5203D">
                        <w:rPr>
                          <w:rFonts w:asciiTheme="minorHAnsi" w:hAnsiTheme="minorHAnsi"/>
                          <w:color w:val="FFFFFF" w:themeColor="background1"/>
                          <w:sz w:val="22"/>
                          <w:lang w:val="es-419"/>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70DC5E4" w:rsidR="00455D80" w:rsidRPr="00890650" w:rsidRDefault="00455D8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D1B81">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7D1B81">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5203D">
                              <w:rPr>
                                <w:rFonts w:asciiTheme="majorHAnsi" w:hAnsiTheme="majorHAnsi"/>
                                <w:color w:val="0D0D0D" w:themeColor="text1" w:themeTint="F2"/>
                                <w:sz w:val="18"/>
                                <w:szCs w:val="22"/>
                                <w:lang w:val="es-ES"/>
                              </w:rPr>
                              <w:t>21</w:t>
                            </w:r>
                            <w:r w:rsidR="000F7E66">
                              <w:rPr>
                                <w:rFonts w:asciiTheme="majorHAnsi" w:hAnsiTheme="majorHAnsi"/>
                                <w:color w:val="0D0D0D" w:themeColor="text1" w:themeTint="F2"/>
                                <w:sz w:val="18"/>
                                <w:szCs w:val="22"/>
                                <w:lang w:val="es-ES"/>
                              </w:rPr>
                              <w:t>.</w:t>
                            </w:r>
                          </w:p>
                          <w:p w14:paraId="4BDF3581" w14:textId="77777777" w:rsidR="00455D80" w:rsidRPr="007A5817" w:rsidRDefault="00455D8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455D80" w:rsidRPr="00167A34" w:rsidRDefault="00455D8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70DC5E4" w:rsidR="00455D80" w:rsidRPr="00890650" w:rsidRDefault="00455D8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D1B81">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7D1B81">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5203D">
                        <w:rPr>
                          <w:rFonts w:asciiTheme="majorHAnsi" w:hAnsiTheme="majorHAnsi"/>
                          <w:color w:val="0D0D0D" w:themeColor="text1" w:themeTint="F2"/>
                          <w:sz w:val="18"/>
                          <w:szCs w:val="22"/>
                          <w:lang w:val="es-ES"/>
                        </w:rPr>
                        <w:t>21</w:t>
                      </w:r>
                      <w:r w:rsidR="000F7E66">
                        <w:rPr>
                          <w:rFonts w:asciiTheme="majorHAnsi" w:hAnsiTheme="majorHAnsi"/>
                          <w:color w:val="0D0D0D" w:themeColor="text1" w:themeTint="F2"/>
                          <w:sz w:val="18"/>
                          <w:szCs w:val="22"/>
                          <w:lang w:val="es-ES"/>
                        </w:rPr>
                        <w:t>.</w:t>
                      </w:r>
                    </w:p>
                    <w:p w14:paraId="4BDF3581" w14:textId="77777777" w:rsidR="00455D80" w:rsidRPr="007A5817" w:rsidRDefault="00455D8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455D80" w:rsidRPr="00167A34" w:rsidRDefault="00455D8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6BB1BDA" w:rsidR="00455D80" w:rsidRPr="007B05C4" w:rsidRDefault="00455D8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6707F" w:rsidRPr="0076707F">
                              <w:rPr>
                                <w:rFonts w:asciiTheme="majorHAnsi" w:hAnsiTheme="majorHAnsi"/>
                                <w:color w:val="595959" w:themeColor="text1" w:themeTint="A6"/>
                                <w:sz w:val="18"/>
                                <w:szCs w:val="18"/>
                                <w:lang w:val="pt-BR"/>
                              </w:rPr>
                              <w:t>432</w:t>
                            </w:r>
                            <w:r w:rsidRPr="0076707F">
                              <w:rPr>
                                <w:rFonts w:asciiTheme="majorHAnsi" w:hAnsiTheme="majorHAnsi"/>
                                <w:color w:val="595959" w:themeColor="text1" w:themeTint="A6"/>
                                <w:sz w:val="18"/>
                                <w:szCs w:val="18"/>
                                <w:lang w:val="pt-BR"/>
                              </w:rPr>
                              <w:t>/</w:t>
                            </w:r>
                            <w:r w:rsidR="00E5203D" w:rsidRPr="0076707F">
                              <w:rPr>
                                <w:rFonts w:asciiTheme="majorHAnsi" w:hAnsiTheme="majorHAnsi"/>
                                <w:color w:val="595959" w:themeColor="text1" w:themeTint="A6"/>
                                <w:sz w:val="18"/>
                                <w:szCs w:val="18"/>
                                <w:lang w:val="pt-BR"/>
                              </w:rPr>
                              <w:t>21</w:t>
                            </w:r>
                            <w:r w:rsidRPr="0076707F">
                              <w:rPr>
                                <w:rFonts w:asciiTheme="majorHAnsi" w:hAnsiTheme="majorHAnsi"/>
                                <w:color w:val="595959" w:themeColor="text1" w:themeTint="A6"/>
                                <w:sz w:val="18"/>
                                <w:szCs w:val="18"/>
                                <w:lang w:val="pt-BR"/>
                              </w:rPr>
                              <w:t xml:space="preserve">. </w:t>
                            </w:r>
                            <w:r w:rsidR="00F91D10">
                              <w:rPr>
                                <w:rFonts w:asciiTheme="majorHAnsi" w:hAnsiTheme="majorHAnsi"/>
                                <w:color w:val="595959" w:themeColor="text1" w:themeTint="A6"/>
                                <w:sz w:val="18"/>
                                <w:szCs w:val="18"/>
                                <w:lang w:val="pt-BR"/>
                              </w:rPr>
                              <w:t xml:space="preserve">Petición 1461-13. </w:t>
                            </w:r>
                            <w:r w:rsidRPr="00890650">
                              <w:rPr>
                                <w:rFonts w:asciiTheme="majorHAnsi" w:hAnsiTheme="majorHAnsi"/>
                                <w:color w:val="595959" w:themeColor="text1" w:themeTint="A6"/>
                                <w:sz w:val="18"/>
                                <w:szCs w:val="18"/>
                                <w:lang w:val="es-ES_tradnl"/>
                              </w:rPr>
                              <w:t xml:space="preserve">Admisibilidad. </w:t>
                            </w:r>
                            <w:r w:rsidR="00227616" w:rsidRPr="00227616">
                              <w:rPr>
                                <w:rFonts w:asciiTheme="majorHAnsi" w:hAnsiTheme="majorHAnsi"/>
                                <w:bCs/>
                                <w:color w:val="595959" w:themeColor="text1" w:themeTint="A6"/>
                                <w:sz w:val="18"/>
                                <w:szCs w:val="18"/>
                                <w:lang w:val="es-ES"/>
                              </w:rPr>
                              <w:t xml:space="preserve">Wilson Arley </w:t>
                            </w:r>
                            <w:proofErr w:type="spellStart"/>
                            <w:r w:rsidR="00227616" w:rsidRPr="00227616">
                              <w:rPr>
                                <w:rFonts w:asciiTheme="majorHAnsi" w:hAnsiTheme="majorHAnsi"/>
                                <w:bCs/>
                                <w:color w:val="595959" w:themeColor="text1" w:themeTint="A6"/>
                                <w:sz w:val="18"/>
                                <w:szCs w:val="18"/>
                                <w:lang w:val="es-ES"/>
                              </w:rPr>
                              <w:t>Idarraga</w:t>
                            </w:r>
                            <w:proofErr w:type="spellEnd"/>
                            <w:r w:rsidR="00227616" w:rsidRPr="00227616">
                              <w:rPr>
                                <w:rFonts w:asciiTheme="majorHAnsi" w:hAnsiTheme="majorHAnsi"/>
                                <w:bCs/>
                                <w:color w:val="595959" w:themeColor="text1" w:themeTint="A6"/>
                                <w:sz w:val="18"/>
                                <w:szCs w:val="18"/>
                                <w:lang w:val="es-ES"/>
                              </w:rPr>
                              <w:t xml:space="preserve"> García y familia</w:t>
                            </w:r>
                            <w:r w:rsidRPr="00890650">
                              <w:rPr>
                                <w:rFonts w:asciiTheme="majorHAnsi" w:hAnsiTheme="majorHAnsi"/>
                                <w:color w:val="595959" w:themeColor="text1" w:themeTint="A6"/>
                                <w:sz w:val="18"/>
                                <w:szCs w:val="18"/>
                                <w:lang w:val="es-ES_tradnl"/>
                              </w:rPr>
                              <w:t>. E</w:t>
                            </w:r>
                            <w:r w:rsidR="00E5203D">
                              <w:rPr>
                                <w:rFonts w:asciiTheme="majorHAnsi" w:hAnsiTheme="majorHAnsi"/>
                                <w:color w:val="595959" w:themeColor="text1" w:themeTint="A6"/>
                                <w:sz w:val="18"/>
                                <w:szCs w:val="18"/>
                                <w:lang w:val="es-ES_tradnl"/>
                              </w:rPr>
                              <w:t>cuador</w:t>
                            </w:r>
                            <w:r w:rsidRPr="00890650">
                              <w:rPr>
                                <w:rFonts w:asciiTheme="majorHAnsi" w:hAnsiTheme="majorHAnsi"/>
                                <w:color w:val="595959" w:themeColor="text1" w:themeTint="A6"/>
                                <w:sz w:val="18"/>
                                <w:szCs w:val="18"/>
                                <w:lang w:val="es-ES_tradnl"/>
                              </w:rPr>
                              <w:t xml:space="preserve">. </w:t>
                            </w:r>
                            <w:r w:rsidR="0076707F">
                              <w:rPr>
                                <w:rFonts w:asciiTheme="majorHAnsi" w:hAnsiTheme="majorHAnsi"/>
                                <w:color w:val="595959" w:themeColor="text1" w:themeTint="A6"/>
                                <w:sz w:val="18"/>
                                <w:szCs w:val="18"/>
                                <w:lang w:val="es-ES"/>
                              </w:rPr>
                              <w:t>31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98ABC"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16BB1BDA" w:rsidR="00455D80" w:rsidRPr="007B05C4" w:rsidRDefault="00455D8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6707F" w:rsidRPr="0076707F">
                        <w:rPr>
                          <w:rFonts w:asciiTheme="majorHAnsi" w:hAnsiTheme="majorHAnsi"/>
                          <w:color w:val="595959" w:themeColor="text1" w:themeTint="A6"/>
                          <w:sz w:val="18"/>
                          <w:szCs w:val="18"/>
                          <w:lang w:val="pt-BR"/>
                        </w:rPr>
                        <w:t>432</w:t>
                      </w:r>
                      <w:r w:rsidRPr="0076707F">
                        <w:rPr>
                          <w:rFonts w:asciiTheme="majorHAnsi" w:hAnsiTheme="majorHAnsi"/>
                          <w:color w:val="595959" w:themeColor="text1" w:themeTint="A6"/>
                          <w:sz w:val="18"/>
                          <w:szCs w:val="18"/>
                          <w:lang w:val="pt-BR"/>
                        </w:rPr>
                        <w:t>/</w:t>
                      </w:r>
                      <w:r w:rsidR="00E5203D" w:rsidRPr="0076707F">
                        <w:rPr>
                          <w:rFonts w:asciiTheme="majorHAnsi" w:hAnsiTheme="majorHAnsi"/>
                          <w:color w:val="595959" w:themeColor="text1" w:themeTint="A6"/>
                          <w:sz w:val="18"/>
                          <w:szCs w:val="18"/>
                          <w:lang w:val="pt-BR"/>
                        </w:rPr>
                        <w:t>21</w:t>
                      </w:r>
                      <w:r w:rsidRPr="0076707F">
                        <w:rPr>
                          <w:rFonts w:asciiTheme="majorHAnsi" w:hAnsiTheme="majorHAnsi"/>
                          <w:color w:val="595959" w:themeColor="text1" w:themeTint="A6"/>
                          <w:sz w:val="18"/>
                          <w:szCs w:val="18"/>
                          <w:lang w:val="pt-BR"/>
                        </w:rPr>
                        <w:t xml:space="preserve">. </w:t>
                      </w:r>
                      <w:r w:rsidR="00F91D10">
                        <w:rPr>
                          <w:rFonts w:asciiTheme="majorHAnsi" w:hAnsiTheme="majorHAnsi"/>
                          <w:color w:val="595959" w:themeColor="text1" w:themeTint="A6"/>
                          <w:sz w:val="18"/>
                          <w:szCs w:val="18"/>
                          <w:lang w:val="pt-BR"/>
                        </w:rPr>
                        <w:t xml:space="preserve">Petición 1461-13. </w:t>
                      </w:r>
                      <w:r w:rsidRPr="00890650">
                        <w:rPr>
                          <w:rFonts w:asciiTheme="majorHAnsi" w:hAnsiTheme="majorHAnsi"/>
                          <w:color w:val="595959" w:themeColor="text1" w:themeTint="A6"/>
                          <w:sz w:val="18"/>
                          <w:szCs w:val="18"/>
                          <w:lang w:val="es-ES_tradnl"/>
                        </w:rPr>
                        <w:t xml:space="preserve">Admisibilidad. </w:t>
                      </w:r>
                      <w:r w:rsidR="00227616" w:rsidRPr="00227616">
                        <w:rPr>
                          <w:rFonts w:asciiTheme="majorHAnsi" w:hAnsiTheme="majorHAnsi"/>
                          <w:bCs/>
                          <w:color w:val="595959" w:themeColor="text1" w:themeTint="A6"/>
                          <w:sz w:val="18"/>
                          <w:szCs w:val="18"/>
                          <w:lang w:val="es-ES"/>
                        </w:rPr>
                        <w:t xml:space="preserve">Wilson Arley </w:t>
                      </w:r>
                      <w:proofErr w:type="spellStart"/>
                      <w:r w:rsidR="00227616" w:rsidRPr="00227616">
                        <w:rPr>
                          <w:rFonts w:asciiTheme="majorHAnsi" w:hAnsiTheme="majorHAnsi"/>
                          <w:bCs/>
                          <w:color w:val="595959" w:themeColor="text1" w:themeTint="A6"/>
                          <w:sz w:val="18"/>
                          <w:szCs w:val="18"/>
                          <w:lang w:val="es-ES"/>
                        </w:rPr>
                        <w:t>Idarraga</w:t>
                      </w:r>
                      <w:proofErr w:type="spellEnd"/>
                      <w:r w:rsidR="00227616" w:rsidRPr="00227616">
                        <w:rPr>
                          <w:rFonts w:asciiTheme="majorHAnsi" w:hAnsiTheme="majorHAnsi"/>
                          <w:bCs/>
                          <w:color w:val="595959" w:themeColor="text1" w:themeTint="A6"/>
                          <w:sz w:val="18"/>
                          <w:szCs w:val="18"/>
                          <w:lang w:val="es-ES"/>
                        </w:rPr>
                        <w:t xml:space="preserve"> García y familia</w:t>
                      </w:r>
                      <w:r w:rsidRPr="00890650">
                        <w:rPr>
                          <w:rFonts w:asciiTheme="majorHAnsi" w:hAnsiTheme="majorHAnsi"/>
                          <w:color w:val="595959" w:themeColor="text1" w:themeTint="A6"/>
                          <w:sz w:val="18"/>
                          <w:szCs w:val="18"/>
                          <w:lang w:val="es-ES_tradnl"/>
                        </w:rPr>
                        <w:t>. E</w:t>
                      </w:r>
                      <w:r w:rsidR="00E5203D">
                        <w:rPr>
                          <w:rFonts w:asciiTheme="majorHAnsi" w:hAnsiTheme="majorHAnsi"/>
                          <w:color w:val="595959" w:themeColor="text1" w:themeTint="A6"/>
                          <w:sz w:val="18"/>
                          <w:szCs w:val="18"/>
                          <w:lang w:val="es-ES_tradnl"/>
                        </w:rPr>
                        <w:t>cuador</w:t>
                      </w:r>
                      <w:r w:rsidRPr="00890650">
                        <w:rPr>
                          <w:rFonts w:asciiTheme="majorHAnsi" w:hAnsiTheme="majorHAnsi"/>
                          <w:color w:val="595959" w:themeColor="text1" w:themeTint="A6"/>
                          <w:sz w:val="18"/>
                          <w:szCs w:val="18"/>
                          <w:lang w:val="es-ES_tradnl"/>
                        </w:rPr>
                        <w:t xml:space="preserve">. </w:t>
                      </w:r>
                      <w:r w:rsidR="0076707F">
                        <w:rPr>
                          <w:rFonts w:asciiTheme="majorHAnsi" w:hAnsiTheme="majorHAnsi"/>
                          <w:color w:val="595959" w:themeColor="text1" w:themeTint="A6"/>
                          <w:sz w:val="18"/>
                          <w:szCs w:val="18"/>
                          <w:lang w:val="es-ES"/>
                        </w:rPr>
                        <w:t>31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206F960"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465DE1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455D80" w:rsidRPr="004B7EB6" w:rsidRDefault="00455D8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455D80" w:rsidRPr="004B7EB6" w:rsidRDefault="00455D8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099B949" w:rsidR="0070697F" w:rsidRPr="00006B74" w:rsidRDefault="001C07C9" w:rsidP="005516A1">
      <w:pPr>
        <w:tabs>
          <w:tab w:val="center" w:pos="5400"/>
        </w:tabs>
        <w:suppressAutoHyphens/>
        <w:jc w:val="center"/>
        <w:rPr>
          <w:rFonts w:asciiTheme="majorHAnsi" w:hAnsiTheme="majorHAnsi"/>
          <w:b/>
          <w:sz w:val="20"/>
          <w:lang w:val="es-ES"/>
        </w:rPr>
        <w:sectPr w:rsidR="0070697F" w:rsidRPr="00006B7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E74A04E">
                <wp:simplePos x="0" y="0"/>
                <wp:positionH relativeFrom="column">
                  <wp:posOffset>1328057</wp:posOffset>
                </wp:positionH>
                <wp:positionV relativeFrom="paragraph">
                  <wp:posOffset>550091</wp:posOffset>
                </wp:positionV>
                <wp:extent cx="4096385" cy="615043"/>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50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FEE1D24" w:rsidR="00455D80" w:rsidRPr="00D72DC6" w:rsidRDefault="005F3733" w:rsidP="00F02AD1">
                            <w:pPr>
                              <w:rPr>
                                <w:color w:val="FFFFFF" w:themeColor="background1"/>
                                <w14:textFill>
                                  <w14:noFill/>
                                </w14:textFill>
                              </w:rPr>
                            </w:pPr>
                            <w:r>
                              <w:rPr>
                                <w:noProof/>
                                <w:color w:val="FFFFFF" w:themeColor="background1"/>
                              </w:rPr>
                              <w:drawing>
                                <wp:inline distT="0" distB="0" distL="0" distR="0" wp14:anchorId="6CE0DF84" wp14:editId="09EBCB75">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2543" id="_x0000_t202" coordsize="21600,21600" o:spt="202" path="m,l,21600r21600,l21600,xe">
                <v:stroke joinstyle="miter"/>
                <v:path gradientshapeok="t" o:connecttype="rect"/>
              </v:shapetype>
              <v:shape id="Text Box 9" o:spid="_x0000_s1032" type="#_x0000_t202" style="position:absolute;left:0;text-align:left;margin-left:104.55pt;margin-top:43.3pt;width:322.55pt;height:4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" fillcolor="white [3201]" stroked="f" strokeweight=".5pt">
                <v:textbox>
                  <w:txbxContent>
                    <w:p w14:paraId="2A1ECD3C" w14:textId="7FEE1D24" w:rsidR="00455D80" w:rsidRPr="00D72DC6" w:rsidRDefault="005F3733" w:rsidP="00F02AD1">
                      <w:pPr>
                        <w:rPr>
                          <w:color w:val="FFFFFF" w:themeColor="background1"/>
                          <w14:textFill>
                            <w14:noFill/>
                          </w14:textFill>
                        </w:rPr>
                      </w:pPr>
                      <w:r>
                        <w:rPr>
                          <w:noProof/>
                          <w:color w:val="FFFFFF" w:themeColor="background1"/>
                        </w:rPr>
                        <w:drawing>
                          <wp:inline distT="0" distB="0" distL="0" distR="0" wp14:anchorId="6CE0DF84" wp14:editId="09EBCB75">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150"/>
        <w:gridCol w:w="6210"/>
      </w:tblGrid>
      <w:tr w:rsidR="003239B8" w:rsidRPr="009605CA" w14:paraId="5A79D1F7" w14:textId="77777777" w:rsidTr="0098674D">
        <w:tc>
          <w:tcPr>
            <w:tcW w:w="3150" w:type="dxa"/>
            <w:tcBorders>
              <w:top w:val="single" w:sz="4" w:space="0" w:color="auto"/>
              <w:bottom w:val="single" w:sz="6" w:space="0" w:color="auto"/>
            </w:tcBorders>
            <w:shd w:val="clear" w:color="auto" w:fill="386294"/>
            <w:vAlign w:val="center"/>
          </w:tcPr>
          <w:p w14:paraId="0CB2A43B" w14:textId="6FB89BFC" w:rsidR="003239B8" w:rsidRPr="0098674D" w:rsidRDefault="00D77503" w:rsidP="00455D80">
            <w:pPr>
              <w:jc w:val="center"/>
              <w:rPr>
                <w:rFonts w:ascii="Cambria" w:hAnsi="Cambria"/>
                <w:b/>
                <w:iCs/>
                <w:color w:val="FFFFFF" w:themeColor="background1"/>
                <w:sz w:val="19"/>
                <w:szCs w:val="19"/>
                <w:lang w:val="es-ES"/>
              </w:rPr>
            </w:pPr>
            <w:r w:rsidRPr="0098674D">
              <w:rPr>
                <w:rFonts w:ascii="Cambria" w:hAnsi="Cambria"/>
                <w:b/>
                <w:iCs/>
                <w:color w:val="FFFFFF" w:themeColor="background1"/>
                <w:sz w:val="19"/>
                <w:szCs w:val="19"/>
                <w:lang w:val="es-ES"/>
              </w:rPr>
              <w:t>Parte peticionaria</w:t>
            </w:r>
          </w:p>
        </w:tc>
        <w:tc>
          <w:tcPr>
            <w:tcW w:w="6210" w:type="dxa"/>
            <w:vAlign w:val="center"/>
          </w:tcPr>
          <w:p w14:paraId="3C5315D8" w14:textId="2340D202" w:rsidR="003239B8" w:rsidRPr="0098674D" w:rsidRDefault="00E5203D" w:rsidP="009605CA">
            <w:pPr>
              <w:jc w:val="both"/>
              <w:rPr>
                <w:rFonts w:ascii="Cambria" w:hAnsi="Cambria"/>
                <w:bCs/>
                <w:sz w:val="19"/>
                <w:szCs w:val="19"/>
                <w:lang w:val="es-ES"/>
              </w:rPr>
            </w:pPr>
            <w:r w:rsidRPr="0098674D">
              <w:rPr>
                <w:rFonts w:ascii="Cambria" w:hAnsi="Cambria"/>
                <w:bCs/>
                <w:sz w:val="19"/>
                <w:szCs w:val="19"/>
                <w:lang w:val="es-ES"/>
              </w:rPr>
              <w:t>Jorge Armando Ruiz Viveros</w:t>
            </w:r>
          </w:p>
        </w:tc>
      </w:tr>
      <w:tr w:rsidR="003239B8" w:rsidRPr="00F91D10" w14:paraId="593A7E45" w14:textId="77777777" w:rsidTr="0098674D">
        <w:tc>
          <w:tcPr>
            <w:tcW w:w="3150" w:type="dxa"/>
            <w:tcBorders>
              <w:top w:val="single" w:sz="6" w:space="0" w:color="auto"/>
              <w:bottom w:val="single" w:sz="6" w:space="0" w:color="auto"/>
            </w:tcBorders>
            <w:shd w:val="clear" w:color="auto" w:fill="386294"/>
            <w:vAlign w:val="center"/>
          </w:tcPr>
          <w:p w14:paraId="0E78CA0C" w14:textId="358719B8" w:rsidR="003239B8" w:rsidRPr="0098674D" w:rsidRDefault="003239B8" w:rsidP="00455D80">
            <w:pPr>
              <w:jc w:val="center"/>
              <w:rPr>
                <w:rFonts w:ascii="Cambria" w:hAnsi="Cambria"/>
                <w:b/>
                <w:iCs/>
                <w:color w:val="FFFFFF" w:themeColor="background1"/>
                <w:sz w:val="19"/>
                <w:szCs w:val="19"/>
                <w:lang w:val="es-ES"/>
              </w:rPr>
            </w:pPr>
            <w:r w:rsidRPr="0098674D">
              <w:rPr>
                <w:rFonts w:ascii="Cambria" w:hAnsi="Cambria"/>
                <w:b/>
                <w:iCs/>
                <w:color w:val="FFFFFF" w:themeColor="background1"/>
                <w:sz w:val="19"/>
                <w:szCs w:val="19"/>
                <w:lang w:val="es-ES"/>
              </w:rPr>
              <w:t>Presunta víctima</w:t>
            </w:r>
          </w:p>
        </w:tc>
        <w:tc>
          <w:tcPr>
            <w:tcW w:w="6210" w:type="dxa"/>
            <w:vAlign w:val="center"/>
          </w:tcPr>
          <w:p w14:paraId="4AEBF59E" w14:textId="687BC4CD" w:rsidR="003239B8" w:rsidRPr="0098674D" w:rsidRDefault="00E5203D" w:rsidP="005B6D22">
            <w:pPr>
              <w:jc w:val="both"/>
              <w:rPr>
                <w:rFonts w:ascii="Cambria" w:hAnsi="Cambria"/>
                <w:bCs/>
                <w:sz w:val="19"/>
                <w:szCs w:val="19"/>
                <w:lang w:val="es-ES"/>
              </w:rPr>
            </w:pPr>
            <w:r w:rsidRPr="0098674D">
              <w:rPr>
                <w:rFonts w:ascii="Cambria" w:hAnsi="Cambria"/>
                <w:bCs/>
                <w:sz w:val="19"/>
                <w:szCs w:val="19"/>
                <w:lang w:val="es-ES"/>
              </w:rPr>
              <w:t>Wilson Arley Idarraga García y familia</w:t>
            </w:r>
            <w:r w:rsidRPr="0098674D">
              <w:rPr>
                <w:rStyle w:val="FootnoteReference"/>
                <w:rFonts w:ascii="Cambria" w:hAnsi="Cambria"/>
                <w:bCs/>
                <w:sz w:val="19"/>
                <w:szCs w:val="19"/>
                <w:lang w:val="es-ES"/>
              </w:rPr>
              <w:footnoteReference w:id="2"/>
            </w:r>
          </w:p>
        </w:tc>
      </w:tr>
      <w:tr w:rsidR="003239B8" w:rsidRPr="00006B74" w14:paraId="3E62E1D3" w14:textId="77777777" w:rsidTr="0098674D">
        <w:tc>
          <w:tcPr>
            <w:tcW w:w="3150" w:type="dxa"/>
            <w:tcBorders>
              <w:top w:val="single" w:sz="6" w:space="0" w:color="auto"/>
              <w:bottom w:val="single" w:sz="6" w:space="0" w:color="auto"/>
            </w:tcBorders>
            <w:shd w:val="clear" w:color="auto" w:fill="386294"/>
            <w:vAlign w:val="center"/>
          </w:tcPr>
          <w:p w14:paraId="340B0F09" w14:textId="16C11299" w:rsidR="003239B8" w:rsidRPr="0098674D" w:rsidRDefault="00D77503" w:rsidP="00455D80">
            <w:pPr>
              <w:jc w:val="center"/>
              <w:rPr>
                <w:rFonts w:ascii="Cambria" w:hAnsi="Cambria"/>
                <w:b/>
                <w:iCs/>
                <w:color w:val="FFFFFF" w:themeColor="background1"/>
                <w:sz w:val="19"/>
                <w:szCs w:val="19"/>
                <w:lang w:val="es-ES"/>
              </w:rPr>
            </w:pPr>
            <w:r w:rsidRPr="0098674D">
              <w:rPr>
                <w:rFonts w:ascii="Cambria" w:hAnsi="Cambria"/>
                <w:b/>
                <w:iCs/>
                <w:color w:val="FFFFFF" w:themeColor="background1"/>
                <w:sz w:val="19"/>
                <w:szCs w:val="19"/>
                <w:lang w:val="es-ES"/>
              </w:rPr>
              <w:t>Estado denunciado</w:t>
            </w:r>
          </w:p>
        </w:tc>
        <w:tc>
          <w:tcPr>
            <w:tcW w:w="6210" w:type="dxa"/>
            <w:vAlign w:val="center"/>
          </w:tcPr>
          <w:p w14:paraId="274C8A50" w14:textId="7A937815" w:rsidR="003239B8" w:rsidRPr="0098674D" w:rsidRDefault="0098674D" w:rsidP="000851F2">
            <w:pPr>
              <w:jc w:val="both"/>
              <w:rPr>
                <w:rFonts w:ascii="Cambria" w:hAnsi="Cambria"/>
                <w:bCs/>
                <w:sz w:val="19"/>
                <w:szCs w:val="19"/>
                <w:lang w:val="es-ES"/>
              </w:rPr>
            </w:pPr>
            <w:r w:rsidRPr="0098674D">
              <w:rPr>
                <w:rFonts w:ascii="Cambria" w:hAnsi="Cambria"/>
                <w:bCs/>
                <w:sz w:val="19"/>
                <w:szCs w:val="19"/>
              </w:rPr>
              <w:t>Ecuador</w:t>
            </w:r>
          </w:p>
        </w:tc>
      </w:tr>
      <w:tr w:rsidR="00223A29" w:rsidRPr="00F91D10" w14:paraId="632511BC" w14:textId="77777777" w:rsidTr="0098674D">
        <w:tc>
          <w:tcPr>
            <w:tcW w:w="3150" w:type="dxa"/>
            <w:tcBorders>
              <w:top w:val="single" w:sz="6" w:space="0" w:color="auto"/>
              <w:bottom w:val="single" w:sz="6" w:space="0" w:color="auto"/>
            </w:tcBorders>
            <w:shd w:val="clear" w:color="auto" w:fill="386294"/>
            <w:vAlign w:val="center"/>
          </w:tcPr>
          <w:p w14:paraId="727E2F6B" w14:textId="1D86EADA" w:rsidR="00223A29" w:rsidRPr="0098674D" w:rsidRDefault="001B3A00" w:rsidP="00E4118C">
            <w:pPr>
              <w:jc w:val="center"/>
              <w:rPr>
                <w:rFonts w:ascii="Cambria" w:hAnsi="Cambria"/>
                <w:b/>
                <w:iCs/>
                <w:color w:val="FFFFFF" w:themeColor="background1"/>
                <w:sz w:val="19"/>
                <w:szCs w:val="19"/>
                <w:lang w:val="es-ES"/>
              </w:rPr>
            </w:pPr>
            <w:r w:rsidRPr="0098674D">
              <w:rPr>
                <w:rFonts w:ascii="Cambria" w:hAnsi="Cambria"/>
                <w:b/>
                <w:iCs/>
                <w:color w:val="FFFFFF" w:themeColor="background1"/>
                <w:sz w:val="19"/>
                <w:szCs w:val="19"/>
                <w:lang w:val="es-ES"/>
              </w:rPr>
              <w:t xml:space="preserve">Derechos </w:t>
            </w:r>
            <w:r w:rsidR="00E4118C" w:rsidRPr="0098674D">
              <w:rPr>
                <w:rFonts w:ascii="Cambria" w:hAnsi="Cambria"/>
                <w:b/>
                <w:iCs/>
                <w:color w:val="FFFFFF" w:themeColor="background1"/>
                <w:sz w:val="19"/>
                <w:szCs w:val="19"/>
                <w:lang w:val="es-ES"/>
              </w:rPr>
              <w:t>invocados</w:t>
            </w:r>
          </w:p>
        </w:tc>
        <w:tc>
          <w:tcPr>
            <w:tcW w:w="6210" w:type="dxa"/>
            <w:vAlign w:val="center"/>
          </w:tcPr>
          <w:p w14:paraId="6DEE1EEB" w14:textId="5B52A1E8" w:rsidR="00975A4D" w:rsidRPr="0098674D" w:rsidRDefault="00E5203D" w:rsidP="000851F2">
            <w:pPr>
              <w:jc w:val="both"/>
              <w:rPr>
                <w:rFonts w:ascii="Cambria" w:hAnsi="Cambria"/>
                <w:bCs/>
                <w:sz w:val="19"/>
                <w:szCs w:val="19"/>
                <w:lang w:val="es-ES"/>
              </w:rPr>
            </w:pPr>
            <w:r w:rsidRPr="0098674D">
              <w:rPr>
                <w:rFonts w:ascii="Cambria" w:hAnsi="Cambria"/>
                <w:bCs/>
                <w:sz w:val="19"/>
                <w:szCs w:val="19"/>
                <w:lang w:val="es-ES"/>
              </w:rPr>
              <w:t>Artículo 4 (derecho a la vida), 5 (derecho a la integridad personal), 7 (derecho a la libertad personal)</w:t>
            </w:r>
            <w:r w:rsidR="00BF514A" w:rsidRPr="0098674D">
              <w:rPr>
                <w:rFonts w:ascii="Cambria" w:hAnsi="Cambria"/>
                <w:bCs/>
                <w:sz w:val="19"/>
                <w:szCs w:val="19"/>
                <w:lang w:val="es-ES"/>
              </w:rPr>
              <w:t xml:space="preserve"> de la Convención Americana sobre Derechos Humanos</w:t>
            </w:r>
            <w:r w:rsidR="00BF514A" w:rsidRPr="0098674D">
              <w:rPr>
                <w:rStyle w:val="FootnoteReference"/>
                <w:rFonts w:ascii="Cambria" w:hAnsi="Cambria"/>
                <w:bCs/>
                <w:sz w:val="19"/>
                <w:szCs w:val="19"/>
                <w:lang w:val="es-ES"/>
              </w:rPr>
              <w:footnoteReference w:id="3"/>
            </w:r>
            <w:r w:rsidR="00975A4D" w:rsidRPr="0098674D">
              <w:rPr>
                <w:rFonts w:ascii="Cambria" w:hAnsi="Cambria"/>
                <w:bCs/>
                <w:sz w:val="19"/>
                <w:szCs w:val="19"/>
                <w:lang w:val="es-ES"/>
              </w:rPr>
              <w:t xml:space="preserve"> </w:t>
            </w:r>
            <w:r w:rsidR="001E73A2">
              <w:rPr>
                <w:rFonts w:ascii="Cambria" w:hAnsi="Cambria"/>
                <w:bCs/>
                <w:sz w:val="19"/>
                <w:szCs w:val="19"/>
                <w:lang w:val="es-ES"/>
              </w:rPr>
              <w:t xml:space="preserve">en relación con el artículo 1.1 del mismo instrumento </w:t>
            </w:r>
            <w:r w:rsidRPr="0098674D">
              <w:rPr>
                <w:rFonts w:ascii="Cambria" w:hAnsi="Cambria"/>
                <w:bCs/>
                <w:sz w:val="19"/>
                <w:szCs w:val="19"/>
                <w:lang w:val="es-ES"/>
              </w:rPr>
              <w:t xml:space="preserve">y otros </w:t>
            </w:r>
            <w:r w:rsidR="0098674D" w:rsidRPr="0098674D">
              <w:rPr>
                <w:rFonts w:ascii="Cambria" w:hAnsi="Cambria"/>
                <w:bCs/>
                <w:sz w:val="19"/>
                <w:szCs w:val="19"/>
                <w:lang w:val="es-ES"/>
              </w:rPr>
              <w:t>tratados internacionales</w:t>
            </w:r>
            <w:r w:rsidRPr="0098674D">
              <w:rPr>
                <w:rStyle w:val="FootnoteReference"/>
                <w:rFonts w:ascii="Cambria" w:hAnsi="Cambria"/>
                <w:bCs/>
                <w:sz w:val="19"/>
                <w:szCs w:val="19"/>
                <w:lang w:val="es-ES"/>
              </w:rPr>
              <w:footnoteReference w:id="4"/>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150"/>
        <w:gridCol w:w="6210"/>
      </w:tblGrid>
      <w:tr w:rsidR="004C2312" w:rsidRPr="00006B74" w14:paraId="306EFCB0" w14:textId="77777777" w:rsidTr="0098674D">
        <w:tc>
          <w:tcPr>
            <w:tcW w:w="3150" w:type="dxa"/>
            <w:tcBorders>
              <w:top w:val="single" w:sz="6" w:space="0" w:color="auto"/>
              <w:bottom w:val="single" w:sz="6" w:space="0" w:color="auto"/>
            </w:tcBorders>
            <w:shd w:val="clear" w:color="auto" w:fill="386294"/>
            <w:vAlign w:val="center"/>
          </w:tcPr>
          <w:p w14:paraId="7508D16F" w14:textId="745A93FD" w:rsidR="004C2312" w:rsidRPr="0098674D" w:rsidRDefault="0098674D" w:rsidP="004A6A54">
            <w:pPr>
              <w:jc w:val="center"/>
              <w:rPr>
                <w:rFonts w:ascii="Cambria" w:hAnsi="Cambria"/>
                <w:b/>
                <w:iCs/>
                <w:color w:val="FFFFFF" w:themeColor="background1"/>
                <w:sz w:val="19"/>
                <w:szCs w:val="19"/>
                <w:lang w:val="es-ES"/>
              </w:rPr>
            </w:pPr>
            <w:r w:rsidRPr="0098674D">
              <w:rPr>
                <w:rFonts w:ascii="Cambria" w:hAnsi="Cambria"/>
                <w:b/>
                <w:iCs/>
                <w:color w:val="FFFFFF" w:themeColor="background1"/>
                <w:sz w:val="19"/>
                <w:szCs w:val="19"/>
                <w:lang w:val="es-ES"/>
              </w:rPr>
              <w:t xml:space="preserve">Presentación de </w:t>
            </w:r>
            <w:r w:rsidR="00D77503" w:rsidRPr="0098674D">
              <w:rPr>
                <w:rFonts w:ascii="Cambria" w:hAnsi="Cambria"/>
                <w:b/>
                <w:iCs/>
                <w:color w:val="FFFFFF" w:themeColor="background1"/>
                <w:sz w:val="19"/>
                <w:szCs w:val="19"/>
                <w:lang w:val="es-ES"/>
              </w:rPr>
              <w:t>la petición</w:t>
            </w:r>
          </w:p>
        </w:tc>
        <w:tc>
          <w:tcPr>
            <w:tcW w:w="6210" w:type="dxa"/>
            <w:vAlign w:val="center"/>
          </w:tcPr>
          <w:p w14:paraId="6E579153" w14:textId="712E7355" w:rsidR="004C2312" w:rsidRPr="0098674D" w:rsidRDefault="00433E89" w:rsidP="00455D80">
            <w:pPr>
              <w:jc w:val="both"/>
              <w:rPr>
                <w:rFonts w:ascii="Cambria" w:hAnsi="Cambria"/>
                <w:bCs/>
                <w:sz w:val="19"/>
                <w:szCs w:val="19"/>
                <w:lang w:val="es-ES"/>
              </w:rPr>
            </w:pPr>
            <w:r w:rsidRPr="0098674D">
              <w:rPr>
                <w:rFonts w:ascii="Cambria" w:hAnsi="Cambria"/>
                <w:bCs/>
                <w:sz w:val="19"/>
                <w:szCs w:val="19"/>
                <w:lang w:val="es-ES"/>
              </w:rPr>
              <w:t>7 de septiembre de 2013</w:t>
            </w:r>
          </w:p>
        </w:tc>
      </w:tr>
      <w:tr w:rsidR="0098674D" w:rsidRPr="0098674D" w14:paraId="17D6DC0E" w14:textId="77777777" w:rsidTr="0098674D">
        <w:tc>
          <w:tcPr>
            <w:tcW w:w="3150" w:type="dxa"/>
            <w:tcBorders>
              <w:top w:val="single" w:sz="6" w:space="0" w:color="auto"/>
              <w:bottom w:val="single" w:sz="6" w:space="0" w:color="auto"/>
            </w:tcBorders>
            <w:shd w:val="clear" w:color="auto" w:fill="386294"/>
            <w:vAlign w:val="center"/>
          </w:tcPr>
          <w:p w14:paraId="5B26588F" w14:textId="6DB13E11" w:rsidR="0098674D" w:rsidRPr="0098674D" w:rsidRDefault="0098674D" w:rsidP="004A6A54">
            <w:pPr>
              <w:jc w:val="center"/>
              <w:rPr>
                <w:rFonts w:ascii="Cambria" w:hAnsi="Cambria"/>
                <w:b/>
                <w:iCs/>
                <w:color w:val="FFFFFF" w:themeColor="background1"/>
                <w:sz w:val="19"/>
                <w:szCs w:val="19"/>
                <w:lang w:val="es-ES"/>
              </w:rPr>
            </w:pPr>
            <w:r w:rsidRPr="0098674D">
              <w:rPr>
                <w:rFonts w:ascii="Cambria" w:hAnsi="Cambria"/>
                <w:b/>
                <w:iCs/>
                <w:color w:val="FFFFFF" w:themeColor="background1"/>
                <w:sz w:val="19"/>
                <w:szCs w:val="19"/>
                <w:lang w:val="es-ES"/>
              </w:rPr>
              <w:t>Información adicional recibida durante la etapa de estudio</w:t>
            </w:r>
          </w:p>
        </w:tc>
        <w:tc>
          <w:tcPr>
            <w:tcW w:w="6210" w:type="dxa"/>
            <w:vAlign w:val="center"/>
          </w:tcPr>
          <w:p w14:paraId="6920512B" w14:textId="204A0176" w:rsidR="0098674D" w:rsidRPr="0098674D" w:rsidRDefault="00AB1C10" w:rsidP="00455D80">
            <w:pPr>
              <w:jc w:val="both"/>
              <w:rPr>
                <w:rFonts w:ascii="Cambria" w:hAnsi="Cambria"/>
                <w:bCs/>
                <w:sz w:val="19"/>
                <w:szCs w:val="19"/>
                <w:lang w:val="es-ES"/>
              </w:rPr>
            </w:pPr>
            <w:r>
              <w:rPr>
                <w:rFonts w:ascii="Cambria" w:hAnsi="Cambria"/>
                <w:bCs/>
                <w:sz w:val="19"/>
                <w:szCs w:val="19"/>
                <w:lang w:val="es-ES"/>
              </w:rPr>
              <w:t>8 de enero de 2016</w:t>
            </w:r>
          </w:p>
        </w:tc>
      </w:tr>
      <w:tr w:rsidR="004C2312" w:rsidRPr="0098674D" w14:paraId="1BDCD5C6" w14:textId="77777777" w:rsidTr="0098674D">
        <w:tc>
          <w:tcPr>
            <w:tcW w:w="3150" w:type="dxa"/>
            <w:tcBorders>
              <w:top w:val="single" w:sz="6" w:space="0" w:color="auto"/>
              <w:bottom w:val="single" w:sz="6" w:space="0" w:color="auto"/>
            </w:tcBorders>
            <w:shd w:val="clear" w:color="auto" w:fill="386294"/>
            <w:vAlign w:val="center"/>
          </w:tcPr>
          <w:p w14:paraId="7A18664F" w14:textId="53D3F39B" w:rsidR="004C2312" w:rsidRPr="0098674D" w:rsidRDefault="004A6A54" w:rsidP="000C1C69">
            <w:pPr>
              <w:jc w:val="center"/>
              <w:rPr>
                <w:rFonts w:ascii="Cambria" w:hAnsi="Cambria"/>
                <w:b/>
                <w:iCs/>
                <w:color w:val="FFFFFF" w:themeColor="background1"/>
                <w:sz w:val="19"/>
                <w:szCs w:val="19"/>
                <w:lang w:val="es-ES"/>
              </w:rPr>
            </w:pPr>
            <w:r w:rsidRPr="0098674D">
              <w:rPr>
                <w:rFonts w:ascii="Cambria" w:hAnsi="Cambria"/>
                <w:b/>
                <w:iCs/>
                <w:color w:val="FFFFFF" w:themeColor="background1"/>
                <w:sz w:val="19"/>
                <w:szCs w:val="19"/>
                <w:lang w:val="es-ES"/>
              </w:rPr>
              <w:t>N</w:t>
            </w:r>
            <w:r w:rsidR="004C2312" w:rsidRPr="0098674D">
              <w:rPr>
                <w:rFonts w:ascii="Cambria" w:hAnsi="Cambria"/>
                <w:b/>
                <w:iCs/>
                <w:color w:val="FFFFFF" w:themeColor="background1"/>
                <w:sz w:val="19"/>
                <w:szCs w:val="19"/>
                <w:lang w:val="es-ES"/>
              </w:rPr>
              <w:t>otificación de la petición</w:t>
            </w:r>
            <w:r w:rsidR="0098674D" w:rsidRPr="0098674D">
              <w:rPr>
                <w:rFonts w:ascii="Cambria" w:hAnsi="Cambria"/>
                <w:b/>
                <w:iCs/>
                <w:color w:val="FFFFFF" w:themeColor="background1"/>
                <w:sz w:val="19"/>
                <w:szCs w:val="19"/>
                <w:lang w:val="es-ES"/>
              </w:rPr>
              <w:t xml:space="preserve"> al Estado</w:t>
            </w:r>
          </w:p>
        </w:tc>
        <w:tc>
          <w:tcPr>
            <w:tcW w:w="6210" w:type="dxa"/>
            <w:vAlign w:val="center"/>
          </w:tcPr>
          <w:p w14:paraId="1519DA6A" w14:textId="6F8933C8" w:rsidR="004C2312" w:rsidRPr="0098674D" w:rsidRDefault="00AB1C10" w:rsidP="00455D80">
            <w:pPr>
              <w:jc w:val="both"/>
              <w:rPr>
                <w:rFonts w:ascii="Cambria" w:hAnsi="Cambria"/>
                <w:bCs/>
                <w:sz w:val="19"/>
                <w:szCs w:val="19"/>
                <w:lang w:val="es-ES"/>
              </w:rPr>
            </w:pPr>
            <w:r>
              <w:rPr>
                <w:rFonts w:ascii="Cambria" w:hAnsi="Cambria"/>
                <w:bCs/>
                <w:sz w:val="19"/>
                <w:szCs w:val="19"/>
                <w:lang w:val="es-ES"/>
              </w:rPr>
              <w:t>31 de marzo de 2016</w:t>
            </w:r>
          </w:p>
        </w:tc>
      </w:tr>
      <w:tr w:rsidR="00F06354" w:rsidRPr="00006B74" w14:paraId="6147A8D5" w14:textId="77777777" w:rsidTr="0098674D">
        <w:tc>
          <w:tcPr>
            <w:tcW w:w="3150" w:type="dxa"/>
            <w:tcBorders>
              <w:top w:val="single" w:sz="6" w:space="0" w:color="auto"/>
              <w:bottom w:val="single" w:sz="6" w:space="0" w:color="auto"/>
            </w:tcBorders>
            <w:shd w:val="clear" w:color="auto" w:fill="386294"/>
            <w:vAlign w:val="center"/>
          </w:tcPr>
          <w:p w14:paraId="0201C86D" w14:textId="678B514E" w:rsidR="00F06354" w:rsidRPr="0098674D" w:rsidRDefault="00D77503" w:rsidP="00F06354">
            <w:pPr>
              <w:jc w:val="center"/>
              <w:rPr>
                <w:rFonts w:ascii="Cambria" w:hAnsi="Cambria"/>
                <w:b/>
                <w:iCs/>
                <w:color w:val="FFFFFF" w:themeColor="background1"/>
                <w:sz w:val="19"/>
                <w:szCs w:val="19"/>
                <w:lang w:val="es-ES"/>
              </w:rPr>
            </w:pPr>
            <w:r w:rsidRPr="0098674D">
              <w:rPr>
                <w:rFonts w:ascii="Cambria" w:hAnsi="Cambria"/>
                <w:b/>
                <w:iCs/>
                <w:color w:val="FFFFFF" w:themeColor="background1"/>
                <w:sz w:val="19"/>
                <w:szCs w:val="19"/>
                <w:lang w:val="es-ES"/>
              </w:rPr>
              <w:t>Primera respuesta del Estado</w:t>
            </w:r>
          </w:p>
        </w:tc>
        <w:tc>
          <w:tcPr>
            <w:tcW w:w="6210" w:type="dxa"/>
            <w:vAlign w:val="center"/>
          </w:tcPr>
          <w:p w14:paraId="1972B99E" w14:textId="3A84FE04" w:rsidR="00F06354" w:rsidRPr="0098674D" w:rsidRDefault="00AB1C10" w:rsidP="00F06354">
            <w:pPr>
              <w:jc w:val="both"/>
              <w:rPr>
                <w:rFonts w:ascii="Cambria" w:hAnsi="Cambria"/>
                <w:bCs/>
                <w:sz w:val="19"/>
                <w:szCs w:val="19"/>
                <w:lang w:val="es-ES"/>
              </w:rPr>
            </w:pPr>
            <w:r>
              <w:rPr>
                <w:rFonts w:ascii="Cambria" w:hAnsi="Cambria"/>
                <w:bCs/>
                <w:sz w:val="19"/>
                <w:szCs w:val="19"/>
                <w:lang w:val="es-ES"/>
              </w:rPr>
              <w:t>7 de julio de 2016</w:t>
            </w:r>
          </w:p>
        </w:tc>
      </w:tr>
      <w:tr w:rsidR="00F06354" w:rsidRPr="00E5203D" w14:paraId="322668B6" w14:textId="77777777" w:rsidTr="0098674D">
        <w:tc>
          <w:tcPr>
            <w:tcW w:w="3150" w:type="dxa"/>
            <w:tcBorders>
              <w:top w:val="single" w:sz="6" w:space="0" w:color="auto"/>
              <w:bottom w:val="single" w:sz="6" w:space="0" w:color="auto"/>
            </w:tcBorders>
            <w:shd w:val="clear" w:color="auto" w:fill="386294"/>
            <w:vAlign w:val="center"/>
          </w:tcPr>
          <w:p w14:paraId="1524DA55" w14:textId="2EFC7BC3" w:rsidR="00F06354" w:rsidRPr="0098674D" w:rsidRDefault="00F06354" w:rsidP="00F06354">
            <w:pPr>
              <w:jc w:val="center"/>
              <w:rPr>
                <w:rFonts w:ascii="Cambria" w:hAnsi="Cambria"/>
                <w:b/>
                <w:iCs/>
                <w:color w:val="FFFFFF" w:themeColor="background1"/>
                <w:sz w:val="19"/>
                <w:szCs w:val="19"/>
                <w:lang w:val="es-ES"/>
              </w:rPr>
            </w:pPr>
            <w:r w:rsidRPr="0098674D">
              <w:rPr>
                <w:rFonts w:ascii="Cambria" w:hAnsi="Cambria"/>
                <w:b/>
                <w:iCs/>
                <w:color w:val="FFFFFF" w:themeColor="background1"/>
                <w:sz w:val="19"/>
                <w:szCs w:val="19"/>
                <w:lang w:val="es-ES"/>
              </w:rPr>
              <w:t>Observaciones adicionales de</w:t>
            </w:r>
            <w:r w:rsidR="00D77503" w:rsidRPr="0098674D">
              <w:rPr>
                <w:rFonts w:ascii="Cambria" w:hAnsi="Cambria"/>
                <w:b/>
                <w:iCs/>
                <w:color w:val="FFFFFF" w:themeColor="background1"/>
                <w:sz w:val="19"/>
                <w:szCs w:val="19"/>
                <w:lang w:val="es-ES"/>
              </w:rPr>
              <w:t xml:space="preserve"> la parte peticionaria</w:t>
            </w:r>
          </w:p>
        </w:tc>
        <w:tc>
          <w:tcPr>
            <w:tcW w:w="6210" w:type="dxa"/>
            <w:vAlign w:val="center"/>
          </w:tcPr>
          <w:p w14:paraId="41D8B862" w14:textId="05D0B493" w:rsidR="00F06354" w:rsidRPr="0098674D" w:rsidRDefault="00AB1C10" w:rsidP="00D77503">
            <w:pPr>
              <w:jc w:val="both"/>
              <w:rPr>
                <w:rFonts w:ascii="Cambria" w:hAnsi="Cambria"/>
                <w:bCs/>
                <w:sz w:val="19"/>
                <w:szCs w:val="19"/>
                <w:lang w:val="es-ES"/>
              </w:rPr>
            </w:pPr>
            <w:r>
              <w:rPr>
                <w:rFonts w:ascii="Cambria" w:hAnsi="Cambria"/>
                <w:bCs/>
                <w:sz w:val="19"/>
                <w:szCs w:val="19"/>
                <w:lang w:val="es-ES"/>
              </w:rPr>
              <w:t>23 de marzo de 2020</w:t>
            </w:r>
            <w:r w:rsidR="00746B15">
              <w:rPr>
                <w:rFonts w:ascii="Cambria" w:hAnsi="Cambria"/>
                <w:bCs/>
                <w:sz w:val="19"/>
                <w:szCs w:val="19"/>
                <w:lang w:val="es-ES"/>
              </w:rPr>
              <w:t xml:space="preserve"> </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150"/>
        <w:gridCol w:w="6210"/>
      </w:tblGrid>
      <w:tr w:rsidR="003239B8" w:rsidRPr="00006B74" w14:paraId="072532AD" w14:textId="77777777" w:rsidTr="0098674D">
        <w:trPr>
          <w:cantSplit/>
        </w:trPr>
        <w:tc>
          <w:tcPr>
            <w:tcW w:w="3150" w:type="dxa"/>
            <w:tcBorders>
              <w:top w:val="single" w:sz="4" w:space="0" w:color="auto"/>
              <w:bottom w:val="single" w:sz="6" w:space="0" w:color="auto"/>
            </w:tcBorders>
            <w:shd w:val="clear" w:color="auto" w:fill="386294"/>
            <w:vAlign w:val="center"/>
          </w:tcPr>
          <w:p w14:paraId="5C2E4B34" w14:textId="27F3DB19" w:rsidR="003239B8" w:rsidRPr="0098674D" w:rsidRDefault="0098674D" w:rsidP="00455D80">
            <w:pPr>
              <w:jc w:val="center"/>
              <w:rPr>
                <w:rFonts w:ascii="Cambria" w:hAnsi="Cambria"/>
                <w:b/>
                <w:i/>
                <w:color w:val="FFFFFF" w:themeColor="background1"/>
                <w:sz w:val="19"/>
                <w:szCs w:val="19"/>
                <w:lang w:val="es-ES"/>
              </w:rPr>
            </w:pPr>
            <w:r>
              <w:rPr>
                <w:rFonts w:ascii="Cambria" w:hAnsi="Cambria"/>
                <w:b/>
                <w:iCs/>
                <w:color w:val="FFFFFF" w:themeColor="background1"/>
                <w:sz w:val="19"/>
                <w:szCs w:val="19"/>
                <w:lang w:val="es-ES"/>
              </w:rPr>
              <w:t xml:space="preserve">Competencia </w:t>
            </w:r>
            <w:r w:rsidR="00D77503" w:rsidRPr="0098674D">
              <w:rPr>
                <w:rFonts w:ascii="Cambria" w:hAnsi="Cambria"/>
                <w:b/>
                <w:i/>
                <w:color w:val="FFFFFF" w:themeColor="background1"/>
                <w:sz w:val="19"/>
                <w:szCs w:val="19"/>
                <w:lang w:val="es-ES"/>
              </w:rPr>
              <w:t>Ratione personae</w:t>
            </w:r>
          </w:p>
        </w:tc>
        <w:tc>
          <w:tcPr>
            <w:tcW w:w="6210" w:type="dxa"/>
            <w:vAlign w:val="center"/>
          </w:tcPr>
          <w:p w14:paraId="7707F3E9" w14:textId="2ADC9D56" w:rsidR="003239B8" w:rsidRPr="0098674D" w:rsidRDefault="001E73A2" w:rsidP="00455D8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8674D">
        <w:trPr>
          <w:cantSplit/>
        </w:trPr>
        <w:tc>
          <w:tcPr>
            <w:tcW w:w="3150" w:type="dxa"/>
            <w:tcBorders>
              <w:top w:val="single" w:sz="6" w:space="0" w:color="auto"/>
              <w:bottom w:val="single" w:sz="6" w:space="0" w:color="auto"/>
            </w:tcBorders>
            <w:shd w:val="clear" w:color="auto" w:fill="386294"/>
            <w:vAlign w:val="center"/>
          </w:tcPr>
          <w:p w14:paraId="3915C23B" w14:textId="4C1E5A29" w:rsidR="003239B8" w:rsidRPr="0098674D" w:rsidRDefault="0098674D" w:rsidP="00D77503">
            <w:pPr>
              <w:jc w:val="center"/>
              <w:rPr>
                <w:rFonts w:ascii="Cambria" w:hAnsi="Cambria"/>
                <w:b/>
                <w:color w:val="FFFFFF" w:themeColor="background1"/>
                <w:sz w:val="19"/>
                <w:szCs w:val="19"/>
                <w:lang w:val="es-ES"/>
              </w:rPr>
            </w:pPr>
            <w:r>
              <w:rPr>
                <w:rFonts w:ascii="Cambria" w:hAnsi="Cambria"/>
                <w:b/>
                <w:iCs/>
                <w:color w:val="FFFFFF" w:themeColor="background1"/>
                <w:sz w:val="19"/>
                <w:szCs w:val="19"/>
                <w:lang w:val="es-ES"/>
              </w:rPr>
              <w:t xml:space="preserve">Competencia </w:t>
            </w:r>
            <w:r w:rsidR="003239B8" w:rsidRPr="0098674D">
              <w:rPr>
                <w:rFonts w:ascii="Cambria" w:hAnsi="Cambria"/>
                <w:b/>
                <w:i/>
                <w:color w:val="FFFFFF" w:themeColor="background1"/>
                <w:sz w:val="19"/>
                <w:szCs w:val="19"/>
                <w:lang w:val="es-ES"/>
              </w:rPr>
              <w:t>Ratione loci</w:t>
            </w:r>
          </w:p>
        </w:tc>
        <w:tc>
          <w:tcPr>
            <w:tcW w:w="6210" w:type="dxa"/>
            <w:vAlign w:val="center"/>
          </w:tcPr>
          <w:p w14:paraId="12C931CB" w14:textId="6DC91A1F" w:rsidR="003239B8" w:rsidRPr="0098674D" w:rsidRDefault="001E73A2" w:rsidP="00455D8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8674D">
        <w:trPr>
          <w:cantSplit/>
        </w:trPr>
        <w:tc>
          <w:tcPr>
            <w:tcW w:w="3150" w:type="dxa"/>
            <w:tcBorders>
              <w:top w:val="single" w:sz="6" w:space="0" w:color="auto"/>
              <w:bottom w:val="single" w:sz="6" w:space="0" w:color="auto"/>
            </w:tcBorders>
            <w:shd w:val="clear" w:color="auto" w:fill="386294"/>
            <w:vAlign w:val="center"/>
          </w:tcPr>
          <w:p w14:paraId="3BE23153" w14:textId="4375ABF0" w:rsidR="003239B8" w:rsidRPr="0098674D" w:rsidRDefault="0098674D" w:rsidP="00455D80">
            <w:pPr>
              <w:jc w:val="center"/>
              <w:rPr>
                <w:rFonts w:ascii="Cambria" w:hAnsi="Cambria"/>
                <w:b/>
                <w:color w:val="FFFFFF" w:themeColor="background1"/>
                <w:sz w:val="19"/>
                <w:szCs w:val="19"/>
                <w:lang w:val="es-ES"/>
              </w:rPr>
            </w:pPr>
            <w:r>
              <w:rPr>
                <w:rFonts w:ascii="Cambria" w:hAnsi="Cambria"/>
                <w:b/>
                <w:iCs/>
                <w:color w:val="FFFFFF" w:themeColor="background1"/>
                <w:sz w:val="19"/>
                <w:szCs w:val="19"/>
                <w:lang w:val="es-ES"/>
              </w:rPr>
              <w:t xml:space="preserve">Competencia </w:t>
            </w:r>
            <w:r w:rsidR="003239B8" w:rsidRPr="0098674D">
              <w:rPr>
                <w:rFonts w:ascii="Cambria" w:hAnsi="Cambria"/>
                <w:b/>
                <w:i/>
                <w:color w:val="FFFFFF" w:themeColor="background1"/>
                <w:sz w:val="19"/>
                <w:szCs w:val="19"/>
                <w:lang w:val="es-ES"/>
              </w:rPr>
              <w:t>Ratione temporis</w:t>
            </w:r>
          </w:p>
        </w:tc>
        <w:tc>
          <w:tcPr>
            <w:tcW w:w="6210" w:type="dxa"/>
            <w:vAlign w:val="center"/>
          </w:tcPr>
          <w:p w14:paraId="6F8B059B" w14:textId="40596969" w:rsidR="003239B8" w:rsidRPr="0098674D" w:rsidRDefault="001E73A2" w:rsidP="00455D80">
            <w:pPr>
              <w:rPr>
                <w:rFonts w:ascii="Cambria" w:hAnsi="Cambria"/>
                <w:bCs/>
                <w:sz w:val="19"/>
                <w:szCs w:val="19"/>
                <w:lang w:val="es-ES"/>
              </w:rPr>
            </w:pPr>
            <w:r>
              <w:rPr>
                <w:rFonts w:ascii="Cambria" w:hAnsi="Cambria"/>
                <w:bCs/>
                <w:sz w:val="19"/>
                <w:szCs w:val="19"/>
                <w:lang w:val="es-ES"/>
              </w:rPr>
              <w:t>Sí</w:t>
            </w:r>
          </w:p>
        </w:tc>
      </w:tr>
      <w:tr w:rsidR="003239B8" w:rsidRPr="00F91D10" w14:paraId="30ABEC3E" w14:textId="77777777" w:rsidTr="0098674D">
        <w:trPr>
          <w:cantSplit/>
        </w:trPr>
        <w:tc>
          <w:tcPr>
            <w:tcW w:w="3150" w:type="dxa"/>
            <w:tcBorders>
              <w:top w:val="single" w:sz="6" w:space="0" w:color="auto"/>
              <w:bottom w:val="single" w:sz="6" w:space="0" w:color="auto"/>
            </w:tcBorders>
            <w:shd w:val="clear" w:color="auto" w:fill="386294"/>
            <w:vAlign w:val="center"/>
          </w:tcPr>
          <w:p w14:paraId="47B529D2" w14:textId="1451F640" w:rsidR="003239B8" w:rsidRPr="0098674D" w:rsidRDefault="0098674D" w:rsidP="00455D80">
            <w:pPr>
              <w:jc w:val="center"/>
              <w:rPr>
                <w:rFonts w:ascii="Cambria" w:hAnsi="Cambria"/>
                <w:b/>
                <w:color w:val="FFFFFF" w:themeColor="background1"/>
                <w:sz w:val="19"/>
                <w:szCs w:val="19"/>
                <w:lang w:val="es-ES"/>
              </w:rPr>
            </w:pPr>
            <w:r>
              <w:rPr>
                <w:rFonts w:ascii="Cambria" w:hAnsi="Cambria"/>
                <w:b/>
                <w:iCs/>
                <w:color w:val="FFFFFF" w:themeColor="background1"/>
                <w:sz w:val="19"/>
                <w:szCs w:val="19"/>
                <w:lang w:val="es-ES"/>
              </w:rPr>
              <w:t xml:space="preserve">Competencia </w:t>
            </w:r>
            <w:r w:rsidR="003239B8" w:rsidRPr="0098674D">
              <w:rPr>
                <w:rFonts w:ascii="Cambria" w:hAnsi="Cambria"/>
                <w:b/>
                <w:i/>
                <w:color w:val="FFFFFF" w:themeColor="background1"/>
                <w:sz w:val="19"/>
                <w:szCs w:val="19"/>
                <w:lang w:val="es-ES"/>
              </w:rPr>
              <w:t>Ratione materia</w:t>
            </w:r>
            <w:r w:rsidR="00EE00E9" w:rsidRPr="0098674D">
              <w:rPr>
                <w:rFonts w:ascii="Cambria" w:hAnsi="Cambria"/>
                <w:b/>
                <w:i/>
                <w:color w:val="FFFFFF" w:themeColor="background1"/>
                <w:sz w:val="19"/>
                <w:szCs w:val="19"/>
                <w:lang w:val="es-ES"/>
              </w:rPr>
              <w:t>e</w:t>
            </w:r>
          </w:p>
        </w:tc>
        <w:tc>
          <w:tcPr>
            <w:tcW w:w="6210" w:type="dxa"/>
            <w:vAlign w:val="center"/>
          </w:tcPr>
          <w:p w14:paraId="0C122F44" w14:textId="10C9CCA5" w:rsidR="003239B8" w:rsidRPr="0098674D" w:rsidRDefault="0098674D" w:rsidP="00455D80">
            <w:pPr>
              <w:jc w:val="both"/>
              <w:rPr>
                <w:rFonts w:ascii="Cambria" w:hAnsi="Cambria"/>
                <w:bCs/>
                <w:sz w:val="19"/>
                <w:szCs w:val="19"/>
                <w:lang w:val="es-419"/>
              </w:rPr>
            </w:pPr>
            <w:r w:rsidRPr="0098674D">
              <w:rPr>
                <w:rFonts w:ascii="Cambria" w:hAnsi="Cambria"/>
                <w:sz w:val="19"/>
                <w:szCs w:val="19"/>
                <w:lang w:val="es-419"/>
              </w:rPr>
              <w:t>Sí, Convención Americana (depósito de instrumento de ratificación realizado el 21 de octubre de 1977)</w:t>
            </w:r>
          </w:p>
        </w:tc>
      </w:tr>
    </w:tbl>
    <w:p w14:paraId="4E92C444" w14:textId="2D568359" w:rsidR="003239B8" w:rsidRPr="00006B74" w:rsidRDefault="003239B8" w:rsidP="00837634">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CARACTERIZACIÓN, </w:t>
      </w:r>
      <w:r w:rsidRPr="00006B74">
        <w:rPr>
          <w:rFonts w:asciiTheme="majorHAnsi" w:hAnsiTheme="majorHAnsi"/>
          <w:b/>
          <w:sz w:val="20"/>
          <w:szCs w:val="20"/>
          <w:lang w:val="es-ES"/>
        </w:rPr>
        <w:t>AGOTAMIENTO DE LOS RECURSOS INTERNOS Y PLAZO DE PRESENTACIÓN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150"/>
        <w:gridCol w:w="6210"/>
      </w:tblGrid>
      <w:tr w:rsidR="00EE00E9" w:rsidRPr="00E5203D" w14:paraId="1231C988" w14:textId="77777777" w:rsidTr="0098674D">
        <w:trPr>
          <w:cantSplit/>
        </w:trPr>
        <w:tc>
          <w:tcPr>
            <w:tcW w:w="3150" w:type="dxa"/>
            <w:tcBorders>
              <w:top w:val="single" w:sz="4" w:space="0" w:color="auto"/>
              <w:bottom w:val="single" w:sz="6" w:space="0" w:color="auto"/>
            </w:tcBorders>
            <w:shd w:val="clear" w:color="auto" w:fill="386294"/>
            <w:vAlign w:val="center"/>
          </w:tcPr>
          <w:p w14:paraId="6F8031F4" w14:textId="03D8D2D1" w:rsidR="00EE00E9" w:rsidRPr="0098674D" w:rsidRDefault="00EE00E9" w:rsidP="00954B82">
            <w:pPr>
              <w:jc w:val="center"/>
              <w:rPr>
                <w:rFonts w:ascii="Cambria" w:hAnsi="Cambria"/>
                <w:b/>
                <w:color w:val="FFFFFF" w:themeColor="background1"/>
                <w:sz w:val="19"/>
                <w:szCs w:val="19"/>
                <w:lang w:val="es-ES"/>
              </w:rPr>
            </w:pPr>
            <w:r w:rsidRPr="0098674D">
              <w:rPr>
                <w:rFonts w:ascii="Cambria" w:hAnsi="Cambria"/>
                <w:b/>
                <w:color w:val="FFFFFF" w:themeColor="background1"/>
                <w:sz w:val="19"/>
                <w:szCs w:val="19"/>
                <w:lang w:val="es-ES"/>
              </w:rPr>
              <w:t xml:space="preserve">Duplicación </w:t>
            </w:r>
            <w:r w:rsidR="00D77503" w:rsidRPr="0098674D">
              <w:rPr>
                <w:rFonts w:ascii="Cambria" w:hAnsi="Cambria"/>
                <w:b/>
                <w:color w:val="FFFFFF" w:themeColor="background1"/>
                <w:sz w:val="19"/>
                <w:szCs w:val="19"/>
                <w:lang w:val="es-ES"/>
              </w:rPr>
              <w:t>y cosa juzgada internacional</w:t>
            </w:r>
          </w:p>
        </w:tc>
        <w:tc>
          <w:tcPr>
            <w:tcW w:w="6210" w:type="dxa"/>
            <w:vAlign w:val="center"/>
          </w:tcPr>
          <w:p w14:paraId="240941E6" w14:textId="62118B20" w:rsidR="00EE00E9" w:rsidRPr="00006B74" w:rsidRDefault="00AB1C10" w:rsidP="00455D80">
            <w:pPr>
              <w:jc w:val="both"/>
              <w:rPr>
                <w:rFonts w:ascii="Cambria" w:hAnsi="Cambria"/>
                <w:bCs/>
                <w:sz w:val="19"/>
                <w:szCs w:val="19"/>
                <w:lang w:val="es-ES"/>
              </w:rPr>
            </w:pPr>
            <w:r>
              <w:rPr>
                <w:rFonts w:ascii="Cambria" w:hAnsi="Cambria"/>
                <w:bCs/>
                <w:sz w:val="19"/>
                <w:szCs w:val="19"/>
                <w:lang w:val="es-ES"/>
              </w:rPr>
              <w:t>No</w:t>
            </w:r>
          </w:p>
        </w:tc>
      </w:tr>
      <w:tr w:rsidR="003239B8" w:rsidRPr="00F91D10" w14:paraId="15FAA7D1" w14:textId="77777777" w:rsidTr="0098674D">
        <w:trPr>
          <w:cantSplit/>
        </w:trPr>
        <w:tc>
          <w:tcPr>
            <w:tcW w:w="3150" w:type="dxa"/>
            <w:tcBorders>
              <w:top w:val="single" w:sz="4" w:space="0" w:color="auto"/>
              <w:bottom w:val="single" w:sz="6" w:space="0" w:color="auto"/>
            </w:tcBorders>
            <w:shd w:val="clear" w:color="auto" w:fill="386294"/>
            <w:vAlign w:val="center"/>
          </w:tcPr>
          <w:p w14:paraId="1B0D29FF" w14:textId="4FE01870" w:rsidR="003239B8" w:rsidRPr="0098674D" w:rsidRDefault="003239B8" w:rsidP="00954B82">
            <w:pPr>
              <w:jc w:val="center"/>
              <w:rPr>
                <w:rFonts w:ascii="Cambria" w:hAnsi="Cambria"/>
                <w:b/>
                <w:i/>
                <w:color w:val="FFFFFF" w:themeColor="background1"/>
                <w:sz w:val="19"/>
                <w:szCs w:val="19"/>
                <w:lang w:val="es-ES"/>
              </w:rPr>
            </w:pPr>
            <w:r w:rsidRPr="0098674D">
              <w:rPr>
                <w:rFonts w:ascii="Cambria" w:hAnsi="Cambria"/>
                <w:b/>
                <w:color w:val="FFFFFF" w:themeColor="background1"/>
                <w:sz w:val="19"/>
                <w:szCs w:val="19"/>
                <w:lang w:val="es-ES"/>
              </w:rPr>
              <w:t>Derechos admi</w:t>
            </w:r>
            <w:r w:rsidR="00954B82" w:rsidRPr="0098674D">
              <w:rPr>
                <w:rFonts w:ascii="Cambria" w:hAnsi="Cambria"/>
                <w:b/>
                <w:color w:val="FFFFFF" w:themeColor="background1"/>
                <w:sz w:val="19"/>
                <w:szCs w:val="19"/>
                <w:lang w:val="es-ES"/>
              </w:rPr>
              <w:t>tidos</w:t>
            </w:r>
          </w:p>
        </w:tc>
        <w:tc>
          <w:tcPr>
            <w:tcW w:w="6210" w:type="dxa"/>
            <w:vAlign w:val="center"/>
          </w:tcPr>
          <w:p w14:paraId="6310C8F7" w14:textId="7E91F701" w:rsidR="003239B8" w:rsidRPr="00006B74" w:rsidRDefault="001404A7" w:rsidP="001479C0">
            <w:pPr>
              <w:jc w:val="both"/>
              <w:rPr>
                <w:rFonts w:ascii="Cambria" w:hAnsi="Cambria"/>
                <w:bCs/>
                <w:sz w:val="19"/>
                <w:szCs w:val="19"/>
                <w:lang w:val="es-ES"/>
              </w:rPr>
            </w:pPr>
            <w:r w:rsidRPr="0098674D">
              <w:rPr>
                <w:rFonts w:ascii="Cambria" w:hAnsi="Cambria"/>
                <w:bCs/>
                <w:sz w:val="19"/>
                <w:szCs w:val="19"/>
                <w:lang w:val="es-ES"/>
              </w:rPr>
              <w:t>Artículo 4 (derecho a la vida), 5 (derecho a la integridad personal), 7 (derecho a la libertad personal)</w:t>
            </w:r>
            <w:r>
              <w:rPr>
                <w:rFonts w:ascii="Cambria" w:hAnsi="Cambria"/>
                <w:bCs/>
                <w:sz w:val="19"/>
                <w:szCs w:val="19"/>
                <w:lang w:val="es-ES"/>
              </w:rPr>
              <w:t>, 8 (garantías judiciales) y 25 (protección judicial)</w:t>
            </w:r>
            <w:r w:rsidRPr="0098674D">
              <w:rPr>
                <w:rFonts w:ascii="Cambria" w:hAnsi="Cambria"/>
                <w:bCs/>
                <w:sz w:val="19"/>
                <w:szCs w:val="19"/>
                <w:lang w:val="es-ES"/>
              </w:rPr>
              <w:t xml:space="preserve"> de la Convención Americana </w:t>
            </w:r>
            <w:r>
              <w:rPr>
                <w:rFonts w:ascii="Cambria" w:hAnsi="Cambria"/>
                <w:bCs/>
                <w:sz w:val="19"/>
                <w:szCs w:val="19"/>
                <w:lang w:val="es-ES"/>
              </w:rPr>
              <w:t>en relación con el artículo 1.1 del mismo instrumento</w:t>
            </w:r>
          </w:p>
        </w:tc>
      </w:tr>
      <w:tr w:rsidR="003239B8" w:rsidRPr="00F91D10" w14:paraId="4EFD141E" w14:textId="77777777" w:rsidTr="008959F4">
        <w:trPr>
          <w:cantSplit/>
          <w:trHeight w:val="192"/>
        </w:trPr>
        <w:tc>
          <w:tcPr>
            <w:tcW w:w="3150" w:type="dxa"/>
            <w:tcBorders>
              <w:top w:val="single" w:sz="6" w:space="0" w:color="auto"/>
              <w:bottom w:val="single" w:sz="6" w:space="0" w:color="auto"/>
            </w:tcBorders>
            <w:shd w:val="clear" w:color="auto" w:fill="386294"/>
            <w:vAlign w:val="center"/>
          </w:tcPr>
          <w:p w14:paraId="4C04A89C" w14:textId="11DC3DBE" w:rsidR="003239B8" w:rsidRPr="0098674D" w:rsidRDefault="003239B8" w:rsidP="00D77503">
            <w:pPr>
              <w:jc w:val="center"/>
              <w:rPr>
                <w:rFonts w:ascii="Cambria" w:hAnsi="Cambria"/>
                <w:b/>
                <w:color w:val="FFFFFF" w:themeColor="background1"/>
                <w:sz w:val="19"/>
                <w:szCs w:val="19"/>
                <w:lang w:val="es-ES"/>
              </w:rPr>
            </w:pPr>
            <w:r w:rsidRPr="0098674D">
              <w:rPr>
                <w:rFonts w:ascii="Cambria" w:hAnsi="Cambria"/>
                <w:b/>
                <w:color w:val="FFFFFF" w:themeColor="background1"/>
                <w:sz w:val="19"/>
                <w:szCs w:val="19"/>
                <w:lang w:val="es-ES"/>
              </w:rPr>
              <w:t xml:space="preserve">Agotamiento de recursos </w:t>
            </w:r>
            <w:r w:rsidR="00D77503" w:rsidRPr="0098674D">
              <w:rPr>
                <w:rFonts w:ascii="Cambria" w:hAnsi="Cambria"/>
                <w:b/>
                <w:color w:val="FFFFFF" w:themeColor="background1"/>
                <w:sz w:val="19"/>
                <w:szCs w:val="19"/>
                <w:lang w:val="es-ES"/>
              </w:rPr>
              <w:t>o procedencia de una excepción</w:t>
            </w:r>
          </w:p>
        </w:tc>
        <w:tc>
          <w:tcPr>
            <w:tcW w:w="6210" w:type="dxa"/>
            <w:vAlign w:val="center"/>
          </w:tcPr>
          <w:p w14:paraId="69C53E8A" w14:textId="69B06D86" w:rsidR="003239B8" w:rsidRPr="001404A7" w:rsidRDefault="001404A7" w:rsidP="00BB3FBD">
            <w:pPr>
              <w:rPr>
                <w:rFonts w:ascii="Cambria" w:hAnsi="Cambria"/>
                <w:bCs/>
                <w:sz w:val="19"/>
                <w:szCs w:val="19"/>
                <w:lang w:val="es-419"/>
              </w:rPr>
            </w:pPr>
            <w:r w:rsidRPr="001404A7">
              <w:rPr>
                <w:rFonts w:ascii="Cambria" w:hAnsi="Cambria"/>
                <w:sz w:val="19"/>
                <w:szCs w:val="19"/>
                <w:lang w:val="es-419"/>
              </w:rPr>
              <w:t>Sí, en los términos de la sección VI</w:t>
            </w:r>
          </w:p>
        </w:tc>
      </w:tr>
      <w:tr w:rsidR="003239B8" w:rsidRPr="00F91D10" w14:paraId="52B5BA17" w14:textId="77777777" w:rsidTr="0098674D">
        <w:trPr>
          <w:cantSplit/>
        </w:trPr>
        <w:tc>
          <w:tcPr>
            <w:tcW w:w="3150" w:type="dxa"/>
            <w:tcBorders>
              <w:top w:val="single" w:sz="6" w:space="0" w:color="auto"/>
              <w:bottom w:val="single" w:sz="6" w:space="0" w:color="auto"/>
            </w:tcBorders>
            <w:shd w:val="clear" w:color="auto" w:fill="386294"/>
            <w:vAlign w:val="center"/>
          </w:tcPr>
          <w:p w14:paraId="5DF99086" w14:textId="392A0ECF" w:rsidR="003239B8" w:rsidRPr="0098674D" w:rsidRDefault="00D77503" w:rsidP="00455D80">
            <w:pPr>
              <w:jc w:val="center"/>
              <w:rPr>
                <w:rFonts w:ascii="Cambria" w:hAnsi="Cambria"/>
                <w:b/>
                <w:color w:val="FFFFFF" w:themeColor="background1"/>
                <w:sz w:val="19"/>
                <w:szCs w:val="19"/>
                <w:lang w:val="es-ES"/>
              </w:rPr>
            </w:pPr>
            <w:r w:rsidRPr="0098674D">
              <w:rPr>
                <w:rFonts w:ascii="Cambria" w:hAnsi="Cambria"/>
                <w:b/>
                <w:color w:val="FFFFFF" w:themeColor="background1"/>
                <w:sz w:val="19"/>
                <w:szCs w:val="19"/>
                <w:lang w:val="es-ES"/>
              </w:rPr>
              <w:t>Presentación dentro de plazo</w:t>
            </w:r>
          </w:p>
        </w:tc>
        <w:tc>
          <w:tcPr>
            <w:tcW w:w="6210" w:type="dxa"/>
            <w:vAlign w:val="center"/>
          </w:tcPr>
          <w:p w14:paraId="4A2A4569" w14:textId="7A5D6D86" w:rsidR="003239B8" w:rsidRPr="001404A7" w:rsidRDefault="001404A7" w:rsidP="00455D80">
            <w:pPr>
              <w:rPr>
                <w:rFonts w:ascii="Cambria" w:hAnsi="Cambria"/>
                <w:bCs/>
                <w:sz w:val="19"/>
                <w:szCs w:val="19"/>
                <w:lang w:val="es-419"/>
              </w:rPr>
            </w:pPr>
            <w:r w:rsidRPr="001404A7">
              <w:rPr>
                <w:rFonts w:ascii="Cambria" w:hAnsi="Cambria"/>
                <w:sz w:val="19"/>
                <w:szCs w:val="19"/>
                <w:lang w:val="es-419"/>
              </w:rPr>
              <w:t>Sí, en los términos de la sección VI</w:t>
            </w:r>
          </w:p>
        </w:tc>
      </w:tr>
    </w:tbl>
    <w:p w14:paraId="7AB29054" w14:textId="77777777" w:rsidR="007222BF" w:rsidRDefault="007222BF" w:rsidP="00C7480B">
      <w:pPr>
        <w:ind w:firstLine="720"/>
        <w:jc w:val="both"/>
        <w:rPr>
          <w:rFonts w:asciiTheme="majorHAnsi" w:hAnsiTheme="majorHAnsi"/>
          <w:b/>
          <w:sz w:val="20"/>
          <w:szCs w:val="20"/>
          <w:lang w:val="es-ES"/>
        </w:rPr>
      </w:pPr>
    </w:p>
    <w:p w14:paraId="18E6423B" w14:textId="32156AE5" w:rsidR="003239B8" w:rsidRPr="00006B74" w:rsidRDefault="00223A29" w:rsidP="00C7480B">
      <w:pPr>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HECHOS ALEGADOS</w:t>
      </w:r>
    </w:p>
    <w:p w14:paraId="5B7CE41B" w14:textId="77777777" w:rsidR="007222BF" w:rsidRDefault="007222BF" w:rsidP="007222B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419"/>
        </w:rPr>
      </w:pPr>
    </w:p>
    <w:p w14:paraId="2032AF2E" w14:textId="22891638" w:rsidR="00E5203D" w:rsidRPr="00837634" w:rsidRDefault="007222BF"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r>
        <w:rPr>
          <w:rFonts w:ascii="Cambria" w:hAnsi="Cambria"/>
          <w:sz w:val="20"/>
          <w:szCs w:val="20"/>
          <w:lang w:val="es-419"/>
        </w:rPr>
        <w:t xml:space="preserve">El peticionario denuncia </w:t>
      </w:r>
      <w:r w:rsidR="008959F4" w:rsidRPr="00933DA1">
        <w:rPr>
          <w:rFonts w:ascii="Cambria" w:hAnsi="Cambria"/>
          <w:sz w:val="20"/>
          <w:szCs w:val="20"/>
          <w:lang w:val="es-419"/>
        </w:rPr>
        <w:t xml:space="preserve">la responsabilidad internacional del Estado ecuatoriano </w:t>
      </w:r>
      <w:r w:rsidR="00BC00A1" w:rsidRPr="00933DA1">
        <w:rPr>
          <w:rFonts w:ascii="Cambria" w:hAnsi="Cambria"/>
          <w:sz w:val="20"/>
          <w:szCs w:val="20"/>
          <w:lang w:val="es-419"/>
        </w:rPr>
        <w:t xml:space="preserve">en relación con </w:t>
      </w:r>
      <w:r w:rsidR="008959F4" w:rsidRPr="00933DA1">
        <w:rPr>
          <w:rFonts w:ascii="Cambria" w:hAnsi="Cambria"/>
          <w:sz w:val="20"/>
          <w:szCs w:val="20"/>
          <w:lang w:val="es-419"/>
        </w:rPr>
        <w:t xml:space="preserve">la muerte de Wilson Arley Idarraga García (en adelante “la presunta víctima”) </w:t>
      </w:r>
      <w:r w:rsidR="00BC00A1" w:rsidRPr="00933DA1">
        <w:rPr>
          <w:rFonts w:ascii="Cambria" w:hAnsi="Cambria" w:cs="Arial"/>
          <w:sz w:val="20"/>
          <w:szCs w:val="20"/>
          <w:lang w:val="es-419" w:eastAsia="es-ES"/>
        </w:rPr>
        <w:t xml:space="preserve">bajo extrañas circunstancias </w:t>
      </w:r>
      <w:r w:rsidR="008959F4" w:rsidRPr="00933DA1">
        <w:rPr>
          <w:rFonts w:ascii="Cambria" w:hAnsi="Cambria"/>
          <w:sz w:val="20"/>
          <w:szCs w:val="20"/>
          <w:lang w:val="es-419"/>
        </w:rPr>
        <w:t>el 12 de agosto de 2011</w:t>
      </w:r>
      <w:r>
        <w:rPr>
          <w:rFonts w:ascii="Cambria" w:hAnsi="Cambria"/>
          <w:sz w:val="20"/>
          <w:szCs w:val="20"/>
          <w:lang w:val="es-419"/>
        </w:rPr>
        <w:t>,</w:t>
      </w:r>
      <w:r w:rsidR="008959F4" w:rsidRPr="00933DA1">
        <w:rPr>
          <w:rFonts w:ascii="Cambria" w:hAnsi="Cambria"/>
          <w:sz w:val="20"/>
          <w:szCs w:val="20"/>
          <w:lang w:val="es-419"/>
        </w:rPr>
        <w:t xml:space="preserve"> mientras se encontraba </w:t>
      </w:r>
      <w:r w:rsidR="00BC00A1" w:rsidRPr="00933DA1">
        <w:rPr>
          <w:rFonts w:ascii="Cambria" w:hAnsi="Cambria"/>
          <w:sz w:val="20"/>
          <w:szCs w:val="20"/>
          <w:lang w:val="es-419"/>
        </w:rPr>
        <w:t xml:space="preserve">arbitrariamente </w:t>
      </w:r>
      <w:r>
        <w:rPr>
          <w:rFonts w:ascii="Cambria" w:hAnsi="Cambria"/>
          <w:sz w:val="20"/>
          <w:szCs w:val="20"/>
          <w:lang w:val="es-419"/>
        </w:rPr>
        <w:t xml:space="preserve">privado de libertad </w:t>
      </w:r>
      <w:r w:rsidR="008959F4" w:rsidRPr="00933DA1">
        <w:rPr>
          <w:rFonts w:ascii="Cambria" w:hAnsi="Cambria"/>
          <w:sz w:val="20"/>
          <w:szCs w:val="20"/>
          <w:lang w:val="es-419"/>
        </w:rPr>
        <w:t xml:space="preserve">en el Centro de Detención Provisional de Ibarra, en la provincia de Imbabura. </w:t>
      </w:r>
      <w:r>
        <w:rPr>
          <w:rFonts w:ascii="Cambria" w:hAnsi="Cambria"/>
          <w:sz w:val="20"/>
          <w:szCs w:val="20"/>
          <w:lang w:val="es-419"/>
        </w:rPr>
        <w:t>S</w:t>
      </w:r>
      <w:r w:rsidR="008959F4" w:rsidRPr="00933DA1">
        <w:rPr>
          <w:rFonts w:ascii="Cambria" w:hAnsi="Cambria"/>
          <w:sz w:val="20"/>
          <w:szCs w:val="20"/>
          <w:lang w:val="es-419"/>
        </w:rPr>
        <w:t xml:space="preserve">ostiene que la presunta víctima, de nacionalidad colombiana, </w:t>
      </w:r>
      <w:r w:rsidR="00E5203D" w:rsidRPr="00933DA1">
        <w:rPr>
          <w:rFonts w:ascii="Cambria" w:hAnsi="Cambria"/>
          <w:sz w:val="20"/>
          <w:szCs w:val="20"/>
          <w:lang w:val="es-419"/>
        </w:rPr>
        <w:t xml:space="preserve">se encontraba residiendo en </w:t>
      </w:r>
      <w:r w:rsidR="008959F4" w:rsidRPr="00933DA1">
        <w:rPr>
          <w:rFonts w:ascii="Cambria" w:hAnsi="Cambria"/>
          <w:sz w:val="20"/>
          <w:szCs w:val="20"/>
          <w:lang w:val="es-419"/>
        </w:rPr>
        <w:t xml:space="preserve">Ecuador </w:t>
      </w:r>
      <w:r w:rsidR="00E5203D" w:rsidRPr="00933DA1">
        <w:rPr>
          <w:rFonts w:ascii="Cambria" w:hAnsi="Cambria"/>
          <w:sz w:val="20"/>
          <w:szCs w:val="20"/>
          <w:lang w:val="es-419"/>
        </w:rPr>
        <w:t xml:space="preserve">en calidad de refugiado </w:t>
      </w:r>
      <w:r w:rsidR="00547D9E">
        <w:rPr>
          <w:rFonts w:ascii="Cambria" w:hAnsi="Cambria"/>
          <w:sz w:val="20"/>
          <w:szCs w:val="20"/>
          <w:lang w:val="es-419"/>
        </w:rPr>
        <w:t xml:space="preserve">por más </w:t>
      </w:r>
      <w:r w:rsidR="00E5203D" w:rsidRPr="00933DA1">
        <w:rPr>
          <w:rFonts w:ascii="Cambria" w:hAnsi="Cambria"/>
          <w:sz w:val="20"/>
          <w:szCs w:val="20"/>
          <w:lang w:val="es-419"/>
        </w:rPr>
        <w:t>de cinco años</w:t>
      </w:r>
      <w:r w:rsidR="00B3097A" w:rsidRPr="00933DA1">
        <w:rPr>
          <w:rFonts w:ascii="Cambria" w:hAnsi="Cambria"/>
          <w:sz w:val="20"/>
          <w:szCs w:val="20"/>
          <w:lang w:val="es-419"/>
        </w:rPr>
        <w:t>. Asimismo, d</w:t>
      </w:r>
      <w:r w:rsidR="008959F4" w:rsidRPr="00933DA1">
        <w:rPr>
          <w:rFonts w:ascii="Cambria" w:hAnsi="Cambria" w:cs="Arial"/>
          <w:sz w:val="20"/>
          <w:szCs w:val="20"/>
          <w:lang w:val="es-419" w:eastAsia="es-ES"/>
        </w:rPr>
        <w:t>etalla que</w:t>
      </w:r>
      <w:r w:rsidR="00933DA1" w:rsidRPr="00933DA1">
        <w:rPr>
          <w:rFonts w:ascii="Cambria" w:hAnsi="Cambria" w:cs="Arial"/>
          <w:sz w:val="20"/>
          <w:szCs w:val="20"/>
          <w:lang w:val="es-419" w:eastAsia="es-ES"/>
        </w:rPr>
        <w:t xml:space="preserve"> la familia de la presunta víctima no tiene información específica sobre los resultados que h</w:t>
      </w:r>
      <w:r w:rsidR="00547D9E">
        <w:rPr>
          <w:rFonts w:ascii="Cambria" w:hAnsi="Cambria" w:cs="Arial"/>
          <w:sz w:val="20"/>
          <w:szCs w:val="20"/>
          <w:lang w:val="es-419" w:eastAsia="es-ES"/>
        </w:rPr>
        <w:t>ubieran</w:t>
      </w:r>
      <w:r w:rsidR="00933DA1" w:rsidRPr="00933DA1">
        <w:rPr>
          <w:rFonts w:ascii="Cambria" w:hAnsi="Cambria" w:cs="Arial"/>
          <w:sz w:val="20"/>
          <w:szCs w:val="20"/>
          <w:lang w:val="es-419" w:eastAsia="es-ES"/>
        </w:rPr>
        <w:t xml:space="preserve"> podido arrojar las investigaciones pertinentes en el marco de un juicio penal o disciplinario.</w:t>
      </w:r>
      <w:r w:rsidR="008959F4" w:rsidRPr="00933DA1">
        <w:rPr>
          <w:rFonts w:ascii="Cambria" w:hAnsi="Cambria" w:cs="Arial"/>
          <w:sz w:val="20"/>
          <w:szCs w:val="20"/>
          <w:lang w:val="es-419" w:eastAsia="es-ES"/>
        </w:rPr>
        <w:t xml:space="preserve"> </w:t>
      </w:r>
    </w:p>
    <w:p w14:paraId="1036627C" w14:textId="77777777" w:rsidR="00837634" w:rsidRPr="00933DA1" w:rsidRDefault="00837634" w:rsidP="0083763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419"/>
        </w:rPr>
      </w:pPr>
    </w:p>
    <w:p w14:paraId="6C7874E6" w14:textId="0785F7A1" w:rsidR="00E5203D" w:rsidRPr="00933DA1" w:rsidRDefault="00B3097A"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r w:rsidRPr="00933DA1">
        <w:rPr>
          <w:rFonts w:ascii="Cambria" w:hAnsi="Cambria"/>
          <w:sz w:val="20"/>
          <w:szCs w:val="20"/>
          <w:lang w:val="es-419"/>
        </w:rPr>
        <w:t xml:space="preserve">En concreto, </w:t>
      </w:r>
      <w:r w:rsidR="00547D9E">
        <w:rPr>
          <w:rFonts w:ascii="Cambria" w:hAnsi="Cambria"/>
          <w:sz w:val="20"/>
          <w:szCs w:val="20"/>
          <w:lang w:val="es-419"/>
        </w:rPr>
        <w:t>el</w:t>
      </w:r>
      <w:r w:rsidR="008959F4" w:rsidRPr="00933DA1">
        <w:rPr>
          <w:rFonts w:ascii="Cambria" w:hAnsi="Cambria"/>
          <w:sz w:val="20"/>
          <w:szCs w:val="20"/>
          <w:lang w:val="es-419"/>
        </w:rPr>
        <w:t xml:space="preserve"> peticionari</w:t>
      </w:r>
      <w:r w:rsidR="00547D9E">
        <w:rPr>
          <w:rFonts w:ascii="Cambria" w:hAnsi="Cambria"/>
          <w:sz w:val="20"/>
          <w:szCs w:val="20"/>
          <w:lang w:val="es-419"/>
        </w:rPr>
        <w:t>o</w:t>
      </w:r>
      <w:r w:rsidR="008959F4" w:rsidRPr="00933DA1">
        <w:rPr>
          <w:rFonts w:ascii="Cambria" w:hAnsi="Cambria"/>
          <w:sz w:val="20"/>
          <w:szCs w:val="20"/>
          <w:lang w:val="es-419"/>
        </w:rPr>
        <w:t xml:space="preserve"> argumenta que la presunta víctima fue </w:t>
      </w:r>
      <w:r w:rsidR="00E5203D" w:rsidRPr="00933DA1">
        <w:rPr>
          <w:rFonts w:ascii="Cambria" w:hAnsi="Cambria"/>
          <w:sz w:val="20"/>
          <w:szCs w:val="20"/>
          <w:lang w:val="es-419"/>
        </w:rPr>
        <w:t>detenid</w:t>
      </w:r>
      <w:r w:rsidR="008959F4" w:rsidRPr="00933DA1">
        <w:rPr>
          <w:rFonts w:ascii="Cambria" w:hAnsi="Cambria"/>
          <w:sz w:val="20"/>
          <w:szCs w:val="20"/>
          <w:lang w:val="es-419"/>
        </w:rPr>
        <w:t xml:space="preserve">a </w:t>
      </w:r>
      <w:r w:rsidR="000667FF" w:rsidRPr="00933DA1">
        <w:rPr>
          <w:rFonts w:ascii="Cambria" w:hAnsi="Cambria"/>
          <w:sz w:val="20"/>
          <w:szCs w:val="20"/>
          <w:lang w:val="es-419"/>
        </w:rPr>
        <w:t xml:space="preserve">por agentes de la Policía Nacional </w:t>
      </w:r>
      <w:r w:rsidR="008959F4" w:rsidRPr="00933DA1">
        <w:rPr>
          <w:rFonts w:ascii="Cambria" w:hAnsi="Cambria"/>
          <w:sz w:val="20"/>
          <w:szCs w:val="20"/>
          <w:lang w:val="es-419"/>
        </w:rPr>
        <w:t xml:space="preserve">el 8 de agosto de 2011 </w:t>
      </w:r>
      <w:r w:rsidR="000667FF" w:rsidRPr="00933DA1">
        <w:rPr>
          <w:rFonts w:ascii="Cambria" w:hAnsi="Cambria"/>
          <w:sz w:val="20"/>
          <w:szCs w:val="20"/>
          <w:lang w:val="es-419"/>
        </w:rPr>
        <w:t xml:space="preserve">en la vía pública </w:t>
      </w:r>
      <w:r w:rsidRPr="00933DA1">
        <w:rPr>
          <w:rFonts w:ascii="Cambria" w:hAnsi="Cambria"/>
          <w:sz w:val="20"/>
          <w:szCs w:val="20"/>
          <w:lang w:val="es-419"/>
        </w:rPr>
        <w:t xml:space="preserve">tras </w:t>
      </w:r>
      <w:r w:rsidR="000667FF" w:rsidRPr="00933DA1">
        <w:rPr>
          <w:rFonts w:ascii="Cambria" w:hAnsi="Cambria"/>
          <w:sz w:val="20"/>
          <w:szCs w:val="20"/>
          <w:lang w:val="es-419"/>
        </w:rPr>
        <w:t>haber cometido “</w:t>
      </w:r>
      <w:r w:rsidR="00D95D47" w:rsidRPr="00933DA1">
        <w:rPr>
          <w:rFonts w:ascii="Cambria" w:hAnsi="Cambria"/>
          <w:sz w:val="20"/>
          <w:szCs w:val="20"/>
          <w:lang w:val="es-419"/>
        </w:rPr>
        <w:t>escándalo público</w:t>
      </w:r>
      <w:r w:rsidR="000667FF" w:rsidRPr="00933DA1">
        <w:rPr>
          <w:rFonts w:ascii="Cambria" w:hAnsi="Cambria"/>
          <w:sz w:val="20"/>
          <w:szCs w:val="20"/>
          <w:lang w:val="es-419"/>
        </w:rPr>
        <w:t xml:space="preserve">”. </w:t>
      </w:r>
      <w:r w:rsidR="00E5203D" w:rsidRPr="00933DA1">
        <w:rPr>
          <w:rFonts w:ascii="Cambria" w:hAnsi="Cambria"/>
          <w:sz w:val="20"/>
          <w:szCs w:val="20"/>
          <w:lang w:val="es-419"/>
        </w:rPr>
        <w:t xml:space="preserve"> </w:t>
      </w:r>
      <w:r w:rsidRPr="00933DA1">
        <w:rPr>
          <w:rFonts w:ascii="Cambria" w:hAnsi="Cambria"/>
          <w:sz w:val="20"/>
          <w:szCs w:val="20"/>
          <w:lang w:val="es-419"/>
        </w:rPr>
        <w:t>S</w:t>
      </w:r>
      <w:r w:rsidR="000667FF" w:rsidRPr="00933DA1">
        <w:rPr>
          <w:rFonts w:ascii="Cambria" w:hAnsi="Cambria"/>
          <w:sz w:val="20"/>
          <w:szCs w:val="20"/>
          <w:lang w:val="es-419"/>
        </w:rPr>
        <w:t>ostiene que</w:t>
      </w:r>
      <w:r w:rsidRPr="00933DA1">
        <w:rPr>
          <w:rFonts w:ascii="Cambria" w:hAnsi="Cambria"/>
          <w:sz w:val="20"/>
          <w:szCs w:val="20"/>
          <w:lang w:val="es-419"/>
        </w:rPr>
        <w:t xml:space="preserve"> </w:t>
      </w:r>
      <w:r w:rsidR="000667FF" w:rsidRPr="00933DA1">
        <w:rPr>
          <w:rFonts w:ascii="Cambria" w:hAnsi="Cambria"/>
          <w:sz w:val="20"/>
          <w:szCs w:val="20"/>
          <w:lang w:val="es-419"/>
        </w:rPr>
        <w:lastRenderedPageBreak/>
        <w:t>la presunta víctima falleció el</w:t>
      </w:r>
      <w:r w:rsidR="00E5203D" w:rsidRPr="00933DA1">
        <w:rPr>
          <w:rFonts w:ascii="Cambria" w:hAnsi="Cambria"/>
          <w:sz w:val="20"/>
          <w:szCs w:val="20"/>
          <w:lang w:val="es-419"/>
        </w:rPr>
        <w:t xml:space="preserve"> 12 de </w:t>
      </w:r>
      <w:r w:rsidR="000667FF" w:rsidRPr="00933DA1">
        <w:rPr>
          <w:rFonts w:ascii="Cambria" w:hAnsi="Cambria"/>
          <w:sz w:val="20"/>
          <w:szCs w:val="20"/>
          <w:lang w:val="es-419"/>
        </w:rPr>
        <w:t>a</w:t>
      </w:r>
      <w:r w:rsidR="00E5203D" w:rsidRPr="00933DA1">
        <w:rPr>
          <w:rFonts w:ascii="Cambria" w:hAnsi="Cambria"/>
          <w:sz w:val="20"/>
          <w:szCs w:val="20"/>
          <w:lang w:val="es-419"/>
        </w:rPr>
        <w:t>gosto de 2011</w:t>
      </w:r>
      <w:r w:rsidR="000667FF" w:rsidRPr="00933DA1">
        <w:rPr>
          <w:rFonts w:ascii="Cambria" w:hAnsi="Cambria"/>
          <w:sz w:val="20"/>
          <w:szCs w:val="20"/>
          <w:lang w:val="es-419"/>
        </w:rPr>
        <w:t xml:space="preserve"> </w:t>
      </w:r>
      <w:r w:rsidR="00894533" w:rsidRPr="00933DA1">
        <w:rPr>
          <w:rFonts w:ascii="Cambria" w:hAnsi="Cambria"/>
          <w:sz w:val="20"/>
          <w:szCs w:val="20"/>
          <w:lang w:val="es-419"/>
        </w:rPr>
        <w:t xml:space="preserve">mientras estaba bajo custodia del Estado </w:t>
      </w:r>
      <w:r w:rsidR="00E5203D" w:rsidRPr="00933DA1">
        <w:rPr>
          <w:rFonts w:ascii="Cambria" w:hAnsi="Cambria"/>
          <w:sz w:val="20"/>
          <w:szCs w:val="20"/>
          <w:lang w:val="es-419"/>
        </w:rPr>
        <w:t xml:space="preserve">en el </w:t>
      </w:r>
      <w:r w:rsidR="00894533">
        <w:rPr>
          <w:rFonts w:ascii="Cambria" w:hAnsi="Cambria"/>
          <w:sz w:val="20"/>
          <w:szCs w:val="20"/>
          <w:lang w:val="es-419"/>
        </w:rPr>
        <w:t xml:space="preserve">referido </w:t>
      </w:r>
      <w:r w:rsidR="00E5203D" w:rsidRPr="00933DA1">
        <w:rPr>
          <w:rFonts w:ascii="Cambria" w:hAnsi="Cambria"/>
          <w:sz w:val="20"/>
          <w:szCs w:val="20"/>
          <w:lang w:val="es-419"/>
        </w:rPr>
        <w:t>centro de detención</w:t>
      </w:r>
      <w:r w:rsidRPr="00933DA1">
        <w:rPr>
          <w:rFonts w:ascii="Cambria" w:hAnsi="Cambria"/>
          <w:sz w:val="20"/>
          <w:szCs w:val="20"/>
          <w:lang w:val="es-419"/>
        </w:rPr>
        <w:t xml:space="preserve">. </w:t>
      </w:r>
      <w:r w:rsidR="00894533">
        <w:rPr>
          <w:rFonts w:ascii="Cambria" w:hAnsi="Cambria"/>
          <w:sz w:val="20"/>
          <w:szCs w:val="20"/>
          <w:lang w:val="es-419"/>
        </w:rPr>
        <w:t>De</w:t>
      </w:r>
      <w:r w:rsidR="00933DA1" w:rsidRPr="00933DA1">
        <w:rPr>
          <w:rFonts w:ascii="Cambria" w:hAnsi="Cambria"/>
          <w:sz w:val="20"/>
          <w:szCs w:val="20"/>
          <w:lang w:val="es-419"/>
        </w:rPr>
        <w:t xml:space="preserve"> acuerdo con </w:t>
      </w:r>
      <w:r w:rsidR="000667FF" w:rsidRPr="00933DA1">
        <w:rPr>
          <w:rFonts w:ascii="Cambria" w:hAnsi="Cambria"/>
          <w:sz w:val="20"/>
          <w:szCs w:val="20"/>
          <w:lang w:val="es-419"/>
        </w:rPr>
        <w:t>las explicaciones iniciales dadas a conocidos de la presunta víctima</w:t>
      </w:r>
      <w:r w:rsidR="00933DA1" w:rsidRPr="00933DA1">
        <w:rPr>
          <w:rFonts w:ascii="Cambria" w:hAnsi="Cambria"/>
          <w:sz w:val="20"/>
          <w:szCs w:val="20"/>
          <w:lang w:val="es-419"/>
        </w:rPr>
        <w:t>,</w:t>
      </w:r>
      <w:r w:rsidRPr="00933DA1">
        <w:rPr>
          <w:rFonts w:ascii="Cambria" w:hAnsi="Cambria"/>
          <w:sz w:val="20"/>
          <w:szCs w:val="20"/>
          <w:lang w:val="es-419"/>
        </w:rPr>
        <w:t xml:space="preserve"> </w:t>
      </w:r>
      <w:r w:rsidR="00933DA1" w:rsidRPr="00933DA1">
        <w:rPr>
          <w:rFonts w:ascii="Cambria" w:hAnsi="Cambria"/>
          <w:sz w:val="20"/>
          <w:szCs w:val="20"/>
          <w:lang w:val="es-419"/>
        </w:rPr>
        <w:t>la</w:t>
      </w:r>
      <w:r w:rsidRPr="00933DA1">
        <w:rPr>
          <w:rFonts w:ascii="Cambria" w:hAnsi="Cambria"/>
          <w:sz w:val="20"/>
          <w:szCs w:val="20"/>
          <w:lang w:val="es-419"/>
        </w:rPr>
        <w:t xml:space="preserve"> causa de muerte </w:t>
      </w:r>
      <w:r w:rsidR="00933DA1" w:rsidRPr="00933DA1">
        <w:rPr>
          <w:rFonts w:ascii="Cambria" w:hAnsi="Cambria"/>
          <w:sz w:val="20"/>
          <w:szCs w:val="20"/>
          <w:lang w:val="es-419"/>
        </w:rPr>
        <w:t xml:space="preserve">fue </w:t>
      </w:r>
      <w:r w:rsidRPr="00933DA1">
        <w:rPr>
          <w:rFonts w:ascii="Cambria" w:hAnsi="Cambria"/>
          <w:sz w:val="20"/>
          <w:szCs w:val="20"/>
          <w:lang w:val="es-419"/>
        </w:rPr>
        <w:t xml:space="preserve">un </w:t>
      </w:r>
      <w:r w:rsidR="00E5203D" w:rsidRPr="00933DA1">
        <w:rPr>
          <w:rFonts w:ascii="Cambria" w:hAnsi="Cambria"/>
          <w:sz w:val="20"/>
          <w:szCs w:val="20"/>
          <w:lang w:val="es-419"/>
        </w:rPr>
        <w:t>paro cardiaco</w:t>
      </w:r>
      <w:r w:rsidR="00894533">
        <w:rPr>
          <w:rFonts w:ascii="Cambria" w:hAnsi="Cambria"/>
          <w:sz w:val="20"/>
          <w:szCs w:val="20"/>
          <w:lang w:val="es-419"/>
        </w:rPr>
        <w:t>;</w:t>
      </w:r>
      <w:r w:rsidRPr="00933DA1">
        <w:rPr>
          <w:rFonts w:ascii="Cambria" w:hAnsi="Cambria"/>
          <w:sz w:val="20"/>
          <w:szCs w:val="20"/>
          <w:lang w:val="es-419"/>
        </w:rPr>
        <w:t xml:space="preserve"> sin embargo, posteriormente se determinó</w:t>
      </w:r>
      <w:r w:rsidR="00933DA1" w:rsidRPr="00933DA1">
        <w:rPr>
          <w:rFonts w:ascii="Cambria" w:hAnsi="Cambria"/>
          <w:sz w:val="20"/>
          <w:szCs w:val="20"/>
          <w:lang w:val="es-419"/>
        </w:rPr>
        <w:t xml:space="preserve"> </w:t>
      </w:r>
      <w:r w:rsidRPr="00933DA1">
        <w:rPr>
          <w:rFonts w:ascii="Cambria" w:hAnsi="Cambria"/>
          <w:sz w:val="20"/>
          <w:szCs w:val="20"/>
          <w:lang w:val="es-419"/>
        </w:rPr>
        <w:t xml:space="preserve">con el certificado médico de defunción </w:t>
      </w:r>
      <w:r w:rsidR="000667FF" w:rsidRPr="00933DA1">
        <w:rPr>
          <w:rFonts w:ascii="Cambria" w:hAnsi="Cambria"/>
          <w:sz w:val="20"/>
          <w:szCs w:val="20"/>
          <w:lang w:val="es-419"/>
        </w:rPr>
        <w:t xml:space="preserve">que falleció </w:t>
      </w:r>
      <w:r w:rsidR="00E5203D" w:rsidRPr="00933DA1">
        <w:rPr>
          <w:rFonts w:ascii="Cambria" w:hAnsi="Cambria"/>
          <w:sz w:val="20"/>
          <w:szCs w:val="20"/>
          <w:lang w:val="es-419"/>
        </w:rPr>
        <w:t>a causa de un traumatismo craneoencefálico</w:t>
      </w:r>
      <w:r w:rsidRPr="00933DA1">
        <w:rPr>
          <w:rFonts w:ascii="Cambria" w:hAnsi="Cambria"/>
          <w:sz w:val="20"/>
          <w:szCs w:val="20"/>
          <w:lang w:val="es-419"/>
        </w:rPr>
        <w:t xml:space="preserve"> y </w:t>
      </w:r>
      <w:r w:rsidR="00894533">
        <w:rPr>
          <w:rFonts w:ascii="Cambria" w:hAnsi="Cambria"/>
          <w:sz w:val="20"/>
          <w:szCs w:val="20"/>
          <w:lang w:val="es-419"/>
        </w:rPr>
        <w:t xml:space="preserve">de forma violenta </w:t>
      </w:r>
      <w:r w:rsidR="00E06E19" w:rsidRPr="00933DA1">
        <w:rPr>
          <w:rFonts w:ascii="Cambria" w:hAnsi="Cambria"/>
          <w:sz w:val="20"/>
          <w:szCs w:val="20"/>
          <w:lang w:val="es-419"/>
        </w:rPr>
        <w:t xml:space="preserve">desde el punto de vista </w:t>
      </w:r>
      <w:r w:rsidRPr="00933DA1">
        <w:rPr>
          <w:rFonts w:ascii="Cambria" w:hAnsi="Cambria"/>
          <w:sz w:val="20"/>
          <w:szCs w:val="20"/>
          <w:lang w:val="es-419"/>
        </w:rPr>
        <w:t>médico</w:t>
      </w:r>
      <w:r w:rsidR="00894533">
        <w:rPr>
          <w:rFonts w:ascii="Cambria" w:hAnsi="Cambria"/>
          <w:sz w:val="20"/>
          <w:szCs w:val="20"/>
          <w:lang w:val="es-419"/>
        </w:rPr>
        <w:t>-</w:t>
      </w:r>
      <w:r w:rsidR="00E06E19" w:rsidRPr="00933DA1">
        <w:rPr>
          <w:rFonts w:ascii="Cambria" w:hAnsi="Cambria"/>
          <w:sz w:val="20"/>
          <w:szCs w:val="20"/>
          <w:lang w:val="es-419"/>
        </w:rPr>
        <w:t>legal</w:t>
      </w:r>
      <w:r w:rsidRPr="00933DA1">
        <w:rPr>
          <w:rFonts w:ascii="Cambria" w:hAnsi="Cambria"/>
          <w:sz w:val="20"/>
          <w:szCs w:val="20"/>
          <w:lang w:val="es-419"/>
        </w:rPr>
        <w:t xml:space="preserve">. </w:t>
      </w:r>
    </w:p>
    <w:p w14:paraId="0206621A" w14:textId="77777777" w:rsidR="00535DFB" w:rsidRPr="00547D9E" w:rsidRDefault="00535DFB" w:rsidP="00C7480B">
      <w:pPr>
        <w:rPr>
          <w:sz w:val="20"/>
          <w:szCs w:val="20"/>
          <w:lang w:val="es-419"/>
        </w:rPr>
      </w:pPr>
    </w:p>
    <w:p w14:paraId="4129F770" w14:textId="4F7B5BB5" w:rsidR="00535DFB" w:rsidRPr="00933DA1" w:rsidRDefault="00894533"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Arial"/>
          <w:sz w:val="20"/>
          <w:szCs w:val="20"/>
          <w:lang w:val="es-419" w:eastAsia="es-ES"/>
        </w:rPr>
      </w:pPr>
      <w:r>
        <w:rPr>
          <w:rFonts w:ascii="Cambria" w:hAnsi="Cambria"/>
          <w:sz w:val="20"/>
          <w:szCs w:val="20"/>
          <w:lang w:val="es-419"/>
        </w:rPr>
        <w:t>D</w:t>
      </w:r>
      <w:r w:rsidR="00535DFB" w:rsidRPr="008500DA">
        <w:rPr>
          <w:rFonts w:ascii="Cambria" w:hAnsi="Cambria"/>
          <w:sz w:val="20"/>
          <w:szCs w:val="20"/>
          <w:lang w:val="es-419"/>
        </w:rPr>
        <w:t xml:space="preserve">estaca </w:t>
      </w:r>
      <w:r>
        <w:rPr>
          <w:rFonts w:ascii="Cambria" w:hAnsi="Cambria"/>
          <w:sz w:val="20"/>
          <w:szCs w:val="20"/>
          <w:lang w:val="es-419"/>
        </w:rPr>
        <w:t>e</w:t>
      </w:r>
      <w:r w:rsidRPr="008500DA">
        <w:rPr>
          <w:rFonts w:ascii="Cambria" w:hAnsi="Cambria"/>
          <w:sz w:val="20"/>
          <w:szCs w:val="20"/>
          <w:lang w:val="es-419"/>
        </w:rPr>
        <w:t xml:space="preserve">n tal sentido </w:t>
      </w:r>
      <w:r w:rsidR="00535DFB" w:rsidRPr="008500DA">
        <w:rPr>
          <w:rFonts w:ascii="Cambria" w:hAnsi="Cambria"/>
          <w:sz w:val="20"/>
          <w:szCs w:val="20"/>
          <w:lang w:val="es-419"/>
        </w:rPr>
        <w:t xml:space="preserve">que la Fiscalía de Imbabura inició </w:t>
      </w:r>
      <w:r w:rsidR="00B650B4" w:rsidRPr="008500DA">
        <w:rPr>
          <w:rFonts w:ascii="Cambria" w:hAnsi="Cambria"/>
          <w:sz w:val="20"/>
          <w:szCs w:val="20"/>
          <w:lang w:val="es-419"/>
        </w:rPr>
        <w:t xml:space="preserve">una </w:t>
      </w:r>
      <w:r w:rsidR="00535DFB" w:rsidRPr="008500DA">
        <w:rPr>
          <w:rFonts w:ascii="Cambria" w:hAnsi="Cambria"/>
          <w:sz w:val="20"/>
          <w:szCs w:val="20"/>
          <w:lang w:val="es-419"/>
        </w:rPr>
        <w:t xml:space="preserve">investigación </w:t>
      </w:r>
      <w:r w:rsidR="00B650B4" w:rsidRPr="008500DA">
        <w:rPr>
          <w:rFonts w:ascii="Cambria" w:hAnsi="Cambria"/>
          <w:sz w:val="20"/>
          <w:szCs w:val="20"/>
          <w:lang w:val="es-419"/>
        </w:rPr>
        <w:t xml:space="preserve">penal por </w:t>
      </w:r>
      <w:r w:rsidR="00535DFB" w:rsidRPr="008500DA">
        <w:rPr>
          <w:rFonts w:ascii="Cambria" w:hAnsi="Cambria"/>
          <w:sz w:val="20"/>
          <w:szCs w:val="20"/>
          <w:lang w:val="es-419"/>
        </w:rPr>
        <w:t>homicidio simple de la presunta víctima</w:t>
      </w:r>
      <w:r>
        <w:rPr>
          <w:rFonts w:ascii="Cambria" w:hAnsi="Cambria"/>
          <w:sz w:val="20"/>
          <w:szCs w:val="20"/>
          <w:lang w:val="es-419"/>
        </w:rPr>
        <w:t xml:space="preserve">, que </w:t>
      </w:r>
      <w:r w:rsidR="00535DFB" w:rsidRPr="008500DA">
        <w:rPr>
          <w:rFonts w:ascii="Cambria" w:hAnsi="Cambria"/>
          <w:sz w:val="20"/>
          <w:szCs w:val="20"/>
          <w:lang w:val="es-419"/>
        </w:rPr>
        <w:t xml:space="preserve">se encuentra </w:t>
      </w:r>
      <w:r>
        <w:rPr>
          <w:rFonts w:ascii="Cambria" w:hAnsi="Cambria"/>
          <w:sz w:val="20"/>
          <w:szCs w:val="20"/>
          <w:lang w:val="es-419"/>
        </w:rPr>
        <w:t xml:space="preserve">actualmente </w:t>
      </w:r>
      <w:r w:rsidR="00535DFB" w:rsidRPr="008500DA">
        <w:rPr>
          <w:rFonts w:ascii="Cambria" w:hAnsi="Cambria"/>
          <w:sz w:val="20"/>
          <w:szCs w:val="20"/>
          <w:lang w:val="es-419"/>
        </w:rPr>
        <w:t>en archivo definitivo.</w:t>
      </w:r>
      <w:r w:rsidR="00B650B4" w:rsidRPr="008500DA">
        <w:rPr>
          <w:rFonts w:ascii="Cambria" w:hAnsi="Cambria"/>
          <w:sz w:val="20"/>
          <w:szCs w:val="20"/>
          <w:lang w:val="es-419"/>
        </w:rPr>
        <w:t xml:space="preserve"> Alega que </w:t>
      </w:r>
      <w:r>
        <w:rPr>
          <w:rFonts w:ascii="Cambria" w:hAnsi="Cambria"/>
          <w:sz w:val="20"/>
          <w:szCs w:val="20"/>
          <w:lang w:val="es-419"/>
        </w:rPr>
        <w:t>la</w:t>
      </w:r>
      <w:r w:rsidR="00B650B4" w:rsidRPr="008500DA">
        <w:rPr>
          <w:rFonts w:ascii="Cambria" w:hAnsi="Cambria"/>
          <w:sz w:val="20"/>
          <w:szCs w:val="20"/>
          <w:lang w:val="es-419"/>
        </w:rPr>
        <w:t xml:space="preserve"> </w:t>
      </w:r>
      <w:r w:rsidR="00535DFB" w:rsidRPr="008500DA">
        <w:rPr>
          <w:rFonts w:ascii="Cambria" w:hAnsi="Cambria"/>
          <w:sz w:val="20"/>
          <w:szCs w:val="20"/>
          <w:lang w:val="es-419"/>
        </w:rPr>
        <w:t>madre de la presunta víctima</w:t>
      </w:r>
      <w:r w:rsidR="00B650B4" w:rsidRPr="008500DA">
        <w:rPr>
          <w:rFonts w:ascii="Cambria" w:hAnsi="Cambria"/>
          <w:sz w:val="20"/>
          <w:szCs w:val="20"/>
          <w:lang w:val="es-419"/>
        </w:rPr>
        <w:t xml:space="preserve"> </w:t>
      </w:r>
      <w:r w:rsidR="00535DFB" w:rsidRPr="008500DA">
        <w:rPr>
          <w:rFonts w:ascii="Cambria" w:hAnsi="Cambria"/>
          <w:sz w:val="20"/>
          <w:szCs w:val="20"/>
          <w:lang w:val="es-419"/>
        </w:rPr>
        <w:t xml:space="preserve">fue informada </w:t>
      </w:r>
      <w:r w:rsidR="00AA7EE6" w:rsidRPr="008500DA">
        <w:rPr>
          <w:rFonts w:ascii="Cambria" w:hAnsi="Cambria"/>
          <w:sz w:val="20"/>
          <w:szCs w:val="20"/>
          <w:lang w:val="es-419"/>
        </w:rPr>
        <w:t xml:space="preserve">de la decisión de archivo definitivo </w:t>
      </w:r>
      <w:r w:rsidR="00535DFB" w:rsidRPr="008500DA">
        <w:rPr>
          <w:rFonts w:ascii="Cambria" w:hAnsi="Cambria"/>
          <w:sz w:val="20"/>
          <w:szCs w:val="20"/>
          <w:lang w:val="es-419"/>
        </w:rPr>
        <w:t>en mayo del 2013</w:t>
      </w:r>
      <w:r>
        <w:rPr>
          <w:rFonts w:ascii="Cambria" w:hAnsi="Cambria"/>
          <w:sz w:val="20"/>
          <w:szCs w:val="20"/>
          <w:lang w:val="es-419"/>
        </w:rPr>
        <w:t>,</w:t>
      </w:r>
      <w:r w:rsidR="00535DFB" w:rsidRPr="008500DA">
        <w:rPr>
          <w:rFonts w:ascii="Cambria" w:hAnsi="Cambria"/>
          <w:sz w:val="20"/>
          <w:szCs w:val="20"/>
          <w:lang w:val="es-419"/>
        </w:rPr>
        <w:t xml:space="preserve"> </w:t>
      </w:r>
      <w:r w:rsidR="00AA7EE6" w:rsidRPr="008500DA">
        <w:rPr>
          <w:rFonts w:ascii="Cambria" w:hAnsi="Cambria"/>
          <w:sz w:val="20"/>
          <w:szCs w:val="20"/>
          <w:lang w:val="es-419"/>
        </w:rPr>
        <w:t>sin tener la oportunidad de hacerse parte del proceso</w:t>
      </w:r>
      <w:r w:rsidR="00B650B4" w:rsidRPr="008500DA">
        <w:rPr>
          <w:rFonts w:ascii="Cambria" w:hAnsi="Cambria"/>
          <w:sz w:val="20"/>
          <w:szCs w:val="20"/>
          <w:lang w:val="es-419"/>
        </w:rPr>
        <w:t xml:space="preserve">. </w:t>
      </w:r>
      <w:r w:rsidR="00AA7EE6" w:rsidRPr="008500DA">
        <w:rPr>
          <w:rFonts w:ascii="Cambria" w:hAnsi="Cambria"/>
          <w:sz w:val="20"/>
          <w:szCs w:val="20"/>
          <w:lang w:val="es-419"/>
        </w:rPr>
        <w:t xml:space="preserve">Aduce que la </w:t>
      </w:r>
      <w:r w:rsidR="00535DFB" w:rsidRPr="008500DA">
        <w:rPr>
          <w:rFonts w:ascii="Cambria" w:hAnsi="Cambria"/>
          <w:sz w:val="20"/>
          <w:szCs w:val="20"/>
          <w:lang w:val="es-419"/>
        </w:rPr>
        <w:t>madre de la v</w:t>
      </w:r>
      <w:r w:rsidR="00AA7EE6" w:rsidRPr="008500DA">
        <w:rPr>
          <w:rFonts w:ascii="Cambria" w:hAnsi="Cambria"/>
          <w:sz w:val="20"/>
          <w:szCs w:val="20"/>
          <w:lang w:val="es-419"/>
        </w:rPr>
        <w:t>í</w:t>
      </w:r>
      <w:r w:rsidR="00535DFB" w:rsidRPr="008500DA">
        <w:rPr>
          <w:rFonts w:ascii="Cambria" w:hAnsi="Cambria"/>
          <w:sz w:val="20"/>
          <w:szCs w:val="20"/>
          <w:lang w:val="es-419"/>
        </w:rPr>
        <w:t xml:space="preserve">ctima </w:t>
      </w:r>
      <w:r w:rsidR="00AA7EE6" w:rsidRPr="008500DA">
        <w:rPr>
          <w:rFonts w:ascii="Cambria" w:hAnsi="Cambria"/>
          <w:sz w:val="20"/>
          <w:szCs w:val="20"/>
          <w:lang w:val="es-419"/>
        </w:rPr>
        <w:t xml:space="preserve">reside en Colombia y </w:t>
      </w:r>
      <w:r w:rsidR="00A341E3">
        <w:rPr>
          <w:rFonts w:ascii="Cambria" w:hAnsi="Cambria"/>
          <w:sz w:val="20"/>
          <w:szCs w:val="20"/>
          <w:lang w:val="es-419"/>
        </w:rPr>
        <w:t>que,</w:t>
      </w:r>
      <w:r>
        <w:rPr>
          <w:rFonts w:ascii="Cambria" w:hAnsi="Cambria"/>
          <w:sz w:val="20"/>
          <w:szCs w:val="20"/>
          <w:lang w:val="es-419"/>
        </w:rPr>
        <w:t xml:space="preserve"> por </w:t>
      </w:r>
      <w:r w:rsidR="00AA7EE6" w:rsidRPr="008500DA">
        <w:rPr>
          <w:rFonts w:ascii="Cambria" w:hAnsi="Cambria"/>
          <w:sz w:val="20"/>
          <w:szCs w:val="20"/>
          <w:lang w:val="es-419"/>
        </w:rPr>
        <w:t>dificultades</w:t>
      </w:r>
      <w:r w:rsidR="00535DFB" w:rsidRPr="008500DA">
        <w:rPr>
          <w:rFonts w:ascii="Cambria" w:hAnsi="Cambria"/>
          <w:sz w:val="20"/>
          <w:szCs w:val="20"/>
          <w:lang w:val="es-419"/>
        </w:rPr>
        <w:t xml:space="preserve"> </w:t>
      </w:r>
      <w:r w:rsidR="00AA7EE6" w:rsidRPr="008500DA">
        <w:rPr>
          <w:rFonts w:ascii="Cambria" w:hAnsi="Cambria"/>
          <w:sz w:val="20"/>
          <w:szCs w:val="20"/>
          <w:lang w:val="es-419"/>
        </w:rPr>
        <w:t>económicas, le es imposible trasladarse a Ecuador</w:t>
      </w:r>
      <w:r>
        <w:rPr>
          <w:rFonts w:ascii="Cambria" w:hAnsi="Cambria"/>
          <w:sz w:val="20"/>
          <w:szCs w:val="20"/>
          <w:lang w:val="es-419"/>
        </w:rPr>
        <w:t>;</w:t>
      </w:r>
      <w:r w:rsidR="00AA7EE6" w:rsidRPr="008500DA">
        <w:rPr>
          <w:rFonts w:ascii="Cambria" w:hAnsi="Cambria"/>
          <w:sz w:val="20"/>
          <w:szCs w:val="20"/>
          <w:lang w:val="es-419"/>
        </w:rPr>
        <w:t xml:space="preserve"> </w:t>
      </w:r>
      <w:r w:rsidR="00535DFB" w:rsidRPr="008500DA">
        <w:rPr>
          <w:rFonts w:ascii="Cambria" w:hAnsi="Cambria"/>
          <w:sz w:val="20"/>
          <w:szCs w:val="20"/>
          <w:lang w:val="es-419"/>
        </w:rPr>
        <w:t>sol</w:t>
      </w:r>
      <w:r w:rsidR="00AA7EE6" w:rsidRPr="008500DA">
        <w:rPr>
          <w:rFonts w:ascii="Cambria" w:hAnsi="Cambria"/>
          <w:sz w:val="20"/>
          <w:szCs w:val="20"/>
          <w:lang w:val="es-419"/>
        </w:rPr>
        <w:t>icitó</w:t>
      </w:r>
      <w:r w:rsidR="00535DFB" w:rsidRPr="008500DA">
        <w:rPr>
          <w:rFonts w:ascii="Cambria" w:hAnsi="Cambria"/>
          <w:sz w:val="20"/>
          <w:szCs w:val="20"/>
          <w:lang w:val="es-419"/>
        </w:rPr>
        <w:t xml:space="preserve"> asistencia </w:t>
      </w:r>
      <w:r w:rsidR="00AA7EE6" w:rsidRPr="008500DA">
        <w:rPr>
          <w:rFonts w:ascii="Cambria" w:hAnsi="Cambria"/>
          <w:sz w:val="20"/>
          <w:szCs w:val="20"/>
          <w:lang w:val="es-419"/>
        </w:rPr>
        <w:t xml:space="preserve">jurídica </w:t>
      </w:r>
      <w:r w:rsidR="00535DFB" w:rsidRPr="008500DA">
        <w:rPr>
          <w:rFonts w:ascii="Cambria" w:hAnsi="Cambria"/>
          <w:sz w:val="20"/>
          <w:szCs w:val="20"/>
          <w:lang w:val="es-419"/>
        </w:rPr>
        <w:t xml:space="preserve">al </w:t>
      </w:r>
      <w:r w:rsidR="00AA7EE6" w:rsidRPr="008500DA">
        <w:rPr>
          <w:rFonts w:ascii="Cambria" w:hAnsi="Cambria"/>
          <w:sz w:val="20"/>
          <w:szCs w:val="20"/>
          <w:lang w:val="es-419"/>
        </w:rPr>
        <w:t>M</w:t>
      </w:r>
      <w:r w:rsidR="00535DFB" w:rsidRPr="008500DA">
        <w:rPr>
          <w:rFonts w:ascii="Cambria" w:hAnsi="Cambria"/>
          <w:sz w:val="20"/>
          <w:szCs w:val="20"/>
          <w:lang w:val="es-419"/>
        </w:rPr>
        <w:t xml:space="preserve">inisterio de </w:t>
      </w:r>
      <w:r w:rsidR="00AA7EE6" w:rsidRPr="008500DA">
        <w:rPr>
          <w:rFonts w:ascii="Cambria" w:hAnsi="Cambria"/>
          <w:sz w:val="20"/>
          <w:szCs w:val="20"/>
          <w:lang w:val="es-419"/>
        </w:rPr>
        <w:t>R</w:t>
      </w:r>
      <w:r w:rsidR="00535DFB" w:rsidRPr="008500DA">
        <w:rPr>
          <w:rFonts w:ascii="Cambria" w:hAnsi="Cambria"/>
          <w:sz w:val="20"/>
          <w:szCs w:val="20"/>
          <w:lang w:val="es-419"/>
        </w:rPr>
        <w:t xml:space="preserve">elaciones </w:t>
      </w:r>
      <w:r w:rsidR="00AA7EE6" w:rsidRPr="008500DA">
        <w:rPr>
          <w:rFonts w:ascii="Cambria" w:hAnsi="Cambria"/>
          <w:sz w:val="20"/>
          <w:szCs w:val="20"/>
          <w:lang w:val="es-419"/>
        </w:rPr>
        <w:t>E</w:t>
      </w:r>
      <w:r w:rsidR="00535DFB" w:rsidRPr="008500DA">
        <w:rPr>
          <w:rFonts w:ascii="Cambria" w:hAnsi="Cambria"/>
          <w:sz w:val="20"/>
          <w:szCs w:val="20"/>
          <w:lang w:val="es-419"/>
        </w:rPr>
        <w:t xml:space="preserve">xteriores de </w:t>
      </w:r>
      <w:r w:rsidR="008500DA" w:rsidRPr="008500DA">
        <w:rPr>
          <w:rFonts w:ascii="Cambria" w:hAnsi="Cambria"/>
          <w:sz w:val="20"/>
          <w:szCs w:val="20"/>
          <w:lang w:val="es-419"/>
        </w:rPr>
        <w:t>Colombia,</w:t>
      </w:r>
      <w:r w:rsidR="00B650B4" w:rsidRPr="008500DA">
        <w:rPr>
          <w:rFonts w:ascii="Cambria" w:hAnsi="Cambria"/>
          <w:sz w:val="20"/>
          <w:szCs w:val="20"/>
          <w:lang w:val="es-419"/>
        </w:rPr>
        <w:t xml:space="preserve"> pero </w:t>
      </w:r>
      <w:r w:rsidR="00AA7EE6" w:rsidRPr="008500DA">
        <w:rPr>
          <w:rFonts w:ascii="Cambria" w:hAnsi="Cambria"/>
          <w:sz w:val="20"/>
          <w:szCs w:val="20"/>
          <w:lang w:val="es-419"/>
        </w:rPr>
        <w:t>le fue negada</w:t>
      </w:r>
      <w:r w:rsidR="00A341E3">
        <w:rPr>
          <w:rFonts w:ascii="Cambria" w:hAnsi="Cambria"/>
          <w:sz w:val="20"/>
          <w:szCs w:val="20"/>
          <w:lang w:val="es-419"/>
        </w:rPr>
        <w:t xml:space="preserve">. Dicha institución </w:t>
      </w:r>
      <w:r w:rsidR="00535DFB" w:rsidRPr="008500DA">
        <w:rPr>
          <w:rFonts w:ascii="Cambria" w:hAnsi="Cambria"/>
          <w:sz w:val="20"/>
          <w:szCs w:val="20"/>
          <w:lang w:val="es-419"/>
        </w:rPr>
        <w:t>se limit</w:t>
      </w:r>
      <w:r w:rsidR="00AA7EE6" w:rsidRPr="008500DA">
        <w:rPr>
          <w:rFonts w:ascii="Cambria" w:hAnsi="Cambria"/>
          <w:sz w:val="20"/>
          <w:szCs w:val="20"/>
          <w:lang w:val="es-419"/>
        </w:rPr>
        <w:t xml:space="preserve">ó </w:t>
      </w:r>
      <w:r w:rsidR="00535DFB" w:rsidRPr="008500DA">
        <w:rPr>
          <w:rFonts w:ascii="Cambria" w:hAnsi="Cambria"/>
          <w:sz w:val="20"/>
          <w:szCs w:val="20"/>
          <w:lang w:val="es-419"/>
        </w:rPr>
        <w:t xml:space="preserve">a </w:t>
      </w:r>
      <w:r w:rsidR="00AA7EE6" w:rsidRPr="008500DA">
        <w:rPr>
          <w:rFonts w:ascii="Cambria" w:hAnsi="Cambria"/>
          <w:sz w:val="20"/>
          <w:szCs w:val="20"/>
          <w:lang w:val="es-419"/>
        </w:rPr>
        <w:t xml:space="preserve">presentarle </w:t>
      </w:r>
      <w:r w:rsidR="00535DFB" w:rsidRPr="008500DA">
        <w:rPr>
          <w:rFonts w:ascii="Cambria" w:hAnsi="Cambria"/>
          <w:sz w:val="20"/>
          <w:szCs w:val="20"/>
          <w:lang w:val="es-419"/>
        </w:rPr>
        <w:t xml:space="preserve">una copia </w:t>
      </w:r>
      <w:r w:rsidR="00535DFB" w:rsidRPr="00933DA1">
        <w:rPr>
          <w:rFonts w:ascii="Cambria" w:hAnsi="Cambria"/>
          <w:sz w:val="20"/>
          <w:szCs w:val="20"/>
          <w:lang w:val="es-419"/>
        </w:rPr>
        <w:t xml:space="preserve">simple y poco legible del expediente </w:t>
      </w:r>
      <w:r w:rsidR="00AA7EE6" w:rsidRPr="00933DA1">
        <w:rPr>
          <w:rFonts w:ascii="Cambria" w:hAnsi="Cambria"/>
          <w:sz w:val="20"/>
          <w:szCs w:val="20"/>
          <w:lang w:val="es-419"/>
        </w:rPr>
        <w:t>de la presunta víctima</w:t>
      </w:r>
      <w:r w:rsidR="00A341E3">
        <w:rPr>
          <w:rFonts w:ascii="Cambria" w:hAnsi="Cambria"/>
          <w:sz w:val="20"/>
          <w:szCs w:val="20"/>
          <w:lang w:val="es-419"/>
        </w:rPr>
        <w:t>,</w:t>
      </w:r>
      <w:r w:rsidR="00B650B4" w:rsidRPr="00933DA1">
        <w:rPr>
          <w:rFonts w:ascii="Cambria" w:hAnsi="Cambria"/>
          <w:sz w:val="20"/>
          <w:szCs w:val="20"/>
          <w:lang w:val="es-419"/>
        </w:rPr>
        <w:t xml:space="preserve"> por lo que </w:t>
      </w:r>
      <w:r w:rsidR="00B650B4" w:rsidRPr="00933DA1">
        <w:rPr>
          <w:rFonts w:ascii="Cambria" w:hAnsi="Cambria" w:cs="Arial"/>
          <w:sz w:val="20"/>
          <w:szCs w:val="20"/>
          <w:lang w:val="es-419" w:eastAsia="es-ES"/>
        </w:rPr>
        <w:t>las causas del archivo definitivo no resultan claras</w:t>
      </w:r>
      <w:r w:rsidR="00B650B4" w:rsidRPr="00933DA1">
        <w:rPr>
          <w:rFonts w:ascii="Cambria" w:hAnsi="Cambria"/>
          <w:sz w:val="20"/>
          <w:szCs w:val="20"/>
          <w:lang w:val="es-419"/>
        </w:rPr>
        <w:t>.</w:t>
      </w:r>
    </w:p>
    <w:p w14:paraId="7A9D8680" w14:textId="77777777" w:rsidR="001E73A2" w:rsidRPr="00933DA1" w:rsidRDefault="001E73A2" w:rsidP="00C748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p>
    <w:p w14:paraId="64298EF1" w14:textId="2E6C6606" w:rsidR="00E5203D" w:rsidRPr="00933DA1" w:rsidRDefault="00894533"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r>
        <w:rPr>
          <w:rFonts w:ascii="Cambria" w:hAnsi="Cambria"/>
          <w:sz w:val="20"/>
          <w:szCs w:val="20"/>
          <w:lang w:val="es-419"/>
        </w:rPr>
        <w:t>El peticionario s</w:t>
      </w:r>
      <w:r w:rsidR="00933DA1" w:rsidRPr="00933DA1">
        <w:rPr>
          <w:rFonts w:ascii="Cambria" w:hAnsi="Cambria"/>
          <w:sz w:val="20"/>
          <w:szCs w:val="20"/>
          <w:lang w:val="es-419"/>
        </w:rPr>
        <w:t xml:space="preserve">ubraya </w:t>
      </w:r>
      <w:r w:rsidR="00AA7EE6" w:rsidRPr="00933DA1">
        <w:rPr>
          <w:rFonts w:ascii="Cambria" w:hAnsi="Cambria"/>
          <w:sz w:val="20"/>
          <w:szCs w:val="20"/>
          <w:lang w:val="es-419"/>
        </w:rPr>
        <w:t xml:space="preserve">que </w:t>
      </w:r>
      <w:r w:rsidR="0055794A" w:rsidRPr="00933DA1">
        <w:rPr>
          <w:rFonts w:ascii="Cambria" w:hAnsi="Cambria"/>
          <w:sz w:val="20"/>
          <w:szCs w:val="20"/>
          <w:lang w:val="es-419"/>
        </w:rPr>
        <w:t xml:space="preserve">las </w:t>
      </w:r>
      <w:r w:rsidR="0002663F" w:rsidRPr="00933DA1">
        <w:rPr>
          <w:rFonts w:ascii="Cambria" w:hAnsi="Cambria"/>
          <w:sz w:val="20"/>
          <w:szCs w:val="20"/>
          <w:lang w:val="es-419"/>
        </w:rPr>
        <w:t xml:space="preserve">declaraciones </w:t>
      </w:r>
      <w:r w:rsidR="0055794A" w:rsidRPr="00933DA1">
        <w:rPr>
          <w:rFonts w:ascii="Cambria" w:hAnsi="Cambria"/>
          <w:sz w:val="20"/>
          <w:szCs w:val="20"/>
          <w:lang w:val="es-419"/>
        </w:rPr>
        <w:t xml:space="preserve">que forman parte del expediente penal </w:t>
      </w:r>
      <w:r w:rsidR="0002663F" w:rsidRPr="00933DA1">
        <w:rPr>
          <w:rFonts w:ascii="Cambria" w:hAnsi="Cambria"/>
          <w:sz w:val="20"/>
          <w:szCs w:val="20"/>
          <w:lang w:val="es-419"/>
        </w:rPr>
        <w:t>no se ajustan a la re</w:t>
      </w:r>
      <w:r w:rsidR="0055794A" w:rsidRPr="00933DA1">
        <w:rPr>
          <w:rFonts w:ascii="Cambria" w:hAnsi="Cambria"/>
          <w:sz w:val="20"/>
          <w:szCs w:val="20"/>
          <w:lang w:val="es-419"/>
        </w:rPr>
        <w:t>a</w:t>
      </w:r>
      <w:r w:rsidR="0002663F" w:rsidRPr="00933DA1">
        <w:rPr>
          <w:rFonts w:ascii="Cambria" w:hAnsi="Cambria"/>
          <w:sz w:val="20"/>
          <w:szCs w:val="20"/>
          <w:lang w:val="es-419"/>
        </w:rPr>
        <w:t>lidad de los hechos</w:t>
      </w:r>
      <w:r w:rsidR="0055794A" w:rsidRPr="00933DA1">
        <w:rPr>
          <w:rFonts w:ascii="Cambria" w:hAnsi="Cambria"/>
          <w:sz w:val="20"/>
          <w:szCs w:val="20"/>
          <w:lang w:val="es-419"/>
        </w:rPr>
        <w:t xml:space="preserve">. </w:t>
      </w:r>
      <w:r w:rsidR="00933DA1" w:rsidRPr="00933DA1">
        <w:rPr>
          <w:rFonts w:ascii="Cambria" w:hAnsi="Cambria"/>
          <w:sz w:val="20"/>
          <w:szCs w:val="20"/>
          <w:lang w:val="es-419"/>
        </w:rPr>
        <w:t xml:space="preserve">En tal sentido, explica </w:t>
      </w:r>
      <w:r w:rsidR="0055794A" w:rsidRPr="00933DA1">
        <w:rPr>
          <w:rFonts w:ascii="Cambria" w:hAnsi="Cambria"/>
          <w:sz w:val="20"/>
          <w:szCs w:val="20"/>
          <w:lang w:val="es-419"/>
        </w:rPr>
        <w:t>que la presunta víctima no sufría de enfermedad o condición física</w:t>
      </w:r>
      <w:r w:rsidR="00933DA1" w:rsidRPr="00933DA1">
        <w:rPr>
          <w:rFonts w:ascii="Cambria" w:hAnsi="Cambria"/>
          <w:sz w:val="20"/>
          <w:szCs w:val="20"/>
          <w:lang w:val="es-419"/>
        </w:rPr>
        <w:t xml:space="preserve"> </w:t>
      </w:r>
      <w:r w:rsidR="00A341E3">
        <w:rPr>
          <w:rFonts w:ascii="Cambria" w:hAnsi="Cambria"/>
          <w:sz w:val="20"/>
          <w:szCs w:val="20"/>
          <w:lang w:val="es-419"/>
        </w:rPr>
        <w:t xml:space="preserve">alguna </w:t>
      </w:r>
      <w:r w:rsidR="00933DA1" w:rsidRPr="00933DA1">
        <w:rPr>
          <w:rFonts w:ascii="Cambria" w:hAnsi="Cambria"/>
          <w:sz w:val="20"/>
          <w:szCs w:val="20"/>
          <w:lang w:val="es-419"/>
        </w:rPr>
        <w:t>ante</w:t>
      </w:r>
      <w:r w:rsidR="00A341E3">
        <w:rPr>
          <w:rFonts w:ascii="Cambria" w:hAnsi="Cambria"/>
          <w:sz w:val="20"/>
          <w:szCs w:val="20"/>
          <w:lang w:val="es-419"/>
        </w:rPr>
        <w:t>rior,</w:t>
      </w:r>
      <w:r w:rsidR="00933DA1" w:rsidRPr="00933DA1">
        <w:rPr>
          <w:rFonts w:ascii="Cambria" w:hAnsi="Cambria"/>
          <w:sz w:val="20"/>
          <w:szCs w:val="20"/>
          <w:lang w:val="es-419"/>
        </w:rPr>
        <w:t xml:space="preserve"> y que es crucial valorar que </w:t>
      </w:r>
      <w:r w:rsidR="0055794A" w:rsidRPr="00933DA1">
        <w:rPr>
          <w:rFonts w:ascii="Cambria" w:hAnsi="Cambria"/>
          <w:sz w:val="20"/>
          <w:szCs w:val="20"/>
          <w:lang w:val="es-419"/>
        </w:rPr>
        <w:t xml:space="preserve">falleció </w:t>
      </w:r>
      <w:r w:rsidR="00A341E3">
        <w:rPr>
          <w:rFonts w:ascii="Cambria" w:hAnsi="Cambria"/>
          <w:sz w:val="20"/>
          <w:szCs w:val="20"/>
          <w:lang w:val="es-419"/>
        </w:rPr>
        <w:t>mientras estaba privada de libertad.</w:t>
      </w:r>
      <w:r w:rsidR="0055794A" w:rsidRPr="00933DA1">
        <w:rPr>
          <w:rFonts w:ascii="Cambria" w:hAnsi="Cambria"/>
          <w:sz w:val="20"/>
          <w:szCs w:val="20"/>
          <w:lang w:val="es-419"/>
        </w:rPr>
        <w:t xml:space="preserve"> </w:t>
      </w:r>
      <w:r w:rsidR="00A341E3">
        <w:rPr>
          <w:rFonts w:ascii="Cambria" w:hAnsi="Cambria"/>
          <w:sz w:val="20"/>
          <w:szCs w:val="20"/>
          <w:lang w:val="es-419"/>
        </w:rPr>
        <w:t xml:space="preserve">Destaca asimismo </w:t>
      </w:r>
      <w:r w:rsidR="0055794A" w:rsidRPr="00933DA1">
        <w:rPr>
          <w:rFonts w:ascii="Cambria" w:hAnsi="Cambria"/>
          <w:sz w:val="20"/>
          <w:szCs w:val="20"/>
          <w:lang w:val="es-419"/>
        </w:rPr>
        <w:t xml:space="preserve">que </w:t>
      </w:r>
      <w:r w:rsidR="00933DA1" w:rsidRPr="00933DA1">
        <w:rPr>
          <w:rFonts w:ascii="Cambria" w:hAnsi="Cambria"/>
          <w:sz w:val="20"/>
          <w:szCs w:val="20"/>
          <w:lang w:val="es-419"/>
        </w:rPr>
        <w:t xml:space="preserve">personas allegadas a </w:t>
      </w:r>
      <w:r w:rsidR="00A341E3">
        <w:rPr>
          <w:rFonts w:ascii="Cambria" w:hAnsi="Cambria"/>
          <w:sz w:val="20"/>
          <w:szCs w:val="20"/>
          <w:lang w:val="es-419"/>
        </w:rPr>
        <w:t>la presunta víctima</w:t>
      </w:r>
      <w:r w:rsidR="00933DA1" w:rsidRPr="00933DA1">
        <w:rPr>
          <w:rFonts w:ascii="Cambria" w:hAnsi="Cambria"/>
          <w:sz w:val="20"/>
          <w:szCs w:val="20"/>
          <w:lang w:val="es-419"/>
        </w:rPr>
        <w:t xml:space="preserve"> que fueron </w:t>
      </w:r>
      <w:r w:rsidR="0055794A" w:rsidRPr="00933DA1">
        <w:rPr>
          <w:rFonts w:ascii="Cambria" w:hAnsi="Cambria" w:cs="Arial"/>
          <w:sz w:val="20"/>
          <w:szCs w:val="20"/>
          <w:lang w:val="es-419" w:eastAsia="es-ES"/>
        </w:rPr>
        <w:t>testigos de su detención y estaban haciendo seguimiento a su caso</w:t>
      </w:r>
      <w:r w:rsidR="00A341E3">
        <w:rPr>
          <w:rFonts w:ascii="Cambria" w:hAnsi="Cambria" w:cs="Arial"/>
          <w:sz w:val="20"/>
          <w:szCs w:val="20"/>
          <w:lang w:val="es-419" w:eastAsia="es-ES"/>
        </w:rPr>
        <w:t>,</w:t>
      </w:r>
      <w:r w:rsidR="0055794A" w:rsidRPr="00933DA1">
        <w:rPr>
          <w:rFonts w:ascii="Cambria" w:hAnsi="Cambria" w:cs="Arial"/>
          <w:sz w:val="20"/>
          <w:szCs w:val="20"/>
          <w:lang w:val="es-419" w:eastAsia="es-ES"/>
        </w:rPr>
        <w:t xml:space="preserve"> han sido esquivos y</w:t>
      </w:r>
      <w:r w:rsidR="0055794A" w:rsidRPr="00933DA1">
        <w:rPr>
          <w:rFonts w:cs="Arial"/>
          <w:sz w:val="20"/>
          <w:szCs w:val="20"/>
          <w:lang w:val="es-419"/>
        </w:rPr>
        <w:t xml:space="preserve"> </w:t>
      </w:r>
      <w:r w:rsidR="0055794A" w:rsidRPr="00933DA1">
        <w:rPr>
          <w:rFonts w:ascii="Cambria" w:hAnsi="Cambria" w:cs="Arial"/>
          <w:sz w:val="20"/>
          <w:szCs w:val="20"/>
          <w:lang w:val="es-419" w:eastAsia="es-ES"/>
        </w:rPr>
        <w:t>renuentes a colabora</w:t>
      </w:r>
      <w:r w:rsidR="00933DA1" w:rsidRPr="00933DA1">
        <w:rPr>
          <w:rFonts w:ascii="Cambria" w:hAnsi="Cambria" w:cs="Arial"/>
          <w:sz w:val="20"/>
          <w:szCs w:val="20"/>
          <w:lang w:val="es-419" w:eastAsia="es-ES"/>
        </w:rPr>
        <w:t>r con la investigación</w:t>
      </w:r>
      <w:r w:rsidR="00A341E3">
        <w:rPr>
          <w:rFonts w:ascii="Cambria" w:hAnsi="Cambria" w:cs="Arial"/>
          <w:sz w:val="20"/>
          <w:szCs w:val="20"/>
          <w:lang w:val="es-419" w:eastAsia="es-ES"/>
        </w:rPr>
        <w:t>,</w:t>
      </w:r>
      <w:r w:rsidR="00933DA1" w:rsidRPr="00933DA1">
        <w:rPr>
          <w:rFonts w:ascii="Cambria" w:hAnsi="Cambria" w:cs="Arial"/>
          <w:sz w:val="20"/>
          <w:szCs w:val="20"/>
          <w:lang w:val="es-419" w:eastAsia="es-ES"/>
        </w:rPr>
        <w:t xml:space="preserve"> a pesar de </w:t>
      </w:r>
      <w:r w:rsidR="00A341E3">
        <w:rPr>
          <w:rFonts w:ascii="Cambria" w:hAnsi="Cambria" w:cs="Arial"/>
          <w:sz w:val="20"/>
          <w:szCs w:val="20"/>
          <w:lang w:val="es-419" w:eastAsia="es-ES"/>
        </w:rPr>
        <w:t>su</w:t>
      </w:r>
      <w:r w:rsidR="00A341E3" w:rsidRPr="00933DA1">
        <w:rPr>
          <w:rFonts w:ascii="Cambria" w:hAnsi="Cambria" w:cs="Arial"/>
          <w:sz w:val="20"/>
          <w:szCs w:val="20"/>
          <w:lang w:val="es-419" w:eastAsia="es-ES"/>
        </w:rPr>
        <w:t xml:space="preserve"> disposición </w:t>
      </w:r>
      <w:r w:rsidR="00933DA1" w:rsidRPr="00933DA1">
        <w:rPr>
          <w:rFonts w:ascii="Cambria" w:hAnsi="Cambria" w:cs="Arial"/>
          <w:sz w:val="20"/>
          <w:szCs w:val="20"/>
          <w:lang w:val="es-419" w:eastAsia="es-ES"/>
        </w:rPr>
        <w:t>inicial de declarar</w:t>
      </w:r>
      <w:r w:rsidR="0055794A" w:rsidRPr="00933DA1">
        <w:rPr>
          <w:rFonts w:ascii="Cambria" w:hAnsi="Cambria" w:cs="Arial"/>
          <w:sz w:val="20"/>
          <w:szCs w:val="20"/>
          <w:lang w:val="es-419" w:eastAsia="es-ES"/>
        </w:rPr>
        <w:t>.</w:t>
      </w:r>
      <w:r w:rsidR="00E6597F" w:rsidRPr="00933DA1">
        <w:rPr>
          <w:rFonts w:ascii="Cambria" w:hAnsi="Cambria" w:cs="Arial"/>
          <w:sz w:val="20"/>
          <w:szCs w:val="20"/>
          <w:lang w:val="es-419" w:eastAsia="es-ES"/>
        </w:rPr>
        <w:t xml:space="preserve"> </w:t>
      </w:r>
    </w:p>
    <w:p w14:paraId="430A67F2" w14:textId="44332DB2" w:rsidR="00E6597F" w:rsidRPr="00E5203D" w:rsidRDefault="00E6597F" w:rsidP="00C748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p>
    <w:p w14:paraId="695C1E31" w14:textId="6C3E746B" w:rsidR="0002663F" w:rsidRPr="00C84110" w:rsidRDefault="0002663F"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Arial"/>
          <w:sz w:val="20"/>
          <w:szCs w:val="20"/>
          <w:lang w:val="es-419" w:eastAsia="es-ES"/>
        </w:rPr>
      </w:pPr>
      <w:r w:rsidRPr="00C84110">
        <w:rPr>
          <w:rFonts w:ascii="Cambria" w:hAnsi="Cambria" w:cs="Arial"/>
          <w:sz w:val="20"/>
          <w:szCs w:val="20"/>
          <w:lang w:val="es-419" w:eastAsia="es-ES"/>
        </w:rPr>
        <w:t xml:space="preserve">Por su parte, el Estado </w:t>
      </w:r>
      <w:r w:rsidR="000556BF" w:rsidRPr="00C84110">
        <w:rPr>
          <w:rFonts w:ascii="Cambria" w:hAnsi="Cambria" w:cs="Arial"/>
          <w:sz w:val="20"/>
          <w:szCs w:val="20"/>
          <w:lang w:val="es-419" w:eastAsia="es-ES"/>
        </w:rPr>
        <w:t>relata que la presunta víctima fue detenida el 8 de agosto de 2011 por protagonizar “pendencias y algazaras”</w:t>
      </w:r>
      <w:r w:rsidR="00413D92">
        <w:rPr>
          <w:rStyle w:val="FootnoteReference"/>
          <w:rFonts w:ascii="Cambria" w:hAnsi="Cambria" w:cs="Arial"/>
          <w:sz w:val="20"/>
          <w:szCs w:val="20"/>
          <w:lang w:val="es-419" w:eastAsia="es-ES"/>
        </w:rPr>
        <w:footnoteReference w:id="6"/>
      </w:r>
      <w:r w:rsidR="000556BF" w:rsidRPr="00C84110">
        <w:rPr>
          <w:rFonts w:ascii="Cambria" w:hAnsi="Cambria" w:cs="Arial"/>
          <w:sz w:val="20"/>
          <w:szCs w:val="20"/>
          <w:lang w:val="es-419" w:eastAsia="es-ES"/>
        </w:rPr>
        <w:t xml:space="preserve"> </w:t>
      </w:r>
      <w:r w:rsidR="00C84110" w:rsidRPr="00C84110">
        <w:rPr>
          <w:rFonts w:ascii="Cambria" w:hAnsi="Cambria" w:cs="Arial"/>
          <w:sz w:val="20"/>
          <w:szCs w:val="20"/>
          <w:lang w:val="es-419" w:eastAsia="es-ES"/>
        </w:rPr>
        <w:t xml:space="preserve">y </w:t>
      </w:r>
      <w:r w:rsidR="000556BF" w:rsidRPr="00C84110">
        <w:rPr>
          <w:rFonts w:ascii="Cambria" w:hAnsi="Cambria" w:cs="Arial"/>
          <w:sz w:val="20"/>
          <w:szCs w:val="20"/>
          <w:lang w:val="es-419" w:eastAsia="es-ES"/>
        </w:rPr>
        <w:t>fue trasladad</w:t>
      </w:r>
      <w:r w:rsidR="002C17E6">
        <w:rPr>
          <w:rFonts w:ascii="Cambria" w:hAnsi="Cambria" w:cs="Arial"/>
          <w:sz w:val="20"/>
          <w:szCs w:val="20"/>
          <w:lang w:val="es-419" w:eastAsia="es-ES"/>
        </w:rPr>
        <w:t>a</w:t>
      </w:r>
      <w:r w:rsidR="00C84110" w:rsidRPr="00C84110">
        <w:rPr>
          <w:rFonts w:ascii="Cambria" w:hAnsi="Cambria" w:cs="Arial"/>
          <w:sz w:val="20"/>
          <w:szCs w:val="20"/>
          <w:lang w:val="es-419" w:eastAsia="es-ES"/>
        </w:rPr>
        <w:t xml:space="preserve"> a</w:t>
      </w:r>
      <w:r w:rsidR="000556BF" w:rsidRPr="00C84110">
        <w:rPr>
          <w:rFonts w:ascii="Cambria" w:hAnsi="Cambria" w:cs="Arial"/>
          <w:sz w:val="20"/>
          <w:szCs w:val="20"/>
          <w:lang w:val="es-419" w:eastAsia="es-ES"/>
        </w:rPr>
        <w:t xml:space="preserve">l 911 </w:t>
      </w:r>
      <w:r w:rsidR="005C7BE1">
        <w:rPr>
          <w:rFonts w:ascii="Cambria" w:hAnsi="Cambria" w:cs="Arial"/>
          <w:sz w:val="20"/>
          <w:szCs w:val="20"/>
          <w:lang w:val="es-419" w:eastAsia="es-ES"/>
        </w:rPr>
        <w:t xml:space="preserve">(Servicio Integrado de Seguridad de Ecuador) </w:t>
      </w:r>
      <w:r w:rsidR="000556BF" w:rsidRPr="00C84110">
        <w:rPr>
          <w:rFonts w:ascii="Cambria" w:hAnsi="Cambria" w:cs="Arial"/>
          <w:sz w:val="20"/>
          <w:szCs w:val="20"/>
          <w:lang w:val="es-419" w:eastAsia="es-ES"/>
        </w:rPr>
        <w:t xml:space="preserve">para su valoración médica y </w:t>
      </w:r>
      <w:r w:rsidR="00C84110" w:rsidRPr="00C84110">
        <w:rPr>
          <w:rFonts w:ascii="Cambria" w:hAnsi="Cambria" w:cs="Arial"/>
          <w:sz w:val="20"/>
          <w:szCs w:val="20"/>
          <w:lang w:val="es-419" w:eastAsia="es-ES"/>
        </w:rPr>
        <w:t xml:space="preserve">luego </w:t>
      </w:r>
      <w:r w:rsidR="000556BF" w:rsidRPr="00C84110">
        <w:rPr>
          <w:rFonts w:ascii="Cambria" w:hAnsi="Cambria" w:cs="Arial"/>
          <w:sz w:val="20"/>
          <w:szCs w:val="20"/>
          <w:lang w:val="es-419" w:eastAsia="es-ES"/>
        </w:rPr>
        <w:t xml:space="preserve">al Centro de Detención Provisional de Imbabura. Destaca que </w:t>
      </w:r>
      <w:r w:rsidR="00024881" w:rsidRPr="00C84110">
        <w:rPr>
          <w:rFonts w:ascii="Cambria" w:hAnsi="Cambria" w:cs="Arial"/>
          <w:sz w:val="20"/>
          <w:szCs w:val="20"/>
          <w:lang w:val="es-419" w:eastAsia="es-ES"/>
        </w:rPr>
        <w:t>la mañana d</w:t>
      </w:r>
      <w:r w:rsidR="000556BF" w:rsidRPr="00C84110">
        <w:rPr>
          <w:rFonts w:ascii="Cambria" w:hAnsi="Cambria" w:cs="Arial"/>
          <w:sz w:val="20"/>
          <w:szCs w:val="20"/>
          <w:lang w:val="es-419" w:eastAsia="es-ES"/>
        </w:rPr>
        <w:t xml:space="preserve">el 9 de agosto del mismo año, </w:t>
      </w:r>
      <w:r w:rsidR="00C84110" w:rsidRPr="00C84110">
        <w:rPr>
          <w:rFonts w:ascii="Cambria" w:hAnsi="Cambria" w:cs="Arial"/>
          <w:sz w:val="20"/>
          <w:szCs w:val="20"/>
          <w:lang w:val="es-419" w:eastAsia="es-ES"/>
        </w:rPr>
        <w:t>de acuerdo con</w:t>
      </w:r>
      <w:r w:rsidR="000556BF" w:rsidRPr="00C84110">
        <w:rPr>
          <w:rFonts w:ascii="Cambria" w:hAnsi="Cambria" w:cs="Arial"/>
          <w:sz w:val="20"/>
          <w:szCs w:val="20"/>
          <w:lang w:val="es-419" w:eastAsia="es-ES"/>
        </w:rPr>
        <w:t xml:space="preserve"> las versiones presentadas por </w:t>
      </w:r>
      <w:r w:rsidR="00C84110" w:rsidRPr="00C84110">
        <w:rPr>
          <w:rFonts w:ascii="Cambria" w:hAnsi="Cambria" w:cs="Arial"/>
          <w:sz w:val="20"/>
          <w:szCs w:val="20"/>
          <w:lang w:val="es-419" w:eastAsia="es-ES"/>
        </w:rPr>
        <w:t xml:space="preserve">los </w:t>
      </w:r>
      <w:r w:rsidR="000556BF" w:rsidRPr="00C84110">
        <w:rPr>
          <w:rFonts w:ascii="Cambria" w:hAnsi="Cambria" w:cs="Arial"/>
          <w:sz w:val="20"/>
          <w:szCs w:val="20"/>
          <w:lang w:val="es-419" w:eastAsia="es-ES"/>
        </w:rPr>
        <w:t xml:space="preserve">policías, </w:t>
      </w:r>
      <w:r w:rsidR="00024881" w:rsidRPr="00C84110">
        <w:rPr>
          <w:rFonts w:ascii="Cambria" w:hAnsi="Cambria" w:cs="Arial"/>
          <w:sz w:val="20"/>
          <w:szCs w:val="20"/>
          <w:lang w:val="es-419" w:eastAsia="es-ES"/>
        </w:rPr>
        <w:t xml:space="preserve">la presunta víctima tuvo una caída en la parte trasera del patio del centro de detención a causa de </w:t>
      </w:r>
      <w:r w:rsidR="0083466A" w:rsidRPr="00C84110">
        <w:rPr>
          <w:rFonts w:ascii="Cambria" w:hAnsi="Cambria" w:cs="Arial"/>
          <w:sz w:val="20"/>
          <w:szCs w:val="20"/>
          <w:lang w:val="es-419" w:eastAsia="es-ES"/>
        </w:rPr>
        <w:t xml:space="preserve">un ataque </w:t>
      </w:r>
      <w:r w:rsidR="00C84110" w:rsidRPr="00C84110">
        <w:rPr>
          <w:rFonts w:ascii="Cambria" w:hAnsi="Cambria" w:cs="Arial"/>
          <w:sz w:val="20"/>
          <w:szCs w:val="20"/>
          <w:lang w:val="es-419" w:eastAsia="es-ES"/>
        </w:rPr>
        <w:t>epiléptico,</w:t>
      </w:r>
      <w:r w:rsidR="0083466A" w:rsidRPr="00C84110">
        <w:rPr>
          <w:rFonts w:ascii="Cambria" w:hAnsi="Cambria" w:cs="Arial"/>
          <w:sz w:val="20"/>
          <w:szCs w:val="20"/>
          <w:lang w:val="es-419" w:eastAsia="es-ES"/>
        </w:rPr>
        <w:t xml:space="preserve"> producto de</w:t>
      </w:r>
      <w:r w:rsidR="00C84110" w:rsidRPr="00C84110">
        <w:rPr>
          <w:rFonts w:ascii="Cambria" w:hAnsi="Cambria" w:cs="Arial"/>
          <w:sz w:val="20"/>
          <w:szCs w:val="20"/>
          <w:lang w:val="es-419" w:eastAsia="es-ES"/>
        </w:rPr>
        <w:t xml:space="preserve"> lo</w:t>
      </w:r>
      <w:r w:rsidR="0083466A" w:rsidRPr="00C84110">
        <w:rPr>
          <w:rFonts w:ascii="Cambria" w:hAnsi="Cambria" w:cs="Arial"/>
          <w:sz w:val="20"/>
          <w:szCs w:val="20"/>
          <w:lang w:val="es-419" w:eastAsia="es-ES"/>
        </w:rPr>
        <w:t xml:space="preserve"> cual </w:t>
      </w:r>
      <w:r w:rsidR="00C84110" w:rsidRPr="00C84110">
        <w:rPr>
          <w:rFonts w:ascii="Cambria" w:hAnsi="Cambria" w:cs="Arial"/>
          <w:sz w:val="20"/>
          <w:szCs w:val="20"/>
          <w:lang w:val="es-419" w:eastAsia="es-ES"/>
        </w:rPr>
        <w:t xml:space="preserve">sufrió </w:t>
      </w:r>
      <w:r w:rsidR="0083466A" w:rsidRPr="00C84110">
        <w:rPr>
          <w:rFonts w:ascii="Cambria" w:hAnsi="Cambria" w:cs="Arial"/>
          <w:sz w:val="20"/>
          <w:szCs w:val="20"/>
          <w:lang w:val="es-419" w:eastAsia="es-ES"/>
        </w:rPr>
        <w:t xml:space="preserve">una herida a </w:t>
      </w:r>
      <w:r w:rsidR="00024881" w:rsidRPr="00C84110">
        <w:rPr>
          <w:rFonts w:ascii="Cambria" w:hAnsi="Cambria" w:cs="Arial"/>
          <w:sz w:val="20"/>
          <w:szCs w:val="20"/>
          <w:lang w:val="es-419" w:eastAsia="es-ES"/>
        </w:rPr>
        <w:t>la altura de la ceja izquierda</w:t>
      </w:r>
      <w:r w:rsidR="001B03BE" w:rsidRPr="00C84110">
        <w:rPr>
          <w:rFonts w:ascii="Cambria" w:hAnsi="Cambria" w:cs="Arial"/>
          <w:sz w:val="20"/>
          <w:szCs w:val="20"/>
          <w:lang w:val="es-419" w:eastAsia="es-ES"/>
        </w:rPr>
        <w:t xml:space="preserve"> y región frontal</w:t>
      </w:r>
      <w:r w:rsidR="00024881" w:rsidRPr="00C84110">
        <w:rPr>
          <w:rFonts w:ascii="Cambria" w:hAnsi="Cambria" w:cs="Arial"/>
          <w:sz w:val="20"/>
          <w:szCs w:val="20"/>
          <w:lang w:val="es-419" w:eastAsia="es-ES"/>
        </w:rPr>
        <w:t xml:space="preserve">. </w:t>
      </w:r>
      <w:r w:rsidR="005C7BE1">
        <w:rPr>
          <w:rFonts w:ascii="Cambria" w:hAnsi="Cambria" w:cs="Arial"/>
          <w:sz w:val="20"/>
          <w:szCs w:val="20"/>
          <w:lang w:val="es-419" w:eastAsia="es-ES"/>
        </w:rPr>
        <w:t>D</w:t>
      </w:r>
      <w:r w:rsidR="005C7BE1" w:rsidRPr="00C84110">
        <w:rPr>
          <w:rFonts w:ascii="Cambria" w:hAnsi="Cambria" w:cs="Arial"/>
          <w:sz w:val="20"/>
          <w:szCs w:val="20"/>
          <w:lang w:val="es-419" w:eastAsia="es-ES"/>
        </w:rPr>
        <w:t>e acuerdo con el registro de atención prehospitalaria</w:t>
      </w:r>
      <w:r w:rsidR="005C7BE1">
        <w:rPr>
          <w:rFonts w:ascii="Cambria" w:hAnsi="Cambria" w:cs="Arial"/>
          <w:sz w:val="20"/>
          <w:szCs w:val="20"/>
          <w:lang w:val="es-419" w:eastAsia="es-ES"/>
        </w:rPr>
        <w:t>,</w:t>
      </w:r>
      <w:r w:rsidR="005C7BE1" w:rsidRPr="00C84110">
        <w:rPr>
          <w:rFonts w:ascii="Cambria" w:hAnsi="Cambria" w:cs="Arial"/>
          <w:sz w:val="20"/>
          <w:szCs w:val="20"/>
          <w:lang w:val="es-419" w:eastAsia="es-ES"/>
        </w:rPr>
        <w:t xml:space="preserve"> </w:t>
      </w:r>
      <w:r w:rsidR="00024881" w:rsidRPr="00C84110">
        <w:rPr>
          <w:rFonts w:ascii="Cambria" w:hAnsi="Cambria" w:cs="Arial"/>
          <w:sz w:val="20"/>
          <w:szCs w:val="20"/>
          <w:lang w:val="es-419" w:eastAsia="es-ES"/>
        </w:rPr>
        <w:t>la presunta víctima fue atendid</w:t>
      </w:r>
      <w:r w:rsidR="005C7BE1">
        <w:rPr>
          <w:rFonts w:ascii="Cambria" w:hAnsi="Cambria" w:cs="Arial"/>
          <w:sz w:val="20"/>
          <w:szCs w:val="20"/>
          <w:lang w:val="es-419" w:eastAsia="es-ES"/>
        </w:rPr>
        <w:t>a</w:t>
      </w:r>
      <w:r w:rsidR="00024881" w:rsidRPr="00C84110">
        <w:rPr>
          <w:rFonts w:ascii="Cambria" w:hAnsi="Cambria" w:cs="Arial"/>
          <w:sz w:val="20"/>
          <w:szCs w:val="20"/>
          <w:lang w:val="es-419" w:eastAsia="es-ES"/>
        </w:rPr>
        <w:t xml:space="preserve"> </w:t>
      </w:r>
      <w:r w:rsidR="005C7BE1">
        <w:rPr>
          <w:rFonts w:ascii="Cambria" w:hAnsi="Cambria" w:cs="Arial"/>
          <w:sz w:val="20"/>
          <w:szCs w:val="20"/>
          <w:lang w:val="es-419" w:eastAsia="es-ES"/>
        </w:rPr>
        <w:t xml:space="preserve">por miembros </w:t>
      </w:r>
      <w:r w:rsidR="00024881" w:rsidRPr="00C84110">
        <w:rPr>
          <w:rFonts w:ascii="Cambria" w:hAnsi="Cambria" w:cs="Arial"/>
          <w:sz w:val="20"/>
          <w:szCs w:val="20"/>
          <w:lang w:val="es-419" w:eastAsia="es-ES"/>
        </w:rPr>
        <w:t>del 911</w:t>
      </w:r>
      <w:r w:rsidR="00716453">
        <w:rPr>
          <w:rFonts w:ascii="Cambria" w:hAnsi="Cambria" w:cs="Arial"/>
          <w:sz w:val="20"/>
          <w:szCs w:val="20"/>
          <w:lang w:val="es-419" w:eastAsia="es-ES"/>
        </w:rPr>
        <w:t>,</w:t>
      </w:r>
      <w:r w:rsidR="00024881" w:rsidRPr="00C84110">
        <w:rPr>
          <w:rFonts w:ascii="Cambria" w:hAnsi="Cambria" w:cs="Arial"/>
          <w:sz w:val="20"/>
          <w:szCs w:val="20"/>
          <w:lang w:val="es-419" w:eastAsia="es-ES"/>
        </w:rPr>
        <w:t xml:space="preserve"> </w:t>
      </w:r>
      <w:r w:rsidR="005C7BE1">
        <w:rPr>
          <w:rFonts w:ascii="Cambria" w:hAnsi="Cambria" w:cs="Arial"/>
          <w:sz w:val="20"/>
          <w:szCs w:val="20"/>
          <w:lang w:val="es-419" w:eastAsia="es-ES"/>
        </w:rPr>
        <w:t xml:space="preserve">que </w:t>
      </w:r>
      <w:r w:rsidR="005C7BE1" w:rsidRPr="00C84110">
        <w:rPr>
          <w:rFonts w:ascii="Cambria" w:hAnsi="Cambria" w:cs="Arial"/>
          <w:sz w:val="20"/>
          <w:szCs w:val="20"/>
          <w:lang w:val="es-419" w:eastAsia="es-ES"/>
        </w:rPr>
        <w:t>le realizaron dos suturas a la herida de la ceja izquierda</w:t>
      </w:r>
      <w:r w:rsidR="005C7BE1">
        <w:rPr>
          <w:rFonts w:ascii="Cambria" w:hAnsi="Cambria" w:cs="Arial"/>
          <w:sz w:val="20"/>
          <w:szCs w:val="20"/>
          <w:lang w:val="es-419" w:eastAsia="es-ES"/>
        </w:rPr>
        <w:t>.</w:t>
      </w:r>
      <w:r w:rsidR="00D95D47" w:rsidRPr="00C84110">
        <w:rPr>
          <w:rFonts w:ascii="Cambria" w:hAnsi="Cambria" w:cs="Arial"/>
          <w:sz w:val="20"/>
          <w:szCs w:val="20"/>
          <w:lang w:val="es-419" w:eastAsia="es-ES"/>
        </w:rPr>
        <w:t xml:space="preserve"> </w:t>
      </w:r>
      <w:r w:rsidR="005C7BE1">
        <w:rPr>
          <w:rFonts w:ascii="Cambria" w:hAnsi="Cambria" w:cs="Arial"/>
          <w:sz w:val="20"/>
          <w:szCs w:val="20"/>
          <w:lang w:val="es-419" w:eastAsia="es-ES"/>
        </w:rPr>
        <w:t xml:space="preserve">Estos </w:t>
      </w:r>
      <w:r w:rsidR="00D95D47" w:rsidRPr="00C84110">
        <w:rPr>
          <w:rFonts w:ascii="Cambria" w:hAnsi="Cambria" w:cs="Arial"/>
          <w:sz w:val="20"/>
          <w:szCs w:val="20"/>
          <w:lang w:val="es-419" w:eastAsia="es-ES"/>
        </w:rPr>
        <w:t>determinaron que no era necesario trasladarl</w:t>
      </w:r>
      <w:r w:rsidR="00716453">
        <w:rPr>
          <w:rFonts w:ascii="Cambria" w:hAnsi="Cambria" w:cs="Arial"/>
          <w:sz w:val="20"/>
          <w:szCs w:val="20"/>
          <w:lang w:val="es-419" w:eastAsia="es-ES"/>
        </w:rPr>
        <w:t>a</w:t>
      </w:r>
      <w:r w:rsidR="00D95D47" w:rsidRPr="00C84110">
        <w:rPr>
          <w:rFonts w:ascii="Cambria" w:hAnsi="Cambria" w:cs="Arial"/>
          <w:sz w:val="20"/>
          <w:szCs w:val="20"/>
          <w:lang w:val="es-419" w:eastAsia="es-ES"/>
        </w:rPr>
        <w:t xml:space="preserve"> a una casa asistencial en tanto se encontraba “consciente, orientado y con signos vitales normales” y</w:t>
      </w:r>
      <w:r w:rsidR="00716453">
        <w:rPr>
          <w:rFonts w:ascii="Cambria" w:hAnsi="Cambria" w:cs="Arial"/>
          <w:sz w:val="20"/>
          <w:szCs w:val="20"/>
          <w:lang w:val="es-419" w:eastAsia="es-ES"/>
        </w:rPr>
        <w:t xml:space="preserve"> porque</w:t>
      </w:r>
      <w:r w:rsidR="00D95D47" w:rsidRPr="00C84110">
        <w:rPr>
          <w:rFonts w:ascii="Cambria" w:hAnsi="Cambria" w:cs="Arial"/>
          <w:sz w:val="20"/>
          <w:szCs w:val="20"/>
          <w:lang w:val="es-419" w:eastAsia="es-ES"/>
        </w:rPr>
        <w:t xml:space="preserve"> la misma presunta víctima expres</w:t>
      </w:r>
      <w:r w:rsidR="00C84110" w:rsidRPr="00C84110">
        <w:rPr>
          <w:rFonts w:ascii="Cambria" w:hAnsi="Cambria" w:cs="Arial"/>
          <w:sz w:val="20"/>
          <w:szCs w:val="20"/>
          <w:lang w:val="es-419" w:eastAsia="es-ES"/>
        </w:rPr>
        <w:t xml:space="preserve">ó </w:t>
      </w:r>
      <w:r w:rsidR="00D95D47" w:rsidRPr="00C84110">
        <w:rPr>
          <w:rFonts w:ascii="Cambria" w:hAnsi="Cambria" w:cs="Arial"/>
          <w:sz w:val="20"/>
          <w:szCs w:val="20"/>
          <w:lang w:val="es-419" w:eastAsia="es-ES"/>
        </w:rPr>
        <w:t xml:space="preserve">sufrir de convulsiones. </w:t>
      </w:r>
      <w:r w:rsidR="00716453">
        <w:rPr>
          <w:rFonts w:ascii="Cambria" w:hAnsi="Cambria" w:cs="Arial"/>
          <w:sz w:val="20"/>
          <w:szCs w:val="20"/>
          <w:lang w:val="es-419" w:eastAsia="es-ES"/>
        </w:rPr>
        <w:t xml:space="preserve">El </w:t>
      </w:r>
      <w:r w:rsidR="00D95D47" w:rsidRPr="00C84110">
        <w:rPr>
          <w:rFonts w:ascii="Cambria" w:hAnsi="Cambria" w:cs="Arial"/>
          <w:sz w:val="20"/>
          <w:szCs w:val="20"/>
          <w:lang w:val="es-419" w:eastAsia="es-ES"/>
        </w:rPr>
        <w:t xml:space="preserve">11 de agosto de 2011 tuvo lugar la audiencia oral de juzgamiento </w:t>
      </w:r>
      <w:r w:rsidR="00716453">
        <w:rPr>
          <w:rFonts w:ascii="Cambria" w:hAnsi="Cambria" w:cs="Arial"/>
          <w:sz w:val="20"/>
          <w:szCs w:val="20"/>
          <w:lang w:val="es-419" w:eastAsia="es-ES"/>
        </w:rPr>
        <w:t xml:space="preserve">conforme al </w:t>
      </w:r>
      <w:r w:rsidR="00D95D47" w:rsidRPr="00C84110">
        <w:rPr>
          <w:rFonts w:ascii="Cambria" w:hAnsi="Cambria" w:cs="Arial"/>
          <w:sz w:val="20"/>
          <w:szCs w:val="20"/>
          <w:lang w:val="es-419" w:eastAsia="es-ES"/>
        </w:rPr>
        <w:t xml:space="preserve">Código de Procedimiento Penal, en la cual se declaró a la presunta </w:t>
      </w:r>
      <w:r w:rsidR="002F5791" w:rsidRPr="00C84110">
        <w:rPr>
          <w:rFonts w:ascii="Cambria" w:hAnsi="Cambria" w:cs="Arial"/>
          <w:sz w:val="20"/>
          <w:szCs w:val="20"/>
          <w:lang w:val="es-419" w:eastAsia="es-ES"/>
        </w:rPr>
        <w:t>víctima</w:t>
      </w:r>
      <w:r w:rsidR="00D95D47" w:rsidRPr="00C84110">
        <w:rPr>
          <w:rFonts w:ascii="Cambria" w:hAnsi="Cambria" w:cs="Arial"/>
          <w:sz w:val="20"/>
          <w:szCs w:val="20"/>
          <w:lang w:val="es-419" w:eastAsia="es-ES"/>
        </w:rPr>
        <w:t xml:space="preserve"> autor</w:t>
      </w:r>
      <w:r w:rsidR="00716453">
        <w:rPr>
          <w:rFonts w:ascii="Cambria" w:hAnsi="Cambria" w:cs="Arial"/>
          <w:sz w:val="20"/>
          <w:szCs w:val="20"/>
          <w:lang w:val="es-419" w:eastAsia="es-ES"/>
        </w:rPr>
        <w:t>a</w:t>
      </w:r>
      <w:r w:rsidR="00D95D47" w:rsidRPr="00C84110">
        <w:rPr>
          <w:rFonts w:ascii="Cambria" w:hAnsi="Cambria" w:cs="Arial"/>
          <w:sz w:val="20"/>
          <w:szCs w:val="20"/>
          <w:lang w:val="es-419" w:eastAsia="es-ES"/>
        </w:rPr>
        <w:t xml:space="preserve"> y responsable del delito especificado</w:t>
      </w:r>
      <w:r w:rsidR="00716453">
        <w:rPr>
          <w:rFonts w:ascii="Cambria" w:hAnsi="Cambria" w:cs="Arial"/>
          <w:sz w:val="20"/>
          <w:szCs w:val="20"/>
          <w:lang w:val="es-419" w:eastAsia="es-ES"/>
        </w:rPr>
        <w:t>,</w:t>
      </w:r>
      <w:r w:rsidR="00D95D47" w:rsidRPr="00C84110">
        <w:rPr>
          <w:rFonts w:ascii="Cambria" w:hAnsi="Cambria" w:cs="Arial"/>
          <w:sz w:val="20"/>
          <w:szCs w:val="20"/>
          <w:lang w:val="es-419" w:eastAsia="es-ES"/>
        </w:rPr>
        <w:t xml:space="preserve"> </w:t>
      </w:r>
      <w:r w:rsidR="00716453">
        <w:rPr>
          <w:rFonts w:ascii="Cambria" w:hAnsi="Cambria" w:cs="Arial"/>
          <w:sz w:val="20"/>
          <w:szCs w:val="20"/>
          <w:lang w:val="es-419" w:eastAsia="es-ES"/>
        </w:rPr>
        <w:t>por lo que</w:t>
      </w:r>
      <w:r w:rsidR="00D95D47" w:rsidRPr="00C84110">
        <w:rPr>
          <w:rFonts w:ascii="Cambria" w:hAnsi="Cambria" w:cs="Arial"/>
          <w:sz w:val="20"/>
          <w:szCs w:val="20"/>
          <w:lang w:val="es-419" w:eastAsia="es-ES"/>
        </w:rPr>
        <w:t xml:space="preserve"> fue condenad</w:t>
      </w:r>
      <w:r w:rsidR="00716453">
        <w:rPr>
          <w:rFonts w:ascii="Cambria" w:hAnsi="Cambria" w:cs="Arial"/>
          <w:sz w:val="20"/>
          <w:szCs w:val="20"/>
          <w:lang w:val="es-419" w:eastAsia="es-ES"/>
        </w:rPr>
        <w:t>a</w:t>
      </w:r>
      <w:r w:rsidR="00D95D47" w:rsidRPr="00C84110">
        <w:rPr>
          <w:rFonts w:ascii="Cambria" w:hAnsi="Cambria" w:cs="Arial"/>
          <w:sz w:val="20"/>
          <w:szCs w:val="20"/>
          <w:lang w:val="es-419" w:eastAsia="es-ES"/>
        </w:rPr>
        <w:t xml:space="preserve"> a cuatro días de prisión desde su ingreso al mismo</w:t>
      </w:r>
      <w:r w:rsidR="00C84110" w:rsidRPr="00C84110">
        <w:rPr>
          <w:rFonts w:ascii="Cambria" w:hAnsi="Cambria" w:cs="Arial"/>
          <w:sz w:val="20"/>
          <w:szCs w:val="20"/>
          <w:lang w:val="es-419" w:eastAsia="es-ES"/>
        </w:rPr>
        <w:t xml:space="preserve"> por lo que sería liberado </w:t>
      </w:r>
      <w:r w:rsidR="002F75FD" w:rsidRPr="00C84110">
        <w:rPr>
          <w:rFonts w:ascii="Cambria" w:hAnsi="Cambria" w:cs="Arial"/>
          <w:sz w:val="20"/>
          <w:szCs w:val="20"/>
          <w:lang w:val="es-419" w:eastAsia="es-ES"/>
        </w:rPr>
        <w:t xml:space="preserve">el 12 de agosto del mismo año. </w:t>
      </w:r>
    </w:p>
    <w:p w14:paraId="1D90690A" w14:textId="77777777" w:rsidR="002F75FD" w:rsidRPr="00E446FA" w:rsidRDefault="002F75FD" w:rsidP="00C7480B">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Cambria" w:hAnsi="Cambria" w:cs="Arial"/>
          <w:sz w:val="20"/>
          <w:szCs w:val="20"/>
          <w:lang w:val="es-419" w:eastAsia="es-ES"/>
        </w:rPr>
      </w:pPr>
    </w:p>
    <w:p w14:paraId="66ABD249" w14:textId="106B86D5" w:rsidR="00E446FA" w:rsidRPr="00D96741" w:rsidRDefault="002F75FD"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Arial"/>
          <w:sz w:val="20"/>
          <w:szCs w:val="20"/>
          <w:lang w:val="es-419" w:eastAsia="es-ES"/>
        </w:rPr>
      </w:pPr>
      <w:r w:rsidRPr="00E446FA">
        <w:rPr>
          <w:rFonts w:ascii="Cambria" w:hAnsi="Cambria" w:cs="Arial"/>
          <w:sz w:val="20"/>
          <w:szCs w:val="20"/>
          <w:lang w:val="es-419" w:eastAsia="es-ES"/>
        </w:rPr>
        <w:t>Argumenta que a las 6 de la mañana del 12 de agosto, durante el conteo de los detenidos, la presunta víctima expresó haber tenido problemas para dormir</w:t>
      </w:r>
      <w:r w:rsidR="00716453">
        <w:rPr>
          <w:rFonts w:ascii="Cambria" w:hAnsi="Cambria" w:cs="Arial"/>
          <w:sz w:val="20"/>
          <w:szCs w:val="20"/>
          <w:lang w:val="es-419" w:eastAsia="es-ES"/>
        </w:rPr>
        <w:t xml:space="preserve">; esto fue </w:t>
      </w:r>
      <w:r w:rsidR="00E446FA" w:rsidRPr="00E446FA">
        <w:rPr>
          <w:rFonts w:ascii="Cambria" w:hAnsi="Cambria" w:cs="Arial"/>
          <w:sz w:val="20"/>
          <w:szCs w:val="20"/>
          <w:lang w:val="es-419" w:eastAsia="es-ES"/>
        </w:rPr>
        <w:t>confirma</w:t>
      </w:r>
      <w:r w:rsidR="00716453">
        <w:rPr>
          <w:rFonts w:ascii="Cambria" w:hAnsi="Cambria" w:cs="Arial"/>
          <w:sz w:val="20"/>
          <w:szCs w:val="20"/>
          <w:lang w:val="es-419" w:eastAsia="es-ES"/>
        </w:rPr>
        <w:t xml:space="preserve">do por </w:t>
      </w:r>
      <w:r w:rsidRPr="00E446FA">
        <w:rPr>
          <w:rFonts w:ascii="Cambria" w:hAnsi="Cambria" w:cs="Arial"/>
          <w:sz w:val="20"/>
          <w:szCs w:val="20"/>
          <w:lang w:val="es-419" w:eastAsia="es-ES"/>
        </w:rPr>
        <w:t>sus compañeros de celda</w:t>
      </w:r>
      <w:r w:rsidR="00716453">
        <w:rPr>
          <w:rFonts w:ascii="Cambria" w:hAnsi="Cambria" w:cs="Arial"/>
          <w:sz w:val="20"/>
          <w:szCs w:val="20"/>
          <w:lang w:val="es-419" w:eastAsia="es-ES"/>
        </w:rPr>
        <w:t>,</w:t>
      </w:r>
      <w:r w:rsidR="0083466A" w:rsidRPr="00E446FA">
        <w:rPr>
          <w:rFonts w:ascii="Cambria" w:hAnsi="Cambria" w:cs="Arial"/>
          <w:sz w:val="20"/>
          <w:szCs w:val="20"/>
          <w:lang w:val="es-419" w:eastAsia="es-ES"/>
        </w:rPr>
        <w:t xml:space="preserve"> que agregaron que </w:t>
      </w:r>
      <w:r w:rsidR="00E446FA" w:rsidRPr="00E446FA">
        <w:rPr>
          <w:rFonts w:ascii="Cambria" w:hAnsi="Cambria" w:cs="Arial"/>
          <w:sz w:val="20"/>
          <w:szCs w:val="20"/>
          <w:lang w:val="es-419" w:eastAsia="es-ES"/>
        </w:rPr>
        <w:t>habló</w:t>
      </w:r>
      <w:r w:rsidR="00A73188">
        <w:rPr>
          <w:rFonts w:ascii="Cambria" w:hAnsi="Cambria" w:cs="Arial"/>
          <w:sz w:val="20"/>
          <w:szCs w:val="20"/>
          <w:lang w:val="es-419" w:eastAsia="es-ES"/>
        </w:rPr>
        <w:t xml:space="preserve"> en forma inco</w:t>
      </w:r>
      <w:r w:rsidR="0083466A" w:rsidRPr="00E446FA">
        <w:rPr>
          <w:rFonts w:ascii="Cambria" w:hAnsi="Cambria" w:cs="Arial"/>
          <w:sz w:val="20"/>
          <w:szCs w:val="20"/>
          <w:lang w:val="es-419" w:eastAsia="es-ES"/>
        </w:rPr>
        <w:t>heren</w:t>
      </w:r>
      <w:r w:rsidR="00A73188">
        <w:rPr>
          <w:rFonts w:ascii="Cambria" w:hAnsi="Cambria" w:cs="Arial"/>
          <w:sz w:val="20"/>
          <w:szCs w:val="20"/>
          <w:lang w:val="es-419" w:eastAsia="es-ES"/>
        </w:rPr>
        <w:t>te</w:t>
      </w:r>
      <w:r w:rsidR="00E446FA" w:rsidRPr="00E446FA">
        <w:rPr>
          <w:rFonts w:ascii="Cambria" w:hAnsi="Cambria" w:cs="Arial"/>
          <w:sz w:val="20"/>
          <w:szCs w:val="20"/>
          <w:lang w:val="es-419" w:eastAsia="es-ES"/>
        </w:rPr>
        <w:t xml:space="preserve"> continuamente durante la noche</w:t>
      </w:r>
      <w:r w:rsidRPr="00E446FA">
        <w:rPr>
          <w:rFonts w:ascii="Cambria" w:hAnsi="Cambria" w:cs="Arial"/>
          <w:sz w:val="20"/>
          <w:szCs w:val="20"/>
          <w:lang w:val="es-419" w:eastAsia="es-ES"/>
        </w:rPr>
        <w:t xml:space="preserve">. </w:t>
      </w:r>
      <w:r w:rsidR="00E446FA" w:rsidRPr="00E446FA">
        <w:rPr>
          <w:rFonts w:ascii="Cambria" w:hAnsi="Cambria" w:cs="Arial"/>
          <w:sz w:val="20"/>
          <w:szCs w:val="20"/>
          <w:lang w:val="es-419" w:eastAsia="es-ES"/>
        </w:rPr>
        <w:t>E</w:t>
      </w:r>
      <w:r w:rsidR="00A73188">
        <w:rPr>
          <w:rFonts w:ascii="Cambria" w:hAnsi="Cambria" w:cs="Arial"/>
          <w:sz w:val="20"/>
          <w:szCs w:val="20"/>
          <w:lang w:val="es-419" w:eastAsia="es-ES"/>
        </w:rPr>
        <w:t>l Estado</w:t>
      </w:r>
      <w:r w:rsidR="00E446FA" w:rsidRPr="00E446FA">
        <w:rPr>
          <w:rFonts w:ascii="Cambria" w:hAnsi="Cambria" w:cs="Arial"/>
          <w:sz w:val="20"/>
          <w:szCs w:val="20"/>
          <w:lang w:val="es-419" w:eastAsia="es-ES"/>
        </w:rPr>
        <w:t xml:space="preserve"> r</w:t>
      </w:r>
      <w:r w:rsidRPr="00E446FA">
        <w:rPr>
          <w:rFonts w:ascii="Cambria" w:hAnsi="Cambria" w:cs="Arial"/>
          <w:sz w:val="20"/>
          <w:szCs w:val="20"/>
          <w:lang w:val="es-419" w:eastAsia="es-ES"/>
        </w:rPr>
        <w:t xml:space="preserve">ecalca que dos horas </w:t>
      </w:r>
      <w:r w:rsidR="007368D7" w:rsidRPr="00E446FA">
        <w:rPr>
          <w:rFonts w:ascii="Cambria" w:hAnsi="Cambria" w:cs="Arial"/>
          <w:sz w:val="20"/>
          <w:szCs w:val="20"/>
          <w:lang w:val="es-419" w:eastAsia="es-ES"/>
        </w:rPr>
        <w:t>más</w:t>
      </w:r>
      <w:r w:rsidRPr="00E446FA">
        <w:rPr>
          <w:rFonts w:ascii="Cambria" w:hAnsi="Cambria" w:cs="Arial"/>
          <w:sz w:val="20"/>
          <w:szCs w:val="20"/>
          <w:lang w:val="es-419" w:eastAsia="es-ES"/>
        </w:rPr>
        <w:t xml:space="preserve"> tarde, los detenidos notificaron a</w:t>
      </w:r>
      <w:r w:rsidR="00A73188">
        <w:rPr>
          <w:rFonts w:ascii="Cambria" w:hAnsi="Cambria" w:cs="Arial"/>
          <w:sz w:val="20"/>
          <w:szCs w:val="20"/>
          <w:lang w:val="es-419" w:eastAsia="es-ES"/>
        </w:rPr>
        <w:t>l</w:t>
      </w:r>
      <w:r w:rsidR="0083466A" w:rsidRPr="00E446FA">
        <w:rPr>
          <w:rFonts w:ascii="Cambria" w:hAnsi="Cambria" w:cs="Arial"/>
          <w:sz w:val="20"/>
          <w:szCs w:val="20"/>
          <w:lang w:val="es-419" w:eastAsia="es-ES"/>
        </w:rPr>
        <w:t xml:space="preserve"> personal policial de guardia </w:t>
      </w:r>
      <w:r w:rsidRPr="00E446FA">
        <w:rPr>
          <w:rFonts w:ascii="Cambria" w:hAnsi="Cambria" w:cs="Arial"/>
          <w:sz w:val="20"/>
          <w:szCs w:val="20"/>
          <w:lang w:val="es-419" w:eastAsia="es-ES"/>
        </w:rPr>
        <w:t>que la presunta víctima no estaba respirando</w:t>
      </w:r>
      <w:r w:rsidR="00A73188">
        <w:rPr>
          <w:rFonts w:ascii="Cambria" w:hAnsi="Cambria" w:cs="Arial"/>
          <w:sz w:val="20"/>
          <w:szCs w:val="20"/>
          <w:lang w:val="es-419" w:eastAsia="es-ES"/>
        </w:rPr>
        <w:t>;</w:t>
      </w:r>
      <w:r w:rsidRPr="00E446FA">
        <w:rPr>
          <w:rFonts w:ascii="Cambria" w:hAnsi="Cambria" w:cs="Arial"/>
          <w:sz w:val="20"/>
          <w:szCs w:val="20"/>
          <w:lang w:val="es-419" w:eastAsia="es-ES"/>
        </w:rPr>
        <w:t xml:space="preserve"> </w:t>
      </w:r>
      <w:r w:rsidR="00A73188">
        <w:rPr>
          <w:rFonts w:ascii="Cambria" w:hAnsi="Cambria" w:cs="Arial"/>
          <w:sz w:val="20"/>
          <w:szCs w:val="20"/>
          <w:lang w:val="es-419" w:eastAsia="es-ES"/>
        </w:rPr>
        <w:t xml:space="preserve">la policía llamó </w:t>
      </w:r>
      <w:r w:rsidRPr="00E446FA">
        <w:rPr>
          <w:rFonts w:ascii="Cambria" w:hAnsi="Cambria" w:cs="Arial"/>
          <w:sz w:val="20"/>
          <w:szCs w:val="20"/>
          <w:lang w:val="es-419" w:eastAsia="es-ES"/>
        </w:rPr>
        <w:t>al personal de 911</w:t>
      </w:r>
      <w:r w:rsidR="00A73188">
        <w:rPr>
          <w:rFonts w:ascii="Cambria" w:hAnsi="Cambria" w:cs="Arial"/>
          <w:sz w:val="20"/>
          <w:szCs w:val="20"/>
          <w:lang w:val="es-419" w:eastAsia="es-ES"/>
        </w:rPr>
        <w:t>,</w:t>
      </w:r>
      <w:r w:rsidRPr="00E446FA">
        <w:rPr>
          <w:rFonts w:ascii="Cambria" w:hAnsi="Cambria" w:cs="Arial"/>
          <w:sz w:val="20"/>
          <w:szCs w:val="20"/>
          <w:lang w:val="es-419" w:eastAsia="es-ES"/>
        </w:rPr>
        <w:t xml:space="preserve"> qu</w:t>
      </w:r>
      <w:r w:rsidR="00A73188">
        <w:rPr>
          <w:rFonts w:ascii="Cambria" w:hAnsi="Cambria" w:cs="Arial"/>
          <w:sz w:val="20"/>
          <w:szCs w:val="20"/>
          <w:lang w:val="es-419" w:eastAsia="es-ES"/>
        </w:rPr>
        <w:t>e</w:t>
      </w:r>
      <w:r w:rsidRPr="00E446FA">
        <w:rPr>
          <w:rFonts w:ascii="Cambria" w:hAnsi="Cambria" w:cs="Arial"/>
          <w:sz w:val="20"/>
          <w:szCs w:val="20"/>
          <w:lang w:val="es-419" w:eastAsia="es-ES"/>
        </w:rPr>
        <w:t xml:space="preserve"> confirm</w:t>
      </w:r>
      <w:r w:rsidR="00A73188">
        <w:rPr>
          <w:rFonts w:ascii="Cambria" w:hAnsi="Cambria" w:cs="Arial"/>
          <w:sz w:val="20"/>
          <w:szCs w:val="20"/>
          <w:lang w:val="es-419" w:eastAsia="es-ES"/>
        </w:rPr>
        <w:t>ó</w:t>
      </w:r>
      <w:r w:rsidRPr="00E446FA">
        <w:rPr>
          <w:rFonts w:ascii="Cambria" w:hAnsi="Cambria" w:cs="Arial"/>
          <w:sz w:val="20"/>
          <w:szCs w:val="20"/>
          <w:lang w:val="es-419" w:eastAsia="es-ES"/>
        </w:rPr>
        <w:t xml:space="preserve"> su deceso. </w:t>
      </w:r>
      <w:r w:rsidR="00A73188">
        <w:rPr>
          <w:rFonts w:ascii="Cambria" w:hAnsi="Cambria" w:cs="Arial"/>
          <w:sz w:val="20"/>
          <w:szCs w:val="20"/>
          <w:lang w:val="es-419" w:eastAsia="es-ES"/>
        </w:rPr>
        <w:t>S</w:t>
      </w:r>
      <w:r w:rsidRPr="00E446FA">
        <w:rPr>
          <w:rFonts w:ascii="Cambria" w:hAnsi="Cambria" w:cs="Arial"/>
          <w:sz w:val="20"/>
          <w:szCs w:val="20"/>
          <w:lang w:val="es-419" w:eastAsia="es-ES"/>
        </w:rPr>
        <w:t xml:space="preserve">eguidamente concurrieron al centro de detención la Policía Judicial </w:t>
      </w:r>
      <w:r w:rsidR="00094D95" w:rsidRPr="00E446FA">
        <w:rPr>
          <w:rFonts w:ascii="Cambria" w:hAnsi="Cambria" w:cs="Arial"/>
          <w:sz w:val="20"/>
          <w:szCs w:val="20"/>
          <w:lang w:val="es-419" w:eastAsia="es-ES"/>
        </w:rPr>
        <w:t xml:space="preserve">y de Criminalística para el levantamiento de cadáver y </w:t>
      </w:r>
      <w:r w:rsidR="00A73188">
        <w:rPr>
          <w:rFonts w:ascii="Cambria" w:hAnsi="Cambria" w:cs="Arial"/>
          <w:sz w:val="20"/>
          <w:szCs w:val="20"/>
          <w:lang w:val="es-419" w:eastAsia="es-ES"/>
        </w:rPr>
        <w:t xml:space="preserve">su </w:t>
      </w:r>
      <w:r w:rsidR="00094D95" w:rsidRPr="00E446FA">
        <w:rPr>
          <w:rFonts w:ascii="Cambria" w:hAnsi="Cambria" w:cs="Arial"/>
          <w:sz w:val="20"/>
          <w:szCs w:val="20"/>
          <w:lang w:val="es-419" w:eastAsia="es-ES"/>
        </w:rPr>
        <w:t>traslado a la morgue del Hospital San Vicente de Paul</w:t>
      </w:r>
      <w:r w:rsidR="00A73188">
        <w:rPr>
          <w:rFonts w:ascii="Cambria" w:hAnsi="Cambria" w:cs="Arial"/>
          <w:sz w:val="20"/>
          <w:szCs w:val="20"/>
          <w:lang w:val="es-419" w:eastAsia="es-ES"/>
        </w:rPr>
        <w:t>,</w:t>
      </w:r>
      <w:r w:rsidR="00094D95" w:rsidRPr="00E446FA">
        <w:rPr>
          <w:rFonts w:ascii="Cambria" w:hAnsi="Cambria" w:cs="Arial"/>
          <w:sz w:val="20"/>
          <w:szCs w:val="20"/>
          <w:lang w:val="es-419" w:eastAsia="es-ES"/>
        </w:rPr>
        <w:t xml:space="preserve"> donde </w:t>
      </w:r>
      <w:r w:rsidR="00A73188">
        <w:rPr>
          <w:rFonts w:ascii="Cambria" w:hAnsi="Cambria" w:cs="Arial"/>
          <w:sz w:val="20"/>
          <w:szCs w:val="20"/>
          <w:lang w:val="es-419" w:eastAsia="es-ES"/>
        </w:rPr>
        <w:t>se</w:t>
      </w:r>
      <w:r w:rsidR="00094D95" w:rsidRPr="00E446FA">
        <w:rPr>
          <w:rFonts w:ascii="Cambria" w:hAnsi="Cambria" w:cs="Arial"/>
          <w:sz w:val="20"/>
          <w:szCs w:val="20"/>
          <w:lang w:val="es-419" w:eastAsia="es-ES"/>
        </w:rPr>
        <w:t xml:space="preserve"> realiz</w:t>
      </w:r>
      <w:r w:rsidR="00A73188">
        <w:rPr>
          <w:rFonts w:ascii="Cambria" w:hAnsi="Cambria" w:cs="Arial"/>
          <w:sz w:val="20"/>
          <w:szCs w:val="20"/>
          <w:lang w:val="es-419" w:eastAsia="es-ES"/>
        </w:rPr>
        <w:t>ó</w:t>
      </w:r>
      <w:r w:rsidR="00094D95" w:rsidRPr="00E446FA">
        <w:rPr>
          <w:rFonts w:ascii="Cambria" w:hAnsi="Cambria" w:cs="Arial"/>
          <w:sz w:val="20"/>
          <w:szCs w:val="20"/>
          <w:lang w:val="es-419" w:eastAsia="es-ES"/>
        </w:rPr>
        <w:t xml:space="preserve"> la autopsia médico legal </w:t>
      </w:r>
      <w:r w:rsidR="00094D95" w:rsidRPr="00D96741">
        <w:rPr>
          <w:rFonts w:ascii="Cambria" w:hAnsi="Cambria" w:cs="Arial"/>
          <w:sz w:val="20"/>
          <w:szCs w:val="20"/>
          <w:lang w:val="es-419" w:eastAsia="es-ES"/>
        </w:rPr>
        <w:t xml:space="preserve">en la que se determinó que la muerte fue causada por una hemorragia cerebral por traumatismo </w:t>
      </w:r>
      <w:r w:rsidR="00E446FA" w:rsidRPr="00D96741">
        <w:rPr>
          <w:rFonts w:ascii="Cambria" w:hAnsi="Cambria" w:cs="Arial"/>
          <w:sz w:val="20"/>
          <w:szCs w:val="20"/>
          <w:lang w:val="es-419" w:eastAsia="es-ES"/>
        </w:rPr>
        <w:t>craneoencefálico</w:t>
      </w:r>
      <w:r w:rsidR="00094D95" w:rsidRPr="00D96741">
        <w:rPr>
          <w:rFonts w:ascii="Cambria" w:hAnsi="Cambria" w:cs="Arial"/>
          <w:sz w:val="20"/>
          <w:szCs w:val="20"/>
          <w:lang w:val="es-419" w:eastAsia="es-ES"/>
        </w:rPr>
        <w:t xml:space="preserve"> contuso. </w:t>
      </w:r>
    </w:p>
    <w:p w14:paraId="68AF1ED9" w14:textId="77777777" w:rsidR="00E446FA" w:rsidRPr="00D96741" w:rsidRDefault="00E446FA" w:rsidP="00C7480B">
      <w:pPr>
        <w:pStyle w:val="ListParagraph"/>
        <w:rPr>
          <w:rFonts w:cs="Arial"/>
          <w:sz w:val="20"/>
          <w:szCs w:val="20"/>
          <w:lang w:val="es-419"/>
        </w:rPr>
      </w:pPr>
    </w:p>
    <w:p w14:paraId="62693B6F" w14:textId="218349BD" w:rsidR="00094D95" w:rsidRPr="00D96741" w:rsidRDefault="00A73188"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Arial"/>
          <w:sz w:val="20"/>
          <w:szCs w:val="20"/>
          <w:lang w:val="es-419" w:eastAsia="es-ES"/>
        </w:rPr>
      </w:pPr>
      <w:r>
        <w:rPr>
          <w:rFonts w:ascii="Cambria" w:hAnsi="Cambria" w:cs="Arial"/>
          <w:sz w:val="20"/>
          <w:szCs w:val="20"/>
          <w:lang w:val="es-419" w:eastAsia="es-ES"/>
        </w:rPr>
        <w:t>C</w:t>
      </w:r>
      <w:r w:rsidR="00094D95" w:rsidRPr="00D96741">
        <w:rPr>
          <w:rFonts w:ascii="Cambria" w:hAnsi="Cambria" w:cs="Arial"/>
          <w:sz w:val="20"/>
          <w:szCs w:val="20"/>
          <w:lang w:val="es-419" w:eastAsia="es-ES"/>
        </w:rPr>
        <w:t xml:space="preserve">on base en esta información, </w:t>
      </w:r>
      <w:r w:rsidR="001132DE" w:rsidRPr="00D96741">
        <w:rPr>
          <w:rFonts w:ascii="Cambria" w:hAnsi="Cambria" w:cs="Arial"/>
          <w:sz w:val="20"/>
          <w:szCs w:val="20"/>
          <w:lang w:val="es-419" w:eastAsia="es-ES"/>
        </w:rPr>
        <w:t>la Fiscalía de Imbabura</w:t>
      </w:r>
      <w:r w:rsidR="00094D95" w:rsidRPr="00D96741">
        <w:rPr>
          <w:rFonts w:ascii="Cambria" w:hAnsi="Cambria" w:cs="Arial"/>
          <w:sz w:val="20"/>
          <w:szCs w:val="20"/>
          <w:lang w:val="es-419" w:eastAsia="es-ES"/>
        </w:rPr>
        <w:t xml:space="preserve"> </w:t>
      </w:r>
      <w:r w:rsidR="00E446FA" w:rsidRPr="00D96741">
        <w:rPr>
          <w:rFonts w:ascii="Cambria" w:hAnsi="Cambria" w:cs="Arial"/>
          <w:sz w:val="20"/>
          <w:szCs w:val="20"/>
          <w:lang w:val="es-419" w:eastAsia="es-ES"/>
        </w:rPr>
        <w:t>inició el 15 de agosto de 2011</w:t>
      </w:r>
      <w:r w:rsidR="00094D95" w:rsidRPr="00D96741">
        <w:rPr>
          <w:rFonts w:ascii="Cambria" w:hAnsi="Cambria" w:cs="Arial"/>
          <w:sz w:val="20"/>
          <w:szCs w:val="20"/>
          <w:lang w:val="es-419" w:eastAsia="es-ES"/>
        </w:rPr>
        <w:t xml:space="preserve"> la indagación previa</w:t>
      </w:r>
      <w:r>
        <w:rPr>
          <w:rFonts w:ascii="Cambria" w:hAnsi="Cambria" w:cs="Arial"/>
          <w:sz w:val="20"/>
          <w:szCs w:val="20"/>
          <w:lang w:val="es-419" w:eastAsia="es-ES"/>
        </w:rPr>
        <w:t>,</w:t>
      </w:r>
      <w:r w:rsidR="00D96741" w:rsidRPr="00D96741">
        <w:rPr>
          <w:rFonts w:ascii="Cambria" w:hAnsi="Cambria" w:cs="Arial"/>
          <w:sz w:val="20"/>
          <w:szCs w:val="20"/>
          <w:lang w:val="es-419" w:eastAsia="es-ES"/>
        </w:rPr>
        <w:t xml:space="preserve"> en </w:t>
      </w:r>
      <w:r>
        <w:rPr>
          <w:rFonts w:ascii="Cambria" w:hAnsi="Cambria" w:cs="Arial"/>
          <w:sz w:val="20"/>
          <w:szCs w:val="20"/>
          <w:lang w:val="es-419" w:eastAsia="es-ES"/>
        </w:rPr>
        <w:t xml:space="preserve">cuyo </w:t>
      </w:r>
      <w:r w:rsidR="00D96741" w:rsidRPr="00D96741">
        <w:rPr>
          <w:rFonts w:ascii="Cambria" w:hAnsi="Cambria" w:cs="Arial"/>
          <w:sz w:val="20"/>
          <w:szCs w:val="20"/>
          <w:lang w:val="es-419" w:eastAsia="es-ES"/>
        </w:rPr>
        <w:t xml:space="preserve">marco </w:t>
      </w:r>
      <w:r>
        <w:rPr>
          <w:rFonts w:ascii="Cambria" w:hAnsi="Cambria" w:cs="Arial"/>
          <w:sz w:val="20"/>
          <w:szCs w:val="20"/>
          <w:lang w:val="es-419" w:eastAsia="es-ES"/>
        </w:rPr>
        <w:t>se</w:t>
      </w:r>
      <w:r w:rsidR="00D96741" w:rsidRPr="00D96741">
        <w:rPr>
          <w:rFonts w:ascii="Cambria" w:hAnsi="Cambria" w:cs="Arial"/>
          <w:sz w:val="20"/>
          <w:szCs w:val="20"/>
          <w:lang w:val="es-419" w:eastAsia="es-ES"/>
        </w:rPr>
        <w:t xml:space="preserve"> cual </w:t>
      </w:r>
      <w:r w:rsidR="00403D3C" w:rsidRPr="00D96741">
        <w:rPr>
          <w:rFonts w:ascii="Cambria" w:hAnsi="Cambria" w:cs="Arial"/>
          <w:sz w:val="20"/>
          <w:szCs w:val="20"/>
          <w:lang w:val="es-419" w:eastAsia="es-ES"/>
        </w:rPr>
        <w:t>realizaron distintas diligencias</w:t>
      </w:r>
      <w:r>
        <w:rPr>
          <w:rFonts w:ascii="Cambria" w:hAnsi="Cambria" w:cs="Arial"/>
          <w:sz w:val="20"/>
          <w:szCs w:val="20"/>
          <w:lang w:val="es-419" w:eastAsia="es-ES"/>
        </w:rPr>
        <w:t>, tales</w:t>
      </w:r>
      <w:r w:rsidR="00403D3C" w:rsidRPr="00D96741">
        <w:rPr>
          <w:rFonts w:ascii="Cambria" w:hAnsi="Cambria" w:cs="Arial"/>
          <w:sz w:val="20"/>
          <w:szCs w:val="20"/>
          <w:lang w:val="es-419" w:eastAsia="es-ES"/>
        </w:rPr>
        <w:t xml:space="preserve"> como el reconocimiento del lugar d</w:t>
      </w:r>
      <w:r w:rsidR="00D96741" w:rsidRPr="00D96741">
        <w:rPr>
          <w:rFonts w:ascii="Cambria" w:hAnsi="Cambria" w:cs="Arial"/>
          <w:sz w:val="20"/>
          <w:szCs w:val="20"/>
          <w:lang w:val="es-419" w:eastAsia="es-ES"/>
        </w:rPr>
        <w:t xml:space="preserve">e </w:t>
      </w:r>
      <w:r w:rsidR="00403D3C" w:rsidRPr="00D96741">
        <w:rPr>
          <w:rFonts w:ascii="Cambria" w:hAnsi="Cambria" w:cs="Arial"/>
          <w:sz w:val="20"/>
          <w:szCs w:val="20"/>
          <w:lang w:val="es-419" w:eastAsia="es-ES"/>
        </w:rPr>
        <w:t>los hechos</w:t>
      </w:r>
      <w:r>
        <w:rPr>
          <w:rFonts w:ascii="Cambria" w:hAnsi="Cambria" w:cs="Arial"/>
          <w:sz w:val="20"/>
          <w:szCs w:val="20"/>
          <w:lang w:val="es-419" w:eastAsia="es-ES"/>
        </w:rPr>
        <w:t>;</w:t>
      </w:r>
      <w:r w:rsidR="00403D3C" w:rsidRPr="00D96741">
        <w:rPr>
          <w:rFonts w:ascii="Cambria" w:hAnsi="Cambria" w:cs="Arial"/>
          <w:sz w:val="20"/>
          <w:szCs w:val="20"/>
          <w:lang w:val="es-419" w:eastAsia="es-ES"/>
        </w:rPr>
        <w:t xml:space="preserve"> la recepción de la historia clínica del Hospital San Vicente de Paul</w:t>
      </w:r>
      <w:r>
        <w:rPr>
          <w:rFonts w:ascii="Cambria" w:hAnsi="Cambria" w:cs="Arial"/>
          <w:sz w:val="20"/>
          <w:szCs w:val="20"/>
          <w:lang w:val="es-419" w:eastAsia="es-ES"/>
        </w:rPr>
        <w:t>;</w:t>
      </w:r>
      <w:r w:rsidR="00403D3C" w:rsidRPr="00D96741">
        <w:rPr>
          <w:rFonts w:ascii="Cambria" w:hAnsi="Cambria" w:cs="Arial"/>
          <w:sz w:val="20"/>
          <w:szCs w:val="20"/>
          <w:lang w:val="es-419" w:eastAsia="es-ES"/>
        </w:rPr>
        <w:t xml:space="preserve"> y </w:t>
      </w:r>
      <w:r w:rsidR="00D96741" w:rsidRPr="00D96741">
        <w:rPr>
          <w:rFonts w:ascii="Cambria" w:hAnsi="Cambria" w:cs="Arial"/>
          <w:sz w:val="20"/>
          <w:szCs w:val="20"/>
          <w:lang w:val="es-419" w:eastAsia="es-ES"/>
        </w:rPr>
        <w:t xml:space="preserve">la recolección de </w:t>
      </w:r>
      <w:r w:rsidR="00403D3C" w:rsidRPr="00D96741">
        <w:rPr>
          <w:rFonts w:ascii="Cambria" w:hAnsi="Cambria" w:cs="Arial"/>
          <w:sz w:val="20"/>
          <w:szCs w:val="20"/>
          <w:lang w:val="es-419" w:eastAsia="es-ES"/>
        </w:rPr>
        <w:t xml:space="preserve">las versiones de distintos policías y miembros del </w:t>
      </w:r>
      <w:r>
        <w:rPr>
          <w:rFonts w:ascii="Cambria" w:hAnsi="Cambria" w:cs="Arial"/>
          <w:sz w:val="20"/>
          <w:szCs w:val="20"/>
          <w:lang w:val="es-419" w:eastAsia="es-ES"/>
        </w:rPr>
        <w:t>C</w:t>
      </w:r>
      <w:r w:rsidR="00403D3C" w:rsidRPr="00D96741">
        <w:rPr>
          <w:rFonts w:ascii="Cambria" w:hAnsi="Cambria" w:cs="Arial"/>
          <w:sz w:val="20"/>
          <w:szCs w:val="20"/>
          <w:lang w:val="es-419" w:eastAsia="es-ES"/>
        </w:rPr>
        <w:t xml:space="preserve">uerpo de Bomberos. </w:t>
      </w:r>
      <w:r w:rsidR="001C4709">
        <w:rPr>
          <w:rFonts w:ascii="Cambria" w:hAnsi="Cambria" w:cs="Arial"/>
          <w:sz w:val="20"/>
          <w:szCs w:val="20"/>
          <w:lang w:val="es-419" w:eastAsia="es-ES"/>
        </w:rPr>
        <w:t>El Estado</w:t>
      </w:r>
      <w:r w:rsidR="00D96741" w:rsidRPr="00D96741">
        <w:rPr>
          <w:rFonts w:ascii="Cambria" w:hAnsi="Cambria" w:cs="Arial"/>
          <w:sz w:val="20"/>
          <w:szCs w:val="20"/>
          <w:lang w:val="es-419" w:eastAsia="es-ES"/>
        </w:rPr>
        <w:t xml:space="preserve"> </w:t>
      </w:r>
      <w:r w:rsidR="001C4709">
        <w:rPr>
          <w:rFonts w:ascii="Cambria" w:hAnsi="Cambria" w:cs="Arial"/>
          <w:sz w:val="20"/>
          <w:szCs w:val="20"/>
          <w:lang w:val="es-419" w:eastAsia="es-ES"/>
        </w:rPr>
        <w:t xml:space="preserve">refiere </w:t>
      </w:r>
      <w:r w:rsidR="00403D3C" w:rsidRPr="00D96741">
        <w:rPr>
          <w:rFonts w:ascii="Cambria" w:hAnsi="Cambria" w:cs="Arial"/>
          <w:sz w:val="20"/>
          <w:szCs w:val="20"/>
          <w:lang w:val="es-419" w:eastAsia="es-ES"/>
        </w:rPr>
        <w:t xml:space="preserve">que el 19 de diciembre de 2011 el </w:t>
      </w:r>
      <w:r w:rsidR="001C4709">
        <w:rPr>
          <w:rFonts w:ascii="Cambria" w:hAnsi="Cambria" w:cs="Arial"/>
          <w:sz w:val="20"/>
          <w:szCs w:val="20"/>
          <w:lang w:val="es-419" w:eastAsia="es-ES"/>
        </w:rPr>
        <w:t>f</w:t>
      </w:r>
      <w:r w:rsidR="00403D3C" w:rsidRPr="00D96741">
        <w:rPr>
          <w:rFonts w:ascii="Cambria" w:hAnsi="Cambria" w:cs="Arial"/>
          <w:sz w:val="20"/>
          <w:szCs w:val="20"/>
          <w:lang w:val="es-419" w:eastAsia="es-ES"/>
        </w:rPr>
        <w:t xml:space="preserve">iscal solicitó el archivo </w:t>
      </w:r>
      <w:r w:rsidR="00BE3527" w:rsidRPr="00D96741">
        <w:rPr>
          <w:rFonts w:ascii="Cambria" w:hAnsi="Cambria" w:cs="Arial"/>
          <w:sz w:val="20"/>
          <w:szCs w:val="20"/>
          <w:lang w:val="es-419" w:eastAsia="es-ES"/>
        </w:rPr>
        <w:t>de la causa</w:t>
      </w:r>
      <w:r w:rsidR="00403D3C" w:rsidRPr="00D96741">
        <w:rPr>
          <w:rFonts w:ascii="Cambria" w:hAnsi="Cambria" w:cs="Arial"/>
          <w:sz w:val="20"/>
          <w:szCs w:val="20"/>
          <w:lang w:val="es-419" w:eastAsia="es-ES"/>
        </w:rPr>
        <w:t xml:space="preserve"> </w:t>
      </w:r>
      <w:r w:rsidR="001C4709">
        <w:rPr>
          <w:rFonts w:ascii="Cambria" w:hAnsi="Cambria" w:cs="Arial"/>
          <w:sz w:val="20"/>
          <w:szCs w:val="20"/>
          <w:lang w:val="es-419" w:eastAsia="es-ES"/>
        </w:rPr>
        <w:t xml:space="preserve">por considerar que </w:t>
      </w:r>
      <w:r w:rsidR="00403D3C" w:rsidRPr="00D96741">
        <w:rPr>
          <w:rFonts w:ascii="Cambria" w:hAnsi="Cambria" w:cs="Arial"/>
          <w:sz w:val="20"/>
          <w:szCs w:val="20"/>
          <w:lang w:val="es-419" w:eastAsia="es-ES"/>
        </w:rPr>
        <w:t>la muerte de la presunta víctima “no puede ser imputada a ninguna persona de las que estuvieron en su custodia o compañía</w:t>
      </w:r>
      <w:r w:rsidR="00BE3527" w:rsidRPr="00D96741">
        <w:rPr>
          <w:rFonts w:ascii="Cambria" w:hAnsi="Cambria" w:cs="Arial"/>
          <w:sz w:val="20"/>
          <w:szCs w:val="20"/>
          <w:lang w:val="es-419" w:eastAsia="es-ES"/>
        </w:rPr>
        <w:t xml:space="preserve">”, </w:t>
      </w:r>
      <w:r w:rsidR="001C4709">
        <w:rPr>
          <w:rFonts w:ascii="Cambria" w:hAnsi="Cambria" w:cs="Arial"/>
          <w:sz w:val="20"/>
          <w:szCs w:val="20"/>
          <w:lang w:val="es-419" w:eastAsia="es-ES"/>
        </w:rPr>
        <w:t xml:space="preserve">y que </w:t>
      </w:r>
      <w:r w:rsidR="00F7209E" w:rsidRPr="00D96741">
        <w:rPr>
          <w:rFonts w:ascii="Cambria" w:hAnsi="Cambria" w:cs="Arial"/>
          <w:sz w:val="20"/>
          <w:szCs w:val="20"/>
          <w:lang w:val="es-419" w:eastAsia="es-ES"/>
        </w:rPr>
        <w:t xml:space="preserve">el Juzgado Primero de Garantías Penales de Ibarra </w:t>
      </w:r>
      <w:r w:rsidR="001C4709">
        <w:rPr>
          <w:rFonts w:ascii="Cambria" w:hAnsi="Cambria" w:cs="Arial"/>
          <w:sz w:val="20"/>
          <w:szCs w:val="20"/>
          <w:lang w:val="es-419" w:eastAsia="es-ES"/>
        </w:rPr>
        <w:t xml:space="preserve">declaró </w:t>
      </w:r>
      <w:r w:rsidR="00BE3527" w:rsidRPr="00D96741">
        <w:rPr>
          <w:rFonts w:ascii="Cambria" w:hAnsi="Cambria" w:cs="Arial"/>
          <w:sz w:val="20"/>
          <w:szCs w:val="20"/>
          <w:lang w:val="es-419" w:eastAsia="es-ES"/>
        </w:rPr>
        <w:t xml:space="preserve">su archivo definitivo el 6 de enero de 2012. </w:t>
      </w:r>
    </w:p>
    <w:p w14:paraId="036BE2C2" w14:textId="77777777" w:rsidR="00BE3527" w:rsidRPr="00933DA1" w:rsidRDefault="00BE3527" w:rsidP="00C7480B">
      <w:pPr>
        <w:pStyle w:val="ListParagraph"/>
        <w:rPr>
          <w:rFonts w:cs="Arial"/>
          <w:sz w:val="20"/>
          <w:szCs w:val="20"/>
          <w:highlight w:val="yellow"/>
          <w:lang w:val="es-419"/>
        </w:rPr>
      </w:pPr>
    </w:p>
    <w:p w14:paraId="5AE44D07" w14:textId="21C042D9" w:rsidR="00BE3527" w:rsidRPr="005B5D47" w:rsidRDefault="00BE3527"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Arial"/>
          <w:sz w:val="20"/>
          <w:szCs w:val="20"/>
          <w:lang w:val="es-419" w:eastAsia="es-ES"/>
        </w:rPr>
      </w:pPr>
      <w:r w:rsidRPr="005B5D47">
        <w:rPr>
          <w:rFonts w:ascii="Cambria" w:hAnsi="Cambria" w:cs="Arial"/>
          <w:sz w:val="20"/>
          <w:szCs w:val="20"/>
          <w:lang w:val="es-419" w:eastAsia="es-ES"/>
        </w:rPr>
        <w:lastRenderedPageBreak/>
        <w:t xml:space="preserve">En </w:t>
      </w:r>
      <w:r w:rsidR="001C4709">
        <w:rPr>
          <w:rFonts w:ascii="Cambria" w:hAnsi="Cambria" w:cs="Arial"/>
          <w:sz w:val="20"/>
          <w:szCs w:val="20"/>
          <w:lang w:val="es-419" w:eastAsia="es-ES"/>
        </w:rPr>
        <w:t>suma</w:t>
      </w:r>
      <w:r w:rsidRPr="005B5D47">
        <w:rPr>
          <w:rFonts w:ascii="Cambria" w:hAnsi="Cambria" w:cs="Arial"/>
          <w:sz w:val="20"/>
          <w:szCs w:val="20"/>
          <w:lang w:val="es-419" w:eastAsia="es-ES"/>
        </w:rPr>
        <w:t xml:space="preserve">, el Estado argumenta que la presente petición no presenta hechos que caractericen </w:t>
      </w:r>
      <w:r w:rsidR="001C4709">
        <w:rPr>
          <w:rFonts w:ascii="Cambria" w:hAnsi="Cambria" w:cs="Arial"/>
          <w:sz w:val="20"/>
          <w:szCs w:val="20"/>
          <w:lang w:val="es-419" w:eastAsia="es-ES"/>
        </w:rPr>
        <w:t>l</w:t>
      </w:r>
      <w:r w:rsidRPr="005B5D47">
        <w:rPr>
          <w:rFonts w:ascii="Cambria" w:hAnsi="Cambria" w:cs="Arial"/>
          <w:sz w:val="20"/>
          <w:szCs w:val="20"/>
          <w:lang w:val="es-419" w:eastAsia="es-ES"/>
        </w:rPr>
        <w:t xml:space="preserve">a violación de </w:t>
      </w:r>
      <w:r w:rsidR="001C4709">
        <w:rPr>
          <w:rFonts w:ascii="Cambria" w:hAnsi="Cambria" w:cs="Arial"/>
          <w:sz w:val="20"/>
          <w:szCs w:val="20"/>
          <w:lang w:val="es-419" w:eastAsia="es-ES"/>
        </w:rPr>
        <w:t xml:space="preserve">alguno de </w:t>
      </w:r>
      <w:r w:rsidRPr="005B5D47">
        <w:rPr>
          <w:rFonts w:ascii="Cambria" w:hAnsi="Cambria" w:cs="Arial"/>
          <w:sz w:val="20"/>
          <w:szCs w:val="20"/>
          <w:lang w:val="es-419" w:eastAsia="es-ES"/>
        </w:rPr>
        <w:t>los derechos garantizados por la Convención</w:t>
      </w:r>
      <w:r w:rsidR="001C4709">
        <w:rPr>
          <w:rFonts w:ascii="Cambria" w:hAnsi="Cambria" w:cs="Arial"/>
          <w:sz w:val="20"/>
          <w:szCs w:val="20"/>
          <w:lang w:val="es-419" w:eastAsia="es-ES"/>
        </w:rPr>
        <w:t xml:space="preserve"> Americana</w:t>
      </w:r>
      <w:r w:rsidRPr="005B5D47">
        <w:rPr>
          <w:rFonts w:ascii="Cambria" w:hAnsi="Cambria" w:cs="Arial"/>
          <w:sz w:val="20"/>
          <w:szCs w:val="20"/>
          <w:lang w:val="es-419" w:eastAsia="es-ES"/>
        </w:rPr>
        <w:t xml:space="preserve">. En tal sentido, explica que de los hechos del caso se demuestra que </w:t>
      </w:r>
      <w:r w:rsidR="00D96741" w:rsidRPr="005B5D47">
        <w:rPr>
          <w:rFonts w:ascii="Cambria" w:hAnsi="Cambria" w:cs="Arial"/>
          <w:sz w:val="20"/>
          <w:szCs w:val="20"/>
          <w:lang w:val="es-419" w:eastAsia="es-ES"/>
        </w:rPr>
        <w:t>la investigación realizada fue completa</w:t>
      </w:r>
      <w:r w:rsidR="001C4709">
        <w:rPr>
          <w:rFonts w:ascii="Cambria" w:hAnsi="Cambria" w:cs="Arial"/>
          <w:sz w:val="20"/>
          <w:szCs w:val="20"/>
          <w:lang w:val="es-419" w:eastAsia="es-ES"/>
        </w:rPr>
        <w:t>,</w:t>
      </w:r>
      <w:r w:rsidR="00D96741" w:rsidRPr="005B5D47">
        <w:rPr>
          <w:rFonts w:ascii="Cambria" w:hAnsi="Cambria" w:cs="Arial"/>
          <w:sz w:val="20"/>
          <w:szCs w:val="20"/>
          <w:lang w:val="es-419" w:eastAsia="es-ES"/>
        </w:rPr>
        <w:t xml:space="preserve"> sin dilaciones</w:t>
      </w:r>
      <w:r w:rsidR="001C4709">
        <w:rPr>
          <w:rFonts w:ascii="Cambria" w:hAnsi="Cambria" w:cs="Arial"/>
          <w:sz w:val="20"/>
          <w:szCs w:val="20"/>
          <w:lang w:val="es-419" w:eastAsia="es-ES"/>
        </w:rPr>
        <w:t>,</w:t>
      </w:r>
      <w:r w:rsidR="00D96741" w:rsidRPr="005B5D47">
        <w:rPr>
          <w:rFonts w:ascii="Cambria" w:hAnsi="Cambria" w:cs="Arial"/>
          <w:sz w:val="20"/>
          <w:szCs w:val="20"/>
          <w:lang w:val="es-419" w:eastAsia="es-ES"/>
        </w:rPr>
        <w:t xml:space="preserve"> y de oficio</w:t>
      </w:r>
      <w:r w:rsidR="001C4709">
        <w:rPr>
          <w:rFonts w:ascii="Cambria" w:hAnsi="Cambria" w:cs="Arial"/>
          <w:sz w:val="20"/>
          <w:szCs w:val="20"/>
          <w:lang w:val="es-419" w:eastAsia="es-ES"/>
        </w:rPr>
        <w:t>;</w:t>
      </w:r>
      <w:r w:rsidR="00D96741" w:rsidRPr="005B5D47">
        <w:rPr>
          <w:rFonts w:ascii="Cambria" w:hAnsi="Cambria" w:cs="Arial"/>
          <w:sz w:val="20"/>
          <w:szCs w:val="20"/>
          <w:lang w:val="es-419" w:eastAsia="es-ES"/>
        </w:rPr>
        <w:t xml:space="preserve"> y </w:t>
      </w:r>
      <w:r w:rsidR="001C4709">
        <w:rPr>
          <w:rFonts w:ascii="Cambria" w:hAnsi="Cambria" w:cs="Arial"/>
          <w:sz w:val="20"/>
          <w:szCs w:val="20"/>
          <w:lang w:val="es-419" w:eastAsia="es-ES"/>
        </w:rPr>
        <w:t xml:space="preserve">que </w:t>
      </w:r>
      <w:r w:rsidR="00D96741" w:rsidRPr="005B5D47">
        <w:rPr>
          <w:rFonts w:ascii="Cambria" w:hAnsi="Cambria" w:cs="Arial"/>
          <w:sz w:val="20"/>
          <w:szCs w:val="20"/>
          <w:lang w:val="es-419" w:eastAsia="es-ES"/>
        </w:rPr>
        <w:t xml:space="preserve">las autoridades competentes </w:t>
      </w:r>
      <w:r w:rsidRPr="005B5D47">
        <w:rPr>
          <w:rFonts w:ascii="Cambria" w:hAnsi="Cambria" w:cs="Arial"/>
          <w:sz w:val="20"/>
          <w:szCs w:val="20"/>
          <w:lang w:val="es-419" w:eastAsia="es-ES"/>
        </w:rPr>
        <w:t>no encontraron suficientes indicios de algún delito cometido contra la presunta víctima</w:t>
      </w:r>
      <w:r w:rsidR="001C4709">
        <w:rPr>
          <w:rFonts w:ascii="Cambria" w:hAnsi="Cambria" w:cs="Arial"/>
          <w:sz w:val="20"/>
          <w:szCs w:val="20"/>
          <w:lang w:val="es-419" w:eastAsia="es-ES"/>
        </w:rPr>
        <w:t>,</w:t>
      </w:r>
      <w:r w:rsidRPr="005B5D47">
        <w:rPr>
          <w:rFonts w:ascii="Cambria" w:hAnsi="Cambria" w:cs="Arial"/>
          <w:sz w:val="20"/>
          <w:szCs w:val="20"/>
          <w:lang w:val="es-419" w:eastAsia="es-ES"/>
        </w:rPr>
        <w:t xml:space="preserve"> por lo que el </w:t>
      </w:r>
      <w:r w:rsidR="001C4709">
        <w:rPr>
          <w:rFonts w:ascii="Cambria" w:hAnsi="Cambria" w:cs="Arial"/>
          <w:sz w:val="20"/>
          <w:szCs w:val="20"/>
          <w:lang w:val="es-419" w:eastAsia="es-ES"/>
        </w:rPr>
        <w:t>f</w:t>
      </w:r>
      <w:r w:rsidRPr="005B5D47">
        <w:rPr>
          <w:rFonts w:ascii="Cambria" w:hAnsi="Cambria" w:cs="Arial"/>
          <w:sz w:val="20"/>
          <w:szCs w:val="20"/>
          <w:lang w:val="es-419" w:eastAsia="es-ES"/>
        </w:rPr>
        <w:t>iscal solicitó la desestimación del caso.</w:t>
      </w:r>
      <w:r w:rsidR="00C11CB0" w:rsidRPr="005B5D47">
        <w:rPr>
          <w:rFonts w:ascii="Cambria" w:hAnsi="Cambria" w:cs="Arial"/>
          <w:sz w:val="20"/>
          <w:szCs w:val="20"/>
          <w:lang w:val="es-419" w:eastAsia="es-ES"/>
        </w:rPr>
        <w:t xml:space="preserve"> </w:t>
      </w:r>
      <w:r w:rsidR="00D96741" w:rsidRPr="005B5D47">
        <w:rPr>
          <w:rFonts w:ascii="Cambria" w:hAnsi="Cambria" w:cs="Arial"/>
          <w:sz w:val="20"/>
          <w:szCs w:val="20"/>
          <w:lang w:val="es-419" w:eastAsia="es-ES"/>
        </w:rPr>
        <w:t>En consecuencia, s</w:t>
      </w:r>
      <w:r w:rsidR="00C11CB0" w:rsidRPr="005B5D47">
        <w:rPr>
          <w:rFonts w:ascii="Cambria" w:hAnsi="Cambria" w:cs="Arial"/>
          <w:sz w:val="20"/>
          <w:szCs w:val="20"/>
          <w:lang w:val="es-419" w:eastAsia="es-ES"/>
        </w:rPr>
        <w:t>ostiene que el pedido de archivo del caso otorgado por el juez de garantías penales tiene el carácter de “cosa decidida”</w:t>
      </w:r>
      <w:r w:rsidR="001C4709">
        <w:rPr>
          <w:rFonts w:ascii="Cambria" w:hAnsi="Cambria" w:cs="Arial"/>
          <w:sz w:val="20"/>
          <w:szCs w:val="20"/>
          <w:lang w:val="es-419" w:eastAsia="es-ES"/>
        </w:rPr>
        <w:t>,</w:t>
      </w:r>
      <w:r w:rsidR="00C11CB0" w:rsidRPr="005B5D47">
        <w:rPr>
          <w:rFonts w:ascii="Cambria" w:hAnsi="Cambria" w:cs="Arial"/>
          <w:sz w:val="20"/>
          <w:szCs w:val="20"/>
          <w:lang w:val="es-419" w:eastAsia="es-ES"/>
        </w:rPr>
        <w:t xml:space="preserve"> </w:t>
      </w:r>
      <w:r w:rsidR="001C4709">
        <w:rPr>
          <w:rFonts w:ascii="Cambria" w:hAnsi="Cambria" w:cs="Arial"/>
          <w:sz w:val="20"/>
          <w:szCs w:val="20"/>
          <w:lang w:val="es-419" w:eastAsia="es-ES"/>
        </w:rPr>
        <w:t xml:space="preserve">y </w:t>
      </w:r>
      <w:r w:rsidR="00C11CB0" w:rsidRPr="005B5D47">
        <w:rPr>
          <w:rFonts w:ascii="Cambria" w:hAnsi="Cambria" w:cs="Arial"/>
          <w:sz w:val="20"/>
          <w:szCs w:val="20"/>
          <w:lang w:val="es-419" w:eastAsia="es-ES"/>
        </w:rPr>
        <w:t xml:space="preserve">que </w:t>
      </w:r>
      <w:r w:rsidR="001C4709">
        <w:rPr>
          <w:rFonts w:ascii="Cambria" w:hAnsi="Cambria" w:cs="Arial"/>
          <w:sz w:val="20"/>
          <w:szCs w:val="20"/>
          <w:lang w:val="es-419" w:eastAsia="es-ES"/>
        </w:rPr>
        <w:t xml:space="preserve">en consecuencia </w:t>
      </w:r>
      <w:r w:rsidR="00C11CB0" w:rsidRPr="005B5D47">
        <w:rPr>
          <w:rFonts w:ascii="Cambria" w:hAnsi="Cambria" w:cs="Arial"/>
          <w:sz w:val="20"/>
          <w:szCs w:val="20"/>
          <w:lang w:val="es-419" w:eastAsia="es-ES"/>
        </w:rPr>
        <w:t xml:space="preserve">resulta improcedente cuestionar el proceso de investigación penal llevado a cabo por la </w:t>
      </w:r>
      <w:r w:rsidR="00D96741" w:rsidRPr="005B5D47">
        <w:rPr>
          <w:rFonts w:ascii="Cambria" w:hAnsi="Cambria" w:cs="Arial"/>
          <w:sz w:val="20"/>
          <w:szCs w:val="20"/>
          <w:lang w:val="es-419" w:eastAsia="es-ES"/>
        </w:rPr>
        <w:t>Fiscalía</w:t>
      </w:r>
      <w:r w:rsidR="00C11CB0" w:rsidRPr="005B5D47">
        <w:rPr>
          <w:rFonts w:ascii="Cambria" w:hAnsi="Cambria" w:cs="Arial"/>
          <w:sz w:val="20"/>
          <w:szCs w:val="20"/>
          <w:lang w:val="es-419" w:eastAsia="es-ES"/>
        </w:rPr>
        <w:t xml:space="preserve"> y la Policía Nacional. Explica que la posibilidad de apertura solo puede darse cuando </w:t>
      </w:r>
      <w:r w:rsidR="001C4709">
        <w:rPr>
          <w:rFonts w:ascii="Cambria" w:hAnsi="Cambria" w:cs="Arial"/>
          <w:sz w:val="20"/>
          <w:szCs w:val="20"/>
          <w:lang w:val="es-419" w:eastAsia="es-ES"/>
        </w:rPr>
        <w:t xml:space="preserve">hubiera </w:t>
      </w:r>
      <w:r w:rsidR="00C11CB0" w:rsidRPr="005B5D47">
        <w:rPr>
          <w:rFonts w:ascii="Cambria" w:hAnsi="Cambria" w:cs="Arial"/>
          <w:sz w:val="20"/>
          <w:szCs w:val="20"/>
          <w:lang w:val="es-419" w:eastAsia="es-ES"/>
        </w:rPr>
        <w:t>una pésima investigación fiscal</w:t>
      </w:r>
      <w:r w:rsidR="001C4709">
        <w:rPr>
          <w:rFonts w:ascii="Cambria" w:hAnsi="Cambria" w:cs="Arial"/>
          <w:sz w:val="20"/>
          <w:szCs w:val="20"/>
          <w:lang w:val="es-419" w:eastAsia="es-ES"/>
        </w:rPr>
        <w:t>,</w:t>
      </w:r>
      <w:r w:rsidR="00C11CB0" w:rsidRPr="005B5D47">
        <w:rPr>
          <w:rFonts w:ascii="Cambria" w:hAnsi="Cambria" w:cs="Arial"/>
          <w:sz w:val="20"/>
          <w:szCs w:val="20"/>
          <w:lang w:val="es-419" w:eastAsia="es-ES"/>
        </w:rPr>
        <w:t xml:space="preserve"> o cuando se present</w:t>
      </w:r>
      <w:r w:rsidR="001C4709">
        <w:rPr>
          <w:rFonts w:ascii="Cambria" w:hAnsi="Cambria" w:cs="Arial"/>
          <w:sz w:val="20"/>
          <w:szCs w:val="20"/>
          <w:lang w:val="es-419" w:eastAsia="es-ES"/>
        </w:rPr>
        <w:t>ara</w:t>
      </w:r>
      <w:r w:rsidR="00C11CB0" w:rsidRPr="005B5D47">
        <w:rPr>
          <w:rFonts w:ascii="Cambria" w:hAnsi="Cambria" w:cs="Arial"/>
          <w:sz w:val="20"/>
          <w:szCs w:val="20"/>
          <w:lang w:val="es-419" w:eastAsia="es-ES"/>
        </w:rPr>
        <w:t>n nuevos elementos de convicción o actos de investigación que destruyan la argumentación inicial del fiscal.</w:t>
      </w:r>
      <w:r w:rsidR="00D96741" w:rsidRPr="005B5D47">
        <w:rPr>
          <w:rFonts w:ascii="Cambria" w:hAnsi="Cambria" w:cs="Arial"/>
          <w:sz w:val="20"/>
          <w:szCs w:val="20"/>
          <w:lang w:val="es-419" w:eastAsia="es-ES"/>
        </w:rPr>
        <w:t xml:space="preserve"> Con respecto al argumento del peticionari</w:t>
      </w:r>
      <w:r w:rsidR="001C4709">
        <w:rPr>
          <w:rFonts w:ascii="Cambria" w:hAnsi="Cambria" w:cs="Arial"/>
          <w:sz w:val="20"/>
          <w:szCs w:val="20"/>
          <w:lang w:val="es-419" w:eastAsia="es-ES"/>
        </w:rPr>
        <w:t>o</w:t>
      </w:r>
      <w:r w:rsidR="00D96741" w:rsidRPr="005B5D47">
        <w:rPr>
          <w:rFonts w:ascii="Cambria" w:hAnsi="Cambria" w:cs="Arial"/>
          <w:sz w:val="20"/>
          <w:szCs w:val="20"/>
          <w:lang w:val="es-419" w:eastAsia="es-ES"/>
        </w:rPr>
        <w:t xml:space="preserve"> </w:t>
      </w:r>
      <w:r w:rsidR="00B42240">
        <w:rPr>
          <w:rFonts w:ascii="Cambria" w:hAnsi="Cambria" w:cs="Arial"/>
          <w:sz w:val="20"/>
          <w:szCs w:val="20"/>
          <w:lang w:val="es-419" w:eastAsia="es-ES"/>
        </w:rPr>
        <w:t xml:space="preserve">de falta de </w:t>
      </w:r>
      <w:r w:rsidR="00D96741" w:rsidRPr="005B5D47">
        <w:rPr>
          <w:rFonts w:ascii="Cambria" w:hAnsi="Cambria" w:cs="Arial"/>
          <w:sz w:val="20"/>
          <w:szCs w:val="20"/>
          <w:lang w:val="es-419" w:eastAsia="es-ES"/>
        </w:rPr>
        <w:t xml:space="preserve">oportunidad de ser parte del proceso, el Estado </w:t>
      </w:r>
      <w:r w:rsidR="00B42240">
        <w:rPr>
          <w:rFonts w:ascii="Cambria" w:hAnsi="Cambria" w:cs="Arial"/>
          <w:sz w:val="20"/>
          <w:szCs w:val="20"/>
          <w:lang w:val="es-419" w:eastAsia="es-ES"/>
        </w:rPr>
        <w:t>afirma</w:t>
      </w:r>
      <w:r w:rsidR="00C11CB0" w:rsidRPr="005B5D47">
        <w:rPr>
          <w:rFonts w:ascii="Cambria" w:hAnsi="Cambria" w:cs="Arial"/>
          <w:sz w:val="20"/>
          <w:szCs w:val="20"/>
          <w:lang w:val="es-419" w:eastAsia="es-ES"/>
        </w:rPr>
        <w:t xml:space="preserve"> que la etapa de indagación previa es de carácter reservado </w:t>
      </w:r>
      <w:r w:rsidR="005B5D47" w:rsidRPr="005B5D47">
        <w:rPr>
          <w:rFonts w:ascii="Cambria" w:hAnsi="Cambria" w:cs="Arial"/>
          <w:sz w:val="20"/>
          <w:szCs w:val="20"/>
          <w:lang w:val="es-419" w:eastAsia="es-ES"/>
        </w:rPr>
        <w:t>de acuerdo con</w:t>
      </w:r>
      <w:r w:rsidR="00C11CB0" w:rsidRPr="005B5D47">
        <w:rPr>
          <w:rFonts w:ascii="Cambria" w:hAnsi="Cambria" w:cs="Arial"/>
          <w:sz w:val="20"/>
          <w:szCs w:val="20"/>
          <w:lang w:val="es-419" w:eastAsia="es-ES"/>
        </w:rPr>
        <w:t xml:space="preserve"> el artículo 215 del Código de Procedimiento Penal</w:t>
      </w:r>
      <w:r w:rsidR="00B42240">
        <w:rPr>
          <w:rFonts w:ascii="Cambria" w:hAnsi="Cambria" w:cs="Arial"/>
          <w:sz w:val="20"/>
          <w:szCs w:val="20"/>
          <w:lang w:val="es-419" w:eastAsia="es-ES"/>
        </w:rPr>
        <w:t>,</w:t>
      </w:r>
      <w:r w:rsidR="00C11CB0" w:rsidRPr="005B5D47">
        <w:rPr>
          <w:rFonts w:ascii="Cambria" w:hAnsi="Cambria" w:cs="Arial"/>
          <w:sz w:val="20"/>
          <w:szCs w:val="20"/>
          <w:lang w:val="es-419" w:eastAsia="es-ES"/>
        </w:rPr>
        <w:t xml:space="preserve"> </w:t>
      </w:r>
      <w:r w:rsidR="005B5D47" w:rsidRPr="005B5D47">
        <w:rPr>
          <w:rFonts w:ascii="Cambria" w:hAnsi="Cambria" w:cs="Arial"/>
          <w:sz w:val="20"/>
          <w:szCs w:val="20"/>
          <w:lang w:val="es-419" w:eastAsia="es-ES"/>
        </w:rPr>
        <w:t xml:space="preserve">por lo que </w:t>
      </w:r>
      <w:r w:rsidR="00C11CB0" w:rsidRPr="005B5D47">
        <w:rPr>
          <w:rFonts w:ascii="Cambria" w:hAnsi="Cambria" w:cs="Arial"/>
          <w:sz w:val="20"/>
          <w:szCs w:val="20"/>
          <w:lang w:val="es-419" w:eastAsia="es-ES"/>
        </w:rPr>
        <w:t>el fiscal no tiene la obligación de hacer parte a persona</w:t>
      </w:r>
      <w:r w:rsidR="00B42240" w:rsidRPr="00B42240">
        <w:rPr>
          <w:rFonts w:ascii="Cambria" w:hAnsi="Cambria" w:cs="Arial"/>
          <w:sz w:val="20"/>
          <w:szCs w:val="20"/>
          <w:lang w:val="es-419" w:eastAsia="es-ES"/>
        </w:rPr>
        <w:t xml:space="preserve"> </w:t>
      </w:r>
      <w:r w:rsidR="00B42240">
        <w:rPr>
          <w:rFonts w:ascii="Cambria" w:hAnsi="Cambria" w:cs="Arial"/>
          <w:sz w:val="20"/>
          <w:szCs w:val="20"/>
          <w:lang w:val="es-419" w:eastAsia="es-ES"/>
        </w:rPr>
        <w:t>al</w:t>
      </w:r>
      <w:r w:rsidR="00B42240" w:rsidRPr="005B5D47">
        <w:rPr>
          <w:rFonts w:ascii="Cambria" w:hAnsi="Cambria" w:cs="Arial"/>
          <w:sz w:val="20"/>
          <w:szCs w:val="20"/>
          <w:lang w:val="es-419" w:eastAsia="es-ES"/>
        </w:rPr>
        <w:t>guna</w:t>
      </w:r>
      <w:r w:rsidR="00290B20" w:rsidRPr="005B5D47">
        <w:rPr>
          <w:rFonts w:ascii="Cambria" w:hAnsi="Cambria" w:cs="Arial"/>
          <w:sz w:val="20"/>
          <w:szCs w:val="20"/>
          <w:lang w:val="es-419" w:eastAsia="es-ES"/>
        </w:rPr>
        <w:t xml:space="preserve">. No obstante, explica que los familiares siempre tuvieron la posibilidad de acceder a la investigación sin restricción. </w:t>
      </w:r>
    </w:p>
    <w:p w14:paraId="5BA2383B" w14:textId="77777777" w:rsidR="00290B20" w:rsidRPr="005B5D47" w:rsidRDefault="00290B20" w:rsidP="00C7480B">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Cambria" w:hAnsi="Cambria" w:cs="Arial"/>
          <w:sz w:val="20"/>
          <w:szCs w:val="20"/>
          <w:lang w:val="es-419" w:eastAsia="es-ES"/>
        </w:rPr>
      </w:pPr>
    </w:p>
    <w:p w14:paraId="573CA0B3" w14:textId="00842694" w:rsidR="001132DE" w:rsidRDefault="005B5D47"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Arial"/>
          <w:sz w:val="20"/>
          <w:szCs w:val="20"/>
          <w:lang w:val="es-419" w:eastAsia="es-ES"/>
        </w:rPr>
      </w:pPr>
      <w:r w:rsidRPr="00021B1A">
        <w:rPr>
          <w:rFonts w:ascii="Cambria" w:hAnsi="Cambria" w:cs="Arial"/>
          <w:sz w:val="20"/>
          <w:szCs w:val="20"/>
          <w:lang w:val="es-419" w:eastAsia="es-ES"/>
        </w:rPr>
        <w:t>Por último</w:t>
      </w:r>
      <w:r w:rsidR="00F76005" w:rsidRPr="00021B1A">
        <w:rPr>
          <w:rFonts w:ascii="Cambria" w:hAnsi="Cambria" w:cs="Arial"/>
          <w:sz w:val="20"/>
          <w:szCs w:val="20"/>
          <w:lang w:val="es-419" w:eastAsia="es-ES"/>
        </w:rPr>
        <w:t>,</w:t>
      </w:r>
      <w:r w:rsidR="00290B20" w:rsidRPr="00021B1A">
        <w:rPr>
          <w:rFonts w:ascii="Cambria" w:hAnsi="Cambria" w:cs="Arial"/>
          <w:sz w:val="20"/>
          <w:szCs w:val="20"/>
          <w:lang w:val="es-419" w:eastAsia="es-ES"/>
        </w:rPr>
        <w:t xml:space="preserve"> </w:t>
      </w:r>
      <w:r w:rsidR="00B42240">
        <w:rPr>
          <w:rFonts w:ascii="Cambria" w:hAnsi="Cambria" w:cs="Arial"/>
          <w:sz w:val="20"/>
          <w:szCs w:val="20"/>
          <w:lang w:val="es-419" w:eastAsia="es-ES"/>
        </w:rPr>
        <w:t xml:space="preserve">el Estado </w:t>
      </w:r>
      <w:r w:rsidR="00290B20" w:rsidRPr="00021B1A">
        <w:rPr>
          <w:rFonts w:ascii="Cambria" w:hAnsi="Cambria" w:cs="Arial"/>
          <w:sz w:val="20"/>
          <w:szCs w:val="20"/>
          <w:lang w:val="es-419" w:eastAsia="es-ES"/>
        </w:rPr>
        <w:t xml:space="preserve">alega que </w:t>
      </w:r>
      <w:r w:rsidR="00B42240">
        <w:rPr>
          <w:rFonts w:ascii="Cambria" w:hAnsi="Cambria" w:cs="Arial"/>
          <w:sz w:val="20"/>
          <w:szCs w:val="20"/>
          <w:lang w:val="es-419" w:eastAsia="es-ES"/>
        </w:rPr>
        <w:t>el</w:t>
      </w:r>
      <w:r w:rsidR="00290B20" w:rsidRPr="00021B1A">
        <w:rPr>
          <w:rFonts w:ascii="Cambria" w:hAnsi="Cambria" w:cs="Arial"/>
          <w:sz w:val="20"/>
          <w:szCs w:val="20"/>
          <w:lang w:val="es-419" w:eastAsia="es-ES"/>
        </w:rPr>
        <w:t xml:space="preserve"> peticionari</w:t>
      </w:r>
      <w:r w:rsidR="00B42240">
        <w:rPr>
          <w:rFonts w:ascii="Cambria" w:hAnsi="Cambria" w:cs="Arial"/>
          <w:sz w:val="20"/>
          <w:szCs w:val="20"/>
          <w:lang w:val="es-419" w:eastAsia="es-ES"/>
        </w:rPr>
        <w:t>o</w:t>
      </w:r>
      <w:r w:rsidR="00290B20" w:rsidRPr="00021B1A">
        <w:rPr>
          <w:rFonts w:ascii="Cambria" w:hAnsi="Cambria" w:cs="Arial"/>
          <w:sz w:val="20"/>
          <w:szCs w:val="20"/>
          <w:lang w:val="es-419" w:eastAsia="es-ES"/>
        </w:rPr>
        <w:t xml:space="preserve"> </w:t>
      </w:r>
      <w:r w:rsidRPr="00021B1A">
        <w:rPr>
          <w:rFonts w:ascii="Cambria" w:hAnsi="Cambria" w:cs="Arial"/>
          <w:sz w:val="20"/>
          <w:szCs w:val="20"/>
          <w:lang w:val="es-419" w:eastAsia="es-ES"/>
        </w:rPr>
        <w:t xml:space="preserve">intenta </w:t>
      </w:r>
      <w:r w:rsidR="00290B20" w:rsidRPr="00021B1A">
        <w:rPr>
          <w:rFonts w:ascii="Cambria" w:hAnsi="Cambria" w:cs="Arial"/>
          <w:sz w:val="20"/>
          <w:szCs w:val="20"/>
          <w:lang w:val="es-419" w:eastAsia="es-ES"/>
        </w:rPr>
        <w:t xml:space="preserve">utilizar a la Comisión Interamericana como una cuarta instancia </w:t>
      </w:r>
      <w:r w:rsidR="00B42240">
        <w:rPr>
          <w:rFonts w:ascii="Cambria" w:hAnsi="Cambria" w:cs="Arial"/>
          <w:sz w:val="20"/>
          <w:szCs w:val="20"/>
          <w:lang w:val="es-419" w:eastAsia="es-ES"/>
        </w:rPr>
        <w:t>para revisar</w:t>
      </w:r>
      <w:r w:rsidR="00290B20" w:rsidRPr="00021B1A">
        <w:rPr>
          <w:rFonts w:ascii="Cambria" w:hAnsi="Cambria" w:cs="Arial"/>
          <w:sz w:val="20"/>
          <w:szCs w:val="20"/>
          <w:lang w:val="es-419" w:eastAsia="es-ES"/>
        </w:rPr>
        <w:t xml:space="preserve"> las actuaciones desarrolladas por la administración de justicia nacional</w:t>
      </w:r>
      <w:r w:rsidR="00B42240">
        <w:rPr>
          <w:rFonts w:ascii="Cambria" w:hAnsi="Cambria" w:cs="Arial"/>
          <w:sz w:val="20"/>
          <w:szCs w:val="20"/>
          <w:lang w:val="es-419" w:eastAsia="es-ES"/>
        </w:rPr>
        <w:t>,</w:t>
      </w:r>
      <w:r w:rsidR="00290B20" w:rsidRPr="00021B1A">
        <w:rPr>
          <w:rFonts w:ascii="Cambria" w:hAnsi="Cambria" w:cs="Arial"/>
          <w:sz w:val="20"/>
          <w:szCs w:val="20"/>
          <w:lang w:val="es-419" w:eastAsia="es-ES"/>
        </w:rPr>
        <w:t xml:space="preserve"> lo cual vulneraría el principio de </w:t>
      </w:r>
      <w:r w:rsidR="00F76005" w:rsidRPr="00021B1A">
        <w:rPr>
          <w:rFonts w:ascii="Cambria" w:hAnsi="Cambria" w:cs="Arial"/>
          <w:sz w:val="20"/>
          <w:szCs w:val="20"/>
          <w:lang w:val="es-419" w:eastAsia="es-ES"/>
        </w:rPr>
        <w:t>subsidiariedad</w:t>
      </w:r>
      <w:r w:rsidR="00290B20" w:rsidRPr="00021B1A">
        <w:rPr>
          <w:rFonts w:ascii="Cambria" w:hAnsi="Cambria" w:cs="Arial"/>
          <w:sz w:val="20"/>
          <w:szCs w:val="20"/>
          <w:lang w:val="es-419" w:eastAsia="es-ES"/>
        </w:rPr>
        <w:t xml:space="preserve"> y conllevaría que </w:t>
      </w:r>
      <w:r w:rsidR="00B42240">
        <w:rPr>
          <w:rFonts w:ascii="Cambria" w:hAnsi="Cambria" w:cs="Arial"/>
          <w:sz w:val="20"/>
          <w:szCs w:val="20"/>
          <w:lang w:val="es-419" w:eastAsia="es-ES"/>
        </w:rPr>
        <w:t xml:space="preserve">este órgano </w:t>
      </w:r>
      <w:r w:rsidR="00B42240" w:rsidRPr="00021B1A">
        <w:rPr>
          <w:rFonts w:ascii="Cambria" w:hAnsi="Cambria" w:cs="Arial"/>
          <w:sz w:val="20"/>
          <w:szCs w:val="20"/>
          <w:lang w:val="es-419" w:eastAsia="es-ES"/>
        </w:rPr>
        <w:t>act</w:t>
      </w:r>
      <w:r w:rsidR="00B42240">
        <w:rPr>
          <w:rFonts w:ascii="Cambria" w:hAnsi="Cambria" w:cs="Arial"/>
          <w:sz w:val="20"/>
          <w:szCs w:val="20"/>
          <w:lang w:val="es-419" w:eastAsia="es-ES"/>
        </w:rPr>
        <w:t>uara</w:t>
      </w:r>
      <w:r w:rsidR="00290B20" w:rsidRPr="00021B1A">
        <w:rPr>
          <w:rFonts w:ascii="Cambria" w:hAnsi="Cambria" w:cs="Arial"/>
          <w:sz w:val="20"/>
          <w:szCs w:val="20"/>
          <w:lang w:val="es-419" w:eastAsia="es-ES"/>
        </w:rPr>
        <w:t xml:space="preserve"> fuera de su competencia. Destaca que en el presente caso el Estado cumplió con su obligación de realizar una investigación al amparo de lo previsto en el ordenamiento judicial vigente</w:t>
      </w:r>
      <w:r w:rsidR="001132DE" w:rsidRPr="00021B1A">
        <w:rPr>
          <w:rFonts w:ascii="Cambria" w:hAnsi="Cambria" w:cs="Arial"/>
          <w:sz w:val="20"/>
          <w:szCs w:val="20"/>
          <w:lang w:val="es-419" w:eastAsia="es-ES"/>
        </w:rPr>
        <w:t xml:space="preserve"> y </w:t>
      </w:r>
      <w:r w:rsidRPr="00021B1A">
        <w:rPr>
          <w:rFonts w:ascii="Cambria" w:hAnsi="Cambria" w:cs="Arial"/>
          <w:sz w:val="20"/>
          <w:szCs w:val="20"/>
          <w:lang w:val="es-419" w:eastAsia="es-ES"/>
        </w:rPr>
        <w:t xml:space="preserve">la misma </w:t>
      </w:r>
      <w:r w:rsidR="001132DE" w:rsidRPr="00021B1A">
        <w:rPr>
          <w:rFonts w:ascii="Cambria" w:hAnsi="Cambria" w:cs="Arial"/>
          <w:sz w:val="20"/>
          <w:szCs w:val="20"/>
          <w:lang w:val="es-419" w:eastAsia="es-ES"/>
        </w:rPr>
        <w:t xml:space="preserve">constituyó el mecanismo idóneo y disponible para determinar y esclarecer las condiciones de la muerte de la presunta víctima. </w:t>
      </w:r>
      <w:r w:rsidR="00021B1A" w:rsidRPr="00021B1A">
        <w:rPr>
          <w:rFonts w:ascii="Cambria" w:hAnsi="Cambria" w:cs="Arial"/>
          <w:sz w:val="20"/>
          <w:szCs w:val="20"/>
          <w:lang w:val="es-419" w:eastAsia="es-ES"/>
        </w:rPr>
        <w:t xml:space="preserve">Detalla </w:t>
      </w:r>
      <w:r w:rsidR="00B42240" w:rsidRPr="00021B1A">
        <w:rPr>
          <w:rFonts w:ascii="Cambria" w:hAnsi="Cambria" w:cs="Arial"/>
          <w:sz w:val="20"/>
          <w:szCs w:val="20"/>
          <w:lang w:val="es-419" w:eastAsia="es-ES"/>
        </w:rPr>
        <w:t>que</w:t>
      </w:r>
      <w:r w:rsidR="00021B1A" w:rsidRPr="00021B1A">
        <w:rPr>
          <w:rFonts w:ascii="Cambria" w:hAnsi="Cambria" w:cs="Arial"/>
          <w:sz w:val="20"/>
          <w:szCs w:val="20"/>
          <w:lang w:val="es-419" w:eastAsia="es-ES"/>
        </w:rPr>
        <w:t xml:space="preserve"> las autoridades competentes cumplieron con</w:t>
      </w:r>
      <w:r w:rsidR="001132DE" w:rsidRPr="00021B1A">
        <w:rPr>
          <w:rFonts w:ascii="Cambria" w:hAnsi="Cambria" w:cs="Arial"/>
          <w:sz w:val="20"/>
          <w:szCs w:val="20"/>
          <w:lang w:val="es-419" w:eastAsia="es-ES"/>
        </w:rPr>
        <w:t xml:space="preserve"> la recepción de varios </w:t>
      </w:r>
      <w:r w:rsidR="00F76005" w:rsidRPr="00021B1A">
        <w:rPr>
          <w:rFonts w:ascii="Cambria" w:hAnsi="Cambria" w:cs="Arial"/>
          <w:sz w:val="20"/>
          <w:szCs w:val="20"/>
          <w:lang w:val="es-419" w:eastAsia="es-ES"/>
        </w:rPr>
        <w:t>testimonios</w:t>
      </w:r>
      <w:r w:rsidR="001132DE" w:rsidRPr="00021B1A">
        <w:rPr>
          <w:rFonts w:ascii="Cambria" w:hAnsi="Cambria" w:cs="Arial"/>
          <w:sz w:val="20"/>
          <w:szCs w:val="20"/>
          <w:lang w:val="es-419" w:eastAsia="es-ES"/>
        </w:rPr>
        <w:t>, la autopsia m</w:t>
      </w:r>
      <w:r w:rsidR="00021B1A" w:rsidRPr="00021B1A">
        <w:rPr>
          <w:rFonts w:ascii="Cambria" w:hAnsi="Cambria" w:cs="Arial"/>
          <w:sz w:val="20"/>
          <w:szCs w:val="20"/>
          <w:lang w:val="es-419" w:eastAsia="es-ES"/>
        </w:rPr>
        <w:t>é</w:t>
      </w:r>
      <w:r w:rsidR="001132DE" w:rsidRPr="00021B1A">
        <w:rPr>
          <w:rFonts w:ascii="Cambria" w:hAnsi="Cambria" w:cs="Arial"/>
          <w:sz w:val="20"/>
          <w:szCs w:val="20"/>
          <w:lang w:val="es-419" w:eastAsia="es-ES"/>
        </w:rPr>
        <w:t>dico legal y el reconocimiento del lugar de los hechos</w:t>
      </w:r>
      <w:r w:rsidR="00B42240">
        <w:rPr>
          <w:rFonts w:ascii="Cambria" w:hAnsi="Cambria" w:cs="Arial"/>
          <w:sz w:val="20"/>
          <w:szCs w:val="20"/>
          <w:lang w:val="es-419" w:eastAsia="es-ES"/>
        </w:rPr>
        <w:t>;</w:t>
      </w:r>
      <w:r w:rsidR="00021B1A" w:rsidRPr="00021B1A">
        <w:rPr>
          <w:rFonts w:ascii="Cambria" w:hAnsi="Cambria" w:cs="Arial"/>
          <w:sz w:val="20"/>
          <w:szCs w:val="20"/>
          <w:lang w:val="es-419" w:eastAsia="es-ES"/>
        </w:rPr>
        <w:t xml:space="preserve"> y </w:t>
      </w:r>
      <w:r w:rsidR="00B42240">
        <w:rPr>
          <w:rFonts w:ascii="Cambria" w:hAnsi="Cambria" w:cs="Arial"/>
          <w:sz w:val="20"/>
          <w:szCs w:val="20"/>
          <w:lang w:val="es-419" w:eastAsia="es-ES"/>
        </w:rPr>
        <w:t xml:space="preserve">que </w:t>
      </w:r>
      <w:r w:rsidR="00021B1A" w:rsidRPr="00021B1A">
        <w:rPr>
          <w:rFonts w:ascii="Cambria" w:hAnsi="Cambria" w:cs="Arial"/>
          <w:sz w:val="20"/>
          <w:szCs w:val="20"/>
          <w:lang w:val="es-419" w:eastAsia="es-ES"/>
        </w:rPr>
        <w:t xml:space="preserve">con base en </w:t>
      </w:r>
      <w:r w:rsidR="00B42240">
        <w:rPr>
          <w:rFonts w:ascii="Cambria" w:hAnsi="Cambria" w:cs="Arial"/>
          <w:sz w:val="20"/>
          <w:szCs w:val="20"/>
          <w:lang w:val="es-419" w:eastAsia="es-ES"/>
        </w:rPr>
        <w:t>el</w:t>
      </w:r>
      <w:r w:rsidR="00021B1A" w:rsidRPr="00021B1A">
        <w:rPr>
          <w:rFonts w:ascii="Cambria" w:hAnsi="Cambria" w:cs="Arial"/>
          <w:sz w:val="20"/>
          <w:szCs w:val="20"/>
          <w:lang w:val="es-419" w:eastAsia="es-ES"/>
        </w:rPr>
        <w:t xml:space="preserve">las se </w:t>
      </w:r>
      <w:r w:rsidR="001132DE" w:rsidRPr="00021B1A">
        <w:rPr>
          <w:rFonts w:ascii="Cambria" w:hAnsi="Cambria" w:cs="Arial"/>
          <w:sz w:val="20"/>
          <w:szCs w:val="20"/>
          <w:lang w:val="es-419" w:eastAsia="es-ES"/>
        </w:rPr>
        <w:t>determin</w:t>
      </w:r>
      <w:r w:rsidR="00021B1A" w:rsidRPr="00021B1A">
        <w:rPr>
          <w:rFonts w:ascii="Cambria" w:hAnsi="Cambria" w:cs="Arial"/>
          <w:sz w:val="20"/>
          <w:szCs w:val="20"/>
          <w:lang w:val="es-419" w:eastAsia="es-ES"/>
        </w:rPr>
        <w:t xml:space="preserve">ó </w:t>
      </w:r>
      <w:r w:rsidR="001132DE" w:rsidRPr="00021B1A">
        <w:rPr>
          <w:rFonts w:ascii="Cambria" w:hAnsi="Cambria" w:cs="Arial"/>
          <w:sz w:val="20"/>
          <w:szCs w:val="20"/>
          <w:lang w:val="es-419" w:eastAsia="es-ES"/>
        </w:rPr>
        <w:t xml:space="preserve">que la causa de muerte fue su caída </w:t>
      </w:r>
      <w:r w:rsidR="00B42240">
        <w:rPr>
          <w:rFonts w:ascii="Cambria" w:hAnsi="Cambria" w:cs="Arial"/>
          <w:sz w:val="20"/>
          <w:szCs w:val="20"/>
          <w:lang w:val="es-419" w:eastAsia="es-ES"/>
        </w:rPr>
        <w:t>en medio de</w:t>
      </w:r>
      <w:r w:rsidR="00021B1A" w:rsidRPr="00021B1A">
        <w:rPr>
          <w:rFonts w:ascii="Cambria" w:hAnsi="Cambria" w:cs="Arial"/>
          <w:sz w:val="20"/>
          <w:szCs w:val="20"/>
          <w:lang w:val="es-419" w:eastAsia="es-ES"/>
        </w:rPr>
        <w:t xml:space="preserve"> </w:t>
      </w:r>
      <w:r w:rsidR="00B42240">
        <w:rPr>
          <w:rFonts w:ascii="Cambria" w:hAnsi="Cambria" w:cs="Arial"/>
          <w:sz w:val="20"/>
          <w:szCs w:val="20"/>
          <w:lang w:val="es-419" w:eastAsia="es-ES"/>
        </w:rPr>
        <w:t xml:space="preserve">las </w:t>
      </w:r>
      <w:r w:rsidR="001132DE" w:rsidRPr="00021B1A">
        <w:rPr>
          <w:rFonts w:ascii="Cambria" w:hAnsi="Cambria" w:cs="Arial"/>
          <w:sz w:val="20"/>
          <w:szCs w:val="20"/>
          <w:lang w:val="es-419" w:eastAsia="es-ES"/>
        </w:rPr>
        <w:t xml:space="preserve">convulsiones y golpes que se auto </w:t>
      </w:r>
      <w:r w:rsidR="00F76005" w:rsidRPr="00021B1A">
        <w:rPr>
          <w:rFonts w:ascii="Cambria" w:hAnsi="Cambria" w:cs="Arial"/>
          <w:sz w:val="20"/>
          <w:szCs w:val="20"/>
          <w:lang w:val="es-419" w:eastAsia="es-ES"/>
        </w:rPr>
        <w:t>infringía</w:t>
      </w:r>
      <w:r w:rsidR="001132DE" w:rsidRPr="00021B1A">
        <w:rPr>
          <w:rFonts w:ascii="Cambria" w:hAnsi="Cambria" w:cs="Arial"/>
          <w:sz w:val="20"/>
          <w:szCs w:val="20"/>
          <w:lang w:val="es-419" w:eastAsia="es-ES"/>
        </w:rPr>
        <w:t xml:space="preserve"> durante estos episodios. </w:t>
      </w:r>
    </w:p>
    <w:p w14:paraId="5F729325" w14:textId="77777777" w:rsidR="00B42240" w:rsidRPr="00021B1A" w:rsidRDefault="00B42240" w:rsidP="00B4224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Arial"/>
          <w:sz w:val="20"/>
          <w:szCs w:val="20"/>
          <w:lang w:val="es-419" w:eastAsia="es-ES"/>
        </w:rPr>
      </w:pPr>
    </w:p>
    <w:p w14:paraId="3FE6F5AE" w14:textId="0168F98B" w:rsidR="004C616A" w:rsidRPr="00006B74" w:rsidRDefault="004C616A" w:rsidP="00C7480B">
      <w:pPr>
        <w:pStyle w:val="ListParagraph"/>
        <w:ind w:left="0"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3EF71DFB" w14:textId="77777777" w:rsidR="00B42240" w:rsidRPr="00B42240" w:rsidRDefault="00B42240" w:rsidP="00B422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D229E05" w14:textId="10FA3B6C" w:rsidR="00332318" w:rsidRPr="00B42240" w:rsidRDefault="00332318"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2318">
        <w:rPr>
          <w:rFonts w:ascii="Cambria" w:hAnsi="Cambria"/>
          <w:sz w:val="20"/>
          <w:szCs w:val="20"/>
          <w:lang w:val="es-419"/>
        </w:rPr>
        <w:t xml:space="preserve">La Comisión </w:t>
      </w:r>
      <w:r w:rsidR="00777B1A">
        <w:rPr>
          <w:rFonts w:ascii="Cambria" w:hAnsi="Cambria"/>
          <w:sz w:val="20"/>
          <w:szCs w:val="20"/>
          <w:lang w:val="es-419"/>
        </w:rPr>
        <w:t xml:space="preserve">Interamericana </w:t>
      </w:r>
      <w:r w:rsidRPr="00332318">
        <w:rPr>
          <w:rFonts w:ascii="Cambria" w:hAnsi="Cambria"/>
          <w:sz w:val="20"/>
          <w:szCs w:val="20"/>
          <w:lang w:val="es-419"/>
        </w:rPr>
        <w:t xml:space="preserve">ha determinado </w:t>
      </w:r>
      <w:r w:rsidR="00777B1A">
        <w:rPr>
          <w:rFonts w:ascii="Cambria" w:hAnsi="Cambria"/>
          <w:sz w:val="20"/>
          <w:szCs w:val="20"/>
          <w:lang w:val="es-419"/>
        </w:rPr>
        <w:t xml:space="preserve">anteriormente </w:t>
      </w:r>
      <w:r w:rsidRPr="00332318">
        <w:rPr>
          <w:rFonts w:ascii="Cambria" w:hAnsi="Cambria"/>
          <w:sz w:val="20"/>
          <w:szCs w:val="20"/>
          <w:lang w:val="es-419"/>
        </w:rPr>
        <w:t xml:space="preserve">que, en situaciones relacionadas a posibles violaciones </w:t>
      </w:r>
      <w:r w:rsidR="00777B1A">
        <w:rPr>
          <w:rFonts w:ascii="Cambria" w:hAnsi="Cambria"/>
          <w:sz w:val="20"/>
          <w:szCs w:val="20"/>
          <w:lang w:val="es-419"/>
        </w:rPr>
        <w:t>de</w:t>
      </w:r>
      <w:r w:rsidRPr="00332318">
        <w:rPr>
          <w:rFonts w:ascii="Cambria" w:hAnsi="Cambria"/>
          <w:sz w:val="20"/>
          <w:szCs w:val="20"/>
          <w:lang w:val="es-419"/>
        </w:rPr>
        <w:t xml:space="preserve"> derechos humanos que representan delitos perseguibles de oficio, los recursos internos que deben tomarse en cuenta a efectos de la admisibilidad son los relacionados con la investigación y sanción de los responsables</w:t>
      </w:r>
      <w:r>
        <w:rPr>
          <w:rStyle w:val="FootnoteReference"/>
          <w:rFonts w:ascii="Cambria" w:hAnsi="Cambria"/>
          <w:sz w:val="20"/>
          <w:szCs w:val="20"/>
          <w:lang w:val="es-419"/>
        </w:rPr>
        <w:footnoteReference w:id="7"/>
      </w:r>
      <w:r w:rsidRPr="00332318">
        <w:rPr>
          <w:rFonts w:ascii="Cambria" w:hAnsi="Cambria"/>
          <w:sz w:val="20"/>
          <w:szCs w:val="20"/>
          <w:lang w:val="es-419"/>
        </w:rPr>
        <w:t>. La C</w:t>
      </w:r>
      <w:r w:rsidR="00E96BDE">
        <w:rPr>
          <w:rFonts w:ascii="Cambria" w:hAnsi="Cambria"/>
          <w:sz w:val="20"/>
          <w:szCs w:val="20"/>
          <w:lang w:val="es-419"/>
        </w:rPr>
        <w:t>IDH</w:t>
      </w:r>
      <w:r w:rsidRPr="00332318">
        <w:rPr>
          <w:rFonts w:ascii="Cambria" w:hAnsi="Cambria"/>
          <w:sz w:val="20"/>
          <w:szCs w:val="20"/>
          <w:lang w:val="es-419"/>
        </w:rPr>
        <w:t xml:space="preserve"> también ha señalado con respecto a la investigación y sanción de los responsables que “esta carga debe ser asumida por el Estado como un deber jurídico propio, y no como una gestión de intereses de particulares o que dependa de la iniciativa de éstos o de la aportación de pruebas por </w:t>
      </w:r>
      <w:r w:rsidRPr="007835B6">
        <w:rPr>
          <w:rFonts w:ascii="Cambria" w:hAnsi="Cambria"/>
          <w:sz w:val="20"/>
          <w:szCs w:val="20"/>
          <w:lang w:val="es-419"/>
        </w:rPr>
        <w:t>parte de estos”</w:t>
      </w:r>
      <w:r w:rsidRPr="007835B6">
        <w:rPr>
          <w:rStyle w:val="FootnoteReference"/>
          <w:rFonts w:ascii="Cambria" w:hAnsi="Cambria"/>
          <w:sz w:val="20"/>
          <w:szCs w:val="20"/>
          <w:lang w:val="es-419"/>
        </w:rPr>
        <w:footnoteReference w:id="8"/>
      </w:r>
      <w:r w:rsidRPr="007835B6">
        <w:rPr>
          <w:rFonts w:ascii="Cambria" w:hAnsi="Cambria"/>
          <w:sz w:val="20"/>
          <w:szCs w:val="20"/>
          <w:lang w:val="es-419"/>
        </w:rPr>
        <w:t xml:space="preserve">. </w:t>
      </w:r>
    </w:p>
    <w:p w14:paraId="75B2B24C" w14:textId="77777777" w:rsidR="00B42240" w:rsidRPr="007835B6" w:rsidRDefault="00B42240" w:rsidP="00B422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CB717E7" w14:textId="011AB08C" w:rsidR="00DB0508" w:rsidRDefault="00951D55"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419"/>
        </w:rPr>
        <w:t>Por otra parte</w:t>
      </w:r>
      <w:r w:rsidR="00B056F1" w:rsidRPr="007835B6">
        <w:rPr>
          <w:rFonts w:ascii="Cambria" w:hAnsi="Cambria"/>
          <w:sz w:val="20"/>
          <w:szCs w:val="20"/>
          <w:lang w:val="es-419"/>
        </w:rPr>
        <w:t>, la C</w:t>
      </w:r>
      <w:r>
        <w:rPr>
          <w:rFonts w:ascii="Cambria" w:hAnsi="Cambria"/>
          <w:sz w:val="20"/>
          <w:szCs w:val="20"/>
          <w:lang w:val="es-419"/>
        </w:rPr>
        <w:t>IDH</w:t>
      </w:r>
      <w:r w:rsidR="00B056F1" w:rsidRPr="007835B6">
        <w:rPr>
          <w:rFonts w:ascii="Cambria" w:hAnsi="Cambria"/>
          <w:sz w:val="20"/>
          <w:szCs w:val="20"/>
          <w:lang w:val="es-419"/>
        </w:rPr>
        <w:t xml:space="preserve"> recuerda que</w:t>
      </w:r>
      <w:r>
        <w:rPr>
          <w:rFonts w:ascii="Cambria" w:hAnsi="Cambria"/>
          <w:sz w:val="20"/>
          <w:szCs w:val="20"/>
          <w:lang w:val="es-419"/>
        </w:rPr>
        <w:t xml:space="preserve"> la</w:t>
      </w:r>
      <w:r w:rsidR="00B056F1" w:rsidRPr="007835B6">
        <w:rPr>
          <w:rFonts w:ascii="Cambria" w:hAnsi="Cambria"/>
          <w:sz w:val="20"/>
          <w:szCs w:val="20"/>
          <w:lang w:val="es-419"/>
        </w:rPr>
        <w:t xml:space="preserve"> garantía efectiva del derecho a la vida de las personas privadas de libertad</w:t>
      </w:r>
      <w:r>
        <w:rPr>
          <w:rFonts w:ascii="Cambria" w:hAnsi="Cambria"/>
          <w:sz w:val="20"/>
          <w:szCs w:val="20"/>
          <w:lang w:val="es-419"/>
        </w:rPr>
        <w:t xml:space="preserve"> requiere que </w:t>
      </w:r>
      <w:r w:rsidR="00B056F1" w:rsidRPr="007835B6">
        <w:rPr>
          <w:rFonts w:ascii="Cambria" w:hAnsi="Cambria"/>
          <w:sz w:val="20"/>
          <w:szCs w:val="20"/>
          <w:lang w:val="es-419"/>
        </w:rPr>
        <w:t xml:space="preserve">en casos de muerte </w:t>
      </w:r>
      <w:r>
        <w:rPr>
          <w:rFonts w:ascii="Cambria" w:hAnsi="Cambria"/>
          <w:sz w:val="20"/>
          <w:szCs w:val="20"/>
          <w:lang w:val="es-419"/>
        </w:rPr>
        <w:t xml:space="preserve">de personas </w:t>
      </w:r>
      <w:r w:rsidR="00B056F1" w:rsidRPr="007835B6">
        <w:rPr>
          <w:rFonts w:ascii="Cambria" w:hAnsi="Cambria"/>
          <w:sz w:val="20"/>
          <w:szCs w:val="20"/>
          <w:lang w:val="es-419"/>
        </w:rPr>
        <w:t xml:space="preserve">en custodia del Estado </w:t>
      </w:r>
      <w:r>
        <w:rPr>
          <w:rFonts w:ascii="Cambria" w:hAnsi="Cambria"/>
          <w:sz w:val="20"/>
          <w:szCs w:val="20"/>
          <w:lang w:val="es-419"/>
        </w:rPr>
        <w:t>--</w:t>
      </w:r>
      <w:r w:rsidR="00B056F1" w:rsidRPr="007835B6">
        <w:rPr>
          <w:rFonts w:ascii="Cambria" w:hAnsi="Cambria"/>
          <w:sz w:val="20"/>
          <w:szCs w:val="20"/>
          <w:lang w:val="es-419"/>
        </w:rPr>
        <w:t xml:space="preserve">incluso </w:t>
      </w:r>
      <w:r w:rsidR="00E96BDE">
        <w:rPr>
          <w:rFonts w:ascii="Cambria" w:hAnsi="Cambria"/>
          <w:sz w:val="20"/>
          <w:szCs w:val="20"/>
          <w:lang w:val="es-419"/>
        </w:rPr>
        <w:t xml:space="preserve">de </w:t>
      </w:r>
      <w:r w:rsidR="00B056F1" w:rsidRPr="007835B6">
        <w:rPr>
          <w:rFonts w:ascii="Cambria" w:hAnsi="Cambria"/>
          <w:sz w:val="20"/>
          <w:szCs w:val="20"/>
          <w:lang w:val="es-419"/>
        </w:rPr>
        <w:t>muerte natural o suicidio</w:t>
      </w:r>
      <w:r>
        <w:rPr>
          <w:rFonts w:ascii="Cambria" w:hAnsi="Cambria"/>
          <w:sz w:val="20"/>
          <w:szCs w:val="20"/>
          <w:lang w:val="es-419"/>
        </w:rPr>
        <w:t>--</w:t>
      </w:r>
      <w:r w:rsidR="00B056F1" w:rsidRPr="007835B6">
        <w:rPr>
          <w:rFonts w:ascii="Cambria" w:hAnsi="Cambria"/>
          <w:sz w:val="20"/>
          <w:szCs w:val="20"/>
          <w:lang w:val="es-419"/>
        </w:rPr>
        <w:t xml:space="preserve"> éste tiene el deber de iniciar de oficio y sin dilación, una investigación seria, imparcial y efectiva, </w:t>
      </w:r>
      <w:r w:rsidR="00E96BDE">
        <w:rPr>
          <w:rFonts w:ascii="Cambria" w:hAnsi="Cambria"/>
          <w:sz w:val="20"/>
          <w:szCs w:val="20"/>
          <w:lang w:val="es-419"/>
        </w:rPr>
        <w:t>y</w:t>
      </w:r>
      <w:r w:rsidR="00B056F1" w:rsidRPr="007835B6">
        <w:rPr>
          <w:rFonts w:ascii="Cambria" w:hAnsi="Cambria"/>
          <w:sz w:val="20"/>
          <w:szCs w:val="20"/>
          <w:lang w:val="es-419"/>
        </w:rPr>
        <w:t xml:space="preserve"> desarroll</w:t>
      </w:r>
      <w:r w:rsidR="00E96BDE">
        <w:rPr>
          <w:rFonts w:ascii="Cambria" w:hAnsi="Cambria"/>
          <w:sz w:val="20"/>
          <w:szCs w:val="20"/>
          <w:lang w:val="es-419"/>
        </w:rPr>
        <w:t>arla</w:t>
      </w:r>
      <w:r w:rsidR="00B056F1" w:rsidRPr="007835B6">
        <w:rPr>
          <w:rFonts w:ascii="Cambria" w:hAnsi="Cambria"/>
          <w:sz w:val="20"/>
          <w:szCs w:val="20"/>
          <w:lang w:val="es-419"/>
        </w:rPr>
        <w:t xml:space="preserve"> en un plazo razonable</w:t>
      </w:r>
      <w:r w:rsidR="00E96BDE">
        <w:rPr>
          <w:rFonts w:ascii="Cambria" w:hAnsi="Cambria"/>
          <w:sz w:val="20"/>
          <w:szCs w:val="20"/>
          <w:lang w:val="es-419"/>
        </w:rPr>
        <w:t>.</w:t>
      </w:r>
      <w:r w:rsidR="00B056F1" w:rsidRPr="007835B6">
        <w:rPr>
          <w:rFonts w:ascii="Cambria" w:hAnsi="Cambria"/>
          <w:sz w:val="20"/>
          <w:szCs w:val="20"/>
          <w:lang w:val="es-419"/>
        </w:rPr>
        <w:t xml:space="preserve"> </w:t>
      </w:r>
      <w:r w:rsidR="00E96BDE">
        <w:rPr>
          <w:rFonts w:ascii="Cambria" w:hAnsi="Cambria"/>
          <w:sz w:val="20"/>
          <w:szCs w:val="20"/>
          <w:lang w:val="es-419"/>
        </w:rPr>
        <w:t xml:space="preserve">La investigación debe ser </w:t>
      </w:r>
      <w:r w:rsidR="00B056F1" w:rsidRPr="007835B6">
        <w:rPr>
          <w:rFonts w:ascii="Cambria" w:hAnsi="Cambria"/>
          <w:sz w:val="20"/>
          <w:szCs w:val="20"/>
          <w:lang w:val="es-419"/>
        </w:rPr>
        <w:t xml:space="preserve">emprendida </w:t>
      </w:r>
      <w:r w:rsidR="00E96BDE" w:rsidRPr="007835B6">
        <w:rPr>
          <w:rFonts w:ascii="Cambria" w:hAnsi="Cambria"/>
          <w:sz w:val="20"/>
          <w:szCs w:val="20"/>
          <w:lang w:val="es-419"/>
        </w:rPr>
        <w:t>como un deber jurídico propio</w:t>
      </w:r>
      <w:r w:rsidR="00E96BDE">
        <w:rPr>
          <w:rFonts w:ascii="Cambria" w:hAnsi="Cambria"/>
          <w:sz w:val="20"/>
          <w:szCs w:val="20"/>
          <w:lang w:val="es-419"/>
        </w:rPr>
        <w:t>, ya que c</w:t>
      </w:r>
      <w:r w:rsidR="00B056F1" w:rsidRPr="007835B6">
        <w:rPr>
          <w:rFonts w:ascii="Cambria" w:hAnsi="Cambria"/>
          <w:sz w:val="20"/>
          <w:szCs w:val="20"/>
          <w:lang w:val="es-419"/>
        </w:rPr>
        <w:t xml:space="preserve">orresponde al Estado esclarecer las circunstancias en que ocurrió la muerte y no </w:t>
      </w:r>
      <w:r w:rsidR="00E96BDE">
        <w:rPr>
          <w:rFonts w:ascii="Cambria" w:hAnsi="Cambria"/>
          <w:sz w:val="20"/>
          <w:szCs w:val="20"/>
          <w:lang w:val="es-419"/>
        </w:rPr>
        <w:t xml:space="preserve">actuar </w:t>
      </w:r>
      <w:r w:rsidR="00B056F1" w:rsidRPr="007835B6">
        <w:rPr>
          <w:rFonts w:ascii="Cambria" w:hAnsi="Cambria"/>
          <w:sz w:val="20"/>
          <w:szCs w:val="20"/>
          <w:lang w:val="es-419"/>
        </w:rPr>
        <w:t>como una gestión de intereses particulares o que dependa de la iniciativa de éstos</w:t>
      </w:r>
      <w:r w:rsidR="009C6E0A" w:rsidRPr="007835B6">
        <w:rPr>
          <w:rStyle w:val="FootnoteReference"/>
          <w:rFonts w:ascii="Cambria" w:hAnsi="Cambria"/>
          <w:sz w:val="20"/>
          <w:szCs w:val="20"/>
          <w:lang w:val="es-419"/>
        </w:rPr>
        <w:footnoteReference w:id="9"/>
      </w:r>
      <w:r w:rsidR="00B056F1" w:rsidRPr="007835B6">
        <w:rPr>
          <w:rFonts w:ascii="Cambria" w:hAnsi="Cambria"/>
          <w:sz w:val="20"/>
          <w:szCs w:val="20"/>
          <w:lang w:val="es-419"/>
        </w:rPr>
        <w:t xml:space="preserve">. </w:t>
      </w:r>
    </w:p>
    <w:p w14:paraId="25FA3795" w14:textId="77777777" w:rsidR="00951D55" w:rsidRDefault="00951D55" w:rsidP="00951D5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321D90A" w14:textId="77777777" w:rsidR="002F5791" w:rsidRPr="002F5791" w:rsidRDefault="00E17434"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B0508">
        <w:rPr>
          <w:rFonts w:ascii="Cambria" w:hAnsi="Cambria"/>
          <w:sz w:val="20"/>
          <w:szCs w:val="20"/>
          <w:lang w:val="es-ES"/>
        </w:rPr>
        <w:t xml:space="preserve">En el presente </w:t>
      </w:r>
      <w:r w:rsidR="00E96BDE">
        <w:rPr>
          <w:rFonts w:ascii="Cambria" w:hAnsi="Cambria"/>
          <w:sz w:val="20"/>
          <w:szCs w:val="20"/>
          <w:lang w:val="es-ES"/>
        </w:rPr>
        <w:t>asunto</w:t>
      </w:r>
      <w:r w:rsidR="00541405">
        <w:rPr>
          <w:rFonts w:ascii="Cambria" w:hAnsi="Cambria"/>
          <w:sz w:val="20"/>
          <w:szCs w:val="20"/>
          <w:lang w:val="es-ES"/>
        </w:rPr>
        <w:t>,</w:t>
      </w:r>
      <w:r w:rsidRPr="00DB0508">
        <w:rPr>
          <w:rFonts w:ascii="Cambria" w:hAnsi="Cambria"/>
          <w:sz w:val="20"/>
          <w:szCs w:val="20"/>
          <w:lang w:val="es-ES"/>
        </w:rPr>
        <w:t xml:space="preserve"> </w:t>
      </w:r>
      <w:r w:rsidR="00541405">
        <w:rPr>
          <w:rFonts w:ascii="Cambria" w:hAnsi="Cambria"/>
          <w:sz w:val="20"/>
          <w:szCs w:val="20"/>
          <w:lang w:val="es-ES"/>
        </w:rPr>
        <w:t xml:space="preserve">la </w:t>
      </w:r>
      <w:r w:rsidRPr="00DB0508">
        <w:rPr>
          <w:rFonts w:ascii="Cambria" w:hAnsi="Cambria"/>
          <w:sz w:val="20"/>
          <w:szCs w:val="20"/>
          <w:lang w:val="es-ES"/>
        </w:rPr>
        <w:t xml:space="preserve">Comisión </w:t>
      </w:r>
      <w:r w:rsidR="00951D55">
        <w:rPr>
          <w:rFonts w:ascii="Cambria" w:hAnsi="Cambria"/>
          <w:sz w:val="20"/>
          <w:szCs w:val="20"/>
          <w:lang w:val="es-ES"/>
        </w:rPr>
        <w:t xml:space="preserve">Interamericana </w:t>
      </w:r>
      <w:r w:rsidRPr="00DB0508">
        <w:rPr>
          <w:rFonts w:ascii="Cambria" w:hAnsi="Cambria"/>
          <w:sz w:val="20"/>
          <w:szCs w:val="20"/>
          <w:lang w:val="es-ES"/>
        </w:rPr>
        <w:t>observa que</w:t>
      </w:r>
      <w:r w:rsidR="00845858">
        <w:rPr>
          <w:rFonts w:ascii="Cambria" w:hAnsi="Cambria"/>
          <w:sz w:val="20"/>
          <w:szCs w:val="20"/>
          <w:lang w:val="es-ES"/>
        </w:rPr>
        <w:t xml:space="preserve"> </w:t>
      </w:r>
      <w:r w:rsidR="00845858" w:rsidRPr="00D96741">
        <w:rPr>
          <w:rFonts w:ascii="Cambria" w:hAnsi="Cambria" w:cs="Arial"/>
          <w:sz w:val="20"/>
          <w:szCs w:val="20"/>
          <w:lang w:val="es-419" w:eastAsia="es-ES"/>
        </w:rPr>
        <w:t xml:space="preserve">la Fiscalía de Imbabura inició </w:t>
      </w:r>
      <w:r w:rsidR="00845858">
        <w:rPr>
          <w:rFonts w:ascii="Cambria" w:hAnsi="Cambria" w:cs="Arial"/>
          <w:sz w:val="20"/>
          <w:szCs w:val="20"/>
          <w:lang w:val="es-419" w:eastAsia="es-ES"/>
        </w:rPr>
        <w:t xml:space="preserve">una </w:t>
      </w:r>
      <w:r w:rsidR="00845858" w:rsidRPr="00D96741">
        <w:rPr>
          <w:rFonts w:ascii="Cambria" w:hAnsi="Cambria" w:cs="Arial"/>
          <w:sz w:val="20"/>
          <w:szCs w:val="20"/>
          <w:lang w:val="es-419" w:eastAsia="es-ES"/>
        </w:rPr>
        <w:t>indagación previa</w:t>
      </w:r>
      <w:r w:rsidR="00ED2FDC" w:rsidRPr="00DB0508">
        <w:rPr>
          <w:rFonts w:ascii="Cambria" w:hAnsi="Cambria"/>
          <w:sz w:val="20"/>
          <w:szCs w:val="20"/>
          <w:lang w:val="es-ES"/>
        </w:rPr>
        <w:t xml:space="preserve"> </w:t>
      </w:r>
      <w:r w:rsidR="00845858">
        <w:rPr>
          <w:rFonts w:ascii="Cambria" w:hAnsi="Cambria"/>
          <w:sz w:val="20"/>
          <w:szCs w:val="20"/>
          <w:lang w:val="es-ES"/>
        </w:rPr>
        <w:t xml:space="preserve">en relación con los hechos del presente caso </w:t>
      </w:r>
      <w:r w:rsidR="00845858" w:rsidRPr="00D96741">
        <w:rPr>
          <w:rFonts w:ascii="Cambria" w:hAnsi="Cambria" w:cs="Arial"/>
          <w:sz w:val="20"/>
          <w:szCs w:val="20"/>
          <w:lang w:val="es-419" w:eastAsia="es-ES"/>
        </w:rPr>
        <w:t>el 15 de agosto de 2011</w:t>
      </w:r>
      <w:r w:rsidR="00951D55">
        <w:rPr>
          <w:rFonts w:ascii="Cambria" w:hAnsi="Cambria"/>
          <w:sz w:val="20"/>
          <w:szCs w:val="20"/>
          <w:lang w:val="es-419"/>
        </w:rPr>
        <w:t>, que</w:t>
      </w:r>
      <w:r w:rsidR="00845858">
        <w:rPr>
          <w:rFonts w:ascii="Cambria" w:hAnsi="Cambria"/>
          <w:sz w:val="20"/>
          <w:szCs w:val="20"/>
          <w:lang w:val="es-419"/>
        </w:rPr>
        <w:t xml:space="preserve"> </w:t>
      </w:r>
      <w:r w:rsidRPr="00DB0508">
        <w:rPr>
          <w:rFonts w:ascii="Cambria" w:hAnsi="Cambria"/>
          <w:sz w:val="20"/>
          <w:szCs w:val="20"/>
          <w:lang w:val="es-ES"/>
        </w:rPr>
        <w:t xml:space="preserve">fue </w:t>
      </w:r>
      <w:r w:rsidR="00ED2FDC" w:rsidRPr="00DB0508">
        <w:rPr>
          <w:rFonts w:ascii="Cambria" w:hAnsi="Cambria"/>
          <w:sz w:val="20"/>
          <w:szCs w:val="20"/>
          <w:lang w:val="es-ES"/>
        </w:rPr>
        <w:t xml:space="preserve">archivada </w:t>
      </w:r>
      <w:r w:rsidR="00845858" w:rsidRPr="00D96741">
        <w:rPr>
          <w:rFonts w:ascii="Cambria" w:hAnsi="Cambria" w:cs="Arial"/>
          <w:sz w:val="20"/>
          <w:szCs w:val="20"/>
          <w:lang w:val="es-419" w:eastAsia="es-ES"/>
        </w:rPr>
        <w:t>definitiv</w:t>
      </w:r>
      <w:r w:rsidR="00845858">
        <w:rPr>
          <w:rFonts w:ascii="Cambria" w:hAnsi="Cambria" w:cs="Arial"/>
          <w:sz w:val="20"/>
          <w:szCs w:val="20"/>
          <w:lang w:val="es-419" w:eastAsia="es-ES"/>
        </w:rPr>
        <w:t xml:space="preserve">amente </w:t>
      </w:r>
      <w:r w:rsidR="00845858" w:rsidRPr="00D96741">
        <w:rPr>
          <w:rFonts w:ascii="Cambria" w:hAnsi="Cambria" w:cs="Arial"/>
          <w:sz w:val="20"/>
          <w:szCs w:val="20"/>
          <w:lang w:val="es-419" w:eastAsia="es-ES"/>
        </w:rPr>
        <w:t>el 6 de enero de 2012</w:t>
      </w:r>
      <w:r w:rsidR="00845858">
        <w:rPr>
          <w:rFonts w:ascii="Cambria" w:hAnsi="Cambria" w:cs="Arial"/>
          <w:sz w:val="20"/>
          <w:szCs w:val="20"/>
          <w:lang w:val="es-419" w:eastAsia="es-ES"/>
        </w:rPr>
        <w:t xml:space="preserve"> por </w:t>
      </w:r>
      <w:r w:rsidR="00845858" w:rsidRPr="00D96741">
        <w:rPr>
          <w:rFonts w:ascii="Cambria" w:hAnsi="Cambria" w:cs="Arial"/>
          <w:sz w:val="20"/>
          <w:szCs w:val="20"/>
          <w:lang w:val="es-419" w:eastAsia="es-ES"/>
        </w:rPr>
        <w:t>el Juzgado Primero de Garantías Penales de Ibarra</w:t>
      </w:r>
      <w:r w:rsidRPr="00DB0508">
        <w:rPr>
          <w:rFonts w:ascii="Cambria" w:hAnsi="Cambria"/>
          <w:sz w:val="20"/>
          <w:szCs w:val="20"/>
          <w:lang w:val="es-ES"/>
        </w:rPr>
        <w:t xml:space="preserve">, sin que hasta la fecha </w:t>
      </w:r>
      <w:r w:rsidR="007835B6" w:rsidRPr="00DB0508">
        <w:rPr>
          <w:rFonts w:ascii="Cambria" w:hAnsi="Cambria"/>
          <w:sz w:val="20"/>
          <w:szCs w:val="20"/>
          <w:lang w:val="es-419"/>
        </w:rPr>
        <w:t xml:space="preserve">se </w:t>
      </w:r>
      <w:r w:rsidR="00845858">
        <w:rPr>
          <w:rFonts w:ascii="Cambria" w:hAnsi="Cambria"/>
          <w:sz w:val="20"/>
          <w:szCs w:val="20"/>
          <w:lang w:val="es-419"/>
        </w:rPr>
        <w:t>h</w:t>
      </w:r>
      <w:r w:rsidR="00951D55">
        <w:rPr>
          <w:rFonts w:ascii="Cambria" w:hAnsi="Cambria"/>
          <w:sz w:val="20"/>
          <w:szCs w:val="20"/>
          <w:lang w:val="es-419"/>
        </w:rPr>
        <w:t>ubiera</w:t>
      </w:r>
      <w:r w:rsidR="007835B6" w:rsidRPr="00DB0508">
        <w:rPr>
          <w:rFonts w:ascii="Cambria" w:hAnsi="Cambria"/>
          <w:sz w:val="20"/>
          <w:szCs w:val="20"/>
          <w:lang w:val="es-419"/>
        </w:rPr>
        <w:t xml:space="preserve"> identificado o individualizado posibles responsables. </w:t>
      </w:r>
      <w:r w:rsidR="00541405">
        <w:rPr>
          <w:rFonts w:ascii="Cambria" w:hAnsi="Cambria"/>
          <w:sz w:val="20"/>
          <w:szCs w:val="20"/>
          <w:lang w:val="es-419"/>
        </w:rPr>
        <w:t xml:space="preserve">El </w:t>
      </w:r>
      <w:r w:rsidR="007835B6" w:rsidRPr="00DB0508">
        <w:rPr>
          <w:rFonts w:ascii="Cambria" w:hAnsi="Cambria"/>
          <w:sz w:val="20"/>
          <w:szCs w:val="20"/>
          <w:lang w:val="es-419"/>
        </w:rPr>
        <w:t>peticionari</w:t>
      </w:r>
      <w:r w:rsidR="00951D55">
        <w:rPr>
          <w:rFonts w:ascii="Cambria" w:hAnsi="Cambria"/>
          <w:sz w:val="20"/>
          <w:szCs w:val="20"/>
          <w:lang w:val="es-419"/>
        </w:rPr>
        <w:t>o</w:t>
      </w:r>
      <w:r w:rsidR="007835B6" w:rsidRPr="00DB0508">
        <w:rPr>
          <w:rFonts w:ascii="Cambria" w:hAnsi="Cambria"/>
          <w:sz w:val="20"/>
          <w:szCs w:val="20"/>
          <w:lang w:val="es-419"/>
        </w:rPr>
        <w:t xml:space="preserve"> </w:t>
      </w:r>
      <w:r w:rsidR="00541405">
        <w:rPr>
          <w:rFonts w:ascii="Cambria" w:hAnsi="Cambria"/>
          <w:sz w:val="20"/>
          <w:szCs w:val="20"/>
          <w:lang w:val="es-419"/>
        </w:rPr>
        <w:t xml:space="preserve">alega </w:t>
      </w:r>
      <w:r w:rsidR="007835B6" w:rsidRPr="00DB0508">
        <w:rPr>
          <w:rFonts w:ascii="Cambria" w:hAnsi="Cambria"/>
          <w:sz w:val="20"/>
          <w:szCs w:val="20"/>
          <w:lang w:val="es-419"/>
        </w:rPr>
        <w:t xml:space="preserve">que la investigación no se desarrolló de forma adecuada y que </w:t>
      </w:r>
      <w:r w:rsidR="00541405">
        <w:rPr>
          <w:rFonts w:ascii="Cambria" w:hAnsi="Cambria"/>
          <w:sz w:val="20"/>
          <w:szCs w:val="20"/>
          <w:lang w:val="es-419"/>
        </w:rPr>
        <w:t xml:space="preserve">los </w:t>
      </w:r>
      <w:r w:rsidR="007835B6" w:rsidRPr="00DB0508">
        <w:rPr>
          <w:rFonts w:ascii="Cambria" w:hAnsi="Cambria"/>
          <w:sz w:val="20"/>
          <w:szCs w:val="20"/>
          <w:lang w:val="es-419"/>
        </w:rPr>
        <w:t xml:space="preserve">familiares de </w:t>
      </w:r>
      <w:r w:rsidR="00105D66">
        <w:rPr>
          <w:rFonts w:ascii="Cambria" w:hAnsi="Cambria"/>
          <w:sz w:val="20"/>
          <w:szCs w:val="20"/>
          <w:lang w:val="es-419"/>
        </w:rPr>
        <w:t>la presunta víctima</w:t>
      </w:r>
      <w:r w:rsidR="007835B6" w:rsidRPr="00DB0508">
        <w:rPr>
          <w:rFonts w:ascii="Cambria" w:hAnsi="Cambria"/>
          <w:sz w:val="20"/>
          <w:szCs w:val="20"/>
          <w:lang w:val="es-419"/>
        </w:rPr>
        <w:t xml:space="preserve"> no tuvieron la oportunidad de participar en </w:t>
      </w:r>
      <w:r w:rsidR="00541405">
        <w:rPr>
          <w:rFonts w:ascii="Cambria" w:hAnsi="Cambria"/>
          <w:sz w:val="20"/>
          <w:szCs w:val="20"/>
          <w:lang w:val="es-419"/>
        </w:rPr>
        <w:t>el proceso;</w:t>
      </w:r>
      <w:r w:rsidR="007835B6" w:rsidRPr="00DB0508">
        <w:rPr>
          <w:rFonts w:ascii="Cambria" w:hAnsi="Cambria"/>
          <w:sz w:val="20"/>
          <w:szCs w:val="20"/>
          <w:lang w:val="es-419"/>
        </w:rPr>
        <w:t xml:space="preserve"> </w:t>
      </w:r>
      <w:r w:rsidR="00541405">
        <w:rPr>
          <w:rFonts w:ascii="Cambria" w:hAnsi="Cambria"/>
          <w:sz w:val="20"/>
          <w:szCs w:val="20"/>
          <w:lang w:val="es-419"/>
        </w:rPr>
        <w:t xml:space="preserve">y que </w:t>
      </w:r>
      <w:r w:rsidR="007835B6" w:rsidRPr="00DB0508">
        <w:rPr>
          <w:rFonts w:ascii="Cambria" w:hAnsi="Cambria"/>
          <w:sz w:val="20"/>
          <w:szCs w:val="20"/>
          <w:lang w:val="es-419"/>
        </w:rPr>
        <w:t xml:space="preserve">no conocieron ni </w:t>
      </w:r>
      <w:r w:rsidR="00541405">
        <w:rPr>
          <w:rFonts w:ascii="Cambria" w:hAnsi="Cambria"/>
          <w:sz w:val="20"/>
          <w:szCs w:val="20"/>
          <w:lang w:val="es-419"/>
        </w:rPr>
        <w:t xml:space="preserve">pudieron </w:t>
      </w:r>
      <w:r w:rsidR="007835B6" w:rsidRPr="00DB0508">
        <w:rPr>
          <w:rFonts w:ascii="Cambria" w:hAnsi="Cambria"/>
          <w:sz w:val="20"/>
          <w:szCs w:val="20"/>
          <w:lang w:val="es-419"/>
        </w:rPr>
        <w:t>cuestionar la decisión de archivo</w:t>
      </w:r>
      <w:r w:rsidR="00541405">
        <w:rPr>
          <w:rFonts w:ascii="Cambria" w:hAnsi="Cambria"/>
          <w:sz w:val="20"/>
          <w:szCs w:val="20"/>
          <w:lang w:val="es-419"/>
        </w:rPr>
        <w:t xml:space="preserve">, ya que no se enteraron </w:t>
      </w:r>
      <w:r w:rsidR="007835B6" w:rsidRPr="00DB0508">
        <w:rPr>
          <w:rFonts w:ascii="Cambria" w:hAnsi="Cambria"/>
          <w:sz w:val="20"/>
          <w:szCs w:val="20"/>
          <w:lang w:val="es-419"/>
        </w:rPr>
        <w:t xml:space="preserve">la apertura de </w:t>
      </w:r>
      <w:r w:rsidR="00541405">
        <w:rPr>
          <w:rFonts w:ascii="Cambria" w:hAnsi="Cambria"/>
          <w:sz w:val="20"/>
          <w:szCs w:val="20"/>
          <w:lang w:val="es-419"/>
        </w:rPr>
        <w:t xml:space="preserve">la investigación, </w:t>
      </w:r>
      <w:r w:rsidR="007835B6" w:rsidRPr="00DB0508">
        <w:rPr>
          <w:rFonts w:ascii="Cambria" w:hAnsi="Cambria"/>
          <w:sz w:val="20"/>
          <w:szCs w:val="20"/>
          <w:lang w:val="es-419"/>
        </w:rPr>
        <w:t xml:space="preserve">ni contaban con la asistencia económica o profesional por residir en </w:t>
      </w:r>
      <w:r w:rsidR="007835B6" w:rsidRPr="00DB0508">
        <w:rPr>
          <w:rFonts w:ascii="Cambria" w:hAnsi="Cambria"/>
          <w:sz w:val="20"/>
          <w:szCs w:val="20"/>
          <w:lang w:val="es-419"/>
        </w:rPr>
        <w:lastRenderedPageBreak/>
        <w:t>Colombia.</w:t>
      </w:r>
      <w:r w:rsidR="00DB0508" w:rsidRPr="00DB0508">
        <w:rPr>
          <w:rFonts w:ascii="Cambria" w:hAnsi="Cambria"/>
          <w:sz w:val="20"/>
          <w:szCs w:val="20"/>
          <w:lang w:val="es-419"/>
        </w:rPr>
        <w:t xml:space="preserve"> Asimismo, la C</w:t>
      </w:r>
      <w:r w:rsidR="00541405">
        <w:rPr>
          <w:rFonts w:ascii="Cambria" w:hAnsi="Cambria"/>
          <w:sz w:val="20"/>
          <w:szCs w:val="20"/>
          <w:lang w:val="es-419"/>
        </w:rPr>
        <w:t xml:space="preserve">IDH </w:t>
      </w:r>
      <w:r w:rsidR="00DB0508" w:rsidRPr="00DB0508">
        <w:rPr>
          <w:rFonts w:ascii="Cambria" w:hAnsi="Cambria"/>
          <w:sz w:val="20"/>
          <w:szCs w:val="20"/>
          <w:lang w:val="es-419"/>
        </w:rPr>
        <w:t>observa que e</w:t>
      </w:r>
      <w:r w:rsidR="00DB0508" w:rsidRPr="00DB0508">
        <w:rPr>
          <w:rFonts w:ascii="Cambria" w:eastAsia="Times New Roman" w:hAnsi="Cambria"/>
          <w:sz w:val="20"/>
          <w:szCs w:val="20"/>
          <w:bdr w:val="none" w:sz="0" w:space="0" w:color="auto"/>
          <w:lang w:val="es-ES"/>
        </w:rPr>
        <w:t>l Estado no controv</w:t>
      </w:r>
      <w:r w:rsidR="00541405">
        <w:rPr>
          <w:rFonts w:ascii="Cambria" w:eastAsia="Times New Roman" w:hAnsi="Cambria"/>
          <w:sz w:val="20"/>
          <w:szCs w:val="20"/>
          <w:bdr w:val="none" w:sz="0" w:space="0" w:color="auto"/>
          <w:lang w:val="es-ES"/>
        </w:rPr>
        <w:t>ierte</w:t>
      </w:r>
      <w:r w:rsidR="00DB0508" w:rsidRPr="00DB0508">
        <w:rPr>
          <w:rFonts w:ascii="Cambria" w:eastAsia="Times New Roman" w:hAnsi="Cambria"/>
          <w:sz w:val="20"/>
          <w:szCs w:val="20"/>
          <w:bdr w:val="none" w:sz="0" w:space="0" w:color="auto"/>
          <w:lang w:val="es-ES"/>
        </w:rPr>
        <w:t xml:space="preserve"> el agotamiento de los recursos internos</w:t>
      </w:r>
      <w:r w:rsidR="004D563B">
        <w:rPr>
          <w:rFonts w:ascii="Cambria" w:eastAsia="Times New Roman" w:hAnsi="Cambria"/>
          <w:sz w:val="20"/>
          <w:szCs w:val="20"/>
          <w:bdr w:val="none" w:sz="0" w:space="0" w:color="auto"/>
          <w:lang w:val="es-ES"/>
        </w:rPr>
        <w:t>,</w:t>
      </w:r>
      <w:r w:rsidR="00DB0508" w:rsidRPr="00DB0508">
        <w:rPr>
          <w:rFonts w:ascii="Cambria" w:eastAsia="Times New Roman" w:hAnsi="Cambria"/>
          <w:sz w:val="20"/>
          <w:szCs w:val="20"/>
          <w:bdr w:val="none" w:sz="0" w:space="0" w:color="auto"/>
          <w:lang w:val="es-ES"/>
        </w:rPr>
        <w:t xml:space="preserve"> ni ha hecho referencia a recursos que </w:t>
      </w:r>
      <w:r w:rsidR="004D563B">
        <w:rPr>
          <w:rFonts w:ascii="Cambria" w:eastAsia="Times New Roman" w:hAnsi="Cambria"/>
          <w:sz w:val="20"/>
          <w:szCs w:val="20"/>
          <w:bdr w:val="none" w:sz="0" w:space="0" w:color="auto"/>
          <w:lang w:val="es-ES"/>
        </w:rPr>
        <w:t xml:space="preserve">el peticionario podría </w:t>
      </w:r>
      <w:r w:rsidR="00DB0508" w:rsidRPr="00DB0508">
        <w:rPr>
          <w:rFonts w:ascii="Cambria" w:eastAsia="Times New Roman" w:hAnsi="Cambria"/>
          <w:sz w:val="20"/>
          <w:szCs w:val="20"/>
          <w:bdr w:val="none" w:sz="0" w:space="0" w:color="auto"/>
          <w:lang w:val="es-ES"/>
        </w:rPr>
        <w:t xml:space="preserve">interponer </w:t>
      </w:r>
      <w:r w:rsidR="004D563B">
        <w:rPr>
          <w:rFonts w:ascii="Cambria" w:eastAsia="Times New Roman" w:hAnsi="Cambria"/>
          <w:sz w:val="20"/>
          <w:szCs w:val="20"/>
          <w:bdr w:val="none" w:sz="0" w:space="0" w:color="auto"/>
          <w:lang w:val="es-ES"/>
        </w:rPr>
        <w:t>en el ámbito interno</w:t>
      </w:r>
      <w:r w:rsidR="00DB0508" w:rsidRPr="00DB0508">
        <w:rPr>
          <w:rFonts w:ascii="Cambria" w:eastAsia="Times New Roman" w:hAnsi="Cambria"/>
          <w:sz w:val="20"/>
          <w:szCs w:val="20"/>
          <w:bdr w:val="none" w:sz="0" w:space="0" w:color="auto"/>
          <w:lang w:val="es-ES"/>
        </w:rPr>
        <w:t xml:space="preserve"> para que sean atendidas sus pretensiones. </w:t>
      </w:r>
    </w:p>
    <w:p w14:paraId="448FF4ED" w14:textId="77777777" w:rsidR="002F5791" w:rsidRDefault="002F5791" w:rsidP="002F5791">
      <w:pPr>
        <w:pStyle w:val="ListParagraph"/>
        <w:rPr>
          <w:rFonts w:eastAsia="Times New Roman"/>
          <w:sz w:val="20"/>
          <w:szCs w:val="20"/>
          <w:bdr w:val="none" w:sz="0" w:space="0" w:color="auto"/>
          <w:lang w:val="es-ES"/>
        </w:rPr>
      </w:pPr>
    </w:p>
    <w:p w14:paraId="7522D390" w14:textId="2BBBA3B9" w:rsidR="00DB0508" w:rsidRPr="00B42240" w:rsidRDefault="00DB0508"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B0508">
        <w:rPr>
          <w:rFonts w:ascii="Cambria" w:eastAsia="Times New Roman" w:hAnsi="Cambria"/>
          <w:sz w:val="20"/>
          <w:szCs w:val="20"/>
          <w:bdr w:val="none" w:sz="0" w:space="0" w:color="auto"/>
          <w:lang w:val="es-ES"/>
        </w:rPr>
        <w:t xml:space="preserve">En atención </w:t>
      </w:r>
      <w:r w:rsidR="002F5791">
        <w:rPr>
          <w:rFonts w:ascii="Cambria" w:eastAsia="Times New Roman" w:hAnsi="Cambria"/>
          <w:sz w:val="20"/>
          <w:szCs w:val="20"/>
          <w:bdr w:val="none" w:sz="0" w:space="0" w:color="auto"/>
          <w:lang w:val="es-ES"/>
        </w:rPr>
        <w:t>de lo anterior</w:t>
      </w:r>
      <w:r w:rsidRPr="00DB0508">
        <w:rPr>
          <w:rFonts w:ascii="Cambria" w:eastAsia="Times New Roman" w:hAnsi="Cambria"/>
          <w:sz w:val="20"/>
          <w:szCs w:val="20"/>
          <w:bdr w:val="none" w:sz="0" w:space="0" w:color="auto"/>
          <w:lang w:val="es-ES"/>
        </w:rPr>
        <w:t xml:space="preserve"> y </w:t>
      </w:r>
      <w:r w:rsidR="002F5791">
        <w:rPr>
          <w:rFonts w:ascii="Cambria" w:eastAsia="Times New Roman" w:hAnsi="Cambria"/>
          <w:sz w:val="20"/>
          <w:szCs w:val="20"/>
          <w:bdr w:val="none" w:sz="0" w:space="0" w:color="auto"/>
          <w:lang w:val="es-ES"/>
        </w:rPr>
        <w:t>de</w:t>
      </w:r>
      <w:r w:rsidRPr="00DB0508">
        <w:rPr>
          <w:rFonts w:ascii="Cambria" w:eastAsia="Times New Roman" w:hAnsi="Cambria"/>
          <w:sz w:val="20"/>
          <w:szCs w:val="20"/>
          <w:bdr w:val="none" w:sz="0" w:space="0" w:color="auto"/>
          <w:lang w:val="es-ES"/>
        </w:rPr>
        <w:t xml:space="preserve"> la información </w:t>
      </w:r>
      <w:r w:rsidR="002F5791">
        <w:rPr>
          <w:rFonts w:ascii="Cambria" w:eastAsia="Times New Roman" w:hAnsi="Cambria"/>
          <w:sz w:val="20"/>
          <w:szCs w:val="20"/>
          <w:bdr w:val="none" w:sz="0" w:space="0" w:color="auto"/>
          <w:lang w:val="es-ES"/>
        </w:rPr>
        <w:t xml:space="preserve">disponible </w:t>
      </w:r>
      <w:r w:rsidRPr="00DB0508">
        <w:rPr>
          <w:rFonts w:ascii="Cambria" w:eastAsia="Times New Roman" w:hAnsi="Cambria"/>
          <w:sz w:val="20"/>
          <w:szCs w:val="20"/>
          <w:bdr w:val="none" w:sz="0" w:space="0" w:color="auto"/>
          <w:lang w:val="es-ES"/>
        </w:rPr>
        <w:t xml:space="preserve">en el expediente, la Comisión </w:t>
      </w:r>
      <w:r w:rsidR="002F5791">
        <w:rPr>
          <w:rFonts w:ascii="Cambria" w:eastAsia="Times New Roman" w:hAnsi="Cambria"/>
          <w:sz w:val="20"/>
          <w:szCs w:val="20"/>
          <w:bdr w:val="none" w:sz="0" w:space="0" w:color="auto"/>
          <w:lang w:val="es-ES"/>
        </w:rPr>
        <w:t xml:space="preserve">Interamericana </w:t>
      </w:r>
      <w:r w:rsidRPr="00DB0508">
        <w:rPr>
          <w:rFonts w:ascii="Cambria" w:eastAsia="Times New Roman" w:hAnsi="Cambria"/>
          <w:sz w:val="20"/>
          <w:szCs w:val="20"/>
          <w:bdr w:val="none" w:sz="0" w:space="0" w:color="auto"/>
          <w:lang w:val="es-ES"/>
        </w:rPr>
        <w:t>concluye que la presente petición cumple con el requisito de agotamiento de los recursos internos de conformidad con el artículo 46.1</w:t>
      </w:r>
      <w:r w:rsidR="002F5791">
        <w:rPr>
          <w:rFonts w:ascii="Cambria" w:eastAsia="Times New Roman" w:hAnsi="Cambria"/>
          <w:sz w:val="20"/>
          <w:szCs w:val="20"/>
          <w:bdr w:val="none" w:sz="0" w:space="0" w:color="auto"/>
          <w:lang w:val="es-ES"/>
        </w:rPr>
        <w:t>(</w:t>
      </w:r>
      <w:r w:rsidRPr="00DB0508">
        <w:rPr>
          <w:rFonts w:ascii="Cambria" w:eastAsia="Times New Roman" w:hAnsi="Cambria"/>
          <w:sz w:val="20"/>
          <w:szCs w:val="20"/>
          <w:bdr w:val="none" w:sz="0" w:space="0" w:color="auto"/>
          <w:lang w:val="es-ES"/>
        </w:rPr>
        <w:t>a</w:t>
      </w:r>
      <w:r w:rsidR="002F5791">
        <w:rPr>
          <w:rFonts w:ascii="Cambria" w:eastAsia="Times New Roman" w:hAnsi="Cambria"/>
          <w:sz w:val="20"/>
          <w:szCs w:val="20"/>
          <w:bdr w:val="none" w:sz="0" w:space="0" w:color="auto"/>
          <w:lang w:val="es-ES"/>
        </w:rPr>
        <w:t>)</w:t>
      </w:r>
      <w:r w:rsidRPr="00DB0508">
        <w:rPr>
          <w:rFonts w:ascii="Cambria" w:eastAsia="Times New Roman" w:hAnsi="Cambria"/>
          <w:sz w:val="20"/>
          <w:szCs w:val="20"/>
          <w:bdr w:val="none" w:sz="0" w:space="0" w:color="auto"/>
          <w:lang w:val="es-ES"/>
        </w:rPr>
        <w:t xml:space="preserve"> de la Convención Americana.</w:t>
      </w:r>
      <w:r w:rsidRPr="00DB0508">
        <w:rPr>
          <w:rFonts w:ascii="Cambria" w:hAnsi="Cambria"/>
          <w:sz w:val="20"/>
          <w:szCs w:val="20"/>
          <w:lang w:val="es-419"/>
        </w:rPr>
        <w:t xml:space="preserve"> Finalmente, </w:t>
      </w:r>
      <w:r>
        <w:rPr>
          <w:rFonts w:ascii="Cambria" w:hAnsi="Cambria"/>
          <w:sz w:val="20"/>
          <w:szCs w:val="20"/>
          <w:lang w:val="es-419"/>
        </w:rPr>
        <w:t xml:space="preserve">de acuerdo </w:t>
      </w:r>
      <w:r w:rsidR="00845858">
        <w:rPr>
          <w:rFonts w:ascii="Cambria" w:hAnsi="Cambria"/>
          <w:sz w:val="20"/>
          <w:szCs w:val="20"/>
          <w:lang w:val="es-419"/>
        </w:rPr>
        <w:t>con</w:t>
      </w:r>
      <w:r>
        <w:rPr>
          <w:rFonts w:ascii="Cambria" w:hAnsi="Cambria"/>
          <w:sz w:val="20"/>
          <w:szCs w:val="20"/>
          <w:lang w:val="es-419"/>
        </w:rPr>
        <w:t xml:space="preserve"> la información presentada por </w:t>
      </w:r>
      <w:r w:rsidR="002F5791">
        <w:rPr>
          <w:rFonts w:ascii="Cambria" w:hAnsi="Cambria"/>
          <w:sz w:val="20"/>
          <w:szCs w:val="20"/>
          <w:lang w:val="es-419"/>
        </w:rPr>
        <w:t>el</w:t>
      </w:r>
      <w:r>
        <w:rPr>
          <w:rFonts w:ascii="Cambria" w:hAnsi="Cambria"/>
          <w:sz w:val="20"/>
          <w:szCs w:val="20"/>
          <w:lang w:val="es-419"/>
        </w:rPr>
        <w:t xml:space="preserve"> peticionari</w:t>
      </w:r>
      <w:r w:rsidR="002F5791">
        <w:rPr>
          <w:rFonts w:ascii="Cambria" w:hAnsi="Cambria"/>
          <w:sz w:val="20"/>
          <w:szCs w:val="20"/>
          <w:lang w:val="es-419"/>
        </w:rPr>
        <w:t>o</w:t>
      </w:r>
      <w:r>
        <w:rPr>
          <w:rFonts w:ascii="Cambria" w:hAnsi="Cambria"/>
          <w:sz w:val="20"/>
          <w:szCs w:val="20"/>
          <w:lang w:val="es-419"/>
        </w:rPr>
        <w:t xml:space="preserve"> y no controvertida por el Estado, la familia de la presunta víctima tuvo conocimiento del archivo de la indagación previa en mayo de 2013</w:t>
      </w:r>
      <w:r w:rsidR="00845858">
        <w:rPr>
          <w:rFonts w:ascii="Cambria" w:hAnsi="Cambria"/>
          <w:sz w:val="20"/>
          <w:szCs w:val="20"/>
          <w:lang w:val="es-419"/>
        </w:rPr>
        <w:t xml:space="preserve"> y la </w:t>
      </w:r>
      <w:r w:rsidRPr="00DB0508">
        <w:rPr>
          <w:rFonts w:ascii="Cambria" w:hAnsi="Cambria"/>
          <w:sz w:val="20"/>
          <w:szCs w:val="20"/>
          <w:lang w:val="es-419"/>
        </w:rPr>
        <w:t xml:space="preserve">petición fue presentada </w:t>
      </w:r>
      <w:r w:rsidR="00845858">
        <w:rPr>
          <w:rFonts w:ascii="Cambria" w:hAnsi="Cambria"/>
          <w:sz w:val="20"/>
          <w:szCs w:val="20"/>
          <w:lang w:val="es-419"/>
        </w:rPr>
        <w:t>el 7 de septiembre de 2013</w:t>
      </w:r>
      <w:r w:rsidR="002F5791">
        <w:rPr>
          <w:rFonts w:ascii="Cambria" w:hAnsi="Cambria"/>
          <w:sz w:val="20"/>
          <w:szCs w:val="20"/>
          <w:lang w:val="es-419"/>
        </w:rPr>
        <w:t>,</w:t>
      </w:r>
      <w:r w:rsidR="00845858">
        <w:rPr>
          <w:rFonts w:ascii="Cambria" w:hAnsi="Cambria"/>
          <w:sz w:val="20"/>
          <w:szCs w:val="20"/>
          <w:lang w:val="es-419"/>
        </w:rPr>
        <w:t xml:space="preserve"> por lo </w:t>
      </w:r>
      <w:r w:rsidRPr="00DB0508">
        <w:rPr>
          <w:rFonts w:ascii="Cambria" w:hAnsi="Cambria"/>
          <w:sz w:val="20"/>
          <w:szCs w:val="20"/>
          <w:lang w:val="es-419"/>
        </w:rPr>
        <w:t xml:space="preserve">que debe darse por satisfecho </w:t>
      </w:r>
      <w:r w:rsidR="002F5791">
        <w:rPr>
          <w:rFonts w:ascii="Cambria" w:hAnsi="Cambria"/>
          <w:sz w:val="20"/>
          <w:szCs w:val="20"/>
          <w:lang w:val="es-419"/>
        </w:rPr>
        <w:t xml:space="preserve">igualmente </w:t>
      </w:r>
      <w:r w:rsidRPr="00DB0508">
        <w:rPr>
          <w:rFonts w:ascii="Cambria" w:hAnsi="Cambria"/>
          <w:sz w:val="20"/>
          <w:szCs w:val="20"/>
          <w:lang w:val="es-419"/>
        </w:rPr>
        <w:t>el requisito de plazo de presentación.</w:t>
      </w:r>
    </w:p>
    <w:p w14:paraId="258E3674" w14:textId="77777777" w:rsidR="00B42240" w:rsidRPr="00845858" w:rsidRDefault="00B42240" w:rsidP="00105D6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090A929" w14:textId="02C7E1DC" w:rsidR="00F04591" w:rsidRPr="00006B74" w:rsidRDefault="00F04591" w:rsidP="00C7480B">
      <w:pPr>
        <w:pStyle w:val="ListParagraph"/>
        <w:ind w:left="0" w:firstLine="7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r w:rsidR="00AB1C10">
        <w:rPr>
          <w:rFonts w:asciiTheme="majorHAnsi" w:hAnsiTheme="majorHAnsi"/>
          <w:b/>
          <w:bCs/>
          <w:sz w:val="20"/>
          <w:szCs w:val="20"/>
          <w:lang w:val="es-ES"/>
        </w:rPr>
        <w:t xml:space="preserve"> </w:t>
      </w:r>
    </w:p>
    <w:p w14:paraId="366224C3" w14:textId="77777777" w:rsidR="00B42240" w:rsidRDefault="00B42240" w:rsidP="00105D6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p>
    <w:p w14:paraId="7288572B" w14:textId="47DE2078" w:rsidR="00136CA5" w:rsidRPr="00136CA5" w:rsidRDefault="00105D66"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r>
        <w:rPr>
          <w:rFonts w:ascii="Cambria" w:hAnsi="Cambria"/>
          <w:sz w:val="20"/>
          <w:szCs w:val="20"/>
          <w:lang w:val="es-419"/>
        </w:rPr>
        <w:t>El peticionario alega</w:t>
      </w:r>
      <w:r w:rsidR="007A2535" w:rsidRPr="007A2535">
        <w:rPr>
          <w:rFonts w:ascii="Cambria" w:hAnsi="Cambria"/>
          <w:sz w:val="20"/>
          <w:szCs w:val="20"/>
          <w:lang w:val="es-419"/>
        </w:rPr>
        <w:t xml:space="preserve"> </w:t>
      </w:r>
      <w:r>
        <w:rPr>
          <w:rFonts w:ascii="Cambria" w:hAnsi="Cambria"/>
          <w:sz w:val="20"/>
          <w:szCs w:val="20"/>
          <w:lang w:val="es-419"/>
        </w:rPr>
        <w:t xml:space="preserve">que el Estado es responsable por </w:t>
      </w:r>
      <w:r w:rsidR="007A2535" w:rsidRPr="007A2535">
        <w:rPr>
          <w:rFonts w:ascii="Cambria" w:hAnsi="Cambria"/>
          <w:sz w:val="20"/>
          <w:szCs w:val="20"/>
          <w:lang w:val="es-419"/>
        </w:rPr>
        <w:t xml:space="preserve">la </w:t>
      </w:r>
      <w:r w:rsidR="007A2535">
        <w:rPr>
          <w:rFonts w:ascii="Cambria" w:hAnsi="Cambria"/>
          <w:sz w:val="20"/>
          <w:szCs w:val="20"/>
          <w:lang w:val="es-419"/>
        </w:rPr>
        <w:t xml:space="preserve">detención </w:t>
      </w:r>
      <w:r>
        <w:rPr>
          <w:rFonts w:ascii="Cambria" w:hAnsi="Cambria"/>
          <w:sz w:val="20"/>
          <w:szCs w:val="20"/>
          <w:lang w:val="es-419"/>
        </w:rPr>
        <w:t xml:space="preserve">arbitraria </w:t>
      </w:r>
      <w:r w:rsidR="007A2535">
        <w:rPr>
          <w:rFonts w:ascii="Cambria" w:hAnsi="Cambria"/>
          <w:sz w:val="20"/>
          <w:szCs w:val="20"/>
          <w:lang w:val="es-419"/>
        </w:rPr>
        <w:t xml:space="preserve">y muerte de </w:t>
      </w:r>
      <w:r>
        <w:rPr>
          <w:rFonts w:ascii="Cambria" w:hAnsi="Cambria"/>
          <w:sz w:val="20"/>
          <w:szCs w:val="20"/>
          <w:lang w:val="es-419"/>
        </w:rPr>
        <w:t>la presunta víctima;</w:t>
      </w:r>
      <w:r w:rsidR="007D720D">
        <w:rPr>
          <w:rFonts w:ascii="Cambria" w:hAnsi="Cambria"/>
          <w:sz w:val="20"/>
          <w:szCs w:val="20"/>
          <w:lang w:val="es-419"/>
        </w:rPr>
        <w:t xml:space="preserve"> el incumplimiento de </w:t>
      </w:r>
      <w:r>
        <w:rPr>
          <w:rFonts w:ascii="Cambria" w:hAnsi="Cambria"/>
          <w:sz w:val="20"/>
          <w:szCs w:val="20"/>
          <w:lang w:val="es-419"/>
        </w:rPr>
        <w:t xml:space="preserve">su </w:t>
      </w:r>
      <w:r w:rsidR="007D720D">
        <w:rPr>
          <w:rFonts w:ascii="Cambria" w:hAnsi="Cambria"/>
          <w:sz w:val="20"/>
          <w:szCs w:val="20"/>
          <w:lang w:val="es-419"/>
        </w:rPr>
        <w:t xml:space="preserve">obligación </w:t>
      </w:r>
      <w:r>
        <w:rPr>
          <w:rFonts w:ascii="Cambria" w:hAnsi="Cambria"/>
          <w:sz w:val="20"/>
          <w:szCs w:val="20"/>
          <w:lang w:val="es-419"/>
        </w:rPr>
        <w:t xml:space="preserve">de </w:t>
      </w:r>
      <w:r w:rsidR="007D720D">
        <w:rPr>
          <w:rFonts w:ascii="Cambria" w:hAnsi="Cambria"/>
          <w:sz w:val="20"/>
          <w:szCs w:val="20"/>
          <w:lang w:val="es-419"/>
        </w:rPr>
        <w:t>garante de los derechos de tod</w:t>
      </w:r>
      <w:r>
        <w:rPr>
          <w:rFonts w:ascii="Cambria" w:hAnsi="Cambria"/>
          <w:sz w:val="20"/>
          <w:szCs w:val="20"/>
          <w:lang w:val="es-419"/>
        </w:rPr>
        <w:t>a persona</w:t>
      </w:r>
      <w:r w:rsidR="007D720D">
        <w:rPr>
          <w:rFonts w:ascii="Cambria" w:hAnsi="Cambria"/>
          <w:sz w:val="20"/>
          <w:szCs w:val="20"/>
          <w:lang w:val="es-419"/>
        </w:rPr>
        <w:t xml:space="preserve"> bajo su custodia</w:t>
      </w:r>
      <w:r>
        <w:rPr>
          <w:rFonts w:ascii="Cambria" w:hAnsi="Cambria"/>
          <w:sz w:val="20"/>
          <w:szCs w:val="20"/>
          <w:lang w:val="es-419"/>
        </w:rPr>
        <w:t>;</w:t>
      </w:r>
      <w:r w:rsidR="007D720D">
        <w:rPr>
          <w:rFonts w:ascii="Cambria" w:hAnsi="Cambria"/>
          <w:sz w:val="20"/>
          <w:szCs w:val="20"/>
          <w:lang w:val="es-419"/>
        </w:rPr>
        <w:t xml:space="preserve"> </w:t>
      </w:r>
      <w:r w:rsidR="007A2535">
        <w:rPr>
          <w:rFonts w:ascii="Cambria" w:hAnsi="Cambria"/>
          <w:sz w:val="20"/>
          <w:szCs w:val="20"/>
          <w:lang w:val="es-419"/>
        </w:rPr>
        <w:t xml:space="preserve">la </w:t>
      </w:r>
      <w:r w:rsidR="007A2535" w:rsidRPr="007A2535">
        <w:rPr>
          <w:rFonts w:ascii="Cambria" w:hAnsi="Cambria"/>
          <w:sz w:val="20"/>
          <w:szCs w:val="20"/>
          <w:lang w:val="es-419"/>
        </w:rPr>
        <w:t>falta de investigación penal</w:t>
      </w:r>
      <w:r>
        <w:rPr>
          <w:rFonts w:ascii="Cambria" w:hAnsi="Cambria"/>
          <w:sz w:val="20"/>
          <w:szCs w:val="20"/>
          <w:lang w:val="es-419"/>
        </w:rPr>
        <w:t>;</w:t>
      </w:r>
      <w:r w:rsidR="007A2535" w:rsidRPr="007A2535">
        <w:rPr>
          <w:rFonts w:ascii="Cambria" w:hAnsi="Cambria"/>
          <w:sz w:val="20"/>
          <w:szCs w:val="20"/>
          <w:lang w:val="es-419"/>
        </w:rPr>
        <w:t xml:space="preserve"> </w:t>
      </w:r>
      <w:r w:rsidR="007A2535">
        <w:rPr>
          <w:rFonts w:ascii="Cambria" w:hAnsi="Cambria"/>
          <w:sz w:val="20"/>
          <w:szCs w:val="20"/>
          <w:lang w:val="es-419"/>
        </w:rPr>
        <w:t xml:space="preserve">y </w:t>
      </w:r>
      <w:r w:rsidR="007A2535" w:rsidRPr="007A2535">
        <w:rPr>
          <w:rFonts w:ascii="Cambria" w:hAnsi="Cambria"/>
          <w:sz w:val="20"/>
          <w:szCs w:val="20"/>
          <w:lang w:val="es-419"/>
        </w:rPr>
        <w:t>la ausencia de garantías judiciales que tuvieron los familiares de</w:t>
      </w:r>
      <w:r w:rsidR="007A2535">
        <w:rPr>
          <w:rFonts w:ascii="Cambria" w:hAnsi="Cambria"/>
          <w:sz w:val="20"/>
          <w:szCs w:val="20"/>
          <w:lang w:val="es-419"/>
        </w:rPr>
        <w:t xml:space="preserve"> </w:t>
      </w:r>
      <w:r>
        <w:rPr>
          <w:rFonts w:ascii="Cambria" w:hAnsi="Cambria"/>
          <w:sz w:val="20"/>
          <w:szCs w:val="20"/>
          <w:lang w:val="es-419"/>
        </w:rPr>
        <w:t>aquel</w:t>
      </w:r>
      <w:r w:rsidR="007A2535">
        <w:rPr>
          <w:rFonts w:ascii="Cambria" w:hAnsi="Cambria"/>
          <w:sz w:val="20"/>
          <w:szCs w:val="20"/>
          <w:lang w:val="es-419"/>
        </w:rPr>
        <w:t>la</w:t>
      </w:r>
      <w:r w:rsidR="007A2535" w:rsidRPr="007A2535">
        <w:rPr>
          <w:rFonts w:ascii="Cambria" w:hAnsi="Cambria"/>
          <w:sz w:val="20"/>
          <w:szCs w:val="20"/>
          <w:lang w:val="es-419"/>
        </w:rPr>
        <w:t xml:space="preserve">. </w:t>
      </w:r>
      <w:r w:rsidR="00136CA5" w:rsidRPr="00136CA5">
        <w:rPr>
          <w:rFonts w:ascii="Cambria" w:hAnsi="Cambria"/>
          <w:sz w:val="20"/>
          <w:szCs w:val="20"/>
          <w:lang w:val="es-419"/>
        </w:rPr>
        <w:t xml:space="preserve">La Corte Interamericana </w:t>
      </w:r>
      <w:r w:rsidR="002F5791">
        <w:rPr>
          <w:rFonts w:ascii="Cambria" w:hAnsi="Cambria"/>
          <w:sz w:val="20"/>
          <w:szCs w:val="20"/>
          <w:lang w:val="es-419"/>
        </w:rPr>
        <w:t xml:space="preserve">de Derechos Humanos </w:t>
      </w:r>
      <w:r w:rsidR="00136CA5" w:rsidRPr="00136CA5">
        <w:rPr>
          <w:rFonts w:ascii="Cambria" w:hAnsi="Cambria"/>
          <w:sz w:val="20"/>
          <w:szCs w:val="20"/>
          <w:lang w:val="es-419"/>
        </w:rPr>
        <w:t xml:space="preserve">ha </w:t>
      </w:r>
      <w:r w:rsidR="002F5791">
        <w:rPr>
          <w:rFonts w:ascii="Cambria" w:hAnsi="Cambria"/>
          <w:sz w:val="20"/>
          <w:szCs w:val="20"/>
          <w:lang w:val="es-419"/>
        </w:rPr>
        <w:t xml:space="preserve">establecido en forma </w:t>
      </w:r>
      <w:r w:rsidR="00136CA5" w:rsidRPr="00136CA5">
        <w:rPr>
          <w:rFonts w:ascii="Cambria" w:hAnsi="Cambria"/>
          <w:sz w:val="20"/>
          <w:szCs w:val="20"/>
          <w:lang w:val="es-419"/>
        </w:rPr>
        <w:t>reiterad</w:t>
      </w:r>
      <w:r w:rsidR="002F5791">
        <w:rPr>
          <w:rFonts w:ascii="Cambria" w:hAnsi="Cambria"/>
          <w:sz w:val="20"/>
          <w:szCs w:val="20"/>
          <w:lang w:val="es-419"/>
        </w:rPr>
        <w:t>a</w:t>
      </w:r>
      <w:r w:rsidR="00136CA5" w:rsidRPr="00136CA5">
        <w:rPr>
          <w:rFonts w:ascii="Cambria" w:hAnsi="Cambria"/>
          <w:sz w:val="20"/>
          <w:szCs w:val="20"/>
          <w:lang w:val="es-419"/>
        </w:rPr>
        <w:t xml:space="preserve"> que, como responsable de los establecimientos de detención y reclusión, el Estado tiene el deber de salvaguardar la salud y el bienestar de las personas privadas de libertad</w:t>
      </w:r>
      <w:r w:rsidR="00136CA5">
        <w:rPr>
          <w:rStyle w:val="FootnoteReference"/>
          <w:rFonts w:ascii="Cambria" w:hAnsi="Cambria"/>
          <w:sz w:val="20"/>
          <w:szCs w:val="20"/>
          <w:lang w:val="es-419"/>
        </w:rPr>
        <w:footnoteReference w:id="10"/>
      </w:r>
      <w:r w:rsidR="00136CA5" w:rsidRPr="00136CA5">
        <w:rPr>
          <w:rFonts w:ascii="Cambria" w:hAnsi="Cambria"/>
          <w:sz w:val="20"/>
          <w:szCs w:val="20"/>
          <w:lang w:val="es-419"/>
        </w:rPr>
        <w:t xml:space="preserve">. </w:t>
      </w:r>
      <w:r w:rsidR="00136CA5">
        <w:rPr>
          <w:rFonts w:ascii="Cambria" w:hAnsi="Cambria"/>
          <w:sz w:val="20"/>
          <w:szCs w:val="20"/>
          <w:lang w:val="es-419"/>
        </w:rPr>
        <w:t xml:space="preserve"> </w:t>
      </w:r>
      <w:r w:rsidR="00136CA5" w:rsidRPr="00136CA5">
        <w:rPr>
          <w:rFonts w:ascii="Cambria" w:hAnsi="Cambria"/>
          <w:sz w:val="20"/>
          <w:szCs w:val="20"/>
          <w:lang w:val="es-419"/>
        </w:rPr>
        <w:t>Asimismo, la jurisprudencia de</w:t>
      </w:r>
      <w:r w:rsidR="00136CA5">
        <w:rPr>
          <w:rFonts w:ascii="Cambria" w:hAnsi="Cambria"/>
          <w:sz w:val="20"/>
          <w:szCs w:val="20"/>
          <w:lang w:val="es-419"/>
        </w:rPr>
        <w:t xml:space="preserve"> la Corte </w:t>
      </w:r>
      <w:r w:rsidR="00B42D83">
        <w:rPr>
          <w:rFonts w:ascii="Cambria" w:hAnsi="Cambria"/>
          <w:sz w:val="20"/>
          <w:szCs w:val="20"/>
          <w:lang w:val="es-419"/>
        </w:rPr>
        <w:t xml:space="preserve">Interamericana </w:t>
      </w:r>
      <w:r w:rsidR="00136CA5" w:rsidRPr="00136CA5">
        <w:rPr>
          <w:rFonts w:ascii="Cambria" w:hAnsi="Cambria"/>
          <w:sz w:val="20"/>
          <w:szCs w:val="20"/>
          <w:lang w:val="es-419"/>
        </w:rPr>
        <w:t xml:space="preserve">señala que siempre que una persona es privada de libertad en un estado de salud normal y posteriormente </w:t>
      </w:r>
      <w:r w:rsidR="00B42D83">
        <w:rPr>
          <w:rFonts w:ascii="Cambria" w:hAnsi="Cambria"/>
          <w:sz w:val="20"/>
          <w:szCs w:val="20"/>
          <w:lang w:val="es-419"/>
        </w:rPr>
        <w:t xml:space="preserve">resulta </w:t>
      </w:r>
      <w:r w:rsidR="00136CA5" w:rsidRPr="00136CA5">
        <w:rPr>
          <w:rFonts w:ascii="Cambria" w:hAnsi="Cambria"/>
          <w:sz w:val="20"/>
          <w:szCs w:val="20"/>
          <w:lang w:val="es-419"/>
        </w:rPr>
        <w:t xml:space="preserve">con afectaciones, corresponde al Estado proveer una explicación satisfactoria y convincente de </w:t>
      </w:r>
      <w:r w:rsidR="00B42D83">
        <w:rPr>
          <w:rFonts w:ascii="Cambria" w:hAnsi="Cambria"/>
          <w:sz w:val="20"/>
          <w:szCs w:val="20"/>
          <w:lang w:val="es-419"/>
        </w:rPr>
        <w:t>l</w:t>
      </w:r>
      <w:r w:rsidR="00136CA5" w:rsidRPr="00136CA5">
        <w:rPr>
          <w:rFonts w:ascii="Cambria" w:hAnsi="Cambria"/>
          <w:sz w:val="20"/>
          <w:szCs w:val="20"/>
          <w:lang w:val="es-419"/>
        </w:rPr>
        <w:t>a situación y desvirtuar las alegaciones sobre su responsabilidad, mediante elementos probatorios adecuados</w:t>
      </w:r>
      <w:r w:rsidR="00136CA5">
        <w:rPr>
          <w:rStyle w:val="FootnoteReference"/>
          <w:rFonts w:ascii="Cambria" w:hAnsi="Cambria"/>
          <w:sz w:val="20"/>
          <w:szCs w:val="20"/>
          <w:lang w:val="es-419"/>
        </w:rPr>
        <w:footnoteReference w:id="11"/>
      </w:r>
      <w:r w:rsidR="00136CA5">
        <w:rPr>
          <w:rFonts w:ascii="Cambria" w:hAnsi="Cambria"/>
          <w:sz w:val="20"/>
          <w:szCs w:val="20"/>
          <w:lang w:val="es-419"/>
        </w:rPr>
        <w:t>.</w:t>
      </w:r>
    </w:p>
    <w:p w14:paraId="3A3F6415" w14:textId="77777777" w:rsidR="00B42240" w:rsidRPr="00B42240" w:rsidRDefault="00B42240" w:rsidP="00B422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15EA933" w14:textId="7F8D16A4" w:rsidR="00D51CF3" w:rsidRPr="007A2535" w:rsidRDefault="00D51CF3"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7A2535">
        <w:rPr>
          <w:rFonts w:ascii="Cambria" w:hAnsi="Cambria"/>
          <w:sz w:val="20"/>
          <w:szCs w:val="20"/>
          <w:lang w:val="es-419"/>
        </w:rPr>
        <w:t>En atención a estas consideraciones y tras examinar los elementos de hecho y de derecho expuestos por las partes</w:t>
      </w:r>
      <w:r w:rsidR="007A2535">
        <w:rPr>
          <w:rFonts w:ascii="Cambria" w:hAnsi="Cambria"/>
          <w:sz w:val="20"/>
          <w:szCs w:val="20"/>
          <w:lang w:val="es-419"/>
        </w:rPr>
        <w:t>,</w:t>
      </w:r>
      <w:r w:rsidRPr="007A2535">
        <w:rPr>
          <w:rFonts w:ascii="Cambria" w:hAnsi="Cambria"/>
          <w:sz w:val="20"/>
          <w:szCs w:val="20"/>
          <w:lang w:val="es-419"/>
        </w:rPr>
        <w:t xml:space="preserve"> la Comisión </w:t>
      </w:r>
      <w:r w:rsidR="00B42D83">
        <w:rPr>
          <w:rFonts w:ascii="Cambria" w:hAnsi="Cambria"/>
          <w:sz w:val="20"/>
          <w:szCs w:val="20"/>
          <w:lang w:val="es-419"/>
        </w:rPr>
        <w:t xml:space="preserve">Interamericana </w:t>
      </w:r>
      <w:r w:rsidRPr="007A2535">
        <w:rPr>
          <w:rFonts w:ascii="Cambria" w:hAnsi="Cambria"/>
          <w:sz w:val="20"/>
          <w:szCs w:val="20"/>
          <w:lang w:val="es-419"/>
        </w:rPr>
        <w:t>estima que l</w:t>
      </w:r>
      <w:r w:rsidR="00B42D83">
        <w:rPr>
          <w:rFonts w:ascii="Cambria" w:hAnsi="Cambria"/>
          <w:sz w:val="20"/>
          <w:szCs w:val="20"/>
          <w:lang w:val="es-419"/>
        </w:rPr>
        <w:t>os alegatos</w:t>
      </w:r>
      <w:r w:rsidRPr="007A2535">
        <w:rPr>
          <w:rFonts w:ascii="Cambria" w:hAnsi="Cambria"/>
          <w:sz w:val="20"/>
          <w:szCs w:val="20"/>
          <w:lang w:val="es-419"/>
        </w:rPr>
        <w:t xml:space="preserve"> del peticionari</w:t>
      </w:r>
      <w:r w:rsidR="00B42D83">
        <w:rPr>
          <w:rFonts w:ascii="Cambria" w:hAnsi="Cambria"/>
          <w:sz w:val="20"/>
          <w:szCs w:val="20"/>
          <w:lang w:val="es-419"/>
        </w:rPr>
        <w:t>o</w:t>
      </w:r>
      <w:r w:rsidRPr="007A2535">
        <w:rPr>
          <w:rFonts w:ascii="Cambria" w:hAnsi="Cambria"/>
          <w:sz w:val="20"/>
          <w:szCs w:val="20"/>
          <w:lang w:val="es-419"/>
        </w:rPr>
        <w:t xml:space="preserve"> no resultan manifiestamente infundad</w:t>
      </w:r>
      <w:r w:rsidR="00B42D83">
        <w:rPr>
          <w:rFonts w:ascii="Cambria" w:hAnsi="Cambria"/>
          <w:sz w:val="20"/>
          <w:szCs w:val="20"/>
          <w:lang w:val="es-419"/>
        </w:rPr>
        <w:t>o</w:t>
      </w:r>
      <w:r w:rsidRPr="007A2535">
        <w:rPr>
          <w:rFonts w:ascii="Cambria" w:hAnsi="Cambria"/>
          <w:sz w:val="20"/>
          <w:szCs w:val="20"/>
          <w:lang w:val="es-419"/>
        </w:rPr>
        <w:t>s y requieren un estudio de fondo pues los hechos, de corroborarse como ciertos</w:t>
      </w:r>
      <w:r w:rsidR="00B42D83">
        <w:rPr>
          <w:rFonts w:ascii="Cambria" w:hAnsi="Cambria"/>
          <w:sz w:val="20"/>
          <w:szCs w:val="20"/>
          <w:lang w:val="es-419"/>
        </w:rPr>
        <w:t>,</w:t>
      </w:r>
      <w:r w:rsidRPr="007A2535">
        <w:rPr>
          <w:rFonts w:ascii="Cambria" w:hAnsi="Cambria"/>
          <w:sz w:val="20"/>
          <w:szCs w:val="20"/>
          <w:lang w:val="es-419"/>
        </w:rPr>
        <w:t xml:space="preserve"> podrían c</w:t>
      </w:r>
      <w:r w:rsidR="00B42D83">
        <w:rPr>
          <w:rFonts w:ascii="Cambria" w:hAnsi="Cambria"/>
          <w:sz w:val="20"/>
          <w:szCs w:val="20"/>
          <w:lang w:val="es-419"/>
        </w:rPr>
        <w:t>onstituir</w:t>
      </w:r>
      <w:r w:rsidRPr="007A2535">
        <w:rPr>
          <w:rFonts w:ascii="Cambria" w:hAnsi="Cambria"/>
          <w:sz w:val="20"/>
          <w:szCs w:val="20"/>
          <w:lang w:val="es-419"/>
        </w:rPr>
        <w:t xml:space="preserve"> violaciones </w:t>
      </w:r>
      <w:r w:rsidR="00B42D83">
        <w:rPr>
          <w:rFonts w:ascii="Cambria" w:hAnsi="Cambria"/>
          <w:sz w:val="20"/>
          <w:szCs w:val="20"/>
          <w:lang w:val="es-419"/>
        </w:rPr>
        <w:t>de</w:t>
      </w:r>
      <w:r w:rsidRPr="007A2535">
        <w:rPr>
          <w:rFonts w:ascii="Cambria" w:hAnsi="Cambria"/>
          <w:sz w:val="20"/>
          <w:szCs w:val="20"/>
          <w:lang w:val="es-419"/>
        </w:rPr>
        <w:t xml:space="preserve"> los </w:t>
      </w:r>
      <w:r w:rsidR="00B42D83">
        <w:rPr>
          <w:rFonts w:ascii="Cambria" w:hAnsi="Cambria"/>
          <w:sz w:val="20"/>
          <w:szCs w:val="20"/>
          <w:lang w:val="es-419"/>
        </w:rPr>
        <w:t xml:space="preserve">derechos reconocidos en los </w:t>
      </w:r>
      <w:r w:rsidRPr="007A2535">
        <w:rPr>
          <w:rFonts w:ascii="Cambria" w:hAnsi="Cambria"/>
          <w:sz w:val="20"/>
          <w:szCs w:val="20"/>
          <w:lang w:val="es-419"/>
        </w:rPr>
        <w:t xml:space="preserve">artículos 4 (vida), 5 (integridad personal), </w:t>
      </w:r>
      <w:r w:rsidR="007A2535">
        <w:rPr>
          <w:rFonts w:ascii="Cambria" w:hAnsi="Cambria"/>
          <w:sz w:val="20"/>
          <w:szCs w:val="20"/>
          <w:lang w:val="es-419"/>
        </w:rPr>
        <w:t xml:space="preserve">7 (libertad personal), </w:t>
      </w:r>
      <w:r w:rsidRPr="007A2535">
        <w:rPr>
          <w:rFonts w:ascii="Cambria" w:hAnsi="Cambria"/>
          <w:sz w:val="20"/>
          <w:szCs w:val="20"/>
          <w:lang w:val="es-419"/>
        </w:rPr>
        <w:t>8 (garantías judiciales), y 25 (protección judicial) de la Convención Americana en relación con su artículo 1.1 (obligación de respetar los derechos)</w:t>
      </w:r>
      <w:r w:rsidR="007A2535">
        <w:rPr>
          <w:rFonts w:ascii="Cambria" w:hAnsi="Cambria"/>
          <w:sz w:val="20"/>
          <w:szCs w:val="20"/>
          <w:lang w:val="es-419"/>
        </w:rPr>
        <w:t>.</w:t>
      </w:r>
    </w:p>
    <w:p w14:paraId="5E33A47B" w14:textId="77777777" w:rsidR="00B42240" w:rsidRPr="00B42240" w:rsidRDefault="00B42240" w:rsidP="00B422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33BE1F3" w14:textId="3F5DE70B" w:rsidR="00136CA5" w:rsidRPr="00E96BDE" w:rsidRDefault="00D51CF3"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45858">
        <w:rPr>
          <w:rFonts w:ascii="Cambria" w:hAnsi="Cambria"/>
          <w:sz w:val="20"/>
          <w:szCs w:val="20"/>
          <w:lang w:val="es-419"/>
        </w:rPr>
        <w:t xml:space="preserve">Con respecto a los alegatos del Estado referidos a la llamada </w:t>
      </w:r>
      <w:r w:rsidR="002F5791">
        <w:rPr>
          <w:rFonts w:ascii="Cambria" w:hAnsi="Cambria"/>
          <w:sz w:val="20"/>
          <w:szCs w:val="20"/>
          <w:lang w:val="es-419"/>
        </w:rPr>
        <w:t>“</w:t>
      </w:r>
      <w:r w:rsidRPr="00845858">
        <w:rPr>
          <w:rFonts w:ascii="Cambria" w:hAnsi="Cambria"/>
          <w:sz w:val="20"/>
          <w:szCs w:val="20"/>
          <w:lang w:val="es-419"/>
        </w:rPr>
        <w:t xml:space="preserve">fórmula de </w:t>
      </w:r>
      <w:r w:rsidR="002F5791">
        <w:rPr>
          <w:rFonts w:ascii="Cambria" w:hAnsi="Cambria"/>
          <w:sz w:val="20"/>
          <w:szCs w:val="20"/>
          <w:lang w:val="es-419"/>
        </w:rPr>
        <w:t xml:space="preserve">la </w:t>
      </w:r>
      <w:r w:rsidRPr="00845858">
        <w:rPr>
          <w:rFonts w:ascii="Cambria" w:hAnsi="Cambria"/>
          <w:sz w:val="20"/>
          <w:szCs w:val="20"/>
          <w:lang w:val="es-419"/>
        </w:rPr>
        <w:t xml:space="preserve">cuarta instancia”, la Comisión </w:t>
      </w:r>
      <w:r w:rsidR="002F5791">
        <w:rPr>
          <w:rFonts w:ascii="Cambria" w:hAnsi="Cambria"/>
          <w:sz w:val="20"/>
          <w:szCs w:val="20"/>
          <w:lang w:val="es-419"/>
        </w:rPr>
        <w:t xml:space="preserve">Interamericana </w:t>
      </w:r>
      <w:r w:rsidRPr="00845858">
        <w:rPr>
          <w:rFonts w:ascii="Cambria" w:hAnsi="Cambria"/>
          <w:sz w:val="20"/>
          <w:szCs w:val="20"/>
          <w:lang w:val="es-419"/>
        </w:rPr>
        <w:t xml:space="preserve">reitera </w:t>
      </w:r>
      <w:r w:rsidR="002F5791" w:rsidRPr="00845858">
        <w:rPr>
          <w:rFonts w:ascii="Cambria" w:hAnsi="Cambria"/>
          <w:sz w:val="20"/>
          <w:szCs w:val="20"/>
          <w:lang w:val="es-419"/>
        </w:rPr>
        <w:t>que,</w:t>
      </w:r>
      <w:r w:rsidRPr="00845858">
        <w:rPr>
          <w:rFonts w:ascii="Cambria" w:hAnsi="Cambria"/>
          <w:sz w:val="20"/>
          <w:szCs w:val="20"/>
          <w:lang w:val="es-419"/>
        </w:rPr>
        <w:t xml:space="preserve"> </w:t>
      </w:r>
      <w:r w:rsidR="002F5791">
        <w:rPr>
          <w:rFonts w:ascii="Cambria" w:hAnsi="Cambria"/>
          <w:sz w:val="20"/>
          <w:szCs w:val="20"/>
          <w:lang w:val="es-419"/>
        </w:rPr>
        <w:t>a</w:t>
      </w:r>
      <w:r w:rsidRPr="00845858">
        <w:rPr>
          <w:rFonts w:ascii="Cambria" w:hAnsi="Cambria"/>
          <w:sz w:val="20"/>
          <w:szCs w:val="20"/>
          <w:lang w:val="es-419"/>
        </w:rPr>
        <w:t xml:space="preserve"> efectos de la admisibilidad, debe decidir si los hechos alegados caracteriza</w:t>
      </w:r>
      <w:r w:rsidR="002F5791">
        <w:rPr>
          <w:rFonts w:ascii="Cambria" w:hAnsi="Cambria"/>
          <w:sz w:val="20"/>
          <w:szCs w:val="20"/>
          <w:lang w:val="es-419"/>
        </w:rPr>
        <w:t>n</w:t>
      </w:r>
      <w:r w:rsidRPr="00845858">
        <w:rPr>
          <w:rFonts w:ascii="Cambria" w:hAnsi="Cambria"/>
          <w:sz w:val="20"/>
          <w:szCs w:val="20"/>
          <w:lang w:val="es-419"/>
        </w:rPr>
        <w:t xml:space="preserve"> una </w:t>
      </w:r>
      <w:r w:rsidR="002F5791">
        <w:rPr>
          <w:rFonts w:ascii="Cambria" w:hAnsi="Cambria"/>
          <w:sz w:val="20"/>
          <w:szCs w:val="20"/>
          <w:lang w:val="es-419"/>
        </w:rPr>
        <w:t xml:space="preserve">posible </w:t>
      </w:r>
      <w:r w:rsidRPr="00845858">
        <w:rPr>
          <w:rFonts w:ascii="Cambria" w:hAnsi="Cambria"/>
          <w:sz w:val="20"/>
          <w:szCs w:val="20"/>
          <w:lang w:val="es-419"/>
        </w:rPr>
        <w:t>violación de derechos, según lo estipulado en el artículo 47(b) de la Convención Americana</w:t>
      </w:r>
      <w:r w:rsidR="002F5791">
        <w:rPr>
          <w:rFonts w:ascii="Cambria" w:hAnsi="Cambria"/>
          <w:sz w:val="20"/>
          <w:szCs w:val="20"/>
          <w:lang w:val="es-419"/>
        </w:rPr>
        <w:t>;</w:t>
      </w:r>
      <w:r w:rsidRPr="00845858">
        <w:rPr>
          <w:rFonts w:ascii="Cambria" w:hAnsi="Cambria"/>
          <w:sz w:val="20"/>
          <w:szCs w:val="20"/>
          <w:lang w:val="es-419"/>
        </w:rPr>
        <w:t xml:space="preserve"> o si la petición es manifiestamente infundada o es evidente su total improcedencia, conforme al inciso (c) de dicho artículo. El criterio de evaluación de </w:t>
      </w:r>
      <w:r w:rsidR="002F5791">
        <w:rPr>
          <w:rFonts w:ascii="Cambria" w:hAnsi="Cambria"/>
          <w:sz w:val="20"/>
          <w:szCs w:val="20"/>
          <w:lang w:val="es-419"/>
        </w:rPr>
        <w:t>tales</w:t>
      </w:r>
      <w:r w:rsidRPr="00845858">
        <w:rPr>
          <w:rFonts w:ascii="Cambria" w:hAnsi="Cambria"/>
          <w:sz w:val="20"/>
          <w:szCs w:val="20"/>
          <w:lang w:val="es-419"/>
        </w:rPr>
        <w:t xml:space="preserve"> requisitos difiere del que se utiliza para pronunciarse sobre el </w:t>
      </w:r>
      <w:r w:rsidRPr="00136CA5">
        <w:rPr>
          <w:rFonts w:ascii="Cambria" w:hAnsi="Cambria"/>
          <w:sz w:val="20"/>
          <w:szCs w:val="20"/>
          <w:lang w:val="es-419"/>
        </w:rPr>
        <w:t>fondo de una petición. Asimismo, dentro del marco de su mandato</w:t>
      </w:r>
      <w:r w:rsidR="002F5791">
        <w:rPr>
          <w:rFonts w:ascii="Cambria" w:hAnsi="Cambria"/>
          <w:sz w:val="20"/>
          <w:szCs w:val="20"/>
          <w:lang w:val="es-419"/>
        </w:rPr>
        <w:t>, la CIDH</w:t>
      </w:r>
      <w:r w:rsidRPr="00136CA5">
        <w:rPr>
          <w:rFonts w:ascii="Cambria" w:hAnsi="Cambria"/>
          <w:sz w:val="20"/>
          <w:szCs w:val="20"/>
          <w:lang w:val="es-419"/>
        </w:rPr>
        <w:t xml:space="preserve"> es competente para declarar admisible una petición cuando se refiere a procesos internos que podrían ser violatorios de derechos garantizados por la Convención Americana. Es decir que, de acuerdo con las normas convencionales citadas, </w:t>
      </w:r>
      <w:r w:rsidR="002F5791">
        <w:rPr>
          <w:rFonts w:ascii="Cambria" w:hAnsi="Cambria"/>
          <w:sz w:val="20"/>
          <w:szCs w:val="20"/>
          <w:lang w:val="es-419"/>
        </w:rPr>
        <w:t xml:space="preserve">y </w:t>
      </w:r>
      <w:r w:rsidRPr="00136CA5">
        <w:rPr>
          <w:rFonts w:ascii="Cambria" w:hAnsi="Cambria"/>
          <w:sz w:val="20"/>
          <w:szCs w:val="20"/>
          <w:lang w:val="es-419"/>
        </w:rPr>
        <w:t xml:space="preserve">en concordancia con el artículo 34 de su Reglamento, el análisis de admisibilidad se centra en la verificación de elementos que, de ser ciertos, podrían constituir </w:t>
      </w:r>
      <w:r w:rsidRPr="00B42D83">
        <w:rPr>
          <w:rFonts w:ascii="Cambria" w:hAnsi="Cambria"/>
          <w:i/>
          <w:iCs/>
          <w:sz w:val="20"/>
          <w:szCs w:val="20"/>
          <w:lang w:val="es-419"/>
        </w:rPr>
        <w:t>prima facie</w:t>
      </w:r>
      <w:r w:rsidRPr="00136CA5">
        <w:rPr>
          <w:rFonts w:ascii="Cambria" w:hAnsi="Cambria"/>
          <w:sz w:val="20"/>
          <w:szCs w:val="20"/>
          <w:lang w:val="es-419"/>
        </w:rPr>
        <w:t xml:space="preserve"> violaciones </w:t>
      </w:r>
      <w:r w:rsidR="00B42D83">
        <w:rPr>
          <w:rFonts w:ascii="Cambria" w:hAnsi="Cambria"/>
          <w:sz w:val="20"/>
          <w:szCs w:val="20"/>
          <w:lang w:val="es-419"/>
        </w:rPr>
        <w:t>de</w:t>
      </w:r>
      <w:r w:rsidRPr="00136CA5">
        <w:rPr>
          <w:rFonts w:ascii="Cambria" w:hAnsi="Cambria"/>
          <w:sz w:val="20"/>
          <w:szCs w:val="20"/>
          <w:lang w:val="es-419"/>
        </w:rPr>
        <w:t xml:space="preserve"> la Convención Americana</w:t>
      </w:r>
      <w:r w:rsidRPr="00136CA5">
        <w:rPr>
          <w:rStyle w:val="FootnoteReference"/>
          <w:rFonts w:ascii="Cambria" w:hAnsi="Cambria"/>
          <w:sz w:val="20"/>
          <w:szCs w:val="20"/>
          <w:lang w:val="es-419"/>
        </w:rPr>
        <w:footnoteReference w:id="12"/>
      </w:r>
      <w:r w:rsidRPr="00136CA5">
        <w:rPr>
          <w:rFonts w:ascii="Cambria" w:hAnsi="Cambria"/>
          <w:sz w:val="20"/>
          <w:szCs w:val="20"/>
          <w:lang w:val="es-419"/>
        </w:rPr>
        <w:t>.</w:t>
      </w:r>
    </w:p>
    <w:p w14:paraId="46F62795" w14:textId="77777777" w:rsidR="00E96BDE" w:rsidRPr="00136CA5" w:rsidRDefault="00E96BDE" w:rsidP="00E96BD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496E209" w14:textId="6FF3CEF3" w:rsidR="007A2535" w:rsidRPr="005920E4" w:rsidRDefault="00136CA5" w:rsidP="00C748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136CA5">
        <w:rPr>
          <w:rFonts w:ascii="Cambria" w:hAnsi="Cambria"/>
          <w:sz w:val="20"/>
          <w:szCs w:val="20"/>
          <w:lang w:val="es-ES"/>
        </w:rPr>
        <w:t xml:space="preserve">Por último, </w:t>
      </w:r>
      <w:r w:rsidR="007A2535" w:rsidRPr="00136CA5">
        <w:rPr>
          <w:rFonts w:ascii="Cambria" w:hAnsi="Cambria"/>
          <w:sz w:val="20"/>
          <w:szCs w:val="20"/>
          <w:lang w:val="es-419"/>
        </w:rPr>
        <w:t>la Comisión carece de competencia para establecer violaciones a las normas de</w:t>
      </w:r>
      <w:r w:rsidR="00DA4DB8" w:rsidRPr="00136CA5">
        <w:rPr>
          <w:rFonts w:ascii="Cambria" w:hAnsi="Cambria"/>
          <w:sz w:val="20"/>
          <w:szCs w:val="20"/>
          <w:lang w:val="es-419"/>
        </w:rPr>
        <w:t>l Pacto Internacional de Derechos Civiles y Políticos</w:t>
      </w:r>
      <w:r w:rsidR="007A2535" w:rsidRPr="00136CA5">
        <w:rPr>
          <w:rFonts w:ascii="Cambria" w:hAnsi="Cambria"/>
          <w:sz w:val="20"/>
          <w:szCs w:val="20"/>
          <w:lang w:val="es-419"/>
        </w:rPr>
        <w:t xml:space="preserve">, sin perjuicio de lo cual podrá tomarlas en cuenta como parte de su ejercicio interpretativo de las normas de la Convención Americana en la etapa de fondo del presente </w:t>
      </w:r>
      <w:r w:rsidR="00DA4DB8">
        <w:rPr>
          <w:rFonts w:ascii="Cambria" w:hAnsi="Cambria"/>
          <w:sz w:val="20"/>
          <w:szCs w:val="20"/>
          <w:lang w:val="es-419"/>
        </w:rPr>
        <w:t>asunto</w:t>
      </w:r>
      <w:r w:rsidR="007A2535" w:rsidRPr="00136CA5">
        <w:rPr>
          <w:rFonts w:ascii="Cambria" w:hAnsi="Cambria"/>
          <w:sz w:val="20"/>
          <w:szCs w:val="20"/>
          <w:lang w:val="es-419"/>
        </w:rPr>
        <w:t>, en los términos del artículo 29 del mencionad</w:t>
      </w:r>
      <w:r w:rsidR="005920E4">
        <w:rPr>
          <w:rFonts w:ascii="Cambria" w:hAnsi="Cambria"/>
          <w:sz w:val="20"/>
          <w:szCs w:val="20"/>
          <w:lang w:val="es-419"/>
        </w:rPr>
        <w:t>o tratado</w:t>
      </w:r>
      <w:r w:rsidR="007A2535" w:rsidRPr="00136CA5">
        <w:rPr>
          <w:rFonts w:ascii="Cambria" w:hAnsi="Cambria"/>
          <w:sz w:val="20"/>
          <w:szCs w:val="20"/>
          <w:lang w:val="es-419"/>
        </w:rPr>
        <w:t>.</w:t>
      </w:r>
    </w:p>
    <w:p w14:paraId="797255CE" w14:textId="77777777" w:rsidR="005920E4" w:rsidRPr="00136CA5" w:rsidRDefault="005920E4" w:rsidP="00DA4DB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B6060E7" w14:textId="77777777" w:rsidR="00117DA4" w:rsidRDefault="00117DA4" w:rsidP="00C7480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
        </w:rPr>
      </w:pPr>
    </w:p>
    <w:p w14:paraId="06972785" w14:textId="77777777" w:rsidR="000E5627" w:rsidRDefault="000E5627" w:rsidP="00C7480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
        </w:rPr>
      </w:pPr>
    </w:p>
    <w:p w14:paraId="29BB41F5" w14:textId="7CA5FAE5" w:rsidR="003239B8" w:rsidRPr="00006B74" w:rsidRDefault="00EC72AB" w:rsidP="00C7480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2D221FFF" w14:textId="77777777" w:rsidR="005920E4" w:rsidRPr="005920E4" w:rsidRDefault="005920E4" w:rsidP="00DA4DB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70DA61C" w14:textId="750ECFFC" w:rsidR="000419AD" w:rsidRPr="00227616" w:rsidRDefault="003239B8" w:rsidP="00C748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3A6337" w:rsidRPr="00006B74">
        <w:rPr>
          <w:rFonts w:ascii="Cambria" w:hAnsi="Cambria"/>
          <w:bCs/>
          <w:sz w:val="20"/>
          <w:szCs w:val="20"/>
          <w:lang w:val="es-ES"/>
        </w:rPr>
        <w:t>artículos</w:t>
      </w:r>
      <w:r w:rsidR="00227616">
        <w:rPr>
          <w:rFonts w:ascii="Cambria" w:hAnsi="Cambria"/>
          <w:bCs/>
          <w:sz w:val="20"/>
          <w:szCs w:val="20"/>
          <w:lang w:val="es-ES"/>
        </w:rPr>
        <w:t xml:space="preserve"> </w:t>
      </w:r>
      <w:r w:rsidR="00227616" w:rsidRPr="00227616">
        <w:rPr>
          <w:rFonts w:ascii="Cambria" w:hAnsi="Cambria"/>
          <w:bCs/>
          <w:sz w:val="20"/>
          <w:szCs w:val="20"/>
          <w:lang w:val="es-ES"/>
        </w:rPr>
        <w:t>4</w:t>
      </w:r>
      <w:r w:rsidR="00227616">
        <w:rPr>
          <w:rFonts w:ascii="Cambria" w:hAnsi="Cambria"/>
          <w:bCs/>
          <w:sz w:val="20"/>
          <w:szCs w:val="20"/>
          <w:lang w:val="es-ES"/>
        </w:rPr>
        <w:t>,</w:t>
      </w:r>
      <w:r w:rsidR="00227616" w:rsidRPr="00227616">
        <w:rPr>
          <w:rFonts w:ascii="Cambria" w:hAnsi="Cambria"/>
          <w:bCs/>
          <w:sz w:val="20"/>
          <w:szCs w:val="20"/>
          <w:lang w:val="es-ES"/>
        </w:rPr>
        <w:t xml:space="preserve"> 5, 7, 8 y 25 de la Convención Americana en </w:t>
      </w:r>
      <w:r w:rsidR="00F91D10">
        <w:rPr>
          <w:rFonts w:ascii="Cambria" w:hAnsi="Cambria"/>
          <w:bCs/>
          <w:sz w:val="20"/>
          <w:szCs w:val="20"/>
          <w:lang w:val="es-ES"/>
        </w:rPr>
        <w:t>concordancia</w:t>
      </w:r>
      <w:r w:rsidR="00227616" w:rsidRPr="00227616">
        <w:rPr>
          <w:rFonts w:ascii="Cambria" w:hAnsi="Cambria"/>
          <w:bCs/>
          <w:sz w:val="20"/>
          <w:szCs w:val="20"/>
          <w:lang w:val="es-ES"/>
        </w:rPr>
        <w:t xml:space="preserve"> con el artículo 1.1 del mismo instrumento</w:t>
      </w:r>
      <w:r w:rsidR="00117DA4">
        <w:rPr>
          <w:rFonts w:ascii="Cambria" w:hAnsi="Cambria"/>
          <w:bCs/>
          <w:sz w:val="20"/>
          <w:szCs w:val="20"/>
          <w:lang w:val="es-ES"/>
        </w:rPr>
        <w:t>, y;</w:t>
      </w:r>
    </w:p>
    <w:p w14:paraId="51DBEAF3" w14:textId="77777777" w:rsidR="005920E4" w:rsidRDefault="005920E4" w:rsidP="00DA4DB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CD4DFBD" w14:textId="11324DB6" w:rsidR="003239B8" w:rsidRDefault="004A6A54" w:rsidP="00C748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06B74">
        <w:rPr>
          <w:rFonts w:asciiTheme="majorHAnsi" w:hAnsiTheme="majorHAnsi"/>
          <w:sz w:val="20"/>
          <w:szCs w:val="20"/>
          <w:lang w:val="es-ES"/>
        </w:rPr>
        <w:t xml:space="preserve">Notificar a las partes </w:t>
      </w:r>
      <w:r w:rsidRPr="0002663F">
        <w:rPr>
          <w:rFonts w:asciiTheme="majorHAnsi" w:hAnsiTheme="majorHAnsi"/>
          <w:sz w:val="20"/>
          <w:szCs w:val="20"/>
          <w:lang w:val="es-ES"/>
        </w:rPr>
        <w:t>la presente decisión; continuar con el análisis del fondo de la cuestión; y publicar esta decisión e incluirla en su Informe Anual a la Asamblea General de la Organización de los Estados Americanos.</w:t>
      </w:r>
    </w:p>
    <w:p w14:paraId="617C95AF" w14:textId="77777777" w:rsidR="008028E5" w:rsidRDefault="008028E5" w:rsidP="008028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62A6F71A" w14:textId="6869ED44" w:rsidR="00517446" w:rsidRPr="00A37B82" w:rsidRDefault="00517446" w:rsidP="00517446">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6472C0">
        <w:rPr>
          <w:rFonts w:asciiTheme="majorHAnsi" w:hAnsiTheme="majorHAnsi" w:cs="Arial"/>
          <w:noProof/>
          <w:spacing w:val="-2"/>
          <w:sz w:val="20"/>
          <w:szCs w:val="20"/>
          <w:lang w:val="es-CL"/>
        </w:rPr>
        <w:t>31</w:t>
      </w:r>
      <w:r w:rsidRPr="00A37B82">
        <w:rPr>
          <w:rFonts w:asciiTheme="majorHAnsi" w:hAnsiTheme="majorHAnsi" w:cs="Arial"/>
          <w:noProof/>
          <w:spacing w:val="-2"/>
          <w:sz w:val="20"/>
          <w:szCs w:val="20"/>
          <w:lang w:val="es-CL"/>
        </w:rPr>
        <w:t xml:space="preserve"> días del mes de </w:t>
      </w:r>
      <w:r w:rsidR="006472C0">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sectPr w:rsidR="0051744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E1A4" w14:textId="77777777" w:rsidR="00D041EF" w:rsidRDefault="00D041EF">
      <w:r>
        <w:separator/>
      </w:r>
    </w:p>
  </w:endnote>
  <w:endnote w:type="continuationSeparator" w:id="0">
    <w:p w14:paraId="2644E7DB" w14:textId="77777777" w:rsidR="00D041EF" w:rsidRDefault="00D0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455D80" w:rsidRPr="00934A2C" w:rsidRDefault="00455D8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851F2">
          <w:rPr>
            <w:noProof/>
            <w:sz w:val="16"/>
            <w:szCs w:val="22"/>
          </w:rPr>
          <w:t>1</w:t>
        </w:r>
        <w:r w:rsidRPr="00934A2C">
          <w:rPr>
            <w:noProof/>
            <w:sz w:val="16"/>
            <w:szCs w:val="22"/>
          </w:rPr>
          <w:fldChar w:fldCharType="end"/>
        </w:r>
      </w:p>
    </w:sdtContent>
  </w:sdt>
  <w:p w14:paraId="68530E6A" w14:textId="77777777" w:rsidR="00455D80" w:rsidRDefault="00455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455D80" w:rsidRPr="00934A2C" w:rsidRDefault="00455D80">
    <w:pPr>
      <w:pStyle w:val="Footer"/>
      <w:jc w:val="center"/>
      <w:rPr>
        <w:sz w:val="16"/>
        <w:szCs w:val="22"/>
      </w:rPr>
    </w:pPr>
  </w:p>
  <w:p w14:paraId="49059CE3" w14:textId="77777777" w:rsidR="00455D80" w:rsidRDefault="00455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FCE1" w14:textId="77777777" w:rsidR="00D041EF" w:rsidRPr="000F35ED" w:rsidRDefault="00D041E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B7DE6B" w14:textId="77777777" w:rsidR="00D041EF" w:rsidRPr="000F35ED" w:rsidRDefault="00D041EF" w:rsidP="000F35ED">
      <w:pPr>
        <w:rPr>
          <w:rFonts w:asciiTheme="majorHAnsi" w:hAnsiTheme="majorHAnsi"/>
          <w:sz w:val="16"/>
          <w:szCs w:val="16"/>
        </w:rPr>
      </w:pPr>
      <w:r w:rsidRPr="000F35ED">
        <w:rPr>
          <w:rFonts w:asciiTheme="majorHAnsi" w:hAnsiTheme="majorHAnsi"/>
          <w:sz w:val="16"/>
          <w:szCs w:val="16"/>
        </w:rPr>
        <w:separator/>
      </w:r>
    </w:p>
    <w:p w14:paraId="63DCB8AA" w14:textId="77777777" w:rsidR="00D041EF" w:rsidRPr="000F35ED" w:rsidRDefault="00D041E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CBFDBAB" w14:textId="77777777" w:rsidR="00D041EF" w:rsidRPr="000F35ED" w:rsidRDefault="00D041E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F39CF27" w14:textId="30F75037" w:rsidR="00E5203D" w:rsidRPr="00413D92" w:rsidRDefault="00E5203D" w:rsidP="005651EE">
      <w:pPr>
        <w:pStyle w:val="FootnoteText"/>
        <w:ind w:firstLine="720"/>
        <w:jc w:val="both"/>
        <w:rPr>
          <w:rFonts w:asciiTheme="majorHAnsi" w:hAnsiTheme="majorHAnsi"/>
          <w:sz w:val="16"/>
          <w:szCs w:val="16"/>
          <w:lang w:val="es-419"/>
        </w:rPr>
      </w:pPr>
      <w:r w:rsidRPr="00413D92">
        <w:rPr>
          <w:rStyle w:val="FootnoteReference"/>
          <w:rFonts w:asciiTheme="majorHAnsi" w:hAnsiTheme="majorHAnsi"/>
          <w:sz w:val="16"/>
          <w:szCs w:val="16"/>
        </w:rPr>
        <w:footnoteRef/>
      </w:r>
      <w:r w:rsidR="001E73A2" w:rsidRPr="00413D92">
        <w:rPr>
          <w:rFonts w:asciiTheme="majorHAnsi" w:hAnsiTheme="majorHAnsi"/>
          <w:sz w:val="16"/>
          <w:szCs w:val="16"/>
          <w:lang w:val="es-419"/>
        </w:rPr>
        <w:t xml:space="preserve"> La presente petición identifica a </w:t>
      </w:r>
      <w:r w:rsidRPr="00413D92">
        <w:rPr>
          <w:rFonts w:asciiTheme="majorHAnsi" w:hAnsiTheme="majorHAnsi"/>
          <w:sz w:val="16"/>
          <w:szCs w:val="16"/>
          <w:lang w:val="es-419"/>
        </w:rPr>
        <w:t>Edelmira García</w:t>
      </w:r>
      <w:r w:rsidR="001E73A2" w:rsidRPr="00413D92">
        <w:rPr>
          <w:rFonts w:asciiTheme="majorHAnsi" w:hAnsiTheme="majorHAnsi"/>
          <w:sz w:val="16"/>
          <w:szCs w:val="16"/>
          <w:lang w:val="es-419"/>
        </w:rPr>
        <w:t xml:space="preserve"> </w:t>
      </w:r>
      <w:r w:rsidR="00070558" w:rsidRPr="00413D92">
        <w:rPr>
          <w:rFonts w:asciiTheme="majorHAnsi" w:hAnsiTheme="majorHAnsi"/>
          <w:sz w:val="16"/>
          <w:szCs w:val="16"/>
          <w:lang w:val="es-419"/>
        </w:rPr>
        <w:t xml:space="preserve">de </w:t>
      </w:r>
      <w:proofErr w:type="spellStart"/>
      <w:r w:rsidR="00070558" w:rsidRPr="00413D92">
        <w:rPr>
          <w:rFonts w:asciiTheme="majorHAnsi" w:hAnsiTheme="majorHAnsi"/>
          <w:sz w:val="16"/>
          <w:szCs w:val="16"/>
          <w:lang w:val="es-419"/>
        </w:rPr>
        <w:t>Idarraga</w:t>
      </w:r>
      <w:proofErr w:type="spellEnd"/>
      <w:r w:rsidR="00070558" w:rsidRPr="00413D92">
        <w:rPr>
          <w:rFonts w:asciiTheme="majorHAnsi" w:hAnsiTheme="majorHAnsi"/>
          <w:sz w:val="16"/>
          <w:szCs w:val="16"/>
          <w:lang w:val="es-419"/>
        </w:rPr>
        <w:t xml:space="preserve"> </w:t>
      </w:r>
      <w:r w:rsidR="001E73A2" w:rsidRPr="00413D92">
        <w:rPr>
          <w:rFonts w:asciiTheme="majorHAnsi" w:hAnsiTheme="majorHAnsi"/>
          <w:sz w:val="16"/>
          <w:szCs w:val="16"/>
          <w:lang w:val="es-419"/>
        </w:rPr>
        <w:t xml:space="preserve">como la madre de la presunta víctima. </w:t>
      </w:r>
    </w:p>
  </w:footnote>
  <w:footnote w:id="3">
    <w:p w14:paraId="215EEB52" w14:textId="0A9FF3DE" w:rsidR="00455D80" w:rsidRPr="00413D92" w:rsidRDefault="00455D80" w:rsidP="005651EE">
      <w:pPr>
        <w:pStyle w:val="FootnoteText"/>
        <w:ind w:firstLine="720"/>
        <w:jc w:val="both"/>
        <w:rPr>
          <w:rFonts w:asciiTheme="majorHAnsi" w:hAnsiTheme="majorHAnsi"/>
          <w:sz w:val="16"/>
          <w:szCs w:val="16"/>
          <w:lang w:val="es-ES"/>
        </w:rPr>
      </w:pPr>
      <w:r w:rsidRPr="00413D92">
        <w:rPr>
          <w:rStyle w:val="FootnoteReference"/>
          <w:rFonts w:asciiTheme="majorHAnsi" w:hAnsiTheme="majorHAnsi"/>
          <w:sz w:val="16"/>
          <w:szCs w:val="16"/>
        </w:rPr>
        <w:footnoteRef/>
      </w:r>
      <w:r w:rsidRPr="00413D92">
        <w:rPr>
          <w:rFonts w:asciiTheme="majorHAnsi" w:hAnsiTheme="majorHAnsi"/>
          <w:sz w:val="16"/>
          <w:szCs w:val="16"/>
          <w:lang w:val="es-ES"/>
        </w:rPr>
        <w:t xml:space="preserve"> En adelante “la Convención Americana”.</w:t>
      </w:r>
    </w:p>
  </w:footnote>
  <w:footnote w:id="4">
    <w:p w14:paraId="2D4E7467" w14:textId="5D35A05E" w:rsidR="00E5203D" w:rsidRPr="00413D92" w:rsidRDefault="00E5203D" w:rsidP="005651EE">
      <w:pPr>
        <w:pStyle w:val="FootnoteText"/>
        <w:ind w:firstLine="720"/>
        <w:jc w:val="both"/>
        <w:rPr>
          <w:rFonts w:asciiTheme="majorHAnsi" w:hAnsiTheme="majorHAnsi"/>
          <w:sz w:val="16"/>
          <w:szCs w:val="16"/>
          <w:lang w:val="es-419"/>
        </w:rPr>
      </w:pPr>
      <w:r w:rsidRPr="00413D92">
        <w:rPr>
          <w:rStyle w:val="FootnoteReference"/>
          <w:rFonts w:asciiTheme="majorHAnsi" w:hAnsiTheme="majorHAnsi"/>
          <w:sz w:val="16"/>
          <w:szCs w:val="16"/>
        </w:rPr>
        <w:footnoteRef/>
      </w:r>
      <w:r w:rsidRPr="00413D92">
        <w:rPr>
          <w:rFonts w:asciiTheme="majorHAnsi" w:hAnsiTheme="majorHAnsi"/>
          <w:sz w:val="16"/>
          <w:szCs w:val="16"/>
          <w:lang w:val="es-419"/>
        </w:rPr>
        <w:t xml:space="preserve"> Pacto Internacional de Derechos Civiles y Políticos</w:t>
      </w:r>
      <w:r w:rsidR="001E73A2" w:rsidRPr="00413D92">
        <w:rPr>
          <w:rFonts w:asciiTheme="majorHAnsi" w:hAnsiTheme="majorHAnsi"/>
          <w:sz w:val="16"/>
          <w:szCs w:val="16"/>
          <w:lang w:val="es-419"/>
        </w:rPr>
        <w:t>.</w:t>
      </w:r>
    </w:p>
  </w:footnote>
  <w:footnote w:id="5">
    <w:p w14:paraId="79F07139" w14:textId="77777777" w:rsidR="00455D80" w:rsidRPr="00413D92" w:rsidRDefault="00455D80" w:rsidP="005651EE">
      <w:pPr>
        <w:pStyle w:val="FootnoteText"/>
        <w:ind w:firstLine="720"/>
        <w:jc w:val="both"/>
        <w:rPr>
          <w:rFonts w:asciiTheme="majorHAnsi" w:hAnsiTheme="majorHAnsi"/>
          <w:sz w:val="16"/>
          <w:szCs w:val="16"/>
          <w:lang w:val="es-ES"/>
        </w:rPr>
      </w:pPr>
      <w:r w:rsidRPr="00413D92">
        <w:rPr>
          <w:rStyle w:val="FootnoteReference"/>
          <w:rFonts w:asciiTheme="majorHAnsi" w:hAnsiTheme="majorHAnsi"/>
          <w:sz w:val="16"/>
          <w:szCs w:val="16"/>
        </w:rPr>
        <w:footnoteRef/>
      </w:r>
      <w:r w:rsidRPr="00413D92">
        <w:rPr>
          <w:rFonts w:asciiTheme="majorHAnsi" w:hAnsiTheme="majorHAnsi"/>
          <w:sz w:val="16"/>
          <w:szCs w:val="16"/>
          <w:lang w:val="es-ES"/>
        </w:rPr>
        <w:t xml:space="preserve"> Las observaciones de cada parte fueron debidamente trasladadas a la parte contraria.</w:t>
      </w:r>
    </w:p>
  </w:footnote>
  <w:footnote w:id="6">
    <w:p w14:paraId="279BBFB6" w14:textId="4ADAAC89" w:rsidR="00413D92" w:rsidRPr="00413D92" w:rsidRDefault="00413D92" w:rsidP="005651EE">
      <w:pPr>
        <w:pStyle w:val="FootnoteText"/>
        <w:jc w:val="both"/>
        <w:rPr>
          <w:rFonts w:asciiTheme="majorHAnsi" w:hAnsiTheme="majorHAnsi"/>
          <w:sz w:val="16"/>
          <w:szCs w:val="16"/>
          <w:lang w:val="es-US"/>
        </w:rPr>
      </w:pPr>
      <w:r>
        <w:rPr>
          <w:rFonts w:asciiTheme="majorHAnsi" w:hAnsiTheme="majorHAnsi"/>
          <w:sz w:val="16"/>
          <w:szCs w:val="16"/>
          <w:lang w:val="es-US"/>
        </w:rPr>
        <w:tab/>
      </w:r>
      <w:r w:rsidRPr="00413D92">
        <w:rPr>
          <w:rStyle w:val="FootnoteReference"/>
          <w:rFonts w:asciiTheme="majorHAnsi" w:hAnsiTheme="majorHAnsi"/>
          <w:sz w:val="16"/>
          <w:szCs w:val="16"/>
        </w:rPr>
        <w:footnoteRef/>
      </w:r>
      <w:r w:rsidRPr="00413D92">
        <w:rPr>
          <w:rFonts w:asciiTheme="majorHAnsi" w:hAnsiTheme="majorHAnsi"/>
          <w:sz w:val="16"/>
          <w:szCs w:val="16"/>
          <w:lang w:val="es-US"/>
        </w:rPr>
        <w:t xml:space="preserve"> El Diccionario de la </w:t>
      </w:r>
      <w:r w:rsidR="002C17E6">
        <w:rPr>
          <w:rFonts w:asciiTheme="majorHAnsi" w:hAnsiTheme="majorHAnsi"/>
          <w:sz w:val="16"/>
          <w:szCs w:val="16"/>
          <w:lang w:val="es-US"/>
        </w:rPr>
        <w:t>Lengua</w:t>
      </w:r>
      <w:r w:rsidRPr="00413D92">
        <w:rPr>
          <w:rFonts w:asciiTheme="majorHAnsi" w:hAnsiTheme="majorHAnsi"/>
          <w:sz w:val="16"/>
          <w:szCs w:val="16"/>
          <w:lang w:val="es-US"/>
        </w:rPr>
        <w:t xml:space="preserve"> Española </w:t>
      </w:r>
      <w:r w:rsidRPr="00DA2F80">
        <w:rPr>
          <w:rFonts w:asciiTheme="majorHAnsi" w:hAnsiTheme="majorHAnsi"/>
          <w:color w:val="auto"/>
          <w:sz w:val="16"/>
          <w:szCs w:val="16"/>
          <w:lang w:val="es-US"/>
        </w:rPr>
        <w:t xml:space="preserve">define </w:t>
      </w:r>
      <w:hyperlink r:id="rId1" w:history="1">
        <w:r w:rsidRPr="00DA2F80">
          <w:rPr>
            <w:rStyle w:val="Hyperlink"/>
            <w:rFonts w:asciiTheme="majorHAnsi" w:hAnsiTheme="majorHAnsi"/>
            <w:color w:val="auto"/>
            <w:sz w:val="16"/>
            <w:szCs w:val="16"/>
            <w:u w:val="none"/>
            <w:lang w:val="es-US"/>
          </w:rPr>
          <w:t>pendencia</w:t>
        </w:r>
      </w:hyperlink>
      <w:r w:rsidRPr="00DA2F80">
        <w:rPr>
          <w:rFonts w:asciiTheme="majorHAnsi" w:hAnsiTheme="majorHAnsi"/>
          <w:color w:val="auto"/>
          <w:sz w:val="16"/>
          <w:szCs w:val="16"/>
          <w:lang w:val="es-US"/>
        </w:rPr>
        <w:t xml:space="preserve"> como “contienda</w:t>
      </w:r>
      <w:r w:rsidRPr="00DA2F80">
        <w:rPr>
          <w:rFonts w:asciiTheme="majorHAnsi" w:eastAsia="Arial Unicode MS" w:hAnsiTheme="majorHAnsi" w:cs="Arial Unicode MS"/>
          <w:color w:val="auto"/>
          <w:spacing w:val="4"/>
          <w:sz w:val="16"/>
          <w:szCs w:val="16"/>
          <w:shd w:val="clear" w:color="auto" w:fill="FFFFFF"/>
          <w:lang w:val="es-US"/>
        </w:rPr>
        <w:t>, </w:t>
      </w:r>
      <w:r w:rsidRPr="00DA2F80">
        <w:rPr>
          <w:rFonts w:asciiTheme="majorHAnsi" w:hAnsiTheme="majorHAnsi"/>
          <w:color w:val="auto"/>
          <w:sz w:val="16"/>
          <w:szCs w:val="16"/>
          <w:lang w:val="es-US"/>
        </w:rPr>
        <w:t>riña</w:t>
      </w:r>
      <w:r w:rsidRPr="00DA2F80">
        <w:rPr>
          <w:rFonts w:asciiTheme="majorHAnsi" w:eastAsia="Arial Unicode MS" w:hAnsiTheme="majorHAnsi" w:cs="Arial Unicode MS"/>
          <w:color w:val="auto"/>
          <w:spacing w:val="4"/>
          <w:sz w:val="16"/>
          <w:szCs w:val="16"/>
          <w:shd w:val="clear" w:color="auto" w:fill="FFFFFF"/>
          <w:lang w:val="es-US"/>
        </w:rPr>
        <w:t> </w:t>
      </w:r>
      <w:r w:rsidRPr="00DA2F80">
        <w:rPr>
          <w:rFonts w:asciiTheme="majorHAnsi" w:hAnsiTheme="majorHAnsi"/>
          <w:color w:val="auto"/>
          <w:sz w:val="16"/>
          <w:szCs w:val="16"/>
          <w:lang w:val="es-US"/>
        </w:rPr>
        <w:t>de</w:t>
      </w:r>
      <w:r w:rsidRPr="00DA2F80">
        <w:rPr>
          <w:rFonts w:asciiTheme="majorHAnsi" w:eastAsia="Arial Unicode MS" w:hAnsiTheme="majorHAnsi" w:cs="Arial Unicode MS"/>
          <w:color w:val="auto"/>
          <w:spacing w:val="4"/>
          <w:sz w:val="16"/>
          <w:szCs w:val="16"/>
          <w:shd w:val="clear" w:color="auto" w:fill="FFFFFF"/>
          <w:lang w:val="es-US"/>
        </w:rPr>
        <w:t> </w:t>
      </w:r>
      <w:r w:rsidRPr="00DA2F80">
        <w:rPr>
          <w:rFonts w:asciiTheme="majorHAnsi" w:hAnsiTheme="majorHAnsi"/>
          <w:color w:val="auto"/>
          <w:sz w:val="16"/>
          <w:szCs w:val="16"/>
          <w:lang w:val="es-US"/>
        </w:rPr>
        <w:t>palabras</w:t>
      </w:r>
      <w:r w:rsidRPr="00DA2F80">
        <w:rPr>
          <w:rFonts w:asciiTheme="majorHAnsi" w:eastAsia="Arial Unicode MS" w:hAnsiTheme="majorHAnsi" w:cs="Arial Unicode MS"/>
          <w:color w:val="auto"/>
          <w:spacing w:val="4"/>
          <w:sz w:val="16"/>
          <w:szCs w:val="16"/>
          <w:shd w:val="clear" w:color="auto" w:fill="FFFFFF"/>
          <w:lang w:val="es-US"/>
        </w:rPr>
        <w:t> </w:t>
      </w:r>
      <w:r w:rsidRPr="00DA2F80">
        <w:rPr>
          <w:rFonts w:asciiTheme="majorHAnsi" w:hAnsiTheme="majorHAnsi"/>
          <w:color w:val="auto"/>
          <w:sz w:val="16"/>
          <w:szCs w:val="16"/>
          <w:lang w:val="es-US"/>
        </w:rPr>
        <w:t>o</w:t>
      </w:r>
      <w:r w:rsidRPr="00DA2F80">
        <w:rPr>
          <w:rFonts w:asciiTheme="majorHAnsi" w:eastAsia="Arial Unicode MS" w:hAnsiTheme="majorHAnsi" w:cs="Arial Unicode MS"/>
          <w:color w:val="auto"/>
          <w:spacing w:val="4"/>
          <w:sz w:val="16"/>
          <w:szCs w:val="16"/>
          <w:shd w:val="clear" w:color="auto" w:fill="FFFFFF"/>
          <w:lang w:val="es-US"/>
        </w:rPr>
        <w:t> </w:t>
      </w:r>
      <w:r w:rsidRPr="00DA2F80">
        <w:rPr>
          <w:rFonts w:asciiTheme="majorHAnsi" w:hAnsiTheme="majorHAnsi"/>
          <w:color w:val="auto"/>
          <w:sz w:val="16"/>
          <w:szCs w:val="16"/>
          <w:lang w:val="es-US"/>
        </w:rPr>
        <w:t>de</w:t>
      </w:r>
      <w:r w:rsidRPr="00DA2F80">
        <w:rPr>
          <w:rFonts w:asciiTheme="majorHAnsi" w:eastAsia="Arial Unicode MS" w:hAnsiTheme="majorHAnsi" w:cs="Arial Unicode MS"/>
          <w:color w:val="auto"/>
          <w:spacing w:val="4"/>
          <w:sz w:val="16"/>
          <w:szCs w:val="16"/>
          <w:shd w:val="clear" w:color="auto" w:fill="FFFFFF"/>
          <w:lang w:val="es-US"/>
        </w:rPr>
        <w:t> </w:t>
      </w:r>
      <w:r w:rsidRPr="00DA2F80">
        <w:rPr>
          <w:rFonts w:asciiTheme="majorHAnsi" w:hAnsiTheme="majorHAnsi"/>
          <w:color w:val="auto"/>
          <w:sz w:val="16"/>
          <w:szCs w:val="16"/>
          <w:lang w:val="es-US"/>
        </w:rPr>
        <w:t xml:space="preserve">obras” y  </w:t>
      </w:r>
      <w:hyperlink r:id="rId2" w:history="1">
        <w:r w:rsidRPr="00DA2F80">
          <w:rPr>
            <w:rStyle w:val="Hyperlink"/>
            <w:rFonts w:asciiTheme="majorHAnsi" w:hAnsiTheme="majorHAnsi"/>
            <w:color w:val="auto"/>
            <w:sz w:val="16"/>
            <w:szCs w:val="16"/>
            <w:u w:val="none"/>
            <w:lang w:val="es-US"/>
          </w:rPr>
          <w:t>algazara</w:t>
        </w:r>
      </w:hyperlink>
      <w:r w:rsidRPr="00DA2F80">
        <w:rPr>
          <w:rFonts w:asciiTheme="majorHAnsi" w:hAnsiTheme="majorHAnsi"/>
          <w:color w:val="auto"/>
          <w:sz w:val="16"/>
          <w:szCs w:val="16"/>
          <w:lang w:val="es-US"/>
        </w:rPr>
        <w:t xml:space="preserve"> como </w:t>
      </w:r>
      <w:r w:rsidRPr="00413D92">
        <w:rPr>
          <w:rFonts w:asciiTheme="majorHAnsi" w:hAnsiTheme="majorHAnsi"/>
          <w:sz w:val="16"/>
          <w:szCs w:val="16"/>
          <w:lang w:val="es-US"/>
        </w:rPr>
        <w:t>“ruido</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gritería</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de</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una</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o</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de</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muchas</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personas</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juntas</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que</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por</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lo</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común</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nace</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de</w:t>
      </w:r>
      <w:r w:rsidRPr="00413D92">
        <w:rPr>
          <w:rFonts w:asciiTheme="majorHAnsi" w:eastAsia="Arial Unicode MS" w:hAnsiTheme="majorHAnsi" w:cs="Arial Unicode MS"/>
          <w:spacing w:val="4"/>
          <w:sz w:val="16"/>
          <w:szCs w:val="16"/>
          <w:shd w:val="clear" w:color="auto" w:fill="FFFFFF"/>
          <w:lang w:val="es-US"/>
        </w:rPr>
        <w:t> </w:t>
      </w:r>
      <w:r w:rsidRPr="00413D92">
        <w:rPr>
          <w:rFonts w:asciiTheme="majorHAnsi" w:hAnsiTheme="majorHAnsi"/>
          <w:sz w:val="16"/>
          <w:szCs w:val="16"/>
          <w:lang w:val="es-US"/>
        </w:rPr>
        <w:t>alegría”</w:t>
      </w:r>
      <w:r w:rsidRPr="00413D92">
        <w:rPr>
          <w:rFonts w:asciiTheme="majorHAnsi" w:eastAsia="Arial Unicode MS" w:hAnsiTheme="majorHAnsi" w:cs="Arial Unicode MS"/>
          <w:spacing w:val="4"/>
          <w:sz w:val="16"/>
          <w:szCs w:val="16"/>
          <w:shd w:val="clear" w:color="auto" w:fill="FFFFFF"/>
          <w:lang w:val="es-US"/>
        </w:rPr>
        <w:t>.</w:t>
      </w:r>
    </w:p>
  </w:footnote>
  <w:footnote w:id="7">
    <w:p w14:paraId="5D1757FF" w14:textId="57406750" w:rsidR="00332318" w:rsidRPr="00413D92" w:rsidRDefault="00332318" w:rsidP="005651EE">
      <w:pPr>
        <w:pStyle w:val="FootnoteText"/>
        <w:ind w:firstLine="720"/>
        <w:jc w:val="both"/>
        <w:rPr>
          <w:rFonts w:asciiTheme="majorHAnsi" w:hAnsiTheme="majorHAnsi"/>
          <w:sz w:val="16"/>
          <w:szCs w:val="16"/>
          <w:lang w:val="es-419"/>
        </w:rPr>
      </w:pPr>
      <w:r w:rsidRPr="00413D92">
        <w:rPr>
          <w:rStyle w:val="FootnoteReference"/>
          <w:rFonts w:asciiTheme="majorHAnsi" w:hAnsiTheme="majorHAnsi"/>
          <w:sz w:val="16"/>
          <w:szCs w:val="16"/>
        </w:rPr>
        <w:footnoteRef/>
      </w:r>
      <w:r w:rsidRPr="00413D92">
        <w:rPr>
          <w:rFonts w:asciiTheme="majorHAnsi" w:hAnsiTheme="majorHAnsi"/>
          <w:sz w:val="16"/>
          <w:szCs w:val="16"/>
          <w:lang w:val="es-419"/>
        </w:rPr>
        <w:t xml:space="preserve"> CIDH, Informe No. 118/17, Petición 1484-07. Admisibilidad. Carmen Luz </w:t>
      </w:r>
      <w:proofErr w:type="spellStart"/>
      <w:r w:rsidRPr="00413D92">
        <w:rPr>
          <w:rFonts w:asciiTheme="majorHAnsi" w:hAnsiTheme="majorHAnsi"/>
          <w:sz w:val="16"/>
          <w:szCs w:val="16"/>
          <w:lang w:val="es-419"/>
        </w:rPr>
        <w:t>Cuchimba</w:t>
      </w:r>
      <w:proofErr w:type="spellEnd"/>
      <w:r w:rsidRPr="00413D92">
        <w:rPr>
          <w:rFonts w:asciiTheme="majorHAnsi" w:hAnsiTheme="majorHAnsi"/>
          <w:sz w:val="16"/>
          <w:szCs w:val="16"/>
          <w:lang w:val="es-419"/>
        </w:rPr>
        <w:t xml:space="preserve"> Vallejo y otros. Colombia. 7 de septiembre de 2017, párr. 8.</w:t>
      </w:r>
    </w:p>
  </w:footnote>
  <w:footnote w:id="8">
    <w:p w14:paraId="132E8306" w14:textId="4B707517" w:rsidR="00332318" w:rsidRPr="00413D92" w:rsidRDefault="00332318" w:rsidP="005651EE">
      <w:pPr>
        <w:pStyle w:val="FootnoteText"/>
        <w:ind w:firstLine="720"/>
        <w:jc w:val="both"/>
        <w:rPr>
          <w:rFonts w:asciiTheme="majorHAnsi" w:hAnsiTheme="majorHAnsi"/>
          <w:sz w:val="16"/>
          <w:szCs w:val="16"/>
          <w:lang w:val="es-419"/>
        </w:rPr>
      </w:pPr>
      <w:r w:rsidRPr="00413D92">
        <w:rPr>
          <w:rStyle w:val="FootnoteReference"/>
          <w:rFonts w:asciiTheme="majorHAnsi" w:hAnsiTheme="majorHAnsi"/>
          <w:sz w:val="16"/>
          <w:szCs w:val="16"/>
        </w:rPr>
        <w:footnoteRef/>
      </w:r>
      <w:r w:rsidRPr="00413D92">
        <w:rPr>
          <w:rFonts w:asciiTheme="majorHAnsi" w:hAnsiTheme="majorHAnsi"/>
          <w:sz w:val="16"/>
          <w:szCs w:val="16"/>
          <w:lang w:val="es-419"/>
        </w:rPr>
        <w:t xml:space="preserve"> CIDH, Informe No. 159/17, Petición 712-08. Admisibilidad. Sebastián </w:t>
      </w:r>
      <w:proofErr w:type="spellStart"/>
      <w:r w:rsidRPr="00413D92">
        <w:rPr>
          <w:rFonts w:asciiTheme="majorHAnsi" w:hAnsiTheme="majorHAnsi"/>
          <w:sz w:val="16"/>
          <w:szCs w:val="16"/>
          <w:lang w:val="es-419"/>
        </w:rPr>
        <w:t>Larroza</w:t>
      </w:r>
      <w:proofErr w:type="spellEnd"/>
      <w:r w:rsidRPr="00413D92">
        <w:rPr>
          <w:rFonts w:asciiTheme="majorHAnsi" w:hAnsiTheme="majorHAnsi"/>
          <w:sz w:val="16"/>
          <w:szCs w:val="16"/>
          <w:lang w:val="es-419"/>
        </w:rPr>
        <w:t xml:space="preserve"> Velázquez y familia. Paraguay. 30 de noviembre de 2017, párr. 14.</w:t>
      </w:r>
    </w:p>
  </w:footnote>
  <w:footnote w:id="9">
    <w:p w14:paraId="08ECADF4" w14:textId="7AECADF3" w:rsidR="009C6E0A" w:rsidRPr="00413D92" w:rsidRDefault="009C6E0A" w:rsidP="005651EE">
      <w:pPr>
        <w:pStyle w:val="FootnoteText"/>
        <w:ind w:firstLine="720"/>
        <w:jc w:val="both"/>
        <w:rPr>
          <w:rFonts w:asciiTheme="majorHAnsi" w:hAnsiTheme="majorHAnsi"/>
          <w:sz w:val="16"/>
          <w:szCs w:val="16"/>
          <w:lang w:val="es-419"/>
        </w:rPr>
      </w:pPr>
      <w:r w:rsidRPr="00413D92">
        <w:rPr>
          <w:rStyle w:val="FootnoteReference"/>
          <w:rFonts w:asciiTheme="majorHAnsi" w:hAnsiTheme="majorHAnsi"/>
          <w:sz w:val="16"/>
          <w:szCs w:val="16"/>
        </w:rPr>
        <w:footnoteRef/>
      </w:r>
      <w:r w:rsidRPr="00413D92">
        <w:rPr>
          <w:rFonts w:asciiTheme="majorHAnsi" w:hAnsiTheme="majorHAnsi"/>
          <w:sz w:val="16"/>
          <w:szCs w:val="16"/>
          <w:lang w:val="es-419"/>
        </w:rPr>
        <w:t xml:space="preserve"> CIDH, Informe No. 1/18, Petición 137-07. Admisibilidad. Mirta Elizabeth Canelo Castaño y familia. </w:t>
      </w:r>
      <w:r w:rsidRPr="00413D92">
        <w:rPr>
          <w:rFonts w:asciiTheme="majorHAnsi" w:hAnsiTheme="majorHAnsi"/>
          <w:sz w:val="16"/>
          <w:szCs w:val="16"/>
          <w:lang w:val="es-US"/>
        </w:rPr>
        <w:t>Argentina. 24 de febrero de 2018, párr. 10.</w:t>
      </w:r>
    </w:p>
  </w:footnote>
  <w:footnote w:id="10">
    <w:p w14:paraId="502A84EA" w14:textId="77777777" w:rsidR="00136CA5" w:rsidRPr="00413D92" w:rsidRDefault="00136CA5" w:rsidP="005651EE">
      <w:pPr>
        <w:pStyle w:val="FootnoteText"/>
        <w:ind w:firstLine="720"/>
        <w:jc w:val="both"/>
        <w:rPr>
          <w:rFonts w:asciiTheme="majorHAnsi" w:hAnsiTheme="majorHAnsi"/>
          <w:sz w:val="16"/>
          <w:szCs w:val="16"/>
          <w:lang w:val="es-419"/>
        </w:rPr>
      </w:pPr>
      <w:r w:rsidRPr="00413D92">
        <w:rPr>
          <w:rFonts w:asciiTheme="majorHAnsi" w:eastAsia="Arial Unicode MS" w:hAnsiTheme="majorHAnsi" w:cs="Times New Roman"/>
          <w:color w:val="auto"/>
          <w:sz w:val="16"/>
          <w:szCs w:val="16"/>
          <w:vertAlign w:val="superscript"/>
          <w:lang w:val="es-419" w:eastAsia="en-US"/>
        </w:rPr>
        <w:footnoteRef/>
      </w:r>
      <w:r w:rsidRPr="00413D92">
        <w:rPr>
          <w:rFonts w:asciiTheme="majorHAnsi" w:eastAsia="Arial Unicode MS" w:hAnsiTheme="majorHAnsi" w:cs="Times New Roman"/>
          <w:color w:val="auto"/>
          <w:sz w:val="16"/>
          <w:szCs w:val="16"/>
          <w:lang w:val="es-419" w:eastAsia="en-US"/>
        </w:rPr>
        <w:t xml:space="preserve"> Corte IDH. Caso Mendoza y otros Vs. Argentina. Excepciones Preliminares, Fondo y Reparaciones. Sentencia de 14 de mayo de 2013. Serie C No. 260, párr. 202.</w:t>
      </w:r>
    </w:p>
  </w:footnote>
  <w:footnote w:id="11">
    <w:p w14:paraId="0A39F807" w14:textId="77777777" w:rsidR="00136CA5" w:rsidRPr="00413D92" w:rsidRDefault="00136CA5" w:rsidP="005651E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16"/>
          <w:szCs w:val="16"/>
          <w:lang w:val="es-419"/>
        </w:rPr>
      </w:pPr>
      <w:r w:rsidRPr="00413D92">
        <w:rPr>
          <w:rStyle w:val="FootnoteReference"/>
          <w:rFonts w:asciiTheme="majorHAnsi" w:hAnsiTheme="majorHAnsi"/>
          <w:sz w:val="16"/>
          <w:szCs w:val="16"/>
        </w:rPr>
        <w:footnoteRef/>
      </w:r>
      <w:r w:rsidRPr="00DA2F80">
        <w:rPr>
          <w:rFonts w:asciiTheme="majorHAnsi" w:hAnsiTheme="majorHAnsi"/>
          <w:sz w:val="16"/>
          <w:szCs w:val="16"/>
          <w:lang w:val="es-419"/>
        </w:rPr>
        <w:t xml:space="preserve"> Corte IDH. Caso J. Vs. </w:t>
      </w:r>
      <w:r w:rsidRPr="00413D92">
        <w:rPr>
          <w:rFonts w:asciiTheme="majorHAnsi" w:hAnsiTheme="majorHAnsi"/>
          <w:sz w:val="16"/>
          <w:szCs w:val="16"/>
          <w:lang w:val="es-419"/>
        </w:rPr>
        <w:t>Perú. Excepción Preliminar, Fondo, Reparaciones y Costas. Sentencia de 27 de noviembre de 2013. Serie C No. 275, párr. 343.</w:t>
      </w:r>
    </w:p>
  </w:footnote>
  <w:footnote w:id="12">
    <w:p w14:paraId="145ED6CC" w14:textId="116F090B" w:rsidR="00D51CF3" w:rsidRPr="00413D92" w:rsidRDefault="00D51CF3" w:rsidP="005651EE">
      <w:pPr>
        <w:pStyle w:val="FootnoteText"/>
        <w:ind w:firstLine="720"/>
        <w:jc w:val="both"/>
        <w:rPr>
          <w:rFonts w:asciiTheme="majorHAnsi" w:hAnsiTheme="majorHAnsi"/>
          <w:sz w:val="16"/>
          <w:szCs w:val="16"/>
          <w:lang w:val="es-419"/>
        </w:rPr>
      </w:pPr>
      <w:r w:rsidRPr="00413D92">
        <w:rPr>
          <w:rStyle w:val="FootnoteReference"/>
          <w:rFonts w:asciiTheme="majorHAnsi" w:hAnsiTheme="majorHAnsi"/>
          <w:sz w:val="16"/>
          <w:szCs w:val="16"/>
        </w:rPr>
        <w:footnoteRef/>
      </w:r>
      <w:r w:rsidRPr="00413D92">
        <w:rPr>
          <w:rFonts w:asciiTheme="majorHAnsi" w:hAnsiTheme="majorHAnsi"/>
          <w:sz w:val="16"/>
          <w:szCs w:val="16"/>
          <w:lang w:val="es-419"/>
        </w:rPr>
        <w:t xml:space="preserve"> CIDH, Informe No. 344/20. Petición 328-10. Admisibilidad. José Ramón Ochoa Salazar y familia. </w:t>
      </w:r>
      <w:r w:rsidRPr="00413D92">
        <w:rPr>
          <w:rFonts w:asciiTheme="majorHAnsi" w:hAnsiTheme="majorHAnsi"/>
          <w:sz w:val="16"/>
          <w:szCs w:val="16"/>
        </w:rPr>
        <w:t xml:space="preserve">Colombia. 24 de </w:t>
      </w:r>
      <w:proofErr w:type="spellStart"/>
      <w:r w:rsidRPr="00413D92">
        <w:rPr>
          <w:rFonts w:asciiTheme="majorHAnsi" w:hAnsiTheme="majorHAnsi"/>
          <w:sz w:val="16"/>
          <w:szCs w:val="16"/>
        </w:rPr>
        <w:t>noviembre</w:t>
      </w:r>
      <w:proofErr w:type="spellEnd"/>
      <w:r w:rsidRPr="00413D92">
        <w:rPr>
          <w:rFonts w:asciiTheme="majorHAnsi" w:hAnsiTheme="majorHAnsi"/>
          <w:sz w:val="16"/>
          <w:szCs w:val="16"/>
        </w:rPr>
        <w:t xml:space="preserve"> de 2020, </w:t>
      </w:r>
      <w:proofErr w:type="spellStart"/>
      <w:r w:rsidRPr="00413D92">
        <w:rPr>
          <w:rFonts w:asciiTheme="majorHAnsi" w:hAnsiTheme="majorHAnsi"/>
          <w:sz w:val="16"/>
          <w:szCs w:val="16"/>
        </w:rPr>
        <w:t>párr</w:t>
      </w:r>
      <w:proofErr w:type="spellEnd"/>
      <w:r w:rsidRPr="00413D92">
        <w:rPr>
          <w:rFonts w:asciiTheme="majorHAnsi" w:hAnsiTheme="majorHAnsi"/>
          <w:sz w:val="16"/>
          <w:szCs w:val="16"/>
        </w:rPr>
        <w:t xml:space="preserve">. 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455D80" w:rsidRDefault="00455D80" w:rsidP="00455D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455D80" w:rsidRDefault="00455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455D80" w:rsidRDefault="00455D80"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455D80" w:rsidRPr="00EC7D62" w:rsidRDefault="00D041E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46AA6E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4C23710"/>
    <w:multiLevelType w:val="hybridMultilevel"/>
    <w:tmpl w:val="DF16C8BE"/>
    <w:lvl w:ilvl="0" w:tplc="A2040284">
      <w:start w:val="1"/>
      <w:numFmt w:val="decimal"/>
      <w:lvlText w:val="%1."/>
      <w:lvlJc w:val="left"/>
      <w:pPr>
        <w:tabs>
          <w:tab w:val="num" w:pos="1260"/>
        </w:tabs>
        <w:ind w:left="1260" w:hanging="360"/>
      </w:pPr>
      <w:rPr>
        <w:rFonts w:ascii="Calibri" w:hAnsi="Calibri" w:cs="Times New Roman" w:hint="default"/>
        <w:b w:val="0"/>
      </w:rPr>
    </w:lvl>
    <w:lvl w:ilvl="1" w:tplc="6E485BAC">
      <w:start w:val="1"/>
      <w:numFmt w:val="upperLetter"/>
      <w:lvlText w:val="%2."/>
      <w:lvlJc w:val="left"/>
      <w:pPr>
        <w:tabs>
          <w:tab w:val="num" w:pos="1440"/>
        </w:tabs>
        <w:ind w:left="1440" w:hanging="360"/>
      </w:pPr>
      <w:rPr>
        <w:rFonts w:ascii="Univers" w:hAnsi="Univers" w:hint="default"/>
        <w:sz w:val="20"/>
        <w:szCs w:val="20"/>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5"/>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8"/>
  </w:num>
  <w:num w:numId="54">
    <w:abstractNumId w:val="42"/>
  </w:num>
  <w:num w:numId="55">
    <w:abstractNumId w:val="4"/>
  </w:num>
  <w:num w:numId="56">
    <w:abstractNumId w:val="40"/>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65D0"/>
    <w:rsid w:val="00006B74"/>
    <w:rsid w:val="00006E1F"/>
    <w:rsid w:val="000070D7"/>
    <w:rsid w:val="000104F5"/>
    <w:rsid w:val="00015701"/>
    <w:rsid w:val="0001788C"/>
    <w:rsid w:val="0002186F"/>
    <w:rsid w:val="00021B1A"/>
    <w:rsid w:val="0002362C"/>
    <w:rsid w:val="00024881"/>
    <w:rsid w:val="0002663F"/>
    <w:rsid w:val="000337EF"/>
    <w:rsid w:val="00040C3A"/>
    <w:rsid w:val="000419AD"/>
    <w:rsid w:val="000556BF"/>
    <w:rsid w:val="0006152C"/>
    <w:rsid w:val="000667FF"/>
    <w:rsid w:val="00070558"/>
    <w:rsid w:val="000716C5"/>
    <w:rsid w:val="00075E23"/>
    <w:rsid w:val="000851F2"/>
    <w:rsid w:val="0009006E"/>
    <w:rsid w:val="0009344A"/>
    <w:rsid w:val="00094D95"/>
    <w:rsid w:val="000A3254"/>
    <w:rsid w:val="000A392E"/>
    <w:rsid w:val="000A575F"/>
    <w:rsid w:val="000B0579"/>
    <w:rsid w:val="000C1C69"/>
    <w:rsid w:val="000D10DB"/>
    <w:rsid w:val="000E2789"/>
    <w:rsid w:val="000E5627"/>
    <w:rsid w:val="000E5EB5"/>
    <w:rsid w:val="000F35ED"/>
    <w:rsid w:val="000F7E66"/>
    <w:rsid w:val="00105D66"/>
    <w:rsid w:val="00107131"/>
    <w:rsid w:val="0010736F"/>
    <w:rsid w:val="00111A8A"/>
    <w:rsid w:val="001132DE"/>
    <w:rsid w:val="00113F73"/>
    <w:rsid w:val="00117DA4"/>
    <w:rsid w:val="00121CC2"/>
    <w:rsid w:val="00131D8B"/>
    <w:rsid w:val="00133EE5"/>
    <w:rsid w:val="00136CA5"/>
    <w:rsid w:val="00136E3D"/>
    <w:rsid w:val="001404A7"/>
    <w:rsid w:val="00143EFE"/>
    <w:rsid w:val="001479C0"/>
    <w:rsid w:val="0015330B"/>
    <w:rsid w:val="00167A34"/>
    <w:rsid w:val="00175756"/>
    <w:rsid w:val="00177EEF"/>
    <w:rsid w:val="001954CF"/>
    <w:rsid w:val="001A7870"/>
    <w:rsid w:val="001B03BE"/>
    <w:rsid w:val="001B3A00"/>
    <w:rsid w:val="001C07C9"/>
    <w:rsid w:val="001C1B41"/>
    <w:rsid w:val="001C4709"/>
    <w:rsid w:val="001D65EF"/>
    <w:rsid w:val="001E49E7"/>
    <w:rsid w:val="001E7373"/>
    <w:rsid w:val="001E73A2"/>
    <w:rsid w:val="001F271B"/>
    <w:rsid w:val="001F7201"/>
    <w:rsid w:val="00204931"/>
    <w:rsid w:val="00220712"/>
    <w:rsid w:val="00223A29"/>
    <w:rsid w:val="002250A3"/>
    <w:rsid w:val="00227616"/>
    <w:rsid w:val="00231294"/>
    <w:rsid w:val="00235217"/>
    <w:rsid w:val="00246D1F"/>
    <w:rsid w:val="00247403"/>
    <w:rsid w:val="00247542"/>
    <w:rsid w:val="00266B61"/>
    <w:rsid w:val="0026712A"/>
    <w:rsid w:val="002704DB"/>
    <w:rsid w:val="00277BDA"/>
    <w:rsid w:val="00290B20"/>
    <w:rsid w:val="0029575A"/>
    <w:rsid w:val="002A0AAE"/>
    <w:rsid w:val="002A5820"/>
    <w:rsid w:val="002B3529"/>
    <w:rsid w:val="002C17E6"/>
    <w:rsid w:val="002C3350"/>
    <w:rsid w:val="002D2B26"/>
    <w:rsid w:val="002D7EA2"/>
    <w:rsid w:val="002E187C"/>
    <w:rsid w:val="002E7512"/>
    <w:rsid w:val="002F5791"/>
    <w:rsid w:val="002F75FD"/>
    <w:rsid w:val="00302733"/>
    <w:rsid w:val="00310EB9"/>
    <w:rsid w:val="003121D5"/>
    <w:rsid w:val="00314078"/>
    <w:rsid w:val="0031535D"/>
    <w:rsid w:val="003239B8"/>
    <w:rsid w:val="0033169F"/>
    <w:rsid w:val="00332318"/>
    <w:rsid w:val="0034224A"/>
    <w:rsid w:val="00343438"/>
    <w:rsid w:val="00344977"/>
    <w:rsid w:val="00346C95"/>
    <w:rsid w:val="00351155"/>
    <w:rsid w:val="00356185"/>
    <w:rsid w:val="00360380"/>
    <w:rsid w:val="0037519E"/>
    <w:rsid w:val="00386C6C"/>
    <w:rsid w:val="00386CF0"/>
    <w:rsid w:val="00386EE6"/>
    <w:rsid w:val="003A6337"/>
    <w:rsid w:val="003B4FF6"/>
    <w:rsid w:val="003B70FB"/>
    <w:rsid w:val="003C676B"/>
    <w:rsid w:val="003D0A55"/>
    <w:rsid w:val="003D2A3D"/>
    <w:rsid w:val="003D3BC2"/>
    <w:rsid w:val="003E6CA1"/>
    <w:rsid w:val="00403D3C"/>
    <w:rsid w:val="004065A8"/>
    <w:rsid w:val="00407758"/>
    <w:rsid w:val="00413D92"/>
    <w:rsid w:val="004165C2"/>
    <w:rsid w:val="004304AD"/>
    <w:rsid w:val="00433E89"/>
    <w:rsid w:val="00441ECB"/>
    <w:rsid w:val="00445193"/>
    <w:rsid w:val="00447CCF"/>
    <w:rsid w:val="00455D80"/>
    <w:rsid w:val="004565BA"/>
    <w:rsid w:val="004566EC"/>
    <w:rsid w:val="00462C1B"/>
    <w:rsid w:val="00467B7E"/>
    <w:rsid w:val="00473BB4"/>
    <w:rsid w:val="00476211"/>
    <w:rsid w:val="00477592"/>
    <w:rsid w:val="00486F1C"/>
    <w:rsid w:val="0049419D"/>
    <w:rsid w:val="004A59CC"/>
    <w:rsid w:val="004A6A54"/>
    <w:rsid w:val="004A73FE"/>
    <w:rsid w:val="004C20D2"/>
    <w:rsid w:val="004C2312"/>
    <w:rsid w:val="004C4B62"/>
    <w:rsid w:val="004C54C9"/>
    <w:rsid w:val="004C616A"/>
    <w:rsid w:val="004D4ABA"/>
    <w:rsid w:val="004D563B"/>
    <w:rsid w:val="004D6025"/>
    <w:rsid w:val="004E19B1"/>
    <w:rsid w:val="004E2649"/>
    <w:rsid w:val="00501399"/>
    <w:rsid w:val="00501652"/>
    <w:rsid w:val="00504AA4"/>
    <w:rsid w:val="0050633D"/>
    <w:rsid w:val="00507BC4"/>
    <w:rsid w:val="005128E4"/>
    <w:rsid w:val="005133DB"/>
    <w:rsid w:val="00517446"/>
    <w:rsid w:val="00525560"/>
    <w:rsid w:val="00535DFB"/>
    <w:rsid w:val="00541405"/>
    <w:rsid w:val="005415E6"/>
    <w:rsid w:val="00544216"/>
    <w:rsid w:val="00544C49"/>
    <w:rsid w:val="00547D9E"/>
    <w:rsid w:val="005516A1"/>
    <w:rsid w:val="00551EC6"/>
    <w:rsid w:val="0055211F"/>
    <w:rsid w:val="0055794A"/>
    <w:rsid w:val="00563557"/>
    <w:rsid w:val="005651EE"/>
    <w:rsid w:val="0057402A"/>
    <w:rsid w:val="00574CB7"/>
    <w:rsid w:val="005771D0"/>
    <w:rsid w:val="0059191A"/>
    <w:rsid w:val="005920E4"/>
    <w:rsid w:val="005921FF"/>
    <w:rsid w:val="005A23A7"/>
    <w:rsid w:val="005A24ED"/>
    <w:rsid w:val="005A6D0E"/>
    <w:rsid w:val="005B37CC"/>
    <w:rsid w:val="005B52B0"/>
    <w:rsid w:val="005B5D47"/>
    <w:rsid w:val="005B6806"/>
    <w:rsid w:val="005B6D22"/>
    <w:rsid w:val="005C2023"/>
    <w:rsid w:val="005C261A"/>
    <w:rsid w:val="005C4225"/>
    <w:rsid w:val="005C7989"/>
    <w:rsid w:val="005C7BE1"/>
    <w:rsid w:val="005E0B65"/>
    <w:rsid w:val="005E11B2"/>
    <w:rsid w:val="005E538D"/>
    <w:rsid w:val="005F0DAD"/>
    <w:rsid w:val="005F0F33"/>
    <w:rsid w:val="005F3733"/>
    <w:rsid w:val="00600DEB"/>
    <w:rsid w:val="006277DE"/>
    <w:rsid w:val="00627C9F"/>
    <w:rsid w:val="006311E9"/>
    <w:rsid w:val="00632354"/>
    <w:rsid w:val="00642810"/>
    <w:rsid w:val="006472C0"/>
    <w:rsid w:val="00647756"/>
    <w:rsid w:val="00647BC3"/>
    <w:rsid w:val="006509DA"/>
    <w:rsid w:val="00652333"/>
    <w:rsid w:val="00665AFA"/>
    <w:rsid w:val="0068009E"/>
    <w:rsid w:val="006819E9"/>
    <w:rsid w:val="00686471"/>
    <w:rsid w:val="00691BBE"/>
    <w:rsid w:val="00692219"/>
    <w:rsid w:val="006A17D2"/>
    <w:rsid w:val="006A73E6"/>
    <w:rsid w:val="006B2D5C"/>
    <w:rsid w:val="006C4EB1"/>
    <w:rsid w:val="006D005C"/>
    <w:rsid w:val="006E0166"/>
    <w:rsid w:val="006E3BDE"/>
    <w:rsid w:val="006E7B34"/>
    <w:rsid w:val="006F748D"/>
    <w:rsid w:val="0070697F"/>
    <w:rsid w:val="00716453"/>
    <w:rsid w:val="0072199C"/>
    <w:rsid w:val="007222BF"/>
    <w:rsid w:val="00722C9F"/>
    <w:rsid w:val="007253B8"/>
    <w:rsid w:val="0073598C"/>
    <w:rsid w:val="007368D7"/>
    <w:rsid w:val="0073741F"/>
    <w:rsid w:val="00746B15"/>
    <w:rsid w:val="00754428"/>
    <w:rsid w:val="0076643F"/>
    <w:rsid w:val="0076707F"/>
    <w:rsid w:val="00777B1A"/>
    <w:rsid w:val="00777F63"/>
    <w:rsid w:val="007835B6"/>
    <w:rsid w:val="007852B5"/>
    <w:rsid w:val="00797457"/>
    <w:rsid w:val="007A1DB1"/>
    <w:rsid w:val="007A2535"/>
    <w:rsid w:val="007A5817"/>
    <w:rsid w:val="007B05C4"/>
    <w:rsid w:val="007B60E9"/>
    <w:rsid w:val="007B6CC3"/>
    <w:rsid w:val="007C3334"/>
    <w:rsid w:val="007C402A"/>
    <w:rsid w:val="007D1B81"/>
    <w:rsid w:val="007D2B98"/>
    <w:rsid w:val="007D720D"/>
    <w:rsid w:val="007D7C02"/>
    <w:rsid w:val="007E21BC"/>
    <w:rsid w:val="007E58FE"/>
    <w:rsid w:val="007E7C82"/>
    <w:rsid w:val="007F588D"/>
    <w:rsid w:val="007F77A5"/>
    <w:rsid w:val="00802748"/>
    <w:rsid w:val="008028E5"/>
    <w:rsid w:val="00803F1C"/>
    <w:rsid w:val="0080600E"/>
    <w:rsid w:val="00807B8B"/>
    <w:rsid w:val="00817612"/>
    <w:rsid w:val="00832AB4"/>
    <w:rsid w:val="008338A4"/>
    <w:rsid w:val="0083466A"/>
    <w:rsid w:val="00834D49"/>
    <w:rsid w:val="00837634"/>
    <w:rsid w:val="00837C45"/>
    <w:rsid w:val="008411F0"/>
    <w:rsid w:val="00844730"/>
    <w:rsid w:val="008457C2"/>
    <w:rsid w:val="00845858"/>
    <w:rsid w:val="008500DA"/>
    <w:rsid w:val="00857A82"/>
    <w:rsid w:val="00871526"/>
    <w:rsid w:val="00873836"/>
    <w:rsid w:val="00885737"/>
    <w:rsid w:val="00890650"/>
    <w:rsid w:val="00894533"/>
    <w:rsid w:val="008959F4"/>
    <w:rsid w:val="00897E12"/>
    <w:rsid w:val="008A0F81"/>
    <w:rsid w:val="008A4308"/>
    <w:rsid w:val="008A7E0F"/>
    <w:rsid w:val="008B12F5"/>
    <w:rsid w:val="008B5932"/>
    <w:rsid w:val="008C5751"/>
    <w:rsid w:val="008D768D"/>
    <w:rsid w:val="008E328A"/>
    <w:rsid w:val="008E3759"/>
    <w:rsid w:val="008E3BFE"/>
    <w:rsid w:val="008E7900"/>
    <w:rsid w:val="008F1912"/>
    <w:rsid w:val="008F6D87"/>
    <w:rsid w:val="0090270B"/>
    <w:rsid w:val="009041DC"/>
    <w:rsid w:val="0091397A"/>
    <w:rsid w:val="00917B5A"/>
    <w:rsid w:val="00920A58"/>
    <w:rsid w:val="00920A8C"/>
    <w:rsid w:val="00933DA1"/>
    <w:rsid w:val="00934A2C"/>
    <w:rsid w:val="00935F06"/>
    <w:rsid w:val="00937B3A"/>
    <w:rsid w:val="00951D55"/>
    <w:rsid w:val="00954B82"/>
    <w:rsid w:val="009605CA"/>
    <w:rsid w:val="00962436"/>
    <w:rsid w:val="0096622C"/>
    <w:rsid w:val="0096706E"/>
    <w:rsid w:val="00974491"/>
    <w:rsid w:val="00975A4D"/>
    <w:rsid w:val="00975C4E"/>
    <w:rsid w:val="00981FBA"/>
    <w:rsid w:val="0098674D"/>
    <w:rsid w:val="00994007"/>
    <w:rsid w:val="00997BC5"/>
    <w:rsid w:val="009A4F41"/>
    <w:rsid w:val="009B381B"/>
    <w:rsid w:val="009C2FC5"/>
    <w:rsid w:val="009C6E0A"/>
    <w:rsid w:val="009D1753"/>
    <w:rsid w:val="009D6502"/>
    <w:rsid w:val="009D7611"/>
    <w:rsid w:val="009D78A5"/>
    <w:rsid w:val="009E0B61"/>
    <w:rsid w:val="009E53DE"/>
    <w:rsid w:val="009E7C00"/>
    <w:rsid w:val="00A06520"/>
    <w:rsid w:val="00A0691C"/>
    <w:rsid w:val="00A11E44"/>
    <w:rsid w:val="00A22397"/>
    <w:rsid w:val="00A328B3"/>
    <w:rsid w:val="00A341E3"/>
    <w:rsid w:val="00A46868"/>
    <w:rsid w:val="00A50FCF"/>
    <w:rsid w:val="00A528D1"/>
    <w:rsid w:val="00A56C36"/>
    <w:rsid w:val="00A60B37"/>
    <w:rsid w:val="00A610CD"/>
    <w:rsid w:val="00A6258A"/>
    <w:rsid w:val="00A625E0"/>
    <w:rsid w:val="00A73188"/>
    <w:rsid w:val="00A74947"/>
    <w:rsid w:val="00A758AA"/>
    <w:rsid w:val="00AA09A2"/>
    <w:rsid w:val="00AA7996"/>
    <w:rsid w:val="00AA7EE6"/>
    <w:rsid w:val="00AB1C10"/>
    <w:rsid w:val="00AC19CB"/>
    <w:rsid w:val="00AD1886"/>
    <w:rsid w:val="00AD2CB0"/>
    <w:rsid w:val="00AE5488"/>
    <w:rsid w:val="00AE6F91"/>
    <w:rsid w:val="00AF5571"/>
    <w:rsid w:val="00B056F1"/>
    <w:rsid w:val="00B06B4E"/>
    <w:rsid w:val="00B07341"/>
    <w:rsid w:val="00B202B5"/>
    <w:rsid w:val="00B205AA"/>
    <w:rsid w:val="00B2378C"/>
    <w:rsid w:val="00B30539"/>
    <w:rsid w:val="00B3097A"/>
    <w:rsid w:val="00B314DB"/>
    <w:rsid w:val="00B361F2"/>
    <w:rsid w:val="00B3718B"/>
    <w:rsid w:val="00B42240"/>
    <w:rsid w:val="00B42D83"/>
    <w:rsid w:val="00B4632A"/>
    <w:rsid w:val="00B5067D"/>
    <w:rsid w:val="00B530F1"/>
    <w:rsid w:val="00B57E35"/>
    <w:rsid w:val="00B650B4"/>
    <w:rsid w:val="00B736AF"/>
    <w:rsid w:val="00B97946"/>
    <w:rsid w:val="00BA276C"/>
    <w:rsid w:val="00BA5544"/>
    <w:rsid w:val="00BB306F"/>
    <w:rsid w:val="00BB3FBD"/>
    <w:rsid w:val="00BC00A1"/>
    <w:rsid w:val="00BC33DE"/>
    <w:rsid w:val="00BC6CD0"/>
    <w:rsid w:val="00BC7355"/>
    <w:rsid w:val="00BD4B89"/>
    <w:rsid w:val="00BD5922"/>
    <w:rsid w:val="00BD76D9"/>
    <w:rsid w:val="00BE07C7"/>
    <w:rsid w:val="00BE3527"/>
    <w:rsid w:val="00BF02CB"/>
    <w:rsid w:val="00BF0E56"/>
    <w:rsid w:val="00BF191C"/>
    <w:rsid w:val="00BF514A"/>
    <w:rsid w:val="00BF6FD8"/>
    <w:rsid w:val="00BF775D"/>
    <w:rsid w:val="00C02F5C"/>
    <w:rsid w:val="00C03680"/>
    <w:rsid w:val="00C054DF"/>
    <w:rsid w:val="00C10AFC"/>
    <w:rsid w:val="00C11CB0"/>
    <w:rsid w:val="00C21562"/>
    <w:rsid w:val="00C21762"/>
    <w:rsid w:val="00C21FEF"/>
    <w:rsid w:val="00C22E77"/>
    <w:rsid w:val="00C24543"/>
    <w:rsid w:val="00C256A2"/>
    <w:rsid w:val="00C35A26"/>
    <w:rsid w:val="00C51515"/>
    <w:rsid w:val="00C53910"/>
    <w:rsid w:val="00C550C2"/>
    <w:rsid w:val="00C5660B"/>
    <w:rsid w:val="00C56854"/>
    <w:rsid w:val="00C5788A"/>
    <w:rsid w:val="00C66B72"/>
    <w:rsid w:val="00C7480B"/>
    <w:rsid w:val="00C84110"/>
    <w:rsid w:val="00C87AC4"/>
    <w:rsid w:val="00C92610"/>
    <w:rsid w:val="00C9567A"/>
    <w:rsid w:val="00CA48A3"/>
    <w:rsid w:val="00CB212D"/>
    <w:rsid w:val="00CB2660"/>
    <w:rsid w:val="00CC5E90"/>
    <w:rsid w:val="00CC7460"/>
    <w:rsid w:val="00CD046C"/>
    <w:rsid w:val="00CE076C"/>
    <w:rsid w:val="00CE5199"/>
    <w:rsid w:val="00CE66D5"/>
    <w:rsid w:val="00CF637A"/>
    <w:rsid w:val="00CF6BD1"/>
    <w:rsid w:val="00D041EF"/>
    <w:rsid w:val="00D059DE"/>
    <w:rsid w:val="00D05ABD"/>
    <w:rsid w:val="00D13FCE"/>
    <w:rsid w:val="00D306D1"/>
    <w:rsid w:val="00D30800"/>
    <w:rsid w:val="00D32DAF"/>
    <w:rsid w:val="00D34786"/>
    <w:rsid w:val="00D37BFC"/>
    <w:rsid w:val="00D42822"/>
    <w:rsid w:val="00D47A8E"/>
    <w:rsid w:val="00D51CF3"/>
    <w:rsid w:val="00D52D14"/>
    <w:rsid w:val="00D55256"/>
    <w:rsid w:val="00D605DA"/>
    <w:rsid w:val="00D712D3"/>
    <w:rsid w:val="00D71422"/>
    <w:rsid w:val="00D72DC6"/>
    <w:rsid w:val="00D73F5E"/>
    <w:rsid w:val="00D7558D"/>
    <w:rsid w:val="00D77503"/>
    <w:rsid w:val="00D81D92"/>
    <w:rsid w:val="00D876F9"/>
    <w:rsid w:val="00D877B6"/>
    <w:rsid w:val="00D95D47"/>
    <w:rsid w:val="00D96741"/>
    <w:rsid w:val="00DA2F80"/>
    <w:rsid w:val="00DA4DB8"/>
    <w:rsid w:val="00DA7B5F"/>
    <w:rsid w:val="00DB0508"/>
    <w:rsid w:val="00DC11E7"/>
    <w:rsid w:val="00DC42DE"/>
    <w:rsid w:val="00DC7023"/>
    <w:rsid w:val="00DC769A"/>
    <w:rsid w:val="00DD061E"/>
    <w:rsid w:val="00DD3D86"/>
    <w:rsid w:val="00DE12F0"/>
    <w:rsid w:val="00DF1EC4"/>
    <w:rsid w:val="00E01943"/>
    <w:rsid w:val="00E0340B"/>
    <w:rsid w:val="00E04A90"/>
    <w:rsid w:val="00E0551F"/>
    <w:rsid w:val="00E06E19"/>
    <w:rsid w:val="00E075FA"/>
    <w:rsid w:val="00E17434"/>
    <w:rsid w:val="00E219C7"/>
    <w:rsid w:val="00E26CCA"/>
    <w:rsid w:val="00E4118C"/>
    <w:rsid w:val="00E43157"/>
    <w:rsid w:val="00E446FA"/>
    <w:rsid w:val="00E461CE"/>
    <w:rsid w:val="00E5203D"/>
    <w:rsid w:val="00E607C0"/>
    <w:rsid w:val="00E63333"/>
    <w:rsid w:val="00E6597F"/>
    <w:rsid w:val="00E720CA"/>
    <w:rsid w:val="00E84EB5"/>
    <w:rsid w:val="00E85662"/>
    <w:rsid w:val="00E8789F"/>
    <w:rsid w:val="00E96BDE"/>
    <w:rsid w:val="00E97B71"/>
    <w:rsid w:val="00EA3D34"/>
    <w:rsid w:val="00EB454D"/>
    <w:rsid w:val="00EC72AB"/>
    <w:rsid w:val="00ED2F03"/>
    <w:rsid w:val="00ED2FDC"/>
    <w:rsid w:val="00ED549D"/>
    <w:rsid w:val="00ED76BE"/>
    <w:rsid w:val="00ED7F05"/>
    <w:rsid w:val="00EE00E9"/>
    <w:rsid w:val="00EE014D"/>
    <w:rsid w:val="00EE7895"/>
    <w:rsid w:val="00EF35AB"/>
    <w:rsid w:val="00EF4C44"/>
    <w:rsid w:val="00EF4E24"/>
    <w:rsid w:val="00EF619B"/>
    <w:rsid w:val="00F00B55"/>
    <w:rsid w:val="00F02AD1"/>
    <w:rsid w:val="00F04591"/>
    <w:rsid w:val="00F06354"/>
    <w:rsid w:val="00F17671"/>
    <w:rsid w:val="00F253CC"/>
    <w:rsid w:val="00F332EF"/>
    <w:rsid w:val="00F37106"/>
    <w:rsid w:val="00F42039"/>
    <w:rsid w:val="00F519CF"/>
    <w:rsid w:val="00F56BA5"/>
    <w:rsid w:val="00F60E22"/>
    <w:rsid w:val="00F63B39"/>
    <w:rsid w:val="00F7209E"/>
    <w:rsid w:val="00F76005"/>
    <w:rsid w:val="00F81395"/>
    <w:rsid w:val="00F81887"/>
    <w:rsid w:val="00F81BB8"/>
    <w:rsid w:val="00F917D1"/>
    <w:rsid w:val="00F91D10"/>
    <w:rsid w:val="00F9342C"/>
    <w:rsid w:val="00F9653B"/>
    <w:rsid w:val="00FA56EA"/>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413D92"/>
    <w:rPr>
      <w:color w:val="605E5C"/>
      <w:shd w:val="clear" w:color="auto" w:fill="E1DFDD"/>
    </w:rPr>
  </w:style>
  <w:style w:type="character" w:styleId="FollowedHyperlink">
    <w:name w:val="FollowedHyperlink"/>
    <w:basedOn w:val="DefaultParagraphFont"/>
    <w:uiPriority w:val="99"/>
    <w:semiHidden/>
    <w:unhideWhenUsed/>
    <w:rsid w:val="008F6D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84664662">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dle.rae.es/algazara" TargetMode="External"/><Relationship Id="rId1" Type="http://schemas.openxmlformats.org/officeDocument/2006/relationships/hyperlink" Target="https://dle.rae.es/pendenc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8047-896C-42F6-BE46-2F3B22BD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2660</Words>
  <Characters>13647</Characters>
  <Application>Microsoft Office Word</Application>
  <DocSecurity>0</DocSecurity>
  <Lines>248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432/21</dc:title>
  <dc:creator/>
  <cp:lastModifiedBy/>
  <cp:revision>1</cp:revision>
  <dcterms:created xsi:type="dcterms:W3CDTF">2022-02-15T21:02:00Z</dcterms:created>
  <dcterms:modified xsi:type="dcterms:W3CDTF">2022-02-15T21:02:00Z</dcterms:modified>
</cp:coreProperties>
</file>