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B77B84" w:rsidRDefault="00D306D1" w:rsidP="00627C9F">
      <w:pPr>
        <w:jc w:val="both"/>
        <w:rPr>
          <w:rFonts w:asciiTheme="majorHAnsi" w:hAnsiTheme="majorHAnsi" w:cs="Univers"/>
          <w:b/>
          <w:bCs/>
          <w:sz w:val="20"/>
          <w:szCs w:val="20"/>
          <w:lang w:val="es-ES_tradnl"/>
        </w:rPr>
      </w:pPr>
      <w:r w:rsidRPr="00B77B84">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DDA4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77B84">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77B84">
        <w:rPr>
          <w:rFonts w:asciiTheme="majorHAnsi" w:hAnsiTheme="majorHAnsi" w:cs="Univers"/>
          <w:b/>
          <w:bCs/>
          <w:sz w:val="20"/>
          <w:szCs w:val="20"/>
          <w:lang w:val="es-ES_tradnl"/>
        </w:rPr>
        <w:t xml:space="preserve"> </w:t>
      </w:r>
    </w:p>
    <w:p w14:paraId="2A19A2D2" w14:textId="77777777" w:rsidR="00040C3A" w:rsidRPr="00B77B84" w:rsidRDefault="00040C3A" w:rsidP="00040C3A">
      <w:pPr>
        <w:tabs>
          <w:tab w:val="center" w:pos="5400"/>
        </w:tabs>
        <w:suppressAutoHyphens/>
        <w:jc w:val="both"/>
        <w:rPr>
          <w:rFonts w:asciiTheme="majorHAnsi" w:hAnsiTheme="majorHAnsi"/>
          <w:sz w:val="20"/>
          <w:szCs w:val="20"/>
          <w:lang w:val="es-ES"/>
        </w:rPr>
      </w:pPr>
    </w:p>
    <w:p w14:paraId="34881221" w14:textId="77777777" w:rsidR="00040C3A" w:rsidRPr="00B77B84" w:rsidRDefault="00040C3A" w:rsidP="00040C3A">
      <w:pPr>
        <w:tabs>
          <w:tab w:val="center" w:pos="5400"/>
        </w:tabs>
        <w:suppressAutoHyphens/>
        <w:jc w:val="both"/>
        <w:rPr>
          <w:rFonts w:asciiTheme="majorHAnsi" w:hAnsiTheme="majorHAnsi"/>
          <w:sz w:val="20"/>
          <w:szCs w:val="20"/>
          <w:lang w:val="es-ES"/>
        </w:rPr>
      </w:pPr>
    </w:p>
    <w:p w14:paraId="632C4C89" w14:textId="77777777" w:rsidR="005128E4" w:rsidRPr="00B77B84" w:rsidRDefault="005128E4" w:rsidP="00040C3A">
      <w:pPr>
        <w:tabs>
          <w:tab w:val="center" w:pos="5400"/>
        </w:tabs>
        <w:suppressAutoHyphens/>
        <w:rPr>
          <w:rFonts w:asciiTheme="majorHAnsi" w:hAnsiTheme="majorHAnsi"/>
          <w:sz w:val="20"/>
          <w:szCs w:val="20"/>
          <w:lang w:val="es-ES_tradnl"/>
        </w:rPr>
      </w:pPr>
    </w:p>
    <w:p w14:paraId="358107BA" w14:textId="77777777" w:rsidR="005128E4" w:rsidRPr="00B77B84" w:rsidRDefault="005128E4" w:rsidP="00040C3A">
      <w:pPr>
        <w:tabs>
          <w:tab w:val="center" w:pos="5400"/>
        </w:tabs>
        <w:suppressAutoHyphens/>
        <w:rPr>
          <w:rFonts w:asciiTheme="majorHAnsi" w:hAnsiTheme="majorHAnsi"/>
          <w:sz w:val="20"/>
          <w:szCs w:val="20"/>
          <w:lang w:val="es-ES_tradnl"/>
        </w:rPr>
      </w:pPr>
    </w:p>
    <w:p w14:paraId="321229E3" w14:textId="77777777" w:rsidR="005128E4" w:rsidRPr="00B77B84" w:rsidRDefault="005128E4" w:rsidP="00040C3A">
      <w:pPr>
        <w:tabs>
          <w:tab w:val="center" w:pos="5400"/>
        </w:tabs>
        <w:suppressAutoHyphens/>
        <w:rPr>
          <w:rFonts w:asciiTheme="majorHAnsi" w:hAnsiTheme="majorHAnsi"/>
          <w:sz w:val="20"/>
          <w:szCs w:val="20"/>
          <w:lang w:val="es-ES_tradnl"/>
        </w:rPr>
      </w:pPr>
    </w:p>
    <w:p w14:paraId="7DDDAF98" w14:textId="77777777" w:rsidR="00040C3A" w:rsidRPr="00B77B84" w:rsidRDefault="00040C3A" w:rsidP="005128E4">
      <w:pPr>
        <w:tabs>
          <w:tab w:val="center" w:pos="5400"/>
        </w:tabs>
        <w:suppressAutoHyphens/>
        <w:jc w:val="center"/>
        <w:rPr>
          <w:rFonts w:asciiTheme="majorHAnsi" w:hAnsiTheme="majorHAnsi"/>
          <w:sz w:val="20"/>
          <w:szCs w:val="20"/>
          <w:lang w:val="es-ES_tradnl"/>
        </w:rPr>
      </w:pPr>
    </w:p>
    <w:p w14:paraId="3CA65B05" w14:textId="77777777" w:rsidR="00040C3A" w:rsidRPr="00B77B84" w:rsidRDefault="00040C3A" w:rsidP="005128E4">
      <w:pPr>
        <w:tabs>
          <w:tab w:val="center" w:pos="5400"/>
        </w:tabs>
        <w:suppressAutoHyphens/>
        <w:jc w:val="center"/>
        <w:rPr>
          <w:rFonts w:asciiTheme="majorHAnsi" w:hAnsiTheme="majorHAnsi"/>
          <w:sz w:val="20"/>
          <w:szCs w:val="20"/>
          <w:lang w:val="es-ES_tradnl"/>
        </w:rPr>
      </w:pPr>
    </w:p>
    <w:p w14:paraId="54FEB1F2" w14:textId="77777777" w:rsidR="005B52B0" w:rsidRPr="00B77B84" w:rsidRDefault="005B52B0" w:rsidP="005128E4">
      <w:pPr>
        <w:tabs>
          <w:tab w:val="center" w:pos="5400"/>
        </w:tabs>
        <w:suppressAutoHyphens/>
        <w:jc w:val="center"/>
        <w:rPr>
          <w:rFonts w:asciiTheme="majorHAnsi" w:hAnsiTheme="majorHAnsi"/>
          <w:sz w:val="20"/>
          <w:szCs w:val="20"/>
          <w:lang w:val="es-ES_tradnl"/>
        </w:rPr>
      </w:pPr>
    </w:p>
    <w:p w14:paraId="49FD76AB" w14:textId="77777777" w:rsidR="005B52B0" w:rsidRPr="00B77B84" w:rsidRDefault="005B52B0" w:rsidP="005128E4">
      <w:pPr>
        <w:tabs>
          <w:tab w:val="center" w:pos="5400"/>
        </w:tabs>
        <w:suppressAutoHyphens/>
        <w:jc w:val="center"/>
        <w:rPr>
          <w:rFonts w:asciiTheme="majorHAnsi" w:hAnsiTheme="majorHAnsi"/>
          <w:sz w:val="20"/>
          <w:szCs w:val="20"/>
          <w:lang w:val="es-ES_tradnl"/>
        </w:rPr>
      </w:pPr>
    </w:p>
    <w:p w14:paraId="1BBE4B3A" w14:textId="77777777" w:rsidR="005B52B0" w:rsidRPr="00B77B84" w:rsidRDefault="005B52B0" w:rsidP="005128E4">
      <w:pPr>
        <w:tabs>
          <w:tab w:val="center" w:pos="5400"/>
        </w:tabs>
        <w:suppressAutoHyphens/>
        <w:jc w:val="center"/>
        <w:rPr>
          <w:rFonts w:asciiTheme="majorHAnsi" w:hAnsiTheme="majorHAnsi"/>
          <w:sz w:val="20"/>
          <w:szCs w:val="20"/>
          <w:lang w:val="es-ES_tradnl"/>
        </w:rPr>
      </w:pPr>
    </w:p>
    <w:p w14:paraId="6E58A006" w14:textId="77777777" w:rsidR="00040C3A" w:rsidRPr="00B77B84" w:rsidRDefault="00040C3A" w:rsidP="00040C3A">
      <w:pPr>
        <w:tabs>
          <w:tab w:val="center" w:pos="5400"/>
        </w:tabs>
        <w:suppressAutoHyphens/>
        <w:jc w:val="center"/>
        <w:rPr>
          <w:rFonts w:asciiTheme="majorHAnsi" w:hAnsiTheme="majorHAnsi"/>
          <w:sz w:val="20"/>
          <w:szCs w:val="20"/>
          <w:lang w:val="es-ES_tradnl"/>
        </w:rPr>
      </w:pPr>
    </w:p>
    <w:p w14:paraId="58FFE99C" w14:textId="77777777" w:rsidR="00040C3A" w:rsidRPr="00B77B84" w:rsidRDefault="00040C3A" w:rsidP="00040C3A">
      <w:pPr>
        <w:tabs>
          <w:tab w:val="center" w:pos="5400"/>
        </w:tabs>
        <w:suppressAutoHyphens/>
        <w:jc w:val="center"/>
        <w:rPr>
          <w:rFonts w:asciiTheme="majorHAnsi" w:hAnsiTheme="majorHAnsi"/>
          <w:sz w:val="20"/>
          <w:szCs w:val="20"/>
          <w:lang w:val="es-ES_tradnl"/>
        </w:rPr>
      </w:pPr>
    </w:p>
    <w:p w14:paraId="6CB1E102" w14:textId="77777777" w:rsidR="00040C3A" w:rsidRPr="00B77B84" w:rsidRDefault="003D3BC2" w:rsidP="00040C3A">
      <w:pPr>
        <w:tabs>
          <w:tab w:val="center" w:pos="5400"/>
        </w:tabs>
        <w:suppressAutoHyphens/>
        <w:jc w:val="center"/>
        <w:rPr>
          <w:rFonts w:asciiTheme="majorHAnsi" w:hAnsiTheme="majorHAnsi"/>
          <w:sz w:val="20"/>
          <w:szCs w:val="20"/>
          <w:lang w:val="es-ES_tradnl"/>
        </w:rPr>
      </w:pPr>
      <w:r w:rsidRPr="00B77B84">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4F4C524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D4015">
                              <w:rPr>
                                <w:rFonts w:asciiTheme="majorHAnsi" w:hAnsiTheme="majorHAnsi" w:cs="Arial"/>
                                <w:b/>
                                <w:bCs/>
                                <w:color w:val="0D0D0D" w:themeColor="text1" w:themeTint="F2"/>
                                <w:sz w:val="36"/>
                                <w:szCs w:val="22"/>
                                <w:lang w:val="es-ES_tradnl"/>
                              </w:rPr>
                              <w:t>195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74F4C6B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D5931">
                              <w:rPr>
                                <w:rFonts w:asciiTheme="majorHAnsi" w:hAnsiTheme="majorHAnsi" w:cs="Arial"/>
                                <w:b/>
                                <w:color w:val="0D0D0D" w:themeColor="text1" w:themeTint="F2"/>
                                <w:sz w:val="36"/>
                                <w:szCs w:val="22"/>
                                <w:lang w:val="es-ES_tradnl"/>
                              </w:rPr>
                              <w:t>2377</w:t>
                            </w:r>
                            <w:r w:rsidR="00246D1F" w:rsidRPr="004E2649">
                              <w:rPr>
                                <w:rFonts w:asciiTheme="majorHAnsi" w:hAnsiTheme="majorHAnsi" w:cs="Arial"/>
                                <w:b/>
                                <w:color w:val="0D0D0D" w:themeColor="text1" w:themeTint="F2"/>
                                <w:sz w:val="36"/>
                                <w:szCs w:val="22"/>
                                <w:lang w:val="es-ES_tradnl"/>
                              </w:rPr>
                              <w:t>-</w:t>
                            </w:r>
                            <w:r w:rsidR="003D5931">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09841E25" w14:textId="6947B7A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605349">
                              <w:rPr>
                                <w:rFonts w:asciiTheme="majorHAnsi" w:hAnsiTheme="majorHAnsi" w:cs="Arial"/>
                                <w:color w:val="0D0D0D" w:themeColor="text1" w:themeTint="F2"/>
                                <w:szCs w:val="22"/>
                                <w:lang w:val="es-ES_tradnl"/>
                              </w:rPr>
                              <w:t>INFORME DE ADMISIBILIDAD</w:t>
                            </w:r>
                            <w:r w:rsidR="00F519CF" w:rsidRPr="00605349">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4006AF50" w:rsidR="005B52B0" w:rsidRPr="0010736F" w:rsidRDefault="00D072C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EDWIN LEONARDO JARRÍN </w:t>
                            </w:r>
                            <w:proofErr w:type="spellStart"/>
                            <w:r>
                              <w:rPr>
                                <w:rFonts w:asciiTheme="majorHAnsi" w:hAnsiTheme="majorHAnsi" w:cs="Arial"/>
                                <w:color w:val="0D0D0D" w:themeColor="text1" w:themeTint="F2"/>
                                <w:szCs w:val="22"/>
                                <w:lang w:val="es-ES_tradnl"/>
                              </w:rPr>
                              <w:t>JARRÍN</w:t>
                            </w:r>
                            <w:proofErr w:type="spellEnd"/>
                            <w:r>
                              <w:rPr>
                                <w:rFonts w:asciiTheme="majorHAnsi" w:hAnsiTheme="majorHAnsi" w:cs="Arial"/>
                                <w:color w:val="0D0D0D" w:themeColor="text1" w:themeTint="F2"/>
                                <w:szCs w:val="22"/>
                                <w:lang w:val="es-ES_tradnl"/>
                              </w:rPr>
                              <w:t>, TANIA ELIZABETH PAUKER CUEVA Y SONIA GABRIELA VERA GARCÍA</w:t>
                            </w:r>
                          </w:p>
                          <w:bookmarkEnd w:id="0"/>
                          <w:p w14:paraId="5CF377E5" w14:textId="0B7216BE" w:rsidR="005B52B0" w:rsidRPr="00AE5488" w:rsidRDefault="00F10E2A" w:rsidP="007A5817">
                            <w:pPr>
                              <w:rPr>
                                <w:color w:val="0D0D0D" w:themeColor="text1" w:themeTint="F2"/>
                                <w:lang w:val="es-ES_tradnl"/>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CA1D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84F251E" w14:textId="4F4C524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D4015">
                        <w:rPr>
                          <w:rFonts w:asciiTheme="majorHAnsi" w:hAnsiTheme="majorHAnsi" w:cs="Arial"/>
                          <w:b/>
                          <w:bCs/>
                          <w:color w:val="0D0D0D" w:themeColor="text1" w:themeTint="F2"/>
                          <w:sz w:val="36"/>
                          <w:szCs w:val="22"/>
                          <w:lang w:val="es-ES_tradnl"/>
                        </w:rPr>
                        <w:t>195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74F4C6B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D5931">
                        <w:rPr>
                          <w:rFonts w:asciiTheme="majorHAnsi" w:hAnsiTheme="majorHAnsi" w:cs="Arial"/>
                          <w:b/>
                          <w:color w:val="0D0D0D" w:themeColor="text1" w:themeTint="F2"/>
                          <w:sz w:val="36"/>
                          <w:szCs w:val="22"/>
                          <w:lang w:val="es-ES_tradnl"/>
                        </w:rPr>
                        <w:t>2377</w:t>
                      </w:r>
                      <w:r w:rsidR="00246D1F" w:rsidRPr="004E2649">
                        <w:rPr>
                          <w:rFonts w:asciiTheme="majorHAnsi" w:hAnsiTheme="majorHAnsi" w:cs="Arial"/>
                          <w:b/>
                          <w:color w:val="0D0D0D" w:themeColor="text1" w:themeTint="F2"/>
                          <w:sz w:val="36"/>
                          <w:szCs w:val="22"/>
                          <w:lang w:val="es-ES_tradnl"/>
                        </w:rPr>
                        <w:t>-</w:t>
                      </w:r>
                      <w:r w:rsidR="003D5931">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09841E25" w14:textId="6947B7A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605349">
                        <w:rPr>
                          <w:rFonts w:asciiTheme="majorHAnsi" w:hAnsiTheme="majorHAnsi" w:cs="Arial"/>
                          <w:color w:val="0D0D0D" w:themeColor="text1" w:themeTint="F2"/>
                          <w:szCs w:val="22"/>
                          <w:lang w:val="es-ES_tradnl"/>
                        </w:rPr>
                        <w:t>INFORME DE ADMISIBILIDAD</w:t>
                      </w:r>
                      <w:r w:rsidR="00F519CF" w:rsidRPr="00605349">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4006AF50" w:rsidR="005B52B0" w:rsidRPr="0010736F" w:rsidRDefault="00D072C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EDWIN LEONARDO JARRÍN </w:t>
                      </w:r>
                      <w:proofErr w:type="spellStart"/>
                      <w:r>
                        <w:rPr>
                          <w:rFonts w:asciiTheme="majorHAnsi" w:hAnsiTheme="majorHAnsi" w:cs="Arial"/>
                          <w:color w:val="0D0D0D" w:themeColor="text1" w:themeTint="F2"/>
                          <w:szCs w:val="22"/>
                          <w:lang w:val="es-ES_tradnl"/>
                        </w:rPr>
                        <w:t>JARRÍN</w:t>
                      </w:r>
                      <w:proofErr w:type="spellEnd"/>
                      <w:r>
                        <w:rPr>
                          <w:rFonts w:asciiTheme="majorHAnsi" w:hAnsiTheme="majorHAnsi" w:cs="Arial"/>
                          <w:color w:val="0D0D0D" w:themeColor="text1" w:themeTint="F2"/>
                          <w:szCs w:val="22"/>
                          <w:lang w:val="es-ES_tradnl"/>
                        </w:rPr>
                        <w:t>, TANIA ELIZABETH PAUKER CUEVA Y SONIA GABRIELA VERA GARCÍA</w:t>
                      </w:r>
                    </w:p>
                    <w:bookmarkEnd w:id="1"/>
                    <w:p w14:paraId="5CF377E5" w14:textId="0B7216BE" w:rsidR="005B52B0" w:rsidRPr="00AE5488" w:rsidRDefault="00F10E2A" w:rsidP="007A5817">
                      <w:pPr>
                        <w:rPr>
                          <w:color w:val="0D0D0D" w:themeColor="text1" w:themeTint="F2"/>
                          <w:lang w:val="es-ES_tradnl"/>
                        </w:rPr>
                      </w:pPr>
                      <w:r>
                        <w:rPr>
                          <w:rFonts w:asciiTheme="majorHAnsi" w:hAnsiTheme="majorHAnsi" w:cs="Arial"/>
                          <w:color w:val="0D0D0D" w:themeColor="text1" w:themeTint="F2"/>
                          <w:szCs w:val="22"/>
                          <w:lang w:val="es-ES_tradnl"/>
                        </w:rPr>
                        <w:t>ECUADOR</w:t>
                      </w:r>
                    </w:p>
                  </w:txbxContent>
                </v:textbox>
              </v:shape>
            </w:pict>
          </mc:Fallback>
        </mc:AlternateContent>
      </w:r>
      <w:r w:rsidR="004E2649" w:rsidRPr="00B77B84">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0AFEA8AA" w:rsidR="00627C9F" w:rsidRPr="00A66188" w:rsidRDefault="00834D49" w:rsidP="007A5817">
                            <w:pPr>
                              <w:spacing w:line="276" w:lineRule="auto"/>
                              <w:jc w:val="right"/>
                              <w:rPr>
                                <w:rFonts w:asciiTheme="minorHAnsi" w:hAnsiTheme="minorHAnsi"/>
                                <w:color w:val="FFFFFF" w:themeColor="background1"/>
                                <w:sz w:val="22"/>
                                <w:lang w:val="es-419"/>
                              </w:rPr>
                            </w:pPr>
                            <w:r w:rsidRPr="00A66188">
                              <w:rPr>
                                <w:rFonts w:asciiTheme="minorHAnsi" w:hAnsiTheme="minorHAnsi"/>
                                <w:color w:val="FFFFFF" w:themeColor="background1"/>
                                <w:sz w:val="22"/>
                                <w:lang w:val="es-419"/>
                              </w:rPr>
                              <w:t>OEA/</w:t>
                            </w:r>
                            <w:proofErr w:type="spellStart"/>
                            <w:r w:rsidRPr="00A66188">
                              <w:rPr>
                                <w:rFonts w:asciiTheme="minorHAnsi" w:hAnsiTheme="minorHAnsi"/>
                                <w:color w:val="FFFFFF" w:themeColor="background1"/>
                                <w:sz w:val="22"/>
                                <w:lang w:val="es-419"/>
                              </w:rPr>
                              <w:t>Ser.L</w:t>
                            </w:r>
                            <w:proofErr w:type="spellEnd"/>
                            <w:r w:rsidRPr="00A66188">
                              <w:rPr>
                                <w:rFonts w:asciiTheme="minorHAnsi" w:hAnsiTheme="minorHAnsi"/>
                                <w:color w:val="FFFFFF" w:themeColor="background1"/>
                                <w:sz w:val="22"/>
                                <w:lang w:val="es-419"/>
                              </w:rPr>
                              <w:t>/V/II</w:t>
                            </w:r>
                          </w:p>
                          <w:p w14:paraId="1567378D" w14:textId="3EA12EB8" w:rsidR="00627C9F" w:rsidRPr="009D4015" w:rsidRDefault="00627C9F" w:rsidP="007A5817">
                            <w:pPr>
                              <w:spacing w:line="276" w:lineRule="auto"/>
                              <w:jc w:val="right"/>
                              <w:rPr>
                                <w:rFonts w:asciiTheme="minorHAnsi" w:hAnsiTheme="minorHAnsi"/>
                                <w:color w:val="FFFFFF" w:themeColor="background1"/>
                                <w:sz w:val="22"/>
                                <w:lang w:val="es-419"/>
                              </w:rPr>
                            </w:pPr>
                            <w:r w:rsidRPr="009D4015">
                              <w:rPr>
                                <w:rFonts w:asciiTheme="minorHAnsi" w:hAnsiTheme="minorHAnsi"/>
                                <w:color w:val="FFFFFF" w:themeColor="background1"/>
                                <w:sz w:val="22"/>
                                <w:lang w:val="es-419"/>
                              </w:rPr>
                              <w:t xml:space="preserve">Doc. </w:t>
                            </w:r>
                            <w:r w:rsidR="009D4015">
                              <w:rPr>
                                <w:rFonts w:asciiTheme="minorHAnsi" w:hAnsiTheme="minorHAnsi"/>
                                <w:color w:val="FFFFFF" w:themeColor="background1"/>
                                <w:sz w:val="22"/>
                                <w:lang w:val="es-419"/>
                              </w:rPr>
                              <w:t>203</w:t>
                            </w:r>
                          </w:p>
                          <w:p w14:paraId="33CAE787" w14:textId="1CC5BCBF" w:rsidR="00627C9F" w:rsidRPr="00C25ADB" w:rsidRDefault="009D401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79CF3"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EF4EE4F" w14:textId="0AFEA8AA" w:rsidR="00627C9F" w:rsidRPr="00A66188" w:rsidRDefault="00834D49" w:rsidP="007A5817">
                      <w:pPr>
                        <w:spacing w:line="276" w:lineRule="auto"/>
                        <w:jc w:val="right"/>
                        <w:rPr>
                          <w:rFonts w:asciiTheme="minorHAnsi" w:hAnsiTheme="minorHAnsi"/>
                          <w:color w:val="FFFFFF" w:themeColor="background1"/>
                          <w:sz w:val="22"/>
                          <w:lang w:val="es-419"/>
                        </w:rPr>
                      </w:pPr>
                      <w:r w:rsidRPr="00A66188">
                        <w:rPr>
                          <w:rFonts w:asciiTheme="minorHAnsi" w:hAnsiTheme="minorHAnsi"/>
                          <w:color w:val="FFFFFF" w:themeColor="background1"/>
                          <w:sz w:val="22"/>
                          <w:lang w:val="es-419"/>
                        </w:rPr>
                        <w:t>OEA/Ser.L/V/II</w:t>
                      </w:r>
                    </w:p>
                    <w:p w14:paraId="1567378D" w14:textId="3EA12EB8" w:rsidR="00627C9F" w:rsidRPr="009D4015" w:rsidRDefault="00627C9F" w:rsidP="007A5817">
                      <w:pPr>
                        <w:spacing w:line="276" w:lineRule="auto"/>
                        <w:jc w:val="right"/>
                        <w:rPr>
                          <w:rFonts w:asciiTheme="minorHAnsi" w:hAnsiTheme="minorHAnsi"/>
                          <w:color w:val="FFFFFF" w:themeColor="background1"/>
                          <w:sz w:val="22"/>
                          <w:lang w:val="es-419"/>
                        </w:rPr>
                      </w:pPr>
                      <w:r w:rsidRPr="009D4015">
                        <w:rPr>
                          <w:rFonts w:asciiTheme="minorHAnsi" w:hAnsiTheme="minorHAnsi"/>
                          <w:color w:val="FFFFFF" w:themeColor="background1"/>
                          <w:sz w:val="22"/>
                          <w:lang w:val="es-419"/>
                        </w:rPr>
                        <w:t xml:space="preserve">Doc. </w:t>
                      </w:r>
                      <w:r w:rsidR="009D4015">
                        <w:rPr>
                          <w:rFonts w:asciiTheme="minorHAnsi" w:hAnsiTheme="minorHAnsi"/>
                          <w:color w:val="FFFFFF" w:themeColor="background1"/>
                          <w:sz w:val="22"/>
                          <w:lang w:val="es-419"/>
                        </w:rPr>
                        <w:t>203</w:t>
                      </w:r>
                    </w:p>
                    <w:p w14:paraId="33CAE787" w14:textId="1CC5BCBF" w:rsidR="00627C9F" w:rsidRPr="00C25ADB" w:rsidRDefault="009D401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B77B84" w:rsidRDefault="00040C3A" w:rsidP="00040C3A">
      <w:pPr>
        <w:tabs>
          <w:tab w:val="center" w:pos="5400"/>
        </w:tabs>
        <w:suppressAutoHyphens/>
        <w:jc w:val="center"/>
        <w:rPr>
          <w:rFonts w:asciiTheme="majorHAnsi" w:hAnsiTheme="majorHAnsi"/>
          <w:sz w:val="20"/>
          <w:szCs w:val="20"/>
          <w:lang w:val="es-ES_tradnl"/>
        </w:rPr>
      </w:pPr>
    </w:p>
    <w:p w14:paraId="6EBE07B1" w14:textId="77777777" w:rsidR="00040C3A" w:rsidRPr="00B77B84" w:rsidRDefault="00040C3A" w:rsidP="00040C3A">
      <w:pPr>
        <w:tabs>
          <w:tab w:val="center" w:pos="5400"/>
        </w:tabs>
        <w:suppressAutoHyphens/>
        <w:jc w:val="center"/>
        <w:rPr>
          <w:rFonts w:asciiTheme="majorHAnsi" w:hAnsiTheme="majorHAnsi"/>
          <w:sz w:val="20"/>
          <w:szCs w:val="20"/>
          <w:lang w:val="es-ES_tradnl"/>
        </w:rPr>
      </w:pPr>
    </w:p>
    <w:p w14:paraId="0B39F509" w14:textId="77777777" w:rsidR="00040C3A" w:rsidRPr="00B77B84" w:rsidRDefault="00040C3A" w:rsidP="00040C3A">
      <w:pPr>
        <w:tabs>
          <w:tab w:val="center" w:pos="5400"/>
        </w:tabs>
        <w:suppressAutoHyphens/>
        <w:jc w:val="center"/>
        <w:rPr>
          <w:rFonts w:asciiTheme="majorHAnsi" w:hAnsiTheme="majorHAnsi" w:cs="Arial"/>
          <w:sz w:val="20"/>
          <w:szCs w:val="20"/>
          <w:lang w:val="es-ES_tradnl"/>
        </w:rPr>
      </w:pPr>
    </w:p>
    <w:p w14:paraId="497A04C1" w14:textId="77777777" w:rsidR="00040C3A" w:rsidRPr="00B77B84" w:rsidRDefault="00040C3A" w:rsidP="00040C3A">
      <w:pPr>
        <w:tabs>
          <w:tab w:val="center" w:pos="5400"/>
        </w:tabs>
        <w:suppressAutoHyphens/>
        <w:jc w:val="center"/>
        <w:rPr>
          <w:rFonts w:asciiTheme="majorHAnsi" w:hAnsiTheme="majorHAnsi"/>
          <w:sz w:val="20"/>
          <w:szCs w:val="20"/>
          <w:lang w:val="es-ES_tradnl"/>
        </w:rPr>
      </w:pPr>
    </w:p>
    <w:p w14:paraId="69153993" w14:textId="77777777" w:rsidR="00040C3A" w:rsidRPr="00B77B84" w:rsidRDefault="00040C3A" w:rsidP="00040C3A">
      <w:pPr>
        <w:tabs>
          <w:tab w:val="center" w:pos="5400"/>
        </w:tabs>
        <w:suppressAutoHyphens/>
        <w:jc w:val="center"/>
        <w:rPr>
          <w:rFonts w:asciiTheme="majorHAnsi" w:hAnsiTheme="majorHAnsi"/>
          <w:sz w:val="20"/>
          <w:szCs w:val="20"/>
          <w:lang w:val="es-ES_tradnl"/>
        </w:rPr>
      </w:pPr>
    </w:p>
    <w:p w14:paraId="6E4EB7F5" w14:textId="77777777" w:rsidR="00040C3A" w:rsidRPr="00B77B84" w:rsidRDefault="00040C3A" w:rsidP="00040C3A">
      <w:pPr>
        <w:tabs>
          <w:tab w:val="center" w:pos="5400"/>
        </w:tabs>
        <w:suppressAutoHyphens/>
        <w:jc w:val="center"/>
        <w:rPr>
          <w:rFonts w:asciiTheme="majorHAnsi" w:hAnsiTheme="majorHAnsi"/>
          <w:sz w:val="20"/>
          <w:szCs w:val="20"/>
          <w:lang w:val="es-ES_tradnl"/>
        </w:rPr>
      </w:pPr>
    </w:p>
    <w:p w14:paraId="5CF41FFF" w14:textId="77777777" w:rsidR="00040C3A" w:rsidRPr="00B77B84" w:rsidRDefault="00040C3A" w:rsidP="00040C3A">
      <w:pPr>
        <w:tabs>
          <w:tab w:val="center" w:pos="5400"/>
        </w:tabs>
        <w:suppressAutoHyphens/>
        <w:jc w:val="center"/>
        <w:rPr>
          <w:rFonts w:asciiTheme="majorHAnsi" w:hAnsiTheme="majorHAnsi"/>
          <w:sz w:val="20"/>
          <w:szCs w:val="20"/>
          <w:lang w:val="es-ES_tradnl"/>
        </w:rPr>
      </w:pPr>
    </w:p>
    <w:p w14:paraId="1C7C6C5B" w14:textId="77777777" w:rsidR="005128E4" w:rsidRPr="00B77B84" w:rsidRDefault="005128E4" w:rsidP="00040C3A">
      <w:pPr>
        <w:tabs>
          <w:tab w:val="center" w:pos="5400"/>
        </w:tabs>
        <w:suppressAutoHyphens/>
        <w:jc w:val="center"/>
        <w:rPr>
          <w:rFonts w:asciiTheme="majorHAnsi" w:hAnsiTheme="majorHAnsi"/>
          <w:sz w:val="20"/>
          <w:szCs w:val="20"/>
          <w:lang w:val="es-ES_tradnl"/>
        </w:rPr>
      </w:pPr>
    </w:p>
    <w:p w14:paraId="6C55960E" w14:textId="77777777" w:rsidR="00040C3A" w:rsidRPr="00B77B84" w:rsidRDefault="00040C3A" w:rsidP="00040C3A">
      <w:pPr>
        <w:tabs>
          <w:tab w:val="center" w:pos="5400"/>
        </w:tabs>
        <w:suppressAutoHyphens/>
        <w:jc w:val="center"/>
        <w:rPr>
          <w:rFonts w:asciiTheme="majorHAnsi" w:hAnsiTheme="majorHAnsi"/>
          <w:sz w:val="20"/>
          <w:szCs w:val="20"/>
          <w:lang w:val="es-ES_tradnl"/>
        </w:rPr>
      </w:pPr>
    </w:p>
    <w:p w14:paraId="2A6A7D5D" w14:textId="77777777" w:rsidR="005128E4" w:rsidRPr="00B77B84" w:rsidRDefault="005128E4" w:rsidP="00040C3A">
      <w:pPr>
        <w:tabs>
          <w:tab w:val="center" w:pos="5400"/>
        </w:tabs>
        <w:suppressAutoHyphens/>
        <w:jc w:val="center"/>
        <w:rPr>
          <w:rFonts w:asciiTheme="majorHAnsi" w:hAnsiTheme="majorHAnsi"/>
          <w:sz w:val="20"/>
          <w:szCs w:val="20"/>
          <w:lang w:val="es-ES_tradnl"/>
        </w:rPr>
      </w:pPr>
    </w:p>
    <w:p w14:paraId="52583060" w14:textId="77777777" w:rsidR="005128E4" w:rsidRPr="00B77B84" w:rsidRDefault="005128E4" w:rsidP="00040C3A">
      <w:pPr>
        <w:tabs>
          <w:tab w:val="center" w:pos="5400"/>
        </w:tabs>
        <w:suppressAutoHyphens/>
        <w:jc w:val="center"/>
        <w:rPr>
          <w:rFonts w:asciiTheme="majorHAnsi" w:hAnsiTheme="majorHAnsi"/>
          <w:sz w:val="20"/>
          <w:szCs w:val="20"/>
          <w:lang w:val="es-ES_tradnl"/>
        </w:rPr>
      </w:pPr>
    </w:p>
    <w:p w14:paraId="1C44B9AE" w14:textId="77777777" w:rsidR="005128E4" w:rsidRPr="00B77B84" w:rsidRDefault="005128E4" w:rsidP="00040C3A">
      <w:pPr>
        <w:tabs>
          <w:tab w:val="center" w:pos="5400"/>
        </w:tabs>
        <w:suppressAutoHyphens/>
        <w:jc w:val="center"/>
        <w:rPr>
          <w:rFonts w:asciiTheme="majorHAnsi" w:hAnsiTheme="majorHAnsi"/>
          <w:sz w:val="20"/>
          <w:szCs w:val="20"/>
          <w:lang w:val="es-ES_tradnl"/>
        </w:rPr>
      </w:pPr>
    </w:p>
    <w:p w14:paraId="139403C8" w14:textId="77777777" w:rsidR="00040C3A" w:rsidRPr="00B77B84" w:rsidRDefault="00040C3A" w:rsidP="00040C3A">
      <w:pPr>
        <w:tabs>
          <w:tab w:val="center" w:pos="5400"/>
        </w:tabs>
        <w:suppressAutoHyphens/>
        <w:jc w:val="center"/>
        <w:rPr>
          <w:rFonts w:asciiTheme="majorHAnsi" w:hAnsiTheme="majorHAnsi"/>
          <w:sz w:val="20"/>
          <w:szCs w:val="20"/>
          <w:lang w:val="es-ES_tradnl"/>
        </w:rPr>
      </w:pPr>
    </w:p>
    <w:p w14:paraId="3061D2A5" w14:textId="77777777" w:rsidR="00040C3A" w:rsidRPr="00B77B84" w:rsidRDefault="00040C3A" w:rsidP="00040C3A">
      <w:pPr>
        <w:tabs>
          <w:tab w:val="center" w:pos="5400"/>
        </w:tabs>
        <w:suppressAutoHyphens/>
        <w:jc w:val="center"/>
        <w:rPr>
          <w:rFonts w:asciiTheme="majorHAnsi" w:hAnsiTheme="majorHAnsi"/>
          <w:sz w:val="20"/>
          <w:szCs w:val="20"/>
          <w:lang w:val="es-ES_tradnl"/>
        </w:rPr>
      </w:pPr>
    </w:p>
    <w:p w14:paraId="33DAC641"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6AF47BEF"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4043753D"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76F570E9"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40F98CFC"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40A28094"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352B9039"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6348A81B"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756605FF"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660100F2"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4F8E20C0"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1A8B419D"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6B60F208"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0132207C"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7B14E705" w14:textId="77777777" w:rsidR="00A50FCF" w:rsidRPr="00B77B84" w:rsidRDefault="0090270B" w:rsidP="00040C3A">
      <w:pPr>
        <w:tabs>
          <w:tab w:val="center" w:pos="5400"/>
        </w:tabs>
        <w:suppressAutoHyphens/>
        <w:jc w:val="center"/>
        <w:rPr>
          <w:rFonts w:asciiTheme="majorHAnsi" w:hAnsiTheme="majorHAnsi"/>
          <w:sz w:val="20"/>
          <w:szCs w:val="20"/>
          <w:lang w:val="es-ES_tradnl"/>
        </w:rPr>
      </w:pPr>
      <w:r w:rsidRPr="00B77B84">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3D6B4D1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D401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9D4015">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612CC">
                              <w:rPr>
                                <w:rFonts w:asciiTheme="majorHAnsi" w:hAnsiTheme="majorHAnsi"/>
                                <w:color w:val="0D0D0D" w:themeColor="text1" w:themeTint="F2"/>
                                <w:sz w:val="18"/>
                                <w:szCs w:val="22"/>
                                <w:lang w:val="es-ES"/>
                              </w:rPr>
                              <w:t>1</w:t>
                            </w:r>
                            <w:r w:rsidR="001130A3">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40E9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6246C2D" w14:textId="3D6B4D1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D401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9D4015">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612CC">
                        <w:rPr>
                          <w:rFonts w:asciiTheme="majorHAnsi" w:hAnsiTheme="majorHAnsi"/>
                          <w:color w:val="0D0D0D" w:themeColor="text1" w:themeTint="F2"/>
                          <w:sz w:val="18"/>
                          <w:szCs w:val="22"/>
                          <w:lang w:val="es-ES"/>
                        </w:rPr>
                        <w:t>1</w:t>
                      </w:r>
                      <w:r w:rsidR="001130A3">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6563D1CF"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4174DE52"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3B81CDC0"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7DBF100B" w14:textId="77777777" w:rsidR="00A50FCF" w:rsidRPr="00B77B84" w:rsidRDefault="0090270B" w:rsidP="00040C3A">
      <w:pPr>
        <w:tabs>
          <w:tab w:val="center" w:pos="5400"/>
        </w:tabs>
        <w:suppressAutoHyphens/>
        <w:jc w:val="center"/>
        <w:rPr>
          <w:rFonts w:asciiTheme="majorHAnsi" w:hAnsiTheme="majorHAnsi"/>
          <w:sz w:val="20"/>
          <w:szCs w:val="20"/>
          <w:lang w:val="es-ES_tradnl"/>
        </w:rPr>
      </w:pPr>
      <w:r w:rsidRPr="00B77B84">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2FFC" w14:textId="21BCD9D4" w:rsidR="00113F73" w:rsidRPr="007B05C4" w:rsidRDefault="00113F73" w:rsidP="00113F73">
                            <w:pPr>
                              <w:spacing w:line="276" w:lineRule="auto"/>
                              <w:rPr>
                                <w:rFonts w:asciiTheme="majorHAnsi" w:hAnsiTheme="majorHAnsi"/>
                                <w:color w:val="595959" w:themeColor="text1" w:themeTint="A6"/>
                                <w:sz w:val="18"/>
                                <w:szCs w:val="18"/>
                                <w:lang w:val="es-ES"/>
                              </w:rPr>
                            </w:pPr>
                            <w:r w:rsidRPr="00605349">
                              <w:rPr>
                                <w:rFonts w:asciiTheme="majorHAnsi" w:hAnsiTheme="majorHAnsi"/>
                                <w:b/>
                                <w:color w:val="595959" w:themeColor="text1" w:themeTint="A6"/>
                                <w:sz w:val="18"/>
                                <w:szCs w:val="18"/>
                                <w:lang w:val="pt-BR"/>
                              </w:rPr>
                              <w:t>Citar como:</w:t>
                            </w:r>
                            <w:r w:rsidRPr="00605349">
                              <w:rPr>
                                <w:rFonts w:asciiTheme="majorHAnsi" w:hAnsiTheme="majorHAnsi"/>
                                <w:color w:val="595959" w:themeColor="text1" w:themeTint="A6"/>
                                <w:sz w:val="18"/>
                                <w:szCs w:val="18"/>
                                <w:lang w:val="pt-BR"/>
                              </w:rPr>
                              <w:t xml:space="preserve"> CIDH, Informe No. </w:t>
                            </w:r>
                            <w:r w:rsidR="009D4015" w:rsidRPr="009D4015">
                              <w:rPr>
                                <w:rFonts w:asciiTheme="majorHAnsi" w:hAnsiTheme="majorHAnsi"/>
                                <w:color w:val="595959" w:themeColor="text1" w:themeTint="A6"/>
                                <w:sz w:val="18"/>
                                <w:szCs w:val="18"/>
                                <w:lang w:val="pt-BR"/>
                              </w:rPr>
                              <w:t>195</w:t>
                            </w:r>
                            <w:r w:rsidR="007B05C4" w:rsidRPr="009D4015">
                              <w:rPr>
                                <w:rFonts w:asciiTheme="majorHAnsi" w:hAnsiTheme="majorHAnsi"/>
                                <w:color w:val="595959" w:themeColor="text1" w:themeTint="A6"/>
                                <w:sz w:val="18"/>
                                <w:szCs w:val="18"/>
                                <w:lang w:val="pt-BR"/>
                              </w:rPr>
                              <w:t>/</w:t>
                            </w:r>
                            <w:r w:rsidR="009D4015" w:rsidRPr="009D4015">
                              <w:rPr>
                                <w:rFonts w:asciiTheme="majorHAnsi" w:hAnsiTheme="majorHAnsi"/>
                                <w:color w:val="595959" w:themeColor="text1" w:themeTint="A6"/>
                                <w:sz w:val="18"/>
                                <w:szCs w:val="18"/>
                                <w:lang w:val="pt-BR"/>
                              </w:rPr>
                              <w:t>21</w:t>
                            </w:r>
                            <w:r w:rsidRPr="009D4015">
                              <w:rPr>
                                <w:rFonts w:asciiTheme="majorHAnsi" w:hAnsiTheme="majorHAnsi"/>
                                <w:color w:val="595959" w:themeColor="text1" w:themeTint="A6"/>
                                <w:sz w:val="18"/>
                                <w:szCs w:val="18"/>
                                <w:lang w:val="pt-BR"/>
                              </w:rPr>
                              <w:t xml:space="preserve">. </w:t>
                            </w:r>
                            <w:proofErr w:type="spellStart"/>
                            <w:r w:rsidR="000433C9" w:rsidRPr="00605349">
                              <w:rPr>
                                <w:rFonts w:asciiTheme="majorHAnsi" w:hAnsiTheme="majorHAnsi"/>
                                <w:color w:val="595959" w:themeColor="text1" w:themeTint="A6"/>
                                <w:sz w:val="18"/>
                                <w:szCs w:val="18"/>
                                <w:lang w:val="es-ES_tradnl"/>
                              </w:rPr>
                              <w:t>Petici</w:t>
                            </w:r>
                            <w:r w:rsidR="000433C9" w:rsidRPr="00605349">
                              <w:rPr>
                                <w:rFonts w:asciiTheme="majorHAnsi" w:hAnsiTheme="majorHAnsi"/>
                                <w:color w:val="595959" w:themeColor="text1" w:themeTint="A6"/>
                                <w:sz w:val="18"/>
                                <w:szCs w:val="18"/>
                                <w:lang w:val="es-ES"/>
                              </w:rPr>
                              <w:t>ón</w:t>
                            </w:r>
                            <w:proofErr w:type="spellEnd"/>
                            <w:r w:rsidR="000433C9" w:rsidRPr="00605349">
                              <w:rPr>
                                <w:rFonts w:asciiTheme="majorHAnsi" w:hAnsiTheme="majorHAnsi"/>
                                <w:color w:val="595959" w:themeColor="text1" w:themeTint="A6"/>
                                <w:sz w:val="18"/>
                                <w:szCs w:val="18"/>
                                <w:lang w:val="es-ES"/>
                              </w:rPr>
                              <w:t xml:space="preserve"> </w:t>
                            </w:r>
                            <w:r w:rsidR="00D072C4" w:rsidRPr="00605349">
                              <w:rPr>
                                <w:rFonts w:asciiTheme="majorHAnsi" w:hAnsiTheme="majorHAnsi"/>
                                <w:color w:val="595959" w:themeColor="text1" w:themeTint="A6"/>
                                <w:sz w:val="18"/>
                                <w:szCs w:val="18"/>
                                <w:lang w:val="es-ES"/>
                              </w:rPr>
                              <w:t>2377</w:t>
                            </w:r>
                            <w:r w:rsidR="000433C9" w:rsidRPr="00605349">
                              <w:rPr>
                                <w:rFonts w:asciiTheme="majorHAnsi" w:hAnsiTheme="majorHAnsi"/>
                                <w:color w:val="595959" w:themeColor="text1" w:themeTint="A6"/>
                                <w:sz w:val="18"/>
                                <w:szCs w:val="18"/>
                                <w:lang w:val="es-ES"/>
                              </w:rPr>
                              <w:t>-</w:t>
                            </w:r>
                            <w:r w:rsidR="00D072C4" w:rsidRPr="00605349">
                              <w:rPr>
                                <w:rFonts w:asciiTheme="majorHAnsi" w:hAnsiTheme="majorHAnsi"/>
                                <w:color w:val="595959" w:themeColor="text1" w:themeTint="A6"/>
                                <w:sz w:val="18"/>
                                <w:szCs w:val="18"/>
                                <w:lang w:val="es-ES"/>
                              </w:rPr>
                              <w:t>17</w:t>
                            </w:r>
                            <w:r w:rsidR="000433C9" w:rsidRPr="00605349">
                              <w:rPr>
                                <w:rFonts w:asciiTheme="majorHAnsi" w:hAnsiTheme="majorHAnsi"/>
                                <w:color w:val="595959" w:themeColor="text1" w:themeTint="A6"/>
                                <w:sz w:val="18"/>
                                <w:szCs w:val="18"/>
                                <w:lang w:val="es-ES"/>
                              </w:rPr>
                              <w:t xml:space="preserve">. </w:t>
                            </w:r>
                            <w:r w:rsidRPr="00605349">
                              <w:rPr>
                                <w:rFonts w:asciiTheme="majorHAnsi" w:hAnsiTheme="majorHAnsi"/>
                                <w:color w:val="595959" w:themeColor="text1" w:themeTint="A6"/>
                                <w:sz w:val="18"/>
                                <w:szCs w:val="18"/>
                                <w:lang w:val="es-ES_tradnl"/>
                              </w:rPr>
                              <w:t xml:space="preserve">Admisibilidad. </w:t>
                            </w:r>
                            <w:r w:rsidR="00D072C4" w:rsidRPr="00605349">
                              <w:rPr>
                                <w:rFonts w:asciiTheme="majorHAnsi" w:hAnsiTheme="majorHAnsi"/>
                                <w:color w:val="595959" w:themeColor="text1" w:themeTint="A6"/>
                                <w:sz w:val="18"/>
                                <w:szCs w:val="18"/>
                                <w:lang w:val="es-ES_tradnl"/>
                              </w:rPr>
                              <w:t xml:space="preserve">Edwin Leonardo Jarrín </w:t>
                            </w:r>
                            <w:proofErr w:type="spellStart"/>
                            <w:r w:rsidR="00D072C4" w:rsidRPr="00605349">
                              <w:rPr>
                                <w:rFonts w:asciiTheme="majorHAnsi" w:hAnsiTheme="majorHAnsi"/>
                                <w:color w:val="595959" w:themeColor="text1" w:themeTint="A6"/>
                                <w:sz w:val="18"/>
                                <w:szCs w:val="18"/>
                                <w:lang w:val="es-ES_tradnl"/>
                              </w:rPr>
                              <w:t>Jarrín</w:t>
                            </w:r>
                            <w:proofErr w:type="spellEnd"/>
                            <w:r w:rsidR="00D072C4" w:rsidRPr="00605349">
                              <w:rPr>
                                <w:rFonts w:asciiTheme="majorHAnsi" w:hAnsiTheme="majorHAnsi"/>
                                <w:color w:val="595959" w:themeColor="text1" w:themeTint="A6"/>
                                <w:sz w:val="18"/>
                                <w:szCs w:val="18"/>
                                <w:lang w:val="es-ES_tradnl"/>
                              </w:rPr>
                              <w:t xml:space="preserve">, Tania Elizabeth </w:t>
                            </w:r>
                            <w:proofErr w:type="spellStart"/>
                            <w:r w:rsidR="00D072C4" w:rsidRPr="00605349">
                              <w:rPr>
                                <w:rFonts w:asciiTheme="majorHAnsi" w:hAnsiTheme="majorHAnsi"/>
                                <w:color w:val="595959" w:themeColor="text1" w:themeTint="A6"/>
                                <w:sz w:val="18"/>
                                <w:szCs w:val="18"/>
                                <w:lang w:val="es-ES_tradnl"/>
                              </w:rPr>
                              <w:t>Pauker</w:t>
                            </w:r>
                            <w:proofErr w:type="spellEnd"/>
                            <w:r w:rsidR="00D072C4" w:rsidRPr="00605349">
                              <w:rPr>
                                <w:rFonts w:asciiTheme="majorHAnsi" w:hAnsiTheme="majorHAnsi"/>
                                <w:color w:val="595959" w:themeColor="text1" w:themeTint="A6"/>
                                <w:sz w:val="18"/>
                                <w:szCs w:val="18"/>
                                <w:lang w:val="es-ES_tradnl"/>
                              </w:rPr>
                              <w:t xml:space="preserve"> Cueva y Sonia Gabriela Vera García</w:t>
                            </w:r>
                            <w:r w:rsidRPr="00605349">
                              <w:rPr>
                                <w:rFonts w:asciiTheme="majorHAnsi" w:hAnsiTheme="majorHAnsi"/>
                                <w:color w:val="595959" w:themeColor="text1" w:themeTint="A6"/>
                                <w:sz w:val="18"/>
                                <w:szCs w:val="18"/>
                                <w:lang w:val="es-ES_tradnl"/>
                              </w:rPr>
                              <w:t xml:space="preserve">. </w:t>
                            </w:r>
                            <w:r w:rsidR="00D072C4" w:rsidRPr="00605349">
                              <w:rPr>
                                <w:rFonts w:asciiTheme="majorHAnsi" w:hAnsiTheme="majorHAnsi"/>
                                <w:color w:val="595959" w:themeColor="text1" w:themeTint="A6"/>
                                <w:sz w:val="18"/>
                                <w:szCs w:val="18"/>
                                <w:lang w:val="es-ES_tradnl"/>
                              </w:rPr>
                              <w:t>Ecuador</w:t>
                            </w:r>
                            <w:r w:rsidRPr="00605349">
                              <w:rPr>
                                <w:rFonts w:asciiTheme="majorHAnsi" w:hAnsiTheme="majorHAnsi"/>
                                <w:color w:val="595959" w:themeColor="text1" w:themeTint="A6"/>
                                <w:sz w:val="18"/>
                                <w:szCs w:val="18"/>
                                <w:lang w:val="es-ES_tradnl"/>
                              </w:rPr>
                              <w:t xml:space="preserve">. </w:t>
                            </w:r>
                            <w:r w:rsidR="009D4015">
                              <w:rPr>
                                <w:rFonts w:asciiTheme="majorHAnsi" w:hAnsiTheme="majorHAnsi"/>
                                <w:color w:val="595959" w:themeColor="text1" w:themeTint="A6"/>
                                <w:sz w:val="18"/>
                                <w:szCs w:val="18"/>
                                <w:lang w:val="es-ES"/>
                              </w:rPr>
                              <w:t>7 de septiembre de 2021</w:t>
                            </w:r>
                            <w:r w:rsidRPr="00605349">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8C32FFC" w14:textId="21BCD9D4" w:rsidR="00113F73" w:rsidRPr="007B05C4" w:rsidRDefault="00113F73" w:rsidP="00113F73">
                      <w:pPr>
                        <w:spacing w:line="276" w:lineRule="auto"/>
                        <w:rPr>
                          <w:rFonts w:asciiTheme="majorHAnsi" w:hAnsiTheme="majorHAnsi"/>
                          <w:color w:val="595959" w:themeColor="text1" w:themeTint="A6"/>
                          <w:sz w:val="18"/>
                          <w:szCs w:val="18"/>
                          <w:lang w:val="es-ES"/>
                        </w:rPr>
                      </w:pPr>
                      <w:r w:rsidRPr="00605349">
                        <w:rPr>
                          <w:rFonts w:asciiTheme="majorHAnsi" w:hAnsiTheme="majorHAnsi"/>
                          <w:b/>
                          <w:color w:val="595959" w:themeColor="text1" w:themeTint="A6"/>
                          <w:sz w:val="18"/>
                          <w:szCs w:val="18"/>
                          <w:lang w:val="pt-BR"/>
                        </w:rPr>
                        <w:t>Citar como:</w:t>
                      </w:r>
                      <w:r w:rsidRPr="00605349">
                        <w:rPr>
                          <w:rFonts w:asciiTheme="majorHAnsi" w:hAnsiTheme="majorHAnsi"/>
                          <w:color w:val="595959" w:themeColor="text1" w:themeTint="A6"/>
                          <w:sz w:val="18"/>
                          <w:szCs w:val="18"/>
                          <w:lang w:val="pt-BR"/>
                        </w:rPr>
                        <w:t xml:space="preserve"> CIDH, Informe No. </w:t>
                      </w:r>
                      <w:r w:rsidR="009D4015" w:rsidRPr="009D4015">
                        <w:rPr>
                          <w:rFonts w:asciiTheme="majorHAnsi" w:hAnsiTheme="majorHAnsi"/>
                          <w:color w:val="595959" w:themeColor="text1" w:themeTint="A6"/>
                          <w:sz w:val="18"/>
                          <w:szCs w:val="18"/>
                          <w:lang w:val="pt-BR"/>
                        </w:rPr>
                        <w:t>195</w:t>
                      </w:r>
                      <w:r w:rsidR="007B05C4" w:rsidRPr="009D4015">
                        <w:rPr>
                          <w:rFonts w:asciiTheme="majorHAnsi" w:hAnsiTheme="majorHAnsi"/>
                          <w:color w:val="595959" w:themeColor="text1" w:themeTint="A6"/>
                          <w:sz w:val="18"/>
                          <w:szCs w:val="18"/>
                          <w:lang w:val="pt-BR"/>
                        </w:rPr>
                        <w:t>/</w:t>
                      </w:r>
                      <w:r w:rsidR="009D4015" w:rsidRPr="009D4015">
                        <w:rPr>
                          <w:rFonts w:asciiTheme="majorHAnsi" w:hAnsiTheme="majorHAnsi"/>
                          <w:color w:val="595959" w:themeColor="text1" w:themeTint="A6"/>
                          <w:sz w:val="18"/>
                          <w:szCs w:val="18"/>
                          <w:lang w:val="pt-BR"/>
                        </w:rPr>
                        <w:t>21</w:t>
                      </w:r>
                      <w:r w:rsidRPr="009D4015">
                        <w:rPr>
                          <w:rFonts w:asciiTheme="majorHAnsi" w:hAnsiTheme="majorHAnsi"/>
                          <w:color w:val="595959" w:themeColor="text1" w:themeTint="A6"/>
                          <w:sz w:val="18"/>
                          <w:szCs w:val="18"/>
                          <w:lang w:val="pt-BR"/>
                        </w:rPr>
                        <w:t xml:space="preserve">. </w:t>
                      </w:r>
                      <w:r w:rsidR="000433C9" w:rsidRPr="00605349">
                        <w:rPr>
                          <w:rFonts w:asciiTheme="majorHAnsi" w:hAnsiTheme="majorHAnsi"/>
                          <w:color w:val="595959" w:themeColor="text1" w:themeTint="A6"/>
                          <w:sz w:val="18"/>
                          <w:szCs w:val="18"/>
                          <w:lang w:val="es-ES_tradnl"/>
                        </w:rPr>
                        <w:t>Petici</w:t>
                      </w:r>
                      <w:r w:rsidR="000433C9" w:rsidRPr="00605349">
                        <w:rPr>
                          <w:rFonts w:asciiTheme="majorHAnsi" w:hAnsiTheme="majorHAnsi"/>
                          <w:color w:val="595959" w:themeColor="text1" w:themeTint="A6"/>
                          <w:sz w:val="18"/>
                          <w:szCs w:val="18"/>
                          <w:lang w:val="es-ES"/>
                        </w:rPr>
                        <w:t xml:space="preserve">ón </w:t>
                      </w:r>
                      <w:r w:rsidR="00D072C4" w:rsidRPr="00605349">
                        <w:rPr>
                          <w:rFonts w:asciiTheme="majorHAnsi" w:hAnsiTheme="majorHAnsi"/>
                          <w:color w:val="595959" w:themeColor="text1" w:themeTint="A6"/>
                          <w:sz w:val="18"/>
                          <w:szCs w:val="18"/>
                          <w:lang w:val="es-ES"/>
                        </w:rPr>
                        <w:t>2377</w:t>
                      </w:r>
                      <w:r w:rsidR="000433C9" w:rsidRPr="00605349">
                        <w:rPr>
                          <w:rFonts w:asciiTheme="majorHAnsi" w:hAnsiTheme="majorHAnsi"/>
                          <w:color w:val="595959" w:themeColor="text1" w:themeTint="A6"/>
                          <w:sz w:val="18"/>
                          <w:szCs w:val="18"/>
                          <w:lang w:val="es-ES"/>
                        </w:rPr>
                        <w:t>-</w:t>
                      </w:r>
                      <w:r w:rsidR="00D072C4" w:rsidRPr="00605349">
                        <w:rPr>
                          <w:rFonts w:asciiTheme="majorHAnsi" w:hAnsiTheme="majorHAnsi"/>
                          <w:color w:val="595959" w:themeColor="text1" w:themeTint="A6"/>
                          <w:sz w:val="18"/>
                          <w:szCs w:val="18"/>
                          <w:lang w:val="es-ES"/>
                        </w:rPr>
                        <w:t>17</w:t>
                      </w:r>
                      <w:r w:rsidR="000433C9" w:rsidRPr="00605349">
                        <w:rPr>
                          <w:rFonts w:asciiTheme="majorHAnsi" w:hAnsiTheme="majorHAnsi"/>
                          <w:color w:val="595959" w:themeColor="text1" w:themeTint="A6"/>
                          <w:sz w:val="18"/>
                          <w:szCs w:val="18"/>
                          <w:lang w:val="es-ES"/>
                        </w:rPr>
                        <w:t xml:space="preserve">. </w:t>
                      </w:r>
                      <w:r w:rsidRPr="00605349">
                        <w:rPr>
                          <w:rFonts w:asciiTheme="majorHAnsi" w:hAnsiTheme="majorHAnsi"/>
                          <w:color w:val="595959" w:themeColor="text1" w:themeTint="A6"/>
                          <w:sz w:val="18"/>
                          <w:szCs w:val="18"/>
                          <w:lang w:val="es-ES_tradnl"/>
                        </w:rPr>
                        <w:t xml:space="preserve">Admisibilidad. </w:t>
                      </w:r>
                      <w:r w:rsidR="00D072C4" w:rsidRPr="00605349">
                        <w:rPr>
                          <w:rFonts w:asciiTheme="majorHAnsi" w:hAnsiTheme="majorHAnsi"/>
                          <w:color w:val="595959" w:themeColor="text1" w:themeTint="A6"/>
                          <w:sz w:val="18"/>
                          <w:szCs w:val="18"/>
                          <w:lang w:val="es-ES_tradnl"/>
                        </w:rPr>
                        <w:t>Edwin Leonardo Jarrín Jarrín, Tania Elizabeth Pauker Cueva y Sonia Gabriela Vera García</w:t>
                      </w:r>
                      <w:r w:rsidRPr="00605349">
                        <w:rPr>
                          <w:rFonts w:asciiTheme="majorHAnsi" w:hAnsiTheme="majorHAnsi"/>
                          <w:color w:val="595959" w:themeColor="text1" w:themeTint="A6"/>
                          <w:sz w:val="18"/>
                          <w:szCs w:val="18"/>
                          <w:lang w:val="es-ES_tradnl"/>
                        </w:rPr>
                        <w:t xml:space="preserve">. </w:t>
                      </w:r>
                      <w:r w:rsidR="00D072C4" w:rsidRPr="00605349">
                        <w:rPr>
                          <w:rFonts w:asciiTheme="majorHAnsi" w:hAnsiTheme="majorHAnsi"/>
                          <w:color w:val="595959" w:themeColor="text1" w:themeTint="A6"/>
                          <w:sz w:val="18"/>
                          <w:szCs w:val="18"/>
                          <w:lang w:val="es-ES_tradnl"/>
                        </w:rPr>
                        <w:t>Ecuador</w:t>
                      </w:r>
                      <w:r w:rsidRPr="00605349">
                        <w:rPr>
                          <w:rFonts w:asciiTheme="majorHAnsi" w:hAnsiTheme="majorHAnsi"/>
                          <w:color w:val="595959" w:themeColor="text1" w:themeTint="A6"/>
                          <w:sz w:val="18"/>
                          <w:szCs w:val="18"/>
                          <w:lang w:val="es-ES_tradnl"/>
                        </w:rPr>
                        <w:t xml:space="preserve">. </w:t>
                      </w:r>
                      <w:r w:rsidR="009D4015">
                        <w:rPr>
                          <w:rFonts w:asciiTheme="majorHAnsi" w:hAnsiTheme="majorHAnsi"/>
                          <w:color w:val="595959" w:themeColor="text1" w:themeTint="A6"/>
                          <w:sz w:val="18"/>
                          <w:szCs w:val="18"/>
                          <w:lang w:val="es-ES"/>
                        </w:rPr>
                        <w:t>7 de septiembre de 2021</w:t>
                      </w:r>
                      <w:r w:rsidRPr="00605349">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B77B84" w:rsidRDefault="00A50FCF" w:rsidP="00040C3A">
      <w:pPr>
        <w:tabs>
          <w:tab w:val="center" w:pos="5400"/>
        </w:tabs>
        <w:suppressAutoHyphens/>
        <w:jc w:val="center"/>
        <w:rPr>
          <w:rFonts w:asciiTheme="majorHAnsi" w:hAnsiTheme="majorHAnsi"/>
          <w:sz w:val="20"/>
          <w:szCs w:val="20"/>
          <w:lang w:val="es-ES_tradnl"/>
        </w:rPr>
      </w:pPr>
    </w:p>
    <w:p w14:paraId="56542EE5" w14:textId="35DCFE7B" w:rsidR="0090270B" w:rsidRPr="00B77B84" w:rsidRDefault="00D306D1" w:rsidP="005516A1">
      <w:pPr>
        <w:tabs>
          <w:tab w:val="center" w:pos="5400"/>
        </w:tabs>
        <w:suppressAutoHyphens/>
        <w:jc w:val="center"/>
        <w:rPr>
          <w:rFonts w:asciiTheme="majorHAnsi" w:hAnsiTheme="majorHAnsi"/>
          <w:b/>
          <w:sz w:val="20"/>
          <w:szCs w:val="20"/>
          <w:lang w:val="es-ES_tradnl"/>
        </w:rPr>
      </w:pPr>
      <w:r w:rsidRPr="00B77B84">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A432075" wp14:editId="0D15296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7A1B86F4" w:rsidR="0070697F" w:rsidRPr="00B77B84" w:rsidRDefault="009D4015" w:rsidP="005516A1">
      <w:pPr>
        <w:tabs>
          <w:tab w:val="center" w:pos="5400"/>
        </w:tabs>
        <w:suppressAutoHyphens/>
        <w:jc w:val="center"/>
        <w:rPr>
          <w:rFonts w:asciiTheme="majorHAnsi" w:hAnsiTheme="majorHAnsi"/>
          <w:b/>
          <w:sz w:val="20"/>
          <w:szCs w:val="20"/>
          <w:lang w:val="es-ES_tradnl"/>
        </w:rPr>
        <w:sectPr w:rsidR="0070697F" w:rsidRPr="00B77B8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B77B84">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3C956DF" wp14:editId="1F904CEE">
                <wp:simplePos x="0" y="0"/>
                <wp:positionH relativeFrom="column">
                  <wp:posOffset>1329690</wp:posOffset>
                </wp:positionH>
                <wp:positionV relativeFrom="paragraph">
                  <wp:posOffset>584654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41767EA4" w:rsidR="00D72DC6" w:rsidRPr="00D72DC6" w:rsidRDefault="009D4015" w:rsidP="00F02AD1">
                            <w:pPr>
                              <w:rPr>
                                <w:color w:val="FFFFFF" w:themeColor="background1"/>
                                <w14:textFill>
                                  <w14:noFill/>
                                </w14:textFill>
                              </w:rPr>
                            </w:pPr>
                            <w:r>
                              <w:rPr>
                                <w:noProof/>
                                <w:color w:val="FFFFFF" w:themeColor="background1"/>
                              </w:rPr>
                              <w:drawing>
                                <wp:inline distT="0" distB="0" distL="0" distR="0" wp14:anchorId="79E541CD" wp14:editId="6B1A48B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2" type="#_x0000_t202" style="position:absolute;left:0;text-align:left;margin-left:104.7pt;margin-top:46.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" fillcolor="white [3201]" stroked="f" strokeweight=".5pt">
                <v:textbox>
                  <w:txbxContent>
                    <w:p w14:paraId="4DB6A101" w14:textId="41767EA4" w:rsidR="00D72DC6" w:rsidRPr="00D72DC6" w:rsidRDefault="009D4015" w:rsidP="00F02AD1">
                      <w:pPr>
                        <w:rPr>
                          <w:color w:val="FFFFFF" w:themeColor="background1"/>
                          <w14:textFill>
                            <w14:noFill/>
                          </w14:textFill>
                        </w:rPr>
                      </w:pPr>
                      <w:r>
                        <w:rPr>
                          <w:noProof/>
                          <w:color w:val="FFFFFF" w:themeColor="background1"/>
                        </w:rPr>
                        <w:drawing>
                          <wp:inline distT="0" distB="0" distL="0" distR="0" wp14:anchorId="79E541CD" wp14:editId="6B1A48B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B77B84">
        <w:rPr>
          <w:rFonts w:asciiTheme="majorHAnsi" w:hAnsiTheme="majorHAnsi"/>
          <w:b/>
          <w:sz w:val="20"/>
          <w:szCs w:val="20"/>
          <w:lang w:val="es-ES_tradnl"/>
        </w:rPr>
        <w:tab/>
      </w:r>
    </w:p>
    <w:p w14:paraId="3EFC3AE9" w14:textId="77777777" w:rsidR="003239B8" w:rsidRPr="00B77B84" w:rsidRDefault="003239B8" w:rsidP="004A6A54">
      <w:pPr>
        <w:spacing w:after="240"/>
        <w:ind w:firstLine="720"/>
        <w:jc w:val="both"/>
        <w:rPr>
          <w:rFonts w:asciiTheme="majorHAnsi" w:hAnsiTheme="majorHAnsi"/>
          <w:b/>
          <w:bCs/>
          <w:sz w:val="20"/>
          <w:szCs w:val="20"/>
          <w:lang w:val="es-ES"/>
        </w:rPr>
      </w:pPr>
      <w:r w:rsidRPr="00B77B84">
        <w:rPr>
          <w:rFonts w:asciiTheme="majorHAnsi" w:hAnsiTheme="majorHAnsi"/>
          <w:b/>
          <w:bCs/>
          <w:sz w:val="20"/>
          <w:szCs w:val="20"/>
          <w:lang w:val="es-ES"/>
        </w:rPr>
        <w:lastRenderedPageBreak/>
        <w:t>I.</w:t>
      </w:r>
      <w:r w:rsidRPr="00B77B8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67"/>
        <w:gridCol w:w="5693"/>
      </w:tblGrid>
      <w:tr w:rsidR="003239B8" w:rsidRPr="00D44ED8" w14:paraId="1EFF3374" w14:textId="77777777" w:rsidTr="007D2468">
        <w:tc>
          <w:tcPr>
            <w:tcW w:w="3667" w:type="dxa"/>
            <w:tcBorders>
              <w:top w:val="single" w:sz="4" w:space="0" w:color="auto"/>
              <w:bottom w:val="single" w:sz="6" w:space="0" w:color="auto"/>
            </w:tcBorders>
            <w:shd w:val="clear" w:color="auto" w:fill="386294"/>
            <w:vAlign w:val="center"/>
          </w:tcPr>
          <w:p w14:paraId="6D6CD189" w14:textId="77777777" w:rsidR="003239B8" w:rsidRPr="00B77B84" w:rsidRDefault="003239B8" w:rsidP="007B3367">
            <w:pPr>
              <w:jc w:val="center"/>
              <w:rPr>
                <w:rFonts w:asciiTheme="majorHAnsi" w:hAnsiTheme="majorHAnsi"/>
                <w:b/>
                <w:bCs/>
                <w:color w:val="FFFFFF" w:themeColor="background1"/>
                <w:sz w:val="20"/>
                <w:szCs w:val="20"/>
              </w:rPr>
            </w:pPr>
            <w:r w:rsidRPr="00B77B84">
              <w:rPr>
                <w:rFonts w:asciiTheme="majorHAnsi" w:hAnsiTheme="majorHAnsi"/>
                <w:b/>
                <w:bCs/>
                <w:color w:val="FFFFFF" w:themeColor="background1"/>
                <w:sz w:val="20"/>
                <w:szCs w:val="20"/>
              </w:rPr>
              <w:t>Parte peticionaria:</w:t>
            </w:r>
          </w:p>
        </w:tc>
        <w:tc>
          <w:tcPr>
            <w:tcW w:w="5693" w:type="dxa"/>
            <w:vAlign w:val="center"/>
          </w:tcPr>
          <w:p w14:paraId="02AF6D42" w14:textId="6F50635C" w:rsidR="003239B8" w:rsidRPr="00A01327" w:rsidRDefault="000464B5" w:rsidP="007B3367">
            <w:pPr>
              <w:jc w:val="both"/>
              <w:rPr>
                <w:rFonts w:asciiTheme="majorHAnsi" w:hAnsiTheme="majorHAnsi"/>
                <w:bCs/>
                <w:sz w:val="20"/>
                <w:szCs w:val="20"/>
                <w:lang w:val="es-ES"/>
              </w:rPr>
            </w:pPr>
            <w:r w:rsidRPr="00A01327">
              <w:rPr>
                <w:rFonts w:asciiTheme="majorHAnsi" w:hAnsiTheme="majorHAnsi"/>
                <w:color w:val="000000" w:themeColor="text1"/>
                <w:sz w:val="20"/>
                <w:szCs w:val="20"/>
                <w:lang w:val="es-ES"/>
              </w:rPr>
              <w:t>Edwin Leonardo Jarrín Jarrín, Tania Elizabeth Pauker Cueva y Sonia Gabriela Vera García</w:t>
            </w:r>
            <w:r w:rsidR="00732CDC" w:rsidRPr="00A01327">
              <w:rPr>
                <w:rFonts w:asciiTheme="majorHAnsi" w:hAnsiTheme="majorHAnsi"/>
                <w:color w:val="000000" w:themeColor="text1"/>
                <w:sz w:val="20"/>
                <w:szCs w:val="20"/>
                <w:lang w:val="es-ES"/>
              </w:rPr>
              <w:t xml:space="preserve"> </w:t>
            </w:r>
          </w:p>
        </w:tc>
      </w:tr>
      <w:tr w:rsidR="003239B8" w:rsidRPr="00D44ED8" w14:paraId="35FECE46" w14:textId="77777777" w:rsidTr="007D2468">
        <w:tc>
          <w:tcPr>
            <w:tcW w:w="3667" w:type="dxa"/>
            <w:tcBorders>
              <w:top w:val="single" w:sz="6" w:space="0" w:color="auto"/>
              <w:bottom w:val="single" w:sz="6" w:space="0" w:color="auto"/>
            </w:tcBorders>
            <w:shd w:val="clear" w:color="auto" w:fill="386294"/>
            <w:vAlign w:val="center"/>
          </w:tcPr>
          <w:p w14:paraId="3F659EA4" w14:textId="77777777" w:rsidR="003239B8" w:rsidRPr="00B77B84" w:rsidRDefault="0052175F" w:rsidP="007B3367">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24420">
                  <w:rPr>
                    <w:rFonts w:asciiTheme="majorHAnsi" w:hAnsiTheme="majorHAnsi"/>
                    <w:b/>
                    <w:bCs/>
                    <w:color w:val="FFFFFF" w:themeColor="background1"/>
                    <w:sz w:val="20"/>
                    <w:szCs w:val="20"/>
                  </w:rPr>
                  <w:t>Presunta víctima</w:t>
                </w:r>
              </w:sdtContent>
            </w:sdt>
            <w:r w:rsidR="003239B8" w:rsidRPr="00B77B84">
              <w:rPr>
                <w:rFonts w:asciiTheme="majorHAnsi" w:hAnsiTheme="majorHAnsi"/>
                <w:b/>
                <w:bCs/>
                <w:color w:val="FFFFFF" w:themeColor="background1"/>
                <w:sz w:val="20"/>
                <w:szCs w:val="20"/>
              </w:rPr>
              <w:t>:</w:t>
            </w:r>
          </w:p>
        </w:tc>
        <w:tc>
          <w:tcPr>
            <w:tcW w:w="5693" w:type="dxa"/>
            <w:vAlign w:val="center"/>
          </w:tcPr>
          <w:p w14:paraId="3883DE95" w14:textId="394D5E83" w:rsidR="003239B8" w:rsidRPr="00B77B84" w:rsidRDefault="000464B5" w:rsidP="007B3367">
            <w:pPr>
              <w:jc w:val="both"/>
              <w:rPr>
                <w:rFonts w:asciiTheme="majorHAnsi" w:hAnsiTheme="majorHAnsi"/>
                <w:bCs/>
                <w:color w:val="000000" w:themeColor="text1"/>
                <w:sz w:val="20"/>
                <w:szCs w:val="20"/>
                <w:lang w:val="es-ES"/>
              </w:rPr>
            </w:pPr>
            <w:r w:rsidRPr="00B77B84">
              <w:rPr>
                <w:rFonts w:asciiTheme="majorHAnsi" w:hAnsiTheme="majorHAnsi"/>
                <w:color w:val="000000" w:themeColor="text1"/>
                <w:sz w:val="20"/>
                <w:szCs w:val="20"/>
                <w:lang w:val="es-ES_tradnl"/>
              </w:rPr>
              <w:t>Edwin Leonardo Jarrín Jarrín, Tania Elizabeth Pauker Cueva y Sonia Gabriela Vera García</w:t>
            </w:r>
            <w:r w:rsidR="00F0654E" w:rsidRPr="00B77B84">
              <w:rPr>
                <w:rFonts w:asciiTheme="majorHAnsi" w:hAnsiTheme="majorHAnsi"/>
                <w:color w:val="000000" w:themeColor="text1"/>
                <w:sz w:val="20"/>
                <w:szCs w:val="20"/>
                <w:lang w:val="es-ES_tradnl"/>
              </w:rPr>
              <w:t xml:space="preserve"> </w:t>
            </w:r>
          </w:p>
        </w:tc>
      </w:tr>
      <w:tr w:rsidR="003239B8" w:rsidRPr="00B77B84" w14:paraId="54815008" w14:textId="77777777" w:rsidTr="007D2468">
        <w:tc>
          <w:tcPr>
            <w:tcW w:w="3667" w:type="dxa"/>
            <w:tcBorders>
              <w:top w:val="single" w:sz="6" w:space="0" w:color="auto"/>
              <w:bottom w:val="single" w:sz="6" w:space="0" w:color="auto"/>
            </w:tcBorders>
            <w:shd w:val="clear" w:color="auto" w:fill="386294"/>
            <w:vAlign w:val="center"/>
          </w:tcPr>
          <w:p w14:paraId="0B3C2C99" w14:textId="77777777" w:rsidR="003239B8" w:rsidRPr="00B77B84" w:rsidRDefault="003239B8" w:rsidP="007B3367">
            <w:pPr>
              <w:jc w:val="center"/>
              <w:rPr>
                <w:rFonts w:asciiTheme="majorHAnsi" w:hAnsiTheme="majorHAnsi"/>
                <w:b/>
                <w:bCs/>
                <w:color w:val="FFFFFF" w:themeColor="background1"/>
                <w:sz w:val="20"/>
                <w:szCs w:val="20"/>
              </w:rPr>
            </w:pPr>
            <w:r w:rsidRPr="00B77B84">
              <w:rPr>
                <w:rFonts w:asciiTheme="majorHAnsi" w:hAnsiTheme="majorHAnsi"/>
                <w:b/>
                <w:bCs/>
                <w:color w:val="FFFFFF" w:themeColor="background1"/>
                <w:sz w:val="20"/>
                <w:szCs w:val="20"/>
              </w:rPr>
              <w:t xml:space="preserve">Estado </w:t>
            </w:r>
            <w:proofErr w:type="spellStart"/>
            <w:r w:rsidRPr="00B77B84">
              <w:rPr>
                <w:rFonts w:asciiTheme="majorHAnsi" w:hAnsiTheme="majorHAnsi"/>
                <w:b/>
                <w:bCs/>
                <w:color w:val="FFFFFF" w:themeColor="background1"/>
                <w:sz w:val="20"/>
                <w:szCs w:val="20"/>
              </w:rPr>
              <w:t>denunciado</w:t>
            </w:r>
            <w:proofErr w:type="spellEnd"/>
            <w:r w:rsidRPr="00B77B84">
              <w:rPr>
                <w:rFonts w:asciiTheme="majorHAnsi" w:hAnsiTheme="majorHAnsi"/>
                <w:b/>
                <w:bCs/>
                <w:color w:val="FFFFFF" w:themeColor="background1"/>
                <w:sz w:val="20"/>
                <w:szCs w:val="20"/>
              </w:rPr>
              <w:t>:</w:t>
            </w:r>
          </w:p>
        </w:tc>
        <w:tc>
          <w:tcPr>
            <w:tcW w:w="5693" w:type="dxa"/>
            <w:vAlign w:val="center"/>
          </w:tcPr>
          <w:p w14:paraId="1E87A2E8" w14:textId="25782EE7" w:rsidR="003239B8" w:rsidRPr="00B77B84" w:rsidRDefault="00EB2D6B" w:rsidP="007B3367">
            <w:pPr>
              <w:jc w:val="both"/>
              <w:rPr>
                <w:rFonts w:asciiTheme="majorHAnsi" w:hAnsiTheme="majorHAnsi"/>
                <w:bCs/>
                <w:sz w:val="20"/>
                <w:szCs w:val="20"/>
              </w:rPr>
            </w:pPr>
            <w:r w:rsidRPr="00B77B84">
              <w:rPr>
                <w:rFonts w:asciiTheme="majorHAnsi" w:hAnsiTheme="majorHAnsi"/>
                <w:bCs/>
                <w:sz w:val="20"/>
                <w:szCs w:val="20"/>
              </w:rPr>
              <w:t>Ecuador</w:t>
            </w:r>
          </w:p>
        </w:tc>
      </w:tr>
      <w:tr w:rsidR="00223A29" w:rsidRPr="00D44ED8" w14:paraId="339E2FE0" w14:textId="77777777" w:rsidTr="007D2468">
        <w:tc>
          <w:tcPr>
            <w:tcW w:w="3667" w:type="dxa"/>
            <w:tcBorders>
              <w:top w:val="single" w:sz="6" w:space="0" w:color="auto"/>
              <w:bottom w:val="single" w:sz="6" w:space="0" w:color="auto"/>
            </w:tcBorders>
            <w:shd w:val="clear" w:color="auto" w:fill="386294"/>
            <w:vAlign w:val="center"/>
          </w:tcPr>
          <w:p w14:paraId="7FE8341F" w14:textId="77777777" w:rsidR="00223A29" w:rsidRPr="00B77B84" w:rsidRDefault="001B3A00" w:rsidP="00E4118C">
            <w:pPr>
              <w:jc w:val="center"/>
              <w:rPr>
                <w:rFonts w:asciiTheme="majorHAnsi" w:hAnsiTheme="majorHAnsi"/>
                <w:b/>
                <w:bCs/>
                <w:color w:val="FFFFFF" w:themeColor="background1"/>
                <w:sz w:val="20"/>
                <w:szCs w:val="20"/>
              </w:rPr>
            </w:pPr>
            <w:r w:rsidRPr="00B77B84">
              <w:rPr>
                <w:rFonts w:asciiTheme="majorHAnsi" w:hAnsiTheme="majorHAnsi"/>
                <w:b/>
                <w:bCs/>
                <w:color w:val="FFFFFF" w:themeColor="background1"/>
                <w:sz w:val="20"/>
                <w:szCs w:val="20"/>
              </w:rPr>
              <w:t xml:space="preserve">Derechos </w:t>
            </w:r>
            <w:r w:rsidR="00E4118C" w:rsidRPr="00B77B84">
              <w:rPr>
                <w:rFonts w:asciiTheme="majorHAnsi" w:hAnsiTheme="majorHAnsi"/>
                <w:b/>
                <w:bCs/>
                <w:color w:val="FFFFFF" w:themeColor="background1"/>
                <w:sz w:val="20"/>
                <w:szCs w:val="20"/>
              </w:rPr>
              <w:t>invocados</w:t>
            </w:r>
            <w:r w:rsidRPr="00B77B84">
              <w:rPr>
                <w:rFonts w:asciiTheme="majorHAnsi" w:hAnsiTheme="majorHAnsi"/>
                <w:b/>
                <w:bCs/>
                <w:color w:val="FFFFFF" w:themeColor="background1"/>
                <w:sz w:val="20"/>
                <w:szCs w:val="20"/>
              </w:rPr>
              <w:t>:</w:t>
            </w:r>
          </w:p>
        </w:tc>
        <w:tc>
          <w:tcPr>
            <w:tcW w:w="5693" w:type="dxa"/>
            <w:vAlign w:val="center"/>
          </w:tcPr>
          <w:p w14:paraId="0A2474B6" w14:textId="261F01F6" w:rsidR="00223A29" w:rsidRPr="00B77B84" w:rsidRDefault="00F0654E" w:rsidP="007B3367">
            <w:pPr>
              <w:jc w:val="both"/>
              <w:rPr>
                <w:rFonts w:asciiTheme="majorHAnsi" w:hAnsiTheme="majorHAnsi"/>
                <w:bCs/>
                <w:sz w:val="20"/>
                <w:szCs w:val="20"/>
                <w:lang w:val="es-ES"/>
              </w:rPr>
            </w:pPr>
            <w:r w:rsidRPr="00881B72">
              <w:rPr>
                <w:rFonts w:ascii="Cambria" w:hAnsi="Cambria"/>
                <w:bCs/>
                <w:sz w:val="20"/>
                <w:szCs w:val="20"/>
                <w:lang w:val="es-ES"/>
              </w:rPr>
              <w:t>Artículo</w:t>
            </w:r>
            <w:r w:rsidR="002770CD" w:rsidRPr="00881B72">
              <w:rPr>
                <w:rFonts w:ascii="Cambria" w:hAnsi="Cambria"/>
                <w:bCs/>
                <w:sz w:val="20"/>
                <w:szCs w:val="20"/>
                <w:lang w:val="es-ES"/>
              </w:rPr>
              <w:t>s</w:t>
            </w:r>
            <w:r w:rsidRPr="00881B72">
              <w:rPr>
                <w:rFonts w:ascii="Cambria" w:hAnsi="Cambria"/>
                <w:bCs/>
                <w:sz w:val="20"/>
                <w:szCs w:val="20"/>
                <w:lang w:val="es-ES"/>
              </w:rPr>
              <w:t xml:space="preserve"> 8</w:t>
            </w:r>
            <w:r w:rsidR="00F836DF" w:rsidRPr="00881B72">
              <w:rPr>
                <w:rFonts w:ascii="Cambria" w:hAnsi="Cambria"/>
                <w:bCs/>
                <w:sz w:val="20"/>
                <w:szCs w:val="20"/>
                <w:lang w:val="es-ES"/>
              </w:rPr>
              <w:t xml:space="preserve"> (garantías judiciales)</w:t>
            </w:r>
            <w:r w:rsidRPr="00881B72">
              <w:rPr>
                <w:rFonts w:ascii="Cambria" w:hAnsi="Cambria"/>
                <w:bCs/>
                <w:sz w:val="20"/>
                <w:szCs w:val="20"/>
                <w:lang w:val="es-ES"/>
              </w:rPr>
              <w:t>, 23</w:t>
            </w:r>
            <w:r w:rsidR="00F836DF" w:rsidRPr="00881B72">
              <w:rPr>
                <w:rFonts w:ascii="Cambria" w:hAnsi="Cambria"/>
                <w:bCs/>
                <w:sz w:val="20"/>
                <w:szCs w:val="20"/>
                <w:lang w:val="es-ES"/>
              </w:rPr>
              <w:t xml:space="preserve"> (</w:t>
            </w:r>
            <w:r w:rsidR="00F202DF" w:rsidRPr="00881B72">
              <w:rPr>
                <w:rFonts w:ascii="Cambria" w:hAnsi="Cambria"/>
                <w:bCs/>
                <w:sz w:val="20"/>
                <w:szCs w:val="20"/>
                <w:lang w:val="es-ES"/>
              </w:rPr>
              <w:t>derechos políticos</w:t>
            </w:r>
            <w:r w:rsidR="00271888" w:rsidRPr="00881B72">
              <w:rPr>
                <w:rFonts w:ascii="Cambria" w:hAnsi="Cambria"/>
                <w:bCs/>
                <w:sz w:val="20"/>
                <w:szCs w:val="20"/>
                <w:lang w:val="es-ES"/>
              </w:rPr>
              <w:t>),</w:t>
            </w:r>
            <w:r w:rsidRPr="00881B72">
              <w:rPr>
                <w:rFonts w:ascii="Cambria" w:hAnsi="Cambria"/>
                <w:bCs/>
                <w:sz w:val="20"/>
                <w:szCs w:val="20"/>
                <w:lang w:val="es-ES"/>
              </w:rPr>
              <w:t xml:space="preserve"> 24 </w:t>
            </w:r>
            <w:r w:rsidR="00BF28D6" w:rsidRPr="00881B72">
              <w:rPr>
                <w:rFonts w:ascii="Cambria" w:hAnsi="Cambria"/>
                <w:bCs/>
                <w:sz w:val="20"/>
                <w:szCs w:val="20"/>
                <w:lang w:val="es-ES"/>
              </w:rPr>
              <w:t xml:space="preserve">(igualdad ante la ley) </w:t>
            </w:r>
            <w:r w:rsidRPr="00881B72">
              <w:rPr>
                <w:rFonts w:ascii="Cambria" w:hAnsi="Cambria"/>
                <w:bCs/>
                <w:sz w:val="20"/>
                <w:szCs w:val="20"/>
                <w:lang w:val="es-ES"/>
              </w:rPr>
              <w:t xml:space="preserve">y 25 </w:t>
            </w:r>
            <w:r w:rsidR="00BF28D6" w:rsidRPr="00881B72">
              <w:rPr>
                <w:rFonts w:ascii="Cambria" w:hAnsi="Cambria"/>
                <w:bCs/>
                <w:sz w:val="20"/>
                <w:szCs w:val="20"/>
                <w:lang w:val="es-ES"/>
              </w:rPr>
              <w:t xml:space="preserve">(protección judicial) </w:t>
            </w:r>
            <w:r w:rsidRPr="00881B72">
              <w:rPr>
                <w:rFonts w:ascii="Cambria" w:hAnsi="Cambria"/>
                <w:bCs/>
                <w:sz w:val="20"/>
                <w:szCs w:val="20"/>
                <w:lang w:val="es-ES"/>
              </w:rPr>
              <w:t xml:space="preserve">de la Convención Americana </w:t>
            </w:r>
            <w:r w:rsidR="00C40658">
              <w:rPr>
                <w:rFonts w:ascii="Cambria" w:hAnsi="Cambria"/>
                <w:bCs/>
                <w:sz w:val="20"/>
                <w:szCs w:val="20"/>
                <w:lang w:val="es-ES"/>
              </w:rPr>
              <w:t>sobre</w:t>
            </w:r>
            <w:r w:rsidRPr="00881B72">
              <w:rPr>
                <w:rFonts w:ascii="Cambria" w:hAnsi="Cambria"/>
                <w:bCs/>
                <w:sz w:val="20"/>
                <w:szCs w:val="20"/>
                <w:lang w:val="es-ES"/>
              </w:rPr>
              <w:t xml:space="preserve"> Derechos Huma</w:t>
            </w:r>
            <w:r w:rsidR="00B76C21" w:rsidRPr="00881B72">
              <w:rPr>
                <w:rFonts w:ascii="Cambria" w:hAnsi="Cambria"/>
                <w:bCs/>
                <w:sz w:val="20"/>
                <w:szCs w:val="20"/>
                <w:lang w:val="es-ES"/>
              </w:rPr>
              <w:t>nos</w:t>
            </w:r>
            <w:r w:rsidR="00DE6417" w:rsidRPr="00881B72">
              <w:rPr>
                <w:rStyle w:val="FootnoteReference"/>
                <w:rFonts w:ascii="Cambria" w:hAnsi="Cambria"/>
                <w:bCs/>
                <w:sz w:val="20"/>
                <w:szCs w:val="20"/>
                <w:lang w:val="es-ES"/>
              </w:rPr>
              <w:footnoteReference w:id="2"/>
            </w:r>
            <w:r w:rsidR="007E3042" w:rsidRPr="00881B72">
              <w:rPr>
                <w:rFonts w:ascii="Cambria" w:hAnsi="Cambria"/>
                <w:bCs/>
                <w:sz w:val="20"/>
                <w:szCs w:val="20"/>
                <w:lang w:val="es-ES"/>
              </w:rPr>
              <w:t>; y otros tratados internacionales</w:t>
            </w:r>
            <w:r w:rsidR="00DE6417" w:rsidRPr="00B77B84">
              <w:rPr>
                <w:rStyle w:val="FootnoteReference"/>
                <w:rFonts w:asciiTheme="majorHAnsi" w:hAnsiTheme="majorHAnsi"/>
                <w:bCs/>
                <w:sz w:val="20"/>
                <w:szCs w:val="20"/>
                <w:lang w:val="es-ES"/>
              </w:rPr>
              <w:footnoteReference w:id="3"/>
            </w:r>
          </w:p>
        </w:tc>
      </w:tr>
    </w:tbl>
    <w:p w14:paraId="569F8256" w14:textId="77777777" w:rsidR="003239B8" w:rsidRPr="00CF1714" w:rsidRDefault="003239B8" w:rsidP="003239B8">
      <w:pPr>
        <w:spacing w:before="240" w:after="240"/>
        <w:ind w:firstLine="720"/>
        <w:jc w:val="both"/>
        <w:rPr>
          <w:rFonts w:asciiTheme="majorHAnsi" w:hAnsiTheme="majorHAnsi"/>
          <w:b/>
          <w:bCs/>
          <w:sz w:val="20"/>
          <w:szCs w:val="20"/>
          <w:lang w:val="es-ES"/>
        </w:rPr>
      </w:pPr>
      <w:r w:rsidRPr="00B77B84">
        <w:rPr>
          <w:rFonts w:asciiTheme="majorHAnsi" w:hAnsiTheme="majorHAnsi"/>
          <w:b/>
          <w:bCs/>
          <w:sz w:val="20"/>
          <w:szCs w:val="20"/>
          <w:lang w:val="es-ES"/>
        </w:rPr>
        <w:t>II.</w:t>
      </w:r>
      <w:r w:rsidRPr="00B77B84">
        <w:rPr>
          <w:rFonts w:asciiTheme="majorHAnsi" w:hAnsiTheme="majorHAnsi"/>
          <w:b/>
          <w:bCs/>
          <w:sz w:val="20"/>
          <w:szCs w:val="20"/>
          <w:lang w:val="es-ES"/>
        </w:rPr>
        <w:tab/>
        <w:t>TRÁMITE ANTE LA CIDH</w:t>
      </w:r>
      <w:r w:rsidR="008E3BFE" w:rsidRPr="00B77B84">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67"/>
        <w:gridCol w:w="5693"/>
      </w:tblGrid>
      <w:tr w:rsidR="004C2312" w:rsidRPr="00B77B84" w14:paraId="729FE5D3" w14:textId="77777777" w:rsidTr="007D2468">
        <w:tc>
          <w:tcPr>
            <w:tcW w:w="3667" w:type="dxa"/>
            <w:tcBorders>
              <w:top w:val="single" w:sz="6" w:space="0" w:color="auto"/>
              <w:bottom w:val="single" w:sz="6" w:space="0" w:color="auto"/>
            </w:tcBorders>
            <w:shd w:val="clear" w:color="auto" w:fill="386294"/>
            <w:vAlign w:val="center"/>
          </w:tcPr>
          <w:p w14:paraId="4057EE8A" w14:textId="77777777" w:rsidR="004C2312" w:rsidRPr="00B77B84" w:rsidRDefault="004A6A54" w:rsidP="004A6A54">
            <w:pPr>
              <w:jc w:val="center"/>
              <w:rPr>
                <w:rFonts w:asciiTheme="majorHAnsi" w:hAnsiTheme="majorHAnsi"/>
                <w:b/>
                <w:bCs/>
                <w:color w:val="FFFFFF" w:themeColor="background1"/>
                <w:sz w:val="20"/>
                <w:szCs w:val="20"/>
                <w:lang w:val="es-ES"/>
              </w:rPr>
            </w:pPr>
            <w:r w:rsidRPr="00B77B84">
              <w:rPr>
                <w:rFonts w:asciiTheme="majorHAnsi" w:hAnsiTheme="majorHAnsi"/>
                <w:b/>
                <w:bCs/>
                <w:color w:val="FFFFFF" w:themeColor="background1"/>
                <w:sz w:val="20"/>
                <w:szCs w:val="20"/>
                <w:lang w:val="es-ES"/>
              </w:rPr>
              <w:t>P</w:t>
            </w:r>
            <w:r w:rsidR="004C2312" w:rsidRPr="00B77B84">
              <w:rPr>
                <w:rFonts w:asciiTheme="majorHAnsi" w:hAnsiTheme="majorHAnsi"/>
                <w:b/>
                <w:bCs/>
                <w:color w:val="FFFFFF" w:themeColor="background1"/>
                <w:sz w:val="20"/>
                <w:szCs w:val="20"/>
                <w:lang w:val="es-ES"/>
              </w:rPr>
              <w:t>resentación de la petición:</w:t>
            </w:r>
          </w:p>
        </w:tc>
        <w:tc>
          <w:tcPr>
            <w:tcW w:w="5693" w:type="dxa"/>
            <w:vAlign w:val="center"/>
          </w:tcPr>
          <w:p w14:paraId="0867010C" w14:textId="4B94A6BD" w:rsidR="004C2312" w:rsidRPr="00B77B84" w:rsidRDefault="002436E1" w:rsidP="007B3367">
            <w:pPr>
              <w:jc w:val="both"/>
              <w:rPr>
                <w:rFonts w:asciiTheme="majorHAnsi" w:hAnsiTheme="majorHAnsi"/>
                <w:bCs/>
                <w:sz w:val="20"/>
                <w:szCs w:val="20"/>
                <w:lang w:val="es-ES"/>
              </w:rPr>
            </w:pPr>
            <w:r w:rsidRPr="00B77B84">
              <w:rPr>
                <w:rFonts w:asciiTheme="majorHAnsi" w:hAnsiTheme="majorHAnsi"/>
                <w:bCs/>
                <w:sz w:val="20"/>
                <w:szCs w:val="20"/>
                <w:lang w:val="es-ES"/>
              </w:rPr>
              <w:t>28 de diciembre de 2017</w:t>
            </w:r>
          </w:p>
        </w:tc>
      </w:tr>
      <w:tr w:rsidR="00131425" w:rsidRPr="00D44ED8" w14:paraId="100113EE" w14:textId="77777777" w:rsidTr="007D2468">
        <w:tc>
          <w:tcPr>
            <w:tcW w:w="3667" w:type="dxa"/>
            <w:tcBorders>
              <w:top w:val="single" w:sz="6" w:space="0" w:color="auto"/>
              <w:bottom w:val="single" w:sz="6" w:space="0" w:color="auto"/>
            </w:tcBorders>
            <w:shd w:val="clear" w:color="auto" w:fill="386294"/>
            <w:vAlign w:val="center"/>
          </w:tcPr>
          <w:p w14:paraId="7B40BFE4" w14:textId="77777777" w:rsidR="00131425" w:rsidRPr="00B77B84" w:rsidRDefault="00131425" w:rsidP="004A6A54">
            <w:pPr>
              <w:jc w:val="center"/>
              <w:rPr>
                <w:rFonts w:asciiTheme="majorHAnsi" w:hAnsiTheme="majorHAnsi"/>
                <w:b/>
                <w:bCs/>
                <w:color w:val="FFFFFF" w:themeColor="background1"/>
                <w:sz w:val="20"/>
                <w:szCs w:val="20"/>
                <w:lang w:val="es-ES"/>
              </w:rPr>
            </w:pPr>
            <w:r w:rsidRPr="00B77B84">
              <w:rPr>
                <w:rFonts w:asciiTheme="majorHAnsi" w:hAnsiTheme="majorHAnsi"/>
                <w:b/>
                <w:bCs/>
                <w:color w:val="FFFFFF" w:themeColor="background1"/>
                <w:sz w:val="20"/>
                <w:szCs w:val="20"/>
                <w:lang w:val="es-ES"/>
              </w:rPr>
              <w:t>Información adicional recibida durante la etapa de estudio:</w:t>
            </w:r>
          </w:p>
        </w:tc>
        <w:tc>
          <w:tcPr>
            <w:tcW w:w="5693" w:type="dxa"/>
            <w:vAlign w:val="center"/>
          </w:tcPr>
          <w:p w14:paraId="7E0E91EC" w14:textId="2C79944F" w:rsidR="00131425" w:rsidRPr="00C91432" w:rsidRDefault="00AC43FB" w:rsidP="007B3367">
            <w:pPr>
              <w:jc w:val="both"/>
              <w:rPr>
                <w:rFonts w:asciiTheme="majorHAnsi" w:hAnsiTheme="majorHAnsi"/>
                <w:bCs/>
                <w:sz w:val="20"/>
                <w:szCs w:val="20"/>
                <w:lang w:val="es-ES"/>
              </w:rPr>
            </w:pPr>
            <w:r w:rsidRPr="00596DC5">
              <w:rPr>
                <w:rFonts w:asciiTheme="majorHAnsi" w:hAnsiTheme="majorHAnsi"/>
                <w:bCs/>
                <w:sz w:val="20"/>
                <w:szCs w:val="20"/>
                <w:lang w:val="es-ES"/>
              </w:rPr>
              <w:t>1</w:t>
            </w:r>
            <w:r w:rsidR="00CF1714" w:rsidRPr="00596DC5">
              <w:rPr>
                <w:rFonts w:asciiTheme="majorHAnsi" w:hAnsiTheme="majorHAnsi"/>
                <w:bCs/>
                <w:sz w:val="20"/>
                <w:szCs w:val="20"/>
                <w:lang w:val="es-ES"/>
              </w:rPr>
              <w:t xml:space="preserve">, 20 y 21 </w:t>
            </w:r>
            <w:r w:rsidRPr="00596DC5">
              <w:rPr>
                <w:rFonts w:asciiTheme="majorHAnsi" w:hAnsiTheme="majorHAnsi"/>
                <w:bCs/>
                <w:sz w:val="20"/>
                <w:szCs w:val="20"/>
                <w:lang w:val="es-ES"/>
              </w:rPr>
              <w:t>de marzo de 2018</w:t>
            </w:r>
            <w:r w:rsidR="00C416F0" w:rsidRPr="00596DC5">
              <w:rPr>
                <w:rFonts w:asciiTheme="majorHAnsi" w:hAnsiTheme="majorHAnsi"/>
                <w:bCs/>
                <w:sz w:val="20"/>
                <w:szCs w:val="20"/>
                <w:lang w:val="es-ES"/>
              </w:rPr>
              <w:t xml:space="preserve">, </w:t>
            </w:r>
            <w:r w:rsidR="009D4A2F" w:rsidRPr="00596DC5">
              <w:rPr>
                <w:rFonts w:asciiTheme="majorHAnsi" w:hAnsiTheme="majorHAnsi"/>
                <w:bCs/>
                <w:sz w:val="20"/>
                <w:szCs w:val="20"/>
                <w:lang w:val="es-ES"/>
              </w:rPr>
              <w:t xml:space="preserve">4 de septiembre </w:t>
            </w:r>
            <w:r w:rsidR="00CF1714" w:rsidRPr="00596DC5">
              <w:rPr>
                <w:rFonts w:asciiTheme="majorHAnsi" w:hAnsiTheme="majorHAnsi"/>
                <w:bCs/>
                <w:sz w:val="20"/>
                <w:szCs w:val="20"/>
                <w:lang w:val="es-ES"/>
              </w:rPr>
              <w:t>y</w:t>
            </w:r>
            <w:r w:rsidR="009D4A2F" w:rsidRPr="00596DC5">
              <w:rPr>
                <w:rFonts w:asciiTheme="majorHAnsi" w:hAnsiTheme="majorHAnsi"/>
                <w:bCs/>
                <w:sz w:val="20"/>
                <w:szCs w:val="20"/>
                <w:lang w:val="es-ES"/>
              </w:rPr>
              <w:t xml:space="preserve"> </w:t>
            </w:r>
            <w:r w:rsidR="00C416F0" w:rsidRPr="00596DC5">
              <w:rPr>
                <w:rFonts w:asciiTheme="majorHAnsi" w:hAnsiTheme="majorHAnsi"/>
                <w:bCs/>
                <w:sz w:val="20"/>
                <w:szCs w:val="20"/>
                <w:lang w:val="es-ES"/>
              </w:rPr>
              <w:t>2</w:t>
            </w:r>
            <w:r w:rsidR="00BD51AD" w:rsidRPr="00596DC5">
              <w:rPr>
                <w:rFonts w:asciiTheme="majorHAnsi" w:hAnsiTheme="majorHAnsi"/>
                <w:bCs/>
                <w:sz w:val="20"/>
                <w:szCs w:val="20"/>
                <w:lang w:val="es-ES"/>
              </w:rPr>
              <w:t>5</w:t>
            </w:r>
            <w:r w:rsidR="00C416F0" w:rsidRPr="00596DC5">
              <w:rPr>
                <w:rFonts w:asciiTheme="majorHAnsi" w:hAnsiTheme="majorHAnsi"/>
                <w:bCs/>
                <w:sz w:val="20"/>
                <w:szCs w:val="20"/>
                <w:lang w:val="es-ES"/>
              </w:rPr>
              <w:t xml:space="preserve"> de octubre de 2019</w:t>
            </w:r>
          </w:p>
        </w:tc>
      </w:tr>
      <w:tr w:rsidR="004C2312" w:rsidRPr="00B77B84" w14:paraId="3499F483" w14:textId="77777777" w:rsidTr="007D2468">
        <w:tc>
          <w:tcPr>
            <w:tcW w:w="3667" w:type="dxa"/>
            <w:tcBorders>
              <w:top w:val="single" w:sz="6" w:space="0" w:color="auto"/>
              <w:bottom w:val="single" w:sz="6" w:space="0" w:color="auto"/>
            </w:tcBorders>
            <w:shd w:val="clear" w:color="auto" w:fill="386294"/>
            <w:vAlign w:val="center"/>
          </w:tcPr>
          <w:p w14:paraId="14665B6B" w14:textId="77777777" w:rsidR="004C2312" w:rsidRPr="00B77B84" w:rsidRDefault="004A6A54" w:rsidP="004A6A54">
            <w:pPr>
              <w:jc w:val="center"/>
              <w:rPr>
                <w:rFonts w:asciiTheme="majorHAnsi" w:hAnsiTheme="majorHAnsi"/>
                <w:b/>
                <w:bCs/>
                <w:color w:val="FFFFFF" w:themeColor="background1"/>
                <w:sz w:val="20"/>
                <w:szCs w:val="20"/>
                <w:lang w:val="es-ES"/>
              </w:rPr>
            </w:pPr>
            <w:r w:rsidRPr="00B77B84">
              <w:rPr>
                <w:rFonts w:asciiTheme="majorHAnsi" w:hAnsiTheme="majorHAnsi"/>
                <w:b/>
                <w:color w:val="FFFFFF" w:themeColor="background1"/>
                <w:sz w:val="20"/>
                <w:szCs w:val="20"/>
                <w:lang w:val="es-ES"/>
              </w:rPr>
              <w:t>N</w:t>
            </w:r>
            <w:r w:rsidR="004C2312" w:rsidRPr="00B77B84">
              <w:rPr>
                <w:rFonts w:asciiTheme="majorHAnsi" w:hAnsiTheme="majorHAnsi"/>
                <w:b/>
                <w:color w:val="FFFFFF" w:themeColor="background1"/>
                <w:sz w:val="20"/>
                <w:szCs w:val="20"/>
                <w:lang w:val="es-ES"/>
              </w:rPr>
              <w:t>otificación de la petición al Estado:</w:t>
            </w:r>
          </w:p>
        </w:tc>
        <w:tc>
          <w:tcPr>
            <w:tcW w:w="5693" w:type="dxa"/>
            <w:vAlign w:val="center"/>
          </w:tcPr>
          <w:p w14:paraId="35CDD610" w14:textId="11F9F662" w:rsidR="004C2312" w:rsidRPr="00B77B84" w:rsidRDefault="004D69B5" w:rsidP="007B3367">
            <w:pPr>
              <w:jc w:val="both"/>
              <w:rPr>
                <w:rFonts w:asciiTheme="majorHAnsi" w:hAnsiTheme="majorHAnsi"/>
                <w:bCs/>
                <w:sz w:val="20"/>
                <w:szCs w:val="20"/>
                <w:lang w:val="es-ES"/>
              </w:rPr>
            </w:pPr>
            <w:r w:rsidRPr="004D69B5">
              <w:rPr>
                <w:rFonts w:asciiTheme="majorHAnsi" w:hAnsiTheme="majorHAnsi"/>
                <w:bCs/>
                <w:sz w:val="20"/>
                <w:szCs w:val="20"/>
                <w:lang w:val="es-ES"/>
              </w:rPr>
              <w:t>2</w:t>
            </w:r>
            <w:r w:rsidR="00A11689" w:rsidRPr="004D69B5">
              <w:rPr>
                <w:rFonts w:asciiTheme="majorHAnsi" w:hAnsiTheme="majorHAnsi"/>
                <w:bCs/>
                <w:sz w:val="20"/>
                <w:szCs w:val="20"/>
                <w:lang w:val="es-ES"/>
              </w:rPr>
              <w:t>0 de abril de 2020</w:t>
            </w:r>
          </w:p>
        </w:tc>
      </w:tr>
      <w:tr w:rsidR="004C2312" w:rsidRPr="00B77B84" w14:paraId="7DA06F1F" w14:textId="77777777" w:rsidTr="007D2468">
        <w:tc>
          <w:tcPr>
            <w:tcW w:w="3667" w:type="dxa"/>
            <w:tcBorders>
              <w:top w:val="single" w:sz="6" w:space="0" w:color="auto"/>
              <w:bottom w:val="single" w:sz="6" w:space="0" w:color="auto"/>
            </w:tcBorders>
            <w:shd w:val="clear" w:color="auto" w:fill="386294"/>
            <w:vAlign w:val="center"/>
          </w:tcPr>
          <w:p w14:paraId="1146111F" w14:textId="77777777" w:rsidR="004C2312" w:rsidRPr="00B77B84" w:rsidRDefault="004A6A54" w:rsidP="004A6A54">
            <w:pPr>
              <w:jc w:val="center"/>
              <w:rPr>
                <w:rFonts w:asciiTheme="majorHAnsi" w:hAnsiTheme="majorHAnsi"/>
                <w:b/>
                <w:bCs/>
                <w:color w:val="FFFFFF" w:themeColor="background1"/>
                <w:sz w:val="20"/>
                <w:szCs w:val="20"/>
                <w:lang w:val="es-ES"/>
              </w:rPr>
            </w:pPr>
            <w:r w:rsidRPr="00B77B84">
              <w:rPr>
                <w:rFonts w:asciiTheme="majorHAnsi" w:hAnsiTheme="majorHAnsi"/>
                <w:b/>
                <w:color w:val="FFFFFF" w:themeColor="background1"/>
                <w:sz w:val="20"/>
                <w:szCs w:val="20"/>
                <w:lang w:val="es-ES"/>
              </w:rPr>
              <w:t>P</w:t>
            </w:r>
            <w:r w:rsidR="004C2312" w:rsidRPr="00B77B84">
              <w:rPr>
                <w:rFonts w:asciiTheme="majorHAnsi" w:hAnsiTheme="majorHAnsi"/>
                <w:b/>
                <w:color w:val="FFFFFF" w:themeColor="background1"/>
                <w:sz w:val="20"/>
                <w:szCs w:val="20"/>
                <w:lang w:val="es-ES"/>
              </w:rPr>
              <w:t>rimera respuesta del Estado:</w:t>
            </w:r>
          </w:p>
        </w:tc>
        <w:tc>
          <w:tcPr>
            <w:tcW w:w="5693" w:type="dxa"/>
            <w:vAlign w:val="center"/>
          </w:tcPr>
          <w:p w14:paraId="480B8955" w14:textId="74F18B56" w:rsidR="004C2312" w:rsidRPr="00B77B84" w:rsidRDefault="004D69B5" w:rsidP="007B3367">
            <w:pPr>
              <w:jc w:val="both"/>
              <w:rPr>
                <w:rFonts w:asciiTheme="majorHAnsi" w:hAnsiTheme="majorHAnsi"/>
                <w:bCs/>
                <w:sz w:val="20"/>
                <w:szCs w:val="20"/>
                <w:lang w:val="es-ES"/>
              </w:rPr>
            </w:pPr>
            <w:r>
              <w:rPr>
                <w:rFonts w:asciiTheme="majorHAnsi" w:hAnsiTheme="majorHAnsi"/>
                <w:bCs/>
                <w:sz w:val="20"/>
                <w:szCs w:val="20"/>
                <w:lang w:val="es-ES"/>
              </w:rPr>
              <w:t>29</w:t>
            </w:r>
            <w:r w:rsidR="00732CDC" w:rsidRPr="00B77B84">
              <w:rPr>
                <w:rFonts w:asciiTheme="majorHAnsi" w:hAnsiTheme="majorHAnsi"/>
                <w:bCs/>
                <w:sz w:val="20"/>
                <w:szCs w:val="20"/>
                <w:lang w:val="es-ES"/>
              </w:rPr>
              <w:t xml:space="preserve"> de diciembre de 2020</w:t>
            </w:r>
          </w:p>
        </w:tc>
      </w:tr>
      <w:tr w:rsidR="004C2312" w:rsidRPr="00D44ED8" w14:paraId="20D6CA95" w14:textId="77777777" w:rsidTr="007D2468">
        <w:trPr>
          <w:trHeight w:val="372"/>
        </w:trPr>
        <w:tc>
          <w:tcPr>
            <w:tcW w:w="3667" w:type="dxa"/>
            <w:tcBorders>
              <w:top w:val="single" w:sz="6" w:space="0" w:color="auto"/>
              <w:bottom w:val="single" w:sz="6" w:space="0" w:color="auto"/>
            </w:tcBorders>
            <w:shd w:val="clear" w:color="auto" w:fill="386294"/>
            <w:vAlign w:val="center"/>
          </w:tcPr>
          <w:p w14:paraId="0ED3F206" w14:textId="77777777" w:rsidR="004C2312" w:rsidRPr="00B77B84" w:rsidRDefault="008E3BFE" w:rsidP="008E3BFE">
            <w:pPr>
              <w:jc w:val="center"/>
              <w:rPr>
                <w:rFonts w:asciiTheme="majorHAnsi" w:hAnsiTheme="majorHAnsi"/>
                <w:b/>
                <w:bCs/>
                <w:color w:val="FFFFFF" w:themeColor="background1"/>
                <w:sz w:val="20"/>
                <w:szCs w:val="20"/>
                <w:lang w:val="es-ES"/>
              </w:rPr>
            </w:pPr>
            <w:r w:rsidRPr="00B77B84">
              <w:rPr>
                <w:rFonts w:asciiTheme="majorHAnsi" w:hAnsiTheme="majorHAnsi"/>
                <w:b/>
                <w:bCs/>
                <w:color w:val="FFFFFF" w:themeColor="background1"/>
                <w:sz w:val="20"/>
                <w:szCs w:val="20"/>
                <w:lang w:val="es-ES"/>
              </w:rPr>
              <w:t>Observaciones adicionales de la parte peticionaria:</w:t>
            </w:r>
          </w:p>
        </w:tc>
        <w:tc>
          <w:tcPr>
            <w:tcW w:w="5693" w:type="dxa"/>
            <w:vAlign w:val="center"/>
          </w:tcPr>
          <w:p w14:paraId="73F88A19" w14:textId="7DC76EEF" w:rsidR="004C2312" w:rsidRPr="00AC16D5" w:rsidRDefault="00C416F0" w:rsidP="007B3367">
            <w:pPr>
              <w:jc w:val="both"/>
              <w:rPr>
                <w:rFonts w:asciiTheme="majorHAnsi" w:hAnsiTheme="majorHAnsi"/>
                <w:bCs/>
                <w:sz w:val="20"/>
                <w:szCs w:val="20"/>
                <w:lang w:val="es-ES"/>
              </w:rPr>
            </w:pPr>
            <w:r w:rsidRPr="00AC16D5">
              <w:rPr>
                <w:rFonts w:asciiTheme="majorHAnsi" w:hAnsiTheme="majorHAnsi"/>
                <w:bCs/>
                <w:sz w:val="20"/>
                <w:szCs w:val="20"/>
                <w:lang w:val="es-ES"/>
              </w:rPr>
              <w:t>2</w:t>
            </w:r>
            <w:r w:rsidR="00C91432" w:rsidRPr="00AC16D5">
              <w:rPr>
                <w:rFonts w:asciiTheme="majorHAnsi" w:hAnsiTheme="majorHAnsi"/>
                <w:bCs/>
                <w:sz w:val="20"/>
                <w:szCs w:val="20"/>
                <w:lang w:val="es-ES"/>
              </w:rPr>
              <w:t>8 de enero, 8 de febrero, 5 de abril y 19 de abril de 2021</w:t>
            </w:r>
          </w:p>
        </w:tc>
      </w:tr>
    </w:tbl>
    <w:p w14:paraId="3B7DCE1F" w14:textId="77777777" w:rsidR="003239B8" w:rsidRPr="00B77B84" w:rsidRDefault="003239B8" w:rsidP="003239B8">
      <w:pPr>
        <w:spacing w:before="240" w:after="240"/>
        <w:ind w:firstLine="720"/>
        <w:jc w:val="both"/>
        <w:rPr>
          <w:rFonts w:asciiTheme="majorHAnsi" w:hAnsiTheme="majorHAnsi"/>
          <w:b/>
          <w:bCs/>
          <w:sz w:val="20"/>
          <w:szCs w:val="20"/>
          <w:lang w:val="es-ES"/>
        </w:rPr>
      </w:pPr>
      <w:r w:rsidRPr="00B77B84">
        <w:rPr>
          <w:rFonts w:asciiTheme="majorHAnsi" w:hAnsiTheme="majorHAnsi"/>
          <w:b/>
          <w:bCs/>
          <w:sz w:val="20"/>
          <w:szCs w:val="20"/>
          <w:lang w:val="es-ES"/>
        </w:rPr>
        <w:t xml:space="preserve">III. </w:t>
      </w:r>
      <w:r w:rsidRPr="00B77B84">
        <w:rPr>
          <w:rFonts w:asciiTheme="majorHAnsi" w:hAnsiTheme="majorHAnsi"/>
          <w:b/>
          <w:bCs/>
          <w:sz w:val="20"/>
          <w:szCs w:val="20"/>
          <w:lang w:val="es-ES"/>
        </w:rPr>
        <w:tab/>
        <w:t>COMPETENCIA</w:t>
      </w:r>
      <w:r w:rsidR="00EE00E9" w:rsidRPr="00B77B8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67"/>
        <w:gridCol w:w="5575"/>
      </w:tblGrid>
      <w:tr w:rsidR="003239B8" w:rsidRPr="00B77B84" w14:paraId="64BA7A26" w14:textId="77777777" w:rsidTr="007D2468">
        <w:trPr>
          <w:cantSplit/>
        </w:trPr>
        <w:tc>
          <w:tcPr>
            <w:tcW w:w="3667" w:type="dxa"/>
            <w:tcBorders>
              <w:top w:val="single" w:sz="4" w:space="0" w:color="auto"/>
              <w:bottom w:val="single" w:sz="6" w:space="0" w:color="auto"/>
            </w:tcBorders>
            <w:shd w:val="clear" w:color="auto" w:fill="386294"/>
            <w:vAlign w:val="center"/>
          </w:tcPr>
          <w:p w14:paraId="64595D6A" w14:textId="77777777" w:rsidR="003239B8" w:rsidRPr="00B77B84" w:rsidRDefault="003239B8" w:rsidP="007B3367">
            <w:pPr>
              <w:jc w:val="center"/>
              <w:rPr>
                <w:rFonts w:asciiTheme="majorHAnsi" w:hAnsiTheme="majorHAnsi"/>
                <w:b/>
                <w:bCs/>
                <w:i/>
                <w:color w:val="FFFFFF" w:themeColor="background1"/>
                <w:sz w:val="20"/>
                <w:szCs w:val="20"/>
              </w:rPr>
            </w:pPr>
            <w:r w:rsidRPr="00B77B84">
              <w:rPr>
                <w:rFonts w:asciiTheme="majorHAnsi" w:hAnsiTheme="majorHAnsi"/>
                <w:b/>
                <w:bCs/>
                <w:color w:val="FFFFFF" w:themeColor="background1"/>
                <w:sz w:val="20"/>
                <w:szCs w:val="20"/>
              </w:rPr>
              <w:t>Competencia</w:t>
            </w:r>
            <w:r w:rsidRPr="00B77B84">
              <w:rPr>
                <w:rFonts w:asciiTheme="majorHAnsi" w:hAnsiTheme="majorHAnsi"/>
                <w:b/>
                <w:bCs/>
                <w:i/>
                <w:color w:val="FFFFFF" w:themeColor="background1"/>
                <w:sz w:val="20"/>
                <w:szCs w:val="20"/>
              </w:rPr>
              <w:t xml:space="preserve"> Ratione personae:</w:t>
            </w:r>
          </w:p>
        </w:tc>
        <w:tc>
          <w:tcPr>
            <w:tcW w:w="5575" w:type="dxa"/>
            <w:vAlign w:val="center"/>
          </w:tcPr>
          <w:p w14:paraId="5361A9C3" w14:textId="72D11196" w:rsidR="003239B8" w:rsidRPr="00B77B84" w:rsidRDefault="00C773AB" w:rsidP="007B3367">
            <w:pPr>
              <w:rPr>
                <w:rFonts w:asciiTheme="majorHAnsi" w:hAnsiTheme="majorHAnsi"/>
                <w:bCs/>
                <w:sz w:val="20"/>
                <w:szCs w:val="20"/>
              </w:rPr>
            </w:pPr>
            <w:r>
              <w:rPr>
                <w:rFonts w:asciiTheme="majorHAnsi" w:hAnsiTheme="majorHAnsi"/>
                <w:bCs/>
                <w:sz w:val="20"/>
                <w:szCs w:val="20"/>
              </w:rPr>
              <w:t>Sí</w:t>
            </w:r>
          </w:p>
        </w:tc>
      </w:tr>
      <w:tr w:rsidR="003239B8" w:rsidRPr="00B77B84" w14:paraId="3491D8B1" w14:textId="77777777" w:rsidTr="007D2468">
        <w:trPr>
          <w:cantSplit/>
        </w:trPr>
        <w:tc>
          <w:tcPr>
            <w:tcW w:w="3667" w:type="dxa"/>
            <w:tcBorders>
              <w:top w:val="single" w:sz="6" w:space="0" w:color="auto"/>
              <w:bottom w:val="single" w:sz="6" w:space="0" w:color="auto"/>
            </w:tcBorders>
            <w:shd w:val="clear" w:color="auto" w:fill="386294"/>
            <w:vAlign w:val="center"/>
          </w:tcPr>
          <w:p w14:paraId="60ECFB9D" w14:textId="77777777" w:rsidR="003239B8" w:rsidRPr="00B77B84" w:rsidRDefault="003239B8" w:rsidP="007B3367">
            <w:pPr>
              <w:jc w:val="center"/>
              <w:rPr>
                <w:rFonts w:asciiTheme="majorHAnsi" w:hAnsiTheme="majorHAnsi"/>
                <w:b/>
                <w:bCs/>
                <w:color w:val="FFFFFF" w:themeColor="background1"/>
                <w:sz w:val="20"/>
                <w:szCs w:val="20"/>
              </w:rPr>
            </w:pPr>
            <w:r w:rsidRPr="00B77B84">
              <w:rPr>
                <w:rFonts w:asciiTheme="majorHAnsi" w:hAnsiTheme="majorHAnsi"/>
                <w:b/>
                <w:bCs/>
                <w:color w:val="FFFFFF" w:themeColor="background1"/>
                <w:sz w:val="20"/>
                <w:szCs w:val="20"/>
              </w:rPr>
              <w:t>Competencia</w:t>
            </w:r>
            <w:r w:rsidRPr="00B77B84">
              <w:rPr>
                <w:rFonts w:asciiTheme="majorHAnsi" w:hAnsiTheme="majorHAnsi"/>
                <w:b/>
                <w:bCs/>
                <w:i/>
                <w:color w:val="FFFFFF" w:themeColor="background1"/>
                <w:sz w:val="20"/>
                <w:szCs w:val="20"/>
              </w:rPr>
              <w:t xml:space="preserve"> Ratione loci</w:t>
            </w:r>
            <w:r w:rsidRPr="00B77B84">
              <w:rPr>
                <w:rFonts w:asciiTheme="majorHAnsi" w:hAnsiTheme="majorHAnsi"/>
                <w:b/>
                <w:bCs/>
                <w:color w:val="FFFFFF" w:themeColor="background1"/>
                <w:sz w:val="20"/>
                <w:szCs w:val="20"/>
              </w:rPr>
              <w:t>:</w:t>
            </w:r>
          </w:p>
        </w:tc>
        <w:tc>
          <w:tcPr>
            <w:tcW w:w="5575" w:type="dxa"/>
            <w:vAlign w:val="center"/>
          </w:tcPr>
          <w:p w14:paraId="7E7DA0E1" w14:textId="36913A9A" w:rsidR="003239B8" w:rsidRPr="00B77B84" w:rsidRDefault="00C773AB" w:rsidP="007B3367">
            <w:pPr>
              <w:rPr>
                <w:rFonts w:asciiTheme="majorHAnsi" w:hAnsiTheme="majorHAnsi"/>
                <w:bCs/>
                <w:sz w:val="20"/>
                <w:szCs w:val="20"/>
              </w:rPr>
            </w:pPr>
            <w:r>
              <w:rPr>
                <w:rFonts w:asciiTheme="majorHAnsi" w:hAnsiTheme="majorHAnsi"/>
                <w:bCs/>
                <w:sz w:val="20"/>
                <w:szCs w:val="20"/>
              </w:rPr>
              <w:t>Sí</w:t>
            </w:r>
          </w:p>
        </w:tc>
      </w:tr>
      <w:tr w:rsidR="003239B8" w:rsidRPr="00B77B84" w14:paraId="249F473A" w14:textId="77777777" w:rsidTr="007D2468">
        <w:trPr>
          <w:cantSplit/>
        </w:trPr>
        <w:tc>
          <w:tcPr>
            <w:tcW w:w="3667" w:type="dxa"/>
            <w:tcBorders>
              <w:top w:val="single" w:sz="6" w:space="0" w:color="auto"/>
              <w:bottom w:val="single" w:sz="6" w:space="0" w:color="auto"/>
            </w:tcBorders>
            <w:shd w:val="clear" w:color="auto" w:fill="386294"/>
            <w:vAlign w:val="center"/>
          </w:tcPr>
          <w:p w14:paraId="5A32C901" w14:textId="77777777" w:rsidR="003239B8" w:rsidRPr="00B77B84" w:rsidRDefault="003239B8" w:rsidP="007B3367">
            <w:pPr>
              <w:jc w:val="center"/>
              <w:rPr>
                <w:rFonts w:asciiTheme="majorHAnsi" w:hAnsiTheme="majorHAnsi"/>
                <w:b/>
                <w:bCs/>
                <w:color w:val="FFFFFF" w:themeColor="background1"/>
                <w:sz w:val="20"/>
                <w:szCs w:val="20"/>
              </w:rPr>
            </w:pPr>
            <w:r w:rsidRPr="00B77B84">
              <w:rPr>
                <w:rFonts w:asciiTheme="majorHAnsi" w:hAnsiTheme="majorHAnsi"/>
                <w:b/>
                <w:bCs/>
                <w:color w:val="FFFFFF" w:themeColor="background1"/>
                <w:sz w:val="20"/>
                <w:szCs w:val="20"/>
              </w:rPr>
              <w:t>Competencia</w:t>
            </w:r>
            <w:r w:rsidRPr="00B77B84">
              <w:rPr>
                <w:rFonts w:asciiTheme="majorHAnsi" w:hAnsiTheme="majorHAnsi"/>
                <w:b/>
                <w:bCs/>
                <w:i/>
                <w:color w:val="FFFFFF" w:themeColor="background1"/>
                <w:sz w:val="20"/>
                <w:szCs w:val="20"/>
              </w:rPr>
              <w:t xml:space="preserve"> Ratione temporis</w:t>
            </w:r>
            <w:r w:rsidRPr="00B77B84">
              <w:rPr>
                <w:rFonts w:asciiTheme="majorHAnsi" w:hAnsiTheme="majorHAnsi"/>
                <w:b/>
                <w:bCs/>
                <w:color w:val="FFFFFF" w:themeColor="background1"/>
                <w:sz w:val="20"/>
                <w:szCs w:val="20"/>
              </w:rPr>
              <w:t>:</w:t>
            </w:r>
          </w:p>
        </w:tc>
        <w:tc>
          <w:tcPr>
            <w:tcW w:w="5575" w:type="dxa"/>
            <w:vAlign w:val="center"/>
          </w:tcPr>
          <w:p w14:paraId="695608DF" w14:textId="7C820314" w:rsidR="003239B8" w:rsidRPr="00B77B84" w:rsidRDefault="00C773AB" w:rsidP="007B3367">
            <w:pPr>
              <w:rPr>
                <w:rFonts w:asciiTheme="majorHAnsi" w:hAnsiTheme="majorHAnsi"/>
                <w:bCs/>
                <w:sz w:val="20"/>
                <w:szCs w:val="20"/>
              </w:rPr>
            </w:pPr>
            <w:r>
              <w:rPr>
                <w:rFonts w:asciiTheme="majorHAnsi" w:hAnsiTheme="majorHAnsi"/>
                <w:bCs/>
                <w:sz w:val="20"/>
                <w:szCs w:val="20"/>
              </w:rPr>
              <w:t>Sí</w:t>
            </w:r>
          </w:p>
        </w:tc>
      </w:tr>
      <w:tr w:rsidR="003239B8" w:rsidRPr="00D44ED8" w14:paraId="20EFB33C" w14:textId="77777777" w:rsidTr="007D2468">
        <w:trPr>
          <w:cantSplit/>
        </w:trPr>
        <w:tc>
          <w:tcPr>
            <w:tcW w:w="3667" w:type="dxa"/>
            <w:tcBorders>
              <w:top w:val="single" w:sz="6" w:space="0" w:color="auto"/>
              <w:bottom w:val="single" w:sz="6" w:space="0" w:color="auto"/>
            </w:tcBorders>
            <w:shd w:val="clear" w:color="auto" w:fill="386294"/>
            <w:vAlign w:val="center"/>
          </w:tcPr>
          <w:p w14:paraId="0D7C4B59" w14:textId="77777777" w:rsidR="003239B8" w:rsidRPr="00B77B84" w:rsidRDefault="003239B8" w:rsidP="007B3367">
            <w:pPr>
              <w:jc w:val="center"/>
              <w:rPr>
                <w:rFonts w:asciiTheme="majorHAnsi" w:hAnsiTheme="majorHAnsi"/>
                <w:b/>
                <w:bCs/>
                <w:color w:val="FFFFFF" w:themeColor="background1"/>
                <w:sz w:val="20"/>
                <w:szCs w:val="20"/>
              </w:rPr>
            </w:pPr>
            <w:r w:rsidRPr="00B77B84">
              <w:rPr>
                <w:rFonts w:asciiTheme="majorHAnsi" w:hAnsiTheme="majorHAnsi"/>
                <w:b/>
                <w:bCs/>
                <w:color w:val="FFFFFF" w:themeColor="background1"/>
                <w:sz w:val="20"/>
                <w:szCs w:val="20"/>
              </w:rPr>
              <w:t>Competencia</w:t>
            </w:r>
            <w:r w:rsidRPr="00B77B84">
              <w:rPr>
                <w:rFonts w:asciiTheme="majorHAnsi" w:hAnsiTheme="majorHAnsi"/>
                <w:b/>
                <w:bCs/>
                <w:i/>
                <w:color w:val="FFFFFF" w:themeColor="background1"/>
                <w:sz w:val="20"/>
                <w:szCs w:val="20"/>
              </w:rPr>
              <w:t xml:space="preserve"> Ratione materia</w:t>
            </w:r>
            <w:r w:rsidR="00EE00E9" w:rsidRPr="00B77B84">
              <w:rPr>
                <w:rFonts w:asciiTheme="majorHAnsi" w:hAnsiTheme="majorHAnsi"/>
                <w:b/>
                <w:bCs/>
                <w:i/>
                <w:color w:val="FFFFFF" w:themeColor="background1"/>
                <w:sz w:val="20"/>
                <w:szCs w:val="20"/>
              </w:rPr>
              <w:t>e</w:t>
            </w:r>
            <w:r w:rsidRPr="00B77B84">
              <w:rPr>
                <w:rFonts w:asciiTheme="majorHAnsi" w:hAnsiTheme="majorHAnsi"/>
                <w:b/>
                <w:bCs/>
                <w:color w:val="FFFFFF" w:themeColor="background1"/>
                <w:sz w:val="20"/>
                <w:szCs w:val="20"/>
              </w:rPr>
              <w:t>:</w:t>
            </w:r>
          </w:p>
        </w:tc>
        <w:tc>
          <w:tcPr>
            <w:tcW w:w="5575" w:type="dxa"/>
            <w:vAlign w:val="center"/>
          </w:tcPr>
          <w:p w14:paraId="74634F8C" w14:textId="0BB804F0" w:rsidR="003239B8" w:rsidRPr="00B77B84" w:rsidRDefault="00FC3CF6" w:rsidP="007B3367">
            <w:pPr>
              <w:jc w:val="both"/>
              <w:rPr>
                <w:rFonts w:asciiTheme="majorHAnsi" w:hAnsiTheme="majorHAnsi"/>
                <w:bCs/>
                <w:sz w:val="20"/>
                <w:szCs w:val="20"/>
                <w:lang w:val="es-ES"/>
              </w:rPr>
            </w:pPr>
            <w:r w:rsidRPr="00B77B84">
              <w:rPr>
                <w:rFonts w:asciiTheme="majorHAnsi" w:hAnsiTheme="majorHAnsi"/>
                <w:bCs/>
                <w:sz w:val="20"/>
                <w:szCs w:val="20"/>
                <w:lang w:val="es-ES_tradnl"/>
              </w:rPr>
              <w:t>Sí, Convención Americana (depósito de instrumento de ratificación realizado el 21 de octubre de 1977)</w:t>
            </w:r>
            <w:r w:rsidR="00E02642" w:rsidRPr="00B77B84">
              <w:rPr>
                <w:rFonts w:asciiTheme="majorHAnsi" w:hAnsiTheme="majorHAnsi"/>
                <w:bCs/>
                <w:sz w:val="20"/>
                <w:szCs w:val="20"/>
                <w:lang w:val="es-ES"/>
              </w:rPr>
              <w:t xml:space="preserve"> </w:t>
            </w:r>
          </w:p>
        </w:tc>
      </w:tr>
    </w:tbl>
    <w:p w14:paraId="26BBC490" w14:textId="070E0BAD" w:rsidR="003239B8" w:rsidRPr="00B77B84" w:rsidRDefault="003239B8" w:rsidP="003239B8">
      <w:pPr>
        <w:spacing w:before="240" w:after="240"/>
        <w:ind w:firstLine="720"/>
        <w:jc w:val="both"/>
        <w:rPr>
          <w:rFonts w:asciiTheme="majorHAnsi" w:hAnsiTheme="majorHAnsi"/>
          <w:b/>
          <w:bCs/>
          <w:sz w:val="20"/>
          <w:szCs w:val="20"/>
          <w:lang w:val="es-ES"/>
        </w:rPr>
      </w:pPr>
      <w:r w:rsidRPr="00B77B84">
        <w:rPr>
          <w:rFonts w:asciiTheme="majorHAnsi" w:hAnsiTheme="majorHAnsi"/>
          <w:b/>
          <w:bCs/>
          <w:sz w:val="20"/>
          <w:szCs w:val="20"/>
          <w:lang w:val="es-ES"/>
        </w:rPr>
        <w:t xml:space="preserve">IV. </w:t>
      </w:r>
      <w:r w:rsidRPr="00B77B84">
        <w:rPr>
          <w:rFonts w:asciiTheme="majorHAnsi" w:hAnsiTheme="majorHAnsi"/>
          <w:b/>
          <w:bCs/>
          <w:sz w:val="20"/>
          <w:szCs w:val="20"/>
          <w:lang w:val="es-ES"/>
        </w:rPr>
        <w:tab/>
      </w:r>
      <w:r w:rsidR="00EE00E9" w:rsidRPr="00B77B84">
        <w:rPr>
          <w:rFonts w:asciiTheme="majorHAnsi" w:hAnsiTheme="majorHAnsi"/>
          <w:b/>
          <w:bCs/>
          <w:sz w:val="20"/>
          <w:szCs w:val="20"/>
          <w:lang w:val="es-ES"/>
        </w:rPr>
        <w:t>DUPLICACIÓN</w:t>
      </w:r>
      <w:r w:rsidR="00EE00E9" w:rsidRPr="00B77B84">
        <w:rPr>
          <w:rFonts w:asciiTheme="majorHAnsi" w:hAnsiTheme="majorHAnsi"/>
          <w:b/>
          <w:bCs/>
          <w:color w:val="FFFFFF" w:themeColor="background1"/>
          <w:sz w:val="20"/>
          <w:szCs w:val="20"/>
          <w:lang w:val="es-ES"/>
        </w:rPr>
        <w:t xml:space="preserve"> </w:t>
      </w:r>
      <w:r w:rsidR="00EE00E9" w:rsidRPr="00B77B84">
        <w:rPr>
          <w:rFonts w:asciiTheme="majorHAnsi" w:hAnsiTheme="majorHAnsi"/>
          <w:b/>
          <w:bCs/>
          <w:sz w:val="20"/>
          <w:szCs w:val="20"/>
          <w:lang w:val="es-ES"/>
        </w:rPr>
        <w:t>DE PROCEDIMIENTOS Y COSA JUZGADA</w:t>
      </w:r>
      <w:r w:rsidR="00EE00E9" w:rsidRPr="00B77B84">
        <w:rPr>
          <w:rFonts w:asciiTheme="majorHAnsi" w:hAnsiTheme="majorHAnsi"/>
          <w:b/>
          <w:bCs/>
          <w:i/>
          <w:sz w:val="20"/>
          <w:szCs w:val="20"/>
          <w:lang w:val="es-ES"/>
        </w:rPr>
        <w:t xml:space="preserve"> </w:t>
      </w:r>
      <w:r w:rsidR="00B76C21" w:rsidRPr="00B77B84">
        <w:rPr>
          <w:rFonts w:asciiTheme="majorHAnsi" w:hAnsiTheme="majorHAnsi"/>
          <w:b/>
          <w:bCs/>
          <w:sz w:val="20"/>
          <w:szCs w:val="20"/>
          <w:lang w:val="es-ES"/>
        </w:rPr>
        <w:t>INTERNACIONAL, CARACTERIZACIÓN</w:t>
      </w:r>
      <w:r w:rsidRPr="00B77B84">
        <w:rPr>
          <w:rFonts w:asciiTheme="majorHAnsi" w:hAnsiTheme="majorHAnsi"/>
          <w:b/>
          <w:bCs/>
          <w:sz w:val="20"/>
          <w:szCs w:val="20"/>
          <w:lang w:val="es-ES"/>
        </w:rPr>
        <w:t xml:space="preserve">, </w:t>
      </w:r>
      <w:r w:rsidRPr="00B77B8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67"/>
        <w:gridCol w:w="5575"/>
      </w:tblGrid>
      <w:tr w:rsidR="00EE00E9" w:rsidRPr="00B77B84" w14:paraId="0663E63A" w14:textId="77777777" w:rsidTr="007D2468">
        <w:trPr>
          <w:cantSplit/>
        </w:trPr>
        <w:tc>
          <w:tcPr>
            <w:tcW w:w="3667" w:type="dxa"/>
            <w:tcBorders>
              <w:top w:val="single" w:sz="4" w:space="0" w:color="auto"/>
              <w:bottom w:val="single" w:sz="6" w:space="0" w:color="auto"/>
            </w:tcBorders>
            <w:shd w:val="clear" w:color="auto" w:fill="386294"/>
            <w:vAlign w:val="center"/>
          </w:tcPr>
          <w:p w14:paraId="0C7091E5" w14:textId="77777777" w:rsidR="00EE00E9" w:rsidRPr="00B77B84" w:rsidRDefault="00EE00E9" w:rsidP="007B3367">
            <w:pPr>
              <w:jc w:val="center"/>
              <w:rPr>
                <w:rFonts w:asciiTheme="majorHAnsi" w:hAnsiTheme="majorHAnsi"/>
                <w:b/>
                <w:bCs/>
                <w:color w:val="FFFFFF" w:themeColor="background1"/>
                <w:sz w:val="20"/>
                <w:szCs w:val="20"/>
                <w:lang w:val="es-ES"/>
              </w:rPr>
            </w:pPr>
            <w:r w:rsidRPr="00B77B84">
              <w:rPr>
                <w:rFonts w:asciiTheme="majorHAnsi" w:hAnsiTheme="majorHAnsi"/>
                <w:b/>
                <w:bCs/>
                <w:color w:val="FFFFFF" w:themeColor="background1"/>
                <w:sz w:val="20"/>
                <w:szCs w:val="20"/>
                <w:lang w:val="es-ES"/>
              </w:rPr>
              <w:t>Duplicación de procedimientos y cosa juzgada internacional:</w:t>
            </w:r>
          </w:p>
        </w:tc>
        <w:tc>
          <w:tcPr>
            <w:tcW w:w="5575" w:type="dxa"/>
            <w:vAlign w:val="center"/>
          </w:tcPr>
          <w:p w14:paraId="5599BFE7" w14:textId="15F52E07" w:rsidR="00EE00E9" w:rsidRPr="00B77B84" w:rsidRDefault="00C773AB" w:rsidP="007B3367">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D44ED8" w14:paraId="578A0069" w14:textId="77777777" w:rsidTr="007D2468">
        <w:trPr>
          <w:cantSplit/>
        </w:trPr>
        <w:tc>
          <w:tcPr>
            <w:tcW w:w="3667" w:type="dxa"/>
            <w:tcBorders>
              <w:top w:val="single" w:sz="4" w:space="0" w:color="auto"/>
              <w:bottom w:val="single" w:sz="6" w:space="0" w:color="auto"/>
            </w:tcBorders>
            <w:shd w:val="clear" w:color="auto" w:fill="386294"/>
            <w:vAlign w:val="center"/>
          </w:tcPr>
          <w:p w14:paraId="4183E25D" w14:textId="77777777" w:rsidR="003239B8" w:rsidRPr="00B77B84" w:rsidRDefault="003239B8" w:rsidP="007B3367">
            <w:pPr>
              <w:jc w:val="center"/>
              <w:rPr>
                <w:rFonts w:asciiTheme="majorHAnsi" w:hAnsiTheme="majorHAnsi"/>
                <w:b/>
                <w:bCs/>
                <w:i/>
                <w:color w:val="FFFFFF" w:themeColor="background1"/>
                <w:sz w:val="20"/>
                <w:szCs w:val="20"/>
              </w:rPr>
            </w:pPr>
            <w:r w:rsidRPr="00B77B84">
              <w:rPr>
                <w:rFonts w:asciiTheme="majorHAnsi" w:hAnsiTheme="majorHAnsi"/>
                <w:b/>
                <w:bCs/>
                <w:color w:val="FFFFFF" w:themeColor="background1"/>
                <w:sz w:val="20"/>
                <w:szCs w:val="20"/>
              </w:rPr>
              <w:t>Derechos declarados admisibles</w:t>
            </w:r>
            <w:r w:rsidRPr="00B77B84">
              <w:rPr>
                <w:rFonts w:asciiTheme="majorHAnsi" w:hAnsiTheme="majorHAnsi"/>
                <w:b/>
                <w:bCs/>
                <w:i/>
                <w:color w:val="FFFFFF" w:themeColor="background1"/>
                <w:sz w:val="20"/>
                <w:szCs w:val="20"/>
              </w:rPr>
              <w:t>:</w:t>
            </w:r>
          </w:p>
        </w:tc>
        <w:tc>
          <w:tcPr>
            <w:tcW w:w="5575" w:type="dxa"/>
            <w:vAlign w:val="center"/>
          </w:tcPr>
          <w:p w14:paraId="7B8FD276" w14:textId="37563E25" w:rsidR="003239B8" w:rsidRPr="00C757C5" w:rsidRDefault="00C757C5" w:rsidP="007B3367">
            <w:pPr>
              <w:jc w:val="both"/>
              <w:rPr>
                <w:rFonts w:asciiTheme="majorHAnsi" w:hAnsiTheme="majorHAnsi"/>
                <w:bCs/>
                <w:sz w:val="20"/>
                <w:szCs w:val="20"/>
                <w:lang w:val="es-ES"/>
              </w:rPr>
            </w:pPr>
            <w:r w:rsidRPr="00B77B84">
              <w:rPr>
                <w:rFonts w:asciiTheme="majorHAnsi" w:hAnsiTheme="majorHAnsi"/>
                <w:bCs/>
                <w:sz w:val="20"/>
                <w:szCs w:val="20"/>
                <w:lang w:val="es-ES"/>
              </w:rPr>
              <w:t>Artículo</w:t>
            </w:r>
            <w:r>
              <w:rPr>
                <w:rFonts w:asciiTheme="majorHAnsi" w:hAnsiTheme="majorHAnsi"/>
                <w:bCs/>
                <w:sz w:val="20"/>
                <w:szCs w:val="20"/>
                <w:lang w:val="es-ES"/>
              </w:rPr>
              <w:t>s</w:t>
            </w:r>
            <w:r w:rsidRPr="00B77B84">
              <w:rPr>
                <w:rFonts w:asciiTheme="majorHAnsi" w:hAnsiTheme="majorHAnsi"/>
                <w:bCs/>
                <w:sz w:val="20"/>
                <w:szCs w:val="20"/>
                <w:lang w:val="es-ES"/>
              </w:rPr>
              <w:t xml:space="preserve"> 8 (garantías judiciales), 23 (derechos políticos), 24 (igualdad ante la ley) y 25 (protección judicial) de la Convención Americana</w:t>
            </w:r>
            <w:r w:rsidR="007D2468">
              <w:rPr>
                <w:rFonts w:asciiTheme="majorHAnsi" w:hAnsiTheme="majorHAnsi"/>
                <w:bCs/>
                <w:sz w:val="20"/>
                <w:szCs w:val="20"/>
                <w:lang w:val="es-ES"/>
              </w:rPr>
              <w:t>,</w:t>
            </w:r>
            <w:r>
              <w:rPr>
                <w:rFonts w:asciiTheme="majorHAnsi" w:hAnsiTheme="majorHAnsi"/>
                <w:bCs/>
                <w:sz w:val="20"/>
                <w:szCs w:val="20"/>
                <w:lang w:val="es-ES"/>
              </w:rPr>
              <w:t xml:space="preserve"> en relación con sus artículos 1.1 (obligación de respetar derechos) y 2 (deber de adoptar disposiciones de derecho interno)</w:t>
            </w:r>
            <w:r w:rsidRPr="00B77B84">
              <w:rPr>
                <w:rFonts w:asciiTheme="majorHAnsi" w:hAnsiTheme="majorHAnsi"/>
                <w:bCs/>
                <w:sz w:val="20"/>
                <w:szCs w:val="20"/>
                <w:lang w:val="es-ES"/>
              </w:rPr>
              <w:t xml:space="preserve"> </w:t>
            </w:r>
          </w:p>
        </w:tc>
      </w:tr>
      <w:tr w:rsidR="003239B8" w:rsidRPr="00D44ED8" w14:paraId="29C846B7" w14:textId="77777777" w:rsidTr="007D2468">
        <w:trPr>
          <w:cantSplit/>
        </w:trPr>
        <w:tc>
          <w:tcPr>
            <w:tcW w:w="3667" w:type="dxa"/>
            <w:tcBorders>
              <w:top w:val="single" w:sz="6" w:space="0" w:color="auto"/>
              <w:bottom w:val="single" w:sz="6" w:space="0" w:color="auto"/>
            </w:tcBorders>
            <w:shd w:val="clear" w:color="auto" w:fill="386294"/>
            <w:vAlign w:val="center"/>
          </w:tcPr>
          <w:p w14:paraId="643EAC9C" w14:textId="77777777" w:rsidR="003239B8" w:rsidRPr="00B77B84" w:rsidRDefault="003239B8" w:rsidP="007B3367">
            <w:pPr>
              <w:jc w:val="center"/>
              <w:rPr>
                <w:rFonts w:asciiTheme="majorHAnsi" w:hAnsiTheme="majorHAnsi"/>
                <w:b/>
                <w:bCs/>
                <w:color w:val="FFFFFF" w:themeColor="background1"/>
                <w:sz w:val="20"/>
                <w:szCs w:val="20"/>
                <w:lang w:val="es-ES"/>
              </w:rPr>
            </w:pPr>
            <w:r w:rsidRPr="00B77B84">
              <w:rPr>
                <w:rFonts w:asciiTheme="majorHAnsi" w:hAnsiTheme="majorHAnsi"/>
                <w:b/>
                <w:bCs/>
                <w:color w:val="FFFFFF" w:themeColor="background1"/>
                <w:sz w:val="20"/>
                <w:szCs w:val="20"/>
                <w:lang w:val="es-ES"/>
              </w:rPr>
              <w:t>Agotamiento de recursos internos</w:t>
            </w:r>
            <w:r w:rsidR="00EE00E9" w:rsidRPr="00B77B84">
              <w:rPr>
                <w:rFonts w:asciiTheme="majorHAnsi" w:hAnsiTheme="majorHAnsi"/>
                <w:b/>
                <w:bCs/>
                <w:color w:val="FFFFFF" w:themeColor="background1"/>
                <w:sz w:val="20"/>
                <w:szCs w:val="20"/>
                <w:lang w:val="es-ES"/>
              </w:rPr>
              <w:t xml:space="preserve"> o procedencia de una excepción</w:t>
            </w:r>
            <w:r w:rsidRPr="00B77B84">
              <w:rPr>
                <w:rFonts w:asciiTheme="majorHAnsi" w:hAnsiTheme="majorHAnsi"/>
                <w:b/>
                <w:bCs/>
                <w:color w:val="FFFFFF" w:themeColor="background1"/>
                <w:sz w:val="20"/>
                <w:szCs w:val="20"/>
                <w:lang w:val="es-ES"/>
              </w:rPr>
              <w:t>:</w:t>
            </w:r>
          </w:p>
        </w:tc>
        <w:tc>
          <w:tcPr>
            <w:tcW w:w="5575" w:type="dxa"/>
            <w:vAlign w:val="center"/>
          </w:tcPr>
          <w:p w14:paraId="5370CF29" w14:textId="795DE70F" w:rsidR="003239B8" w:rsidRPr="00C773AB" w:rsidRDefault="00C773AB" w:rsidP="007B3367">
            <w:pPr>
              <w:rPr>
                <w:rFonts w:asciiTheme="majorHAnsi" w:hAnsiTheme="majorHAnsi"/>
                <w:bCs/>
                <w:sz w:val="20"/>
                <w:szCs w:val="20"/>
                <w:lang w:val="es-ES"/>
              </w:rPr>
            </w:pPr>
            <w:r w:rsidRPr="00C773AB">
              <w:rPr>
                <w:rFonts w:asciiTheme="majorHAnsi" w:hAnsiTheme="majorHAnsi"/>
                <w:bCs/>
                <w:sz w:val="20"/>
                <w:szCs w:val="20"/>
                <w:lang w:val="es-ES"/>
              </w:rPr>
              <w:t xml:space="preserve">Sí, en los términos de la </w:t>
            </w:r>
            <w:r>
              <w:rPr>
                <w:rFonts w:asciiTheme="majorHAnsi" w:hAnsiTheme="majorHAnsi"/>
                <w:bCs/>
                <w:sz w:val="20"/>
                <w:szCs w:val="20"/>
                <w:lang w:val="es-ES"/>
              </w:rPr>
              <w:t>secc</w:t>
            </w:r>
            <w:r w:rsidR="00CE69DC">
              <w:rPr>
                <w:rFonts w:asciiTheme="majorHAnsi" w:hAnsiTheme="majorHAnsi"/>
                <w:bCs/>
                <w:sz w:val="20"/>
                <w:szCs w:val="20"/>
                <w:lang w:val="es-ES"/>
              </w:rPr>
              <w:t>ión VI</w:t>
            </w:r>
          </w:p>
        </w:tc>
      </w:tr>
      <w:tr w:rsidR="003239B8" w:rsidRPr="00D44ED8" w14:paraId="775CCD0C" w14:textId="77777777" w:rsidTr="007D2468">
        <w:trPr>
          <w:cantSplit/>
        </w:trPr>
        <w:tc>
          <w:tcPr>
            <w:tcW w:w="3667" w:type="dxa"/>
            <w:tcBorders>
              <w:top w:val="single" w:sz="6" w:space="0" w:color="auto"/>
              <w:bottom w:val="single" w:sz="6" w:space="0" w:color="auto"/>
            </w:tcBorders>
            <w:shd w:val="clear" w:color="auto" w:fill="386294"/>
            <w:vAlign w:val="center"/>
          </w:tcPr>
          <w:p w14:paraId="034DA6C3" w14:textId="77777777" w:rsidR="003239B8" w:rsidRPr="00B77B84" w:rsidRDefault="003239B8" w:rsidP="007B3367">
            <w:pPr>
              <w:jc w:val="center"/>
              <w:rPr>
                <w:rFonts w:asciiTheme="majorHAnsi" w:hAnsiTheme="majorHAnsi"/>
                <w:b/>
                <w:bCs/>
                <w:color w:val="FFFFFF" w:themeColor="background1"/>
                <w:sz w:val="20"/>
                <w:szCs w:val="20"/>
              </w:rPr>
            </w:pPr>
            <w:proofErr w:type="spellStart"/>
            <w:r w:rsidRPr="00B77B84">
              <w:rPr>
                <w:rFonts w:asciiTheme="majorHAnsi" w:hAnsiTheme="majorHAnsi"/>
                <w:b/>
                <w:bCs/>
                <w:color w:val="FFFFFF" w:themeColor="background1"/>
                <w:sz w:val="20"/>
                <w:szCs w:val="20"/>
              </w:rPr>
              <w:t>Presentación</w:t>
            </w:r>
            <w:proofErr w:type="spellEnd"/>
            <w:r w:rsidRPr="00B77B84">
              <w:rPr>
                <w:rFonts w:asciiTheme="majorHAnsi" w:hAnsiTheme="majorHAnsi"/>
                <w:b/>
                <w:bCs/>
                <w:color w:val="FFFFFF" w:themeColor="background1"/>
                <w:sz w:val="20"/>
                <w:szCs w:val="20"/>
              </w:rPr>
              <w:t xml:space="preserve"> dentro de </w:t>
            </w:r>
            <w:proofErr w:type="spellStart"/>
            <w:r w:rsidRPr="00B77B84">
              <w:rPr>
                <w:rFonts w:asciiTheme="majorHAnsi" w:hAnsiTheme="majorHAnsi"/>
                <w:b/>
                <w:bCs/>
                <w:color w:val="FFFFFF" w:themeColor="background1"/>
                <w:sz w:val="20"/>
                <w:szCs w:val="20"/>
              </w:rPr>
              <w:t>plazo</w:t>
            </w:r>
            <w:proofErr w:type="spellEnd"/>
            <w:r w:rsidRPr="00B77B84">
              <w:rPr>
                <w:rFonts w:asciiTheme="majorHAnsi" w:hAnsiTheme="majorHAnsi"/>
                <w:b/>
                <w:bCs/>
                <w:color w:val="FFFFFF" w:themeColor="background1"/>
                <w:sz w:val="20"/>
                <w:szCs w:val="20"/>
              </w:rPr>
              <w:t>:</w:t>
            </w:r>
          </w:p>
        </w:tc>
        <w:tc>
          <w:tcPr>
            <w:tcW w:w="5575" w:type="dxa"/>
            <w:vAlign w:val="center"/>
          </w:tcPr>
          <w:p w14:paraId="550336DE" w14:textId="29AA49C7" w:rsidR="003239B8" w:rsidRPr="00CE69DC" w:rsidRDefault="00CE69DC" w:rsidP="007B3367">
            <w:pPr>
              <w:rPr>
                <w:rFonts w:asciiTheme="majorHAnsi" w:hAnsiTheme="majorHAnsi"/>
                <w:bCs/>
                <w:sz w:val="20"/>
                <w:szCs w:val="20"/>
                <w:lang w:val="es-ES"/>
              </w:rPr>
            </w:pPr>
            <w:r w:rsidRPr="00C773AB">
              <w:rPr>
                <w:rFonts w:asciiTheme="majorHAnsi" w:hAnsiTheme="majorHAnsi"/>
                <w:bCs/>
                <w:sz w:val="20"/>
                <w:szCs w:val="20"/>
                <w:lang w:val="es-ES"/>
              </w:rPr>
              <w:t xml:space="preserve">Sí, en los términos de la </w:t>
            </w:r>
            <w:r>
              <w:rPr>
                <w:rFonts w:asciiTheme="majorHAnsi" w:hAnsiTheme="majorHAnsi"/>
                <w:bCs/>
                <w:sz w:val="20"/>
                <w:szCs w:val="20"/>
                <w:lang w:val="es-ES"/>
              </w:rPr>
              <w:t>sección VI</w:t>
            </w:r>
          </w:p>
        </w:tc>
      </w:tr>
    </w:tbl>
    <w:p w14:paraId="50ED1370" w14:textId="77777777" w:rsidR="00DF4082" w:rsidRDefault="00DF4082" w:rsidP="00B76C21">
      <w:pPr>
        <w:ind w:firstLine="720"/>
        <w:jc w:val="both"/>
        <w:rPr>
          <w:rFonts w:asciiTheme="majorHAnsi" w:hAnsiTheme="majorHAnsi"/>
          <w:b/>
          <w:sz w:val="20"/>
          <w:szCs w:val="20"/>
          <w:lang w:val="es-UY"/>
        </w:rPr>
      </w:pPr>
    </w:p>
    <w:p w14:paraId="3E333381" w14:textId="278914BB" w:rsidR="003239B8" w:rsidRPr="009760EA" w:rsidRDefault="00223A29" w:rsidP="00B76C21">
      <w:pPr>
        <w:ind w:firstLine="720"/>
        <w:jc w:val="both"/>
        <w:rPr>
          <w:rFonts w:asciiTheme="majorHAnsi" w:hAnsiTheme="majorHAnsi"/>
          <w:b/>
          <w:sz w:val="20"/>
          <w:szCs w:val="20"/>
          <w:lang w:val="es-ES_tradnl"/>
        </w:rPr>
      </w:pPr>
      <w:r w:rsidRPr="009760EA">
        <w:rPr>
          <w:rFonts w:asciiTheme="majorHAnsi" w:hAnsiTheme="majorHAnsi"/>
          <w:b/>
          <w:sz w:val="20"/>
          <w:szCs w:val="20"/>
          <w:lang w:val="es-ES_tradnl"/>
        </w:rPr>
        <w:t xml:space="preserve">V. </w:t>
      </w:r>
      <w:r w:rsidRPr="009760EA">
        <w:rPr>
          <w:rFonts w:asciiTheme="majorHAnsi" w:hAnsiTheme="majorHAnsi"/>
          <w:b/>
          <w:sz w:val="20"/>
          <w:szCs w:val="20"/>
          <w:lang w:val="es-ES_tradnl"/>
        </w:rPr>
        <w:tab/>
      </w:r>
      <w:r w:rsidR="003239B8" w:rsidRPr="009760EA">
        <w:rPr>
          <w:rFonts w:asciiTheme="majorHAnsi" w:hAnsiTheme="majorHAnsi"/>
          <w:b/>
          <w:sz w:val="20"/>
          <w:szCs w:val="20"/>
          <w:lang w:val="es-ES_tradnl"/>
        </w:rPr>
        <w:t xml:space="preserve">HECHOS ALEGADOS </w:t>
      </w:r>
    </w:p>
    <w:p w14:paraId="32DBD651" w14:textId="77777777" w:rsidR="00B76C21" w:rsidRPr="009760EA" w:rsidRDefault="00B76C21" w:rsidP="00B76C21">
      <w:pPr>
        <w:jc w:val="both"/>
        <w:rPr>
          <w:rFonts w:asciiTheme="majorHAnsi" w:hAnsiTheme="majorHAnsi"/>
          <w:bCs/>
          <w:sz w:val="20"/>
          <w:szCs w:val="20"/>
          <w:lang w:val="es-ES_tradnl"/>
        </w:rPr>
      </w:pPr>
    </w:p>
    <w:p w14:paraId="51009CCF" w14:textId="6C92E11C" w:rsidR="007F12E1" w:rsidRPr="009760EA" w:rsidRDefault="00D35139" w:rsidP="007F12E1">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sz w:val="20"/>
          <w:szCs w:val="20"/>
          <w:lang w:val="es-ES_tradnl"/>
        </w:rPr>
        <w:t>Edwin Leonardo Jarrín Jarrín, Tania Elizabeth Pauker Cueva</w:t>
      </w:r>
      <w:r w:rsidR="003B320E" w:rsidRPr="009760EA">
        <w:rPr>
          <w:rFonts w:asciiTheme="majorHAnsi" w:hAnsiTheme="majorHAnsi"/>
          <w:sz w:val="20"/>
          <w:szCs w:val="20"/>
          <w:lang w:val="es-ES_tradnl"/>
        </w:rPr>
        <w:t xml:space="preserve"> y Sonia Gabriela Vera García</w:t>
      </w:r>
      <w:r w:rsidR="00EE0DEF" w:rsidRPr="009760EA">
        <w:rPr>
          <w:rFonts w:asciiTheme="majorHAnsi" w:hAnsiTheme="majorHAnsi"/>
          <w:sz w:val="20"/>
          <w:szCs w:val="20"/>
          <w:lang w:val="es-ES_tradnl"/>
        </w:rPr>
        <w:t>,</w:t>
      </w:r>
      <w:r w:rsidRPr="009760EA">
        <w:rPr>
          <w:rFonts w:asciiTheme="majorHAnsi" w:hAnsiTheme="majorHAnsi"/>
          <w:sz w:val="20"/>
          <w:szCs w:val="20"/>
          <w:lang w:val="es-ES_tradnl"/>
        </w:rPr>
        <w:t xml:space="preserve"> </w:t>
      </w:r>
      <w:r w:rsidR="00975E2C" w:rsidRPr="009760EA">
        <w:rPr>
          <w:rFonts w:asciiTheme="majorHAnsi" w:hAnsiTheme="majorHAnsi"/>
          <w:sz w:val="20"/>
          <w:szCs w:val="20"/>
          <w:lang w:val="es-ES_tradnl"/>
        </w:rPr>
        <w:t>antiguos miembros del Consejo de Participación Ciudadana y Control Social (en adelante “el Consejo” o “CPCCS”)</w:t>
      </w:r>
      <w:r w:rsidR="00E774F8" w:rsidRPr="009760EA">
        <w:rPr>
          <w:rFonts w:asciiTheme="majorHAnsi" w:hAnsiTheme="majorHAnsi"/>
          <w:sz w:val="20"/>
          <w:szCs w:val="20"/>
          <w:lang w:val="es-ES_tradnl"/>
        </w:rPr>
        <w:t>,</w:t>
      </w:r>
      <w:r w:rsidR="00975E2C" w:rsidRPr="009760EA">
        <w:rPr>
          <w:rFonts w:asciiTheme="majorHAnsi" w:hAnsiTheme="majorHAnsi"/>
          <w:sz w:val="20"/>
          <w:szCs w:val="20"/>
          <w:lang w:val="es-ES_tradnl"/>
        </w:rPr>
        <w:t xml:space="preserve"> </w:t>
      </w:r>
      <w:r w:rsidR="00B94B9C" w:rsidRPr="009760EA">
        <w:rPr>
          <w:rFonts w:asciiTheme="majorHAnsi" w:hAnsiTheme="majorHAnsi"/>
          <w:sz w:val="20"/>
          <w:szCs w:val="20"/>
          <w:lang w:val="es-ES_tradnl"/>
        </w:rPr>
        <w:t xml:space="preserve">alegan que el Estado vulneró sus derechos a </w:t>
      </w:r>
      <w:r w:rsidR="00524111" w:rsidRPr="009760EA">
        <w:rPr>
          <w:rFonts w:asciiTheme="majorHAnsi" w:hAnsiTheme="majorHAnsi"/>
          <w:sz w:val="20"/>
          <w:szCs w:val="20"/>
          <w:lang w:val="es-ES_tradnl"/>
        </w:rPr>
        <w:t>las garantías judiciales,</w:t>
      </w:r>
      <w:r w:rsidR="000F3742" w:rsidRPr="009760EA">
        <w:rPr>
          <w:rFonts w:asciiTheme="majorHAnsi" w:hAnsiTheme="majorHAnsi"/>
          <w:sz w:val="20"/>
          <w:szCs w:val="20"/>
          <w:lang w:val="es-ES_tradnl"/>
        </w:rPr>
        <w:t xml:space="preserve"> </w:t>
      </w:r>
      <w:r w:rsidR="00CF1714" w:rsidRPr="009760EA">
        <w:rPr>
          <w:rFonts w:asciiTheme="majorHAnsi" w:hAnsiTheme="majorHAnsi"/>
          <w:sz w:val="20"/>
          <w:szCs w:val="20"/>
          <w:lang w:val="es-ES_tradnl"/>
        </w:rPr>
        <w:t xml:space="preserve">los </w:t>
      </w:r>
      <w:r w:rsidR="000F3742" w:rsidRPr="009760EA">
        <w:rPr>
          <w:rFonts w:asciiTheme="majorHAnsi" w:hAnsiTheme="majorHAnsi"/>
          <w:sz w:val="20"/>
          <w:szCs w:val="20"/>
          <w:lang w:val="es-ES_tradnl"/>
        </w:rPr>
        <w:t>derechos políticos</w:t>
      </w:r>
      <w:r w:rsidR="00204B3D" w:rsidRPr="009760EA">
        <w:rPr>
          <w:rFonts w:asciiTheme="majorHAnsi" w:hAnsiTheme="majorHAnsi"/>
          <w:sz w:val="20"/>
          <w:szCs w:val="20"/>
          <w:lang w:val="es-ES_tradnl"/>
        </w:rPr>
        <w:t xml:space="preserve">, la igualdad </w:t>
      </w:r>
      <w:r w:rsidR="00204B3D" w:rsidRPr="009760EA">
        <w:rPr>
          <w:rFonts w:asciiTheme="majorHAnsi" w:hAnsiTheme="majorHAnsi"/>
          <w:sz w:val="20"/>
          <w:szCs w:val="20"/>
          <w:lang w:val="es-ES_tradnl"/>
        </w:rPr>
        <w:lastRenderedPageBreak/>
        <w:t>ante la ley</w:t>
      </w:r>
      <w:r w:rsidR="00685FD9" w:rsidRPr="009760EA">
        <w:rPr>
          <w:rFonts w:asciiTheme="majorHAnsi" w:hAnsiTheme="majorHAnsi"/>
          <w:sz w:val="20"/>
          <w:szCs w:val="20"/>
          <w:lang w:val="es-ES_tradnl"/>
        </w:rPr>
        <w:t>,</w:t>
      </w:r>
      <w:r w:rsidR="00204B3D" w:rsidRPr="009760EA">
        <w:rPr>
          <w:rFonts w:asciiTheme="majorHAnsi" w:hAnsiTheme="majorHAnsi"/>
          <w:sz w:val="20"/>
          <w:szCs w:val="20"/>
          <w:lang w:val="es-ES_tradnl"/>
        </w:rPr>
        <w:t xml:space="preserve"> y</w:t>
      </w:r>
      <w:r w:rsidR="00CF1714" w:rsidRPr="009760EA">
        <w:rPr>
          <w:rFonts w:asciiTheme="majorHAnsi" w:hAnsiTheme="majorHAnsi"/>
          <w:sz w:val="20"/>
          <w:szCs w:val="20"/>
          <w:lang w:val="es-ES_tradnl"/>
        </w:rPr>
        <w:t xml:space="preserve"> la</w:t>
      </w:r>
      <w:r w:rsidR="000F3742" w:rsidRPr="009760EA">
        <w:rPr>
          <w:rFonts w:asciiTheme="majorHAnsi" w:hAnsiTheme="majorHAnsi"/>
          <w:sz w:val="20"/>
          <w:szCs w:val="20"/>
          <w:lang w:val="es-ES_tradnl"/>
        </w:rPr>
        <w:t xml:space="preserve"> protección judicial </w:t>
      </w:r>
      <w:r w:rsidR="00B94B9C" w:rsidRPr="009760EA">
        <w:rPr>
          <w:rFonts w:asciiTheme="majorHAnsi" w:hAnsiTheme="majorHAnsi"/>
          <w:sz w:val="20"/>
          <w:szCs w:val="20"/>
          <w:lang w:val="es-ES_tradnl"/>
        </w:rPr>
        <w:t>al</w:t>
      </w:r>
      <w:r w:rsidR="001B209C" w:rsidRPr="009760EA">
        <w:rPr>
          <w:rFonts w:asciiTheme="majorHAnsi" w:hAnsiTheme="majorHAnsi"/>
          <w:sz w:val="20"/>
          <w:szCs w:val="20"/>
          <w:lang w:val="es-ES_tradnl"/>
        </w:rPr>
        <w:t xml:space="preserve"> </w:t>
      </w:r>
      <w:r w:rsidR="00685FD9" w:rsidRPr="009760EA">
        <w:rPr>
          <w:rFonts w:asciiTheme="majorHAnsi" w:hAnsiTheme="majorHAnsi"/>
          <w:sz w:val="20"/>
          <w:szCs w:val="20"/>
          <w:lang w:val="es-ES_tradnl"/>
        </w:rPr>
        <w:t xml:space="preserve">ser revocados de sus cargos por medio de un </w:t>
      </w:r>
      <w:r w:rsidR="001B209C" w:rsidRPr="009760EA">
        <w:rPr>
          <w:rFonts w:asciiTheme="majorHAnsi" w:hAnsiTheme="majorHAnsi"/>
          <w:sz w:val="20"/>
          <w:szCs w:val="20"/>
          <w:lang w:val="es-ES_tradnl"/>
        </w:rPr>
        <w:t>referéndum y consulta popular</w:t>
      </w:r>
      <w:r w:rsidR="00EE0DEF" w:rsidRPr="009760EA">
        <w:rPr>
          <w:rFonts w:asciiTheme="majorHAnsi" w:hAnsiTheme="majorHAnsi"/>
          <w:sz w:val="20"/>
          <w:szCs w:val="20"/>
          <w:lang w:val="es-ES_tradnl"/>
        </w:rPr>
        <w:t xml:space="preserve">, que no cumplió con las garantías constitucionalmente previstas para tales procedimientos. </w:t>
      </w:r>
    </w:p>
    <w:p w14:paraId="279FA4ED" w14:textId="036BFC60" w:rsidR="007F12E1" w:rsidRPr="009760EA" w:rsidRDefault="00A01327" w:rsidP="007F12E1">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sz w:val="20"/>
          <w:szCs w:val="20"/>
          <w:lang w:val="es-ES_tradnl"/>
        </w:rPr>
        <w:t xml:space="preserve">A modo de contexto, explican que, conforme al artículo 208 de la Constitución del 2008, </w:t>
      </w:r>
      <w:r w:rsidR="00E471E7" w:rsidRPr="009760EA">
        <w:rPr>
          <w:rFonts w:asciiTheme="majorHAnsi" w:hAnsiTheme="majorHAnsi"/>
          <w:sz w:val="20"/>
          <w:szCs w:val="20"/>
          <w:lang w:val="es-ES_tradnl"/>
        </w:rPr>
        <w:t>el</w:t>
      </w:r>
      <w:r w:rsidR="00FD51FD" w:rsidRPr="009760EA">
        <w:rPr>
          <w:rFonts w:asciiTheme="majorHAnsi" w:hAnsiTheme="majorHAnsi"/>
          <w:sz w:val="20"/>
          <w:szCs w:val="20"/>
          <w:lang w:val="es-ES_tradnl"/>
        </w:rPr>
        <w:t xml:space="preserve"> Consejo es una entidad autónoma que forma parte de la función de transparencia y control social del Ecuador</w:t>
      </w:r>
      <w:r w:rsidR="00140AE7" w:rsidRPr="009760EA">
        <w:rPr>
          <w:rFonts w:asciiTheme="majorHAnsi" w:hAnsiTheme="majorHAnsi"/>
          <w:sz w:val="20"/>
          <w:szCs w:val="20"/>
          <w:lang w:val="es-ES_tradnl"/>
        </w:rPr>
        <w:t>, una de las cinco principales de la estructura del Estado</w:t>
      </w:r>
      <w:r w:rsidRPr="009760EA">
        <w:rPr>
          <w:rStyle w:val="FootnoteReference"/>
          <w:rFonts w:asciiTheme="majorHAnsi" w:hAnsiTheme="majorHAnsi"/>
          <w:sz w:val="20"/>
          <w:szCs w:val="20"/>
          <w:lang w:val="es-ES_tradnl"/>
        </w:rPr>
        <w:footnoteReference w:id="5"/>
      </w:r>
      <w:r w:rsidR="00FD51FD" w:rsidRPr="009760EA">
        <w:rPr>
          <w:rFonts w:asciiTheme="majorHAnsi" w:hAnsiTheme="majorHAnsi"/>
          <w:sz w:val="20"/>
          <w:szCs w:val="20"/>
          <w:lang w:val="es-ES_tradnl"/>
        </w:rPr>
        <w:t>. Su</w:t>
      </w:r>
      <w:r w:rsidR="00EB2F70" w:rsidRPr="009760EA">
        <w:rPr>
          <w:rFonts w:asciiTheme="majorHAnsi" w:hAnsiTheme="majorHAnsi"/>
          <w:sz w:val="20"/>
          <w:szCs w:val="20"/>
          <w:lang w:val="es-ES_tradnl"/>
        </w:rPr>
        <w:t xml:space="preserve">s </w:t>
      </w:r>
      <w:r w:rsidRPr="009760EA">
        <w:rPr>
          <w:rFonts w:asciiTheme="majorHAnsi" w:hAnsiTheme="majorHAnsi"/>
          <w:sz w:val="20"/>
          <w:szCs w:val="20"/>
          <w:lang w:val="es-ES_tradnl"/>
        </w:rPr>
        <w:t>atribuciones</w:t>
      </w:r>
      <w:r w:rsidR="00EB2F70" w:rsidRPr="009760EA">
        <w:rPr>
          <w:rFonts w:asciiTheme="majorHAnsi" w:hAnsiTheme="majorHAnsi"/>
          <w:sz w:val="20"/>
          <w:szCs w:val="20"/>
          <w:lang w:val="es-ES_tradnl"/>
        </w:rPr>
        <w:t xml:space="preserve"> principales </w:t>
      </w:r>
      <w:r w:rsidR="00E471E7" w:rsidRPr="009760EA">
        <w:rPr>
          <w:rFonts w:asciiTheme="majorHAnsi" w:hAnsiTheme="majorHAnsi"/>
          <w:sz w:val="20"/>
          <w:szCs w:val="20"/>
          <w:lang w:val="es-ES_tradnl"/>
        </w:rPr>
        <w:t xml:space="preserve">son, </w:t>
      </w:r>
      <w:r w:rsidR="00EB2F70" w:rsidRPr="009760EA">
        <w:rPr>
          <w:rFonts w:asciiTheme="majorHAnsi" w:hAnsiTheme="majorHAnsi"/>
          <w:sz w:val="20"/>
          <w:szCs w:val="20"/>
          <w:lang w:val="es-ES_tradnl"/>
        </w:rPr>
        <w:t xml:space="preserve">entre otras: </w:t>
      </w:r>
      <w:r w:rsidR="005915E5" w:rsidRPr="009760EA">
        <w:rPr>
          <w:rFonts w:asciiTheme="majorHAnsi" w:hAnsiTheme="majorHAnsi"/>
          <w:sz w:val="20"/>
          <w:szCs w:val="20"/>
          <w:lang w:val="es-ES_tradnl"/>
        </w:rPr>
        <w:t>promover la participación ciudadana</w:t>
      </w:r>
      <w:r w:rsidR="00895C43" w:rsidRPr="009760EA">
        <w:rPr>
          <w:rFonts w:asciiTheme="majorHAnsi" w:hAnsiTheme="majorHAnsi"/>
          <w:sz w:val="20"/>
          <w:szCs w:val="20"/>
          <w:lang w:val="es-ES_tradnl"/>
        </w:rPr>
        <w:t xml:space="preserve">, estimular procesos de deliberación pública y </w:t>
      </w:r>
      <w:r w:rsidR="00EB2F70" w:rsidRPr="009760EA">
        <w:rPr>
          <w:rFonts w:asciiTheme="majorHAnsi" w:hAnsiTheme="majorHAnsi"/>
          <w:sz w:val="20"/>
          <w:szCs w:val="20"/>
          <w:lang w:val="es-ES_tradnl"/>
        </w:rPr>
        <w:t xml:space="preserve"> propiciar la formación en ciudadanía, valores, transparencia y lucha contra la corrupción</w:t>
      </w:r>
      <w:r w:rsidR="00FF23EC" w:rsidRPr="009760EA">
        <w:rPr>
          <w:rFonts w:asciiTheme="majorHAnsi" w:hAnsiTheme="majorHAnsi"/>
          <w:sz w:val="20"/>
          <w:szCs w:val="20"/>
          <w:lang w:val="es-ES_tradnl"/>
        </w:rPr>
        <w:t>; establecer mecanismos de rendición de cuentas</w:t>
      </w:r>
      <w:r w:rsidR="00140AE7" w:rsidRPr="009760EA">
        <w:rPr>
          <w:rFonts w:asciiTheme="majorHAnsi" w:hAnsiTheme="majorHAnsi"/>
          <w:sz w:val="20"/>
          <w:szCs w:val="20"/>
          <w:lang w:val="es-ES_tradnl"/>
        </w:rPr>
        <w:t xml:space="preserve">; </w:t>
      </w:r>
      <w:r w:rsidR="007B1556" w:rsidRPr="009760EA">
        <w:rPr>
          <w:rFonts w:asciiTheme="majorHAnsi" w:hAnsiTheme="majorHAnsi"/>
          <w:sz w:val="20"/>
          <w:szCs w:val="20"/>
          <w:lang w:val="es-ES_tradnl"/>
        </w:rPr>
        <w:t>investigar denuncias sobre actos u omisiones que afecten a la participación ciudadana o generen corrupción; emitir informes que determinen la existencia de indicios de responsabilidad, formular las recomendaciones necesarias</w:t>
      </w:r>
      <w:r w:rsidR="00555F15" w:rsidRPr="009760EA">
        <w:rPr>
          <w:rFonts w:asciiTheme="majorHAnsi" w:hAnsiTheme="majorHAnsi"/>
          <w:sz w:val="20"/>
          <w:szCs w:val="20"/>
          <w:lang w:val="es-ES_tradnl"/>
        </w:rPr>
        <w:t xml:space="preserve"> e impulsar las acciones legales que correspondan; </w:t>
      </w:r>
      <w:r w:rsidR="00140AE7" w:rsidRPr="009760EA">
        <w:rPr>
          <w:rFonts w:asciiTheme="majorHAnsi" w:hAnsiTheme="majorHAnsi"/>
          <w:sz w:val="20"/>
          <w:szCs w:val="20"/>
          <w:lang w:val="es-ES_tradnl"/>
        </w:rPr>
        <w:t xml:space="preserve">así como </w:t>
      </w:r>
      <w:r w:rsidR="00555F15" w:rsidRPr="009760EA">
        <w:rPr>
          <w:rFonts w:asciiTheme="majorHAnsi" w:hAnsiTheme="majorHAnsi"/>
          <w:sz w:val="20"/>
          <w:szCs w:val="20"/>
          <w:lang w:val="es-ES_tradnl"/>
        </w:rPr>
        <w:t xml:space="preserve">actuar como parte procesal en </w:t>
      </w:r>
      <w:r w:rsidR="00140AE7" w:rsidRPr="009760EA">
        <w:rPr>
          <w:rFonts w:asciiTheme="majorHAnsi" w:hAnsiTheme="majorHAnsi"/>
          <w:sz w:val="20"/>
          <w:szCs w:val="20"/>
          <w:lang w:val="es-ES_tradnl"/>
        </w:rPr>
        <w:t>estas</w:t>
      </w:r>
      <w:r w:rsidR="00555F15" w:rsidRPr="009760EA">
        <w:rPr>
          <w:rFonts w:asciiTheme="majorHAnsi" w:hAnsiTheme="majorHAnsi"/>
          <w:sz w:val="20"/>
          <w:szCs w:val="20"/>
          <w:lang w:val="es-ES_tradnl"/>
        </w:rPr>
        <w:t xml:space="preserve"> causas</w:t>
      </w:r>
      <w:r w:rsidR="00140AE7" w:rsidRPr="009760EA">
        <w:rPr>
          <w:rFonts w:asciiTheme="majorHAnsi" w:hAnsiTheme="majorHAnsi"/>
          <w:sz w:val="20"/>
          <w:szCs w:val="20"/>
          <w:lang w:val="es-ES_tradnl"/>
        </w:rPr>
        <w:t>.</w:t>
      </w:r>
      <w:r w:rsidR="001834AB" w:rsidRPr="009760EA">
        <w:rPr>
          <w:rFonts w:asciiTheme="majorHAnsi" w:hAnsiTheme="majorHAnsi"/>
          <w:sz w:val="20"/>
          <w:szCs w:val="20"/>
          <w:lang w:val="es-ES_tradnl"/>
        </w:rPr>
        <w:t xml:space="preserve"> </w:t>
      </w:r>
    </w:p>
    <w:p w14:paraId="44CEBE2F" w14:textId="758C9559" w:rsidR="00B01B1F" w:rsidRPr="009760EA" w:rsidRDefault="00412AE6" w:rsidP="00B01B1F">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sz w:val="20"/>
          <w:szCs w:val="20"/>
          <w:lang w:val="es-ES_tradnl"/>
        </w:rPr>
        <w:t xml:space="preserve">Asimismo, </w:t>
      </w:r>
      <w:r w:rsidR="00630AE3" w:rsidRPr="009760EA">
        <w:rPr>
          <w:rFonts w:asciiTheme="majorHAnsi" w:hAnsiTheme="majorHAnsi"/>
          <w:sz w:val="20"/>
          <w:szCs w:val="20"/>
          <w:lang w:val="es-ES_tradnl"/>
        </w:rPr>
        <w:t>indican</w:t>
      </w:r>
      <w:r w:rsidRPr="009760EA">
        <w:rPr>
          <w:rFonts w:asciiTheme="majorHAnsi" w:hAnsiTheme="majorHAnsi"/>
          <w:sz w:val="20"/>
          <w:szCs w:val="20"/>
          <w:lang w:val="es-ES_tradnl"/>
        </w:rPr>
        <w:t xml:space="preserve"> que el artículo 207 de la citada Constitución detalla que el Consejo está integrado por siete Consejeras y Consejeros Principales y siete suplentes, quienes ejercerán sus funciones durante un periodo</w:t>
      </w:r>
      <w:r w:rsidR="00975DAD" w:rsidRPr="009760EA">
        <w:rPr>
          <w:rFonts w:asciiTheme="majorHAnsi" w:hAnsiTheme="majorHAnsi"/>
          <w:sz w:val="20"/>
          <w:szCs w:val="20"/>
          <w:lang w:val="es-ES_tradnl"/>
        </w:rPr>
        <w:t xml:space="preserve"> de cinco años</w:t>
      </w:r>
      <w:r w:rsidRPr="009760EA">
        <w:rPr>
          <w:rStyle w:val="FootnoteReference"/>
          <w:rFonts w:asciiTheme="majorHAnsi" w:hAnsiTheme="majorHAnsi"/>
          <w:sz w:val="20"/>
          <w:szCs w:val="20"/>
          <w:lang w:val="es-ES_tradnl"/>
        </w:rPr>
        <w:footnoteReference w:id="6"/>
      </w:r>
      <w:r w:rsidRPr="009760EA">
        <w:rPr>
          <w:rFonts w:asciiTheme="majorHAnsi" w:hAnsiTheme="majorHAnsi"/>
          <w:sz w:val="20"/>
          <w:szCs w:val="20"/>
          <w:lang w:val="es-ES_tradnl"/>
        </w:rPr>
        <w:t>. Además, el artículo 205 de dicha norma estipula que tales funcionarios tendrán fuero de Corte Nacional y estarán sujetos al enjuiciamiento político de la Asamblea Nacional y que, en caso de darse este enjuiciamiento, y de procederse a la destitución, se deberá realizar un nuevo proceso de designación. En ningún caso la Función Legislativa podrá designar al reemplazo</w:t>
      </w:r>
      <w:r w:rsidRPr="009760EA">
        <w:rPr>
          <w:rStyle w:val="FootnoteReference"/>
          <w:rFonts w:asciiTheme="majorHAnsi" w:hAnsiTheme="majorHAnsi"/>
          <w:sz w:val="20"/>
          <w:szCs w:val="20"/>
          <w:lang w:val="es-ES_tradnl"/>
        </w:rPr>
        <w:footnoteReference w:id="7"/>
      </w:r>
      <w:r w:rsidRPr="009760EA">
        <w:rPr>
          <w:rFonts w:asciiTheme="majorHAnsi" w:hAnsiTheme="majorHAnsi"/>
          <w:sz w:val="20"/>
          <w:szCs w:val="20"/>
          <w:lang w:val="es-ES_tradnl"/>
        </w:rPr>
        <w:t xml:space="preserve">. </w:t>
      </w:r>
    </w:p>
    <w:p w14:paraId="5169F41E" w14:textId="5EE0AA72" w:rsidR="004A7B81" w:rsidRPr="009760EA" w:rsidRDefault="00975DAD" w:rsidP="00B01B1F">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bCs/>
          <w:sz w:val="20"/>
          <w:szCs w:val="20"/>
          <w:lang w:val="es-ES_tradnl"/>
        </w:rPr>
        <w:t>En virtud del citado marco normativo, los peticionarios sostienen que el 23 de julio de 2015 fueron seleccionados como consejeros y consejeras</w:t>
      </w:r>
      <w:r w:rsidR="00A91493" w:rsidRPr="009760EA">
        <w:rPr>
          <w:rStyle w:val="FootnoteReference"/>
          <w:rFonts w:asciiTheme="majorHAnsi" w:hAnsiTheme="majorHAnsi"/>
          <w:bCs/>
          <w:sz w:val="20"/>
          <w:szCs w:val="20"/>
          <w:lang w:val="es-ES_tradnl"/>
        </w:rPr>
        <w:footnoteReference w:id="8"/>
      </w:r>
      <w:r w:rsidRPr="009760EA">
        <w:rPr>
          <w:rFonts w:asciiTheme="majorHAnsi" w:hAnsiTheme="majorHAnsi"/>
          <w:bCs/>
          <w:sz w:val="20"/>
          <w:szCs w:val="20"/>
          <w:lang w:val="es-ES_tradnl"/>
        </w:rPr>
        <w:t>, para el periodo 2015-2020. No obstante,</w:t>
      </w:r>
      <w:r w:rsidR="00E078C1" w:rsidRPr="009760EA">
        <w:rPr>
          <w:rFonts w:asciiTheme="majorHAnsi" w:hAnsiTheme="majorHAnsi"/>
          <w:bCs/>
          <w:sz w:val="20"/>
          <w:szCs w:val="20"/>
          <w:lang w:val="es-ES_tradnl"/>
        </w:rPr>
        <w:t xml:space="preserve"> </w:t>
      </w:r>
      <w:r w:rsidR="00381FD8" w:rsidRPr="009760EA">
        <w:rPr>
          <w:rFonts w:asciiTheme="majorHAnsi" w:hAnsiTheme="majorHAnsi"/>
          <w:sz w:val="20"/>
          <w:szCs w:val="20"/>
          <w:lang w:val="es-ES_tradnl"/>
        </w:rPr>
        <w:t>indican</w:t>
      </w:r>
      <w:r w:rsidR="00E078C1" w:rsidRPr="009760EA">
        <w:rPr>
          <w:rFonts w:asciiTheme="majorHAnsi" w:hAnsiTheme="majorHAnsi"/>
          <w:sz w:val="20"/>
          <w:szCs w:val="20"/>
          <w:lang w:val="es-ES_tradnl"/>
        </w:rPr>
        <w:t xml:space="preserve"> que el 18 de septiembre de 2017 el </w:t>
      </w:r>
      <w:r w:rsidRPr="009760EA">
        <w:rPr>
          <w:rFonts w:asciiTheme="majorHAnsi" w:hAnsiTheme="majorHAnsi"/>
          <w:sz w:val="20"/>
          <w:szCs w:val="20"/>
          <w:lang w:val="es-ES_tradnl"/>
        </w:rPr>
        <w:t xml:space="preserve">entonces </w:t>
      </w:r>
      <w:r w:rsidR="00E078C1" w:rsidRPr="009760EA">
        <w:rPr>
          <w:rFonts w:asciiTheme="majorHAnsi" w:hAnsiTheme="majorHAnsi"/>
          <w:sz w:val="20"/>
          <w:szCs w:val="20"/>
          <w:lang w:val="es-ES_tradnl"/>
        </w:rPr>
        <w:t>Presidente de la República anunció su intención de convocar a la ciudadanía a una consulta popular y a un referéndum para tratar temas de interés nacional</w:t>
      </w:r>
      <w:r w:rsidRPr="009760EA">
        <w:rPr>
          <w:rFonts w:asciiTheme="majorHAnsi" w:hAnsiTheme="majorHAnsi"/>
          <w:sz w:val="20"/>
          <w:szCs w:val="20"/>
          <w:lang w:val="es-ES_tradnl"/>
        </w:rPr>
        <w:t xml:space="preserve">, entre </w:t>
      </w:r>
      <w:r w:rsidR="004A7B81" w:rsidRPr="009760EA">
        <w:rPr>
          <w:rFonts w:asciiTheme="majorHAnsi" w:hAnsiTheme="majorHAnsi"/>
          <w:sz w:val="20"/>
          <w:szCs w:val="20"/>
          <w:lang w:val="es-ES_tradnl"/>
        </w:rPr>
        <w:t>ellos la modificación del CPCCS</w:t>
      </w:r>
      <w:r w:rsidR="00E078C1" w:rsidRPr="009760EA">
        <w:rPr>
          <w:rFonts w:asciiTheme="majorHAnsi" w:hAnsiTheme="majorHAnsi"/>
          <w:sz w:val="20"/>
          <w:szCs w:val="20"/>
          <w:lang w:val="es-ES_tradnl"/>
        </w:rPr>
        <w:t xml:space="preserve">. </w:t>
      </w:r>
      <w:r w:rsidR="004A7B81" w:rsidRPr="009760EA">
        <w:rPr>
          <w:rFonts w:asciiTheme="majorHAnsi" w:hAnsiTheme="majorHAnsi"/>
          <w:sz w:val="20"/>
          <w:szCs w:val="20"/>
          <w:lang w:val="es-ES_tradnl"/>
        </w:rPr>
        <w:t xml:space="preserve">Para ello, </w:t>
      </w:r>
      <w:r w:rsidR="00A91493" w:rsidRPr="009760EA">
        <w:rPr>
          <w:rFonts w:asciiTheme="majorHAnsi" w:hAnsiTheme="majorHAnsi"/>
          <w:sz w:val="20"/>
          <w:szCs w:val="20"/>
          <w:lang w:val="es-ES_tradnl"/>
        </w:rPr>
        <w:t>detallan</w:t>
      </w:r>
      <w:r w:rsidR="004A7B81" w:rsidRPr="009760EA">
        <w:rPr>
          <w:rFonts w:asciiTheme="majorHAnsi" w:hAnsiTheme="majorHAnsi"/>
          <w:sz w:val="20"/>
          <w:szCs w:val="20"/>
          <w:lang w:val="es-ES_tradnl"/>
        </w:rPr>
        <w:t xml:space="preserve"> que</w:t>
      </w:r>
      <w:r w:rsidRPr="009760EA">
        <w:rPr>
          <w:rFonts w:asciiTheme="majorHAnsi" w:hAnsiTheme="majorHAnsi"/>
          <w:sz w:val="20"/>
          <w:szCs w:val="20"/>
          <w:lang w:val="es-ES_tradnl"/>
        </w:rPr>
        <w:t xml:space="preserve"> e</w:t>
      </w:r>
      <w:r w:rsidR="00E078C1" w:rsidRPr="009760EA">
        <w:rPr>
          <w:rFonts w:asciiTheme="majorHAnsi" w:hAnsiTheme="majorHAnsi"/>
          <w:sz w:val="20"/>
          <w:szCs w:val="20"/>
          <w:lang w:val="es-ES_tradnl"/>
        </w:rPr>
        <w:t xml:space="preserve">l 2 de octubre de 2017 el </w:t>
      </w:r>
      <w:r w:rsidR="00D67553" w:rsidRPr="009760EA">
        <w:rPr>
          <w:rFonts w:asciiTheme="majorHAnsi" w:hAnsiTheme="majorHAnsi"/>
          <w:sz w:val="20"/>
          <w:szCs w:val="20"/>
          <w:lang w:val="es-ES_tradnl"/>
        </w:rPr>
        <w:t>primer</w:t>
      </w:r>
      <w:r w:rsidRPr="009760EA">
        <w:rPr>
          <w:rFonts w:asciiTheme="majorHAnsi" w:hAnsiTheme="majorHAnsi"/>
          <w:sz w:val="20"/>
          <w:szCs w:val="20"/>
          <w:lang w:val="es-ES_tradnl"/>
        </w:rPr>
        <w:t xml:space="preserve"> </w:t>
      </w:r>
      <w:r w:rsidR="00381FD8" w:rsidRPr="009760EA">
        <w:rPr>
          <w:rFonts w:asciiTheme="majorHAnsi" w:hAnsiTheme="majorHAnsi"/>
          <w:sz w:val="20"/>
          <w:szCs w:val="20"/>
          <w:lang w:val="es-ES_tradnl"/>
        </w:rPr>
        <w:t>mandatario</w:t>
      </w:r>
      <w:r w:rsidR="00B01B1F" w:rsidRPr="009760EA">
        <w:rPr>
          <w:rFonts w:asciiTheme="majorHAnsi" w:hAnsiTheme="majorHAnsi"/>
          <w:sz w:val="20"/>
          <w:szCs w:val="20"/>
          <w:lang w:val="es-ES_tradnl"/>
        </w:rPr>
        <w:t>, siguiendo el procedimiento previsto en la Constitución</w:t>
      </w:r>
      <w:r w:rsidR="00B01B1F" w:rsidRPr="009760EA">
        <w:rPr>
          <w:rStyle w:val="FootnoteReference"/>
          <w:rFonts w:asciiTheme="majorHAnsi" w:hAnsiTheme="majorHAnsi"/>
          <w:sz w:val="20"/>
          <w:szCs w:val="20"/>
          <w:lang w:val="es-ES_tradnl"/>
        </w:rPr>
        <w:footnoteReference w:id="9"/>
      </w:r>
      <w:r w:rsidR="00B01B1F" w:rsidRPr="009760EA">
        <w:rPr>
          <w:rFonts w:asciiTheme="majorHAnsi" w:hAnsiTheme="majorHAnsi"/>
          <w:sz w:val="20"/>
          <w:szCs w:val="20"/>
          <w:lang w:val="es-ES_tradnl"/>
        </w:rPr>
        <w:t xml:space="preserve">, </w:t>
      </w:r>
      <w:r w:rsidR="00E078C1" w:rsidRPr="009760EA">
        <w:rPr>
          <w:rFonts w:asciiTheme="majorHAnsi" w:hAnsiTheme="majorHAnsi"/>
          <w:sz w:val="20"/>
          <w:szCs w:val="20"/>
          <w:lang w:val="es-ES_tradnl"/>
        </w:rPr>
        <w:t xml:space="preserve">remitió a la Corte Constitucional </w:t>
      </w:r>
      <w:r w:rsidR="004A7B81" w:rsidRPr="009760EA">
        <w:rPr>
          <w:rFonts w:asciiTheme="majorHAnsi" w:hAnsiTheme="majorHAnsi"/>
          <w:sz w:val="20"/>
          <w:szCs w:val="20"/>
          <w:lang w:val="es-ES_tradnl"/>
        </w:rPr>
        <w:t xml:space="preserve">dos proyectos a fin </w:t>
      </w:r>
      <w:r w:rsidR="00874B5B" w:rsidRPr="009760EA">
        <w:rPr>
          <w:rFonts w:asciiTheme="majorHAnsi" w:hAnsiTheme="majorHAnsi"/>
          <w:sz w:val="20"/>
          <w:szCs w:val="20"/>
          <w:lang w:val="es-ES_tradnl"/>
        </w:rPr>
        <w:t xml:space="preserve">de </w:t>
      </w:r>
      <w:r w:rsidR="004A7B81" w:rsidRPr="009760EA">
        <w:rPr>
          <w:rFonts w:asciiTheme="majorHAnsi" w:hAnsiTheme="majorHAnsi"/>
          <w:sz w:val="20"/>
          <w:szCs w:val="20"/>
          <w:lang w:val="es-ES_tradnl"/>
        </w:rPr>
        <w:t xml:space="preserve">que se analice la constitucionalidad de las preguntas que formarían parte de la consulta popular y el referéndum. </w:t>
      </w:r>
      <w:r w:rsidR="004A7B81" w:rsidRPr="009760EA">
        <w:rPr>
          <w:rFonts w:asciiTheme="majorHAnsi" w:hAnsiTheme="majorHAnsi"/>
          <w:sz w:val="20"/>
          <w:szCs w:val="20"/>
          <w:lang w:val="es-ES_tradnl"/>
        </w:rPr>
        <w:lastRenderedPageBreak/>
        <w:t xml:space="preserve">Respecto a las reformas relacionadas con la participación social e institucionalidad, sostiene que el tercer punto </w:t>
      </w:r>
      <w:r w:rsidR="00096B8F" w:rsidRPr="009760EA">
        <w:rPr>
          <w:rFonts w:asciiTheme="majorHAnsi" w:hAnsiTheme="majorHAnsi"/>
          <w:sz w:val="20"/>
          <w:szCs w:val="20"/>
          <w:lang w:val="es-ES_tradnl"/>
        </w:rPr>
        <w:t xml:space="preserve">del proyecto </w:t>
      </w:r>
      <w:r w:rsidR="004A7B81" w:rsidRPr="009760EA">
        <w:rPr>
          <w:rFonts w:asciiTheme="majorHAnsi" w:hAnsiTheme="majorHAnsi"/>
          <w:sz w:val="20"/>
          <w:szCs w:val="20"/>
          <w:lang w:val="es-ES_tradnl"/>
        </w:rPr>
        <w:t>formuló la siguiente pregunta:</w:t>
      </w:r>
    </w:p>
    <w:p w14:paraId="18EA73E4" w14:textId="4E90538D" w:rsidR="004A7B81" w:rsidRPr="009760EA" w:rsidRDefault="004A7B81" w:rsidP="00B01B1F">
      <w:pPr>
        <w:pStyle w:val="ListParagraph"/>
        <w:ind w:right="720"/>
        <w:jc w:val="both"/>
        <w:rPr>
          <w:rFonts w:asciiTheme="majorHAnsi" w:hAnsiTheme="majorHAnsi"/>
          <w:sz w:val="20"/>
          <w:szCs w:val="20"/>
          <w:lang w:val="es-ES_tradnl"/>
        </w:rPr>
      </w:pPr>
      <w:r w:rsidRPr="009760EA">
        <w:rPr>
          <w:rFonts w:asciiTheme="majorHAnsi" w:hAnsiTheme="majorHAnsi"/>
          <w:sz w:val="20"/>
          <w:szCs w:val="20"/>
          <w:lang w:val="es-ES_tradnl"/>
        </w:rPr>
        <w:t>3) ¿Está usted de acuerdo con enmendar la Constitución de la República del Ecuador para reestructurar al Consejo de Participación Ciudadana y Control Social, así como dar por terminado el periodo constitucional de sus actuales miembros, y que el Consejo que asuma transitoriamente sus funciones tengan la potestad de evaluar el desempeño de las autoridades cuya designación le corresponde, pudiendo, de ser el caso, anticipar la terminación de sus periodos, de acuerdo al anexo 3?</w:t>
      </w:r>
    </w:p>
    <w:p w14:paraId="11E22F2D" w14:textId="77777777" w:rsidR="00B01B1F" w:rsidRPr="009760EA" w:rsidRDefault="00B01B1F" w:rsidP="00B01B1F">
      <w:pPr>
        <w:ind w:right="720"/>
        <w:jc w:val="both"/>
        <w:rPr>
          <w:rFonts w:asciiTheme="majorHAnsi" w:hAnsiTheme="majorHAnsi"/>
          <w:sz w:val="20"/>
          <w:szCs w:val="20"/>
          <w:lang w:val="es-ES_tradnl"/>
        </w:rPr>
      </w:pPr>
    </w:p>
    <w:p w14:paraId="6BA82922" w14:textId="3EB8BE36" w:rsidR="00A91493" w:rsidRPr="009760EA" w:rsidRDefault="00A91493" w:rsidP="00096B8F">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sz w:val="20"/>
          <w:szCs w:val="20"/>
          <w:lang w:val="es-ES_tradnl"/>
        </w:rPr>
        <w:t xml:space="preserve">Asimismo, sostienen que </w:t>
      </w:r>
      <w:r w:rsidR="00096B8F" w:rsidRPr="009760EA">
        <w:rPr>
          <w:rFonts w:asciiTheme="majorHAnsi" w:hAnsiTheme="majorHAnsi"/>
          <w:sz w:val="20"/>
          <w:szCs w:val="20"/>
          <w:lang w:val="es-ES_tradnl"/>
        </w:rPr>
        <w:t>dicho proyecto propuso dar “</w:t>
      </w:r>
      <w:r w:rsidR="00096B8F" w:rsidRPr="009760EA">
        <w:rPr>
          <w:rFonts w:asciiTheme="majorHAnsi" w:hAnsiTheme="majorHAnsi"/>
          <w:i/>
          <w:iCs/>
          <w:sz w:val="20"/>
          <w:szCs w:val="20"/>
          <w:lang w:val="es-ES_tradnl"/>
        </w:rPr>
        <w:t>por terminados anticipadamente los periodos de las consejeras y consejeros del actual Consejo de Participación Ciudadana y Control Social</w:t>
      </w:r>
      <w:r w:rsidR="00096B8F" w:rsidRPr="009760EA">
        <w:rPr>
          <w:rFonts w:asciiTheme="majorHAnsi" w:hAnsiTheme="majorHAnsi"/>
          <w:sz w:val="20"/>
          <w:szCs w:val="20"/>
          <w:lang w:val="es-ES_tradnl"/>
        </w:rPr>
        <w:t>” y el establecimiento de un Consejo transitorio “</w:t>
      </w:r>
      <w:r w:rsidR="00096B8F" w:rsidRPr="009760EA">
        <w:rPr>
          <w:rFonts w:asciiTheme="majorHAnsi" w:hAnsiTheme="majorHAnsi"/>
          <w:i/>
          <w:iCs/>
          <w:sz w:val="20"/>
          <w:szCs w:val="20"/>
          <w:lang w:val="es-ES_tradnl"/>
        </w:rPr>
        <w:t>conformado por siete miembros nombrados por la Asamblea Nacional de entre ternas enviadas por el Presidente de la República</w:t>
      </w:r>
      <w:r w:rsidR="00096B8F" w:rsidRPr="009760EA">
        <w:rPr>
          <w:rFonts w:asciiTheme="majorHAnsi" w:hAnsiTheme="majorHAnsi"/>
          <w:sz w:val="20"/>
          <w:szCs w:val="20"/>
          <w:lang w:val="es-ES_tradnl"/>
        </w:rPr>
        <w:t xml:space="preserve">”. Arguyen que, conforme a la propuesta, tal Consejo de transición ejercerá sus funciones de forma improrrogable hasta que se instale el nuevo </w:t>
      </w:r>
      <w:r w:rsidR="00EE0DEF" w:rsidRPr="009760EA">
        <w:rPr>
          <w:rFonts w:asciiTheme="majorHAnsi" w:hAnsiTheme="majorHAnsi"/>
          <w:sz w:val="20"/>
          <w:szCs w:val="20"/>
          <w:lang w:val="es-ES_tradnl"/>
        </w:rPr>
        <w:t>CPCCS</w:t>
      </w:r>
      <w:r w:rsidR="00096B8F" w:rsidRPr="009760EA">
        <w:rPr>
          <w:rFonts w:asciiTheme="majorHAnsi" w:hAnsiTheme="majorHAnsi"/>
          <w:sz w:val="20"/>
          <w:szCs w:val="20"/>
          <w:lang w:val="es-ES_tradnl"/>
        </w:rPr>
        <w:t>, con la elección de las nuevas personas funcionarias en los comicios electorales, y “</w:t>
      </w:r>
      <w:r w:rsidR="00096B8F" w:rsidRPr="009760EA">
        <w:rPr>
          <w:rFonts w:asciiTheme="majorHAnsi" w:hAnsiTheme="majorHAnsi"/>
          <w:i/>
          <w:iCs/>
          <w:sz w:val="20"/>
          <w:szCs w:val="20"/>
          <w:lang w:val="es-ES_tradnl"/>
        </w:rPr>
        <w:t>evaluará el desempeño de las autoridades designadas por el Consejo de Participación Ciudadana y el Control Social cesado, en el plazo máximo de seis meses desde su instalación, pudiendo, de ser el caso, declarar la terminación anticipada de sus periodos, y si lo hiciere procederá inmediatamente a la convocatoria de los respectivos procesos de selección”.</w:t>
      </w:r>
      <w:r w:rsidR="00096B8F" w:rsidRPr="009760EA">
        <w:rPr>
          <w:rFonts w:asciiTheme="majorHAnsi" w:hAnsiTheme="majorHAnsi"/>
          <w:sz w:val="20"/>
          <w:szCs w:val="20"/>
          <w:lang w:val="es-ES_tradnl"/>
        </w:rPr>
        <w:t xml:space="preserve"> </w:t>
      </w:r>
    </w:p>
    <w:p w14:paraId="55144038" w14:textId="76AE3BC6" w:rsidR="007F12E1" w:rsidRPr="009760EA" w:rsidRDefault="00622C18" w:rsidP="00A91493">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sz w:val="20"/>
          <w:szCs w:val="20"/>
          <w:lang w:val="es-ES_tradnl"/>
        </w:rPr>
        <w:t>E</w:t>
      </w:r>
      <w:r w:rsidR="00E27D99" w:rsidRPr="009760EA">
        <w:rPr>
          <w:rFonts w:asciiTheme="majorHAnsi" w:hAnsiTheme="majorHAnsi"/>
          <w:sz w:val="20"/>
          <w:szCs w:val="20"/>
          <w:lang w:val="es-ES_tradnl"/>
        </w:rPr>
        <w:t xml:space="preserve">l 5 de octubre de 2018 la Sala de Admisión de la Corte Constitucional </w:t>
      </w:r>
      <w:r w:rsidR="00A91493" w:rsidRPr="009760EA">
        <w:rPr>
          <w:rFonts w:asciiTheme="majorHAnsi" w:hAnsiTheme="majorHAnsi"/>
          <w:sz w:val="20"/>
          <w:szCs w:val="20"/>
          <w:lang w:val="es-ES_tradnl"/>
        </w:rPr>
        <w:t>re</w:t>
      </w:r>
      <w:r w:rsidR="00F81D14" w:rsidRPr="009760EA">
        <w:rPr>
          <w:rFonts w:asciiTheme="majorHAnsi" w:hAnsiTheme="majorHAnsi"/>
          <w:sz w:val="20"/>
          <w:szCs w:val="20"/>
          <w:lang w:val="es-ES_tradnl"/>
        </w:rPr>
        <w:t>sol</w:t>
      </w:r>
      <w:r w:rsidR="00A91493" w:rsidRPr="009760EA">
        <w:rPr>
          <w:rFonts w:asciiTheme="majorHAnsi" w:hAnsiTheme="majorHAnsi"/>
          <w:sz w:val="20"/>
          <w:szCs w:val="20"/>
          <w:lang w:val="es-ES_tradnl"/>
        </w:rPr>
        <w:t>vió admitir a trámite dicha causa</w:t>
      </w:r>
      <w:r w:rsidRPr="009760EA">
        <w:rPr>
          <w:rFonts w:asciiTheme="majorHAnsi" w:hAnsiTheme="majorHAnsi"/>
          <w:sz w:val="20"/>
          <w:szCs w:val="20"/>
          <w:lang w:val="es-ES_tradnl"/>
        </w:rPr>
        <w:t>;</w:t>
      </w:r>
      <w:r w:rsidR="00A91493" w:rsidRPr="009760EA">
        <w:rPr>
          <w:rFonts w:asciiTheme="majorHAnsi" w:hAnsiTheme="majorHAnsi"/>
          <w:sz w:val="20"/>
          <w:szCs w:val="20"/>
          <w:lang w:val="es-ES_tradnl"/>
        </w:rPr>
        <w:t xml:space="preserve"> y el 17 de noviembre de 2017 convocó a las partes procesales y a las personas interesadas a una audiencia pública</w:t>
      </w:r>
      <w:r w:rsidR="00933BFA" w:rsidRPr="009760EA">
        <w:rPr>
          <w:rFonts w:asciiTheme="majorHAnsi" w:hAnsiTheme="majorHAnsi"/>
          <w:sz w:val="20"/>
          <w:szCs w:val="20"/>
          <w:lang w:val="es-ES_tradnl"/>
        </w:rPr>
        <w:t xml:space="preserve"> para</w:t>
      </w:r>
      <w:r w:rsidR="00A91493" w:rsidRPr="009760EA">
        <w:rPr>
          <w:rFonts w:asciiTheme="majorHAnsi" w:hAnsiTheme="majorHAnsi"/>
          <w:sz w:val="20"/>
          <w:szCs w:val="20"/>
          <w:lang w:val="es-ES_tradnl"/>
        </w:rPr>
        <w:t xml:space="preserve"> el 29 de noviembre de 2017. </w:t>
      </w:r>
      <w:r w:rsidR="00F66300" w:rsidRPr="009760EA">
        <w:rPr>
          <w:rFonts w:asciiTheme="majorHAnsi" w:hAnsiTheme="majorHAnsi"/>
          <w:bCs/>
          <w:sz w:val="20"/>
          <w:szCs w:val="20"/>
          <w:lang w:val="es-ES_tradnl"/>
        </w:rPr>
        <w:t>Sin embargo</w:t>
      </w:r>
      <w:r w:rsidR="00DC7BF9" w:rsidRPr="009760EA">
        <w:rPr>
          <w:rFonts w:asciiTheme="majorHAnsi" w:hAnsiTheme="majorHAnsi"/>
          <w:bCs/>
          <w:sz w:val="20"/>
          <w:szCs w:val="20"/>
          <w:lang w:val="es-ES_tradnl"/>
        </w:rPr>
        <w:t>,</w:t>
      </w:r>
      <w:r w:rsidR="00A91493" w:rsidRPr="009760EA">
        <w:rPr>
          <w:rFonts w:asciiTheme="majorHAnsi" w:hAnsiTheme="majorHAnsi"/>
          <w:bCs/>
          <w:sz w:val="20"/>
          <w:szCs w:val="20"/>
          <w:lang w:val="es-ES_tradnl"/>
        </w:rPr>
        <w:t xml:space="preserve"> el día de la audiencia</w:t>
      </w:r>
      <w:r w:rsidR="00F66300" w:rsidRPr="009760EA">
        <w:rPr>
          <w:rFonts w:asciiTheme="majorHAnsi" w:hAnsiTheme="majorHAnsi"/>
          <w:sz w:val="20"/>
          <w:szCs w:val="20"/>
          <w:lang w:val="es-ES_tradnl"/>
        </w:rPr>
        <w:t>, sin que se hubiese pronunciado la Corte Constitucional,</w:t>
      </w:r>
      <w:r w:rsidR="00D67A0D" w:rsidRPr="009760EA">
        <w:rPr>
          <w:rFonts w:asciiTheme="majorHAnsi" w:hAnsiTheme="majorHAnsi"/>
          <w:sz w:val="20"/>
          <w:szCs w:val="20"/>
          <w:lang w:val="es-ES_tradnl"/>
        </w:rPr>
        <w:t xml:space="preserve"> el </w:t>
      </w:r>
      <w:r w:rsidR="00A91493" w:rsidRPr="009760EA">
        <w:rPr>
          <w:rFonts w:asciiTheme="majorHAnsi" w:hAnsiTheme="majorHAnsi"/>
          <w:sz w:val="20"/>
          <w:szCs w:val="20"/>
          <w:lang w:val="es-ES_tradnl"/>
        </w:rPr>
        <w:t>entonces P</w:t>
      </w:r>
      <w:r w:rsidR="009F6BE1" w:rsidRPr="009760EA">
        <w:rPr>
          <w:rFonts w:asciiTheme="majorHAnsi" w:hAnsiTheme="majorHAnsi"/>
          <w:sz w:val="20"/>
          <w:szCs w:val="20"/>
          <w:lang w:val="es-ES_tradnl"/>
        </w:rPr>
        <w:t xml:space="preserve">residente </w:t>
      </w:r>
      <w:r w:rsidR="00D67A0D" w:rsidRPr="009760EA">
        <w:rPr>
          <w:rFonts w:asciiTheme="majorHAnsi" w:hAnsiTheme="majorHAnsi"/>
          <w:sz w:val="20"/>
          <w:szCs w:val="20"/>
          <w:lang w:val="es-ES_tradnl"/>
        </w:rPr>
        <w:t xml:space="preserve">emitió los </w:t>
      </w:r>
      <w:r w:rsidR="007A62DE" w:rsidRPr="009760EA">
        <w:rPr>
          <w:rFonts w:asciiTheme="majorHAnsi" w:hAnsiTheme="majorHAnsi"/>
          <w:sz w:val="20"/>
          <w:szCs w:val="20"/>
          <w:lang w:val="es-ES_tradnl"/>
        </w:rPr>
        <w:t>D</w:t>
      </w:r>
      <w:r w:rsidR="00D67A0D" w:rsidRPr="009760EA">
        <w:rPr>
          <w:rFonts w:asciiTheme="majorHAnsi" w:hAnsiTheme="majorHAnsi"/>
          <w:sz w:val="20"/>
          <w:szCs w:val="20"/>
          <w:lang w:val="es-ES_tradnl"/>
        </w:rPr>
        <w:t xml:space="preserve">ecretos </w:t>
      </w:r>
      <w:r w:rsidR="007A62DE" w:rsidRPr="009760EA">
        <w:rPr>
          <w:rFonts w:asciiTheme="majorHAnsi" w:hAnsiTheme="majorHAnsi"/>
          <w:sz w:val="20"/>
          <w:szCs w:val="20"/>
          <w:lang w:val="es-ES_tradnl"/>
        </w:rPr>
        <w:t>E</w:t>
      </w:r>
      <w:r w:rsidR="00D67A0D" w:rsidRPr="009760EA">
        <w:rPr>
          <w:rFonts w:asciiTheme="majorHAnsi" w:hAnsiTheme="majorHAnsi"/>
          <w:sz w:val="20"/>
          <w:szCs w:val="20"/>
          <w:lang w:val="es-ES_tradnl"/>
        </w:rPr>
        <w:t>jecutivos No. 229 y No. 230</w:t>
      </w:r>
      <w:r w:rsidR="00A91493" w:rsidRPr="009760EA">
        <w:rPr>
          <w:rFonts w:asciiTheme="majorHAnsi" w:hAnsiTheme="majorHAnsi"/>
          <w:sz w:val="20"/>
          <w:szCs w:val="20"/>
          <w:lang w:val="es-ES_tradnl"/>
        </w:rPr>
        <w:t xml:space="preserve">, </w:t>
      </w:r>
      <w:r w:rsidR="00D67A0D" w:rsidRPr="009760EA">
        <w:rPr>
          <w:rFonts w:asciiTheme="majorHAnsi" w:hAnsiTheme="majorHAnsi"/>
          <w:sz w:val="20"/>
          <w:szCs w:val="20"/>
          <w:lang w:val="es-ES_tradnl"/>
        </w:rPr>
        <w:t>mediante los cuales convocó</w:t>
      </w:r>
      <w:r w:rsidR="00F66300" w:rsidRPr="009760EA">
        <w:rPr>
          <w:rFonts w:asciiTheme="majorHAnsi" w:hAnsiTheme="majorHAnsi"/>
          <w:sz w:val="20"/>
          <w:szCs w:val="20"/>
          <w:lang w:val="es-ES_tradnl"/>
        </w:rPr>
        <w:t xml:space="preserve"> </w:t>
      </w:r>
      <w:r w:rsidR="00D67A0D" w:rsidRPr="009760EA">
        <w:rPr>
          <w:rFonts w:asciiTheme="majorHAnsi" w:hAnsiTheme="majorHAnsi"/>
          <w:sz w:val="20"/>
          <w:szCs w:val="20"/>
          <w:lang w:val="es-ES_tradnl"/>
        </w:rPr>
        <w:t xml:space="preserve">a </w:t>
      </w:r>
      <w:r w:rsidR="007A62DE" w:rsidRPr="009760EA">
        <w:rPr>
          <w:rFonts w:asciiTheme="majorHAnsi" w:hAnsiTheme="majorHAnsi"/>
          <w:sz w:val="20"/>
          <w:szCs w:val="20"/>
          <w:lang w:val="es-ES_tradnl"/>
        </w:rPr>
        <w:t xml:space="preserve">dicha consulta popular y referéndum sobre siete preguntas basadas en enmiendas a la Constitución y asuntos de interés nacional, a realizarse el </w:t>
      </w:r>
      <w:r w:rsidR="00400EC4" w:rsidRPr="009760EA">
        <w:rPr>
          <w:rFonts w:asciiTheme="majorHAnsi" w:hAnsiTheme="majorHAnsi"/>
          <w:sz w:val="20"/>
          <w:szCs w:val="20"/>
          <w:lang w:val="es-ES_tradnl"/>
        </w:rPr>
        <w:t>4 de febrero de 2018</w:t>
      </w:r>
      <w:r w:rsidR="007A62DE" w:rsidRPr="009760EA">
        <w:rPr>
          <w:rFonts w:asciiTheme="majorHAnsi" w:hAnsiTheme="majorHAnsi"/>
          <w:sz w:val="20"/>
          <w:szCs w:val="20"/>
          <w:lang w:val="es-ES_tradnl"/>
        </w:rPr>
        <w:t xml:space="preserve">. </w:t>
      </w:r>
    </w:p>
    <w:p w14:paraId="7E759BAE" w14:textId="0BB09E17" w:rsidR="00F81D14" w:rsidRPr="009760EA" w:rsidRDefault="00971ED7" w:rsidP="009B4B7B">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sz w:val="20"/>
          <w:szCs w:val="20"/>
          <w:lang w:val="es-ES_tradnl"/>
        </w:rPr>
        <w:t>En este contexto,</w:t>
      </w:r>
      <w:r w:rsidR="00A91493" w:rsidRPr="009760EA">
        <w:rPr>
          <w:rFonts w:asciiTheme="majorHAnsi" w:hAnsiTheme="majorHAnsi"/>
          <w:sz w:val="20"/>
          <w:szCs w:val="20"/>
          <w:lang w:val="es-ES_tradnl"/>
        </w:rPr>
        <w:t xml:space="preserve"> el 30 de noviembre de 2017</w:t>
      </w:r>
      <w:r w:rsidR="00FC5A4B" w:rsidRPr="009760EA">
        <w:rPr>
          <w:rFonts w:asciiTheme="majorHAnsi" w:hAnsiTheme="majorHAnsi"/>
          <w:sz w:val="20"/>
          <w:szCs w:val="20"/>
          <w:lang w:val="es-ES_tradnl"/>
        </w:rPr>
        <w:t xml:space="preserve"> </w:t>
      </w:r>
      <w:r w:rsidR="0022013A" w:rsidRPr="009760EA">
        <w:rPr>
          <w:rFonts w:asciiTheme="majorHAnsi" w:hAnsiTheme="majorHAnsi"/>
          <w:sz w:val="20"/>
          <w:szCs w:val="20"/>
          <w:lang w:val="es-ES_tradnl"/>
        </w:rPr>
        <w:t>una organización de la sociedad civil</w:t>
      </w:r>
      <w:r w:rsidR="000659DD" w:rsidRPr="009760EA">
        <w:rPr>
          <w:rFonts w:asciiTheme="majorHAnsi" w:hAnsiTheme="majorHAnsi"/>
          <w:sz w:val="20"/>
          <w:szCs w:val="20"/>
          <w:lang w:val="es-ES_tradnl"/>
        </w:rPr>
        <w:t xml:space="preserve"> </w:t>
      </w:r>
      <w:r w:rsidR="00FC5A4B" w:rsidRPr="009760EA">
        <w:rPr>
          <w:rFonts w:asciiTheme="majorHAnsi" w:hAnsiTheme="majorHAnsi"/>
          <w:sz w:val="20"/>
          <w:szCs w:val="20"/>
          <w:lang w:val="es-ES_tradnl"/>
        </w:rPr>
        <w:t xml:space="preserve">presentó una acción pública de inconstitucionalidad contra los </w:t>
      </w:r>
      <w:r w:rsidR="00516787" w:rsidRPr="009760EA">
        <w:rPr>
          <w:rFonts w:asciiTheme="majorHAnsi" w:hAnsiTheme="majorHAnsi"/>
          <w:sz w:val="20"/>
          <w:szCs w:val="20"/>
          <w:lang w:val="es-ES_tradnl"/>
        </w:rPr>
        <w:t>D</w:t>
      </w:r>
      <w:r w:rsidR="00FC5A4B" w:rsidRPr="009760EA">
        <w:rPr>
          <w:rFonts w:asciiTheme="majorHAnsi" w:hAnsiTheme="majorHAnsi"/>
          <w:sz w:val="20"/>
          <w:szCs w:val="20"/>
          <w:lang w:val="es-ES_tradnl"/>
        </w:rPr>
        <w:t>ecretos No. 229 y No. 230</w:t>
      </w:r>
      <w:r w:rsidR="00F66300" w:rsidRPr="009760EA">
        <w:rPr>
          <w:rFonts w:asciiTheme="majorHAnsi" w:hAnsiTheme="majorHAnsi"/>
          <w:sz w:val="20"/>
          <w:szCs w:val="20"/>
          <w:lang w:val="es-ES_tradnl"/>
        </w:rPr>
        <w:t>,</w:t>
      </w:r>
      <w:r w:rsidR="00F81D14" w:rsidRPr="009760EA">
        <w:rPr>
          <w:rFonts w:asciiTheme="majorHAnsi" w:hAnsiTheme="majorHAnsi"/>
          <w:sz w:val="20"/>
          <w:szCs w:val="20"/>
          <w:lang w:val="es-ES_tradnl"/>
        </w:rPr>
        <w:t xml:space="preserve"> argumentando que la convocatoria a referéndum y consulta popular violaban varias normas constitucionales, toda vez que, conforme al artículo 104 de la Constitución, tal procedimiento requiere dictamen previo de la Corte Constitucional. Adicionalmente, </w:t>
      </w:r>
      <w:r w:rsidR="000133AB" w:rsidRPr="009760EA">
        <w:rPr>
          <w:rFonts w:asciiTheme="majorHAnsi" w:hAnsiTheme="majorHAnsi"/>
          <w:sz w:val="20"/>
          <w:szCs w:val="20"/>
          <w:lang w:val="es-ES_tradnl"/>
        </w:rPr>
        <w:t xml:space="preserve">dicho colectivo también planteó </w:t>
      </w:r>
      <w:r w:rsidR="00FC5A4B" w:rsidRPr="009760EA">
        <w:rPr>
          <w:rFonts w:asciiTheme="majorHAnsi" w:hAnsiTheme="majorHAnsi"/>
          <w:sz w:val="20"/>
          <w:szCs w:val="20"/>
          <w:lang w:val="es-ES_tradnl"/>
        </w:rPr>
        <w:t xml:space="preserve">una solicitud de medida cautelar para que el Consejo Nacional Electoral se abstuviera de convocar </w:t>
      </w:r>
      <w:r w:rsidR="00F81D14" w:rsidRPr="009760EA">
        <w:rPr>
          <w:rFonts w:asciiTheme="majorHAnsi" w:hAnsiTheme="majorHAnsi"/>
          <w:sz w:val="20"/>
          <w:szCs w:val="20"/>
          <w:lang w:val="es-ES_tradnl"/>
        </w:rPr>
        <w:t>los citados procedimientos</w:t>
      </w:r>
      <w:r w:rsidR="00FC5A4B" w:rsidRPr="009760EA">
        <w:rPr>
          <w:rFonts w:asciiTheme="majorHAnsi" w:hAnsiTheme="majorHAnsi"/>
          <w:sz w:val="20"/>
          <w:szCs w:val="20"/>
          <w:lang w:val="es-ES_tradnl"/>
        </w:rPr>
        <w:t>.</w:t>
      </w:r>
      <w:r w:rsidR="000133AB" w:rsidRPr="009760EA">
        <w:rPr>
          <w:rFonts w:asciiTheme="majorHAnsi" w:hAnsiTheme="majorHAnsi"/>
          <w:sz w:val="20"/>
          <w:szCs w:val="20"/>
          <w:lang w:val="es-ES_tradnl"/>
        </w:rPr>
        <w:t xml:space="preserve"> Finalmente, l</w:t>
      </w:r>
      <w:r w:rsidR="00BA2425" w:rsidRPr="009760EA">
        <w:rPr>
          <w:rFonts w:asciiTheme="majorHAnsi" w:hAnsiTheme="majorHAnsi"/>
          <w:sz w:val="20"/>
          <w:szCs w:val="20"/>
          <w:lang w:val="es-ES_tradnl"/>
        </w:rPr>
        <w:t>os peticionarios</w:t>
      </w:r>
      <w:r w:rsidR="00F81D14" w:rsidRPr="009760EA">
        <w:rPr>
          <w:rFonts w:asciiTheme="majorHAnsi" w:hAnsiTheme="majorHAnsi"/>
          <w:sz w:val="20"/>
          <w:szCs w:val="20"/>
          <w:lang w:val="es-ES_tradnl"/>
        </w:rPr>
        <w:t xml:space="preserve"> agregan que</w:t>
      </w:r>
      <w:r w:rsidR="00BA2425" w:rsidRPr="009760EA">
        <w:rPr>
          <w:rFonts w:asciiTheme="majorHAnsi" w:hAnsiTheme="majorHAnsi"/>
          <w:sz w:val="20"/>
          <w:szCs w:val="20"/>
          <w:lang w:val="es-ES_tradnl"/>
        </w:rPr>
        <w:t>, por su parte,</w:t>
      </w:r>
      <w:r w:rsidR="00D35863" w:rsidRPr="009760EA">
        <w:rPr>
          <w:rFonts w:asciiTheme="majorHAnsi" w:hAnsiTheme="majorHAnsi"/>
          <w:sz w:val="20"/>
          <w:szCs w:val="20"/>
          <w:lang w:val="es-ES_tradnl"/>
        </w:rPr>
        <w:t xml:space="preserve"> como miembros del CPCCS</w:t>
      </w:r>
      <w:r w:rsidR="00975E2C" w:rsidRPr="009760EA">
        <w:rPr>
          <w:rFonts w:asciiTheme="majorHAnsi" w:hAnsiTheme="majorHAnsi"/>
          <w:sz w:val="20"/>
          <w:szCs w:val="20"/>
          <w:lang w:val="es-ES_tradnl"/>
        </w:rPr>
        <w:t xml:space="preserve"> </w:t>
      </w:r>
      <w:r w:rsidR="00D35863" w:rsidRPr="009760EA">
        <w:rPr>
          <w:rFonts w:asciiTheme="majorHAnsi" w:hAnsiTheme="majorHAnsi"/>
          <w:sz w:val="20"/>
          <w:szCs w:val="20"/>
          <w:lang w:val="es-ES_tradnl"/>
        </w:rPr>
        <w:t xml:space="preserve">presentaron un </w:t>
      </w:r>
      <w:r w:rsidR="00D35863" w:rsidRPr="009760EA">
        <w:rPr>
          <w:rFonts w:asciiTheme="majorHAnsi" w:hAnsiTheme="majorHAnsi"/>
          <w:i/>
          <w:iCs/>
          <w:sz w:val="20"/>
          <w:szCs w:val="20"/>
          <w:lang w:val="es-ES_tradnl"/>
        </w:rPr>
        <w:t>amicus curiae</w:t>
      </w:r>
      <w:r w:rsidR="00D35863" w:rsidRPr="009760EA">
        <w:rPr>
          <w:rFonts w:asciiTheme="majorHAnsi" w:hAnsiTheme="majorHAnsi"/>
          <w:sz w:val="20"/>
          <w:szCs w:val="20"/>
          <w:lang w:val="es-ES_tradnl"/>
        </w:rPr>
        <w:t xml:space="preserve"> </w:t>
      </w:r>
      <w:r w:rsidR="00C747C2" w:rsidRPr="009760EA">
        <w:rPr>
          <w:rFonts w:asciiTheme="majorHAnsi" w:hAnsiTheme="majorHAnsi"/>
          <w:sz w:val="20"/>
          <w:szCs w:val="20"/>
          <w:lang w:val="es-ES_tradnl"/>
        </w:rPr>
        <w:t>con</w:t>
      </w:r>
      <w:r w:rsidR="00D35863" w:rsidRPr="009760EA">
        <w:rPr>
          <w:rFonts w:asciiTheme="majorHAnsi" w:hAnsiTheme="majorHAnsi"/>
          <w:sz w:val="20"/>
          <w:szCs w:val="20"/>
          <w:lang w:val="es-ES_tradnl"/>
        </w:rPr>
        <w:t xml:space="preserve"> las razones por las cuales los proyectos debían ser declarados inconstitucionales</w:t>
      </w:r>
      <w:r w:rsidR="00F66300" w:rsidRPr="009760EA">
        <w:rPr>
          <w:rFonts w:asciiTheme="majorHAnsi" w:hAnsiTheme="majorHAnsi"/>
          <w:sz w:val="20"/>
          <w:szCs w:val="20"/>
          <w:lang w:val="es-ES_tradnl"/>
        </w:rPr>
        <w:t>;</w:t>
      </w:r>
      <w:r w:rsidR="00D35863" w:rsidRPr="009760EA">
        <w:rPr>
          <w:rFonts w:asciiTheme="majorHAnsi" w:hAnsiTheme="majorHAnsi"/>
          <w:sz w:val="20"/>
          <w:szCs w:val="20"/>
          <w:lang w:val="es-ES_tradnl"/>
        </w:rPr>
        <w:t xml:space="preserve"> </w:t>
      </w:r>
      <w:r w:rsidR="00C747C2" w:rsidRPr="009760EA">
        <w:rPr>
          <w:rFonts w:asciiTheme="majorHAnsi" w:hAnsiTheme="majorHAnsi"/>
          <w:sz w:val="20"/>
          <w:szCs w:val="20"/>
          <w:lang w:val="es-ES_tradnl"/>
        </w:rPr>
        <w:t>ya que</w:t>
      </w:r>
      <w:r w:rsidR="00F66300" w:rsidRPr="009760EA">
        <w:rPr>
          <w:rFonts w:asciiTheme="majorHAnsi" w:hAnsiTheme="majorHAnsi"/>
          <w:sz w:val="20"/>
          <w:szCs w:val="20"/>
          <w:lang w:val="es-ES_tradnl"/>
        </w:rPr>
        <w:t>, a su juicio,</w:t>
      </w:r>
      <w:r w:rsidR="00C747C2" w:rsidRPr="009760EA">
        <w:rPr>
          <w:rFonts w:asciiTheme="majorHAnsi" w:hAnsiTheme="majorHAnsi"/>
          <w:sz w:val="20"/>
          <w:szCs w:val="20"/>
          <w:lang w:val="es-ES_tradnl"/>
        </w:rPr>
        <w:t xml:space="preserve"> altera</w:t>
      </w:r>
      <w:r w:rsidR="00F66300" w:rsidRPr="009760EA">
        <w:rPr>
          <w:rFonts w:asciiTheme="majorHAnsi" w:hAnsiTheme="majorHAnsi"/>
          <w:sz w:val="20"/>
          <w:szCs w:val="20"/>
          <w:lang w:val="es-ES_tradnl"/>
        </w:rPr>
        <w:t>ban</w:t>
      </w:r>
      <w:r w:rsidR="00D35863" w:rsidRPr="009760EA">
        <w:rPr>
          <w:rFonts w:asciiTheme="majorHAnsi" w:hAnsiTheme="majorHAnsi"/>
          <w:sz w:val="20"/>
          <w:szCs w:val="20"/>
          <w:lang w:val="es-ES_tradnl"/>
        </w:rPr>
        <w:t xml:space="preserve"> la estructura fundamental de la Constitución y </w:t>
      </w:r>
      <w:r w:rsidR="00CC7A93" w:rsidRPr="009760EA">
        <w:rPr>
          <w:rFonts w:asciiTheme="majorHAnsi" w:hAnsiTheme="majorHAnsi"/>
          <w:sz w:val="20"/>
          <w:szCs w:val="20"/>
          <w:lang w:val="es-ES_tradnl"/>
        </w:rPr>
        <w:t>vulneraban</w:t>
      </w:r>
      <w:r w:rsidR="00D35863" w:rsidRPr="009760EA">
        <w:rPr>
          <w:rFonts w:asciiTheme="majorHAnsi" w:hAnsiTheme="majorHAnsi"/>
          <w:sz w:val="20"/>
          <w:szCs w:val="20"/>
          <w:lang w:val="es-ES_tradnl"/>
        </w:rPr>
        <w:t xml:space="preserve"> derechos constitucionales. </w:t>
      </w:r>
      <w:r w:rsidR="009B4B7B" w:rsidRPr="009760EA">
        <w:rPr>
          <w:rFonts w:asciiTheme="majorHAnsi" w:hAnsiTheme="majorHAnsi"/>
          <w:sz w:val="20"/>
          <w:szCs w:val="20"/>
          <w:lang w:val="es-ES_tradnl"/>
        </w:rPr>
        <w:t xml:space="preserve">No obstante, aducen que la Corte Constitucional hasta la fecha no se ha pronunciado sobre la referida acción pública de inconstitucionalidad. </w:t>
      </w:r>
    </w:p>
    <w:p w14:paraId="534842B4" w14:textId="15FBF75B" w:rsidR="002B3EBA" w:rsidRPr="009760EA" w:rsidRDefault="00B17E89" w:rsidP="009B4B7B">
      <w:pPr>
        <w:numPr>
          <w:ilvl w:val="0"/>
          <w:numId w:val="64"/>
        </w:numPr>
        <w:suppressAutoHyphens/>
        <w:spacing w:after="240"/>
        <w:jc w:val="both"/>
        <w:rPr>
          <w:rFonts w:asciiTheme="majorHAnsi" w:hAnsiTheme="majorHAnsi"/>
          <w:bCs/>
          <w:sz w:val="20"/>
          <w:szCs w:val="20"/>
          <w:lang w:val="es-ES_tradnl"/>
        </w:rPr>
      </w:pPr>
      <w:r w:rsidRPr="009760EA">
        <w:rPr>
          <w:rFonts w:asciiTheme="majorHAnsi" w:hAnsiTheme="majorHAnsi"/>
          <w:sz w:val="20"/>
          <w:szCs w:val="20"/>
          <w:lang w:val="es-ES_tradnl"/>
        </w:rPr>
        <w:t>A esta circunstancia atribuyen</w:t>
      </w:r>
      <w:r w:rsidR="00F81D14" w:rsidRPr="009760EA">
        <w:rPr>
          <w:rFonts w:asciiTheme="majorHAnsi" w:hAnsiTheme="majorHAnsi"/>
          <w:sz w:val="20"/>
          <w:szCs w:val="20"/>
          <w:lang w:val="es-ES_tradnl"/>
        </w:rPr>
        <w:t xml:space="preserve"> </w:t>
      </w:r>
      <w:r w:rsidRPr="009760EA">
        <w:rPr>
          <w:rFonts w:asciiTheme="majorHAnsi" w:hAnsiTheme="majorHAnsi"/>
          <w:sz w:val="20"/>
          <w:szCs w:val="20"/>
          <w:lang w:val="es-ES_tradnl"/>
        </w:rPr>
        <w:t xml:space="preserve">los peticionarios </w:t>
      </w:r>
      <w:r w:rsidR="00F81D14" w:rsidRPr="009760EA">
        <w:rPr>
          <w:rFonts w:asciiTheme="majorHAnsi" w:hAnsiTheme="majorHAnsi"/>
          <w:sz w:val="20"/>
          <w:szCs w:val="20"/>
          <w:lang w:val="es-ES_tradnl"/>
        </w:rPr>
        <w:t xml:space="preserve">que </w:t>
      </w:r>
      <w:r w:rsidR="00BA2425" w:rsidRPr="009760EA">
        <w:rPr>
          <w:rFonts w:asciiTheme="majorHAnsi" w:hAnsiTheme="majorHAnsi"/>
          <w:sz w:val="20"/>
          <w:szCs w:val="20"/>
          <w:lang w:val="es-ES_tradnl"/>
        </w:rPr>
        <w:t xml:space="preserve">el </w:t>
      </w:r>
      <w:r w:rsidR="000133AB" w:rsidRPr="009760EA">
        <w:rPr>
          <w:rFonts w:asciiTheme="majorHAnsi" w:hAnsiTheme="majorHAnsi"/>
          <w:sz w:val="20"/>
          <w:szCs w:val="20"/>
          <w:lang w:val="es-ES_tradnl"/>
        </w:rPr>
        <w:t>1</w:t>
      </w:r>
      <w:r w:rsidR="00BA2425" w:rsidRPr="009760EA">
        <w:rPr>
          <w:rFonts w:asciiTheme="majorHAnsi" w:hAnsiTheme="majorHAnsi"/>
          <w:sz w:val="20"/>
          <w:szCs w:val="20"/>
          <w:lang w:val="es-ES_tradnl"/>
        </w:rPr>
        <w:t xml:space="preserve"> </w:t>
      </w:r>
      <w:r w:rsidR="002B3EBA" w:rsidRPr="009760EA">
        <w:rPr>
          <w:rFonts w:asciiTheme="majorHAnsi" w:hAnsiTheme="majorHAnsi"/>
          <w:sz w:val="20"/>
          <w:szCs w:val="20"/>
          <w:lang w:val="es-ES_tradnl"/>
        </w:rPr>
        <w:t xml:space="preserve">y 7 </w:t>
      </w:r>
      <w:r w:rsidR="00BA2425" w:rsidRPr="009760EA">
        <w:rPr>
          <w:rFonts w:asciiTheme="majorHAnsi" w:hAnsiTheme="majorHAnsi"/>
          <w:sz w:val="20"/>
          <w:szCs w:val="20"/>
          <w:lang w:val="es-ES_tradnl"/>
        </w:rPr>
        <w:t>de diciembre de 2017</w:t>
      </w:r>
      <w:r w:rsidRPr="009760EA">
        <w:rPr>
          <w:rFonts w:asciiTheme="majorHAnsi" w:hAnsiTheme="majorHAnsi"/>
          <w:sz w:val="20"/>
          <w:szCs w:val="20"/>
          <w:lang w:val="es-ES_tradnl"/>
        </w:rPr>
        <w:t>, respectivamente,</w:t>
      </w:r>
      <w:r w:rsidR="00BA2425" w:rsidRPr="009760EA">
        <w:rPr>
          <w:rFonts w:asciiTheme="majorHAnsi" w:hAnsiTheme="majorHAnsi"/>
          <w:sz w:val="20"/>
          <w:szCs w:val="20"/>
          <w:lang w:val="es-ES_tradnl"/>
        </w:rPr>
        <w:t xml:space="preserve"> el Consejo Nacional Electoral</w:t>
      </w:r>
      <w:r w:rsidR="002B3EBA" w:rsidRPr="009760EA">
        <w:rPr>
          <w:rFonts w:asciiTheme="majorHAnsi" w:hAnsiTheme="majorHAnsi"/>
          <w:sz w:val="20"/>
          <w:szCs w:val="20"/>
          <w:lang w:val="es-ES_tradnl"/>
        </w:rPr>
        <w:t xml:space="preserve"> </w:t>
      </w:r>
      <w:r w:rsidRPr="009760EA">
        <w:rPr>
          <w:rFonts w:asciiTheme="majorHAnsi" w:hAnsiTheme="majorHAnsi"/>
          <w:sz w:val="20"/>
          <w:szCs w:val="20"/>
          <w:lang w:val="es-ES_tradnl"/>
        </w:rPr>
        <w:t>declarara</w:t>
      </w:r>
      <w:r w:rsidR="000133AB" w:rsidRPr="009760EA">
        <w:rPr>
          <w:rFonts w:asciiTheme="majorHAnsi" w:hAnsiTheme="majorHAnsi"/>
          <w:sz w:val="20"/>
          <w:szCs w:val="20"/>
          <w:lang w:val="es-ES_tradnl"/>
        </w:rPr>
        <w:t xml:space="preserve"> el inicio del periodo electoral para </w:t>
      </w:r>
      <w:r w:rsidR="0047042A" w:rsidRPr="009760EA">
        <w:rPr>
          <w:rFonts w:asciiTheme="majorHAnsi" w:hAnsiTheme="majorHAnsi"/>
          <w:sz w:val="20"/>
          <w:szCs w:val="20"/>
          <w:lang w:val="es-ES_tradnl"/>
        </w:rPr>
        <w:t xml:space="preserve">la </w:t>
      </w:r>
      <w:r w:rsidR="000133AB" w:rsidRPr="009760EA">
        <w:rPr>
          <w:rFonts w:asciiTheme="majorHAnsi" w:hAnsiTheme="majorHAnsi"/>
          <w:sz w:val="20"/>
          <w:szCs w:val="20"/>
          <w:lang w:val="es-ES_tradnl"/>
        </w:rPr>
        <w:t>consulta popular y referéndum 2018</w:t>
      </w:r>
      <w:r w:rsidRPr="009760EA">
        <w:rPr>
          <w:rFonts w:asciiTheme="majorHAnsi" w:hAnsiTheme="majorHAnsi"/>
          <w:sz w:val="20"/>
          <w:szCs w:val="20"/>
          <w:lang w:val="es-ES_tradnl"/>
        </w:rPr>
        <w:t>;</w:t>
      </w:r>
      <w:r w:rsidR="000133AB" w:rsidRPr="009760EA">
        <w:rPr>
          <w:rFonts w:asciiTheme="majorHAnsi" w:hAnsiTheme="majorHAnsi"/>
          <w:sz w:val="20"/>
          <w:szCs w:val="20"/>
          <w:lang w:val="es-ES_tradnl"/>
        </w:rPr>
        <w:t xml:space="preserve"> </w:t>
      </w:r>
      <w:r w:rsidRPr="009760EA">
        <w:rPr>
          <w:rFonts w:asciiTheme="majorHAnsi" w:hAnsiTheme="majorHAnsi"/>
          <w:sz w:val="20"/>
          <w:szCs w:val="20"/>
          <w:lang w:val="es-ES_tradnl"/>
        </w:rPr>
        <w:t>convocando</w:t>
      </w:r>
      <w:r w:rsidR="002B3EBA" w:rsidRPr="009760EA">
        <w:rPr>
          <w:rFonts w:asciiTheme="majorHAnsi" w:hAnsiTheme="majorHAnsi"/>
          <w:sz w:val="20"/>
          <w:szCs w:val="20"/>
          <w:lang w:val="es-ES_tradnl"/>
        </w:rPr>
        <w:t xml:space="preserve"> la ciudadanía a ejercer el vot</w:t>
      </w:r>
      <w:r w:rsidR="009B4B7B" w:rsidRPr="009760EA">
        <w:rPr>
          <w:rFonts w:asciiTheme="majorHAnsi" w:hAnsiTheme="majorHAnsi"/>
          <w:sz w:val="20"/>
          <w:szCs w:val="20"/>
          <w:lang w:val="es-ES_tradnl"/>
        </w:rPr>
        <w:t xml:space="preserve">o, mediante las resoluciones </w:t>
      </w:r>
      <w:r w:rsidR="009B4B7B" w:rsidRPr="009760EA">
        <w:rPr>
          <w:rFonts w:asciiTheme="majorHAnsi" w:hAnsiTheme="majorHAnsi"/>
          <w:bCs/>
          <w:sz w:val="20"/>
          <w:szCs w:val="20"/>
          <w:lang w:val="es-ES_tradnl"/>
        </w:rPr>
        <w:t>No. PLE-CNE-4-1-12-2017 y No. PLE-CNE-3-1-12-2017</w:t>
      </w:r>
      <w:r w:rsidR="002B3EBA" w:rsidRPr="009760EA">
        <w:rPr>
          <w:rFonts w:asciiTheme="majorHAnsi" w:hAnsiTheme="majorHAnsi"/>
          <w:sz w:val="20"/>
          <w:szCs w:val="20"/>
          <w:lang w:val="es-ES_tradnl"/>
        </w:rPr>
        <w:t xml:space="preserve">. Ante ello, indican </w:t>
      </w:r>
      <w:r w:rsidR="0047042A" w:rsidRPr="009760EA">
        <w:rPr>
          <w:rFonts w:asciiTheme="majorHAnsi" w:hAnsiTheme="majorHAnsi"/>
          <w:sz w:val="20"/>
          <w:szCs w:val="20"/>
          <w:lang w:val="es-ES_tradnl"/>
        </w:rPr>
        <w:t xml:space="preserve">que </w:t>
      </w:r>
      <w:r w:rsidR="002B3EBA" w:rsidRPr="009760EA">
        <w:rPr>
          <w:rFonts w:asciiTheme="majorHAnsi" w:hAnsiTheme="majorHAnsi"/>
          <w:sz w:val="20"/>
          <w:szCs w:val="20"/>
          <w:lang w:val="es-ES_tradnl"/>
        </w:rPr>
        <w:t>presentaron dos recursos de apelación contra las citadas decisione</w:t>
      </w:r>
      <w:r w:rsidR="0047042A" w:rsidRPr="009760EA">
        <w:rPr>
          <w:rFonts w:asciiTheme="majorHAnsi" w:hAnsiTheme="majorHAnsi"/>
          <w:sz w:val="20"/>
          <w:szCs w:val="20"/>
          <w:lang w:val="es-ES_tradnl"/>
        </w:rPr>
        <w:t>s</w:t>
      </w:r>
      <w:r w:rsidRPr="009760EA">
        <w:rPr>
          <w:rFonts w:asciiTheme="majorHAnsi" w:hAnsiTheme="majorHAnsi"/>
          <w:sz w:val="20"/>
          <w:szCs w:val="20"/>
          <w:lang w:val="es-ES_tradnl"/>
        </w:rPr>
        <w:t>; sin embargo,</w:t>
      </w:r>
      <w:r w:rsidR="0047042A" w:rsidRPr="009760EA">
        <w:rPr>
          <w:rFonts w:asciiTheme="majorHAnsi" w:hAnsiTheme="majorHAnsi"/>
          <w:sz w:val="20"/>
          <w:szCs w:val="20"/>
          <w:lang w:val="es-ES_tradnl"/>
        </w:rPr>
        <w:t xml:space="preserve"> </w:t>
      </w:r>
      <w:r w:rsidR="002B3EBA" w:rsidRPr="009760EA">
        <w:rPr>
          <w:rFonts w:asciiTheme="majorHAnsi" w:hAnsiTheme="majorHAnsi"/>
          <w:sz w:val="20"/>
          <w:szCs w:val="20"/>
          <w:lang w:val="es-ES_tradnl"/>
        </w:rPr>
        <w:t>el 21 y 27 de diciembre de 2017 el Tribunal Contencioso Electoral rechazó di</w:t>
      </w:r>
      <w:r w:rsidR="0047042A" w:rsidRPr="009760EA">
        <w:rPr>
          <w:rFonts w:asciiTheme="majorHAnsi" w:hAnsiTheme="majorHAnsi"/>
          <w:sz w:val="20"/>
          <w:szCs w:val="20"/>
          <w:lang w:val="es-ES_tradnl"/>
        </w:rPr>
        <w:t xml:space="preserve">chas acciones por falta de legitimación activa de los demandantes. </w:t>
      </w:r>
    </w:p>
    <w:p w14:paraId="757F41E6" w14:textId="5326735D" w:rsidR="00B97498" w:rsidRPr="009760EA" w:rsidRDefault="00700C37" w:rsidP="002B3EBA">
      <w:pPr>
        <w:numPr>
          <w:ilvl w:val="0"/>
          <w:numId w:val="64"/>
        </w:numPr>
        <w:suppressAutoHyphens/>
        <w:spacing w:after="240"/>
        <w:jc w:val="both"/>
        <w:rPr>
          <w:rFonts w:asciiTheme="majorHAnsi" w:hAnsiTheme="majorHAnsi"/>
          <w:bCs/>
          <w:sz w:val="20"/>
          <w:szCs w:val="20"/>
          <w:lang w:val="es-ES_tradnl"/>
        </w:rPr>
      </w:pPr>
      <w:r w:rsidRPr="009760EA">
        <w:rPr>
          <w:rFonts w:asciiTheme="majorHAnsi" w:hAnsiTheme="majorHAnsi"/>
          <w:sz w:val="20"/>
          <w:szCs w:val="20"/>
          <w:lang w:val="es-ES_tradnl"/>
        </w:rPr>
        <w:t>Así,</w:t>
      </w:r>
      <w:r w:rsidR="00B97498" w:rsidRPr="009760EA">
        <w:rPr>
          <w:rFonts w:asciiTheme="majorHAnsi" w:hAnsiTheme="majorHAnsi"/>
          <w:sz w:val="20"/>
          <w:szCs w:val="20"/>
          <w:lang w:val="es-ES_tradnl"/>
        </w:rPr>
        <w:t xml:space="preserve"> entre el 1 y 4 de febrero de 2018 se realizó la consulta popular y el referéndum. Indican </w:t>
      </w:r>
      <w:r w:rsidRPr="009760EA">
        <w:rPr>
          <w:rFonts w:asciiTheme="majorHAnsi" w:hAnsiTheme="majorHAnsi"/>
          <w:sz w:val="20"/>
          <w:szCs w:val="20"/>
          <w:lang w:val="es-ES_tradnl"/>
        </w:rPr>
        <w:t xml:space="preserve">los peticionarios, </w:t>
      </w:r>
      <w:r w:rsidR="00B97498" w:rsidRPr="009760EA">
        <w:rPr>
          <w:rFonts w:asciiTheme="majorHAnsi" w:hAnsiTheme="majorHAnsi"/>
          <w:sz w:val="20"/>
          <w:szCs w:val="20"/>
          <w:lang w:val="es-ES_tradnl"/>
        </w:rPr>
        <w:t>que toda vez que la tercera pregunta consiguió los votos necesarios para su aprobación</w:t>
      </w:r>
      <w:r w:rsidR="009B4B7B" w:rsidRPr="009760EA">
        <w:rPr>
          <w:rFonts w:asciiTheme="majorHAnsi" w:hAnsiTheme="majorHAnsi"/>
          <w:sz w:val="20"/>
          <w:szCs w:val="20"/>
          <w:lang w:val="es-ES_tradnl"/>
        </w:rPr>
        <w:t xml:space="preserve">, </w:t>
      </w:r>
      <w:r w:rsidR="00B97498" w:rsidRPr="009760EA">
        <w:rPr>
          <w:rFonts w:asciiTheme="majorHAnsi" w:hAnsiTheme="majorHAnsi"/>
          <w:sz w:val="20"/>
          <w:szCs w:val="20"/>
          <w:lang w:val="es-ES_tradnl"/>
        </w:rPr>
        <w:t xml:space="preserve">el 28 de febrero de 2018 se hizo público el nombramiento de los </w:t>
      </w:r>
      <w:r w:rsidRPr="009760EA">
        <w:rPr>
          <w:rFonts w:asciiTheme="majorHAnsi" w:hAnsiTheme="majorHAnsi"/>
          <w:sz w:val="20"/>
          <w:szCs w:val="20"/>
          <w:lang w:val="es-ES_tradnl"/>
        </w:rPr>
        <w:t>siete</w:t>
      </w:r>
      <w:r w:rsidR="00B97498" w:rsidRPr="009760EA">
        <w:rPr>
          <w:rFonts w:asciiTheme="majorHAnsi" w:hAnsiTheme="majorHAnsi"/>
          <w:sz w:val="20"/>
          <w:szCs w:val="20"/>
          <w:lang w:val="es-ES_tradnl"/>
        </w:rPr>
        <w:t xml:space="preserve"> consejeros del CPCCS de transición, quiénes fueron designados por la Asamblea Nacional. </w:t>
      </w:r>
    </w:p>
    <w:p w14:paraId="075E3F6C" w14:textId="5204D84A" w:rsidR="0047042A" w:rsidRPr="009760EA" w:rsidRDefault="00B81E6E" w:rsidP="002B3EBA">
      <w:pPr>
        <w:numPr>
          <w:ilvl w:val="0"/>
          <w:numId w:val="64"/>
        </w:numPr>
        <w:suppressAutoHyphens/>
        <w:spacing w:after="240"/>
        <w:jc w:val="both"/>
        <w:rPr>
          <w:rFonts w:asciiTheme="majorHAnsi" w:hAnsiTheme="majorHAnsi"/>
          <w:bCs/>
          <w:sz w:val="20"/>
          <w:szCs w:val="20"/>
          <w:lang w:val="es-ES_tradnl"/>
        </w:rPr>
      </w:pPr>
      <w:r w:rsidRPr="009760EA">
        <w:rPr>
          <w:rFonts w:asciiTheme="majorHAnsi" w:hAnsiTheme="majorHAnsi"/>
          <w:sz w:val="20"/>
          <w:szCs w:val="20"/>
          <w:lang w:val="es-ES_tradnl"/>
        </w:rPr>
        <w:lastRenderedPageBreak/>
        <w:t>Los peticionarios d</w:t>
      </w:r>
      <w:r w:rsidR="00B97498" w:rsidRPr="009760EA">
        <w:rPr>
          <w:rFonts w:asciiTheme="majorHAnsi" w:hAnsiTheme="majorHAnsi"/>
          <w:sz w:val="20"/>
          <w:szCs w:val="20"/>
          <w:lang w:val="es-ES_tradnl"/>
        </w:rPr>
        <w:t>enuncian que en la práctica el citado Consejo Transitorio ha evaluado a autoridades que no fueron designadas por el CPCCS anterior</w:t>
      </w:r>
      <w:r w:rsidR="00810CCE" w:rsidRPr="009760EA">
        <w:rPr>
          <w:rStyle w:val="FootnoteReference"/>
          <w:rFonts w:asciiTheme="majorHAnsi" w:hAnsiTheme="majorHAnsi"/>
          <w:sz w:val="20"/>
          <w:szCs w:val="20"/>
          <w:lang w:val="es-ES_tradnl"/>
        </w:rPr>
        <w:footnoteReference w:id="10"/>
      </w:r>
      <w:r w:rsidR="00810CCE" w:rsidRPr="009760EA">
        <w:rPr>
          <w:rFonts w:asciiTheme="majorHAnsi" w:hAnsiTheme="majorHAnsi"/>
          <w:sz w:val="20"/>
          <w:szCs w:val="20"/>
          <w:lang w:val="es-ES_tradnl"/>
        </w:rPr>
        <w:t>.</w:t>
      </w:r>
      <w:r w:rsidR="00B97498" w:rsidRPr="009760EA">
        <w:rPr>
          <w:rFonts w:asciiTheme="majorHAnsi" w:hAnsiTheme="majorHAnsi"/>
          <w:sz w:val="20"/>
          <w:szCs w:val="20"/>
          <w:lang w:val="es-ES_tradnl"/>
        </w:rPr>
        <w:t xml:space="preserve"> Agrega que, en un caso más grave, también ha designado a los integrantes de la Corte Constitucional, </w:t>
      </w:r>
      <w:r w:rsidR="009760EA" w:rsidRPr="009760EA">
        <w:rPr>
          <w:rFonts w:asciiTheme="majorHAnsi" w:hAnsiTheme="majorHAnsi"/>
          <w:sz w:val="20"/>
          <w:szCs w:val="20"/>
          <w:lang w:val="es-ES_tradnl"/>
        </w:rPr>
        <w:t>a pesar de que</w:t>
      </w:r>
      <w:r w:rsidR="00B97498" w:rsidRPr="009760EA">
        <w:rPr>
          <w:rFonts w:asciiTheme="majorHAnsi" w:hAnsiTheme="majorHAnsi"/>
          <w:sz w:val="20"/>
          <w:szCs w:val="20"/>
          <w:lang w:val="es-ES_tradnl"/>
        </w:rPr>
        <w:t>, conforme al artículo 434 de la Constitución del Ecuador</w:t>
      </w:r>
      <w:r w:rsidR="00810CCE" w:rsidRPr="009760EA">
        <w:rPr>
          <w:rFonts w:asciiTheme="majorHAnsi" w:hAnsiTheme="majorHAnsi"/>
          <w:sz w:val="20"/>
          <w:szCs w:val="20"/>
          <w:lang w:val="es-ES_tradnl"/>
        </w:rPr>
        <w:t xml:space="preserve">, tales funcionarios son nombradas por una comisión calificadora, integrada por integrantes de la función Legislativa, Ejecutiva y de Transparencia y Control Social. En consecuencia, sostiene que el Consejo de Transición actuó por encima de sus propias funciones y destituyó, a modo de control político y de gestión, a funcionarios que son sometidos a control de la Asamblea Nacional, sin tener autorización para ello. </w:t>
      </w:r>
    </w:p>
    <w:p w14:paraId="155BBF69" w14:textId="6156CC5B" w:rsidR="00810CCE" w:rsidRPr="009760EA" w:rsidRDefault="002B3EBA" w:rsidP="002B3EBA">
      <w:pPr>
        <w:numPr>
          <w:ilvl w:val="0"/>
          <w:numId w:val="64"/>
        </w:numPr>
        <w:suppressAutoHyphens/>
        <w:spacing w:after="240"/>
        <w:jc w:val="both"/>
        <w:rPr>
          <w:rFonts w:asciiTheme="majorHAnsi" w:hAnsiTheme="majorHAnsi"/>
          <w:bCs/>
          <w:sz w:val="20"/>
          <w:szCs w:val="20"/>
          <w:lang w:val="es-ES_tradnl"/>
        </w:rPr>
      </w:pPr>
      <w:r w:rsidRPr="009760EA">
        <w:rPr>
          <w:rFonts w:asciiTheme="majorHAnsi" w:hAnsiTheme="majorHAnsi"/>
          <w:bCs/>
          <w:sz w:val="20"/>
          <w:szCs w:val="20"/>
          <w:lang w:val="es-ES_tradnl"/>
        </w:rPr>
        <w:t xml:space="preserve">En virtud de las citadas consideraciones, </w:t>
      </w:r>
      <w:r w:rsidR="00810CCE" w:rsidRPr="009760EA">
        <w:rPr>
          <w:rFonts w:asciiTheme="majorHAnsi" w:hAnsiTheme="majorHAnsi"/>
          <w:bCs/>
          <w:sz w:val="20"/>
          <w:szCs w:val="20"/>
          <w:lang w:val="es-ES_tradnl"/>
        </w:rPr>
        <w:t>enfatizan,</w:t>
      </w:r>
      <w:r w:rsidR="00810CCE" w:rsidRPr="009760EA">
        <w:rPr>
          <w:rFonts w:asciiTheme="majorHAnsi" w:hAnsiTheme="majorHAnsi"/>
          <w:sz w:val="20"/>
          <w:szCs w:val="20"/>
          <w:lang w:val="es-ES_tradnl"/>
        </w:rPr>
        <w:t xml:space="preserve"> que las enmiendas constitucionales a los artículos 112, 205 y 207 de la Constitución Política, afectaron sus derechos a la participación política e igualdad ante la ley, dado que provocaron que el Consejo Transitorio las someta a un enjuiciamiento, en virtud de la pregunta número 3 del referéndum.  </w:t>
      </w:r>
    </w:p>
    <w:p w14:paraId="17C7A36E" w14:textId="34214FB6" w:rsidR="00810CCE" w:rsidRPr="009760EA" w:rsidRDefault="00810CCE" w:rsidP="00EE0DEF">
      <w:pPr>
        <w:numPr>
          <w:ilvl w:val="0"/>
          <w:numId w:val="64"/>
        </w:numPr>
        <w:suppressAutoHyphens/>
        <w:spacing w:after="240"/>
        <w:jc w:val="both"/>
        <w:rPr>
          <w:rFonts w:asciiTheme="majorHAnsi" w:hAnsiTheme="majorHAnsi"/>
          <w:bCs/>
          <w:sz w:val="20"/>
          <w:szCs w:val="20"/>
          <w:lang w:val="es-ES_tradnl"/>
        </w:rPr>
      </w:pPr>
      <w:r w:rsidRPr="009760EA">
        <w:rPr>
          <w:rFonts w:asciiTheme="majorHAnsi" w:hAnsiTheme="majorHAnsi"/>
          <w:bCs/>
          <w:sz w:val="20"/>
          <w:szCs w:val="20"/>
          <w:lang w:val="es-ES_tradnl"/>
        </w:rPr>
        <w:t xml:space="preserve">Adicionalmente, </w:t>
      </w:r>
      <w:r w:rsidR="002B3EBA" w:rsidRPr="009760EA">
        <w:rPr>
          <w:rFonts w:asciiTheme="majorHAnsi" w:hAnsiTheme="majorHAnsi"/>
          <w:bCs/>
          <w:sz w:val="20"/>
          <w:szCs w:val="20"/>
          <w:lang w:val="es-ES_tradnl"/>
        </w:rPr>
        <w:t xml:space="preserve">los peticionarios </w:t>
      </w:r>
      <w:r w:rsidR="004E7E7F" w:rsidRPr="009760EA">
        <w:rPr>
          <w:rFonts w:asciiTheme="majorHAnsi" w:hAnsiTheme="majorHAnsi"/>
          <w:bCs/>
          <w:sz w:val="20"/>
          <w:szCs w:val="20"/>
          <w:lang w:val="es-ES_tradnl"/>
        </w:rPr>
        <w:t>alegan</w:t>
      </w:r>
      <w:r w:rsidR="002B3EBA" w:rsidRPr="009760EA">
        <w:rPr>
          <w:rFonts w:asciiTheme="majorHAnsi" w:hAnsiTheme="majorHAnsi"/>
          <w:bCs/>
          <w:sz w:val="20"/>
          <w:szCs w:val="20"/>
          <w:lang w:val="es-ES_tradnl"/>
        </w:rPr>
        <w:t xml:space="preserve"> que el Tribunal Electoral inobservó la Constitución, violó el Estado de Derecho y afectó gravemente sus derechos constitucionales al ratificar las actuaciones, presuntamente arbitrarias, del Presidente y del Consejo Nacional Electoral. Asimismo, </w:t>
      </w:r>
      <w:r w:rsidR="004E7E7F" w:rsidRPr="009760EA">
        <w:rPr>
          <w:rFonts w:asciiTheme="majorHAnsi" w:hAnsiTheme="majorHAnsi"/>
          <w:bCs/>
          <w:sz w:val="20"/>
          <w:szCs w:val="20"/>
          <w:lang w:val="es-ES_tradnl"/>
        </w:rPr>
        <w:t>aducen</w:t>
      </w:r>
      <w:r w:rsidR="002B3EBA" w:rsidRPr="009760EA">
        <w:rPr>
          <w:rFonts w:asciiTheme="majorHAnsi" w:hAnsiTheme="majorHAnsi"/>
          <w:bCs/>
          <w:sz w:val="20"/>
          <w:szCs w:val="20"/>
          <w:lang w:val="es-ES_tradnl"/>
        </w:rPr>
        <w:t xml:space="preserve"> que existió un retardo injustificado por parte de la Corte Constitucional, </w:t>
      </w:r>
      <w:r w:rsidR="0047042A" w:rsidRPr="009760EA">
        <w:rPr>
          <w:rFonts w:asciiTheme="majorHAnsi" w:hAnsiTheme="majorHAnsi"/>
          <w:bCs/>
          <w:sz w:val="20"/>
          <w:szCs w:val="20"/>
          <w:lang w:val="es-ES_tradnl"/>
        </w:rPr>
        <w:t xml:space="preserve">provocando que la acción de inconstitucionalidad planteada el 30 de noviembre de 2017 </w:t>
      </w:r>
      <w:r w:rsidR="004E7E7F" w:rsidRPr="009760EA">
        <w:rPr>
          <w:rFonts w:asciiTheme="majorHAnsi" w:hAnsiTheme="majorHAnsi"/>
          <w:bCs/>
          <w:sz w:val="20"/>
          <w:szCs w:val="20"/>
          <w:lang w:val="es-ES_tradnl"/>
        </w:rPr>
        <w:t>resultara</w:t>
      </w:r>
      <w:r w:rsidR="0047042A" w:rsidRPr="009760EA">
        <w:rPr>
          <w:rFonts w:asciiTheme="majorHAnsi" w:hAnsiTheme="majorHAnsi"/>
          <w:bCs/>
          <w:sz w:val="20"/>
          <w:szCs w:val="20"/>
          <w:lang w:val="es-ES_tradnl"/>
        </w:rPr>
        <w:t xml:space="preserve"> inefectiva. </w:t>
      </w:r>
      <w:r w:rsidR="004E7E7F" w:rsidRPr="009760EA">
        <w:rPr>
          <w:rFonts w:asciiTheme="majorHAnsi" w:hAnsiTheme="majorHAnsi"/>
          <w:bCs/>
          <w:sz w:val="20"/>
          <w:szCs w:val="20"/>
          <w:lang w:val="es-ES_tradnl"/>
        </w:rPr>
        <w:t>Y</w:t>
      </w:r>
      <w:r w:rsidR="00EE0DEF" w:rsidRPr="009760EA">
        <w:rPr>
          <w:rFonts w:asciiTheme="majorHAnsi" w:hAnsiTheme="majorHAnsi"/>
          <w:bCs/>
          <w:sz w:val="20"/>
          <w:szCs w:val="20"/>
          <w:lang w:val="es-ES_tradnl"/>
        </w:rPr>
        <w:t xml:space="preserve"> que, tras su destitución, han sufrido acciones de persecución y acoso, por parte de la prensa y otras autoridades, provocando que tengan que migrar a otros países. </w:t>
      </w:r>
      <w:r w:rsidR="00356572" w:rsidRPr="009760EA">
        <w:rPr>
          <w:rFonts w:asciiTheme="majorHAnsi" w:hAnsiTheme="majorHAnsi"/>
          <w:bCs/>
          <w:sz w:val="20"/>
          <w:szCs w:val="20"/>
          <w:lang w:val="es-ES_tradnl"/>
        </w:rPr>
        <w:t xml:space="preserve">-Sin embargo, con respecto a estos hechos no aportan </w:t>
      </w:r>
      <w:r w:rsidR="00066A25" w:rsidRPr="009760EA">
        <w:rPr>
          <w:rFonts w:asciiTheme="majorHAnsi" w:hAnsiTheme="majorHAnsi"/>
          <w:bCs/>
          <w:sz w:val="20"/>
          <w:szCs w:val="20"/>
          <w:lang w:val="es-ES_tradnl"/>
        </w:rPr>
        <w:t>un relato completo, solo datos dispersos</w:t>
      </w:r>
      <w:r w:rsidR="00356572" w:rsidRPr="009760EA">
        <w:rPr>
          <w:rFonts w:asciiTheme="majorHAnsi" w:hAnsiTheme="majorHAnsi"/>
          <w:bCs/>
          <w:sz w:val="20"/>
          <w:szCs w:val="20"/>
          <w:lang w:val="es-ES_tradnl"/>
        </w:rPr>
        <w:t xml:space="preserve">-. </w:t>
      </w:r>
    </w:p>
    <w:p w14:paraId="06746E7D" w14:textId="55D4E684" w:rsidR="007F12E1" w:rsidRPr="009760EA" w:rsidRDefault="007D24C9" w:rsidP="007F12E1">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bCs/>
          <w:sz w:val="20"/>
          <w:szCs w:val="20"/>
          <w:lang w:val="es-ES_tradnl"/>
        </w:rPr>
        <w:t>El Estado</w:t>
      </w:r>
      <w:r w:rsidR="00710006" w:rsidRPr="009760EA">
        <w:rPr>
          <w:rFonts w:asciiTheme="majorHAnsi" w:hAnsiTheme="majorHAnsi"/>
          <w:bCs/>
          <w:sz w:val="20"/>
          <w:szCs w:val="20"/>
          <w:lang w:val="es-ES_tradnl"/>
        </w:rPr>
        <w:t>, por su parte,</w:t>
      </w:r>
      <w:r w:rsidRPr="009760EA">
        <w:rPr>
          <w:rFonts w:asciiTheme="majorHAnsi" w:hAnsiTheme="majorHAnsi"/>
          <w:bCs/>
          <w:sz w:val="20"/>
          <w:szCs w:val="20"/>
          <w:lang w:val="es-ES_tradnl"/>
        </w:rPr>
        <w:t xml:space="preserve"> </w:t>
      </w:r>
      <w:r w:rsidR="00710006" w:rsidRPr="009760EA">
        <w:rPr>
          <w:rFonts w:asciiTheme="majorHAnsi" w:hAnsiTheme="majorHAnsi"/>
          <w:bCs/>
          <w:sz w:val="20"/>
          <w:szCs w:val="20"/>
          <w:lang w:val="es-ES_tradnl"/>
        </w:rPr>
        <w:t>plantea</w:t>
      </w:r>
      <w:r w:rsidRPr="009760EA">
        <w:rPr>
          <w:rFonts w:asciiTheme="majorHAnsi" w:hAnsiTheme="majorHAnsi"/>
          <w:bCs/>
          <w:sz w:val="20"/>
          <w:szCs w:val="20"/>
          <w:lang w:val="es-ES_tradnl"/>
        </w:rPr>
        <w:t xml:space="preserve"> que </w:t>
      </w:r>
      <w:r w:rsidR="00710006" w:rsidRPr="009760EA">
        <w:rPr>
          <w:rFonts w:asciiTheme="majorHAnsi" w:hAnsiTheme="majorHAnsi"/>
          <w:bCs/>
          <w:sz w:val="20"/>
          <w:szCs w:val="20"/>
          <w:lang w:val="es-ES_tradnl"/>
        </w:rPr>
        <w:t xml:space="preserve">en el expediente de la petición </w:t>
      </w:r>
      <w:r w:rsidRPr="009760EA">
        <w:rPr>
          <w:rFonts w:asciiTheme="majorHAnsi" w:hAnsiTheme="majorHAnsi"/>
          <w:bCs/>
          <w:sz w:val="20"/>
          <w:szCs w:val="20"/>
          <w:lang w:val="es-ES_tradnl"/>
        </w:rPr>
        <w:t>se aprecian varios documentos entre escritos y anexos presentados por distintos abogados</w:t>
      </w:r>
      <w:r w:rsidR="00F93035" w:rsidRPr="009760EA">
        <w:rPr>
          <w:rFonts w:asciiTheme="majorHAnsi" w:hAnsiTheme="majorHAnsi"/>
          <w:bCs/>
          <w:sz w:val="20"/>
          <w:szCs w:val="20"/>
          <w:lang w:val="es-ES_tradnl"/>
        </w:rPr>
        <w:t xml:space="preserve"> </w:t>
      </w:r>
      <w:r w:rsidRPr="009760EA">
        <w:rPr>
          <w:rFonts w:asciiTheme="majorHAnsi" w:hAnsiTheme="majorHAnsi"/>
          <w:bCs/>
          <w:sz w:val="20"/>
          <w:szCs w:val="20"/>
          <w:lang w:val="es-ES_tradnl"/>
        </w:rPr>
        <w:t>y organizaciones</w:t>
      </w:r>
      <w:r w:rsidR="00F93035" w:rsidRPr="009760EA">
        <w:rPr>
          <w:rFonts w:asciiTheme="majorHAnsi" w:hAnsiTheme="majorHAnsi"/>
          <w:bCs/>
          <w:sz w:val="20"/>
          <w:szCs w:val="20"/>
          <w:lang w:val="es-ES_tradnl"/>
        </w:rPr>
        <w:t>,</w:t>
      </w:r>
      <w:r w:rsidR="00203CDE" w:rsidRPr="009760EA">
        <w:rPr>
          <w:rFonts w:asciiTheme="majorHAnsi" w:hAnsiTheme="majorHAnsi"/>
          <w:bCs/>
          <w:sz w:val="20"/>
          <w:szCs w:val="20"/>
          <w:lang w:val="es-ES_tradnl"/>
        </w:rPr>
        <w:t xml:space="preserve"> y por lo tanto la falta de estructura afecta el debate jurídico</w:t>
      </w:r>
      <w:r w:rsidR="00C4246B" w:rsidRPr="009760EA">
        <w:rPr>
          <w:rFonts w:asciiTheme="majorHAnsi" w:hAnsiTheme="majorHAnsi"/>
          <w:bCs/>
          <w:sz w:val="20"/>
          <w:szCs w:val="20"/>
          <w:lang w:val="es-ES_tradnl"/>
        </w:rPr>
        <w:t xml:space="preserve"> de admisibilidad. </w:t>
      </w:r>
      <w:r w:rsidR="00DE427E" w:rsidRPr="009760EA">
        <w:rPr>
          <w:rFonts w:asciiTheme="majorHAnsi" w:hAnsiTheme="majorHAnsi"/>
          <w:bCs/>
          <w:sz w:val="20"/>
          <w:szCs w:val="20"/>
          <w:lang w:val="es-ES_tradnl"/>
        </w:rPr>
        <w:t xml:space="preserve">Agrega que la posibilidad de </w:t>
      </w:r>
      <w:r w:rsidR="008B5357" w:rsidRPr="009760EA">
        <w:rPr>
          <w:rFonts w:asciiTheme="majorHAnsi" w:hAnsiTheme="majorHAnsi"/>
          <w:bCs/>
          <w:sz w:val="20"/>
          <w:szCs w:val="20"/>
          <w:lang w:val="es-ES_tradnl"/>
        </w:rPr>
        <w:t>fragmentar los documentos y presentar escritos adicionales en otras fechas atenta directamente contra el derecho de defensa del Estado</w:t>
      </w:r>
      <w:r w:rsidR="00816079" w:rsidRPr="009760EA">
        <w:rPr>
          <w:rFonts w:asciiTheme="majorHAnsi" w:hAnsiTheme="majorHAnsi"/>
          <w:bCs/>
          <w:sz w:val="20"/>
          <w:szCs w:val="20"/>
          <w:lang w:val="es-ES_tradnl"/>
        </w:rPr>
        <w:t xml:space="preserve"> </w:t>
      </w:r>
      <w:r w:rsidR="008B5357" w:rsidRPr="009760EA">
        <w:rPr>
          <w:rFonts w:asciiTheme="majorHAnsi" w:hAnsiTheme="majorHAnsi"/>
          <w:bCs/>
          <w:sz w:val="20"/>
          <w:szCs w:val="20"/>
          <w:lang w:val="es-ES_tradnl"/>
        </w:rPr>
        <w:t>porque</w:t>
      </w:r>
      <w:r w:rsidR="00816079" w:rsidRPr="009760EA">
        <w:rPr>
          <w:rFonts w:asciiTheme="majorHAnsi" w:hAnsiTheme="majorHAnsi"/>
          <w:bCs/>
          <w:sz w:val="20"/>
          <w:szCs w:val="20"/>
          <w:lang w:val="es-ES_tradnl"/>
        </w:rPr>
        <w:t>, en primer lugar,</w:t>
      </w:r>
      <w:r w:rsidR="008B5357" w:rsidRPr="009760EA">
        <w:rPr>
          <w:rFonts w:asciiTheme="majorHAnsi" w:hAnsiTheme="majorHAnsi"/>
          <w:bCs/>
          <w:sz w:val="20"/>
          <w:szCs w:val="20"/>
          <w:lang w:val="es-ES_tradnl"/>
        </w:rPr>
        <w:t xml:space="preserve"> no puede identificar con claridad</w:t>
      </w:r>
      <w:r w:rsidR="00ED4FCF" w:rsidRPr="009760EA">
        <w:rPr>
          <w:rFonts w:asciiTheme="majorHAnsi" w:hAnsiTheme="majorHAnsi"/>
          <w:bCs/>
          <w:sz w:val="20"/>
          <w:szCs w:val="20"/>
          <w:lang w:val="es-ES_tradnl"/>
        </w:rPr>
        <w:t xml:space="preserve"> el escrito de petición respecto al cual debe referir sus observacione</w:t>
      </w:r>
      <w:r w:rsidR="00816079" w:rsidRPr="009760EA">
        <w:rPr>
          <w:rFonts w:asciiTheme="majorHAnsi" w:hAnsiTheme="majorHAnsi"/>
          <w:bCs/>
          <w:sz w:val="20"/>
          <w:szCs w:val="20"/>
          <w:lang w:val="es-ES_tradnl"/>
        </w:rPr>
        <w:t>s, y, adicionalmente,</w:t>
      </w:r>
      <w:r w:rsidR="00ED4FCF" w:rsidRPr="009760EA">
        <w:rPr>
          <w:rFonts w:asciiTheme="majorHAnsi" w:hAnsiTheme="majorHAnsi"/>
          <w:bCs/>
          <w:sz w:val="20"/>
          <w:szCs w:val="20"/>
          <w:lang w:val="es-ES_tradnl"/>
        </w:rPr>
        <w:t xml:space="preserve"> implica la construcción del caso en el tiempo</w:t>
      </w:r>
      <w:r w:rsidR="00EC0D4A" w:rsidRPr="009760EA">
        <w:rPr>
          <w:rFonts w:asciiTheme="majorHAnsi" w:hAnsiTheme="majorHAnsi"/>
          <w:bCs/>
          <w:sz w:val="20"/>
          <w:szCs w:val="20"/>
          <w:lang w:val="es-ES_tradnl"/>
        </w:rPr>
        <w:t>,</w:t>
      </w:r>
      <w:r w:rsidR="00ED4FCF" w:rsidRPr="009760EA">
        <w:rPr>
          <w:rFonts w:asciiTheme="majorHAnsi" w:hAnsiTheme="majorHAnsi"/>
          <w:bCs/>
          <w:sz w:val="20"/>
          <w:szCs w:val="20"/>
          <w:lang w:val="es-ES_tradnl"/>
        </w:rPr>
        <w:t xml:space="preserve"> añadiendo nuevas peticiones </w:t>
      </w:r>
      <w:r w:rsidR="00ED4FCF" w:rsidRPr="009760EA">
        <w:rPr>
          <w:rFonts w:asciiTheme="majorHAnsi" w:hAnsiTheme="majorHAnsi"/>
          <w:bCs/>
          <w:i/>
          <w:iCs/>
          <w:sz w:val="20"/>
          <w:szCs w:val="20"/>
          <w:lang w:val="es-ES_tradnl"/>
        </w:rPr>
        <w:t>ad-infinitum</w:t>
      </w:r>
      <w:r w:rsidR="00ED4FCF" w:rsidRPr="009760EA">
        <w:rPr>
          <w:rFonts w:asciiTheme="majorHAnsi" w:hAnsiTheme="majorHAnsi"/>
          <w:bCs/>
          <w:sz w:val="20"/>
          <w:szCs w:val="20"/>
          <w:lang w:val="es-ES_tradnl"/>
        </w:rPr>
        <w:t xml:space="preserve"> </w:t>
      </w:r>
      <w:r w:rsidR="00EC0D4A" w:rsidRPr="009760EA">
        <w:rPr>
          <w:rFonts w:asciiTheme="majorHAnsi" w:hAnsiTheme="majorHAnsi"/>
          <w:bCs/>
          <w:sz w:val="20"/>
          <w:szCs w:val="20"/>
          <w:lang w:val="es-ES_tradnl"/>
        </w:rPr>
        <w:t xml:space="preserve">permitiendo un continuo agotamiento de los recursos internos </w:t>
      </w:r>
      <w:r w:rsidR="00C0397F" w:rsidRPr="009760EA">
        <w:rPr>
          <w:rFonts w:asciiTheme="majorHAnsi" w:hAnsiTheme="majorHAnsi"/>
          <w:bCs/>
          <w:sz w:val="20"/>
          <w:szCs w:val="20"/>
          <w:lang w:val="es-ES_tradnl"/>
        </w:rPr>
        <w:t xml:space="preserve">en jurisdicción interna. </w:t>
      </w:r>
      <w:r w:rsidR="00203CDE" w:rsidRPr="009760EA">
        <w:rPr>
          <w:rFonts w:asciiTheme="majorHAnsi" w:hAnsiTheme="majorHAnsi"/>
          <w:bCs/>
          <w:sz w:val="20"/>
          <w:szCs w:val="20"/>
          <w:lang w:val="es-ES_tradnl"/>
        </w:rPr>
        <w:t xml:space="preserve"> </w:t>
      </w:r>
    </w:p>
    <w:p w14:paraId="28C2E853" w14:textId="245E14BF" w:rsidR="00816079" w:rsidRPr="009760EA" w:rsidRDefault="00816079" w:rsidP="00FA50D3">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sz w:val="20"/>
          <w:szCs w:val="20"/>
          <w:lang w:val="es-ES_tradnl"/>
        </w:rPr>
        <w:t xml:space="preserve">Adicionalmente, </w:t>
      </w:r>
      <w:r w:rsidR="007B09E5" w:rsidRPr="009760EA">
        <w:rPr>
          <w:rFonts w:asciiTheme="majorHAnsi" w:hAnsiTheme="majorHAnsi"/>
          <w:sz w:val="20"/>
          <w:szCs w:val="20"/>
          <w:lang w:val="es-ES_tradnl"/>
        </w:rPr>
        <w:t>en respuesta a lo</w:t>
      </w:r>
      <w:r w:rsidR="009760EA">
        <w:rPr>
          <w:rFonts w:asciiTheme="majorHAnsi" w:hAnsiTheme="majorHAnsi"/>
          <w:sz w:val="20"/>
          <w:szCs w:val="20"/>
          <w:lang w:val="es-ES_tradnl"/>
        </w:rPr>
        <w:t>s</w:t>
      </w:r>
      <w:r w:rsidR="007B09E5" w:rsidRPr="009760EA">
        <w:rPr>
          <w:rFonts w:asciiTheme="majorHAnsi" w:hAnsiTheme="majorHAnsi"/>
          <w:sz w:val="20"/>
          <w:szCs w:val="20"/>
          <w:lang w:val="es-ES_tradnl"/>
        </w:rPr>
        <w:t xml:space="preserve"> alegatos de la parte peticionaria, sostiene que</w:t>
      </w:r>
      <w:r w:rsidR="009B4B7B" w:rsidRPr="009760EA">
        <w:rPr>
          <w:rFonts w:asciiTheme="majorHAnsi" w:hAnsiTheme="majorHAnsi"/>
          <w:sz w:val="20"/>
          <w:szCs w:val="20"/>
          <w:lang w:val="es-ES_tradnl"/>
        </w:rPr>
        <w:t xml:space="preserve">, </w:t>
      </w:r>
      <w:r w:rsidR="007B09E5" w:rsidRPr="009760EA">
        <w:rPr>
          <w:rFonts w:asciiTheme="majorHAnsi" w:hAnsiTheme="majorHAnsi"/>
          <w:sz w:val="20"/>
          <w:szCs w:val="20"/>
          <w:lang w:val="es-ES_tradnl"/>
        </w:rPr>
        <w:t>el</w:t>
      </w:r>
      <w:r w:rsidR="009B4B7B" w:rsidRPr="009760EA">
        <w:rPr>
          <w:rFonts w:asciiTheme="majorHAnsi" w:hAnsiTheme="majorHAnsi"/>
          <w:sz w:val="20"/>
          <w:szCs w:val="20"/>
          <w:lang w:val="es-ES_tradnl"/>
        </w:rPr>
        <w:t xml:space="preserve"> 29 de noviembre de 2017,</w:t>
      </w:r>
      <w:r w:rsidR="007B09E5" w:rsidRPr="009760EA">
        <w:rPr>
          <w:rFonts w:asciiTheme="majorHAnsi" w:hAnsiTheme="majorHAnsi"/>
          <w:sz w:val="20"/>
          <w:szCs w:val="20"/>
          <w:lang w:val="es-ES_tradnl"/>
        </w:rPr>
        <w:t xml:space="preserve"> entonces Presidente</w:t>
      </w:r>
      <w:r w:rsidR="009B4B7B" w:rsidRPr="009760EA">
        <w:rPr>
          <w:rFonts w:asciiTheme="majorHAnsi" w:hAnsiTheme="majorHAnsi"/>
          <w:sz w:val="20"/>
          <w:szCs w:val="20"/>
          <w:lang w:val="es-ES_tradnl"/>
        </w:rPr>
        <w:t xml:space="preserve"> dispuso la convocatoria a referéndum, sin esperar el pronunciamiento de la Corte Constitucional, al considerar que se había </w:t>
      </w:r>
      <w:r w:rsidR="00FA50D3" w:rsidRPr="009760EA">
        <w:rPr>
          <w:rFonts w:asciiTheme="majorHAnsi" w:hAnsiTheme="majorHAnsi"/>
          <w:sz w:val="20"/>
          <w:szCs w:val="20"/>
          <w:lang w:val="es-ES_tradnl"/>
        </w:rPr>
        <w:t>“</w:t>
      </w:r>
      <w:r w:rsidR="009B4B7B" w:rsidRPr="009760EA">
        <w:rPr>
          <w:rFonts w:asciiTheme="majorHAnsi" w:hAnsiTheme="majorHAnsi"/>
          <w:i/>
          <w:iCs/>
          <w:sz w:val="20"/>
          <w:szCs w:val="20"/>
          <w:lang w:val="es-ES_tradnl"/>
        </w:rPr>
        <w:t xml:space="preserve">superado en demasía el término de 20 días que dispone el artículo 105 de la Ley Orgánica de Garantías Jurisdiccionales y Control Constitucional para que el máximo organismo de control en materia constitucional del país, emita un dictamen sobre la constitucionalidad del proyecto de Referéndum </w:t>
      </w:r>
      <w:r w:rsidR="00C858C5" w:rsidRPr="009760EA">
        <w:rPr>
          <w:rFonts w:asciiTheme="majorHAnsi" w:hAnsiTheme="majorHAnsi"/>
          <w:i/>
          <w:iCs/>
          <w:sz w:val="20"/>
          <w:szCs w:val="20"/>
          <w:lang w:val="es-ES_tradnl"/>
        </w:rPr>
        <w:t>[</w:t>
      </w:r>
      <w:r w:rsidR="009B4B7B" w:rsidRPr="009760EA">
        <w:rPr>
          <w:rFonts w:asciiTheme="majorHAnsi" w:hAnsiTheme="majorHAnsi"/>
          <w:i/>
          <w:iCs/>
          <w:sz w:val="20"/>
          <w:szCs w:val="20"/>
          <w:lang w:val="es-ES_tradnl"/>
        </w:rPr>
        <w:t>…</w:t>
      </w:r>
      <w:r w:rsidR="00C858C5" w:rsidRPr="009760EA">
        <w:rPr>
          <w:rFonts w:asciiTheme="majorHAnsi" w:hAnsiTheme="majorHAnsi"/>
          <w:i/>
          <w:iCs/>
          <w:sz w:val="20"/>
          <w:szCs w:val="20"/>
          <w:lang w:val="es-ES_tradnl"/>
        </w:rPr>
        <w:t>]</w:t>
      </w:r>
      <w:r w:rsidR="00FA50D3" w:rsidRPr="009760EA">
        <w:rPr>
          <w:rFonts w:asciiTheme="majorHAnsi" w:hAnsiTheme="majorHAnsi"/>
          <w:sz w:val="20"/>
          <w:szCs w:val="20"/>
          <w:lang w:val="es-ES_tradnl"/>
        </w:rPr>
        <w:t>”</w:t>
      </w:r>
      <w:r w:rsidR="009B4B7B" w:rsidRPr="009760EA">
        <w:rPr>
          <w:rFonts w:asciiTheme="majorHAnsi" w:hAnsiTheme="majorHAnsi"/>
          <w:sz w:val="20"/>
          <w:szCs w:val="20"/>
          <w:lang w:val="es-ES_tradnl"/>
        </w:rPr>
        <w:t>. En esa línea, la citada autoridad concluyo que “</w:t>
      </w:r>
      <w:r w:rsidR="009B4B7B" w:rsidRPr="009760EA">
        <w:rPr>
          <w:rFonts w:asciiTheme="majorHAnsi" w:hAnsiTheme="majorHAnsi"/>
          <w:i/>
          <w:iCs/>
          <w:sz w:val="20"/>
          <w:szCs w:val="20"/>
          <w:lang w:val="es-ES_tradnl"/>
        </w:rPr>
        <w:t xml:space="preserve">resulta imperante aplicar los efectos legales previstos ante esta omisión, esto es, que se entenderá que se ha emitido un dictamen favorable </w:t>
      </w:r>
      <w:r w:rsidR="00C858C5" w:rsidRPr="009760EA">
        <w:rPr>
          <w:rFonts w:asciiTheme="majorHAnsi" w:hAnsiTheme="majorHAnsi"/>
          <w:i/>
          <w:iCs/>
          <w:sz w:val="20"/>
          <w:szCs w:val="20"/>
          <w:lang w:val="es-ES_tradnl"/>
        </w:rPr>
        <w:t>[</w:t>
      </w:r>
      <w:r w:rsidR="009B4B7B" w:rsidRPr="009760EA">
        <w:rPr>
          <w:rFonts w:asciiTheme="majorHAnsi" w:hAnsiTheme="majorHAnsi"/>
          <w:i/>
          <w:iCs/>
          <w:sz w:val="20"/>
          <w:szCs w:val="20"/>
          <w:lang w:val="es-ES_tradnl"/>
        </w:rPr>
        <w:t>…</w:t>
      </w:r>
      <w:r w:rsidR="00C858C5" w:rsidRPr="009760EA">
        <w:rPr>
          <w:rFonts w:asciiTheme="majorHAnsi" w:hAnsiTheme="majorHAnsi"/>
          <w:i/>
          <w:iCs/>
          <w:sz w:val="20"/>
          <w:szCs w:val="20"/>
          <w:lang w:val="es-ES_tradnl"/>
        </w:rPr>
        <w:t>]</w:t>
      </w:r>
      <w:r w:rsidR="009B4B7B" w:rsidRPr="009760EA">
        <w:rPr>
          <w:rFonts w:asciiTheme="majorHAnsi" w:hAnsiTheme="majorHAnsi"/>
          <w:i/>
          <w:iCs/>
          <w:sz w:val="20"/>
          <w:szCs w:val="20"/>
          <w:lang w:val="es-ES_tradnl"/>
        </w:rPr>
        <w:t xml:space="preserve"> por lo que </w:t>
      </w:r>
      <w:r w:rsidR="00C858C5" w:rsidRPr="009760EA">
        <w:rPr>
          <w:rFonts w:asciiTheme="majorHAnsi" w:hAnsiTheme="majorHAnsi"/>
          <w:i/>
          <w:iCs/>
          <w:sz w:val="20"/>
          <w:szCs w:val="20"/>
          <w:lang w:val="es-ES_tradnl"/>
        </w:rPr>
        <w:t>[</w:t>
      </w:r>
      <w:r w:rsidR="009B4B7B" w:rsidRPr="009760EA">
        <w:rPr>
          <w:rFonts w:asciiTheme="majorHAnsi" w:hAnsiTheme="majorHAnsi"/>
          <w:i/>
          <w:iCs/>
          <w:sz w:val="20"/>
          <w:szCs w:val="20"/>
          <w:lang w:val="es-ES_tradnl"/>
        </w:rPr>
        <w:t>…</w:t>
      </w:r>
      <w:r w:rsidR="00C858C5" w:rsidRPr="009760EA">
        <w:rPr>
          <w:rFonts w:asciiTheme="majorHAnsi" w:hAnsiTheme="majorHAnsi"/>
          <w:i/>
          <w:iCs/>
          <w:sz w:val="20"/>
          <w:szCs w:val="20"/>
          <w:lang w:val="es-ES_tradnl"/>
        </w:rPr>
        <w:t>]</w:t>
      </w:r>
      <w:r w:rsidR="009B4B7B" w:rsidRPr="009760EA">
        <w:rPr>
          <w:rFonts w:asciiTheme="majorHAnsi" w:hAnsiTheme="majorHAnsi"/>
          <w:i/>
          <w:iCs/>
          <w:sz w:val="20"/>
          <w:szCs w:val="20"/>
          <w:lang w:val="es-ES_tradnl"/>
        </w:rPr>
        <w:t xml:space="preserve"> corresponde disponer la convocatoria al pueblo ecuatoriano a Consulta Popular en los términos que fueron planteados </w:t>
      </w:r>
      <w:r w:rsidR="00C858C5" w:rsidRPr="009760EA">
        <w:rPr>
          <w:rFonts w:asciiTheme="majorHAnsi" w:hAnsiTheme="majorHAnsi"/>
          <w:i/>
          <w:iCs/>
          <w:sz w:val="20"/>
          <w:szCs w:val="20"/>
          <w:lang w:val="es-ES_tradnl"/>
        </w:rPr>
        <w:t>[</w:t>
      </w:r>
      <w:r w:rsidR="009B4B7B" w:rsidRPr="009760EA">
        <w:rPr>
          <w:rFonts w:asciiTheme="majorHAnsi" w:hAnsiTheme="majorHAnsi"/>
          <w:i/>
          <w:iCs/>
          <w:sz w:val="20"/>
          <w:szCs w:val="20"/>
          <w:lang w:val="es-ES_tradnl"/>
        </w:rPr>
        <w:t>…</w:t>
      </w:r>
      <w:r w:rsidR="00C858C5" w:rsidRPr="009760EA">
        <w:rPr>
          <w:rFonts w:asciiTheme="majorHAnsi" w:hAnsiTheme="majorHAnsi"/>
          <w:i/>
          <w:iCs/>
          <w:sz w:val="20"/>
          <w:szCs w:val="20"/>
          <w:lang w:val="es-ES_tradnl"/>
        </w:rPr>
        <w:t>]</w:t>
      </w:r>
      <w:r w:rsidR="00FA50D3" w:rsidRPr="009760EA">
        <w:rPr>
          <w:rFonts w:asciiTheme="majorHAnsi" w:hAnsiTheme="majorHAnsi"/>
          <w:sz w:val="20"/>
          <w:szCs w:val="20"/>
          <w:lang w:val="es-ES_tradnl"/>
        </w:rPr>
        <w:t>”</w:t>
      </w:r>
      <w:r w:rsidR="009B4B7B" w:rsidRPr="009760EA">
        <w:rPr>
          <w:rFonts w:asciiTheme="majorHAnsi" w:hAnsiTheme="majorHAnsi"/>
          <w:sz w:val="20"/>
          <w:szCs w:val="20"/>
          <w:lang w:val="es-ES_tradnl"/>
        </w:rPr>
        <w:t xml:space="preserve">. </w:t>
      </w:r>
    </w:p>
    <w:p w14:paraId="507CF8FF" w14:textId="2AFC367B" w:rsidR="007F12E1" w:rsidRPr="009760EA" w:rsidRDefault="00816079" w:rsidP="007F12E1">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bCs/>
          <w:sz w:val="20"/>
          <w:szCs w:val="20"/>
          <w:lang w:val="es-ES_tradnl"/>
        </w:rPr>
        <w:t>En base a tales consideraciones</w:t>
      </w:r>
      <w:r w:rsidR="002E2F08" w:rsidRPr="009760EA">
        <w:rPr>
          <w:rFonts w:asciiTheme="majorHAnsi" w:hAnsiTheme="majorHAnsi"/>
          <w:bCs/>
          <w:sz w:val="20"/>
          <w:szCs w:val="20"/>
          <w:lang w:val="es-ES_tradnl"/>
        </w:rPr>
        <w:t>, e</w:t>
      </w:r>
      <w:r w:rsidR="004E49D8" w:rsidRPr="009760EA">
        <w:rPr>
          <w:rFonts w:asciiTheme="majorHAnsi" w:hAnsiTheme="majorHAnsi"/>
          <w:bCs/>
          <w:sz w:val="20"/>
          <w:szCs w:val="20"/>
          <w:lang w:val="es-ES_tradnl"/>
        </w:rPr>
        <w:t xml:space="preserve">l Estado alega que la petición debe ser declarada inadmisible por </w:t>
      </w:r>
      <w:r w:rsidR="007C25A9" w:rsidRPr="009760EA">
        <w:rPr>
          <w:rFonts w:asciiTheme="majorHAnsi" w:hAnsiTheme="majorHAnsi"/>
          <w:bCs/>
          <w:sz w:val="20"/>
          <w:szCs w:val="20"/>
          <w:lang w:val="es-ES_tradnl"/>
        </w:rPr>
        <w:t>tres</w:t>
      </w:r>
      <w:r w:rsidR="004E49D8" w:rsidRPr="009760EA">
        <w:rPr>
          <w:rFonts w:asciiTheme="majorHAnsi" w:hAnsiTheme="majorHAnsi"/>
          <w:bCs/>
          <w:sz w:val="20"/>
          <w:szCs w:val="20"/>
          <w:lang w:val="es-ES_tradnl"/>
        </w:rPr>
        <w:t xml:space="preserve"> razones: i) </w:t>
      </w:r>
      <w:r w:rsidR="00CA4161" w:rsidRPr="009760EA">
        <w:rPr>
          <w:rFonts w:asciiTheme="majorHAnsi" w:hAnsiTheme="majorHAnsi"/>
          <w:bCs/>
          <w:sz w:val="20"/>
          <w:szCs w:val="20"/>
          <w:lang w:val="es-ES_tradnl"/>
        </w:rPr>
        <w:t>falta de competencia</w:t>
      </w:r>
      <w:r w:rsidR="004E49D8" w:rsidRPr="009760EA">
        <w:rPr>
          <w:rFonts w:asciiTheme="majorHAnsi" w:hAnsiTheme="majorHAnsi"/>
          <w:bCs/>
          <w:i/>
          <w:iCs/>
          <w:sz w:val="20"/>
          <w:szCs w:val="20"/>
          <w:lang w:val="es-ES_tradnl"/>
        </w:rPr>
        <w:t xml:space="preserve"> ratione personae; </w:t>
      </w:r>
      <w:r w:rsidR="004E49D8" w:rsidRPr="009760EA">
        <w:rPr>
          <w:rFonts w:asciiTheme="majorHAnsi" w:hAnsiTheme="majorHAnsi"/>
          <w:bCs/>
          <w:sz w:val="20"/>
          <w:szCs w:val="20"/>
          <w:lang w:val="es-ES_tradnl"/>
        </w:rPr>
        <w:t xml:space="preserve">ii) ausencia de elementos jurídicos que caractericen una </w:t>
      </w:r>
      <w:r w:rsidR="00F42977" w:rsidRPr="009760EA">
        <w:rPr>
          <w:rFonts w:asciiTheme="majorHAnsi" w:hAnsiTheme="majorHAnsi"/>
          <w:bCs/>
          <w:sz w:val="20"/>
          <w:szCs w:val="20"/>
          <w:lang w:val="es-ES_tradnl"/>
        </w:rPr>
        <w:t>violación de derechos humanos</w:t>
      </w:r>
      <w:r w:rsidR="007C25A9" w:rsidRPr="009760EA">
        <w:rPr>
          <w:rFonts w:asciiTheme="majorHAnsi" w:hAnsiTheme="majorHAnsi"/>
          <w:bCs/>
          <w:sz w:val="20"/>
          <w:szCs w:val="20"/>
          <w:lang w:val="es-ES_tradnl"/>
        </w:rPr>
        <w:t xml:space="preserve">; y iii) </w:t>
      </w:r>
      <w:r w:rsidR="00D32673" w:rsidRPr="009760EA">
        <w:rPr>
          <w:rFonts w:asciiTheme="majorHAnsi" w:hAnsiTheme="majorHAnsi"/>
          <w:bCs/>
          <w:sz w:val="20"/>
          <w:szCs w:val="20"/>
          <w:lang w:val="es-ES_tradnl"/>
        </w:rPr>
        <w:t xml:space="preserve">porque </w:t>
      </w:r>
      <w:r w:rsidR="007C25A9" w:rsidRPr="009760EA">
        <w:rPr>
          <w:rFonts w:asciiTheme="majorHAnsi" w:hAnsiTheme="majorHAnsi"/>
          <w:bCs/>
          <w:sz w:val="20"/>
          <w:szCs w:val="20"/>
          <w:lang w:val="es-ES_tradnl"/>
        </w:rPr>
        <w:t xml:space="preserve">se pretende que </w:t>
      </w:r>
      <w:r w:rsidR="008B2873" w:rsidRPr="009760EA">
        <w:rPr>
          <w:rFonts w:asciiTheme="majorHAnsi" w:hAnsiTheme="majorHAnsi"/>
          <w:bCs/>
          <w:sz w:val="20"/>
          <w:szCs w:val="20"/>
          <w:lang w:val="es-ES_tradnl"/>
        </w:rPr>
        <w:t xml:space="preserve">la </w:t>
      </w:r>
      <w:r w:rsidR="007C25A9" w:rsidRPr="009760EA">
        <w:rPr>
          <w:rFonts w:asciiTheme="majorHAnsi" w:hAnsiTheme="majorHAnsi"/>
          <w:bCs/>
          <w:sz w:val="20"/>
          <w:szCs w:val="20"/>
          <w:lang w:val="es-ES_tradnl"/>
        </w:rPr>
        <w:t>Comisión actúe como</w:t>
      </w:r>
      <w:r w:rsidR="00EE1694" w:rsidRPr="009760EA">
        <w:rPr>
          <w:rFonts w:asciiTheme="majorHAnsi" w:hAnsiTheme="majorHAnsi"/>
          <w:bCs/>
          <w:sz w:val="20"/>
          <w:szCs w:val="20"/>
          <w:lang w:val="es-ES_tradnl"/>
        </w:rPr>
        <w:t>, lo que denomina o da en llamar,</w:t>
      </w:r>
      <w:r w:rsidR="007C25A9" w:rsidRPr="009760EA">
        <w:rPr>
          <w:rFonts w:asciiTheme="majorHAnsi" w:hAnsiTheme="majorHAnsi"/>
          <w:bCs/>
          <w:sz w:val="20"/>
          <w:szCs w:val="20"/>
          <w:lang w:val="es-ES_tradnl"/>
        </w:rPr>
        <w:t xml:space="preserve"> una </w:t>
      </w:r>
      <w:r w:rsidR="00EE1694" w:rsidRPr="009760EA">
        <w:rPr>
          <w:rFonts w:asciiTheme="majorHAnsi" w:hAnsiTheme="majorHAnsi"/>
          <w:bCs/>
          <w:sz w:val="20"/>
          <w:szCs w:val="20"/>
          <w:lang w:val="es-ES_tradnl"/>
        </w:rPr>
        <w:t>“</w:t>
      </w:r>
      <w:r w:rsidR="007C25A9" w:rsidRPr="009760EA">
        <w:rPr>
          <w:rFonts w:asciiTheme="majorHAnsi" w:hAnsiTheme="majorHAnsi"/>
          <w:bCs/>
          <w:sz w:val="20"/>
          <w:szCs w:val="20"/>
          <w:lang w:val="es-ES_tradnl"/>
        </w:rPr>
        <w:t>cuarta instancia</w:t>
      </w:r>
      <w:r w:rsidR="00EE1694" w:rsidRPr="009760EA">
        <w:rPr>
          <w:rFonts w:asciiTheme="majorHAnsi" w:hAnsiTheme="majorHAnsi"/>
          <w:bCs/>
          <w:sz w:val="20"/>
          <w:szCs w:val="20"/>
          <w:lang w:val="es-ES_tradnl"/>
        </w:rPr>
        <w:t>”</w:t>
      </w:r>
      <w:r w:rsidR="00F42977" w:rsidRPr="009760EA">
        <w:rPr>
          <w:rFonts w:asciiTheme="majorHAnsi" w:hAnsiTheme="majorHAnsi"/>
          <w:bCs/>
          <w:sz w:val="20"/>
          <w:szCs w:val="20"/>
          <w:lang w:val="es-ES_tradnl"/>
        </w:rPr>
        <w:t xml:space="preserve">. </w:t>
      </w:r>
    </w:p>
    <w:p w14:paraId="457A7B3E" w14:textId="2D17A97A" w:rsidR="007F12E1" w:rsidRPr="009760EA" w:rsidRDefault="00F42977" w:rsidP="007F12E1">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bCs/>
          <w:sz w:val="20"/>
          <w:szCs w:val="20"/>
          <w:lang w:val="es-ES_tradnl"/>
        </w:rPr>
        <w:t xml:space="preserve">En relación con el primer punto, </w:t>
      </w:r>
      <w:r w:rsidR="00EE1694" w:rsidRPr="009760EA">
        <w:rPr>
          <w:rFonts w:asciiTheme="majorHAnsi" w:hAnsiTheme="majorHAnsi"/>
          <w:bCs/>
          <w:sz w:val="20"/>
          <w:szCs w:val="20"/>
          <w:lang w:val="es-ES_tradnl"/>
        </w:rPr>
        <w:t>Ecuador</w:t>
      </w:r>
      <w:r w:rsidR="008B2873" w:rsidRPr="009760EA">
        <w:rPr>
          <w:rFonts w:asciiTheme="majorHAnsi" w:hAnsiTheme="majorHAnsi"/>
          <w:bCs/>
          <w:sz w:val="20"/>
          <w:szCs w:val="20"/>
          <w:lang w:val="es-ES_tradnl"/>
        </w:rPr>
        <w:t xml:space="preserve"> </w:t>
      </w:r>
      <w:r w:rsidR="004C18A6" w:rsidRPr="009760EA">
        <w:rPr>
          <w:rFonts w:asciiTheme="majorHAnsi" w:hAnsiTheme="majorHAnsi"/>
          <w:bCs/>
          <w:sz w:val="20"/>
          <w:szCs w:val="20"/>
          <w:lang w:val="es-ES_tradnl"/>
        </w:rPr>
        <w:t>indica que no hay una determinación clara de las víctimas</w:t>
      </w:r>
      <w:r w:rsidR="00EE1694" w:rsidRPr="009760EA">
        <w:rPr>
          <w:rFonts w:asciiTheme="majorHAnsi" w:hAnsiTheme="majorHAnsi"/>
          <w:bCs/>
          <w:sz w:val="20"/>
          <w:szCs w:val="20"/>
          <w:lang w:val="es-ES_tradnl"/>
        </w:rPr>
        <w:t>,</w:t>
      </w:r>
      <w:r w:rsidR="004C18A6" w:rsidRPr="009760EA">
        <w:rPr>
          <w:rFonts w:asciiTheme="majorHAnsi" w:hAnsiTheme="majorHAnsi"/>
          <w:bCs/>
          <w:sz w:val="20"/>
          <w:szCs w:val="20"/>
          <w:lang w:val="es-ES_tradnl"/>
        </w:rPr>
        <w:t xml:space="preserve"> </w:t>
      </w:r>
      <w:r w:rsidR="00003CD7" w:rsidRPr="009760EA">
        <w:rPr>
          <w:rFonts w:asciiTheme="majorHAnsi" w:hAnsiTheme="majorHAnsi"/>
          <w:bCs/>
          <w:sz w:val="20"/>
          <w:szCs w:val="20"/>
          <w:lang w:val="es-ES_tradnl"/>
        </w:rPr>
        <w:t>y</w:t>
      </w:r>
      <w:r w:rsidR="00EE1694" w:rsidRPr="009760EA">
        <w:rPr>
          <w:rFonts w:asciiTheme="majorHAnsi" w:hAnsiTheme="majorHAnsi"/>
          <w:bCs/>
          <w:sz w:val="20"/>
          <w:szCs w:val="20"/>
          <w:lang w:val="es-ES_tradnl"/>
        </w:rPr>
        <w:t xml:space="preserve"> </w:t>
      </w:r>
      <w:r w:rsidR="00003CD7" w:rsidRPr="009760EA">
        <w:rPr>
          <w:rFonts w:asciiTheme="majorHAnsi" w:hAnsiTheme="majorHAnsi"/>
          <w:bCs/>
          <w:sz w:val="20"/>
          <w:szCs w:val="20"/>
          <w:lang w:val="es-ES_tradnl"/>
        </w:rPr>
        <w:t xml:space="preserve">que </w:t>
      </w:r>
      <w:r w:rsidR="00616E53" w:rsidRPr="009760EA">
        <w:rPr>
          <w:rFonts w:asciiTheme="majorHAnsi" w:hAnsiTheme="majorHAnsi"/>
          <w:bCs/>
          <w:sz w:val="20"/>
          <w:szCs w:val="20"/>
          <w:lang w:val="es-ES_tradnl"/>
        </w:rPr>
        <w:t>se trata</w:t>
      </w:r>
      <w:r w:rsidR="00EE1694" w:rsidRPr="009760EA">
        <w:rPr>
          <w:rFonts w:asciiTheme="majorHAnsi" w:hAnsiTheme="majorHAnsi"/>
          <w:bCs/>
          <w:sz w:val="20"/>
          <w:szCs w:val="20"/>
          <w:lang w:val="es-ES_tradnl"/>
        </w:rPr>
        <w:t>ría</w:t>
      </w:r>
      <w:r w:rsidR="00616E53" w:rsidRPr="009760EA">
        <w:rPr>
          <w:rFonts w:asciiTheme="majorHAnsi" w:hAnsiTheme="majorHAnsi"/>
          <w:bCs/>
          <w:sz w:val="20"/>
          <w:szCs w:val="20"/>
          <w:lang w:val="es-ES_tradnl"/>
        </w:rPr>
        <w:t xml:space="preserve"> de un reclamo </w:t>
      </w:r>
      <w:r w:rsidR="00616E53" w:rsidRPr="009760EA">
        <w:rPr>
          <w:rFonts w:asciiTheme="majorHAnsi" w:hAnsiTheme="majorHAnsi"/>
          <w:bCs/>
          <w:i/>
          <w:iCs/>
          <w:sz w:val="20"/>
          <w:szCs w:val="20"/>
          <w:lang w:val="es-ES_tradnl"/>
        </w:rPr>
        <w:t xml:space="preserve">in abstracto </w:t>
      </w:r>
      <w:r w:rsidR="00616E53" w:rsidRPr="009760EA">
        <w:rPr>
          <w:rFonts w:asciiTheme="majorHAnsi" w:hAnsiTheme="majorHAnsi"/>
          <w:bCs/>
          <w:sz w:val="20"/>
          <w:szCs w:val="20"/>
          <w:lang w:val="es-ES_tradnl"/>
        </w:rPr>
        <w:t xml:space="preserve">por la falta de identificación </w:t>
      </w:r>
      <w:r w:rsidR="00550387" w:rsidRPr="009760EA">
        <w:rPr>
          <w:rFonts w:asciiTheme="majorHAnsi" w:hAnsiTheme="majorHAnsi"/>
          <w:bCs/>
          <w:sz w:val="20"/>
          <w:szCs w:val="20"/>
          <w:lang w:val="es-ES_tradnl"/>
        </w:rPr>
        <w:t xml:space="preserve">y determinación </w:t>
      </w:r>
      <w:r w:rsidR="00616E53" w:rsidRPr="009760EA">
        <w:rPr>
          <w:rFonts w:asciiTheme="majorHAnsi" w:hAnsiTheme="majorHAnsi"/>
          <w:bCs/>
          <w:sz w:val="20"/>
          <w:szCs w:val="20"/>
          <w:lang w:val="es-ES_tradnl"/>
        </w:rPr>
        <w:t xml:space="preserve">de las víctimas, pues los escritos mencionan diversas personas y </w:t>
      </w:r>
      <w:r w:rsidR="009760EA" w:rsidRPr="009760EA">
        <w:rPr>
          <w:rFonts w:asciiTheme="majorHAnsi" w:hAnsiTheme="majorHAnsi"/>
          <w:bCs/>
          <w:sz w:val="20"/>
          <w:szCs w:val="20"/>
          <w:lang w:val="es-ES_tradnl"/>
        </w:rPr>
        <w:t>exfuncionarios</w:t>
      </w:r>
      <w:r w:rsidR="00D449D9" w:rsidRPr="009760EA">
        <w:rPr>
          <w:rFonts w:asciiTheme="majorHAnsi" w:hAnsiTheme="majorHAnsi"/>
          <w:bCs/>
          <w:sz w:val="20"/>
          <w:szCs w:val="20"/>
          <w:lang w:val="es-ES_tradnl"/>
        </w:rPr>
        <w:t xml:space="preserve">, así como sectores de la población que habrían sido supuestamente afectados con los cambios institucionales y normativos derivados de la </w:t>
      </w:r>
      <w:r w:rsidR="00D44D04" w:rsidRPr="009760EA">
        <w:rPr>
          <w:rFonts w:asciiTheme="majorHAnsi" w:hAnsiTheme="majorHAnsi"/>
          <w:bCs/>
          <w:sz w:val="20"/>
          <w:szCs w:val="20"/>
          <w:lang w:val="es-ES_tradnl"/>
        </w:rPr>
        <w:t>c</w:t>
      </w:r>
      <w:r w:rsidR="00D449D9" w:rsidRPr="009760EA">
        <w:rPr>
          <w:rFonts w:asciiTheme="majorHAnsi" w:hAnsiTheme="majorHAnsi"/>
          <w:bCs/>
          <w:sz w:val="20"/>
          <w:szCs w:val="20"/>
          <w:lang w:val="es-ES_tradnl"/>
        </w:rPr>
        <w:t xml:space="preserve">onsulta </w:t>
      </w:r>
      <w:r w:rsidR="00D44D04" w:rsidRPr="009760EA">
        <w:rPr>
          <w:rFonts w:asciiTheme="majorHAnsi" w:hAnsiTheme="majorHAnsi"/>
          <w:bCs/>
          <w:sz w:val="20"/>
          <w:szCs w:val="20"/>
          <w:lang w:val="es-ES_tradnl"/>
        </w:rPr>
        <w:t>p</w:t>
      </w:r>
      <w:r w:rsidR="00D449D9" w:rsidRPr="009760EA">
        <w:rPr>
          <w:rFonts w:asciiTheme="majorHAnsi" w:hAnsiTheme="majorHAnsi"/>
          <w:bCs/>
          <w:sz w:val="20"/>
          <w:szCs w:val="20"/>
          <w:lang w:val="es-ES_tradnl"/>
        </w:rPr>
        <w:t xml:space="preserve">opular y </w:t>
      </w:r>
      <w:r w:rsidR="00D44D04" w:rsidRPr="009760EA">
        <w:rPr>
          <w:rFonts w:asciiTheme="majorHAnsi" w:hAnsiTheme="majorHAnsi"/>
          <w:bCs/>
          <w:sz w:val="20"/>
          <w:szCs w:val="20"/>
          <w:lang w:val="es-ES_tradnl"/>
        </w:rPr>
        <w:t>r</w:t>
      </w:r>
      <w:r w:rsidR="00D449D9" w:rsidRPr="009760EA">
        <w:rPr>
          <w:rFonts w:asciiTheme="majorHAnsi" w:hAnsiTheme="majorHAnsi"/>
          <w:bCs/>
          <w:sz w:val="20"/>
          <w:szCs w:val="20"/>
          <w:lang w:val="es-ES_tradnl"/>
        </w:rPr>
        <w:t xml:space="preserve">eferéndum de febrero de 2018. </w:t>
      </w:r>
      <w:r w:rsidR="00550387" w:rsidRPr="009760EA">
        <w:rPr>
          <w:rFonts w:asciiTheme="majorHAnsi" w:hAnsiTheme="majorHAnsi"/>
          <w:bCs/>
          <w:sz w:val="20"/>
          <w:szCs w:val="20"/>
          <w:lang w:val="es-ES_tradnl"/>
        </w:rPr>
        <w:t>Además</w:t>
      </w:r>
      <w:r w:rsidR="00EE1694" w:rsidRPr="009760EA">
        <w:rPr>
          <w:rFonts w:asciiTheme="majorHAnsi" w:hAnsiTheme="majorHAnsi"/>
          <w:bCs/>
          <w:sz w:val="20"/>
          <w:szCs w:val="20"/>
          <w:lang w:val="es-ES_tradnl"/>
        </w:rPr>
        <w:t>,</w:t>
      </w:r>
      <w:r w:rsidR="00550387" w:rsidRPr="009760EA">
        <w:rPr>
          <w:rFonts w:asciiTheme="majorHAnsi" w:hAnsiTheme="majorHAnsi"/>
          <w:bCs/>
          <w:sz w:val="20"/>
          <w:szCs w:val="20"/>
          <w:lang w:val="es-ES_tradnl"/>
        </w:rPr>
        <w:t xml:space="preserve"> </w:t>
      </w:r>
      <w:r w:rsidR="00EE1694" w:rsidRPr="009760EA">
        <w:rPr>
          <w:rFonts w:asciiTheme="majorHAnsi" w:hAnsiTheme="majorHAnsi"/>
          <w:bCs/>
          <w:sz w:val="20"/>
          <w:szCs w:val="20"/>
          <w:lang w:val="es-ES_tradnl"/>
        </w:rPr>
        <w:t>sostie</w:t>
      </w:r>
      <w:r w:rsidR="000C5A92" w:rsidRPr="009760EA">
        <w:rPr>
          <w:rFonts w:asciiTheme="majorHAnsi" w:hAnsiTheme="majorHAnsi"/>
          <w:bCs/>
          <w:sz w:val="20"/>
          <w:szCs w:val="20"/>
          <w:lang w:val="es-ES_tradnl"/>
        </w:rPr>
        <w:t>n</w:t>
      </w:r>
      <w:r w:rsidR="00EE1694" w:rsidRPr="009760EA">
        <w:rPr>
          <w:rFonts w:asciiTheme="majorHAnsi" w:hAnsiTheme="majorHAnsi"/>
          <w:bCs/>
          <w:sz w:val="20"/>
          <w:szCs w:val="20"/>
          <w:lang w:val="es-ES_tradnl"/>
        </w:rPr>
        <w:t>e</w:t>
      </w:r>
      <w:r w:rsidR="00550387" w:rsidRPr="009760EA">
        <w:rPr>
          <w:rFonts w:asciiTheme="majorHAnsi" w:hAnsiTheme="majorHAnsi"/>
          <w:bCs/>
          <w:sz w:val="20"/>
          <w:szCs w:val="20"/>
          <w:lang w:val="es-ES_tradnl"/>
        </w:rPr>
        <w:t xml:space="preserve"> que no aparece en ninguna parte de los </w:t>
      </w:r>
      <w:r w:rsidR="00550387" w:rsidRPr="009760EA">
        <w:rPr>
          <w:rFonts w:asciiTheme="majorHAnsi" w:hAnsiTheme="majorHAnsi"/>
          <w:bCs/>
          <w:sz w:val="20"/>
          <w:szCs w:val="20"/>
          <w:lang w:val="es-ES_tradnl"/>
        </w:rPr>
        <w:lastRenderedPageBreak/>
        <w:t xml:space="preserve">escritos presentados una mención a los hechos concretos que supuestamente habrían generado daños en las personas por violaciones a sus derechos. </w:t>
      </w:r>
    </w:p>
    <w:p w14:paraId="30E71F23" w14:textId="2E68E4C6" w:rsidR="007F12E1" w:rsidRPr="009760EA" w:rsidRDefault="00B84E3E" w:rsidP="007F12E1">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bCs/>
          <w:sz w:val="20"/>
          <w:szCs w:val="20"/>
          <w:lang w:val="es-ES_tradnl"/>
        </w:rPr>
        <w:t xml:space="preserve">En relación con el segundo punto, el Estado sostiene que </w:t>
      </w:r>
      <w:r w:rsidR="005B2994" w:rsidRPr="009760EA">
        <w:rPr>
          <w:rFonts w:asciiTheme="majorHAnsi" w:hAnsiTheme="majorHAnsi"/>
          <w:bCs/>
          <w:sz w:val="20"/>
          <w:szCs w:val="20"/>
          <w:lang w:val="es-ES_tradnl"/>
        </w:rPr>
        <w:t>los escritos presentados por los peticionarios no exhiben de manera mínima elementos que permitan caracterizar vulneraciones de derechos contenidos en la Convención</w:t>
      </w:r>
      <w:r w:rsidR="00A8704D" w:rsidRPr="009760EA">
        <w:rPr>
          <w:rFonts w:asciiTheme="majorHAnsi" w:hAnsiTheme="majorHAnsi"/>
          <w:bCs/>
          <w:sz w:val="20"/>
          <w:szCs w:val="20"/>
          <w:lang w:val="es-ES_tradnl"/>
        </w:rPr>
        <w:t xml:space="preserve">, y destaca que se presenta un contexto de persecución y desacuerdo político e ideológico con los cambios planteados en la </w:t>
      </w:r>
      <w:r w:rsidR="00D44D04" w:rsidRPr="009760EA">
        <w:rPr>
          <w:rFonts w:asciiTheme="majorHAnsi" w:hAnsiTheme="majorHAnsi"/>
          <w:bCs/>
          <w:sz w:val="20"/>
          <w:szCs w:val="20"/>
          <w:lang w:val="es-ES_tradnl"/>
        </w:rPr>
        <w:t>c</w:t>
      </w:r>
      <w:r w:rsidR="00A8704D" w:rsidRPr="009760EA">
        <w:rPr>
          <w:rFonts w:asciiTheme="majorHAnsi" w:hAnsiTheme="majorHAnsi"/>
          <w:bCs/>
          <w:sz w:val="20"/>
          <w:szCs w:val="20"/>
          <w:lang w:val="es-ES_tradnl"/>
        </w:rPr>
        <w:t xml:space="preserve">onsulta </w:t>
      </w:r>
      <w:r w:rsidR="00D44D04" w:rsidRPr="009760EA">
        <w:rPr>
          <w:rFonts w:asciiTheme="majorHAnsi" w:hAnsiTheme="majorHAnsi"/>
          <w:bCs/>
          <w:sz w:val="20"/>
          <w:szCs w:val="20"/>
          <w:lang w:val="es-ES_tradnl"/>
        </w:rPr>
        <w:t>p</w:t>
      </w:r>
      <w:r w:rsidR="00A8704D" w:rsidRPr="009760EA">
        <w:rPr>
          <w:rFonts w:asciiTheme="majorHAnsi" w:hAnsiTheme="majorHAnsi"/>
          <w:bCs/>
          <w:sz w:val="20"/>
          <w:szCs w:val="20"/>
          <w:lang w:val="es-ES_tradnl"/>
        </w:rPr>
        <w:t xml:space="preserve">opular y </w:t>
      </w:r>
      <w:r w:rsidR="00D44D04" w:rsidRPr="009760EA">
        <w:rPr>
          <w:rFonts w:asciiTheme="majorHAnsi" w:hAnsiTheme="majorHAnsi"/>
          <w:bCs/>
          <w:sz w:val="20"/>
          <w:szCs w:val="20"/>
          <w:lang w:val="es-ES_tradnl"/>
        </w:rPr>
        <w:t>r</w:t>
      </w:r>
      <w:r w:rsidR="00A8704D" w:rsidRPr="009760EA">
        <w:rPr>
          <w:rFonts w:asciiTheme="majorHAnsi" w:hAnsiTheme="majorHAnsi"/>
          <w:bCs/>
          <w:sz w:val="20"/>
          <w:szCs w:val="20"/>
          <w:lang w:val="es-ES_tradnl"/>
        </w:rPr>
        <w:t>ef</w:t>
      </w:r>
      <w:r w:rsidR="00D44D04" w:rsidRPr="009760EA">
        <w:rPr>
          <w:rFonts w:asciiTheme="majorHAnsi" w:hAnsiTheme="majorHAnsi"/>
          <w:bCs/>
          <w:sz w:val="20"/>
          <w:szCs w:val="20"/>
          <w:lang w:val="es-ES_tradnl"/>
        </w:rPr>
        <w:t>eré</w:t>
      </w:r>
      <w:r w:rsidR="00A8704D" w:rsidRPr="009760EA">
        <w:rPr>
          <w:rFonts w:asciiTheme="majorHAnsi" w:hAnsiTheme="majorHAnsi"/>
          <w:bCs/>
          <w:sz w:val="20"/>
          <w:szCs w:val="20"/>
          <w:lang w:val="es-ES_tradnl"/>
        </w:rPr>
        <w:t>ndum del 2018</w:t>
      </w:r>
      <w:r w:rsidR="00175FEC" w:rsidRPr="009760EA">
        <w:rPr>
          <w:rFonts w:asciiTheme="majorHAnsi" w:hAnsiTheme="majorHAnsi"/>
          <w:bCs/>
          <w:sz w:val="20"/>
          <w:szCs w:val="20"/>
          <w:lang w:val="es-ES_tradnl"/>
        </w:rPr>
        <w:t xml:space="preserve"> que </w:t>
      </w:r>
      <w:r w:rsidR="00D4293E" w:rsidRPr="009760EA">
        <w:rPr>
          <w:rFonts w:asciiTheme="majorHAnsi" w:hAnsiTheme="majorHAnsi"/>
          <w:bCs/>
          <w:sz w:val="20"/>
          <w:szCs w:val="20"/>
          <w:lang w:val="es-ES_tradnl"/>
        </w:rPr>
        <w:t>tuvo el respaldo mayoritario de los ecuatorianos. Destaca que</w:t>
      </w:r>
      <w:r w:rsidR="00816079" w:rsidRPr="009760EA">
        <w:rPr>
          <w:rFonts w:asciiTheme="majorHAnsi" w:hAnsiTheme="majorHAnsi"/>
          <w:bCs/>
          <w:sz w:val="20"/>
          <w:szCs w:val="20"/>
          <w:lang w:val="es-ES_tradnl"/>
        </w:rPr>
        <w:t xml:space="preserve"> </w:t>
      </w:r>
      <w:r w:rsidR="007552F3" w:rsidRPr="009760EA">
        <w:rPr>
          <w:rFonts w:asciiTheme="majorHAnsi" w:hAnsiTheme="majorHAnsi"/>
          <w:bCs/>
          <w:sz w:val="20"/>
          <w:szCs w:val="20"/>
          <w:lang w:val="es-ES_tradnl"/>
        </w:rPr>
        <w:t xml:space="preserve">frente a </w:t>
      </w:r>
      <w:r w:rsidR="00D4293E" w:rsidRPr="009760EA">
        <w:rPr>
          <w:rFonts w:asciiTheme="majorHAnsi" w:hAnsiTheme="majorHAnsi"/>
          <w:bCs/>
          <w:sz w:val="20"/>
          <w:szCs w:val="20"/>
          <w:lang w:val="es-ES_tradnl"/>
        </w:rPr>
        <w:t xml:space="preserve">las alegaciones de los peticionarios que sugieren una suerte de patrón </w:t>
      </w:r>
      <w:r w:rsidR="009760EA">
        <w:rPr>
          <w:rFonts w:asciiTheme="majorHAnsi" w:hAnsiTheme="majorHAnsi"/>
          <w:bCs/>
          <w:sz w:val="20"/>
          <w:szCs w:val="20"/>
          <w:lang w:val="es-ES_tradnl"/>
        </w:rPr>
        <w:t>lesivo</w:t>
      </w:r>
      <w:r w:rsidR="00D4293E" w:rsidRPr="009760EA">
        <w:rPr>
          <w:rFonts w:asciiTheme="majorHAnsi" w:hAnsiTheme="majorHAnsi"/>
          <w:bCs/>
          <w:sz w:val="20"/>
          <w:szCs w:val="20"/>
          <w:lang w:val="es-ES_tradnl"/>
        </w:rPr>
        <w:t xml:space="preserve"> de derechos humanos y una presunta persecución política</w:t>
      </w:r>
      <w:r w:rsidR="007552F3" w:rsidRPr="009760EA">
        <w:rPr>
          <w:rFonts w:asciiTheme="majorHAnsi" w:hAnsiTheme="majorHAnsi"/>
          <w:bCs/>
          <w:sz w:val="20"/>
          <w:szCs w:val="20"/>
          <w:lang w:val="es-ES_tradnl"/>
        </w:rPr>
        <w:t xml:space="preserve"> por parte del Estado, no se registra constancia de denuncia alguna.</w:t>
      </w:r>
      <w:r w:rsidR="00130931" w:rsidRPr="009760EA">
        <w:rPr>
          <w:rFonts w:asciiTheme="majorHAnsi" w:hAnsiTheme="majorHAnsi"/>
          <w:bCs/>
          <w:sz w:val="20"/>
          <w:szCs w:val="20"/>
          <w:lang w:val="es-ES_tradnl"/>
        </w:rPr>
        <w:t xml:space="preserve"> El Estado agrega que los peticionarios presentan un entorno irreal de la situación política y jurídica del país para justificar su interés personal vinculado a obtener asilo político</w:t>
      </w:r>
      <w:r w:rsidR="00816EBD" w:rsidRPr="009760EA">
        <w:rPr>
          <w:rFonts w:asciiTheme="majorHAnsi" w:hAnsiTheme="majorHAnsi"/>
          <w:bCs/>
          <w:sz w:val="20"/>
          <w:szCs w:val="20"/>
          <w:lang w:val="es-ES_tradnl"/>
        </w:rPr>
        <w:t xml:space="preserve"> y destaca que luego de la </w:t>
      </w:r>
      <w:r w:rsidR="00816079" w:rsidRPr="009760EA">
        <w:rPr>
          <w:rFonts w:asciiTheme="majorHAnsi" w:hAnsiTheme="majorHAnsi"/>
          <w:bCs/>
          <w:sz w:val="20"/>
          <w:szCs w:val="20"/>
          <w:lang w:val="es-ES_tradnl"/>
        </w:rPr>
        <w:t>c</w:t>
      </w:r>
      <w:r w:rsidR="00816EBD" w:rsidRPr="009760EA">
        <w:rPr>
          <w:rFonts w:asciiTheme="majorHAnsi" w:hAnsiTheme="majorHAnsi"/>
          <w:bCs/>
          <w:sz w:val="20"/>
          <w:szCs w:val="20"/>
          <w:lang w:val="es-ES_tradnl"/>
        </w:rPr>
        <w:t xml:space="preserve">onsulta </w:t>
      </w:r>
      <w:r w:rsidR="00816079" w:rsidRPr="009760EA">
        <w:rPr>
          <w:rFonts w:asciiTheme="majorHAnsi" w:hAnsiTheme="majorHAnsi"/>
          <w:bCs/>
          <w:sz w:val="20"/>
          <w:szCs w:val="20"/>
          <w:lang w:val="es-ES_tradnl"/>
        </w:rPr>
        <w:t>p</w:t>
      </w:r>
      <w:r w:rsidR="00816EBD" w:rsidRPr="009760EA">
        <w:rPr>
          <w:rFonts w:asciiTheme="majorHAnsi" w:hAnsiTheme="majorHAnsi"/>
          <w:bCs/>
          <w:sz w:val="20"/>
          <w:szCs w:val="20"/>
          <w:lang w:val="es-ES_tradnl"/>
        </w:rPr>
        <w:t xml:space="preserve">opular y </w:t>
      </w:r>
      <w:r w:rsidR="00816079" w:rsidRPr="009760EA">
        <w:rPr>
          <w:rFonts w:asciiTheme="majorHAnsi" w:hAnsiTheme="majorHAnsi"/>
          <w:bCs/>
          <w:sz w:val="20"/>
          <w:szCs w:val="20"/>
          <w:lang w:val="es-ES_tradnl"/>
        </w:rPr>
        <w:t>r</w:t>
      </w:r>
      <w:r w:rsidR="00816EBD" w:rsidRPr="009760EA">
        <w:rPr>
          <w:rFonts w:asciiTheme="majorHAnsi" w:hAnsiTheme="majorHAnsi"/>
          <w:bCs/>
          <w:sz w:val="20"/>
          <w:szCs w:val="20"/>
          <w:lang w:val="es-ES_tradnl"/>
        </w:rPr>
        <w:t xml:space="preserve">eferéndum de febrero de 2018 no se ha producido en Ecuador ninguna fractura institucional del Estado de Derecho y se ha garantizado la división de poderes como elemento sustancial de la actuación del poder público. </w:t>
      </w:r>
    </w:p>
    <w:p w14:paraId="00579865" w14:textId="3B7E027B" w:rsidR="007F12E1" w:rsidRPr="009760EA" w:rsidRDefault="00256424" w:rsidP="007F12E1">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bCs/>
          <w:sz w:val="20"/>
          <w:szCs w:val="20"/>
          <w:lang w:val="es-ES_tradnl"/>
        </w:rPr>
        <w:t>E</w:t>
      </w:r>
      <w:r w:rsidR="00AF58A8" w:rsidRPr="009760EA">
        <w:rPr>
          <w:rFonts w:asciiTheme="majorHAnsi" w:hAnsiTheme="majorHAnsi"/>
          <w:bCs/>
          <w:sz w:val="20"/>
          <w:szCs w:val="20"/>
          <w:lang w:val="es-ES_tradnl"/>
        </w:rPr>
        <w:t xml:space="preserve">n relación con el tercer punto, </w:t>
      </w:r>
      <w:r w:rsidR="001D1467" w:rsidRPr="009760EA">
        <w:rPr>
          <w:rFonts w:asciiTheme="majorHAnsi" w:hAnsiTheme="majorHAnsi"/>
          <w:bCs/>
          <w:sz w:val="20"/>
          <w:szCs w:val="20"/>
          <w:lang w:val="es-ES_tradnl"/>
        </w:rPr>
        <w:t xml:space="preserve">sostiene que </w:t>
      </w:r>
      <w:r w:rsidR="00753182" w:rsidRPr="009760EA">
        <w:rPr>
          <w:rFonts w:asciiTheme="majorHAnsi" w:hAnsiTheme="majorHAnsi"/>
          <w:bCs/>
          <w:sz w:val="20"/>
          <w:szCs w:val="20"/>
          <w:lang w:val="es-ES_tradnl"/>
        </w:rPr>
        <w:t>se evidencia una inconformidad constante con lo resuelto por los jueces y tribunales domésticos</w:t>
      </w:r>
      <w:r w:rsidR="00023393" w:rsidRPr="009760EA">
        <w:rPr>
          <w:rFonts w:asciiTheme="majorHAnsi" w:hAnsiTheme="majorHAnsi"/>
          <w:bCs/>
          <w:sz w:val="20"/>
          <w:szCs w:val="20"/>
          <w:lang w:val="es-ES_tradnl"/>
        </w:rPr>
        <w:t xml:space="preserve"> </w:t>
      </w:r>
      <w:r w:rsidR="001D1467" w:rsidRPr="009760EA">
        <w:rPr>
          <w:rFonts w:asciiTheme="majorHAnsi" w:hAnsiTheme="majorHAnsi"/>
          <w:bCs/>
          <w:sz w:val="20"/>
          <w:szCs w:val="20"/>
          <w:lang w:val="es-ES_tradnl"/>
        </w:rPr>
        <w:t>por lo que se pretende que la Comisión se pronuncie como una</w:t>
      </w:r>
      <w:r w:rsidR="007514D9" w:rsidRPr="009760EA">
        <w:rPr>
          <w:rFonts w:asciiTheme="majorHAnsi" w:hAnsiTheme="majorHAnsi"/>
          <w:bCs/>
          <w:sz w:val="20"/>
          <w:szCs w:val="20"/>
          <w:lang w:val="es-ES_tradnl"/>
        </w:rPr>
        <w:t>, supuesta,</w:t>
      </w:r>
      <w:r w:rsidR="001D1467" w:rsidRPr="009760EA">
        <w:rPr>
          <w:rFonts w:asciiTheme="majorHAnsi" w:hAnsiTheme="majorHAnsi"/>
          <w:bCs/>
          <w:sz w:val="20"/>
          <w:szCs w:val="20"/>
          <w:lang w:val="es-ES_tradnl"/>
        </w:rPr>
        <w:t xml:space="preserve"> </w:t>
      </w:r>
      <w:r w:rsidR="007514D9" w:rsidRPr="009760EA">
        <w:rPr>
          <w:rFonts w:asciiTheme="majorHAnsi" w:hAnsiTheme="majorHAnsi"/>
          <w:bCs/>
          <w:sz w:val="20"/>
          <w:szCs w:val="20"/>
          <w:lang w:val="es-ES_tradnl"/>
        </w:rPr>
        <w:t>“</w:t>
      </w:r>
      <w:r w:rsidR="001D1467" w:rsidRPr="009760EA">
        <w:rPr>
          <w:rFonts w:asciiTheme="majorHAnsi" w:hAnsiTheme="majorHAnsi"/>
          <w:bCs/>
          <w:sz w:val="20"/>
          <w:szCs w:val="20"/>
          <w:lang w:val="es-ES_tradnl"/>
        </w:rPr>
        <w:t>cuarta instancia</w:t>
      </w:r>
      <w:r w:rsidR="007514D9" w:rsidRPr="009760EA">
        <w:rPr>
          <w:rFonts w:asciiTheme="majorHAnsi" w:hAnsiTheme="majorHAnsi"/>
          <w:bCs/>
          <w:sz w:val="20"/>
          <w:szCs w:val="20"/>
          <w:lang w:val="es-ES_tradnl"/>
        </w:rPr>
        <w:t>”</w:t>
      </w:r>
      <w:r w:rsidR="001D1467" w:rsidRPr="009760EA">
        <w:rPr>
          <w:rFonts w:asciiTheme="majorHAnsi" w:hAnsiTheme="majorHAnsi"/>
          <w:bCs/>
          <w:sz w:val="20"/>
          <w:szCs w:val="20"/>
          <w:lang w:val="es-ES_tradnl"/>
        </w:rPr>
        <w:t xml:space="preserve"> sobre mecanismos internos contradiciendo el principio de subsi</w:t>
      </w:r>
      <w:r w:rsidR="0061781D" w:rsidRPr="009760EA">
        <w:rPr>
          <w:rFonts w:asciiTheme="majorHAnsi" w:hAnsiTheme="majorHAnsi"/>
          <w:bCs/>
          <w:sz w:val="20"/>
          <w:szCs w:val="20"/>
          <w:lang w:val="es-ES_tradnl"/>
        </w:rPr>
        <w:t>diaridad.</w:t>
      </w:r>
      <w:r w:rsidR="007514D9" w:rsidRPr="009760EA">
        <w:rPr>
          <w:rFonts w:asciiTheme="majorHAnsi" w:hAnsiTheme="majorHAnsi"/>
          <w:bCs/>
          <w:sz w:val="20"/>
          <w:szCs w:val="20"/>
          <w:lang w:val="es-ES_tradnl"/>
        </w:rPr>
        <w:t xml:space="preserve"> </w:t>
      </w:r>
      <w:r w:rsidR="003D070B" w:rsidRPr="009760EA">
        <w:rPr>
          <w:rFonts w:asciiTheme="majorHAnsi" w:hAnsiTheme="majorHAnsi"/>
          <w:bCs/>
          <w:sz w:val="20"/>
          <w:szCs w:val="20"/>
          <w:lang w:val="es-ES_tradnl"/>
        </w:rPr>
        <w:t xml:space="preserve">Por último, </w:t>
      </w:r>
      <w:r w:rsidR="00E137F1" w:rsidRPr="009760EA">
        <w:rPr>
          <w:rFonts w:asciiTheme="majorHAnsi" w:hAnsiTheme="majorHAnsi"/>
          <w:bCs/>
          <w:sz w:val="20"/>
          <w:szCs w:val="20"/>
          <w:lang w:val="es-ES_tradnl"/>
        </w:rPr>
        <w:t>el Estado i</w:t>
      </w:r>
      <w:r w:rsidR="00A76237" w:rsidRPr="009760EA">
        <w:rPr>
          <w:rFonts w:asciiTheme="majorHAnsi" w:hAnsiTheme="majorHAnsi"/>
          <w:bCs/>
          <w:sz w:val="20"/>
          <w:szCs w:val="20"/>
          <w:lang w:val="es-ES_tradnl"/>
        </w:rPr>
        <w:t xml:space="preserve">ndica que la </w:t>
      </w:r>
      <w:r w:rsidR="00270ACF" w:rsidRPr="009760EA">
        <w:rPr>
          <w:rFonts w:asciiTheme="majorHAnsi" w:hAnsiTheme="majorHAnsi"/>
          <w:bCs/>
          <w:sz w:val="20"/>
          <w:szCs w:val="20"/>
          <w:lang w:val="es-ES_tradnl"/>
        </w:rPr>
        <w:t>c</w:t>
      </w:r>
      <w:r w:rsidR="00A76237" w:rsidRPr="009760EA">
        <w:rPr>
          <w:rFonts w:asciiTheme="majorHAnsi" w:hAnsiTheme="majorHAnsi"/>
          <w:bCs/>
          <w:sz w:val="20"/>
          <w:szCs w:val="20"/>
          <w:lang w:val="es-ES_tradnl"/>
        </w:rPr>
        <w:t xml:space="preserve">onsulta </w:t>
      </w:r>
      <w:r w:rsidR="00270ACF" w:rsidRPr="009760EA">
        <w:rPr>
          <w:rFonts w:asciiTheme="majorHAnsi" w:hAnsiTheme="majorHAnsi"/>
          <w:bCs/>
          <w:sz w:val="20"/>
          <w:szCs w:val="20"/>
          <w:lang w:val="es-ES_tradnl"/>
        </w:rPr>
        <w:t>p</w:t>
      </w:r>
      <w:r w:rsidR="00A76237" w:rsidRPr="009760EA">
        <w:rPr>
          <w:rFonts w:asciiTheme="majorHAnsi" w:hAnsiTheme="majorHAnsi"/>
          <w:bCs/>
          <w:sz w:val="20"/>
          <w:szCs w:val="20"/>
          <w:lang w:val="es-ES_tradnl"/>
        </w:rPr>
        <w:t xml:space="preserve">opular y el </w:t>
      </w:r>
      <w:r w:rsidR="00270ACF" w:rsidRPr="009760EA">
        <w:rPr>
          <w:rFonts w:asciiTheme="majorHAnsi" w:hAnsiTheme="majorHAnsi"/>
          <w:bCs/>
          <w:sz w:val="20"/>
          <w:szCs w:val="20"/>
          <w:lang w:val="es-ES_tradnl"/>
        </w:rPr>
        <w:t>r</w:t>
      </w:r>
      <w:r w:rsidR="00A76237" w:rsidRPr="009760EA">
        <w:rPr>
          <w:rFonts w:asciiTheme="majorHAnsi" w:hAnsiTheme="majorHAnsi"/>
          <w:bCs/>
          <w:sz w:val="20"/>
          <w:szCs w:val="20"/>
          <w:lang w:val="es-ES_tradnl"/>
        </w:rPr>
        <w:t>eferéndum constituyen mecanismos de democracia directa a través de los cuales se expresa la voluntad de los mandantes</w:t>
      </w:r>
      <w:r w:rsidR="009A0394" w:rsidRPr="009760EA">
        <w:rPr>
          <w:rFonts w:asciiTheme="majorHAnsi" w:hAnsiTheme="majorHAnsi"/>
          <w:bCs/>
          <w:sz w:val="20"/>
          <w:szCs w:val="20"/>
          <w:lang w:val="es-ES_tradnl"/>
        </w:rPr>
        <w:t xml:space="preserve">. </w:t>
      </w:r>
    </w:p>
    <w:p w14:paraId="6C31ED78" w14:textId="6AE33DD8" w:rsidR="007F12E1" w:rsidRPr="009760EA" w:rsidRDefault="007F12E1" w:rsidP="007F12E1">
      <w:pPr>
        <w:ind w:firstLine="720"/>
        <w:jc w:val="both"/>
        <w:rPr>
          <w:rFonts w:asciiTheme="majorHAnsi" w:eastAsia="Cambria" w:hAnsiTheme="majorHAnsi" w:cs="Cambria"/>
          <w:b/>
          <w:bCs/>
          <w:color w:val="000000"/>
          <w:sz w:val="20"/>
          <w:szCs w:val="20"/>
          <w:u w:color="000000"/>
          <w:lang w:val="es-ES_tradnl" w:eastAsia="es-ES"/>
        </w:rPr>
      </w:pPr>
      <w:r w:rsidRPr="009760EA">
        <w:rPr>
          <w:rFonts w:asciiTheme="majorHAnsi" w:eastAsia="Cambria" w:hAnsiTheme="majorHAnsi" w:cs="Cambria"/>
          <w:b/>
          <w:bCs/>
          <w:color w:val="000000"/>
          <w:sz w:val="20"/>
          <w:szCs w:val="20"/>
          <w:u w:color="000000"/>
          <w:lang w:val="es-ES_tradnl" w:eastAsia="es-ES"/>
        </w:rPr>
        <w:t>VI.</w:t>
      </w:r>
      <w:r w:rsidRPr="009760EA">
        <w:rPr>
          <w:rFonts w:asciiTheme="majorHAnsi" w:eastAsia="Cambria" w:hAnsiTheme="majorHAnsi" w:cs="Cambria"/>
          <w:b/>
          <w:bCs/>
          <w:color w:val="000000"/>
          <w:sz w:val="20"/>
          <w:szCs w:val="20"/>
          <w:u w:color="000000"/>
          <w:lang w:val="es-ES_tradnl" w:eastAsia="es-ES"/>
        </w:rPr>
        <w:tab/>
      </w:r>
      <w:r w:rsidRPr="009760EA">
        <w:rPr>
          <w:rFonts w:asciiTheme="majorHAnsi" w:hAnsiTheme="majorHAnsi"/>
          <w:b/>
          <w:bCs/>
          <w:sz w:val="20"/>
          <w:szCs w:val="20"/>
          <w:lang w:val="es-ES_tradnl"/>
        </w:rPr>
        <w:t xml:space="preserve">ANÁLISIS DE </w:t>
      </w:r>
      <w:r w:rsidRPr="009760EA">
        <w:rPr>
          <w:rFonts w:asciiTheme="majorHAnsi" w:hAnsiTheme="majorHAnsi"/>
          <w:b/>
          <w:sz w:val="20"/>
          <w:szCs w:val="20"/>
          <w:lang w:val="es-ES_tradnl"/>
        </w:rPr>
        <w:t>AGOTAMIENTO DE LOS RECURSOS INTERNOS Y PLAZO DE PRESENTACIÓN</w:t>
      </w:r>
      <w:r w:rsidRPr="009760EA">
        <w:rPr>
          <w:rFonts w:asciiTheme="majorHAnsi" w:eastAsia="Cambria" w:hAnsiTheme="majorHAnsi" w:cs="Cambria"/>
          <w:b/>
          <w:bCs/>
          <w:color w:val="000000"/>
          <w:sz w:val="20"/>
          <w:szCs w:val="20"/>
          <w:u w:color="000000"/>
          <w:lang w:val="es-ES_tradnl" w:eastAsia="es-ES"/>
        </w:rPr>
        <w:t xml:space="preserve"> </w:t>
      </w:r>
    </w:p>
    <w:p w14:paraId="2AC877CA" w14:textId="77777777" w:rsidR="007F12E1" w:rsidRPr="009760EA" w:rsidRDefault="007F12E1" w:rsidP="007F12E1">
      <w:pPr>
        <w:ind w:firstLine="720"/>
        <w:jc w:val="both"/>
        <w:rPr>
          <w:rFonts w:asciiTheme="majorHAnsi" w:eastAsia="Cambria" w:hAnsiTheme="majorHAnsi" w:cs="Cambria"/>
          <w:b/>
          <w:bCs/>
          <w:color w:val="000000"/>
          <w:sz w:val="20"/>
          <w:szCs w:val="20"/>
          <w:u w:color="000000"/>
          <w:lang w:val="es-ES_tradnl" w:eastAsia="es-ES"/>
        </w:rPr>
      </w:pPr>
    </w:p>
    <w:p w14:paraId="6404F14E" w14:textId="77777777" w:rsidR="00EE0DEF" w:rsidRPr="009760EA" w:rsidRDefault="00916DB3" w:rsidP="00EE0DEF">
      <w:pPr>
        <w:numPr>
          <w:ilvl w:val="0"/>
          <w:numId w:val="64"/>
        </w:numPr>
        <w:suppressAutoHyphens/>
        <w:spacing w:after="240"/>
        <w:jc w:val="both"/>
        <w:rPr>
          <w:rFonts w:ascii="Cambria" w:hAnsi="Cambria"/>
          <w:sz w:val="20"/>
          <w:szCs w:val="20"/>
          <w:lang w:val="es-ES_tradnl"/>
        </w:rPr>
      </w:pPr>
      <w:r w:rsidRPr="009760EA">
        <w:rPr>
          <w:rFonts w:asciiTheme="majorHAnsi" w:eastAsia="Cambria" w:hAnsiTheme="majorHAnsi" w:cs="Cambria"/>
          <w:color w:val="000000"/>
          <w:sz w:val="20"/>
          <w:szCs w:val="20"/>
          <w:u w:color="000000"/>
          <w:lang w:val="es-ES_tradnl" w:eastAsia="es-ES"/>
        </w:rPr>
        <w:t>Los peticionarios sostienen que se agotaron los recursos internos a través de los recursos de apelación interpuestos contra</w:t>
      </w:r>
      <w:r w:rsidR="00F92B7B" w:rsidRPr="009760EA">
        <w:rPr>
          <w:rFonts w:asciiTheme="majorHAnsi" w:eastAsia="Cambria" w:hAnsiTheme="majorHAnsi" w:cs="Cambria"/>
          <w:color w:val="000000"/>
          <w:sz w:val="20"/>
          <w:szCs w:val="20"/>
          <w:u w:color="000000"/>
          <w:lang w:val="es-ES_tradnl" w:eastAsia="es-ES"/>
        </w:rPr>
        <w:t xml:space="preserve">: i) la resolución </w:t>
      </w:r>
      <w:r w:rsidR="00192A0B" w:rsidRPr="009760EA">
        <w:rPr>
          <w:rFonts w:asciiTheme="majorHAnsi" w:hAnsiTheme="majorHAnsi"/>
          <w:bCs/>
          <w:sz w:val="20"/>
          <w:szCs w:val="20"/>
          <w:lang w:val="es-ES_tradnl"/>
        </w:rPr>
        <w:t>No. PLE-CNE-4-1-12-2017</w:t>
      </w:r>
      <w:r w:rsidR="009B4B7B" w:rsidRPr="009760EA">
        <w:rPr>
          <w:rFonts w:asciiTheme="majorHAnsi" w:hAnsiTheme="majorHAnsi"/>
          <w:bCs/>
          <w:sz w:val="20"/>
          <w:szCs w:val="20"/>
          <w:lang w:val="es-ES_tradnl"/>
        </w:rPr>
        <w:t>,</w:t>
      </w:r>
      <w:r w:rsidR="00192A0B" w:rsidRPr="009760EA">
        <w:rPr>
          <w:rFonts w:asciiTheme="majorHAnsi" w:hAnsiTheme="majorHAnsi"/>
          <w:bCs/>
          <w:sz w:val="20"/>
          <w:szCs w:val="20"/>
          <w:lang w:val="es-ES_tradnl"/>
        </w:rPr>
        <w:t xml:space="preserve"> </w:t>
      </w:r>
      <w:r w:rsidR="00F92B7B" w:rsidRPr="009760EA">
        <w:rPr>
          <w:rFonts w:asciiTheme="majorHAnsi" w:hAnsiTheme="majorHAnsi"/>
          <w:bCs/>
          <w:sz w:val="20"/>
          <w:szCs w:val="20"/>
          <w:lang w:val="es-ES_tradnl"/>
        </w:rPr>
        <w:t xml:space="preserve">que declaró el inicio del periodo electoral para la consulta popular y referéndum 2018; </w:t>
      </w:r>
      <w:r w:rsidR="00192A0B" w:rsidRPr="009760EA">
        <w:rPr>
          <w:rFonts w:asciiTheme="majorHAnsi" w:hAnsiTheme="majorHAnsi"/>
          <w:bCs/>
          <w:sz w:val="20"/>
          <w:szCs w:val="20"/>
          <w:lang w:val="es-ES_tradnl"/>
        </w:rPr>
        <w:t>y</w:t>
      </w:r>
      <w:r w:rsidR="00F92B7B" w:rsidRPr="009760EA">
        <w:rPr>
          <w:rFonts w:asciiTheme="majorHAnsi" w:hAnsiTheme="majorHAnsi"/>
          <w:bCs/>
          <w:sz w:val="20"/>
          <w:szCs w:val="20"/>
          <w:lang w:val="es-ES_tradnl"/>
        </w:rPr>
        <w:t xml:space="preserve"> ii)</w:t>
      </w:r>
      <w:r w:rsidR="00192A0B" w:rsidRPr="009760EA">
        <w:rPr>
          <w:rFonts w:asciiTheme="majorHAnsi" w:hAnsiTheme="majorHAnsi"/>
          <w:bCs/>
          <w:sz w:val="20"/>
          <w:szCs w:val="20"/>
          <w:lang w:val="es-ES_tradnl"/>
        </w:rPr>
        <w:t xml:space="preserve"> la resolución No. PLE-CNE-3-1-12-2017</w:t>
      </w:r>
      <w:r w:rsidR="009B4B7B" w:rsidRPr="009760EA">
        <w:rPr>
          <w:rFonts w:asciiTheme="majorHAnsi" w:hAnsiTheme="majorHAnsi"/>
          <w:bCs/>
          <w:sz w:val="20"/>
          <w:szCs w:val="20"/>
          <w:lang w:val="es-ES_tradnl"/>
        </w:rPr>
        <w:t xml:space="preserve">, </w:t>
      </w:r>
      <w:r w:rsidR="00192A0B" w:rsidRPr="009760EA">
        <w:rPr>
          <w:rFonts w:asciiTheme="majorHAnsi" w:hAnsiTheme="majorHAnsi"/>
          <w:bCs/>
          <w:sz w:val="20"/>
          <w:szCs w:val="20"/>
          <w:lang w:val="es-ES_tradnl"/>
        </w:rPr>
        <w:t>que convocó la consulta popular y referéndum 2018</w:t>
      </w:r>
      <w:r w:rsidR="002661CC" w:rsidRPr="009760EA">
        <w:rPr>
          <w:rFonts w:asciiTheme="majorHAnsi" w:hAnsiTheme="majorHAnsi"/>
          <w:bCs/>
          <w:sz w:val="20"/>
          <w:szCs w:val="20"/>
          <w:lang w:val="es-ES_tradnl"/>
        </w:rPr>
        <w:t xml:space="preserve">; </w:t>
      </w:r>
      <w:r w:rsidR="00695890" w:rsidRPr="009760EA">
        <w:rPr>
          <w:rFonts w:asciiTheme="majorHAnsi" w:hAnsiTheme="majorHAnsi"/>
          <w:bCs/>
          <w:sz w:val="20"/>
          <w:szCs w:val="20"/>
          <w:lang w:val="es-ES_tradnl"/>
        </w:rPr>
        <w:t>los cuales</w:t>
      </w:r>
      <w:r w:rsidR="00192A0B" w:rsidRPr="009760EA">
        <w:rPr>
          <w:rFonts w:asciiTheme="majorHAnsi" w:hAnsiTheme="majorHAnsi"/>
          <w:bCs/>
          <w:sz w:val="20"/>
          <w:szCs w:val="20"/>
          <w:lang w:val="es-ES_tradnl"/>
        </w:rPr>
        <w:t xml:space="preserve"> fueron negad</w:t>
      </w:r>
      <w:r w:rsidR="002661CC" w:rsidRPr="009760EA">
        <w:rPr>
          <w:rFonts w:asciiTheme="majorHAnsi" w:hAnsiTheme="majorHAnsi"/>
          <w:bCs/>
          <w:sz w:val="20"/>
          <w:szCs w:val="20"/>
          <w:lang w:val="es-ES_tradnl"/>
        </w:rPr>
        <w:t>o</w:t>
      </w:r>
      <w:r w:rsidR="00192A0B" w:rsidRPr="009760EA">
        <w:rPr>
          <w:rFonts w:asciiTheme="majorHAnsi" w:hAnsiTheme="majorHAnsi"/>
          <w:bCs/>
          <w:sz w:val="20"/>
          <w:szCs w:val="20"/>
          <w:lang w:val="es-ES_tradnl"/>
        </w:rPr>
        <w:t>s el 21 y 27 de diciembre de 2017 por el Tribunal Contencioso Electoral.</w:t>
      </w:r>
      <w:r w:rsidR="00426A09" w:rsidRPr="009760EA">
        <w:rPr>
          <w:rFonts w:asciiTheme="majorHAnsi" w:hAnsiTheme="majorHAnsi"/>
          <w:bCs/>
          <w:sz w:val="20"/>
          <w:szCs w:val="20"/>
          <w:lang w:val="es-ES_tradnl"/>
        </w:rPr>
        <w:t xml:space="preserve"> </w:t>
      </w:r>
      <w:r w:rsidR="00593DCA" w:rsidRPr="009760EA">
        <w:rPr>
          <w:rFonts w:asciiTheme="majorHAnsi" w:hAnsiTheme="majorHAnsi"/>
          <w:bCs/>
          <w:sz w:val="20"/>
          <w:szCs w:val="20"/>
          <w:lang w:val="es-ES_tradnl"/>
        </w:rPr>
        <w:t xml:space="preserve">Añaden que </w:t>
      </w:r>
      <w:r w:rsidR="009B4B7B" w:rsidRPr="009760EA">
        <w:rPr>
          <w:rFonts w:asciiTheme="majorHAnsi" w:hAnsiTheme="majorHAnsi"/>
          <w:sz w:val="20"/>
          <w:szCs w:val="20"/>
          <w:lang w:val="es-ES_tradnl"/>
        </w:rPr>
        <w:t>terceras personas presentaron</w:t>
      </w:r>
      <w:r w:rsidR="00BE7328" w:rsidRPr="009760EA">
        <w:rPr>
          <w:rFonts w:asciiTheme="majorHAnsi" w:hAnsiTheme="majorHAnsi"/>
          <w:sz w:val="20"/>
          <w:szCs w:val="20"/>
          <w:lang w:val="es-ES_tradnl"/>
        </w:rPr>
        <w:t xml:space="preserve"> una acción pública de inconstitucionalidad</w:t>
      </w:r>
      <w:r w:rsidR="00426A09" w:rsidRPr="009760EA">
        <w:rPr>
          <w:rFonts w:asciiTheme="majorHAnsi" w:hAnsiTheme="majorHAnsi"/>
          <w:sz w:val="20"/>
          <w:szCs w:val="20"/>
          <w:lang w:val="es-ES_tradnl"/>
        </w:rPr>
        <w:t xml:space="preserve"> </w:t>
      </w:r>
      <w:r w:rsidR="00426A09" w:rsidRPr="009760EA">
        <w:rPr>
          <w:rFonts w:asciiTheme="majorHAnsi" w:hAnsiTheme="majorHAnsi"/>
          <w:bCs/>
          <w:sz w:val="20"/>
          <w:szCs w:val="20"/>
          <w:lang w:val="es-ES_tradnl"/>
        </w:rPr>
        <w:t>el 30 de noviembre de 2017 ante la Corte Constitucional</w:t>
      </w:r>
      <w:r w:rsidR="00426A09" w:rsidRPr="009760EA">
        <w:rPr>
          <w:rFonts w:asciiTheme="majorHAnsi" w:hAnsiTheme="majorHAnsi"/>
          <w:sz w:val="20"/>
          <w:szCs w:val="20"/>
          <w:lang w:val="es-ES_tradnl"/>
        </w:rPr>
        <w:t>;</w:t>
      </w:r>
      <w:r w:rsidR="00BE7328" w:rsidRPr="009760EA">
        <w:rPr>
          <w:rFonts w:asciiTheme="majorHAnsi" w:hAnsiTheme="majorHAnsi"/>
          <w:sz w:val="20"/>
          <w:szCs w:val="20"/>
          <w:lang w:val="es-ES_tradnl"/>
        </w:rPr>
        <w:t xml:space="preserve"> </w:t>
      </w:r>
      <w:r w:rsidR="009B4B7B" w:rsidRPr="009760EA">
        <w:rPr>
          <w:rFonts w:asciiTheme="majorHAnsi" w:hAnsiTheme="majorHAnsi"/>
          <w:sz w:val="20"/>
          <w:szCs w:val="20"/>
          <w:lang w:val="es-ES_tradnl"/>
        </w:rPr>
        <w:t>pero que a la fecha existe un retardo injustificado dado que dicha instancia judicial aún no se habría pronunciados.</w:t>
      </w:r>
      <w:r w:rsidR="00EE0DEF" w:rsidRPr="009760EA">
        <w:rPr>
          <w:rFonts w:asciiTheme="majorHAnsi" w:hAnsiTheme="majorHAnsi"/>
          <w:sz w:val="20"/>
          <w:szCs w:val="20"/>
          <w:lang w:val="es-ES_tradnl"/>
        </w:rPr>
        <w:t xml:space="preserve"> </w:t>
      </w:r>
      <w:r w:rsidR="00EE0DEF" w:rsidRPr="009760EA">
        <w:rPr>
          <w:rFonts w:ascii="Cambria" w:hAnsi="Cambria"/>
          <w:sz w:val="20"/>
          <w:szCs w:val="20"/>
          <w:lang w:val="es-ES_tradnl"/>
        </w:rPr>
        <w:t xml:space="preserve">Por su parte, el Estado no ha controvertido el agotamiento de los recursos internos ni ha hecho referencias al plazo de presentación de la petición. </w:t>
      </w:r>
    </w:p>
    <w:p w14:paraId="090CA871" w14:textId="766EDFE0" w:rsidR="007F12E1" w:rsidRPr="009760EA" w:rsidRDefault="00EE0DEF" w:rsidP="00EE0DEF">
      <w:pPr>
        <w:numPr>
          <w:ilvl w:val="0"/>
          <w:numId w:val="64"/>
        </w:numPr>
        <w:suppressAutoHyphens/>
        <w:spacing w:after="240"/>
        <w:jc w:val="both"/>
        <w:rPr>
          <w:rFonts w:ascii="Cambria" w:hAnsi="Cambria"/>
          <w:sz w:val="20"/>
          <w:szCs w:val="20"/>
          <w:lang w:val="es-ES_tradnl"/>
        </w:rPr>
      </w:pPr>
      <w:r w:rsidRPr="009760EA">
        <w:rPr>
          <w:rFonts w:ascii="Cambria" w:hAnsi="Cambria"/>
          <w:sz w:val="20"/>
          <w:szCs w:val="20"/>
          <w:lang w:val="es-ES_tradnl"/>
        </w:rPr>
        <w:t>En atención a esto, y a los precedentes aplicables en los que se reconoció el agotamiento de los recursos internos tras la interposición del recurso de apelación ante el TCE</w:t>
      </w:r>
      <w:r w:rsidRPr="009760EA">
        <w:rPr>
          <w:rStyle w:val="FootnoteReference"/>
          <w:rFonts w:asciiTheme="majorHAnsi" w:hAnsiTheme="majorHAnsi"/>
          <w:sz w:val="20"/>
          <w:szCs w:val="20"/>
          <w:lang w:val="es-ES_tradnl"/>
        </w:rPr>
        <w:footnoteReference w:id="11"/>
      </w:r>
      <w:r w:rsidR="00FB0922" w:rsidRPr="009760EA">
        <w:rPr>
          <w:rFonts w:asciiTheme="majorHAnsi" w:hAnsiTheme="majorHAnsi"/>
          <w:sz w:val="20"/>
          <w:szCs w:val="20"/>
          <w:lang w:val="es-ES_tradnl"/>
        </w:rPr>
        <w:t xml:space="preserve">, la Comisión considera que la presente petición cumple formalmente con el requisito del agotamiento de los recursos internos establecido en el </w:t>
      </w:r>
      <w:r w:rsidR="00DE10BF" w:rsidRPr="009760EA">
        <w:rPr>
          <w:rFonts w:asciiTheme="majorHAnsi" w:hAnsiTheme="majorHAnsi"/>
          <w:sz w:val="20"/>
          <w:szCs w:val="20"/>
          <w:lang w:val="es-ES_tradnl"/>
        </w:rPr>
        <w:t>artículo 46.1.a) de la Convención</w:t>
      </w:r>
      <w:r w:rsidR="00FB0922" w:rsidRPr="009760EA">
        <w:rPr>
          <w:rFonts w:asciiTheme="majorHAnsi" w:hAnsiTheme="majorHAnsi"/>
          <w:sz w:val="20"/>
          <w:szCs w:val="20"/>
          <w:lang w:val="es-ES_tradnl"/>
        </w:rPr>
        <w:t xml:space="preserve"> Americana</w:t>
      </w:r>
      <w:r w:rsidR="00DE10BF" w:rsidRPr="009760EA">
        <w:rPr>
          <w:rFonts w:asciiTheme="majorHAnsi" w:hAnsiTheme="majorHAnsi"/>
          <w:sz w:val="20"/>
          <w:szCs w:val="20"/>
          <w:lang w:val="es-ES_tradnl"/>
        </w:rPr>
        <w:t>.</w:t>
      </w:r>
      <w:r w:rsidRPr="009760EA">
        <w:rPr>
          <w:rFonts w:asciiTheme="majorHAnsi" w:hAnsiTheme="majorHAnsi"/>
          <w:sz w:val="20"/>
          <w:szCs w:val="20"/>
          <w:lang w:val="es-ES_tradnl"/>
        </w:rPr>
        <w:t xml:space="preserve"> Asimismo, e</w:t>
      </w:r>
      <w:r w:rsidR="00694AE3" w:rsidRPr="009760EA">
        <w:rPr>
          <w:rFonts w:asciiTheme="majorHAnsi" w:hAnsiTheme="majorHAnsi"/>
          <w:sz w:val="20"/>
          <w:szCs w:val="20"/>
          <w:lang w:val="es-ES_tradnl"/>
        </w:rPr>
        <w:t>n relación con el plazo de presentación, la Comisión observa que el Tribunal Contencioso Electoral negó los recursos de apelación el 21 y 27 de diciembre de 2017</w:t>
      </w:r>
      <w:r w:rsidR="00FB0922" w:rsidRPr="009760EA">
        <w:rPr>
          <w:rFonts w:asciiTheme="majorHAnsi" w:hAnsiTheme="majorHAnsi"/>
          <w:sz w:val="20"/>
          <w:szCs w:val="20"/>
          <w:lang w:val="es-ES_tradnl"/>
        </w:rPr>
        <w:t>,</w:t>
      </w:r>
      <w:r w:rsidR="002C272A" w:rsidRPr="009760EA">
        <w:rPr>
          <w:rFonts w:asciiTheme="majorHAnsi" w:hAnsiTheme="majorHAnsi"/>
          <w:sz w:val="20"/>
          <w:szCs w:val="20"/>
          <w:lang w:val="es-ES_tradnl"/>
        </w:rPr>
        <w:t xml:space="preserve"> y la petición fue presentada </w:t>
      </w:r>
      <w:r w:rsidR="00FB0922" w:rsidRPr="009760EA">
        <w:rPr>
          <w:rFonts w:asciiTheme="majorHAnsi" w:hAnsiTheme="majorHAnsi"/>
          <w:sz w:val="20"/>
          <w:szCs w:val="20"/>
          <w:lang w:val="es-ES_tradnl"/>
        </w:rPr>
        <w:t xml:space="preserve">a la CIDH </w:t>
      </w:r>
      <w:r w:rsidR="002C272A" w:rsidRPr="009760EA">
        <w:rPr>
          <w:rFonts w:asciiTheme="majorHAnsi" w:hAnsiTheme="majorHAnsi"/>
          <w:sz w:val="20"/>
          <w:szCs w:val="20"/>
          <w:lang w:val="es-ES_tradnl"/>
        </w:rPr>
        <w:t xml:space="preserve">el </w:t>
      </w:r>
      <w:r w:rsidR="002C272A" w:rsidRPr="009760EA">
        <w:rPr>
          <w:rFonts w:asciiTheme="majorHAnsi" w:hAnsiTheme="majorHAnsi"/>
          <w:bCs/>
          <w:sz w:val="20"/>
          <w:szCs w:val="20"/>
          <w:lang w:val="es-ES_tradnl"/>
        </w:rPr>
        <w:t>28 de diciembre de 2017</w:t>
      </w:r>
      <w:r w:rsidR="00FB0922" w:rsidRPr="009760EA">
        <w:rPr>
          <w:rFonts w:asciiTheme="majorHAnsi" w:hAnsiTheme="majorHAnsi"/>
          <w:bCs/>
          <w:sz w:val="20"/>
          <w:szCs w:val="20"/>
          <w:lang w:val="es-ES_tradnl"/>
        </w:rPr>
        <w:t>;</w:t>
      </w:r>
      <w:r w:rsidR="002C272A" w:rsidRPr="009760EA">
        <w:rPr>
          <w:rFonts w:asciiTheme="majorHAnsi" w:hAnsiTheme="majorHAnsi"/>
          <w:bCs/>
          <w:sz w:val="20"/>
          <w:szCs w:val="20"/>
          <w:lang w:val="es-ES_tradnl"/>
        </w:rPr>
        <w:t xml:space="preserve"> por lo tanto</w:t>
      </w:r>
      <w:r w:rsidR="00FB0922" w:rsidRPr="009760EA">
        <w:rPr>
          <w:rFonts w:asciiTheme="majorHAnsi" w:hAnsiTheme="majorHAnsi"/>
          <w:bCs/>
          <w:sz w:val="20"/>
          <w:szCs w:val="20"/>
          <w:lang w:val="es-ES_tradnl"/>
        </w:rPr>
        <w:t>,</w:t>
      </w:r>
      <w:r w:rsidR="002C272A" w:rsidRPr="009760EA">
        <w:rPr>
          <w:rFonts w:asciiTheme="majorHAnsi" w:hAnsiTheme="majorHAnsi"/>
          <w:bCs/>
          <w:sz w:val="20"/>
          <w:szCs w:val="20"/>
          <w:lang w:val="es-ES_tradnl"/>
        </w:rPr>
        <w:t xml:space="preserve"> </w:t>
      </w:r>
      <w:r w:rsidR="00FB0922" w:rsidRPr="009760EA">
        <w:rPr>
          <w:rFonts w:asciiTheme="majorHAnsi" w:hAnsiTheme="majorHAnsi"/>
          <w:bCs/>
          <w:sz w:val="20"/>
          <w:szCs w:val="20"/>
          <w:lang w:val="es-ES_tradnl"/>
        </w:rPr>
        <w:t>esta</w:t>
      </w:r>
      <w:r w:rsidR="002C272A" w:rsidRPr="009760EA">
        <w:rPr>
          <w:rFonts w:asciiTheme="majorHAnsi" w:hAnsiTheme="majorHAnsi"/>
          <w:bCs/>
          <w:sz w:val="20"/>
          <w:szCs w:val="20"/>
          <w:lang w:val="es-ES_tradnl"/>
        </w:rPr>
        <w:t xml:space="preserve"> cumple con el plazo de seis meses establecido en el artículo 46.1.b) de la Convención. </w:t>
      </w:r>
    </w:p>
    <w:p w14:paraId="28FC6B48" w14:textId="2CF45BA7" w:rsidR="007F12E1" w:rsidRPr="009760EA" w:rsidRDefault="007F12E1" w:rsidP="007F12E1">
      <w:pPr>
        <w:ind w:firstLine="720"/>
        <w:jc w:val="both"/>
        <w:rPr>
          <w:rFonts w:asciiTheme="majorHAnsi" w:hAnsiTheme="majorHAnsi"/>
          <w:b/>
          <w:bCs/>
          <w:sz w:val="20"/>
          <w:szCs w:val="20"/>
          <w:lang w:val="es-ES_tradnl"/>
        </w:rPr>
      </w:pPr>
      <w:r w:rsidRPr="009760EA">
        <w:rPr>
          <w:rFonts w:asciiTheme="majorHAnsi" w:hAnsiTheme="majorHAnsi"/>
          <w:b/>
          <w:bCs/>
          <w:sz w:val="20"/>
          <w:szCs w:val="20"/>
          <w:lang w:val="es-ES_tradnl"/>
        </w:rPr>
        <w:t>VII.</w:t>
      </w:r>
      <w:r w:rsidRPr="009760EA">
        <w:rPr>
          <w:rFonts w:asciiTheme="majorHAnsi" w:hAnsiTheme="majorHAnsi"/>
          <w:b/>
          <w:bCs/>
          <w:sz w:val="20"/>
          <w:szCs w:val="20"/>
          <w:lang w:val="es-ES_tradnl"/>
        </w:rPr>
        <w:tab/>
        <w:t>ANÁLISIS DE CARACTERIZACIÓN DE LOS HECHOS ALEGADOS</w:t>
      </w:r>
    </w:p>
    <w:p w14:paraId="356CD941" w14:textId="77777777" w:rsidR="007F12E1" w:rsidRPr="009760EA" w:rsidRDefault="007F12E1" w:rsidP="007F12E1">
      <w:pPr>
        <w:ind w:firstLine="720"/>
        <w:jc w:val="both"/>
        <w:rPr>
          <w:rFonts w:asciiTheme="majorHAnsi" w:hAnsiTheme="majorHAnsi"/>
          <w:b/>
          <w:bCs/>
          <w:sz w:val="20"/>
          <w:szCs w:val="20"/>
          <w:lang w:val="es-ES_tradnl"/>
        </w:rPr>
      </w:pPr>
    </w:p>
    <w:p w14:paraId="43A14005" w14:textId="50BAC794" w:rsidR="007F12E1" w:rsidRPr="009D4015" w:rsidRDefault="00276FEE" w:rsidP="007F12E1">
      <w:pPr>
        <w:numPr>
          <w:ilvl w:val="0"/>
          <w:numId w:val="64"/>
        </w:numPr>
        <w:suppressAutoHyphens/>
        <w:spacing w:after="240"/>
        <w:jc w:val="both"/>
        <w:rPr>
          <w:rFonts w:asciiTheme="majorHAnsi" w:hAnsiTheme="majorHAnsi"/>
          <w:sz w:val="20"/>
          <w:szCs w:val="20"/>
          <w:lang w:val="es-ES_tradnl"/>
        </w:rPr>
      </w:pPr>
      <w:r w:rsidRPr="009760EA">
        <w:rPr>
          <w:rFonts w:asciiTheme="majorHAnsi" w:eastAsia="Cambria" w:hAnsiTheme="majorHAnsi" w:cs="Cambria"/>
          <w:color w:val="000000"/>
          <w:sz w:val="20"/>
          <w:szCs w:val="20"/>
          <w:u w:color="000000"/>
          <w:lang w:val="es-ES_tradnl" w:eastAsia="es-ES"/>
        </w:rPr>
        <w:t>En primer lugar, l</w:t>
      </w:r>
      <w:r w:rsidR="005B3764" w:rsidRPr="009760EA">
        <w:rPr>
          <w:rFonts w:asciiTheme="majorHAnsi" w:eastAsia="Cambria" w:hAnsiTheme="majorHAnsi" w:cs="Cambria"/>
          <w:color w:val="000000"/>
          <w:sz w:val="20"/>
          <w:szCs w:val="20"/>
          <w:u w:color="000000"/>
          <w:lang w:val="es-ES_tradnl" w:eastAsia="es-ES"/>
        </w:rPr>
        <w:t xml:space="preserve">a CIDH observa que la identificación de las víctimas ha sido clara desde la petición inicial presentada el </w:t>
      </w:r>
      <w:r w:rsidR="005B3764" w:rsidRPr="009760EA">
        <w:rPr>
          <w:rFonts w:asciiTheme="majorHAnsi" w:hAnsiTheme="majorHAnsi"/>
          <w:bCs/>
          <w:sz w:val="20"/>
          <w:szCs w:val="20"/>
          <w:lang w:val="es-ES_tradnl"/>
        </w:rPr>
        <w:t>28 de diciembre de 2017, siendo peticionarios y presuntas víctimas las tres personas identificadas desde el inicio del presente informe:</w:t>
      </w:r>
      <w:r w:rsidR="00BF7000" w:rsidRPr="009760EA">
        <w:rPr>
          <w:rFonts w:asciiTheme="majorHAnsi" w:hAnsiTheme="majorHAnsi"/>
          <w:bCs/>
          <w:sz w:val="20"/>
          <w:szCs w:val="20"/>
          <w:lang w:val="es-ES_tradnl"/>
        </w:rPr>
        <w:t xml:space="preserve"> Edwin Leonardo Jarrín Jarrín, Tania Elizabeth Pauker Cueva y Sonia Gabriela Vera García antiguos miembros del Consejo de Participación Ciudadana y Control Social. No consta en el expediente de la presente petición constancia de que estos peticionarios hayan querido incorporar a otras presuntas víctimas. </w:t>
      </w:r>
    </w:p>
    <w:p w14:paraId="2887578D" w14:textId="77777777" w:rsidR="009D4015" w:rsidRPr="009760EA" w:rsidRDefault="009D4015" w:rsidP="009D4015">
      <w:pPr>
        <w:suppressAutoHyphens/>
        <w:spacing w:after="240"/>
        <w:ind w:left="720"/>
        <w:jc w:val="both"/>
        <w:rPr>
          <w:rFonts w:asciiTheme="majorHAnsi" w:hAnsiTheme="majorHAnsi"/>
          <w:sz w:val="20"/>
          <w:szCs w:val="20"/>
          <w:lang w:val="es-ES_tradnl"/>
        </w:rPr>
      </w:pPr>
    </w:p>
    <w:p w14:paraId="12B3099D" w14:textId="4D74BE81" w:rsidR="00EE0DEF" w:rsidRPr="009760EA" w:rsidRDefault="00237C61" w:rsidP="00EE0DEF">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sz w:val="20"/>
          <w:szCs w:val="20"/>
          <w:lang w:val="es-ES_tradnl"/>
        </w:rPr>
        <w:lastRenderedPageBreak/>
        <w:t>En atención a estas consideraciones y tras examinar los elementos de hecho y de derecho expuestos por las partes la Comisión estima que las alegaciones de la parte peticionaria</w:t>
      </w:r>
      <w:r w:rsidR="00012E85" w:rsidRPr="009760EA">
        <w:rPr>
          <w:rFonts w:asciiTheme="majorHAnsi" w:hAnsiTheme="majorHAnsi"/>
          <w:sz w:val="20"/>
          <w:szCs w:val="20"/>
          <w:lang w:val="es-ES_tradnl"/>
        </w:rPr>
        <w:t xml:space="preserve"> relativas a su destitución como miembros del CPCCS</w:t>
      </w:r>
      <w:r w:rsidR="00EE0DEF" w:rsidRPr="009760EA">
        <w:rPr>
          <w:rFonts w:asciiTheme="majorHAnsi" w:hAnsiTheme="majorHAnsi"/>
          <w:sz w:val="20"/>
          <w:szCs w:val="20"/>
          <w:lang w:val="es-ES_tradnl"/>
        </w:rPr>
        <w:t xml:space="preserve"> </w:t>
      </w:r>
      <w:r w:rsidRPr="009760EA">
        <w:rPr>
          <w:rFonts w:asciiTheme="majorHAnsi" w:hAnsiTheme="majorHAnsi"/>
          <w:sz w:val="20"/>
          <w:szCs w:val="20"/>
          <w:lang w:val="es-ES_tradnl"/>
        </w:rPr>
        <w:t xml:space="preserve">no resultan manifiestamente infundadas y requieren un estudio de fondo pues los hechos alegados, de corroborarse como ciertos podrían caracterizar violaciones a los </w:t>
      </w:r>
      <w:r w:rsidR="00794CE5" w:rsidRPr="009760EA">
        <w:rPr>
          <w:rFonts w:asciiTheme="majorHAnsi" w:hAnsiTheme="majorHAnsi"/>
          <w:sz w:val="20"/>
          <w:szCs w:val="20"/>
          <w:lang w:val="es-ES_tradnl"/>
        </w:rPr>
        <w:t>a</w:t>
      </w:r>
      <w:r w:rsidR="00794CE5" w:rsidRPr="009760EA">
        <w:rPr>
          <w:rFonts w:asciiTheme="majorHAnsi" w:hAnsiTheme="majorHAnsi"/>
          <w:bCs/>
          <w:sz w:val="20"/>
          <w:szCs w:val="20"/>
          <w:lang w:val="es-ES_tradnl"/>
        </w:rPr>
        <w:t>rtículos 8 (garantías judiciales), 23 (derechos políticos), 24 (igualdad ante la ley) y 25 (protección judicial) de la Convención Americana</w:t>
      </w:r>
      <w:r w:rsidR="00AF4EA2" w:rsidRPr="009760EA">
        <w:rPr>
          <w:rFonts w:asciiTheme="majorHAnsi" w:hAnsiTheme="majorHAnsi"/>
          <w:bCs/>
          <w:sz w:val="20"/>
          <w:szCs w:val="20"/>
          <w:lang w:val="es-ES_tradnl"/>
        </w:rPr>
        <w:t xml:space="preserve"> en relación con sus artículos 1.1 (obligación de respetar derechos) y 2 (deber de adoptar disposiciones de derecho interno)</w:t>
      </w:r>
      <w:r w:rsidR="006904F3" w:rsidRPr="009760EA">
        <w:rPr>
          <w:rFonts w:asciiTheme="majorHAnsi" w:hAnsiTheme="majorHAnsi"/>
          <w:sz w:val="20"/>
          <w:szCs w:val="20"/>
          <w:lang w:val="es-ES_tradnl"/>
        </w:rPr>
        <w:t xml:space="preserve">, en perjuicio de </w:t>
      </w:r>
      <w:r w:rsidR="006904F3" w:rsidRPr="009760EA">
        <w:rPr>
          <w:rFonts w:asciiTheme="majorHAnsi" w:hAnsiTheme="majorHAnsi"/>
          <w:color w:val="000000" w:themeColor="text1"/>
          <w:sz w:val="20"/>
          <w:szCs w:val="20"/>
          <w:lang w:val="es-ES_tradnl"/>
        </w:rPr>
        <w:t xml:space="preserve">Edwin Leonardo Jarrín Jarrín, Tania Elizabeth Pauker Cueva y Sonia Gabriela Vera García, en los términos del presente informe. </w:t>
      </w:r>
    </w:p>
    <w:p w14:paraId="1244AB35" w14:textId="0D95B4F8" w:rsidR="00012E85" w:rsidRPr="009760EA" w:rsidRDefault="00721E90" w:rsidP="00B76C21">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sz w:val="20"/>
          <w:szCs w:val="20"/>
          <w:lang w:val="es-ES_tradnl"/>
        </w:rPr>
        <w:t>Frente</w:t>
      </w:r>
      <w:r w:rsidR="003F0BD8" w:rsidRPr="009760EA">
        <w:rPr>
          <w:rFonts w:asciiTheme="majorHAnsi" w:hAnsiTheme="majorHAnsi"/>
          <w:sz w:val="20"/>
          <w:szCs w:val="20"/>
          <w:lang w:val="es-ES_tradnl"/>
        </w:rPr>
        <w:t xml:space="preserve"> </w:t>
      </w:r>
      <w:r w:rsidRPr="009760EA">
        <w:rPr>
          <w:rFonts w:asciiTheme="majorHAnsi" w:hAnsiTheme="majorHAnsi"/>
          <w:sz w:val="20"/>
          <w:szCs w:val="20"/>
          <w:lang w:val="es-ES_tradnl"/>
        </w:rPr>
        <w:t>a</w:t>
      </w:r>
      <w:r w:rsidR="00794CE5" w:rsidRPr="009760EA">
        <w:rPr>
          <w:rFonts w:asciiTheme="majorHAnsi" w:hAnsiTheme="majorHAnsi"/>
          <w:sz w:val="20"/>
          <w:szCs w:val="20"/>
          <w:lang w:val="es-ES_tradnl"/>
        </w:rPr>
        <w:t xml:space="preserve"> las alegaciones del Estado </w:t>
      </w:r>
      <w:r w:rsidR="003F0BD8" w:rsidRPr="009760EA">
        <w:rPr>
          <w:rFonts w:asciiTheme="majorHAnsi" w:hAnsiTheme="majorHAnsi"/>
          <w:sz w:val="20"/>
          <w:szCs w:val="20"/>
          <w:lang w:val="es-ES_tradnl"/>
        </w:rPr>
        <w:t>frente</w:t>
      </w:r>
      <w:r w:rsidR="00794CE5" w:rsidRPr="009760EA">
        <w:rPr>
          <w:rFonts w:asciiTheme="majorHAnsi" w:hAnsiTheme="majorHAnsi"/>
          <w:sz w:val="20"/>
          <w:szCs w:val="20"/>
          <w:lang w:val="es-ES_tradnl"/>
        </w:rPr>
        <w:t xml:space="preserve"> a lo que llama una actuación de cuarta instancia, </w:t>
      </w:r>
      <w:r w:rsidR="00F27159" w:rsidRPr="009760EA">
        <w:rPr>
          <w:rFonts w:asciiTheme="majorHAnsi" w:hAnsiTheme="majorHAnsi"/>
          <w:sz w:val="20"/>
          <w:szCs w:val="20"/>
          <w:lang w:val="es-ES_tradnl"/>
        </w:rPr>
        <w:t xml:space="preserve">la Comisión </w:t>
      </w:r>
      <w:r w:rsidR="00EE0DEF" w:rsidRPr="009760EA">
        <w:rPr>
          <w:rFonts w:asciiTheme="majorHAnsi" w:hAnsiTheme="majorHAnsi"/>
          <w:sz w:val="20"/>
          <w:szCs w:val="20"/>
          <w:lang w:val="es-ES_tradnl"/>
        </w:rPr>
        <w:t>recuerda</w:t>
      </w:r>
      <w:r w:rsidR="00F27159" w:rsidRPr="009760EA">
        <w:rPr>
          <w:rFonts w:asciiTheme="majorHAnsi" w:hAnsiTheme="majorHAnsi"/>
          <w:sz w:val="20"/>
          <w:szCs w:val="20"/>
          <w:lang w:val="es-ES_tradnl"/>
        </w:rPr>
        <w:t xml:space="preserve"> que </w:t>
      </w:r>
      <w:r w:rsidR="00794CE5" w:rsidRPr="009760EA">
        <w:rPr>
          <w:rFonts w:asciiTheme="majorHAnsi" w:hAnsiTheme="majorHAnsi"/>
          <w:sz w:val="20"/>
          <w:szCs w:val="20"/>
          <w:lang w:val="es-ES_tradnl"/>
        </w:rPr>
        <w:t>al admitir una petición no pretende suplantar la competencia de las autoridades judiciales domésticas. Sino que dentro del marco de su mandato sí es competente para declarar admisible una petición y fallar sobre el fondo cuando ésta se refiere a procesos internos que podrían ser violatorios de derechos garantizados por la Convención Americana</w:t>
      </w:r>
      <w:r w:rsidR="00F27159" w:rsidRPr="009760EA">
        <w:rPr>
          <w:rFonts w:asciiTheme="majorHAnsi" w:hAnsiTheme="majorHAnsi"/>
          <w:sz w:val="20"/>
          <w:szCs w:val="20"/>
          <w:lang w:val="es-ES_tradnl"/>
        </w:rPr>
        <w:t xml:space="preserve">. </w:t>
      </w:r>
      <w:r w:rsidR="00012E85" w:rsidRPr="009760EA">
        <w:rPr>
          <w:rFonts w:asciiTheme="majorHAnsi" w:hAnsiTheme="majorHAnsi"/>
          <w:sz w:val="20"/>
          <w:szCs w:val="20"/>
          <w:lang w:val="es-ES_tradnl"/>
        </w:rPr>
        <w:t xml:space="preserve">En el presente caso, la CIDH analizará estrictamente el posible incumplimiento del Estado de las citadas normas de la Convención Americana, con respecto a las presuntas víctimas individualizadas en el presente informe; no es la función de la CIDH pronunciarse respecto de aspectos no relacionados propios del contexto político de la época en la que ocurrieron los hechos. </w:t>
      </w:r>
    </w:p>
    <w:p w14:paraId="2A2CD19D" w14:textId="3C793DCD" w:rsidR="0074744B" w:rsidRPr="009760EA" w:rsidRDefault="00F27159" w:rsidP="00B76C21">
      <w:pPr>
        <w:numPr>
          <w:ilvl w:val="0"/>
          <w:numId w:val="64"/>
        </w:numPr>
        <w:suppressAutoHyphens/>
        <w:spacing w:after="240"/>
        <w:jc w:val="both"/>
        <w:rPr>
          <w:rFonts w:asciiTheme="majorHAnsi" w:hAnsiTheme="majorHAnsi"/>
          <w:sz w:val="20"/>
          <w:szCs w:val="20"/>
          <w:lang w:val="es-ES_tradnl"/>
        </w:rPr>
      </w:pPr>
      <w:r w:rsidRPr="009760EA">
        <w:rPr>
          <w:rFonts w:asciiTheme="majorHAnsi" w:hAnsiTheme="majorHAnsi"/>
          <w:sz w:val="20"/>
          <w:szCs w:val="20"/>
          <w:lang w:val="es-ES_tradnl"/>
        </w:rPr>
        <w:t xml:space="preserve">Finalmente, </w:t>
      </w:r>
      <w:r w:rsidR="0074744B" w:rsidRPr="009760EA">
        <w:rPr>
          <w:rFonts w:asciiTheme="majorHAnsi" w:hAnsiTheme="majorHAnsi"/>
          <w:sz w:val="20"/>
          <w:szCs w:val="20"/>
          <w:lang w:val="es-ES_tradnl"/>
        </w:rPr>
        <w:t>en relación con los demás instrumentos internacionales alegados por los peticionarios, la Comisión carece de competencia 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 Americana.</w:t>
      </w:r>
    </w:p>
    <w:p w14:paraId="7F041AF6" w14:textId="28AED3AD" w:rsidR="003239B8" w:rsidRPr="009760EA" w:rsidRDefault="003239B8" w:rsidP="00B76C21">
      <w:pPr>
        <w:pStyle w:val="ListParagraph"/>
        <w:jc w:val="both"/>
        <w:rPr>
          <w:rFonts w:asciiTheme="majorHAnsi" w:hAnsiTheme="majorHAnsi"/>
          <w:b/>
          <w:bCs/>
          <w:sz w:val="20"/>
          <w:szCs w:val="20"/>
          <w:lang w:val="es-ES_tradnl"/>
        </w:rPr>
      </w:pPr>
      <w:r w:rsidRPr="009760EA">
        <w:rPr>
          <w:rFonts w:asciiTheme="majorHAnsi" w:hAnsiTheme="majorHAnsi"/>
          <w:b/>
          <w:bCs/>
          <w:sz w:val="20"/>
          <w:szCs w:val="20"/>
          <w:lang w:val="es-ES_tradnl"/>
        </w:rPr>
        <w:t xml:space="preserve">VIII. </w:t>
      </w:r>
      <w:r w:rsidRPr="009760EA">
        <w:rPr>
          <w:rFonts w:asciiTheme="majorHAnsi" w:hAnsiTheme="majorHAnsi"/>
          <w:b/>
          <w:bCs/>
          <w:sz w:val="20"/>
          <w:szCs w:val="20"/>
          <w:lang w:val="es-ES_tradnl"/>
        </w:rPr>
        <w:tab/>
        <w:t>DECISIÓN</w:t>
      </w:r>
    </w:p>
    <w:p w14:paraId="55FB64EB" w14:textId="77777777" w:rsidR="00734DE5" w:rsidRPr="009760EA" w:rsidRDefault="00734DE5" w:rsidP="00B76C21">
      <w:pPr>
        <w:pStyle w:val="ListParagraph"/>
        <w:jc w:val="both"/>
        <w:rPr>
          <w:rFonts w:asciiTheme="majorHAnsi" w:hAnsiTheme="majorHAnsi"/>
          <w:b/>
          <w:bCs/>
          <w:sz w:val="20"/>
          <w:szCs w:val="20"/>
          <w:lang w:val="es-ES_tradnl"/>
        </w:rPr>
      </w:pPr>
    </w:p>
    <w:p w14:paraId="7ACE3751" w14:textId="7FFEECA1" w:rsidR="000419AD" w:rsidRPr="009760EA" w:rsidRDefault="003239B8" w:rsidP="00B76C21">
      <w:pPr>
        <w:numPr>
          <w:ilvl w:val="0"/>
          <w:numId w:val="55"/>
        </w:numPr>
        <w:suppressAutoHyphens/>
        <w:jc w:val="both"/>
        <w:rPr>
          <w:rFonts w:asciiTheme="majorHAnsi" w:hAnsiTheme="majorHAnsi"/>
          <w:sz w:val="20"/>
          <w:szCs w:val="20"/>
          <w:lang w:val="es-ES_tradnl"/>
        </w:rPr>
      </w:pPr>
      <w:r w:rsidRPr="009760EA">
        <w:rPr>
          <w:rFonts w:asciiTheme="majorHAnsi" w:hAnsiTheme="majorHAnsi"/>
          <w:sz w:val="20"/>
          <w:szCs w:val="20"/>
          <w:lang w:val="es-ES_tradnl"/>
        </w:rPr>
        <w:t xml:space="preserve">Declarar admisible la presente petición en relación con </w:t>
      </w:r>
      <w:r w:rsidR="003E0193" w:rsidRPr="009760EA">
        <w:rPr>
          <w:rFonts w:asciiTheme="majorHAnsi" w:hAnsiTheme="majorHAnsi"/>
          <w:sz w:val="20"/>
          <w:szCs w:val="20"/>
          <w:lang w:val="es-ES_tradnl"/>
        </w:rPr>
        <w:t xml:space="preserve">los artículos </w:t>
      </w:r>
      <w:r w:rsidR="003E0193" w:rsidRPr="009760EA">
        <w:rPr>
          <w:rFonts w:asciiTheme="majorHAnsi" w:hAnsiTheme="majorHAnsi"/>
          <w:bCs/>
          <w:sz w:val="20"/>
          <w:szCs w:val="20"/>
          <w:lang w:val="es-ES_tradnl"/>
        </w:rPr>
        <w:t xml:space="preserve">8, 23, 24 y 25 de la Convención </w:t>
      </w:r>
      <w:r w:rsidR="001130A3">
        <w:rPr>
          <w:rFonts w:asciiTheme="majorHAnsi" w:hAnsiTheme="majorHAnsi"/>
          <w:bCs/>
          <w:sz w:val="20"/>
          <w:szCs w:val="20"/>
          <w:lang w:val="es-ES_tradnl"/>
        </w:rPr>
        <w:t xml:space="preserve">Americana sobre Derechos Humanos </w:t>
      </w:r>
      <w:r w:rsidR="003E0193" w:rsidRPr="009760EA">
        <w:rPr>
          <w:rFonts w:asciiTheme="majorHAnsi" w:hAnsiTheme="majorHAnsi"/>
          <w:sz w:val="20"/>
          <w:szCs w:val="20"/>
          <w:lang w:val="es-ES_tradnl"/>
        </w:rPr>
        <w:t xml:space="preserve">en </w:t>
      </w:r>
      <w:r w:rsidR="00D44ED8">
        <w:rPr>
          <w:rFonts w:asciiTheme="majorHAnsi" w:hAnsiTheme="majorHAnsi"/>
          <w:sz w:val="20"/>
          <w:szCs w:val="20"/>
          <w:lang w:val="es-ES_tradnl"/>
        </w:rPr>
        <w:t>concordancia</w:t>
      </w:r>
      <w:r w:rsidR="003E0193" w:rsidRPr="009760EA">
        <w:rPr>
          <w:rFonts w:asciiTheme="majorHAnsi" w:hAnsiTheme="majorHAnsi"/>
          <w:sz w:val="20"/>
          <w:szCs w:val="20"/>
          <w:lang w:val="es-ES_tradnl"/>
        </w:rPr>
        <w:t xml:space="preserve"> con sus artículos 1.1 y 2</w:t>
      </w:r>
      <w:r w:rsidR="00A758AA" w:rsidRPr="009760EA">
        <w:rPr>
          <w:rFonts w:asciiTheme="majorHAnsi" w:hAnsiTheme="majorHAnsi"/>
          <w:sz w:val="20"/>
          <w:szCs w:val="20"/>
          <w:lang w:val="es-ES_tradnl"/>
        </w:rPr>
        <w:t>;</w:t>
      </w:r>
      <w:r w:rsidR="007B76D3" w:rsidRPr="009760EA">
        <w:rPr>
          <w:rFonts w:asciiTheme="majorHAnsi" w:hAnsiTheme="majorHAnsi"/>
          <w:sz w:val="20"/>
          <w:szCs w:val="20"/>
          <w:lang w:val="es-ES_tradnl"/>
        </w:rPr>
        <w:t xml:space="preserve"> y</w:t>
      </w:r>
    </w:p>
    <w:p w14:paraId="74AEEDF6" w14:textId="77777777" w:rsidR="00132A1D" w:rsidRPr="009760EA" w:rsidRDefault="00132A1D" w:rsidP="00132A1D">
      <w:pPr>
        <w:suppressAutoHyphens/>
        <w:ind w:left="720"/>
        <w:jc w:val="both"/>
        <w:rPr>
          <w:rFonts w:asciiTheme="majorHAnsi" w:hAnsiTheme="majorHAnsi"/>
          <w:sz w:val="20"/>
          <w:szCs w:val="20"/>
          <w:lang w:val="es-ES_tradnl"/>
        </w:rPr>
      </w:pPr>
    </w:p>
    <w:p w14:paraId="542D22F9" w14:textId="77777777" w:rsidR="008D768D" w:rsidRPr="009760EA" w:rsidRDefault="004A6A54" w:rsidP="00B76C21">
      <w:pPr>
        <w:numPr>
          <w:ilvl w:val="0"/>
          <w:numId w:val="55"/>
        </w:numPr>
        <w:suppressAutoHyphens/>
        <w:jc w:val="both"/>
        <w:rPr>
          <w:rFonts w:asciiTheme="majorHAnsi" w:hAnsiTheme="majorHAnsi"/>
          <w:sz w:val="20"/>
          <w:szCs w:val="20"/>
          <w:lang w:val="es-ES_tradnl"/>
        </w:rPr>
      </w:pPr>
      <w:r w:rsidRPr="009760EA">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2A390BB" w14:textId="7DE41A87" w:rsidR="00722C9F" w:rsidRDefault="00722C9F" w:rsidP="00B76C21">
      <w:pPr>
        <w:jc w:val="both"/>
        <w:rPr>
          <w:rFonts w:asciiTheme="majorHAnsi" w:hAnsiTheme="majorHAnsi" w:cs="Calibri"/>
          <w:sz w:val="20"/>
          <w:szCs w:val="20"/>
          <w:lang w:val="es-ES"/>
        </w:rPr>
      </w:pPr>
    </w:p>
    <w:p w14:paraId="603AB584" w14:textId="7F14818C" w:rsidR="009D4015" w:rsidRPr="00A37B82" w:rsidRDefault="009D4015" w:rsidP="009D401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75283E9" w14:textId="77777777" w:rsidR="009D4015" w:rsidRPr="00A37B82" w:rsidRDefault="009D4015" w:rsidP="009D4015">
      <w:pPr>
        <w:suppressAutoHyphens/>
        <w:ind w:firstLine="720"/>
        <w:jc w:val="both"/>
        <w:rPr>
          <w:rFonts w:asciiTheme="majorHAnsi" w:hAnsiTheme="majorHAnsi" w:cs="Arial"/>
          <w:noProof/>
          <w:spacing w:val="-2"/>
          <w:sz w:val="20"/>
          <w:szCs w:val="20"/>
          <w:lang w:val="es-CL"/>
        </w:rPr>
      </w:pPr>
    </w:p>
    <w:sectPr w:rsidR="009D4015"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0706" w14:textId="77777777" w:rsidR="0052175F" w:rsidRDefault="0052175F">
      <w:r>
        <w:separator/>
      </w:r>
    </w:p>
  </w:endnote>
  <w:endnote w:type="continuationSeparator" w:id="0">
    <w:p w14:paraId="46939135" w14:textId="77777777" w:rsidR="0052175F" w:rsidRDefault="0052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D122" w14:textId="77777777" w:rsidR="0052175F" w:rsidRPr="000F35ED" w:rsidRDefault="0052175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465C4E7" w14:textId="77777777" w:rsidR="0052175F" w:rsidRPr="000F35ED" w:rsidRDefault="0052175F" w:rsidP="000F35ED">
      <w:pPr>
        <w:rPr>
          <w:rFonts w:asciiTheme="majorHAnsi" w:hAnsiTheme="majorHAnsi"/>
          <w:sz w:val="16"/>
          <w:szCs w:val="16"/>
        </w:rPr>
      </w:pPr>
      <w:r w:rsidRPr="000F35ED">
        <w:rPr>
          <w:rFonts w:asciiTheme="majorHAnsi" w:hAnsiTheme="majorHAnsi"/>
          <w:sz w:val="16"/>
          <w:szCs w:val="16"/>
        </w:rPr>
        <w:separator/>
      </w:r>
    </w:p>
    <w:p w14:paraId="6F3F89E3" w14:textId="77777777" w:rsidR="0052175F" w:rsidRPr="000F35ED" w:rsidRDefault="0052175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C0BABC3" w14:textId="77777777" w:rsidR="0052175F" w:rsidRPr="000F35ED" w:rsidRDefault="0052175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33F9F59" w14:textId="4B8CE3FB" w:rsidR="00DE6417" w:rsidRPr="00271888" w:rsidRDefault="00DE6417" w:rsidP="00DE6417">
      <w:pPr>
        <w:pStyle w:val="FootnoteText"/>
        <w:ind w:firstLine="720"/>
        <w:rPr>
          <w:rFonts w:asciiTheme="majorHAnsi" w:hAnsiTheme="majorHAnsi" w:cstheme="minorHAnsi"/>
          <w:sz w:val="16"/>
          <w:szCs w:val="16"/>
          <w:lang w:val="es-ES"/>
        </w:rPr>
      </w:pPr>
      <w:r w:rsidRPr="00271888">
        <w:rPr>
          <w:rStyle w:val="FootnoteReference"/>
          <w:rFonts w:asciiTheme="majorHAnsi" w:hAnsiTheme="majorHAnsi" w:cstheme="minorHAnsi"/>
          <w:sz w:val="16"/>
          <w:szCs w:val="16"/>
        </w:rPr>
        <w:footnoteRef/>
      </w:r>
      <w:r w:rsidR="00881B72">
        <w:rPr>
          <w:rFonts w:asciiTheme="majorHAnsi" w:hAnsiTheme="majorHAnsi" w:cstheme="minorHAnsi"/>
          <w:sz w:val="16"/>
          <w:szCs w:val="16"/>
          <w:lang w:val="es-ES"/>
        </w:rPr>
        <w:t xml:space="preserve"> </w:t>
      </w:r>
      <w:r w:rsidRPr="00271888">
        <w:rPr>
          <w:rFonts w:asciiTheme="majorHAnsi" w:hAnsiTheme="majorHAnsi" w:cstheme="minorHAnsi"/>
          <w:sz w:val="16"/>
          <w:szCs w:val="16"/>
          <w:lang w:val="es-ES"/>
        </w:rPr>
        <w:t xml:space="preserve">En adelante “la Convención Americana” o “la Convención”. </w:t>
      </w:r>
    </w:p>
  </w:footnote>
  <w:footnote w:id="3">
    <w:p w14:paraId="3D7C141E" w14:textId="32D122BB" w:rsidR="00DE6417" w:rsidRPr="00271888" w:rsidRDefault="00DE6417" w:rsidP="00271888">
      <w:pPr>
        <w:pStyle w:val="FootnoteText"/>
        <w:ind w:firstLine="720"/>
        <w:rPr>
          <w:rFonts w:asciiTheme="majorHAnsi" w:hAnsiTheme="majorHAnsi"/>
          <w:sz w:val="16"/>
          <w:szCs w:val="16"/>
          <w:lang w:val="es-ES"/>
        </w:rPr>
      </w:pPr>
      <w:r w:rsidRPr="007703A7">
        <w:rPr>
          <w:rStyle w:val="FootnoteReference"/>
          <w:rFonts w:asciiTheme="majorHAnsi" w:hAnsiTheme="majorHAnsi"/>
          <w:sz w:val="16"/>
          <w:szCs w:val="16"/>
        </w:rPr>
        <w:footnoteRef/>
      </w:r>
      <w:r w:rsidR="00881B72">
        <w:rPr>
          <w:rFonts w:asciiTheme="majorHAnsi" w:hAnsiTheme="majorHAnsi"/>
          <w:sz w:val="16"/>
          <w:szCs w:val="16"/>
          <w:lang w:val="es-ES"/>
        </w:rPr>
        <w:t xml:space="preserve"> </w:t>
      </w:r>
      <w:r w:rsidRPr="007703A7">
        <w:rPr>
          <w:rFonts w:asciiTheme="majorHAnsi" w:hAnsiTheme="majorHAnsi"/>
          <w:sz w:val="16"/>
          <w:szCs w:val="16"/>
          <w:lang w:val="es-ES"/>
        </w:rPr>
        <w:t xml:space="preserve">Declaración Universal </w:t>
      </w:r>
      <w:r w:rsidR="00030CB3">
        <w:rPr>
          <w:rFonts w:asciiTheme="majorHAnsi" w:hAnsiTheme="majorHAnsi"/>
          <w:sz w:val="16"/>
          <w:szCs w:val="16"/>
          <w:lang w:val="es-ES"/>
        </w:rPr>
        <w:t>de</w:t>
      </w:r>
      <w:r w:rsidRPr="007703A7">
        <w:rPr>
          <w:rFonts w:asciiTheme="majorHAnsi" w:hAnsiTheme="majorHAnsi"/>
          <w:sz w:val="16"/>
          <w:szCs w:val="16"/>
          <w:lang w:val="es-ES"/>
        </w:rPr>
        <w:t xml:space="preserve"> </w:t>
      </w:r>
      <w:r w:rsidR="0028583B">
        <w:rPr>
          <w:rFonts w:asciiTheme="majorHAnsi" w:hAnsiTheme="majorHAnsi"/>
          <w:sz w:val="16"/>
          <w:szCs w:val="16"/>
          <w:lang w:val="es-ES"/>
        </w:rPr>
        <w:t xml:space="preserve">los </w:t>
      </w:r>
      <w:r w:rsidRPr="007703A7">
        <w:rPr>
          <w:rFonts w:asciiTheme="majorHAnsi" w:hAnsiTheme="majorHAnsi"/>
          <w:sz w:val="16"/>
          <w:szCs w:val="16"/>
          <w:lang w:val="es-ES"/>
        </w:rPr>
        <w:t>Derechos Humanos</w:t>
      </w:r>
      <w:r w:rsidR="00271888" w:rsidRPr="007703A7">
        <w:rPr>
          <w:rFonts w:asciiTheme="majorHAnsi" w:hAnsiTheme="majorHAnsi"/>
          <w:sz w:val="16"/>
          <w:szCs w:val="16"/>
          <w:lang w:val="es-ES"/>
        </w:rPr>
        <w:t xml:space="preserve"> artículos 7 y 8.</w:t>
      </w:r>
      <w:r w:rsidR="00271888" w:rsidRPr="00271888">
        <w:rPr>
          <w:rFonts w:asciiTheme="majorHAnsi" w:hAnsiTheme="majorHAnsi"/>
          <w:sz w:val="16"/>
          <w:szCs w:val="16"/>
          <w:lang w:val="es-ES"/>
        </w:rPr>
        <w:t xml:space="preserve"> </w:t>
      </w:r>
      <w:r w:rsidRPr="00271888">
        <w:rPr>
          <w:rFonts w:asciiTheme="majorHAnsi" w:hAnsiTheme="majorHAnsi"/>
          <w:sz w:val="16"/>
          <w:szCs w:val="16"/>
          <w:lang w:val="es-ES"/>
        </w:rPr>
        <w:t xml:space="preserve"> </w:t>
      </w:r>
    </w:p>
  </w:footnote>
  <w:footnote w:id="4">
    <w:p w14:paraId="4DB1BB11" w14:textId="77777777" w:rsidR="008E3BFE" w:rsidRPr="00306F33" w:rsidRDefault="008E3BFE" w:rsidP="00271888">
      <w:pPr>
        <w:pStyle w:val="FootnoteText"/>
        <w:ind w:firstLine="720"/>
        <w:jc w:val="both"/>
        <w:rPr>
          <w:rFonts w:asciiTheme="majorHAnsi" w:hAnsiTheme="majorHAnsi"/>
          <w:sz w:val="16"/>
          <w:szCs w:val="16"/>
          <w:lang w:val="es-ES"/>
        </w:rPr>
      </w:pPr>
      <w:r w:rsidRPr="00271888">
        <w:rPr>
          <w:rStyle w:val="FootnoteReference"/>
          <w:rFonts w:asciiTheme="majorHAnsi" w:hAnsiTheme="majorHAnsi" w:cstheme="minorHAnsi"/>
          <w:sz w:val="16"/>
          <w:szCs w:val="16"/>
        </w:rPr>
        <w:footnoteRef/>
      </w:r>
      <w:r w:rsidRPr="00271888">
        <w:rPr>
          <w:rFonts w:asciiTheme="majorHAnsi" w:hAnsiTheme="majorHAnsi" w:cstheme="minorHAnsi"/>
          <w:sz w:val="16"/>
          <w:szCs w:val="16"/>
          <w:lang w:val="es-ES"/>
        </w:rPr>
        <w:t xml:space="preserve"> Las observaciones de cada parte fueron debidamente trasladadas a la parte contraria.</w:t>
      </w:r>
    </w:p>
  </w:footnote>
  <w:footnote w:id="5">
    <w:p w14:paraId="63462245" w14:textId="08343FAE" w:rsidR="00A01327" w:rsidRPr="00412AE6" w:rsidRDefault="00A01327" w:rsidP="00A01327">
      <w:pPr>
        <w:pStyle w:val="FootnoteText"/>
        <w:ind w:firstLine="720"/>
        <w:jc w:val="both"/>
        <w:rPr>
          <w:rFonts w:ascii="Cambria" w:hAnsi="Cambria"/>
          <w:sz w:val="16"/>
          <w:szCs w:val="16"/>
          <w:lang w:val="es-ES"/>
        </w:rPr>
      </w:pPr>
      <w:r w:rsidRPr="00A01327">
        <w:rPr>
          <w:rStyle w:val="FootnoteReference"/>
          <w:rFonts w:ascii="Cambria" w:hAnsi="Cambria"/>
          <w:sz w:val="16"/>
          <w:szCs w:val="16"/>
        </w:rPr>
        <w:footnoteRef/>
      </w:r>
      <w:r w:rsidRPr="00A01327">
        <w:rPr>
          <w:rFonts w:ascii="Cambria" w:hAnsi="Cambria"/>
          <w:sz w:val="16"/>
          <w:szCs w:val="16"/>
          <w:lang w:val="es-ES"/>
        </w:rPr>
        <w:t xml:space="preserve"> Constitución de la República del Ecuador de 2008. “Art. 208.- Serán deberes y atribuciones del Consejo de Participación Ciudadana y Control Social,</w:t>
      </w:r>
      <w:r>
        <w:rPr>
          <w:rFonts w:ascii="Cambria" w:hAnsi="Cambria"/>
          <w:sz w:val="16"/>
          <w:szCs w:val="16"/>
          <w:lang w:val="es-ES"/>
        </w:rPr>
        <w:t xml:space="preserve"> </w:t>
      </w:r>
      <w:r w:rsidRPr="00A01327">
        <w:rPr>
          <w:rFonts w:ascii="Cambria" w:hAnsi="Cambria"/>
          <w:sz w:val="16"/>
          <w:szCs w:val="16"/>
          <w:lang w:val="es-ES"/>
        </w:rPr>
        <w:t>además de los previstos en la ley:</w:t>
      </w:r>
      <w:r>
        <w:rPr>
          <w:rFonts w:ascii="Cambria" w:hAnsi="Cambria"/>
          <w:sz w:val="16"/>
          <w:szCs w:val="16"/>
          <w:lang w:val="es-ES"/>
        </w:rPr>
        <w:t xml:space="preserve"> </w:t>
      </w:r>
      <w:r w:rsidRPr="00A01327">
        <w:rPr>
          <w:rFonts w:ascii="Cambria" w:hAnsi="Cambria"/>
          <w:sz w:val="16"/>
          <w:szCs w:val="16"/>
          <w:lang w:val="es-ES"/>
        </w:rPr>
        <w:t>1. Promover la participación ciudadana, estimular procesos de deliberación pública y propiciar la</w:t>
      </w:r>
      <w:r>
        <w:rPr>
          <w:rFonts w:ascii="Cambria" w:hAnsi="Cambria"/>
          <w:sz w:val="16"/>
          <w:szCs w:val="16"/>
          <w:lang w:val="es-ES"/>
        </w:rPr>
        <w:t xml:space="preserve"> </w:t>
      </w:r>
      <w:r w:rsidRPr="00A01327">
        <w:rPr>
          <w:rFonts w:ascii="Cambria" w:hAnsi="Cambria"/>
          <w:sz w:val="16"/>
          <w:szCs w:val="16"/>
          <w:lang w:val="es-ES"/>
        </w:rPr>
        <w:t>formación en ciudadanía, valores, transparencia y lucha contra la corrupción.</w:t>
      </w:r>
      <w:r>
        <w:rPr>
          <w:rFonts w:ascii="Cambria" w:hAnsi="Cambria"/>
          <w:sz w:val="16"/>
          <w:szCs w:val="16"/>
          <w:lang w:val="es-ES"/>
        </w:rPr>
        <w:t xml:space="preserve"> </w:t>
      </w:r>
      <w:r w:rsidRPr="00A01327">
        <w:rPr>
          <w:rFonts w:ascii="Cambria" w:hAnsi="Cambria"/>
          <w:sz w:val="16"/>
          <w:szCs w:val="16"/>
          <w:lang w:val="es-ES"/>
        </w:rPr>
        <w:t>2. Establecer mecanismos de rendición de cuentas de las instituciones y entidades del sector</w:t>
      </w:r>
      <w:r>
        <w:rPr>
          <w:rFonts w:ascii="Cambria" w:hAnsi="Cambria"/>
          <w:sz w:val="16"/>
          <w:szCs w:val="16"/>
          <w:lang w:val="es-ES"/>
        </w:rPr>
        <w:t xml:space="preserve"> </w:t>
      </w:r>
      <w:r w:rsidRPr="00A01327">
        <w:rPr>
          <w:rFonts w:ascii="Cambria" w:hAnsi="Cambria"/>
          <w:sz w:val="16"/>
          <w:szCs w:val="16"/>
          <w:lang w:val="es-ES"/>
        </w:rPr>
        <w:t>público, y coadyuvar procesos de veeduría ciudadana y control social.</w:t>
      </w:r>
      <w:r>
        <w:rPr>
          <w:rFonts w:ascii="Cambria" w:hAnsi="Cambria"/>
          <w:sz w:val="16"/>
          <w:szCs w:val="16"/>
          <w:lang w:val="es-ES"/>
        </w:rPr>
        <w:t xml:space="preserve"> </w:t>
      </w:r>
      <w:r w:rsidRPr="00A01327">
        <w:rPr>
          <w:rFonts w:ascii="Cambria" w:hAnsi="Cambria"/>
          <w:sz w:val="16"/>
          <w:szCs w:val="16"/>
          <w:lang w:val="es-ES"/>
        </w:rPr>
        <w:t>3. Instar a las demás entidades de la Función para que actúen de forma obligatoria sobre los asuntos</w:t>
      </w:r>
      <w:r>
        <w:rPr>
          <w:rFonts w:ascii="Cambria" w:hAnsi="Cambria"/>
          <w:sz w:val="16"/>
          <w:szCs w:val="16"/>
          <w:lang w:val="es-ES"/>
        </w:rPr>
        <w:t xml:space="preserve"> </w:t>
      </w:r>
      <w:r w:rsidRPr="00A01327">
        <w:rPr>
          <w:rFonts w:ascii="Cambria" w:hAnsi="Cambria"/>
          <w:sz w:val="16"/>
          <w:szCs w:val="16"/>
          <w:lang w:val="es-ES"/>
        </w:rPr>
        <w:t>que ameriten intervención a criterio del Consejo.</w:t>
      </w:r>
      <w:r>
        <w:rPr>
          <w:rFonts w:ascii="Cambria" w:hAnsi="Cambria"/>
          <w:sz w:val="16"/>
          <w:szCs w:val="16"/>
          <w:lang w:val="es-ES"/>
        </w:rPr>
        <w:t xml:space="preserve"> </w:t>
      </w:r>
      <w:r w:rsidRPr="00A01327">
        <w:rPr>
          <w:rFonts w:ascii="Cambria" w:hAnsi="Cambria"/>
          <w:sz w:val="16"/>
          <w:szCs w:val="16"/>
          <w:lang w:val="es-ES"/>
        </w:rPr>
        <w:t>4. Investigar denuncias sobre actos u omisiones que afecten a la participación ciudadana o generen</w:t>
      </w:r>
      <w:r>
        <w:rPr>
          <w:rFonts w:ascii="Cambria" w:hAnsi="Cambria"/>
          <w:sz w:val="16"/>
          <w:szCs w:val="16"/>
          <w:lang w:val="es-ES"/>
        </w:rPr>
        <w:t xml:space="preserve"> </w:t>
      </w:r>
      <w:r w:rsidRPr="00A01327">
        <w:rPr>
          <w:rFonts w:ascii="Cambria" w:hAnsi="Cambria"/>
          <w:sz w:val="16"/>
          <w:szCs w:val="16"/>
          <w:lang w:val="es-ES"/>
        </w:rPr>
        <w:t>corrupción.</w:t>
      </w:r>
      <w:r>
        <w:rPr>
          <w:rFonts w:ascii="Cambria" w:hAnsi="Cambria"/>
          <w:sz w:val="16"/>
          <w:szCs w:val="16"/>
          <w:lang w:val="es-ES"/>
        </w:rPr>
        <w:t xml:space="preserve"> </w:t>
      </w:r>
      <w:r w:rsidRPr="00A01327">
        <w:rPr>
          <w:rFonts w:ascii="Cambria" w:hAnsi="Cambria"/>
          <w:sz w:val="16"/>
          <w:szCs w:val="16"/>
          <w:lang w:val="es-ES"/>
        </w:rPr>
        <w:t>5. Emitir informes que determinen la existencia de indicios de responsabilidad, formular las</w:t>
      </w:r>
      <w:r>
        <w:rPr>
          <w:rFonts w:ascii="Cambria" w:hAnsi="Cambria"/>
          <w:sz w:val="16"/>
          <w:szCs w:val="16"/>
          <w:lang w:val="es-ES"/>
        </w:rPr>
        <w:t xml:space="preserve"> </w:t>
      </w:r>
      <w:r w:rsidRPr="00A01327">
        <w:rPr>
          <w:rFonts w:ascii="Cambria" w:hAnsi="Cambria"/>
          <w:sz w:val="16"/>
          <w:szCs w:val="16"/>
          <w:lang w:val="es-ES"/>
        </w:rPr>
        <w:t>recomendaciones necesarias e impulsar las acciones legales que correspondan.</w:t>
      </w:r>
      <w:r>
        <w:rPr>
          <w:rFonts w:ascii="Cambria" w:hAnsi="Cambria"/>
          <w:sz w:val="16"/>
          <w:szCs w:val="16"/>
          <w:lang w:val="es-ES"/>
        </w:rPr>
        <w:t xml:space="preserve"> </w:t>
      </w:r>
      <w:r w:rsidRPr="00A01327">
        <w:rPr>
          <w:rFonts w:ascii="Cambria" w:hAnsi="Cambria"/>
          <w:sz w:val="16"/>
          <w:szCs w:val="16"/>
          <w:lang w:val="es-ES"/>
        </w:rPr>
        <w:t>6. Actuar como parte procesal en las causas que se instauren como consecuencia de sus</w:t>
      </w:r>
      <w:r>
        <w:rPr>
          <w:rFonts w:ascii="Cambria" w:hAnsi="Cambria"/>
          <w:sz w:val="16"/>
          <w:szCs w:val="16"/>
          <w:lang w:val="es-ES"/>
        </w:rPr>
        <w:t xml:space="preserve"> </w:t>
      </w:r>
      <w:r w:rsidRPr="00A01327">
        <w:rPr>
          <w:rFonts w:ascii="Cambria" w:hAnsi="Cambria"/>
          <w:sz w:val="16"/>
          <w:szCs w:val="16"/>
          <w:lang w:val="es-ES"/>
        </w:rPr>
        <w:t>investigaciones. Cuando en sentencia se determine que en la comisión del delito existió apropiación</w:t>
      </w:r>
      <w:r>
        <w:rPr>
          <w:rFonts w:ascii="Cambria" w:hAnsi="Cambria"/>
          <w:sz w:val="16"/>
          <w:szCs w:val="16"/>
          <w:lang w:val="es-ES"/>
        </w:rPr>
        <w:t xml:space="preserve"> </w:t>
      </w:r>
      <w:r w:rsidRPr="00A01327">
        <w:rPr>
          <w:rFonts w:ascii="Cambria" w:hAnsi="Cambria"/>
          <w:sz w:val="16"/>
          <w:szCs w:val="16"/>
          <w:lang w:val="es-ES"/>
        </w:rPr>
        <w:t>indebida de recursos, la autoridad competente procederá al decomiso de los bienes del patrimonio</w:t>
      </w:r>
      <w:r>
        <w:rPr>
          <w:rFonts w:ascii="Cambria" w:hAnsi="Cambria"/>
          <w:sz w:val="16"/>
          <w:szCs w:val="16"/>
          <w:lang w:val="es-ES"/>
        </w:rPr>
        <w:t xml:space="preserve"> </w:t>
      </w:r>
      <w:r w:rsidRPr="00A01327">
        <w:rPr>
          <w:rFonts w:ascii="Cambria" w:hAnsi="Cambria"/>
          <w:sz w:val="16"/>
          <w:szCs w:val="16"/>
          <w:lang w:val="es-ES"/>
        </w:rPr>
        <w:t>personal del sentenciado.</w:t>
      </w:r>
      <w:r>
        <w:rPr>
          <w:rFonts w:ascii="Cambria" w:hAnsi="Cambria"/>
          <w:sz w:val="16"/>
          <w:szCs w:val="16"/>
          <w:lang w:val="es-ES"/>
        </w:rPr>
        <w:t xml:space="preserve"> </w:t>
      </w:r>
      <w:r w:rsidRPr="00A01327">
        <w:rPr>
          <w:rFonts w:ascii="Cambria" w:hAnsi="Cambria"/>
          <w:sz w:val="16"/>
          <w:szCs w:val="16"/>
          <w:lang w:val="es-ES"/>
        </w:rPr>
        <w:t>7. Coadyuvar a la protección de las personas que denuncien actos de corrupción.</w:t>
      </w:r>
      <w:r>
        <w:rPr>
          <w:rFonts w:ascii="Cambria" w:hAnsi="Cambria"/>
          <w:sz w:val="16"/>
          <w:szCs w:val="16"/>
          <w:lang w:val="es-ES"/>
        </w:rPr>
        <w:t xml:space="preserve"> </w:t>
      </w:r>
      <w:r w:rsidRPr="00A01327">
        <w:rPr>
          <w:rFonts w:ascii="Cambria" w:hAnsi="Cambria"/>
          <w:sz w:val="16"/>
          <w:szCs w:val="16"/>
          <w:lang w:val="es-ES"/>
        </w:rPr>
        <w:t>8. Solicitar a cualquier entidad o funcionario de las instituciones del Estado la información que</w:t>
      </w:r>
      <w:r>
        <w:rPr>
          <w:rFonts w:ascii="Cambria" w:hAnsi="Cambria"/>
          <w:sz w:val="16"/>
          <w:szCs w:val="16"/>
          <w:lang w:val="es-ES"/>
        </w:rPr>
        <w:t xml:space="preserve"> </w:t>
      </w:r>
      <w:r w:rsidRPr="00A01327">
        <w:rPr>
          <w:rFonts w:ascii="Cambria" w:hAnsi="Cambria"/>
          <w:sz w:val="16"/>
          <w:szCs w:val="16"/>
          <w:lang w:val="es-ES"/>
        </w:rPr>
        <w:t>considere necesaria para sus investigaciones o procesos. Las personas e instituciones colaborarán</w:t>
      </w:r>
      <w:r>
        <w:rPr>
          <w:rFonts w:ascii="Cambria" w:hAnsi="Cambria"/>
          <w:sz w:val="16"/>
          <w:szCs w:val="16"/>
          <w:lang w:val="es-ES"/>
        </w:rPr>
        <w:t xml:space="preserve"> </w:t>
      </w:r>
      <w:r w:rsidRPr="00A01327">
        <w:rPr>
          <w:rFonts w:ascii="Cambria" w:hAnsi="Cambria"/>
          <w:sz w:val="16"/>
          <w:szCs w:val="16"/>
          <w:lang w:val="es-ES"/>
        </w:rPr>
        <w:t>con el Consejo y quienes se nieguen a hacerlo serán sancionados de acuerdo con la ley.</w:t>
      </w:r>
      <w:r>
        <w:rPr>
          <w:rFonts w:ascii="Cambria" w:hAnsi="Cambria"/>
          <w:sz w:val="16"/>
          <w:szCs w:val="16"/>
          <w:lang w:val="es-ES"/>
        </w:rPr>
        <w:t xml:space="preserve"> </w:t>
      </w:r>
      <w:r w:rsidRPr="00A01327">
        <w:rPr>
          <w:rFonts w:ascii="Cambria" w:hAnsi="Cambria"/>
          <w:sz w:val="16"/>
          <w:szCs w:val="16"/>
          <w:lang w:val="es-ES"/>
        </w:rPr>
        <w:t>9. Organizar el proceso y vigilar la transparencia en la ejecución de los actos de las comisiones</w:t>
      </w:r>
      <w:r>
        <w:rPr>
          <w:rFonts w:ascii="Cambria" w:hAnsi="Cambria"/>
          <w:sz w:val="16"/>
          <w:szCs w:val="16"/>
          <w:lang w:val="es-ES"/>
        </w:rPr>
        <w:t xml:space="preserve"> </w:t>
      </w:r>
      <w:r w:rsidRPr="00A01327">
        <w:rPr>
          <w:rFonts w:ascii="Cambria" w:hAnsi="Cambria"/>
          <w:sz w:val="16"/>
          <w:szCs w:val="16"/>
          <w:lang w:val="es-ES"/>
        </w:rPr>
        <w:t>ciudadanas de selección de autoridades estatales.</w:t>
      </w:r>
      <w:r>
        <w:rPr>
          <w:rFonts w:ascii="Cambria" w:hAnsi="Cambria"/>
          <w:sz w:val="16"/>
          <w:szCs w:val="16"/>
          <w:lang w:val="es-ES"/>
        </w:rPr>
        <w:t xml:space="preserve"> </w:t>
      </w:r>
      <w:r w:rsidRPr="00A01327">
        <w:rPr>
          <w:rFonts w:ascii="Cambria" w:hAnsi="Cambria"/>
          <w:sz w:val="16"/>
          <w:szCs w:val="16"/>
          <w:lang w:val="es-ES"/>
        </w:rPr>
        <w:t>10. Designar a la primera autoridad de la Procuraduría General del Estado y de las</w:t>
      </w:r>
      <w:r>
        <w:rPr>
          <w:rFonts w:ascii="Cambria" w:hAnsi="Cambria"/>
          <w:sz w:val="16"/>
          <w:szCs w:val="16"/>
          <w:lang w:val="es-ES"/>
        </w:rPr>
        <w:t xml:space="preserve"> </w:t>
      </w:r>
      <w:r w:rsidRPr="00A01327">
        <w:rPr>
          <w:rFonts w:ascii="Cambria" w:hAnsi="Cambria"/>
          <w:sz w:val="16"/>
          <w:szCs w:val="16"/>
          <w:lang w:val="es-ES"/>
        </w:rPr>
        <w:t xml:space="preserve">superintendencias de entre las ternas </w:t>
      </w:r>
      <w:r w:rsidRPr="00412AE6">
        <w:rPr>
          <w:rFonts w:ascii="Cambria" w:hAnsi="Cambria"/>
          <w:sz w:val="16"/>
          <w:szCs w:val="16"/>
          <w:lang w:val="es-ES"/>
        </w:rPr>
        <w:t xml:space="preserve">propuestas por la </w:t>
      </w:r>
      <w:proofErr w:type="gramStart"/>
      <w:r w:rsidRPr="00412AE6">
        <w:rPr>
          <w:rFonts w:ascii="Cambria" w:hAnsi="Cambria"/>
          <w:sz w:val="16"/>
          <w:szCs w:val="16"/>
          <w:lang w:val="es-ES"/>
        </w:rPr>
        <w:t>Presidenta</w:t>
      </w:r>
      <w:proofErr w:type="gramEnd"/>
      <w:r w:rsidRPr="00412AE6">
        <w:rPr>
          <w:rFonts w:ascii="Cambria" w:hAnsi="Cambria"/>
          <w:sz w:val="16"/>
          <w:szCs w:val="16"/>
          <w:lang w:val="es-ES"/>
        </w:rPr>
        <w:t xml:space="preserve"> o Presidente de la República, luego del proceso de impugnación y veeduría ciudadana correspondiente. 11. Designar a la primera autoridad de la Defensoría del Pueblo, Defensoría Pública, </w:t>
      </w:r>
      <w:proofErr w:type="gramStart"/>
      <w:r w:rsidRPr="00412AE6">
        <w:rPr>
          <w:rFonts w:ascii="Cambria" w:hAnsi="Cambria"/>
          <w:sz w:val="16"/>
          <w:szCs w:val="16"/>
          <w:lang w:val="es-ES"/>
        </w:rPr>
        <w:t>Fiscalía General</w:t>
      </w:r>
      <w:proofErr w:type="gramEnd"/>
      <w:r w:rsidRPr="00412AE6">
        <w:rPr>
          <w:rFonts w:ascii="Cambria" w:hAnsi="Cambria"/>
          <w:sz w:val="16"/>
          <w:szCs w:val="16"/>
          <w:lang w:val="es-ES"/>
        </w:rPr>
        <w:t xml:space="preserve"> del Estado y Contraloría General del Estado, luego de agotar el proceso de selección correspondiente. 12. Designar a los miembros del Consejo Nacional Electoral, Tribunal Contencioso Electoral y Consejo de la Judicatura, luego de agotar el proceso de selección correspondiente. </w:t>
      </w:r>
    </w:p>
  </w:footnote>
  <w:footnote w:id="6">
    <w:p w14:paraId="781FC0FD" w14:textId="4324C1AD" w:rsidR="00412AE6" w:rsidRPr="00412AE6" w:rsidRDefault="00412AE6" w:rsidP="00412AE6">
      <w:pPr>
        <w:pStyle w:val="FootnoteText"/>
        <w:ind w:firstLine="720"/>
        <w:jc w:val="both"/>
        <w:rPr>
          <w:rFonts w:ascii="Cambria" w:hAnsi="Cambria"/>
          <w:sz w:val="16"/>
          <w:szCs w:val="16"/>
          <w:lang w:val="es-ES"/>
        </w:rPr>
      </w:pPr>
      <w:r w:rsidRPr="00412AE6">
        <w:rPr>
          <w:rStyle w:val="FootnoteReference"/>
          <w:rFonts w:ascii="Cambria" w:hAnsi="Cambria"/>
          <w:sz w:val="16"/>
          <w:szCs w:val="16"/>
        </w:rPr>
        <w:footnoteRef/>
      </w:r>
      <w:r w:rsidRPr="00412AE6">
        <w:rPr>
          <w:rFonts w:ascii="Cambria" w:hAnsi="Cambria"/>
          <w:sz w:val="16"/>
          <w:szCs w:val="16"/>
          <w:lang w:val="es-ES"/>
        </w:rPr>
        <w:t xml:space="preserve"> </w:t>
      </w:r>
      <w:r>
        <w:rPr>
          <w:rFonts w:ascii="Cambria" w:hAnsi="Cambria"/>
          <w:sz w:val="16"/>
          <w:szCs w:val="16"/>
          <w:lang w:val="es-ES"/>
        </w:rPr>
        <w:t xml:space="preserve">Constitución de la República del Ecuador de 2008. “Art. 208.- </w:t>
      </w:r>
      <w:r w:rsidRPr="00412AE6">
        <w:rPr>
          <w:rFonts w:ascii="Cambria" w:hAnsi="Cambria"/>
          <w:sz w:val="16"/>
          <w:szCs w:val="16"/>
          <w:lang w:val="es-ES"/>
        </w:rPr>
        <w:t>El Consejo se integrará por siete consejeras o consejeros principales y siete suplentes. Los</w:t>
      </w:r>
      <w:r>
        <w:rPr>
          <w:rFonts w:ascii="Cambria" w:hAnsi="Cambria"/>
          <w:sz w:val="16"/>
          <w:szCs w:val="16"/>
          <w:lang w:val="es-ES"/>
        </w:rPr>
        <w:t xml:space="preserve"> </w:t>
      </w:r>
      <w:r w:rsidRPr="00412AE6">
        <w:rPr>
          <w:rFonts w:ascii="Cambria" w:hAnsi="Cambria"/>
          <w:sz w:val="16"/>
          <w:szCs w:val="16"/>
          <w:lang w:val="es-ES"/>
        </w:rPr>
        <w:t xml:space="preserve">miembros principales elegirán de entre ellos a la </w:t>
      </w:r>
      <w:proofErr w:type="gramStart"/>
      <w:r w:rsidRPr="00412AE6">
        <w:rPr>
          <w:rFonts w:ascii="Cambria" w:hAnsi="Cambria"/>
          <w:sz w:val="16"/>
          <w:szCs w:val="16"/>
          <w:lang w:val="es-ES"/>
        </w:rPr>
        <w:t>Presidenta</w:t>
      </w:r>
      <w:proofErr w:type="gramEnd"/>
      <w:r w:rsidRPr="00412AE6">
        <w:rPr>
          <w:rFonts w:ascii="Cambria" w:hAnsi="Cambria"/>
          <w:sz w:val="16"/>
          <w:szCs w:val="16"/>
          <w:lang w:val="es-ES"/>
        </w:rPr>
        <w:t xml:space="preserve"> o Presidente, quien será su</w:t>
      </w:r>
      <w:r>
        <w:rPr>
          <w:rFonts w:ascii="Cambria" w:hAnsi="Cambria"/>
          <w:sz w:val="16"/>
          <w:szCs w:val="16"/>
          <w:lang w:val="es-ES"/>
        </w:rPr>
        <w:t xml:space="preserve"> </w:t>
      </w:r>
      <w:r w:rsidRPr="00412AE6">
        <w:rPr>
          <w:rFonts w:ascii="Cambria" w:hAnsi="Cambria"/>
          <w:sz w:val="16"/>
          <w:szCs w:val="16"/>
          <w:lang w:val="es-ES"/>
        </w:rPr>
        <w:t>representante legal, por un tiempo que se extenderá a la mitad de su período.</w:t>
      </w:r>
    </w:p>
  </w:footnote>
  <w:footnote w:id="7">
    <w:p w14:paraId="24D9A837" w14:textId="3FCBC144" w:rsidR="00412AE6" w:rsidRPr="00A91493" w:rsidRDefault="00412AE6" w:rsidP="00412AE6">
      <w:pPr>
        <w:pStyle w:val="FootnoteText"/>
        <w:ind w:firstLine="720"/>
        <w:jc w:val="both"/>
        <w:rPr>
          <w:rFonts w:ascii="Cambria" w:hAnsi="Cambria"/>
          <w:sz w:val="16"/>
          <w:szCs w:val="16"/>
          <w:lang w:val="es-ES"/>
        </w:rPr>
      </w:pPr>
      <w:r w:rsidRPr="00412AE6">
        <w:rPr>
          <w:rStyle w:val="FootnoteReference"/>
          <w:rFonts w:ascii="Cambria" w:hAnsi="Cambria"/>
          <w:sz w:val="16"/>
          <w:szCs w:val="16"/>
        </w:rPr>
        <w:footnoteRef/>
      </w:r>
      <w:r w:rsidRPr="00412AE6">
        <w:rPr>
          <w:lang w:val="es-ES"/>
        </w:rPr>
        <w:t xml:space="preserve"> </w:t>
      </w:r>
      <w:r w:rsidRPr="00A01327">
        <w:rPr>
          <w:rFonts w:ascii="Cambria" w:hAnsi="Cambria"/>
          <w:sz w:val="16"/>
          <w:szCs w:val="16"/>
          <w:lang w:val="es-ES"/>
        </w:rPr>
        <w:t>Constitución de la República del Ecuador de 2008. “Art.</w:t>
      </w:r>
      <w:r>
        <w:rPr>
          <w:rFonts w:ascii="Cambria" w:hAnsi="Cambria"/>
          <w:sz w:val="16"/>
          <w:szCs w:val="16"/>
          <w:lang w:val="es-ES"/>
        </w:rPr>
        <w:t xml:space="preserve"> 205.- </w:t>
      </w:r>
      <w:r w:rsidRPr="00412AE6">
        <w:rPr>
          <w:rFonts w:ascii="Cambria" w:hAnsi="Cambria"/>
          <w:sz w:val="16"/>
          <w:szCs w:val="16"/>
          <w:lang w:val="es-ES"/>
        </w:rPr>
        <w:t>Los representantes de las entidades que forman parte de la Función de Transparencia y</w:t>
      </w:r>
      <w:r>
        <w:rPr>
          <w:rFonts w:ascii="Cambria" w:hAnsi="Cambria"/>
          <w:sz w:val="16"/>
          <w:szCs w:val="16"/>
          <w:lang w:val="es-ES"/>
        </w:rPr>
        <w:t xml:space="preserve"> </w:t>
      </w:r>
      <w:r w:rsidRPr="00412AE6">
        <w:rPr>
          <w:rFonts w:ascii="Cambria" w:hAnsi="Cambria"/>
          <w:sz w:val="16"/>
          <w:szCs w:val="16"/>
          <w:lang w:val="es-ES"/>
        </w:rPr>
        <w:t>Control Social ejercerán sus funciones durante un período de cinco años, tendrán fuero de Corte</w:t>
      </w:r>
      <w:r>
        <w:rPr>
          <w:rFonts w:ascii="Cambria" w:hAnsi="Cambria"/>
          <w:sz w:val="16"/>
          <w:szCs w:val="16"/>
          <w:lang w:val="es-ES"/>
        </w:rPr>
        <w:t xml:space="preserve"> </w:t>
      </w:r>
      <w:r w:rsidRPr="00412AE6">
        <w:rPr>
          <w:rFonts w:ascii="Cambria" w:hAnsi="Cambria"/>
          <w:sz w:val="16"/>
          <w:szCs w:val="16"/>
          <w:lang w:val="es-ES"/>
        </w:rPr>
        <w:t>Nacional y estarán sujetos al enjuiciamiento político de la Asamblea Nacional. En caso de darse este</w:t>
      </w:r>
      <w:r>
        <w:rPr>
          <w:rFonts w:ascii="Cambria" w:hAnsi="Cambria"/>
          <w:sz w:val="16"/>
          <w:szCs w:val="16"/>
          <w:lang w:val="es-ES"/>
        </w:rPr>
        <w:t xml:space="preserve"> </w:t>
      </w:r>
      <w:r w:rsidRPr="00412AE6">
        <w:rPr>
          <w:rFonts w:ascii="Cambria" w:hAnsi="Cambria"/>
          <w:sz w:val="16"/>
          <w:szCs w:val="16"/>
          <w:lang w:val="es-ES"/>
        </w:rPr>
        <w:t>enjuiciamiento, y de procederse a la destitución, se deberá r</w:t>
      </w:r>
      <w:r w:rsidRPr="00B01B1F">
        <w:rPr>
          <w:rFonts w:ascii="Cambria" w:hAnsi="Cambria"/>
          <w:sz w:val="16"/>
          <w:szCs w:val="16"/>
          <w:lang w:val="es-ES"/>
        </w:rPr>
        <w:t>ealizar un nuevo proceso de designación. En ningún ca</w:t>
      </w:r>
      <w:r w:rsidRPr="00A91493">
        <w:rPr>
          <w:rFonts w:ascii="Cambria" w:hAnsi="Cambria"/>
          <w:sz w:val="16"/>
          <w:szCs w:val="16"/>
          <w:lang w:val="es-ES"/>
        </w:rPr>
        <w:t>so la Función Legislativa podrá designar al reemplazo</w:t>
      </w:r>
      <w:r w:rsidR="00F81D14">
        <w:rPr>
          <w:rFonts w:ascii="Cambria" w:hAnsi="Cambria"/>
          <w:sz w:val="16"/>
          <w:szCs w:val="16"/>
          <w:lang w:val="es-ES"/>
        </w:rPr>
        <w:t>.”</w:t>
      </w:r>
    </w:p>
  </w:footnote>
  <w:footnote w:id="8">
    <w:p w14:paraId="0ECC6F26" w14:textId="76E248DE" w:rsidR="00A91493" w:rsidRPr="00A91493" w:rsidRDefault="00A91493" w:rsidP="00A91493">
      <w:pPr>
        <w:pStyle w:val="FootnoteText"/>
        <w:ind w:firstLine="720"/>
        <w:jc w:val="both"/>
        <w:rPr>
          <w:lang w:val="es-ES"/>
        </w:rPr>
      </w:pPr>
      <w:r w:rsidRPr="00A91493">
        <w:rPr>
          <w:rStyle w:val="FootnoteReference"/>
          <w:rFonts w:ascii="Cambria" w:hAnsi="Cambria"/>
          <w:sz w:val="16"/>
          <w:szCs w:val="16"/>
        </w:rPr>
        <w:footnoteRef/>
      </w:r>
      <w:r w:rsidRPr="00A91493">
        <w:rPr>
          <w:rFonts w:ascii="Cambria" w:hAnsi="Cambria"/>
          <w:sz w:val="16"/>
          <w:szCs w:val="16"/>
          <w:lang w:val="es-ES"/>
        </w:rPr>
        <w:t xml:space="preserve"> En los casos de Edwin Jarrín </w:t>
      </w:r>
      <w:proofErr w:type="spellStart"/>
      <w:r w:rsidRPr="00A91493">
        <w:rPr>
          <w:rFonts w:ascii="Cambria" w:hAnsi="Cambria"/>
          <w:sz w:val="16"/>
          <w:szCs w:val="16"/>
          <w:lang w:val="es-ES"/>
        </w:rPr>
        <w:t>Jarrín</w:t>
      </w:r>
      <w:proofErr w:type="spellEnd"/>
      <w:r w:rsidRPr="00A91493">
        <w:rPr>
          <w:rFonts w:ascii="Cambria" w:hAnsi="Cambria"/>
          <w:sz w:val="16"/>
          <w:szCs w:val="16"/>
          <w:lang w:val="es-ES"/>
        </w:rPr>
        <w:t xml:space="preserve"> y Tania </w:t>
      </w:r>
      <w:proofErr w:type="spellStart"/>
      <w:r w:rsidRPr="00A91493">
        <w:rPr>
          <w:rFonts w:ascii="Cambria" w:hAnsi="Cambria"/>
          <w:sz w:val="16"/>
          <w:szCs w:val="16"/>
          <w:lang w:val="es-ES"/>
        </w:rPr>
        <w:t>Pauker</w:t>
      </w:r>
      <w:proofErr w:type="spellEnd"/>
      <w:r w:rsidRPr="00A91493">
        <w:rPr>
          <w:rFonts w:ascii="Cambria" w:hAnsi="Cambria"/>
          <w:sz w:val="16"/>
          <w:szCs w:val="16"/>
          <w:lang w:val="es-ES"/>
        </w:rPr>
        <w:t xml:space="preserve"> Cueva, como consejeros principales; mientras que Sonia Vera García fue electa como consejera suplente. </w:t>
      </w:r>
    </w:p>
  </w:footnote>
  <w:footnote w:id="9">
    <w:p w14:paraId="6BA9BC8A" w14:textId="5E8872CB" w:rsidR="00B01B1F" w:rsidRPr="00F81D14" w:rsidRDefault="00B01B1F" w:rsidP="00F81D14">
      <w:pPr>
        <w:pStyle w:val="FootnoteText"/>
        <w:ind w:firstLine="720"/>
        <w:jc w:val="both"/>
        <w:rPr>
          <w:rFonts w:ascii="Cambria" w:hAnsi="Cambria"/>
          <w:sz w:val="16"/>
          <w:szCs w:val="16"/>
          <w:lang w:val="es-ES"/>
        </w:rPr>
      </w:pPr>
      <w:r w:rsidRPr="00F81D14">
        <w:rPr>
          <w:rStyle w:val="FootnoteReference"/>
          <w:rFonts w:ascii="Cambria" w:hAnsi="Cambria"/>
          <w:sz w:val="16"/>
          <w:szCs w:val="16"/>
        </w:rPr>
        <w:footnoteRef/>
      </w:r>
      <w:r w:rsidRPr="00F81D14">
        <w:rPr>
          <w:rFonts w:ascii="Cambria" w:hAnsi="Cambria"/>
          <w:sz w:val="16"/>
          <w:szCs w:val="16"/>
          <w:lang w:val="es-ES"/>
        </w:rPr>
        <w:t xml:space="preserve"> </w:t>
      </w:r>
      <w:r w:rsidR="00F81D14">
        <w:rPr>
          <w:rFonts w:ascii="Cambria" w:hAnsi="Cambria"/>
          <w:sz w:val="16"/>
          <w:szCs w:val="16"/>
          <w:lang w:val="es-ES"/>
        </w:rPr>
        <w:t>Constitución de la República del Ecuador de 2008. “</w:t>
      </w:r>
      <w:r w:rsidR="00F81D14" w:rsidRPr="00F81D14">
        <w:rPr>
          <w:rFonts w:ascii="Cambria" w:hAnsi="Cambria"/>
          <w:sz w:val="16"/>
          <w:szCs w:val="16"/>
          <w:lang w:val="es-ES"/>
        </w:rPr>
        <w:t xml:space="preserve">Art. 104.- El organismo electoral correspondiente convocará a consulta popular por disposición de la </w:t>
      </w:r>
      <w:proofErr w:type="gramStart"/>
      <w:r w:rsidR="00F81D14" w:rsidRPr="00F81D14">
        <w:rPr>
          <w:rFonts w:ascii="Cambria" w:hAnsi="Cambria"/>
          <w:sz w:val="16"/>
          <w:szCs w:val="16"/>
          <w:lang w:val="es-ES"/>
        </w:rPr>
        <w:t>Presidenta</w:t>
      </w:r>
      <w:proofErr w:type="gramEnd"/>
      <w:r w:rsidR="00F81D14" w:rsidRPr="00F81D14">
        <w:rPr>
          <w:rFonts w:ascii="Cambria" w:hAnsi="Cambria"/>
          <w:sz w:val="16"/>
          <w:szCs w:val="16"/>
          <w:lang w:val="es-ES"/>
        </w:rPr>
        <w:t xml:space="preserve"> o Presidente de la República, de la máxima autoridad de los gobiernos autónomos descentralizados o de la iniciativa ciudadana. La </w:t>
      </w:r>
      <w:proofErr w:type="gramStart"/>
      <w:r w:rsidR="00F81D14" w:rsidRPr="00F81D14">
        <w:rPr>
          <w:rFonts w:ascii="Cambria" w:hAnsi="Cambria"/>
          <w:sz w:val="16"/>
          <w:szCs w:val="16"/>
          <w:lang w:val="es-ES"/>
        </w:rPr>
        <w:t>Presidenta</w:t>
      </w:r>
      <w:proofErr w:type="gramEnd"/>
      <w:r w:rsidR="00F81D14" w:rsidRPr="00F81D14">
        <w:rPr>
          <w:rFonts w:ascii="Cambria" w:hAnsi="Cambria"/>
          <w:sz w:val="16"/>
          <w:szCs w:val="16"/>
          <w:lang w:val="es-ES"/>
        </w:rPr>
        <w:t xml:space="preserve"> o Presidente de la República dispondrá al Consejo Nacional Electoral que convoque a consulta popular sobre los asuntos que estime convenientes. (…) En todos los casos, se requerirá dictamen previo de la Corte Constitucional sobre la constitucionalidad de las preguntas propuestas</w:t>
      </w:r>
      <w:r w:rsidR="00F81D14">
        <w:rPr>
          <w:rFonts w:ascii="Cambria" w:hAnsi="Cambria"/>
          <w:sz w:val="16"/>
          <w:szCs w:val="16"/>
          <w:lang w:val="es-ES"/>
        </w:rPr>
        <w:t>.”</w:t>
      </w:r>
    </w:p>
  </w:footnote>
  <w:footnote w:id="10">
    <w:p w14:paraId="139096BD" w14:textId="2048274A" w:rsidR="00810CCE" w:rsidRPr="00810CCE" w:rsidRDefault="00810CCE" w:rsidP="00890DB2">
      <w:pPr>
        <w:pStyle w:val="FootnoteText"/>
        <w:ind w:firstLine="720"/>
        <w:jc w:val="both"/>
        <w:rPr>
          <w:rFonts w:ascii="Cambria" w:hAnsi="Cambria"/>
          <w:sz w:val="16"/>
          <w:szCs w:val="16"/>
          <w:lang w:val="es-ES"/>
        </w:rPr>
      </w:pPr>
      <w:r w:rsidRPr="00810CCE">
        <w:rPr>
          <w:rStyle w:val="FootnoteReference"/>
          <w:rFonts w:ascii="Cambria" w:hAnsi="Cambria"/>
          <w:sz w:val="16"/>
          <w:szCs w:val="16"/>
        </w:rPr>
        <w:footnoteRef/>
      </w:r>
      <w:r w:rsidRPr="00810CCE">
        <w:rPr>
          <w:rFonts w:ascii="Cambria" w:hAnsi="Cambria"/>
          <w:sz w:val="16"/>
          <w:szCs w:val="16"/>
          <w:lang w:val="es-ES"/>
        </w:rPr>
        <w:t xml:space="preserve"> </w:t>
      </w:r>
      <w:r>
        <w:rPr>
          <w:rFonts w:ascii="Cambria" w:hAnsi="Cambria"/>
          <w:sz w:val="16"/>
          <w:szCs w:val="16"/>
          <w:lang w:val="es-ES"/>
        </w:rPr>
        <w:t>A modo de ejemplo, los peticionari</w:t>
      </w:r>
      <w:r w:rsidR="00890DB2">
        <w:rPr>
          <w:rFonts w:ascii="Cambria" w:hAnsi="Cambria"/>
          <w:sz w:val="16"/>
          <w:szCs w:val="16"/>
          <w:lang w:val="es-ES"/>
        </w:rPr>
        <w:t>os</w:t>
      </w:r>
      <w:r>
        <w:rPr>
          <w:rFonts w:ascii="Cambria" w:hAnsi="Cambria"/>
          <w:sz w:val="16"/>
          <w:szCs w:val="16"/>
          <w:lang w:val="es-ES"/>
        </w:rPr>
        <w:t xml:space="preserve"> indican el Consejo Transitorio destituyó al Superintendente de Comunicación, al Superintendente de Economía Popular y Solidaria, al Defensor del Pueblo, a los integrantes del Consejo de la Judicatura y a </w:t>
      </w:r>
      <w:r w:rsidR="00B81E6E">
        <w:rPr>
          <w:rFonts w:ascii="Cambria" w:hAnsi="Cambria"/>
          <w:sz w:val="16"/>
          <w:szCs w:val="16"/>
          <w:lang w:val="es-ES"/>
        </w:rPr>
        <w:t>veintitrés</w:t>
      </w:r>
      <w:r>
        <w:rPr>
          <w:rFonts w:ascii="Cambria" w:hAnsi="Cambria"/>
          <w:sz w:val="16"/>
          <w:szCs w:val="16"/>
          <w:lang w:val="es-ES"/>
        </w:rPr>
        <w:t xml:space="preserve"> fiscales provinciales, entre otros funcionarios. </w:t>
      </w:r>
    </w:p>
  </w:footnote>
  <w:footnote w:id="11">
    <w:p w14:paraId="67D4214A" w14:textId="77777777" w:rsidR="00EE0DEF" w:rsidRPr="00EE0DEF" w:rsidRDefault="00EE0DEF" w:rsidP="00EE0DEF">
      <w:pPr>
        <w:pStyle w:val="FootnoteText"/>
        <w:ind w:firstLine="720"/>
        <w:rPr>
          <w:rFonts w:asciiTheme="majorHAnsi" w:hAnsiTheme="majorHAnsi"/>
          <w:sz w:val="16"/>
          <w:szCs w:val="16"/>
          <w:lang w:val="es-ES"/>
        </w:rPr>
      </w:pPr>
      <w:r w:rsidRPr="00EE0DEF">
        <w:rPr>
          <w:rStyle w:val="FootnoteReference"/>
          <w:rFonts w:asciiTheme="majorHAnsi" w:hAnsiTheme="majorHAnsi"/>
          <w:sz w:val="16"/>
          <w:szCs w:val="16"/>
          <w:lang w:val="es-ES"/>
        </w:rPr>
        <w:footnoteRef/>
      </w:r>
      <w:r w:rsidRPr="0033080C">
        <w:rPr>
          <w:rFonts w:asciiTheme="majorHAnsi" w:hAnsiTheme="majorHAnsi"/>
          <w:sz w:val="16"/>
          <w:szCs w:val="16"/>
          <w:lang w:val="pt-BR"/>
        </w:rPr>
        <w:t xml:space="preserve"> Véase a este respecto, CIDH, Informe No. 143/17. Admisibilidad. Pedro Roura Ortega. </w:t>
      </w:r>
      <w:r w:rsidRPr="00EE0DEF">
        <w:rPr>
          <w:rFonts w:asciiTheme="majorHAnsi" w:hAnsiTheme="majorHAnsi"/>
          <w:sz w:val="16"/>
          <w:szCs w:val="16"/>
          <w:lang w:val="es-ES"/>
        </w:rPr>
        <w:t xml:space="preserve">Ecuador. 26 de octubre de 2017, </w:t>
      </w:r>
      <w:proofErr w:type="spellStart"/>
      <w:r w:rsidRPr="00EE0DEF">
        <w:rPr>
          <w:rFonts w:asciiTheme="majorHAnsi" w:hAnsiTheme="majorHAnsi"/>
          <w:sz w:val="16"/>
          <w:szCs w:val="16"/>
          <w:lang w:val="es-ES"/>
        </w:rPr>
        <w:t>párrs</w:t>
      </w:r>
      <w:proofErr w:type="spellEnd"/>
      <w:r w:rsidRPr="00EE0DEF">
        <w:rPr>
          <w:rFonts w:asciiTheme="majorHAnsi" w:hAnsiTheme="majorHAnsi"/>
          <w:sz w:val="16"/>
          <w:szCs w:val="16"/>
          <w:lang w:val="es-ES"/>
        </w:rPr>
        <w:t xml:space="preserve">. 9 al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7B336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52175F" w:rsidP="00A50FCF">
    <w:pPr>
      <w:pStyle w:val="Header"/>
      <w:tabs>
        <w:tab w:val="clear" w:pos="4320"/>
        <w:tab w:val="clear" w:pos="8640"/>
      </w:tabs>
      <w:jc w:val="center"/>
      <w:rPr>
        <w:sz w:val="22"/>
        <w:szCs w:val="22"/>
      </w:rPr>
    </w:pPr>
    <w:r>
      <w:rPr>
        <w:noProof/>
        <w:sz w:val="22"/>
        <w:szCs w:val="22"/>
        <w:bdr w:val="nil"/>
      </w:rPr>
      <w:pict w14:anchorId="60ED917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97"/>
    <w:multiLevelType w:val="hybridMultilevel"/>
    <w:tmpl w:val="33C0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EA0773C"/>
    <w:lvl w:ilvl="0" w:tplc="975ACF90">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64A7AD7"/>
    <w:multiLevelType w:val="hybridMultilevel"/>
    <w:tmpl w:val="30940650"/>
    <w:lvl w:ilvl="0" w:tplc="E0CC7AA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15E30FB"/>
    <w:multiLevelType w:val="hybridMultilevel"/>
    <w:tmpl w:val="711E0164"/>
    <w:lvl w:ilvl="0" w:tplc="57ACB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7"/>
  </w:num>
  <w:num w:numId="4">
    <w:abstractNumId w:val="21"/>
  </w:num>
  <w:num w:numId="5">
    <w:abstractNumId w:val="51"/>
  </w:num>
  <w:num w:numId="6">
    <w:abstractNumId w:val="29"/>
  </w:num>
  <w:num w:numId="7">
    <w:abstractNumId w:val="7"/>
  </w:num>
  <w:num w:numId="8">
    <w:abstractNumId w:val="17"/>
  </w:num>
  <w:num w:numId="9">
    <w:abstractNumId w:val="45"/>
  </w:num>
  <w:num w:numId="10">
    <w:abstractNumId w:val="1"/>
  </w:num>
  <w:num w:numId="11">
    <w:abstractNumId w:val="40"/>
  </w:num>
  <w:num w:numId="12">
    <w:abstractNumId w:val="41"/>
  </w:num>
  <w:num w:numId="13">
    <w:abstractNumId w:val="47"/>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7"/>
  </w:num>
  <w:num w:numId="38">
    <w:abstractNumId w:val="38"/>
  </w:num>
  <w:num w:numId="39">
    <w:abstractNumId w:val="42"/>
  </w:num>
  <w:num w:numId="40">
    <w:abstractNumId w:val="43"/>
  </w:num>
  <w:num w:numId="41">
    <w:abstractNumId w:val="49"/>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0"/>
  </w:num>
  <w:num w:numId="52">
    <w:abstractNumId w:val="44"/>
  </w:num>
  <w:num w:numId="53">
    <w:abstractNumId w:val="54"/>
  </w:num>
  <w:num w:numId="54">
    <w:abstractNumId w:val="48"/>
  </w:num>
  <w:num w:numId="55">
    <w:abstractNumId w:val="46"/>
  </w:num>
  <w:num w:numId="56">
    <w:abstractNumId w:val="28"/>
  </w:num>
  <w:num w:numId="57">
    <w:abstractNumId w:val="26"/>
  </w:num>
  <w:num w:numId="58">
    <w:abstractNumId w:val="39"/>
  </w:num>
  <w:num w:numId="59">
    <w:abstractNumId w:val="36"/>
  </w:num>
  <w:num w:numId="60">
    <w:abstractNumId w:val="36"/>
    <w:lvlOverride w:ilvl="0">
      <w:startOverride w:val="1"/>
    </w:lvlOverride>
  </w:num>
  <w:num w:numId="61">
    <w:abstractNumId w:val="25"/>
  </w:num>
  <w:num w:numId="62">
    <w:abstractNumId w:val="50"/>
  </w:num>
  <w:num w:numId="63">
    <w:abstractNumId w:val="0"/>
  </w:num>
  <w:num w:numId="64">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1E"/>
    <w:rsid w:val="00000CDA"/>
    <w:rsid w:val="00003CD7"/>
    <w:rsid w:val="00006E1F"/>
    <w:rsid w:val="000070D7"/>
    <w:rsid w:val="00012E85"/>
    <w:rsid w:val="000133AB"/>
    <w:rsid w:val="00013457"/>
    <w:rsid w:val="0001788C"/>
    <w:rsid w:val="00023393"/>
    <w:rsid w:val="00027BEC"/>
    <w:rsid w:val="00030CB3"/>
    <w:rsid w:val="0003106A"/>
    <w:rsid w:val="00031476"/>
    <w:rsid w:val="000337EF"/>
    <w:rsid w:val="00036366"/>
    <w:rsid w:val="00040C3A"/>
    <w:rsid w:val="000419AD"/>
    <w:rsid w:val="00042575"/>
    <w:rsid w:val="000433C9"/>
    <w:rsid w:val="000464B5"/>
    <w:rsid w:val="00055BC5"/>
    <w:rsid w:val="000604B1"/>
    <w:rsid w:val="000659DD"/>
    <w:rsid w:val="000659F9"/>
    <w:rsid w:val="00066A25"/>
    <w:rsid w:val="00066CA7"/>
    <w:rsid w:val="00071174"/>
    <w:rsid w:val="000716C5"/>
    <w:rsid w:val="00075E23"/>
    <w:rsid w:val="000768AE"/>
    <w:rsid w:val="0009344A"/>
    <w:rsid w:val="00094B6F"/>
    <w:rsid w:val="00096B8F"/>
    <w:rsid w:val="000A392E"/>
    <w:rsid w:val="000A575F"/>
    <w:rsid w:val="000A64DB"/>
    <w:rsid w:val="000A6822"/>
    <w:rsid w:val="000B400D"/>
    <w:rsid w:val="000B4654"/>
    <w:rsid w:val="000B49A1"/>
    <w:rsid w:val="000B6873"/>
    <w:rsid w:val="000C46F0"/>
    <w:rsid w:val="000C5089"/>
    <w:rsid w:val="000C5A92"/>
    <w:rsid w:val="000D001B"/>
    <w:rsid w:val="000D05CB"/>
    <w:rsid w:val="000D10DB"/>
    <w:rsid w:val="000D38D6"/>
    <w:rsid w:val="000D4D94"/>
    <w:rsid w:val="000D6C3F"/>
    <w:rsid w:val="000D6D0F"/>
    <w:rsid w:val="000E5EB5"/>
    <w:rsid w:val="000F342D"/>
    <w:rsid w:val="000F35ED"/>
    <w:rsid w:val="000F3742"/>
    <w:rsid w:val="00102FCF"/>
    <w:rsid w:val="00106BAF"/>
    <w:rsid w:val="00107131"/>
    <w:rsid w:val="0010736F"/>
    <w:rsid w:val="00107A9E"/>
    <w:rsid w:val="001130A3"/>
    <w:rsid w:val="00113F73"/>
    <w:rsid w:val="00115239"/>
    <w:rsid w:val="00121CC2"/>
    <w:rsid w:val="00124E57"/>
    <w:rsid w:val="00130931"/>
    <w:rsid w:val="00131425"/>
    <w:rsid w:val="00132A1D"/>
    <w:rsid w:val="00133EE5"/>
    <w:rsid w:val="00140AE7"/>
    <w:rsid w:val="001429E7"/>
    <w:rsid w:val="00157558"/>
    <w:rsid w:val="001660FF"/>
    <w:rsid w:val="00167A34"/>
    <w:rsid w:val="00175FEC"/>
    <w:rsid w:val="00180813"/>
    <w:rsid w:val="001834AB"/>
    <w:rsid w:val="00184FBB"/>
    <w:rsid w:val="00187C05"/>
    <w:rsid w:val="00191E85"/>
    <w:rsid w:val="00192A0B"/>
    <w:rsid w:val="001A3B47"/>
    <w:rsid w:val="001A520D"/>
    <w:rsid w:val="001A5CA1"/>
    <w:rsid w:val="001A7870"/>
    <w:rsid w:val="001B209C"/>
    <w:rsid w:val="001B3A00"/>
    <w:rsid w:val="001B4CB6"/>
    <w:rsid w:val="001B4EC9"/>
    <w:rsid w:val="001B5D80"/>
    <w:rsid w:val="001B7810"/>
    <w:rsid w:val="001C1B41"/>
    <w:rsid w:val="001C2B4F"/>
    <w:rsid w:val="001C3A0B"/>
    <w:rsid w:val="001D1467"/>
    <w:rsid w:val="001D3584"/>
    <w:rsid w:val="001D4C76"/>
    <w:rsid w:val="001D65EF"/>
    <w:rsid w:val="001E44CB"/>
    <w:rsid w:val="001E49CD"/>
    <w:rsid w:val="001E49E7"/>
    <w:rsid w:val="001E600E"/>
    <w:rsid w:val="001F3D2D"/>
    <w:rsid w:val="001F3F4E"/>
    <w:rsid w:val="001F7201"/>
    <w:rsid w:val="00203CDE"/>
    <w:rsid w:val="00204B3D"/>
    <w:rsid w:val="0022013A"/>
    <w:rsid w:val="00223A29"/>
    <w:rsid w:val="002244D3"/>
    <w:rsid w:val="002250A3"/>
    <w:rsid w:val="00226F10"/>
    <w:rsid w:val="00227FEC"/>
    <w:rsid w:val="00234BBE"/>
    <w:rsid w:val="00235217"/>
    <w:rsid w:val="0023685B"/>
    <w:rsid w:val="00237C61"/>
    <w:rsid w:val="002436E1"/>
    <w:rsid w:val="00246D1F"/>
    <w:rsid w:val="00247403"/>
    <w:rsid w:val="00247542"/>
    <w:rsid w:val="002511BD"/>
    <w:rsid w:val="00252C6D"/>
    <w:rsid w:val="00256424"/>
    <w:rsid w:val="00263DE7"/>
    <w:rsid w:val="002661CC"/>
    <w:rsid w:val="00266B61"/>
    <w:rsid w:val="0026712A"/>
    <w:rsid w:val="0027024C"/>
    <w:rsid w:val="002704DB"/>
    <w:rsid w:val="00270ACF"/>
    <w:rsid w:val="002714B3"/>
    <w:rsid w:val="00271888"/>
    <w:rsid w:val="00272E1F"/>
    <w:rsid w:val="00276FEE"/>
    <w:rsid w:val="002770CD"/>
    <w:rsid w:val="00277D1E"/>
    <w:rsid w:val="002827F3"/>
    <w:rsid w:val="0028583B"/>
    <w:rsid w:val="002929F7"/>
    <w:rsid w:val="00297B06"/>
    <w:rsid w:val="002A0AAE"/>
    <w:rsid w:val="002A5820"/>
    <w:rsid w:val="002B3EBA"/>
    <w:rsid w:val="002B58A8"/>
    <w:rsid w:val="002C272A"/>
    <w:rsid w:val="002C416B"/>
    <w:rsid w:val="002C585D"/>
    <w:rsid w:val="002D155D"/>
    <w:rsid w:val="002D2B26"/>
    <w:rsid w:val="002D2DE5"/>
    <w:rsid w:val="002D7EA2"/>
    <w:rsid w:val="002E187C"/>
    <w:rsid w:val="002E1A38"/>
    <w:rsid w:val="002E2F08"/>
    <w:rsid w:val="002F068F"/>
    <w:rsid w:val="002F3277"/>
    <w:rsid w:val="002F5EB4"/>
    <w:rsid w:val="002F6C22"/>
    <w:rsid w:val="002F7014"/>
    <w:rsid w:val="00302733"/>
    <w:rsid w:val="00305835"/>
    <w:rsid w:val="00306F33"/>
    <w:rsid w:val="00314078"/>
    <w:rsid w:val="0031535D"/>
    <w:rsid w:val="003239B8"/>
    <w:rsid w:val="00327083"/>
    <w:rsid w:val="0033080C"/>
    <w:rsid w:val="0033169F"/>
    <w:rsid w:val="00342BE5"/>
    <w:rsid w:val="00344977"/>
    <w:rsid w:val="00346C95"/>
    <w:rsid w:val="00347AFF"/>
    <w:rsid w:val="00351213"/>
    <w:rsid w:val="0035442B"/>
    <w:rsid w:val="00355E9E"/>
    <w:rsid w:val="00356185"/>
    <w:rsid w:val="00356572"/>
    <w:rsid w:val="00360380"/>
    <w:rsid w:val="003612A4"/>
    <w:rsid w:val="00362F7D"/>
    <w:rsid w:val="003673C9"/>
    <w:rsid w:val="0037519E"/>
    <w:rsid w:val="00381FD8"/>
    <w:rsid w:val="00384039"/>
    <w:rsid w:val="00386CF0"/>
    <w:rsid w:val="00397AAC"/>
    <w:rsid w:val="003B320E"/>
    <w:rsid w:val="003B341B"/>
    <w:rsid w:val="003B70FB"/>
    <w:rsid w:val="003C3C3A"/>
    <w:rsid w:val="003C676B"/>
    <w:rsid w:val="003C7FC1"/>
    <w:rsid w:val="003D070B"/>
    <w:rsid w:val="003D3BC2"/>
    <w:rsid w:val="003D4677"/>
    <w:rsid w:val="003D5931"/>
    <w:rsid w:val="003E0193"/>
    <w:rsid w:val="003E6CA1"/>
    <w:rsid w:val="003F0BD8"/>
    <w:rsid w:val="003F4675"/>
    <w:rsid w:val="003F50BD"/>
    <w:rsid w:val="003F5154"/>
    <w:rsid w:val="003F5500"/>
    <w:rsid w:val="00400EC4"/>
    <w:rsid w:val="00403CDA"/>
    <w:rsid w:val="00405BB5"/>
    <w:rsid w:val="00405F9C"/>
    <w:rsid w:val="004065A8"/>
    <w:rsid w:val="00412AE6"/>
    <w:rsid w:val="004165C2"/>
    <w:rsid w:val="004176A0"/>
    <w:rsid w:val="0042010D"/>
    <w:rsid w:val="004201BD"/>
    <w:rsid w:val="004225DE"/>
    <w:rsid w:val="00423201"/>
    <w:rsid w:val="00424650"/>
    <w:rsid w:val="00426A09"/>
    <w:rsid w:val="00441ECB"/>
    <w:rsid w:val="00445193"/>
    <w:rsid w:val="00462C1B"/>
    <w:rsid w:val="00463049"/>
    <w:rsid w:val="00466E97"/>
    <w:rsid w:val="00467B7E"/>
    <w:rsid w:val="00467CE2"/>
    <w:rsid w:val="0047042A"/>
    <w:rsid w:val="00471058"/>
    <w:rsid w:val="004718FA"/>
    <w:rsid w:val="00473BB4"/>
    <w:rsid w:val="00473F8D"/>
    <w:rsid w:val="00477592"/>
    <w:rsid w:val="00484670"/>
    <w:rsid w:val="00486F1C"/>
    <w:rsid w:val="0049419D"/>
    <w:rsid w:val="004A16CD"/>
    <w:rsid w:val="004A5709"/>
    <w:rsid w:val="004A6A54"/>
    <w:rsid w:val="004A7B81"/>
    <w:rsid w:val="004B421C"/>
    <w:rsid w:val="004C18A6"/>
    <w:rsid w:val="004C20D2"/>
    <w:rsid w:val="004C21E4"/>
    <w:rsid w:val="004C2312"/>
    <w:rsid w:val="004C2C67"/>
    <w:rsid w:val="004C39A1"/>
    <w:rsid w:val="004C4B62"/>
    <w:rsid w:val="004C54C9"/>
    <w:rsid w:val="004D0807"/>
    <w:rsid w:val="004D4ABA"/>
    <w:rsid w:val="004D4D72"/>
    <w:rsid w:val="004D6025"/>
    <w:rsid w:val="004D69B5"/>
    <w:rsid w:val="004D6C10"/>
    <w:rsid w:val="004E2649"/>
    <w:rsid w:val="004E49D8"/>
    <w:rsid w:val="004E7E7F"/>
    <w:rsid w:val="004F4002"/>
    <w:rsid w:val="004F626F"/>
    <w:rsid w:val="00501399"/>
    <w:rsid w:val="005047ED"/>
    <w:rsid w:val="0050633D"/>
    <w:rsid w:val="005072E1"/>
    <w:rsid w:val="00507BC4"/>
    <w:rsid w:val="005128E4"/>
    <w:rsid w:val="005133DB"/>
    <w:rsid w:val="00514504"/>
    <w:rsid w:val="00516787"/>
    <w:rsid w:val="0052175F"/>
    <w:rsid w:val="00521E1F"/>
    <w:rsid w:val="0052298A"/>
    <w:rsid w:val="00524111"/>
    <w:rsid w:val="00525560"/>
    <w:rsid w:val="00544C49"/>
    <w:rsid w:val="00550387"/>
    <w:rsid w:val="005516A1"/>
    <w:rsid w:val="005540FD"/>
    <w:rsid w:val="005559EF"/>
    <w:rsid w:val="00555F15"/>
    <w:rsid w:val="00563557"/>
    <w:rsid w:val="0056593F"/>
    <w:rsid w:val="00566C3D"/>
    <w:rsid w:val="0057402A"/>
    <w:rsid w:val="005771D0"/>
    <w:rsid w:val="005827B8"/>
    <w:rsid w:val="005915E5"/>
    <w:rsid w:val="0059191A"/>
    <w:rsid w:val="005921FF"/>
    <w:rsid w:val="00592397"/>
    <w:rsid w:val="00593DCA"/>
    <w:rsid w:val="005945D6"/>
    <w:rsid w:val="00596DC5"/>
    <w:rsid w:val="00597326"/>
    <w:rsid w:val="005A24ED"/>
    <w:rsid w:val="005A6D0E"/>
    <w:rsid w:val="005B0F1B"/>
    <w:rsid w:val="005B2994"/>
    <w:rsid w:val="005B3764"/>
    <w:rsid w:val="005B376D"/>
    <w:rsid w:val="005B52B0"/>
    <w:rsid w:val="005B56F1"/>
    <w:rsid w:val="005B6806"/>
    <w:rsid w:val="005C4225"/>
    <w:rsid w:val="005C61D5"/>
    <w:rsid w:val="005F0DAD"/>
    <w:rsid w:val="005F0F33"/>
    <w:rsid w:val="005F3A91"/>
    <w:rsid w:val="005F47A4"/>
    <w:rsid w:val="00600DEB"/>
    <w:rsid w:val="00605349"/>
    <w:rsid w:val="00613324"/>
    <w:rsid w:val="00616E53"/>
    <w:rsid w:val="0061781D"/>
    <w:rsid w:val="006203C6"/>
    <w:rsid w:val="00622C18"/>
    <w:rsid w:val="006247AB"/>
    <w:rsid w:val="00624932"/>
    <w:rsid w:val="00626AB6"/>
    <w:rsid w:val="00627C9F"/>
    <w:rsid w:val="00630AE3"/>
    <w:rsid w:val="006311E9"/>
    <w:rsid w:val="00632354"/>
    <w:rsid w:val="00635421"/>
    <w:rsid w:val="00642810"/>
    <w:rsid w:val="00643A8D"/>
    <w:rsid w:val="00643B5B"/>
    <w:rsid w:val="006521CF"/>
    <w:rsid w:val="00652333"/>
    <w:rsid w:val="00660E2E"/>
    <w:rsid w:val="00666170"/>
    <w:rsid w:val="0068009E"/>
    <w:rsid w:val="006848FD"/>
    <w:rsid w:val="00684CF8"/>
    <w:rsid w:val="006850CF"/>
    <w:rsid w:val="00685FD9"/>
    <w:rsid w:val="006904F3"/>
    <w:rsid w:val="00692219"/>
    <w:rsid w:val="006939EC"/>
    <w:rsid w:val="00694AE3"/>
    <w:rsid w:val="00695890"/>
    <w:rsid w:val="006A10B8"/>
    <w:rsid w:val="006A17D2"/>
    <w:rsid w:val="006A73E6"/>
    <w:rsid w:val="006B2D5C"/>
    <w:rsid w:val="006B3423"/>
    <w:rsid w:val="006B3447"/>
    <w:rsid w:val="006B423F"/>
    <w:rsid w:val="006B43E0"/>
    <w:rsid w:val="006C0ECF"/>
    <w:rsid w:val="006C4EB1"/>
    <w:rsid w:val="006D11C0"/>
    <w:rsid w:val="006E0166"/>
    <w:rsid w:val="006E2FFB"/>
    <w:rsid w:val="006E6753"/>
    <w:rsid w:val="006E7B34"/>
    <w:rsid w:val="006F3771"/>
    <w:rsid w:val="006F48FF"/>
    <w:rsid w:val="00700C37"/>
    <w:rsid w:val="0070326C"/>
    <w:rsid w:val="0070525D"/>
    <w:rsid w:val="0070697F"/>
    <w:rsid w:val="00710006"/>
    <w:rsid w:val="007103C4"/>
    <w:rsid w:val="00710878"/>
    <w:rsid w:val="00715C1C"/>
    <w:rsid w:val="0072199C"/>
    <w:rsid w:val="00721E90"/>
    <w:rsid w:val="00722C9F"/>
    <w:rsid w:val="007242E8"/>
    <w:rsid w:val="00724466"/>
    <w:rsid w:val="007253B8"/>
    <w:rsid w:val="007276D4"/>
    <w:rsid w:val="00731897"/>
    <w:rsid w:val="00732CDC"/>
    <w:rsid w:val="00734DE5"/>
    <w:rsid w:val="0073741F"/>
    <w:rsid w:val="00737627"/>
    <w:rsid w:val="00744BCD"/>
    <w:rsid w:val="0074744B"/>
    <w:rsid w:val="007514D9"/>
    <w:rsid w:val="00753182"/>
    <w:rsid w:val="007552F3"/>
    <w:rsid w:val="00755A60"/>
    <w:rsid w:val="007568CE"/>
    <w:rsid w:val="0076051F"/>
    <w:rsid w:val="007621BC"/>
    <w:rsid w:val="0076643F"/>
    <w:rsid w:val="007703A7"/>
    <w:rsid w:val="007709C1"/>
    <w:rsid w:val="00770C58"/>
    <w:rsid w:val="00777F63"/>
    <w:rsid w:val="007868D7"/>
    <w:rsid w:val="00791CB0"/>
    <w:rsid w:val="00794BCC"/>
    <w:rsid w:val="00794CE5"/>
    <w:rsid w:val="007A5817"/>
    <w:rsid w:val="007A62DE"/>
    <w:rsid w:val="007A6824"/>
    <w:rsid w:val="007B05C4"/>
    <w:rsid w:val="007B09E5"/>
    <w:rsid w:val="007B1556"/>
    <w:rsid w:val="007B3367"/>
    <w:rsid w:val="007B60E9"/>
    <w:rsid w:val="007B6BFB"/>
    <w:rsid w:val="007B6CC3"/>
    <w:rsid w:val="007B76D3"/>
    <w:rsid w:val="007B7EF1"/>
    <w:rsid w:val="007C25A9"/>
    <w:rsid w:val="007C3334"/>
    <w:rsid w:val="007D2468"/>
    <w:rsid w:val="007D24C9"/>
    <w:rsid w:val="007D2B98"/>
    <w:rsid w:val="007E1BF6"/>
    <w:rsid w:val="007E21BC"/>
    <w:rsid w:val="007E3042"/>
    <w:rsid w:val="007E7C82"/>
    <w:rsid w:val="007F12E1"/>
    <w:rsid w:val="007F2AA1"/>
    <w:rsid w:val="007F588D"/>
    <w:rsid w:val="00803F1C"/>
    <w:rsid w:val="00804A4E"/>
    <w:rsid w:val="0080600E"/>
    <w:rsid w:val="00810CCE"/>
    <w:rsid w:val="00814688"/>
    <w:rsid w:val="00816079"/>
    <w:rsid w:val="00816304"/>
    <w:rsid w:val="00816EBD"/>
    <w:rsid w:val="00817612"/>
    <w:rsid w:val="00831BBE"/>
    <w:rsid w:val="008338A4"/>
    <w:rsid w:val="00834A2C"/>
    <w:rsid w:val="00834D49"/>
    <w:rsid w:val="00837C45"/>
    <w:rsid w:val="00841114"/>
    <w:rsid w:val="00844730"/>
    <w:rsid w:val="008457C2"/>
    <w:rsid w:val="00857A82"/>
    <w:rsid w:val="00860FB8"/>
    <w:rsid w:val="008616F8"/>
    <w:rsid w:val="00870465"/>
    <w:rsid w:val="008722DA"/>
    <w:rsid w:val="0087306F"/>
    <w:rsid w:val="00873836"/>
    <w:rsid w:val="00874B5B"/>
    <w:rsid w:val="008813DD"/>
    <w:rsid w:val="00881B72"/>
    <w:rsid w:val="00885737"/>
    <w:rsid w:val="00890650"/>
    <w:rsid w:val="00890DB2"/>
    <w:rsid w:val="008944DC"/>
    <w:rsid w:val="00895C43"/>
    <w:rsid w:val="00897E12"/>
    <w:rsid w:val="008A2820"/>
    <w:rsid w:val="008A6837"/>
    <w:rsid w:val="008A7E0F"/>
    <w:rsid w:val="008B12F5"/>
    <w:rsid w:val="008B2873"/>
    <w:rsid w:val="008B3D7B"/>
    <w:rsid w:val="008B5357"/>
    <w:rsid w:val="008C1CB4"/>
    <w:rsid w:val="008C4859"/>
    <w:rsid w:val="008C526B"/>
    <w:rsid w:val="008C5E2D"/>
    <w:rsid w:val="008D5372"/>
    <w:rsid w:val="008D768D"/>
    <w:rsid w:val="008E3759"/>
    <w:rsid w:val="008E3BFE"/>
    <w:rsid w:val="008E4102"/>
    <w:rsid w:val="008F1912"/>
    <w:rsid w:val="0090270B"/>
    <w:rsid w:val="009041DC"/>
    <w:rsid w:val="00911F76"/>
    <w:rsid w:val="00916DB3"/>
    <w:rsid w:val="00917B5A"/>
    <w:rsid w:val="0092045A"/>
    <w:rsid w:val="00920A58"/>
    <w:rsid w:val="00920A8C"/>
    <w:rsid w:val="00933BFA"/>
    <w:rsid w:val="00934A2C"/>
    <w:rsid w:val="00944D5E"/>
    <w:rsid w:val="00946BEC"/>
    <w:rsid w:val="009568F7"/>
    <w:rsid w:val="00966354"/>
    <w:rsid w:val="0096706E"/>
    <w:rsid w:val="009716AC"/>
    <w:rsid w:val="00971E90"/>
    <w:rsid w:val="00971ED7"/>
    <w:rsid w:val="00974491"/>
    <w:rsid w:val="00975C4E"/>
    <w:rsid w:val="00975DAD"/>
    <w:rsid w:val="00975E2C"/>
    <w:rsid w:val="009760EA"/>
    <w:rsid w:val="009806EA"/>
    <w:rsid w:val="00981FBA"/>
    <w:rsid w:val="009825D3"/>
    <w:rsid w:val="00997BC5"/>
    <w:rsid w:val="009A0394"/>
    <w:rsid w:val="009A4F41"/>
    <w:rsid w:val="009B1F18"/>
    <w:rsid w:val="009B222E"/>
    <w:rsid w:val="009B381B"/>
    <w:rsid w:val="009B4B7B"/>
    <w:rsid w:val="009C00D2"/>
    <w:rsid w:val="009C5E72"/>
    <w:rsid w:val="009D1753"/>
    <w:rsid w:val="009D3DB6"/>
    <w:rsid w:val="009D4015"/>
    <w:rsid w:val="009D4A2F"/>
    <w:rsid w:val="009D7611"/>
    <w:rsid w:val="009E0B61"/>
    <w:rsid w:val="009E1D81"/>
    <w:rsid w:val="009E53DE"/>
    <w:rsid w:val="009E76B2"/>
    <w:rsid w:val="009E7792"/>
    <w:rsid w:val="009F6BE1"/>
    <w:rsid w:val="00A012D2"/>
    <w:rsid w:val="00A01327"/>
    <w:rsid w:val="00A03516"/>
    <w:rsid w:val="00A0530A"/>
    <w:rsid w:val="00A06319"/>
    <w:rsid w:val="00A11212"/>
    <w:rsid w:val="00A11689"/>
    <w:rsid w:val="00A11E44"/>
    <w:rsid w:val="00A14F3C"/>
    <w:rsid w:val="00A161B1"/>
    <w:rsid w:val="00A30100"/>
    <w:rsid w:val="00A328B3"/>
    <w:rsid w:val="00A33D9E"/>
    <w:rsid w:val="00A374AA"/>
    <w:rsid w:val="00A50FCF"/>
    <w:rsid w:val="00A528D1"/>
    <w:rsid w:val="00A52FE8"/>
    <w:rsid w:val="00A610CD"/>
    <w:rsid w:val="00A612CC"/>
    <w:rsid w:val="00A635AF"/>
    <w:rsid w:val="00A64CFF"/>
    <w:rsid w:val="00A65C47"/>
    <w:rsid w:val="00A66188"/>
    <w:rsid w:val="00A7310A"/>
    <w:rsid w:val="00A758AA"/>
    <w:rsid w:val="00A76237"/>
    <w:rsid w:val="00A829B5"/>
    <w:rsid w:val="00A8704D"/>
    <w:rsid w:val="00A9145F"/>
    <w:rsid w:val="00A91493"/>
    <w:rsid w:val="00A92C50"/>
    <w:rsid w:val="00A93BF7"/>
    <w:rsid w:val="00AA09A2"/>
    <w:rsid w:val="00AA122C"/>
    <w:rsid w:val="00AA7996"/>
    <w:rsid w:val="00AB487C"/>
    <w:rsid w:val="00AC16D5"/>
    <w:rsid w:val="00AC19CB"/>
    <w:rsid w:val="00AC299F"/>
    <w:rsid w:val="00AC3B04"/>
    <w:rsid w:val="00AC43FB"/>
    <w:rsid w:val="00AE5488"/>
    <w:rsid w:val="00AE6F91"/>
    <w:rsid w:val="00AF4EA2"/>
    <w:rsid w:val="00AF5571"/>
    <w:rsid w:val="00AF58A8"/>
    <w:rsid w:val="00AF6A96"/>
    <w:rsid w:val="00B01B1F"/>
    <w:rsid w:val="00B07341"/>
    <w:rsid w:val="00B17E89"/>
    <w:rsid w:val="00B20ADA"/>
    <w:rsid w:val="00B26173"/>
    <w:rsid w:val="00B30539"/>
    <w:rsid w:val="00B309C0"/>
    <w:rsid w:val="00B314DB"/>
    <w:rsid w:val="00B321E1"/>
    <w:rsid w:val="00B361F2"/>
    <w:rsid w:val="00B3718B"/>
    <w:rsid w:val="00B3745F"/>
    <w:rsid w:val="00B411EC"/>
    <w:rsid w:val="00B4632A"/>
    <w:rsid w:val="00B530F1"/>
    <w:rsid w:val="00B5461D"/>
    <w:rsid w:val="00B548FD"/>
    <w:rsid w:val="00B571F3"/>
    <w:rsid w:val="00B6461A"/>
    <w:rsid w:val="00B65C93"/>
    <w:rsid w:val="00B7058F"/>
    <w:rsid w:val="00B74B2E"/>
    <w:rsid w:val="00B76C21"/>
    <w:rsid w:val="00B77B84"/>
    <w:rsid w:val="00B81E6E"/>
    <w:rsid w:val="00B84E3E"/>
    <w:rsid w:val="00B91B18"/>
    <w:rsid w:val="00B93D7F"/>
    <w:rsid w:val="00B94804"/>
    <w:rsid w:val="00B94B9C"/>
    <w:rsid w:val="00B94E03"/>
    <w:rsid w:val="00B97498"/>
    <w:rsid w:val="00BA2425"/>
    <w:rsid w:val="00BA276C"/>
    <w:rsid w:val="00BA7370"/>
    <w:rsid w:val="00BB019D"/>
    <w:rsid w:val="00BB306F"/>
    <w:rsid w:val="00BB4136"/>
    <w:rsid w:val="00BD0FF5"/>
    <w:rsid w:val="00BD4B89"/>
    <w:rsid w:val="00BD51AD"/>
    <w:rsid w:val="00BD5922"/>
    <w:rsid w:val="00BE41EF"/>
    <w:rsid w:val="00BE7328"/>
    <w:rsid w:val="00BF02CB"/>
    <w:rsid w:val="00BF28D6"/>
    <w:rsid w:val="00BF6FD8"/>
    <w:rsid w:val="00BF7000"/>
    <w:rsid w:val="00C03680"/>
    <w:rsid w:val="00C0397F"/>
    <w:rsid w:val="00C054DF"/>
    <w:rsid w:val="00C11723"/>
    <w:rsid w:val="00C21762"/>
    <w:rsid w:val="00C21B39"/>
    <w:rsid w:val="00C21FEF"/>
    <w:rsid w:val="00C23BA4"/>
    <w:rsid w:val="00C24543"/>
    <w:rsid w:val="00C256A2"/>
    <w:rsid w:val="00C25ADB"/>
    <w:rsid w:val="00C300DC"/>
    <w:rsid w:val="00C33D21"/>
    <w:rsid w:val="00C40658"/>
    <w:rsid w:val="00C4082D"/>
    <w:rsid w:val="00C416F0"/>
    <w:rsid w:val="00C4246B"/>
    <w:rsid w:val="00C47E04"/>
    <w:rsid w:val="00C51515"/>
    <w:rsid w:val="00C51BE6"/>
    <w:rsid w:val="00C5660B"/>
    <w:rsid w:val="00C6248A"/>
    <w:rsid w:val="00C66B72"/>
    <w:rsid w:val="00C66BCC"/>
    <w:rsid w:val="00C67AC7"/>
    <w:rsid w:val="00C7292C"/>
    <w:rsid w:val="00C747C2"/>
    <w:rsid w:val="00C757C5"/>
    <w:rsid w:val="00C773AB"/>
    <w:rsid w:val="00C858C5"/>
    <w:rsid w:val="00C87AC4"/>
    <w:rsid w:val="00C91432"/>
    <w:rsid w:val="00C9567A"/>
    <w:rsid w:val="00CA07B9"/>
    <w:rsid w:val="00CA1A93"/>
    <w:rsid w:val="00CA3D40"/>
    <w:rsid w:val="00CA4161"/>
    <w:rsid w:val="00CA67B4"/>
    <w:rsid w:val="00CB212D"/>
    <w:rsid w:val="00CB2660"/>
    <w:rsid w:val="00CC5E90"/>
    <w:rsid w:val="00CC7A93"/>
    <w:rsid w:val="00CD046C"/>
    <w:rsid w:val="00CE076C"/>
    <w:rsid w:val="00CE24A0"/>
    <w:rsid w:val="00CE5199"/>
    <w:rsid w:val="00CE54E9"/>
    <w:rsid w:val="00CE66D5"/>
    <w:rsid w:val="00CE69DC"/>
    <w:rsid w:val="00CE746D"/>
    <w:rsid w:val="00CF1714"/>
    <w:rsid w:val="00CF637A"/>
    <w:rsid w:val="00D059DE"/>
    <w:rsid w:val="00D05ABD"/>
    <w:rsid w:val="00D072C4"/>
    <w:rsid w:val="00D13FCE"/>
    <w:rsid w:val="00D15EED"/>
    <w:rsid w:val="00D21915"/>
    <w:rsid w:val="00D306D1"/>
    <w:rsid w:val="00D30800"/>
    <w:rsid w:val="00D32673"/>
    <w:rsid w:val="00D34786"/>
    <w:rsid w:val="00D34907"/>
    <w:rsid w:val="00D35139"/>
    <w:rsid w:val="00D35863"/>
    <w:rsid w:val="00D37BFC"/>
    <w:rsid w:val="00D4293E"/>
    <w:rsid w:val="00D449D9"/>
    <w:rsid w:val="00D44D04"/>
    <w:rsid w:val="00D44ED8"/>
    <w:rsid w:val="00D47A8E"/>
    <w:rsid w:val="00D50962"/>
    <w:rsid w:val="00D52D14"/>
    <w:rsid w:val="00D6138F"/>
    <w:rsid w:val="00D62F0E"/>
    <w:rsid w:val="00D666D0"/>
    <w:rsid w:val="00D67553"/>
    <w:rsid w:val="00D67A0D"/>
    <w:rsid w:val="00D712D3"/>
    <w:rsid w:val="00D71422"/>
    <w:rsid w:val="00D72DC6"/>
    <w:rsid w:val="00D7558D"/>
    <w:rsid w:val="00D766CA"/>
    <w:rsid w:val="00D8094D"/>
    <w:rsid w:val="00D81D92"/>
    <w:rsid w:val="00D876F9"/>
    <w:rsid w:val="00DA793B"/>
    <w:rsid w:val="00DA7B5F"/>
    <w:rsid w:val="00DA7D05"/>
    <w:rsid w:val="00DC11E7"/>
    <w:rsid w:val="00DC24E3"/>
    <w:rsid w:val="00DC3F77"/>
    <w:rsid w:val="00DC4489"/>
    <w:rsid w:val="00DC4F5C"/>
    <w:rsid w:val="00DC7023"/>
    <w:rsid w:val="00DC769A"/>
    <w:rsid w:val="00DC7BF9"/>
    <w:rsid w:val="00DD3A9B"/>
    <w:rsid w:val="00DD3D86"/>
    <w:rsid w:val="00DD4AD2"/>
    <w:rsid w:val="00DD5EDC"/>
    <w:rsid w:val="00DD5FA2"/>
    <w:rsid w:val="00DE10BF"/>
    <w:rsid w:val="00DE2862"/>
    <w:rsid w:val="00DE427E"/>
    <w:rsid w:val="00DE57BE"/>
    <w:rsid w:val="00DE6417"/>
    <w:rsid w:val="00DF1EC4"/>
    <w:rsid w:val="00DF4082"/>
    <w:rsid w:val="00DF42E6"/>
    <w:rsid w:val="00DF6E15"/>
    <w:rsid w:val="00E02642"/>
    <w:rsid w:val="00E0340B"/>
    <w:rsid w:val="00E034A9"/>
    <w:rsid w:val="00E04A90"/>
    <w:rsid w:val="00E0551F"/>
    <w:rsid w:val="00E05615"/>
    <w:rsid w:val="00E078C1"/>
    <w:rsid w:val="00E12D23"/>
    <w:rsid w:val="00E137F1"/>
    <w:rsid w:val="00E219C7"/>
    <w:rsid w:val="00E227AC"/>
    <w:rsid w:val="00E27D99"/>
    <w:rsid w:val="00E4118C"/>
    <w:rsid w:val="00E43157"/>
    <w:rsid w:val="00E461CE"/>
    <w:rsid w:val="00E4689A"/>
    <w:rsid w:val="00E471E7"/>
    <w:rsid w:val="00E52111"/>
    <w:rsid w:val="00E573E4"/>
    <w:rsid w:val="00E61859"/>
    <w:rsid w:val="00E6191B"/>
    <w:rsid w:val="00E64C3D"/>
    <w:rsid w:val="00E652AF"/>
    <w:rsid w:val="00E720CA"/>
    <w:rsid w:val="00E7682B"/>
    <w:rsid w:val="00E774F8"/>
    <w:rsid w:val="00E849F3"/>
    <w:rsid w:val="00E84EB5"/>
    <w:rsid w:val="00E85662"/>
    <w:rsid w:val="00E8789F"/>
    <w:rsid w:val="00E97B71"/>
    <w:rsid w:val="00EA3D34"/>
    <w:rsid w:val="00EA40F3"/>
    <w:rsid w:val="00EA4810"/>
    <w:rsid w:val="00EB2D6B"/>
    <w:rsid w:val="00EB2F70"/>
    <w:rsid w:val="00EB454D"/>
    <w:rsid w:val="00EB4DA3"/>
    <w:rsid w:val="00EC0D4A"/>
    <w:rsid w:val="00EC0FDA"/>
    <w:rsid w:val="00ED2EF0"/>
    <w:rsid w:val="00ED4FCF"/>
    <w:rsid w:val="00ED549D"/>
    <w:rsid w:val="00ED5E10"/>
    <w:rsid w:val="00ED76BE"/>
    <w:rsid w:val="00EE00E9"/>
    <w:rsid w:val="00EE0DEF"/>
    <w:rsid w:val="00EE1694"/>
    <w:rsid w:val="00EE3B3F"/>
    <w:rsid w:val="00EF01B7"/>
    <w:rsid w:val="00EF1AAA"/>
    <w:rsid w:val="00EF5550"/>
    <w:rsid w:val="00EF619B"/>
    <w:rsid w:val="00F00B55"/>
    <w:rsid w:val="00F00FD5"/>
    <w:rsid w:val="00F02AD1"/>
    <w:rsid w:val="00F0654E"/>
    <w:rsid w:val="00F06BB3"/>
    <w:rsid w:val="00F10E2A"/>
    <w:rsid w:val="00F14992"/>
    <w:rsid w:val="00F202DF"/>
    <w:rsid w:val="00F211BF"/>
    <w:rsid w:val="00F24420"/>
    <w:rsid w:val="00F253CC"/>
    <w:rsid w:val="00F27159"/>
    <w:rsid w:val="00F37106"/>
    <w:rsid w:val="00F40C31"/>
    <w:rsid w:val="00F41F07"/>
    <w:rsid w:val="00F42977"/>
    <w:rsid w:val="00F4343D"/>
    <w:rsid w:val="00F44E25"/>
    <w:rsid w:val="00F519CF"/>
    <w:rsid w:val="00F56BA5"/>
    <w:rsid w:val="00F60E22"/>
    <w:rsid w:val="00F64A69"/>
    <w:rsid w:val="00F66300"/>
    <w:rsid w:val="00F71EDE"/>
    <w:rsid w:val="00F7495E"/>
    <w:rsid w:val="00F74E97"/>
    <w:rsid w:val="00F81395"/>
    <w:rsid w:val="00F81BB8"/>
    <w:rsid w:val="00F81D14"/>
    <w:rsid w:val="00F834B8"/>
    <w:rsid w:val="00F836DF"/>
    <w:rsid w:val="00F90C64"/>
    <w:rsid w:val="00F917D1"/>
    <w:rsid w:val="00F92B7B"/>
    <w:rsid w:val="00F93035"/>
    <w:rsid w:val="00F939EB"/>
    <w:rsid w:val="00F9653B"/>
    <w:rsid w:val="00FA3F81"/>
    <w:rsid w:val="00FA50D3"/>
    <w:rsid w:val="00FB0922"/>
    <w:rsid w:val="00FB1857"/>
    <w:rsid w:val="00FB4AB9"/>
    <w:rsid w:val="00FB62CF"/>
    <w:rsid w:val="00FC3CF6"/>
    <w:rsid w:val="00FC5A4B"/>
    <w:rsid w:val="00FD3C3B"/>
    <w:rsid w:val="00FD51FD"/>
    <w:rsid w:val="00FE07DD"/>
    <w:rsid w:val="00FE19DC"/>
    <w:rsid w:val="00FE6B45"/>
    <w:rsid w:val="00FF14DC"/>
    <w:rsid w:val="00FF23EC"/>
    <w:rsid w:val="00FF49E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0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DC3F77"/>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365F91" w:themeColor="accent1" w:themeShade="BF"/>
      <w:bdr w:val="nil"/>
    </w:rPr>
  </w:style>
  <w:style w:type="paragraph" w:styleId="Heading5">
    <w:name w:val="heading 5"/>
    <w:basedOn w:val="Heading4"/>
    <w:next w:val="Normal"/>
    <w:link w:val="Heading5Char"/>
    <w:uiPriority w:val="9"/>
    <w:unhideWhenUsed/>
    <w:qFormat/>
    <w:rsid w:val="00DC3F77"/>
    <w:pPr>
      <w:keepNext w:val="0"/>
      <w:keepLines w:val="0"/>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654E"/>
    <w:rPr>
      <w:sz w:val="16"/>
      <w:szCs w:val="16"/>
    </w:rPr>
  </w:style>
  <w:style w:type="paragraph" w:styleId="CommentText">
    <w:name w:val="annotation text"/>
    <w:basedOn w:val="Normal"/>
    <w:link w:val="CommentTextChar"/>
    <w:uiPriority w:val="99"/>
    <w:semiHidden/>
    <w:unhideWhenUsed/>
    <w:rsid w:val="00F0654E"/>
    <w:rPr>
      <w:sz w:val="20"/>
      <w:szCs w:val="20"/>
    </w:rPr>
  </w:style>
  <w:style w:type="character" w:customStyle="1" w:styleId="CommentTextChar">
    <w:name w:val="Comment Text Char"/>
    <w:basedOn w:val="DefaultParagraphFont"/>
    <w:link w:val="CommentText"/>
    <w:uiPriority w:val="99"/>
    <w:semiHidden/>
    <w:rsid w:val="00F0654E"/>
    <w:rPr>
      <w:lang w:val="en-US" w:eastAsia="en-US"/>
    </w:rPr>
  </w:style>
  <w:style w:type="paragraph" w:styleId="CommentSubject">
    <w:name w:val="annotation subject"/>
    <w:basedOn w:val="CommentText"/>
    <w:next w:val="CommentText"/>
    <w:link w:val="CommentSubjectChar"/>
    <w:uiPriority w:val="99"/>
    <w:semiHidden/>
    <w:unhideWhenUsed/>
    <w:rsid w:val="00F0654E"/>
    <w:rPr>
      <w:b/>
      <w:bCs/>
    </w:rPr>
  </w:style>
  <w:style w:type="character" w:customStyle="1" w:styleId="CommentSubjectChar">
    <w:name w:val="Comment Subject Char"/>
    <w:basedOn w:val="CommentTextChar"/>
    <w:link w:val="CommentSubject"/>
    <w:uiPriority w:val="99"/>
    <w:semiHidden/>
    <w:rsid w:val="00F0654E"/>
    <w:rPr>
      <w:b/>
      <w:bCs/>
      <w:lang w:val="en-US" w:eastAsia="en-US"/>
    </w:rPr>
  </w:style>
  <w:style w:type="character" w:customStyle="1" w:styleId="Heading5Char">
    <w:name w:val="Heading 5 Char"/>
    <w:basedOn w:val="DefaultParagraphFont"/>
    <w:link w:val="Heading5"/>
    <w:uiPriority w:val="9"/>
    <w:rsid w:val="00DC3F77"/>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DC3F77"/>
    <w:rPr>
      <w:rFonts w:asciiTheme="majorHAnsi" w:eastAsiaTheme="majorEastAsia" w:hAnsiTheme="majorHAnsi" w:cstheme="majorBidi"/>
      <w:i/>
      <w:iCs/>
      <w:color w:val="365F91" w:themeColor="accent1" w:themeShade="BF"/>
      <w:sz w:val="24"/>
      <w:szCs w:val="24"/>
      <w:lang w:val="en-US" w:eastAsia="en-US"/>
    </w:rPr>
  </w:style>
  <w:style w:type="paragraph" w:customStyle="1" w:styleId="xmsonormal">
    <w:name w:val="x_msonormal"/>
    <w:basedOn w:val="Normal"/>
    <w:rsid w:val="005C61D5"/>
    <w:pPr>
      <w:spacing w:before="100" w:beforeAutospacing="1" w:after="100" w:afterAutospacing="1"/>
    </w:pPr>
  </w:style>
  <w:style w:type="character" w:customStyle="1" w:styleId="apple-converted-space">
    <w:name w:val="apple-converted-space"/>
    <w:basedOn w:val="DefaultParagraphFont"/>
    <w:rsid w:val="005C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1310">
      <w:bodyDiv w:val="1"/>
      <w:marLeft w:val="0"/>
      <w:marRight w:val="0"/>
      <w:marTop w:val="0"/>
      <w:marBottom w:val="0"/>
      <w:divBdr>
        <w:top w:val="none" w:sz="0" w:space="0" w:color="auto"/>
        <w:left w:val="none" w:sz="0" w:space="0" w:color="auto"/>
        <w:bottom w:val="none" w:sz="0" w:space="0" w:color="auto"/>
        <w:right w:val="none" w:sz="0" w:space="0" w:color="auto"/>
      </w:divBdr>
    </w:div>
    <w:div w:id="533080137">
      <w:bodyDiv w:val="1"/>
      <w:marLeft w:val="0"/>
      <w:marRight w:val="0"/>
      <w:marTop w:val="0"/>
      <w:marBottom w:val="0"/>
      <w:divBdr>
        <w:top w:val="none" w:sz="0" w:space="0" w:color="auto"/>
        <w:left w:val="none" w:sz="0" w:space="0" w:color="auto"/>
        <w:bottom w:val="none" w:sz="0" w:space="0" w:color="auto"/>
        <w:right w:val="none" w:sz="0" w:space="0" w:color="auto"/>
      </w:divBdr>
    </w:div>
    <w:div w:id="104622445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27270573">
      <w:bodyDiv w:val="1"/>
      <w:marLeft w:val="0"/>
      <w:marRight w:val="0"/>
      <w:marTop w:val="0"/>
      <w:marBottom w:val="0"/>
      <w:divBdr>
        <w:top w:val="none" w:sz="0" w:space="0" w:color="auto"/>
        <w:left w:val="none" w:sz="0" w:space="0" w:color="auto"/>
        <w:bottom w:val="none" w:sz="0" w:space="0" w:color="auto"/>
        <w:right w:val="none" w:sz="0" w:space="0" w:color="auto"/>
      </w:divBdr>
    </w:div>
    <w:div w:id="158815391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6285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6B88"/>
    <w:rsid w:val="00192659"/>
    <w:rsid w:val="00200821"/>
    <w:rsid w:val="0025245B"/>
    <w:rsid w:val="002A3923"/>
    <w:rsid w:val="002B2E54"/>
    <w:rsid w:val="00326B4F"/>
    <w:rsid w:val="00394049"/>
    <w:rsid w:val="003A48ED"/>
    <w:rsid w:val="003B0C71"/>
    <w:rsid w:val="003F5FA5"/>
    <w:rsid w:val="004B5BBB"/>
    <w:rsid w:val="004F2DF8"/>
    <w:rsid w:val="00517E2A"/>
    <w:rsid w:val="005B5B30"/>
    <w:rsid w:val="005D29C3"/>
    <w:rsid w:val="00667790"/>
    <w:rsid w:val="006F24A1"/>
    <w:rsid w:val="0088068C"/>
    <w:rsid w:val="008B572E"/>
    <w:rsid w:val="00910A09"/>
    <w:rsid w:val="00931181"/>
    <w:rsid w:val="00982AD5"/>
    <w:rsid w:val="009A261B"/>
    <w:rsid w:val="00AA2E17"/>
    <w:rsid w:val="00AC15A4"/>
    <w:rsid w:val="00B0336C"/>
    <w:rsid w:val="00B3245C"/>
    <w:rsid w:val="00BB2EA8"/>
    <w:rsid w:val="00C472B0"/>
    <w:rsid w:val="00CB63A0"/>
    <w:rsid w:val="00D241E9"/>
    <w:rsid w:val="00D7750D"/>
    <w:rsid w:val="00ED4A14"/>
    <w:rsid w:val="00F00D2F"/>
    <w:rsid w:val="00F03649"/>
    <w:rsid w:val="00F128DF"/>
    <w:rsid w:val="00FB0416"/>
    <w:rsid w:val="00FC7544"/>
    <w:rsid w:val="00FD2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1F9F4-9CA7-497B-9133-E3FEC75E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3200</Words>
  <Characters>16867</Characters>
  <Application>Microsoft Office Word</Application>
  <DocSecurity>0</DocSecurity>
  <Lines>301</Lines>
  <Paragraphs>86</Paragraphs>
  <ScaleCrop>false</ScaleCrop>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195/21</dc:title>
  <dc:subject/>
  <dc:creator/>
  <cp:keywords/>
  <dc:description/>
  <cp:lastModifiedBy/>
  <cp:revision>1</cp:revision>
  <dcterms:created xsi:type="dcterms:W3CDTF">2021-09-22T13:06:00Z</dcterms:created>
  <dcterms:modified xsi:type="dcterms:W3CDTF">2021-09-23T13:37:00Z</dcterms:modified>
</cp:coreProperties>
</file>