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167748"/>
    <w:bookmarkStart w:id="1" w:name="_Hlk82097561"/>
    <w:p w14:paraId="11289B20" w14:textId="57F7A499" w:rsidR="00C02C7F" w:rsidRDefault="00035FF1" w:rsidP="00E967F5">
      <w:pPr>
        <w:pStyle w:val="BodyText"/>
        <w:spacing w:before="6"/>
        <w:rPr>
          <w:rFonts w:ascii="Times New Roman"/>
          <w:sz w:val="9"/>
        </w:rPr>
      </w:pPr>
      <w:r>
        <w:rPr>
          <w:noProof/>
        </w:rPr>
        <mc:AlternateContent>
          <mc:Choice Requires="wps">
            <w:drawing>
              <wp:anchor distT="0" distB="0" distL="114300" distR="114300" simplePos="0" relativeHeight="251657216" behindDoc="0" locked="0" layoutInCell="1" allowOverlap="1" wp14:anchorId="5F6C74EE" wp14:editId="25E4DCCE">
                <wp:simplePos x="0" y="0"/>
                <wp:positionH relativeFrom="page">
                  <wp:posOffset>498475</wp:posOffset>
                </wp:positionH>
                <wp:positionV relativeFrom="page">
                  <wp:posOffset>474980</wp:posOffset>
                </wp:positionV>
                <wp:extent cx="1543050" cy="909637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298F" w14:textId="77777777" w:rsidR="00371496" w:rsidRDefault="00371496">
                            <w:pPr>
                              <w:pStyle w:val="BodyText"/>
                              <w:rPr>
                                <w:sz w:val="22"/>
                              </w:rPr>
                            </w:pPr>
                          </w:p>
                          <w:p w14:paraId="68352512" w14:textId="77777777" w:rsidR="00371496" w:rsidRDefault="00371496">
                            <w:pPr>
                              <w:pStyle w:val="BodyText"/>
                              <w:rPr>
                                <w:sz w:val="22"/>
                              </w:rPr>
                            </w:pPr>
                          </w:p>
                          <w:p w14:paraId="59DC0060" w14:textId="77777777" w:rsidR="00371496" w:rsidRDefault="00371496">
                            <w:pPr>
                              <w:pStyle w:val="BodyText"/>
                              <w:rPr>
                                <w:sz w:val="22"/>
                              </w:rPr>
                            </w:pPr>
                          </w:p>
                          <w:p w14:paraId="68073EBC" w14:textId="77777777" w:rsidR="00371496" w:rsidRDefault="00371496">
                            <w:pPr>
                              <w:pStyle w:val="BodyText"/>
                              <w:rPr>
                                <w:sz w:val="22"/>
                              </w:rPr>
                            </w:pPr>
                          </w:p>
                          <w:p w14:paraId="78FEA6A8" w14:textId="77777777" w:rsidR="00371496" w:rsidRDefault="00371496">
                            <w:pPr>
                              <w:pStyle w:val="BodyText"/>
                              <w:rPr>
                                <w:sz w:val="22"/>
                              </w:rPr>
                            </w:pPr>
                          </w:p>
                          <w:p w14:paraId="5C4C7E9B" w14:textId="77777777" w:rsidR="00371496" w:rsidRDefault="00371496">
                            <w:pPr>
                              <w:pStyle w:val="BodyText"/>
                              <w:rPr>
                                <w:sz w:val="22"/>
                              </w:rPr>
                            </w:pPr>
                          </w:p>
                          <w:p w14:paraId="7DA1D8A5" w14:textId="77777777" w:rsidR="00371496" w:rsidRDefault="00371496">
                            <w:pPr>
                              <w:pStyle w:val="BodyText"/>
                              <w:rPr>
                                <w:sz w:val="22"/>
                              </w:rPr>
                            </w:pPr>
                          </w:p>
                          <w:p w14:paraId="45013810" w14:textId="77777777" w:rsidR="00371496" w:rsidRDefault="00371496">
                            <w:pPr>
                              <w:pStyle w:val="BodyText"/>
                              <w:rPr>
                                <w:sz w:val="22"/>
                              </w:rPr>
                            </w:pPr>
                          </w:p>
                          <w:p w14:paraId="5AD09D0C" w14:textId="77777777" w:rsidR="00371496" w:rsidRDefault="00371496">
                            <w:pPr>
                              <w:pStyle w:val="BodyText"/>
                              <w:rPr>
                                <w:sz w:val="22"/>
                              </w:rPr>
                            </w:pPr>
                          </w:p>
                          <w:p w14:paraId="1025AA08" w14:textId="77777777" w:rsidR="00371496" w:rsidRDefault="00371496">
                            <w:pPr>
                              <w:pStyle w:val="BodyText"/>
                              <w:rPr>
                                <w:sz w:val="22"/>
                              </w:rPr>
                            </w:pPr>
                          </w:p>
                          <w:p w14:paraId="0FF8B220" w14:textId="77777777" w:rsidR="00371496" w:rsidRDefault="00371496">
                            <w:pPr>
                              <w:pStyle w:val="BodyText"/>
                              <w:rPr>
                                <w:sz w:val="22"/>
                              </w:rPr>
                            </w:pPr>
                          </w:p>
                          <w:p w14:paraId="52D63876" w14:textId="77777777" w:rsidR="00371496" w:rsidRDefault="00371496">
                            <w:pPr>
                              <w:pStyle w:val="BodyText"/>
                              <w:rPr>
                                <w:sz w:val="22"/>
                              </w:rPr>
                            </w:pPr>
                          </w:p>
                          <w:p w14:paraId="7F40E19A" w14:textId="77777777" w:rsidR="00371496" w:rsidRDefault="00371496">
                            <w:pPr>
                              <w:pStyle w:val="BodyText"/>
                              <w:rPr>
                                <w:sz w:val="22"/>
                              </w:rPr>
                            </w:pPr>
                          </w:p>
                          <w:p w14:paraId="771BCFDF" w14:textId="77777777" w:rsidR="00371496" w:rsidRDefault="00371496">
                            <w:pPr>
                              <w:pStyle w:val="BodyText"/>
                              <w:rPr>
                                <w:sz w:val="22"/>
                              </w:rPr>
                            </w:pPr>
                          </w:p>
                          <w:p w14:paraId="010292D4" w14:textId="77777777" w:rsidR="00371496" w:rsidRDefault="00371496">
                            <w:pPr>
                              <w:pStyle w:val="BodyText"/>
                              <w:rPr>
                                <w:sz w:val="22"/>
                              </w:rPr>
                            </w:pPr>
                          </w:p>
                          <w:p w14:paraId="5AC78962" w14:textId="77777777" w:rsidR="00371496" w:rsidRDefault="00371496">
                            <w:pPr>
                              <w:pStyle w:val="BodyText"/>
                              <w:rPr>
                                <w:sz w:val="22"/>
                              </w:rPr>
                            </w:pPr>
                          </w:p>
                          <w:p w14:paraId="33EE618D" w14:textId="77777777" w:rsidR="00371496" w:rsidRDefault="00371496">
                            <w:pPr>
                              <w:pStyle w:val="BodyText"/>
                              <w:spacing w:before="4"/>
                              <w:rPr>
                                <w:sz w:val="21"/>
                              </w:rPr>
                            </w:pPr>
                          </w:p>
                          <w:p w14:paraId="5B212135" w14:textId="0991198B" w:rsidR="00371496" w:rsidRPr="00C67306" w:rsidRDefault="00371496">
                            <w:pPr>
                              <w:spacing w:before="1"/>
                              <w:ind w:left="794"/>
                              <w:rPr>
                                <w:rFonts w:ascii="Calibri"/>
                                <w:lang w:val="es-419"/>
                              </w:rPr>
                            </w:pPr>
                            <w:r w:rsidRPr="00C67306">
                              <w:rPr>
                                <w:rFonts w:ascii="Calibri"/>
                                <w:color w:val="FFFFFF"/>
                                <w:lang w:val="es-419"/>
                              </w:rPr>
                              <w:t>OEA/</w:t>
                            </w:r>
                            <w:proofErr w:type="spellStart"/>
                            <w:r w:rsidRPr="00C67306">
                              <w:rPr>
                                <w:rFonts w:ascii="Calibri"/>
                                <w:color w:val="FFFFFF"/>
                                <w:lang w:val="es-419"/>
                              </w:rPr>
                              <w:t>Ser.L</w:t>
                            </w:r>
                            <w:proofErr w:type="spellEnd"/>
                            <w:r w:rsidRPr="00C67306">
                              <w:rPr>
                                <w:rFonts w:ascii="Calibri"/>
                                <w:color w:val="FFFFFF"/>
                                <w:lang w:val="es-419"/>
                              </w:rPr>
                              <w:t>/V/II</w:t>
                            </w:r>
                          </w:p>
                          <w:p w14:paraId="2103D6EE" w14:textId="62708AC5" w:rsidR="00371496" w:rsidRPr="00C67306" w:rsidRDefault="00371496">
                            <w:pPr>
                              <w:spacing w:before="41"/>
                              <w:ind w:right="271"/>
                              <w:jc w:val="right"/>
                              <w:rPr>
                                <w:rFonts w:ascii="Calibri"/>
                                <w:lang w:val="es-419"/>
                              </w:rPr>
                            </w:pPr>
                            <w:r w:rsidRPr="00C67306">
                              <w:rPr>
                                <w:rFonts w:ascii="Calibri"/>
                                <w:color w:val="FFFFFF"/>
                                <w:lang w:val="es-419"/>
                              </w:rPr>
                              <w:t>Doc.</w:t>
                            </w:r>
                            <w:r w:rsidR="0040613C" w:rsidRPr="00C67306">
                              <w:rPr>
                                <w:rFonts w:ascii="Calibri"/>
                                <w:color w:val="FFFFFF"/>
                                <w:lang w:val="es-419"/>
                              </w:rPr>
                              <w:t xml:space="preserve"> 286</w:t>
                            </w:r>
                          </w:p>
                          <w:p w14:paraId="2B5938C9" w14:textId="6C7DB384" w:rsidR="00371496" w:rsidRPr="00C67306" w:rsidRDefault="0040613C">
                            <w:pPr>
                              <w:spacing w:before="38" w:line="278" w:lineRule="auto"/>
                              <w:ind w:left="650" w:right="270" w:hanging="286"/>
                              <w:jc w:val="right"/>
                              <w:rPr>
                                <w:rFonts w:ascii="Calibri" w:hAnsi="Calibri"/>
                                <w:lang w:val="es-419"/>
                              </w:rPr>
                            </w:pPr>
                            <w:r w:rsidRPr="00C67306">
                              <w:rPr>
                                <w:rFonts w:ascii="Calibri" w:hAnsi="Calibri"/>
                                <w:color w:val="FFFFFF"/>
                                <w:lang w:val="es-419"/>
                              </w:rPr>
                              <w:t>5 septiembre</w:t>
                            </w:r>
                            <w:r w:rsidR="00371496" w:rsidRPr="00C67306">
                              <w:rPr>
                                <w:rFonts w:ascii="Calibri" w:hAnsi="Calibri"/>
                                <w:color w:val="FFFFFF"/>
                                <w:spacing w:val="-5"/>
                                <w:lang w:val="es-419"/>
                              </w:rPr>
                              <w:t xml:space="preserve"> </w:t>
                            </w:r>
                            <w:r w:rsidR="00371496" w:rsidRPr="00C67306">
                              <w:rPr>
                                <w:rFonts w:ascii="Calibri" w:hAnsi="Calibri"/>
                                <w:color w:val="FFFFFF"/>
                                <w:lang w:val="es-419"/>
                              </w:rPr>
                              <w:t>2021</w:t>
                            </w:r>
                            <w:r w:rsidR="00371496" w:rsidRPr="00C67306">
                              <w:rPr>
                                <w:rFonts w:ascii="Calibri" w:hAnsi="Calibri"/>
                                <w:color w:val="FFFFFF"/>
                                <w:spacing w:val="-2"/>
                                <w:lang w:val="es-419"/>
                              </w:rPr>
                              <w:t xml:space="preserve"> </w:t>
                            </w:r>
                            <w:r w:rsidR="00371496" w:rsidRPr="00C67306">
                              <w:rPr>
                                <w:rFonts w:ascii="Calibri" w:hAnsi="Calibri"/>
                                <w:color w:val="FFFFFF"/>
                                <w:lang w:val="es-419"/>
                              </w:rPr>
                              <w:t>Original:</w:t>
                            </w:r>
                            <w:r w:rsidR="00371496" w:rsidRPr="00C67306">
                              <w:rPr>
                                <w:rFonts w:ascii="Calibri" w:hAnsi="Calibri"/>
                                <w:color w:val="FFFFFF"/>
                                <w:spacing w:val="-6"/>
                                <w:lang w:val="es-419"/>
                              </w:rPr>
                              <w:t xml:space="preserve"> </w:t>
                            </w:r>
                            <w:r w:rsidR="00371496" w:rsidRPr="00C67306">
                              <w:rPr>
                                <w:rFonts w:ascii="Calibri" w:hAnsi="Calibri"/>
                                <w:color w:val="FFFFFF"/>
                                <w:lang w:val="es-419"/>
                              </w:rPr>
                              <w:t>español</w:t>
                            </w:r>
                          </w:p>
                          <w:p w14:paraId="18E44612" w14:textId="77777777" w:rsidR="00371496" w:rsidRPr="00C67306" w:rsidRDefault="00371496">
                            <w:pPr>
                              <w:pStyle w:val="BodyText"/>
                              <w:rPr>
                                <w:sz w:val="22"/>
                                <w:lang w:val="es-419"/>
                              </w:rPr>
                            </w:pPr>
                          </w:p>
                          <w:p w14:paraId="0860EC38" w14:textId="77777777" w:rsidR="00371496" w:rsidRPr="00C67306" w:rsidRDefault="00371496">
                            <w:pPr>
                              <w:pStyle w:val="BodyText"/>
                              <w:rPr>
                                <w:sz w:val="22"/>
                                <w:lang w:val="es-419"/>
                              </w:rPr>
                            </w:pPr>
                          </w:p>
                          <w:p w14:paraId="0952E55B" w14:textId="77777777" w:rsidR="00371496" w:rsidRPr="00C67306" w:rsidRDefault="00371496">
                            <w:pPr>
                              <w:pStyle w:val="BodyText"/>
                              <w:rPr>
                                <w:sz w:val="22"/>
                                <w:lang w:val="es-419"/>
                              </w:rPr>
                            </w:pPr>
                          </w:p>
                          <w:p w14:paraId="4C3592B3" w14:textId="77777777" w:rsidR="00371496" w:rsidRPr="00C67306" w:rsidRDefault="00371496">
                            <w:pPr>
                              <w:pStyle w:val="BodyText"/>
                              <w:rPr>
                                <w:sz w:val="22"/>
                                <w:lang w:val="es-419"/>
                              </w:rPr>
                            </w:pPr>
                          </w:p>
                          <w:p w14:paraId="3E49B12C" w14:textId="77777777" w:rsidR="00371496" w:rsidRPr="00C67306" w:rsidRDefault="00371496">
                            <w:pPr>
                              <w:pStyle w:val="BodyText"/>
                              <w:rPr>
                                <w:sz w:val="22"/>
                                <w:lang w:val="es-419"/>
                              </w:rPr>
                            </w:pPr>
                          </w:p>
                          <w:p w14:paraId="2C1EBE27" w14:textId="77777777" w:rsidR="00371496" w:rsidRPr="00C67306" w:rsidRDefault="00371496">
                            <w:pPr>
                              <w:pStyle w:val="BodyText"/>
                              <w:rPr>
                                <w:sz w:val="22"/>
                                <w:lang w:val="es-419"/>
                              </w:rPr>
                            </w:pPr>
                          </w:p>
                          <w:p w14:paraId="3271977D" w14:textId="77777777" w:rsidR="00371496" w:rsidRPr="00C67306" w:rsidRDefault="00371496">
                            <w:pPr>
                              <w:pStyle w:val="BodyText"/>
                              <w:rPr>
                                <w:sz w:val="22"/>
                                <w:lang w:val="es-419"/>
                              </w:rPr>
                            </w:pPr>
                          </w:p>
                          <w:p w14:paraId="4ACD6E87" w14:textId="77777777" w:rsidR="00371496" w:rsidRPr="00C67306" w:rsidRDefault="00371496">
                            <w:pPr>
                              <w:pStyle w:val="BodyText"/>
                              <w:rPr>
                                <w:sz w:val="22"/>
                                <w:lang w:val="es-419"/>
                              </w:rPr>
                            </w:pPr>
                          </w:p>
                          <w:p w14:paraId="4615FBE5" w14:textId="77777777" w:rsidR="00371496" w:rsidRPr="00C67306" w:rsidRDefault="00371496">
                            <w:pPr>
                              <w:pStyle w:val="BodyText"/>
                              <w:rPr>
                                <w:sz w:val="22"/>
                                <w:lang w:val="es-419"/>
                              </w:rPr>
                            </w:pPr>
                          </w:p>
                          <w:p w14:paraId="546D6BA3" w14:textId="77777777" w:rsidR="00371496" w:rsidRPr="00C67306" w:rsidRDefault="00371496">
                            <w:pPr>
                              <w:pStyle w:val="BodyText"/>
                              <w:rPr>
                                <w:sz w:val="22"/>
                                <w:lang w:val="es-419"/>
                              </w:rPr>
                            </w:pPr>
                          </w:p>
                          <w:p w14:paraId="04C73831" w14:textId="77777777" w:rsidR="00371496" w:rsidRPr="00C67306" w:rsidRDefault="00371496">
                            <w:pPr>
                              <w:pStyle w:val="BodyText"/>
                              <w:rPr>
                                <w:sz w:val="22"/>
                                <w:lang w:val="es-419"/>
                              </w:rPr>
                            </w:pPr>
                          </w:p>
                          <w:p w14:paraId="69C35975" w14:textId="77777777" w:rsidR="00371496" w:rsidRPr="00C67306" w:rsidRDefault="00371496">
                            <w:pPr>
                              <w:pStyle w:val="BodyText"/>
                              <w:rPr>
                                <w:sz w:val="22"/>
                                <w:lang w:val="es-419"/>
                              </w:rPr>
                            </w:pPr>
                          </w:p>
                          <w:p w14:paraId="064BDD69" w14:textId="77777777" w:rsidR="00371496" w:rsidRPr="00C67306" w:rsidRDefault="00371496">
                            <w:pPr>
                              <w:pStyle w:val="BodyText"/>
                              <w:rPr>
                                <w:sz w:val="22"/>
                                <w:lang w:val="es-419"/>
                              </w:rPr>
                            </w:pPr>
                          </w:p>
                          <w:p w14:paraId="2779BAF2" w14:textId="77777777" w:rsidR="00371496" w:rsidRPr="00C67306" w:rsidRDefault="00371496">
                            <w:pPr>
                              <w:pStyle w:val="BodyText"/>
                              <w:rPr>
                                <w:sz w:val="22"/>
                                <w:lang w:val="es-419"/>
                              </w:rPr>
                            </w:pPr>
                          </w:p>
                          <w:p w14:paraId="0405996E" w14:textId="77777777" w:rsidR="00371496" w:rsidRPr="00C67306" w:rsidRDefault="00371496">
                            <w:pPr>
                              <w:pStyle w:val="BodyText"/>
                              <w:rPr>
                                <w:sz w:val="22"/>
                                <w:lang w:val="es-419"/>
                              </w:rPr>
                            </w:pPr>
                          </w:p>
                          <w:p w14:paraId="65DBB752" w14:textId="77777777" w:rsidR="00371496" w:rsidRPr="00C67306" w:rsidRDefault="00371496">
                            <w:pPr>
                              <w:pStyle w:val="BodyText"/>
                              <w:rPr>
                                <w:sz w:val="22"/>
                                <w:lang w:val="es-419"/>
                              </w:rPr>
                            </w:pPr>
                          </w:p>
                          <w:p w14:paraId="3914C4FE" w14:textId="77777777" w:rsidR="00371496" w:rsidRPr="00C67306" w:rsidRDefault="00371496">
                            <w:pPr>
                              <w:pStyle w:val="BodyText"/>
                              <w:rPr>
                                <w:sz w:val="22"/>
                                <w:lang w:val="es-419"/>
                              </w:rPr>
                            </w:pPr>
                          </w:p>
                          <w:p w14:paraId="6CD615F1" w14:textId="77777777" w:rsidR="00371496" w:rsidRPr="00C67306" w:rsidRDefault="00371496">
                            <w:pPr>
                              <w:pStyle w:val="BodyText"/>
                              <w:rPr>
                                <w:sz w:val="22"/>
                                <w:lang w:val="es-419"/>
                              </w:rPr>
                            </w:pPr>
                          </w:p>
                          <w:p w14:paraId="6C14BE4D" w14:textId="77777777" w:rsidR="00371496" w:rsidRPr="00C67306" w:rsidRDefault="00371496">
                            <w:pPr>
                              <w:pStyle w:val="BodyText"/>
                              <w:rPr>
                                <w:sz w:val="22"/>
                                <w:lang w:val="es-419"/>
                              </w:rPr>
                            </w:pPr>
                          </w:p>
                          <w:p w14:paraId="72D584A2" w14:textId="77777777" w:rsidR="00371496" w:rsidRPr="00C67306" w:rsidRDefault="00371496">
                            <w:pPr>
                              <w:pStyle w:val="BodyText"/>
                              <w:rPr>
                                <w:sz w:val="22"/>
                                <w:lang w:val="es-419"/>
                              </w:rPr>
                            </w:pPr>
                          </w:p>
                          <w:p w14:paraId="044E3404" w14:textId="77777777" w:rsidR="00371496" w:rsidRPr="00C67306" w:rsidRDefault="00371496">
                            <w:pPr>
                              <w:pStyle w:val="BodyText"/>
                              <w:rPr>
                                <w:sz w:val="22"/>
                                <w:lang w:val="es-419"/>
                              </w:rPr>
                            </w:pPr>
                          </w:p>
                          <w:p w14:paraId="472E25FD" w14:textId="77777777" w:rsidR="00371496" w:rsidRPr="00C67306" w:rsidRDefault="00371496">
                            <w:pPr>
                              <w:pStyle w:val="BodyText"/>
                              <w:rPr>
                                <w:sz w:val="22"/>
                                <w:lang w:val="es-419"/>
                              </w:rPr>
                            </w:pPr>
                          </w:p>
                          <w:p w14:paraId="50743F04" w14:textId="77777777" w:rsidR="00371496" w:rsidRPr="00C67306" w:rsidRDefault="00371496">
                            <w:pPr>
                              <w:pStyle w:val="BodyText"/>
                              <w:rPr>
                                <w:sz w:val="22"/>
                                <w:lang w:val="es-419"/>
                              </w:rPr>
                            </w:pPr>
                          </w:p>
                          <w:p w14:paraId="16A249B5" w14:textId="77777777" w:rsidR="00371496" w:rsidRPr="00C67306" w:rsidRDefault="00371496">
                            <w:pPr>
                              <w:pStyle w:val="BodyText"/>
                              <w:rPr>
                                <w:sz w:val="22"/>
                                <w:lang w:val="es-419"/>
                              </w:rPr>
                            </w:pPr>
                          </w:p>
                          <w:p w14:paraId="6AF262A4" w14:textId="77777777" w:rsidR="00371496" w:rsidRPr="00C67306" w:rsidRDefault="00371496">
                            <w:pPr>
                              <w:pStyle w:val="BodyText"/>
                              <w:rPr>
                                <w:sz w:val="22"/>
                                <w:lang w:val="es-419"/>
                              </w:rPr>
                            </w:pPr>
                          </w:p>
                          <w:p w14:paraId="6FBF2F20" w14:textId="77777777" w:rsidR="00371496" w:rsidRPr="00C67306" w:rsidRDefault="00371496">
                            <w:pPr>
                              <w:pStyle w:val="BodyText"/>
                              <w:rPr>
                                <w:sz w:val="22"/>
                                <w:lang w:val="es-419"/>
                              </w:rPr>
                            </w:pPr>
                          </w:p>
                          <w:p w14:paraId="147FE114" w14:textId="77777777" w:rsidR="00371496" w:rsidRPr="00C67306" w:rsidRDefault="00371496">
                            <w:pPr>
                              <w:pStyle w:val="BodyText"/>
                              <w:rPr>
                                <w:sz w:val="22"/>
                                <w:lang w:val="es-419"/>
                              </w:rPr>
                            </w:pPr>
                          </w:p>
                          <w:p w14:paraId="08EA78E3" w14:textId="77777777" w:rsidR="00371496" w:rsidRPr="00C67306" w:rsidRDefault="00371496">
                            <w:pPr>
                              <w:pStyle w:val="BodyText"/>
                              <w:rPr>
                                <w:sz w:val="22"/>
                                <w:lang w:val="es-419"/>
                              </w:rPr>
                            </w:pPr>
                          </w:p>
                          <w:p w14:paraId="262C4DEB" w14:textId="77777777" w:rsidR="00371496" w:rsidRPr="00C67306" w:rsidRDefault="00371496">
                            <w:pPr>
                              <w:pStyle w:val="BodyText"/>
                              <w:rPr>
                                <w:sz w:val="22"/>
                                <w:lang w:val="es-419"/>
                              </w:rPr>
                            </w:pPr>
                          </w:p>
                          <w:p w14:paraId="0CB605B8" w14:textId="77777777" w:rsidR="00371496" w:rsidRPr="00C67306" w:rsidRDefault="00371496">
                            <w:pPr>
                              <w:pStyle w:val="BodyText"/>
                              <w:rPr>
                                <w:sz w:val="22"/>
                                <w:lang w:val="es-419"/>
                              </w:rPr>
                            </w:pPr>
                          </w:p>
                          <w:p w14:paraId="3E06130D" w14:textId="77777777" w:rsidR="00371496" w:rsidRPr="00C67306" w:rsidRDefault="00371496">
                            <w:pPr>
                              <w:pStyle w:val="BodyText"/>
                              <w:rPr>
                                <w:sz w:val="22"/>
                                <w:lang w:val="es-419"/>
                              </w:rPr>
                            </w:pPr>
                          </w:p>
                          <w:p w14:paraId="0A159DD6" w14:textId="77777777" w:rsidR="00371496" w:rsidRPr="00C67306" w:rsidRDefault="00371496">
                            <w:pPr>
                              <w:pStyle w:val="BodyText"/>
                              <w:spacing w:before="3"/>
                              <w:rPr>
                                <w:sz w:val="21"/>
                                <w:lang w:val="es-419"/>
                              </w:rPr>
                            </w:pPr>
                          </w:p>
                          <w:p w14:paraId="7A54D27C" w14:textId="77777777" w:rsidR="00371496" w:rsidRPr="00EE7BDA" w:rsidRDefault="009E3897">
                            <w:pPr>
                              <w:spacing w:before="1"/>
                              <w:ind w:left="453"/>
                              <w:rPr>
                                <w:rFonts w:ascii="Calibri"/>
                                <w:b/>
                                <w:sz w:val="24"/>
                                <w:lang w:val="pt-BR"/>
                              </w:rPr>
                            </w:pPr>
                            <w:hyperlink r:id="rId8">
                              <w:r w:rsidR="00371496" w:rsidRPr="00EE7BDA">
                                <w:rPr>
                                  <w:rFonts w:ascii="Calibri"/>
                                  <w:b/>
                                  <w:color w:val="FFFFFF"/>
                                  <w:sz w:val="24"/>
                                  <w:lang w:val="pt-BR"/>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74EE" id="_x0000_t202" coordsize="21600,21600" o:spt="202" path="m,l,21600r21600,l21600,xe">
                <v:stroke joinstyle="miter"/>
                <v:path gradientshapeok="t" o:connecttype="rect"/>
              </v:shapetype>
              <v:shape id="Text Box 4" o:spid="_x0000_s1026" type="#_x0000_t202" style="position:absolute;margin-left:39.25pt;margin-top:37.4pt;width:121.5pt;height:7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" fillcolor="#4a7194" stroked="f">
                <v:textbox inset="0,0,0,0">
                  <w:txbxContent>
                    <w:p w14:paraId="57C6298F" w14:textId="77777777" w:rsidR="00371496" w:rsidRDefault="00371496">
                      <w:pPr>
                        <w:pStyle w:val="BodyText"/>
                        <w:rPr>
                          <w:sz w:val="22"/>
                        </w:rPr>
                      </w:pPr>
                    </w:p>
                    <w:p w14:paraId="68352512" w14:textId="77777777" w:rsidR="00371496" w:rsidRDefault="00371496">
                      <w:pPr>
                        <w:pStyle w:val="BodyText"/>
                        <w:rPr>
                          <w:sz w:val="22"/>
                        </w:rPr>
                      </w:pPr>
                    </w:p>
                    <w:p w14:paraId="59DC0060" w14:textId="77777777" w:rsidR="00371496" w:rsidRDefault="00371496">
                      <w:pPr>
                        <w:pStyle w:val="BodyText"/>
                        <w:rPr>
                          <w:sz w:val="22"/>
                        </w:rPr>
                      </w:pPr>
                    </w:p>
                    <w:p w14:paraId="68073EBC" w14:textId="77777777" w:rsidR="00371496" w:rsidRDefault="00371496">
                      <w:pPr>
                        <w:pStyle w:val="BodyText"/>
                        <w:rPr>
                          <w:sz w:val="22"/>
                        </w:rPr>
                      </w:pPr>
                    </w:p>
                    <w:p w14:paraId="78FEA6A8" w14:textId="77777777" w:rsidR="00371496" w:rsidRDefault="00371496">
                      <w:pPr>
                        <w:pStyle w:val="BodyText"/>
                        <w:rPr>
                          <w:sz w:val="22"/>
                        </w:rPr>
                      </w:pPr>
                    </w:p>
                    <w:p w14:paraId="5C4C7E9B" w14:textId="77777777" w:rsidR="00371496" w:rsidRDefault="00371496">
                      <w:pPr>
                        <w:pStyle w:val="BodyText"/>
                        <w:rPr>
                          <w:sz w:val="22"/>
                        </w:rPr>
                      </w:pPr>
                    </w:p>
                    <w:p w14:paraId="7DA1D8A5" w14:textId="77777777" w:rsidR="00371496" w:rsidRDefault="00371496">
                      <w:pPr>
                        <w:pStyle w:val="BodyText"/>
                        <w:rPr>
                          <w:sz w:val="22"/>
                        </w:rPr>
                      </w:pPr>
                    </w:p>
                    <w:p w14:paraId="45013810" w14:textId="77777777" w:rsidR="00371496" w:rsidRDefault="00371496">
                      <w:pPr>
                        <w:pStyle w:val="BodyText"/>
                        <w:rPr>
                          <w:sz w:val="22"/>
                        </w:rPr>
                      </w:pPr>
                    </w:p>
                    <w:p w14:paraId="5AD09D0C" w14:textId="77777777" w:rsidR="00371496" w:rsidRDefault="00371496">
                      <w:pPr>
                        <w:pStyle w:val="BodyText"/>
                        <w:rPr>
                          <w:sz w:val="22"/>
                        </w:rPr>
                      </w:pPr>
                    </w:p>
                    <w:p w14:paraId="1025AA08" w14:textId="77777777" w:rsidR="00371496" w:rsidRDefault="00371496">
                      <w:pPr>
                        <w:pStyle w:val="BodyText"/>
                        <w:rPr>
                          <w:sz w:val="22"/>
                        </w:rPr>
                      </w:pPr>
                    </w:p>
                    <w:p w14:paraId="0FF8B220" w14:textId="77777777" w:rsidR="00371496" w:rsidRDefault="00371496">
                      <w:pPr>
                        <w:pStyle w:val="BodyText"/>
                        <w:rPr>
                          <w:sz w:val="22"/>
                        </w:rPr>
                      </w:pPr>
                    </w:p>
                    <w:p w14:paraId="52D63876" w14:textId="77777777" w:rsidR="00371496" w:rsidRDefault="00371496">
                      <w:pPr>
                        <w:pStyle w:val="BodyText"/>
                        <w:rPr>
                          <w:sz w:val="22"/>
                        </w:rPr>
                      </w:pPr>
                    </w:p>
                    <w:p w14:paraId="7F40E19A" w14:textId="77777777" w:rsidR="00371496" w:rsidRDefault="00371496">
                      <w:pPr>
                        <w:pStyle w:val="BodyText"/>
                        <w:rPr>
                          <w:sz w:val="22"/>
                        </w:rPr>
                      </w:pPr>
                    </w:p>
                    <w:p w14:paraId="771BCFDF" w14:textId="77777777" w:rsidR="00371496" w:rsidRDefault="00371496">
                      <w:pPr>
                        <w:pStyle w:val="BodyText"/>
                        <w:rPr>
                          <w:sz w:val="22"/>
                        </w:rPr>
                      </w:pPr>
                    </w:p>
                    <w:p w14:paraId="010292D4" w14:textId="77777777" w:rsidR="00371496" w:rsidRDefault="00371496">
                      <w:pPr>
                        <w:pStyle w:val="BodyText"/>
                        <w:rPr>
                          <w:sz w:val="22"/>
                        </w:rPr>
                      </w:pPr>
                    </w:p>
                    <w:p w14:paraId="5AC78962" w14:textId="77777777" w:rsidR="00371496" w:rsidRDefault="00371496">
                      <w:pPr>
                        <w:pStyle w:val="BodyText"/>
                        <w:rPr>
                          <w:sz w:val="22"/>
                        </w:rPr>
                      </w:pPr>
                    </w:p>
                    <w:p w14:paraId="33EE618D" w14:textId="77777777" w:rsidR="00371496" w:rsidRDefault="00371496">
                      <w:pPr>
                        <w:pStyle w:val="BodyText"/>
                        <w:spacing w:before="4"/>
                        <w:rPr>
                          <w:sz w:val="21"/>
                        </w:rPr>
                      </w:pPr>
                    </w:p>
                    <w:p w14:paraId="5B212135" w14:textId="0991198B" w:rsidR="00371496" w:rsidRPr="00C67306" w:rsidRDefault="00371496">
                      <w:pPr>
                        <w:spacing w:before="1"/>
                        <w:ind w:left="794"/>
                        <w:rPr>
                          <w:rFonts w:ascii="Calibri"/>
                          <w:lang w:val="es-419"/>
                        </w:rPr>
                      </w:pPr>
                      <w:r w:rsidRPr="00C67306">
                        <w:rPr>
                          <w:rFonts w:ascii="Calibri"/>
                          <w:color w:val="FFFFFF"/>
                          <w:lang w:val="es-419"/>
                        </w:rPr>
                        <w:t>OEA/</w:t>
                      </w:r>
                      <w:proofErr w:type="spellStart"/>
                      <w:r w:rsidRPr="00C67306">
                        <w:rPr>
                          <w:rFonts w:ascii="Calibri"/>
                          <w:color w:val="FFFFFF"/>
                          <w:lang w:val="es-419"/>
                        </w:rPr>
                        <w:t>Ser.L</w:t>
                      </w:r>
                      <w:proofErr w:type="spellEnd"/>
                      <w:r w:rsidRPr="00C67306">
                        <w:rPr>
                          <w:rFonts w:ascii="Calibri"/>
                          <w:color w:val="FFFFFF"/>
                          <w:lang w:val="es-419"/>
                        </w:rPr>
                        <w:t>/V/II</w:t>
                      </w:r>
                    </w:p>
                    <w:p w14:paraId="2103D6EE" w14:textId="62708AC5" w:rsidR="00371496" w:rsidRPr="00C67306" w:rsidRDefault="00371496">
                      <w:pPr>
                        <w:spacing w:before="41"/>
                        <w:ind w:right="271"/>
                        <w:jc w:val="right"/>
                        <w:rPr>
                          <w:rFonts w:ascii="Calibri"/>
                          <w:lang w:val="es-419"/>
                        </w:rPr>
                      </w:pPr>
                      <w:r w:rsidRPr="00C67306">
                        <w:rPr>
                          <w:rFonts w:ascii="Calibri"/>
                          <w:color w:val="FFFFFF"/>
                          <w:lang w:val="es-419"/>
                        </w:rPr>
                        <w:t>Doc.</w:t>
                      </w:r>
                      <w:r w:rsidR="0040613C" w:rsidRPr="00C67306">
                        <w:rPr>
                          <w:rFonts w:ascii="Calibri"/>
                          <w:color w:val="FFFFFF"/>
                          <w:lang w:val="es-419"/>
                        </w:rPr>
                        <w:t xml:space="preserve"> 286</w:t>
                      </w:r>
                    </w:p>
                    <w:p w14:paraId="2B5938C9" w14:textId="6C7DB384" w:rsidR="00371496" w:rsidRPr="00C67306" w:rsidRDefault="0040613C">
                      <w:pPr>
                        <w:spacing w:before="38" w:line="278" w:lineRule="auto"/>
                        <w:ind w:left="650" w:right="270" w:hanging="286"/>
                        <w:jc w:val="right"/>
                        <w:rPr>
                          <w:rFonts w:ascii="Calibri" w:hAnsi="Calibri"/>
                          <w:lang w:val="es-419"/>
                        </w:rPr>
                      </w:pPr>
                      <w:r w:rsidRPr="00C67306">
                        <w:rPr>
                          <w:rFonts w:ascii="Calibri" w:hAnsi="Calibri"/>
                          <w:color w:val="FFFFFF"/>
                          <w:lang w:val="es-419"/>
                        </w:rPr>
                        <w:t>5 septiembre</w:t>
                      </w:r>
                      <w:r w:rsidR="00371496" w:rsidRPr="00C67306">
                        <w:rPr>
                          <w:rFonts w:ascii="Calibri" w:hAnsi="Calibri"/>
                          <w:color w:val="FFFFFF"/>
                          <w:spacing w:val="-5"/>
                          <w:lang w:val="es-419"/>
                        </w:rPr>
                        <w:t xml:space="preserve"> </w:t>
                      </w:r>
                      <w:r w:rsidR="00371496" w:rsidRPr="00C67306">
                        <w:rPr>
                          <w:rFonts w:ascii="Calibri" w:hAnsi="Calibri"/>
                          <w:color w:val="FFFFFF"/>
                          <w:lang w:val="es-419"/>
                        </w:rPr>
                        <w:t>2021</w:t>
                      </w:r>
                      <w:r w:rsidR="00371496" w:rsidRPr="00C67306">
                        <w:rPr>
                          <w:rFonts w:ascii="Calibri" w:hAnsi="Calibri"/>
                          <w:color w:val="FFFFFF"/>
                          <w:spacing w:val="-2"/>
                          <w:lang w:val="es-419"/>
                        </w:rPr>
                        <w:t xml:space="preserve"> </w:t>
                      </w:r>
                      <w:r w:rsidR="00371496" w:rsidRPr="00C67306">
                        <w:rPr>
                          <w:rFonts w:ascii="Calibri" w:hAnsi="Calibri"/>
                          <w:color w:val="FFFFFF"/>
                          <w:lang w:val="es-419"/>
                        </w:rPr>
                        <w:t>Original:</w:t>
                      </w:r>
                      <w:r w:rsidR="00371496" w:rsidRPr="00C67306">
                        <w:rPr>
                          <w:rFonts w:ascii="Calibri" w:hAnsi="Calibri"/>
                          <w:color w:val="FFFFFF"/>
                          <w:spacing w:val="-6"/>
                          <w:lang w:val="es-419"/>
                        </w:rPr>
                        <w:t xml:space="preserve"> </w:t>
                      </w:r>
                      <w:r w:rsidR="00371496" w:rsidRPr="00C67306">
                        <w:rPr>
                          <w:rFonts w:ascii="Calibri" w:hAnsi="Calibri"/>
                          <w:color w:val="FFFFFF"/>
                          <w:lang w:val="es-419"/>
                        </w:rPr>
                        <w:t>español</w:t>
                      </w:r>
                    </w:p>
                    <w:p w14:paraId="18E44612" w14:textId="77777777" w:rsidR="00371496" w:rsidRPr="00C67306" w:rsidRDefault="00371496">
                      <w:pPr>
                        <w:pStyle w:val="BodyText"/>
                        <w:rPr>
                          <w:sz w:val="22"/>
                          <w:lang w:val="es-419"/>
                        </w:rPr>
                      </w:pPr>
                    </w:p>
                    <w:p w14:paraId="0860EC38" w14:textId="77777777" w:rsidR="00371496" w:rsidRPr="00C67306" w:rsidRDefault="00371496">
                      <w:pPr>
                        <w:pStyle w:val="BodyText"/>
                        <w:rPr>
                          <w:sz w:val="22"/>
                          <w:lang w:val="es-419"/>
                        </w:rPr>
                      </w:pPr>
                    </w:p>
                    <w:p w14:paraId="0952E55B" w14:textId="77777777" w:rsidR="00371496" w:rsidRPr="00C67306" w:rsidRDefault="00371496">
                      <w:pPr>
                        <w:pStyle w:val="BodyText"/>
                        <w:rPr>
                          <w:sz w:val="22"/>
                          <w:lang w:val="es-419"/>
                        </w:rPr>
                      </w:pPr>
                    </w:p>
                    <w:p w14:paraId="4C3592B3" w14:textId="77777777" w:rsidR="00371496" w:rsidRPr="00C67306" w:rsidRDefault="00371496">
                      <w:pPr>
                        <w:pStyle w:val="BodyText"/>
                        <w:rPr>
                          <w:sz w:val="22"/>
                          <w:lang w:val="es-419"/>
                        </w:rPr>
                      </w:pPr>
                    </w:p>
                    <w:p w14:paraId="3E49B12C" w14:textId="77777777" w:rsidR="00371496" w:rsidRPr="00C67306" w:rsidRDefault="00371496">
                      <w:pPr>
                        <w:pStyle w:val="BodyText"/>
                        <w:rPr>
                          <w:sz w:val="22"/>
                          <w:lang w:val="es-419"/>
                        </w:rPr>
                      </w:pPr>
                    </w:p>
                    <w:p w14:paraId="2C1EBE27" w14:textId="77777777" w:rsidR="00371496" w:rsidRPr="00C67306" w:rsidRDefault="00371496">
                      <w:pPr>
                        <w:pStyle w:val="BodyText"/>
                        <w:rPr>
                          <w:sz w:val="22"/>
                          <w:lang w:val="es-419"/>
                        </w:rPr>
                      </w:pPr>
                    </w:p>
                    <w:p w14:paraId="3271977D" w14:textId="77777777" w:rsidR="00371496" w:rsidRPr="00C67306" w:rsidRDefault="00371496">
                      <w:pPr>
                        <w:pStyle w:val="BodyText"/>
                        <w:rPr>
                          <w:sz w:val="22"/>
                          <w:lang w:val="es-419"/>
                        </w:rPr>
                      </w:pPr>
                    </w:p>
                    <w:p w14:paraId="4ACD6E87" w14:textId="77777777" w:rsidR="00371496" w:rsidRPr="00C67306" w:rsidRDefault="00371496">
                      <w:pPr>
                        <w:pStyle w:val="BodyText"/>
                        <w:rPr>
                          <w:sz w:val="22"/>
                          <w:lang w:val="es-419"/>
                        </w:rPr>
                      </w:pPr>
                    </w:p>
                    <w:p w14:paraId="4615FBE5" w14:textId="77777777" w:rsidR="00371496" w:rsidRPr="00C67306" w:rsidRDefault="00371496">
                      <w:pPr>
                        <w:pStyle w:val="BodyText"/>
                        <w:rPr>
                          <w:sz w:val="22"/>
                          <w:lang w:val="es-419"/>
                        </w:rPr>
                      </w:pPr>
                    </w:p>
                    <w:p w14:paraId="546D6BA3" w14:textId="77777777" w:rsidR="00371496" w:rsidRPr="00C67306" w:rsidRDefault="00371496">
                      <w:pPr>
                        <w:pStyle w:val="BodyText"/>
                        <w:rPr>
                          <w:sz w:val="22"/>
                          <w:lang w:val="es-419"/>
                        </w:rPr>
                      </w:pPr>
                    </w:p>
                    <w:p w14:paraId="04C73831" w14:textId="77777777" w:rsidR="00371496" w:rsidRPr="00C67306" w:rsidRDefault="00371496">
                      <w:pPr>
                        <w:pStyle w:val="BodyText"/>
                        <w:rPr>
                          <w:sz w:val="22"/>
                          <w:lang w:val="es-419"/>
                        </w:rPr>
                      </w:pPr>
                    </w:p>
                    <w:p w14:paraId="69C35975" w14:textId="77777777" w:rsidR="00371496" w:rsidRPr="00C67306" w:rsidRDefault="00371496">
                      <w:pPr>
                        <w:pStyle w:val="BodyText"/>
                        <w:rPr>
                          <w:sz w:val="22"/>
                          <w:lang w:val="es-419"/>
                        </w:rPr>
                      </w:pPr>
                    </w:p>
                    <w:p w14:paraId="064BDD69" w14:textId="77777777" w:rsidR="00371496" w:rsidRPr="00C67306" w:rsidRDefault="00371496">
                      <w:pPr>
                        <w:pStyle w:val="BodyText"/>
                        <w:rPr>
                          <w:sz w:val="22"/>
                          <w:lang w:val="es-419"/>
                        </w:rPr>
                      </w:pPr>
                    </w:p>
                    <w:p w14:paraId="2779BAF2" w14:textId="77777777" w:rsidR="00371496" w:rsidRPr="00C67306" w:rsidRDefault="00371496">
                      <w:pPr>
                        <w:pStyle w:val="BodyText"/>
                        <w:rPr>
                          <w:sz w:val="22"/>
                          <w:lang w:val="es-419"/>
                        </w:rPr>
                      </w:pPr>
                    </w:p>
                    <w:p w14:paraId="0405996E" w14:textId="77777777" w:rsidR="00371496" w:rsidRPr="00C67306" w:rsidRDefault="00371496">
                      <w:pPr>
                        <w:pStyle w:val="BodyText"/>
                        <w:rPr>
                          <w:sz w:val="22"/>
                          <w:lang w:val="es-419"/>
                        </w:rPr>
                      </w:pPr>
                    </w:p>
                    <w:p w14:paraId="65DBB752" w14:textId="77777777" w:rsidR="00371496" w:rsidRPr="00C67306" w:rsidRDefault="00371496">
                      <w:pPr>
                        <w:pStyle w:val="BodyText"/>
                        <w:rPr>
                          <w:sz w:val="22"/>
                          <w:lang w:val="es-419"/>
                        </w:rPr>
                      </w:pPr>
                    </w:p>
                    <w:p w14:paraId="3914C4FE" w14:textId="77777777" w:rsidR="00371496" w:rsidRPr="00C67306" w:rsidRDefault="00371496">
                      <w:pPr>
                        <w:pStyle w:val="BodyText"/>
                        <w:rPr>
                          <w:sz w:val="22"/>
                          <w:lang w:val="es-419"/>
                        </w:rPr>
                      </w:pPr>
                    </w:p>
                    <w:p w14:paraId="6CD615F1" w14:textId="77777777" w:rsidR="00371496" w:rsidRPr="00C67306" w:rsidRDefault="00371496">
                      <w:pPr>
                        <w:pStyle w:val="BodyText"/>
                        <w:rPr>
                          <w:sz w:val="22"/>
                          <w:lang w:val="es-419"/>
                        </w:rPr>
                      </w:pPr>
                    </w:p>
                    <w:p w14:paraId="6C14BE4D" w14:textId="77777777" w:rsidR="00371496" w:rsidRPr="00C67306" w:rsidRDefault="00371496">
                      <w:pPr>
                        <w:pStyle w:val="BodyText"/>
                        <w:rPr>
                          <w:sz w:val="22"/>
                          <w:lang w:val="es-419"/>
                        </w:rPr>
                      </w:pPr>
                    </w:p>
                    <w:p w14:paraId="72D584A2" w14:textId="77777777" w:rsidR="00371496" w:rsidRPr="00C67306" w:rsidRDefault="00371496">
                      <w:pPr>
                        <w:pStyle w:val="BodyText"/>
                        <w:rPr>
                          <w:sz w:val="22"/>
                          <w:lang w:val="es-419"/>
                        </w:rPr>
                      </w:pPr>
                    </w:p>
                    <w:p w14:paraId="044E3404" w14:textId="77777777" w:rsidR="00371496" w:rsidRPr="00C67306" w:rsidRDefault="00371496">
                      <w:pPr>
                        <w:pStyle w:val="BodyText"/>
                        <w:rPr>
                          <w:sz w:val="22"/>
                          <w:lang w:val="es-419"/>
                        </w:rPr>
                      </w:pPr>
                    </w:p>
                    <w:p w14:paraId="472E25FD" w14:textId="77777777" w:rsidR="00371496" w:rsidRPr="00C67306" w:rsidRDefault="00371496">
                      <w:pPr>
                        <w:pStyle w:val="BodyText"/>
                        <w:rPr>
                          <w:sz w:val="22"/>
                          <w:lang w:val="es-419"/>
                        </w:rPr>
                      </w:pPr>
                    </w:p>
                    <w:p w14:paraId="50743F04" w14:textId="77777777" w:rsidR="00371496" w:rsidRPr="00C67306" w:rsidRDefault="00371496">
                      <w:pPr>
                        <w:pStyle w:val="BodyText"/>
                        <w:rPr>
                          <w:sz w:val="22"/>
                          <w:lang w:val="es-419"/>
                        </w:rPr>
                      </w:pPr>
                    </w:p>
                    <w:p w14:paraId="16A249B5" w14:textId="77777777" w:rsidR="00371496" w:rsidRPr="00C67306" w:rsidRDefault="00371496">
                      <w:pPr>
                        <w:pStyle w:val="BodyText"/>
                        <w:rPr>
                          <w:sz w:val="22"/>
                          <w:lang w:val="es-419"/>
                        </w:rPr>
                      </w:pPr>
                    </w:p>
                    <w:p w14:paraId="6AF262A4" w14:textId="77777777" w:rsidR="00371496" w:rsidRPr="00C67306" w:rsidRDefault="00371496">
                      <w:pPr>
                        <w:pStyle w:val="BodyText"/>
                        <w:rPr>
                          <w:sz w:val="22"/>
                          <w:lang w:val="es-419"/>
                        </w:rPr>
                      </w:pPr>
                    </w:p>
                    <w:p w14:paraId="6FBF2F20" w14:textId="77777777" w:rsidR="00371496" w:rsidRPr="00C67306" w:rsidRDefault="00371496">
                      <w:pPr>
                        <w:pStyle w:val="BodyText"/>
                        <w:rPr>
                          <w:sz w:val="22"/>
                          <w:lang w:val="es-419"/>
                        </w:rPr>
                      </w:pPr>
                    </w:p>
                    <w:p w14:paraId="147FE114" w14:textId="77777777" w:rsidR="00371496" w:rsidRPr="00C67306" w:rsidRDefault="00371496">
                      <w:pPr>
                        <w:pStyle w:val="BodyText"/>
                        <w:rPr>
                          <w:sz w:val="22"/>
                          <w:lang w:val="es-419"/>
                        </w:rPr>
                      </w:pPr>
                    </w:p>
                    <w:p w14:paraId="08EA78E3" w14:textId="77777777" w:rsidR="00371496" w:rsidRPr="00C67306" w:rsidRDefault="00371496">
                      <w:pPr>
                        <w:pStyle w:val="BodyText"/>
                        <w:rPr>
                          <w:sz w:val="22"/>
                          <w:lang w:val="es-419"/>
                        </w:rPr>
                      </w:pPr>
                    </w:p>
                    <w:p w14:paraId="262C4DEB" w14:textId="77777777" w:rsidR="00371496" w:rsidRPr="00C67306" w:rsidRDefault="00371496">
                      <w:pPr>
                        <w:pStyle w:val="BodyText"/>
                        <w:rPr>
                          <w:sz w:val="22"/>
                          <w:lang w:val="es-419"/>
                        </w:rPr>
                      </w:pPr>
                    </w:p>
                    <w:p w14:paraId="0CB605B8" w14:textId="77777777" w:rsidR="00371496" w:rsidRPr="00C67306" w:rsidRDefault="00371496">
                      <w:pPr>
                        <w:pStyle w:val="BodyText"/>
                        <w:rPr>
                          <w:sz w:val="22"/>
                          <w:lang w:val="es-419"/>
                        </w:rPr>
                      </w:pPr>
                    </w:p>
                    <w:p w14:paraId="3E06130D" w14:textId="77777777" w:rsidR="00371496" w:rsidRPr="00C67306" w:rsidRDefault="00371496">
                      <w:pPr>
                        <w:pStyle w:val="BodyText"/>
                        <w:rPr>
                          <w:sz w:val="22"/>
                          <w:lang w:val="es-419"/>
                        </w:rPr>
                      </w:pPr>
                    </w:p>
                    <w:p w14:paraId="0A159DD6" w14:textId="77777777" w:rsidR="00371496" w:rsidRPr="00C67306" w:rsidRDefault="00371496">
                      <w:pPr>
                        <w:pStyle w:val="BodyText"/>
                        <w:spacing w:before="3"/>
                        <w:rPr>
                          <w:sz w:val="21"/>
                          <w:lang w:val="es-419"/>
                        </w:rPr>
                      </w:pPr>
                    </w:p>
                    <w:p w14:paraId="7A54D27C" w14:textId="77777777" w:rsidR="00371496" w:rsidRPr="00EE7BDA" w:rsidRDefault="00DA43B2">
                      <w:pPr>
                        <w:spacing w:before="1"/>
                        <w:ind w:left="453"/>
                        <w:rPr>
                          <w:rFonts w:ascii="Calibri"/>
                          <w:b/>
                          <w:sz w:val="24"/>
                          <w:lang w:val="pt-BR"/>
                        </w:rPr>
                      </w:pPr>
                      <w:hyperlink r:id="rId9">
                        <w:r w:rsidR="00371496" w:rsidRPr="00EE7BDA">
                          <w:rPr>
                            <w:rFonts w:ascii="Calibri"/>
                            <w:b/>
                            <w:color w:val="FFFFFF"/>
                            <w:sz w:val="24"/>
                            <w:lang w:val="pt-BR"/>
                          </w:rPr>
                          <w:t>www.cidh.org</w:t>
                        </w:r>
                      </w:hyperlink>
                    </w:p>
                  </w:txbxContent>
                </v:textbox>
                <w10:wrap anchorx="page" anchory="page"/>
              </v:shape>
            </w:pict>
          </mc:Fallback>
        </mc:AlternateContent>
      </w:r>
    </w:p>
    <w:p w14:paraId="5DD3CB1A" w14:textId="77777777" w:rsidR="00C02C7F" w:rsidRDefault="001223F2" w:rsidP="00E967F5">
      <w:pPr>
        <w:pStyle w:val="BodyText"/>
        <w:ind w:left="3011"/>
        <w:rPr>
          <w:rFonts w:ascii="Times New Roman"/>
        </w:rPr>
      </w:pPr>
      <w:r>
        <w:rPr>
          <w:rFonts w:ascii="Times New Roman"/>
          <w:noProof/>
        </w:rPr>
        <w:drawing>
          <wp:inline distT="0" distB="0" distL="0" distR="0" wp14:anchorId="5ECEBE8E" wp14:editId="3C7128B3">
            <wp:extent cx="2525632" cy="473201"/>
            <wp:effectExtent l="0" t="0" r="0" b="0"/>
            <wp:docPr id="1" name="image1.jpeg"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25632" cy="473201"/>
                    </a:xfrm>
                    <a:prstGeom prst="rect">
                      <a:avLst/>
                    </a:prstGeom>
                  </pic:spPr>
                </pic:pic>
              </a:graphicData>
            </a:graphic>
          </wp:inline>
        </w:drawing>
      </w:r>
    </w:p>
    <w:p w14:paraId="2123924B" w14:textId="77777777" w:rsidR="00C02C7F" w:rsidRDefault="00C02C7F" w:rsidP="00E967F5">
      <w:pPr>
        <w:pStyle w:val="BodyText"/>
        <w:rPr>
          <w:rFonts w:ascii="Times New Roman"/>
        </w:rPr>
      </w:pPr>
    </w:p>
    <w:p w14:paraId="6CB005A9" w14:textId="77777777" w:rsidR="00C02C7F" w:rsidRDefault="00C02C7F" w:rsidP="00E967F5">
      <w:pPr>
        <w:pStyle w:val="BodyText"/>
        <w:rPr>
          <w:rFonts w:ascii="Times New Roman"/>
        </w:rPr>
      </w:pPr>
    </w:p>
    <w:p w14:paraId="37D60A00" w14:textId="77777777" w:rsidR="00C02C7F" w:rsidRDefault="00C02C7F" w:rsidP="00E967F5">
      <w:pPr>
        <w:pStyle w:val="BodyText"/>
        <w:rPr>
          <w:rFonts w:ascii="Times New Roman"/>
        </w:rPr>
      </w:pPr>
    </w:p>
    <w:p w14:paraId="294A612B" w14:textId="77777777" w:rsidR="00C02C7F" w:rsidRDefault="00C02C7F" w:rsidP="00E967F5">
      <w:pPr>
        <w:pStyle w:val="BodyText"/>
        <w:rPr>
          <w:rFonts w:ascii="Times New Roman"/>
        </w:rPr>
      </w:pPr>
    </w:p>
    <w:p w14:paraId="257E66D2" w14:textId="77777777" w:rsidR="00C02C7F" w:rsidRDefault="00C02C7F" w:rsidP="00E967F5">
      <w:pPr>
        <w:pStyle w:val="BodyText"/>
        <w:rPr>
          <w:rFonts w:ascii="Times New Roman"/>
        </w:rPr>
      </w:pPr>
    </w:p>
    <w:p w14:paraId="7D3B429A" w14:textId="77777777" w:rsidR="00C02C7F" w:rsidRDefault="00C02C7F" w:rsidP="00E967F5">
      <w:pPr>
        <w:pStyle w:val="BodyText"/>
        <w:rPr>
          <w:rFonts w:ascii="Times New Roman"/>
        </w:rPr>
      </w:pPr>
    </w:p>
    <w:p w14:paraId="6577169D" w14:textId="77777777" w:rsidR="00C02C7F" w:rsidRDefault="00C02C7F" w:rsidP="00E967F5">
      <w:pPr>
        <w:pStyle w:val="BodyText"/>
        <w:rPr>
          <w:rFonts w:ascii="Times New Roman"/>
        </w:rPr>
      </w:pPr>
    </w:p>
    <w:p w14:paraId="24AB6ADD" w14:textId="77777777" w:rsidR="00C02C7F" w:rsidRDefault="00C02C7F" w:rsidP="00E967F5">
      <w:pPr>
        <w:pStyle w:val="BodyText"/>
        <w:rPr>
          <w:rFonts w:ascii="Times New Roman"/>
        </w:rPr>
      </w:pPr>
    </w:p>
    <w:p w14:paraId="5F2F745A" w14:textId="77777777" w:rsidR="00C02C7F" w:rsidRDefault="00C02C7F" w:rsidP="00E967F5">
      <w:pPr>
        <w:pStyle w:val="BodyText"/>
        <w:rPr>
          <w:rFonts w:ascii="Times New Roman"/>
        </w:rPr>
      </w:pPr>
    </w:p>
    <w:p w14:paraId="3A8F9941" w14:textId="77777777" w:rsidR="00C02C7F" w:rsidRDefault="00C02C7F" w:rsidP="00E967F5">
      <w:pPr>
        <w:pStyle w:val="BodyText"/>
        <w:rPr>
          <w:rFonts w:ascii="Times New Roman"/>
        </w:rPr>
      </w:pPr>
    </w:p>
    <w:p w14:paraId="31F7366B" w14:textId="77777777" w:rsidR="00C02C7F" w:rsidRDefault="00C02C7F" w:rsidP="00E967F5">
      <w:pPr>
        <w:pStyle w:val="BodyText"/>
        <w:rPr>
          <w:rFonts w:ascii="Times New Roman"/>
        </w:rPr>
      </w:pPr>
    </w:p>
    <w:p w14:paraId="73EF7E9C" w14:textId="77777777" w:rsidR="00C02C7F" w:rsidRDefault="00C02C7F" w:rsidP="00E967F5">
      <w:pPr>
        <w:pStyle w:val="BodyText"/>
        <w:rPr>
          <w:rFonts w:ascii="Times New Roman"/>
        </w:rPr>
      </w:pPr>
    </w:p>
    <w:p w14:paraId="45D91B69" w14:textId="77777777" w:rsidR="00C02C7F" w:rsidRDefault="00C02C7F" w:rsidP="00E967F5">
      <w:pPr>
        <w:pStyle w:val="BodyText"/>
        <w:rPr>
          <w:rFonts w:ascii="Times New Roman"/>
        </w:rPr>
      </w:pPr>
    </w:p>
    <w:p w14:paraId="34FD64FC" w14:textId="77777777" w:rsidR="00C02C7F" w:rsidRDefault="00C02C7F" w:rsidP="00E967F5">
      <w:pPr>
        <w:pStyle w:val="BodyText"/>
        <w:rPr>
          <w:rFonts w:ascii="Times New Roman"/>
        </w:rPr>
      </w:pPr>
    </w:p>
    <w:p w14:paraId="7817E937" w14:textId="736F22A5" w:rsidR="00C02C7F" w:rsidRDefault="001223F2" w:rsidP="00E967F5">
      <w:pPr>
        <w:spacing w:before="226" w:line="276" w:lineRule="auto"/>
        <w:ind w:left="3040" w:right="2236"/>
        <w:rPr>
          <w:b/>
          <w:sz w:val="36"/>
        </w:rPr>
      </w:pPr>
      <w:r w:rsidRPr="003B0E17">
        <w:rPr>
          <w:b/>
          <w:color w:val="050505"/>
          <w:sz w:val="36"/>
        </w:rPr>
        <w:t xml:space="preserve">INFORME No. </w:t>
      </w:r>
      <w:r w:rsidR="0040613C">
        <w:rPr>
          <w:b/>
          <w:color w:val="050505"/>
          <w:spacing w:val="-3"/>
          <w:sz w:val="36"/>
        </w:rPr>
        <w:t>277</w:t>
      </w:r>
      <w:r w:rsidRPr="003B0E17">
        <w:rPr>
          <w:b/>
          <w:color w:val="050505"/>
          <w:spacing w:val="-3"/>
          <w:sz w:val="36"/>
        </w:rPr>
        <w:t>/2</w:t>
      </w:r>
      <w:r w:rsidR="00CF6E5B" w:rsidRPr="003B0E17">
        <w:rPr>
          <w:b/>
          <w:color w:val="050505"/>
          <w:spacing w:val="-3"/>
          <w:sz w:val="36"/>
        </w:rPr>
        <w:t>1</w:t>
      </w:r>
      <w:r w:rsidRPr="003B0E17">
        <w:rPr>
          <w:b/>
          <w:color w:val="050505"/>
          <w:spacing w:val="-3"/>
          <w:sz w:val="36"/>
        </w:rPr>
        <w:t xml:space="preserve"> </w:t>
      </w:r>
      <w:r w:rsidRPr="003B0E17">
        <w:rPr>
          <w:b/>
          <w:color w:val="050505"/>
          <w:sz w:val="36"/>
        </w:rPr>
        <w:t>PETICIÓN</w:t>
      </w:r>
      <w:r w:rsidRPr="003B0E17">
        <w:rPr>
          <w:b/>
          <w:color w:val="050505"/>
          <w:spacing w:val="-2"/>
          <w:sz w:val="36"/>
        </w:rPr>
        <w:t xml:space="preserve"> </w:t>
      </w:r>
      <w:r w:rsidR="00CF6E5B" w:rsidRPr="003B0E17">
        <w:rPr>
          <w:b/>
          <w:color w:val="050505"/>
          <w:sz w:val="36"/>
        </w:rPr>
        <w:t>1</w:t>
      </w:r>
      <w:r w:rsidR="00664365" w:rsidRPr="003B0E17">
        <w:rPr>
          <w:b/>
          <w:color w:val="050505"/>
          <w:sz w:val="36"/>
        </w:rPr>
        <w:t>555</w:t>
      </w:r>
      <w:r w:rsidR="00CF6E5B" w:rsidRPr="003B0E17">
        <w:rPr>
          <w:b/>
          <w:color w:val="050505"/>
          <w:sz w:val="36"/>
        </w:rPr>
        <w:t>-11</w:t>
      </w:r>
    </w:p>
    <w:p w14:paraId="485AE2BC" w14:textId="77777777" w:rsidR="00C02C7F" w:rsidRDefault="001223F2" w:rsidP="00E967F5">
      <w:pPr>
        <w:pStyle w:val="Heading1"/>
        <w:spacing w:line="277" w:lineRule="exact"/>
      </w:pPr>
      <w:r>
        <w:rPr>
          <w:color w:val="050505"/>
        </w:rPr>
        <w:t>INFORME DE</w:t>
      </w:r>
      <w:r>
        <w:rPr>
          <w:color w:val="050505"/>
          <w:spacing w:val="-15"/>
        </w:rPr>
        <w:t xml:space="preserve"> </w:t>
      </w:r>
      <w:r>
        <w:rPr>
          <w:color w:val="050505"/>
        </w:rPr>
        <w:t>ADMISIBILIDAD</w:t>
      </w:r>
    </w:p>
    <w:p w14:paraId="61B91498" w14:textId="77777777" w:rsidR="00C02C7F" w:rsidRDefault="00C02C7F" w:rsidP="00E967F5">
      <w:pPr>
        <w:pStyle w:val="BodyText"/>
        <w:spacing w:before="3"/>
        <w:rPr>
          <w:sz w:val="31"/>
        </w:rPr>
      </w:pPr>
    </w:p>
    <w:p w14:paraId="58FCEC4E" w14:textId="4835EF69" w:rsidR="00664365" w:rsidRDefault="00664365" w:rsidP="00E967F5">
      <w:pPr>
        <w:spacing w:line="276" w:lineRule="auto"/>
        <w:ind w:left="3040" w:right="2705"/>
        <w:rPr>
          <w:color w:val="050505"/>
          <w:sz w:val="24"/>
        </w:rPr>
      </w:pPr>
      <w:r w:rsidRPr="00664365">
        <w:rPr>
          <w:color w:val="050505"/>
          <w:sz w:val="24"/>
        </w:rPr>
        <w:t>FÉLIX ANTONIO ULLOA</w:t>
      </w:r>
      <w:r w:rsidR="003B0E17">
        <w:rPr>
          <w:color w:val="050505"/>
          <w:sz w:val="24"/>
        </w:rPr>
        <w:t xml:space="preserve"> </w:t>
      </w:r>
    </w:p>
    <w:p w14:paraId="1458044E" w14:textId="6F242719" w:rsidR="00C02C7F" w:rsidRDefault="00664365" w:rsidP="00E967F5">
      <w:pPr>
        <w:spacing w:line="276" w:lineRule="auto"/>
        <w:ind w:left="3040" w:right="4155"/>
        <w:rPr>
          <w:sz w:val="24"/>
        </w:rPr>
      </w:pPr>
      <w:r>
        <w:rPr>
          <w:color w:val="050505"/>
          <w:sz w:val="24"/>
        </w:rPr>
        <w:t>EL SALVADOR</w:t>
      </w:r>
    </w:p>
    <w:p w14:paraId="0FA9EC32" w14:textId="77777777" w:rsidR="00C02C7F" w:rsidRDefault="00C02C7F" w:rsidP="00E967F5">
      <w:pPr>
        <w:pStyle w:val="BodyText"/>
        <w:rPr>
          <w:sz w:val="28"/>
        </w:rPr>
      </w:pPr>
    </w:p>
    <w:p w14:paraId="04D6F510" w14:textId="77777777" w:rsidR="00C02C7F" w:rsidRDefault="00C02C7F" w:rsidP="00E967F5">
      <w:pPr>
        <w:pStyle w:val="BodyText"/>
        <w:rPr>
          <w:sz w:val="28"/>
        </w:rPr>
      </w:pPr>
    </w:p>
    <w:p w14:paraId="45841172" w14:textId="77777777" w:rsidR="00C02C7F" w:rsidRDefault="00C02C7F" w:rsidP="00E967F5">
      <w:pPr>
        <w:pStyle w:val="BodyText"/>
        <w:rPr>
          <w:sz w:val="28"/>
        </w:rPr>
      </w:pPr>
    </w:p>
    <w:p w14:paraId="769E29D0" w14:textId="77777777" w:rsidR="00C02C7F" w:rsidRDefault="00C02C7F" w:rsidP="00E967F5">
      <w:pPr>
        <w:pStyle w:val="BodyText"/>
        <w:rPr>
          <w:sz w:val="28"/>
        </w:rPr>
      </w:pPr>
    </w:p>
    <w:p w14:paraId="2CB703E1" w14:textId="77777777" w:rsidR="00C02C7F" w:rsidRDefault="00C02C7F" w:rsidP="00E967F5">
      <w:pPr>
        <w:pStyle w:val="BodyText"/>
        <w:rPr>
          <w:sz w:val="28"/>
        </w:rPr>
      </w:pPr>
    </w:p>
    <w:p w14:paraId="041C9733" w14:textId="77777777" w:rsidR="00C02C7F" w:rsidRDefault="00C02C7F" w:rsidP="00E967F5">
      <w:pPr>
        <w:pStyle w:val="BodyText"/>
        <w:rPr>
          <w:sz w:val="28"/>
        </w:rPr>
      </w:pPr>
    </w:p>
    <w:p w14:paraId="57E12571" w14:textId="77777777" w:rsidR="00C02C7F" w:rsidRDefault="00C02C7F" w:rsidP="00E967F5">
      <w:pPr>
        <w:pStyle w:val="BodyText"/>
        <w:rPr>
          <w:sz w:val="28"/>
        </w:rPr>
      </w:pPr>
    </w:p>
    <w:p w14:paraId="73663671" w14:textId="77777777" w:rsidR="00C02C7F" w:rsidRDefault="00C02C7F" w:rsidP="00E967F5">
      <w:pPr>
        <w:pStyle w:val="BodyText"/>
        <w:rPr>
          <w:sz w:val="28"/>
        </w:rPr>
      </w:pPr>
    </w:p>
    <w:p w14:paraId="33437773" w14:textId="77777777" w:rsidR="00C02C7F" w:rsidRDefault="00C02C7F" w:rsidP="00E967F5">
      <w:pPr>
        <w:pStyle w:val="BodyText"/>
        <w:rPr>
          <w:sz w:val="28"/>
        </w:rPr>
      </w:pPr>
    </w:p>
    <w:p w14:paraId="3E4A4DEB" w14:textId="77777777" w:rsidR="00C02C7F" w:rsidRDefault="00C02C7F" w:rsidP="00E967F5">
      <w:pPr>
        <w:pStyle w:val="BodyText"/>
        <w:rPr>
          <w:sz w:val="28"/>
        </w:rPr>
      </w:pPr>
    </w:p>
    <w:p w14:paraId="439C13BA" w14:textId="77777777" w:rsidR="00C02C7F" w:rsidRDefault="00C02C7F" w:rsidP="00E967F5">
      <w:pPr>
        <w:pStyle w:val="BodyText"/>
        <w:rPr>
          <w:sz w:val="28"/>
        </w:rPr>
      </w:pPr>
    </w:p>
    <w:p w14:paraId="55AD9ADD" w14:textId="77777777" w:rsidR="00C02C7F" w:rsidRDefault="00C02C7F" w:rsidP="00E967F5">
      <w:pPr>
        <w:pStyle w:val="BodyText"/>
        <w:rPr>
          <w:sz w:val="28"/>
        </w:rPr>
      </w:pPr>
    </w:p>
    <w:p w14:paraId="001AF764" w14:textId="77777777" w:rsidR="00C02C7F" w:rsidRDefault="00C02C7F" w:rsidP="00E967F5">
      <w:pPr>
        <w:pStyle w:val="BodyText"/>
        <w:rPr>
          <w:sz w:val="28"/>
        </w:rPr>
      </w:pPr>
    </w:p>
    <w:p w14:paraId="25916868" w14:textId="423A2AD2" w:rsidR="00C02C7F" w:rsidRPr="00726DAC" w:rsidRDefault="001223F2" w:rsidP="00E967F5">
      <w:pPr>
        <w:spacing w:before="216"/>
        <w:ind w:left="3023"/>
        <w:rPr>
          <w:sz w:val="18"/>
        </w:rPr>
      </w:pPr>
      <w:r w:rsidRPr="00726DAC">
        <w:rPr>
          <w:color w:val="050505"/>
          <w:sz w:val="18"/>
        </w:rPr>
        <w:t xml:space="preserve">Aprobado electrónicamente por la Comisión el </w:t>
      </w:r>
      <w:r w:rsidR="0040613C">
        <w:rPr>
          <w:color w:val="050505"/>
          <w:sz w:val="18"/>
        </w:rPr>
        <w:t>5</w:t>
      </w:r>
      <w:r w:rsidRPr="00726DAC">
        <w:rPr>
          <w:color w:val="050505"/>
          <w:sz w:val="18"/>
        </w:rPr>
        <w:t xml:space="preserve"> de </w:t>
      </w:r>
      <w:r w:rsidR="0040613C">
        <w:rPr>
          <w:color w:val="050505"/>
          <w:sz w:val="18"/>
        </w:rPr>
        <w:t>septiembre</w:t>
      </w:r>
      <w:r w:rsidRPr="00726DAC">
        <w:rPr>
          <w:color w:val="050505"/>
          <w:sz w:val="18"/>
        </w:rPr>
        <w:t xml:space="preserve"> de 202</w:t>
      </w:r>
      <w:r w:rsidR="00CF6E5B" w:rsidRPr="00726DAC">
        <w:rPr>
          <w:color w:val="050505"/>
          <w:sz w:val="18"/>
        </w:rPr>
        <w:t>1</w:t>
      </w:r>
      <w:r w:rsidRPr="00726DAC">
        <w:rPr>
          <w:color w:val="050505"/>
          <w:sz w:val="18"/>
        </w:rPr>
        <w:t>.</w:t>
      </w:r>
    </w:p>
    <w:p w14:paraId="565F36A6" w14:textId="77777777" w:rsidR="00C02C7F" w:rsidRPr="00726DAC" w:rsidRDefault="00C02C7F" w:rsidP="00E967F5">
      <w:pPr>
        <w:pStyle w:val="BodyText"/>
      </w:pPr>
    </w:p>
    <w:p w14:paraId="1DC05081" w14:textId="77777777" w:rsidR="00C02C7F" w:rsidRPr="00726DAC" w:rsidRDefault="00C02C7F" w:rsidP="00E967F5">
      <w:pPr>
        <w:pStyle w:val="BodyText"/>
      </w:pPr>
    </w:p>
    <w:p w14:paraId="75DD224D" w14:textId="77777777" w:rsidR="00C02C7F" w:rsidRPr="00726DAC" w:rsidRDefault="00C02C7F" w:rsidP="00E967F5">
      <w:pPr>
        <w:pStyle w:val="BodyText"/>
        <w:spacing w:before="2"/>
        <w:rPr>
          <w:sz w:val="16"/>
        </w:rPr>
      </w:pPr>
    </w:p>
    <w:p w14:paraId="3F79E214" w14:textId="4D452448" w:rsidR="00C02C7F" w:rsidRPr="0040613C" w:rsidRDefault="001223F2" w:rsidP="0040613C">
      <w:pPr>
        <w:ind w:left="3010" w:right="331"/>
        <w:rPr>
          <w:color w:val="595958"/>
          <w:sz w:val="18"/>
        </w:rPr>
      </w:pPr>
      <w:r w:rsidRPr="00726DAC">
        <w:rPr>
          <w:b/>
          <w:color w:val="595958"/>
          <w:sz w:val="18"/>
          <w:lang w:val="pt-BR"/>
        </w:rPr>
        <w:t xml:space="preserve">Citar como: </w:t>
      </w:r>
      <w:r w:rsidRPr="00726DAC">
        <w:rPr>
          <w:color w:val="595958"/>
          <w:sz w:val="18"/>
          <w:lang w:val="pt-BR"/>
        </w:rPr>
        <w:t xml:space="preserve">CIDH, Informe No. </w:t>
      </w:r>
      <w:r w:rsidR="0040613C" w:rsidRPr="0040613C">
        <w:rPr>
          <w:color w:val="595958"/>
          <w:sz w:val="18"/>
          <w:lang w:val="pt-BR"/>
        </w:rPr>
        <w:t>277</w:t>
      </w:r>
      <w:r w:rsidRPr="0040613C">
        <w:rPr>
          <w:color w:val="595958"/>
          <w:sz w:val="18"/>
          <w:lang w:val="pt-BR"/>
        </w:rPr>
        <w:t>/2</w:t>
      </w:r>
      <w:r w:rsidR="00CF6E5B" w:rsidRPr="0040613C">
        <w:rPr>
          <w:color w:val="595958"/>
          <w:sz w:val="18"/>
          <w:lang w:val="pt-BR"/>
        </w:rPr>
        <w:t>1</w:t>
      </w:r>
      <w:r w:rsidRPr="0040613C">
        <w:rPr>
          <w:color w:val="595958"/>
          <w:sz w:val="18"/>
          <w:lang w:val="pt-BR"/>
        </w:rPr>
        <w:t xml:space="preserve">. </w:t>
      </w:r>
      <w:r w:rsidRPr="00726DAC">
        <w:rPr>
          <w:color w:val="595958"/>
          <w:sz w:val="18"/>
        </w:rPr>
        <w:t>Petición P-</w:t>
      </w:r>
      <w:r w:rsidR="00CF6E5B" w:rsidRPr="00726DAC">
        <w:rPr>
          <w:color w:val="595958"/>
          <w:sz w:val="18"/>
        </w:rPr>
        <w:t>1</w:t>
      </w:r>
      <w:r w:rsidR="00664365" w:rsidRPr="00726DAC">
        <w:rPr>
          <w:color w:val="595958"/>
          <w:sz w:val="18"/>
        </w:rPr>
        <w:t>555</w:t>
      </w:r>
      <w:r w:rsidRPr="00726DAC">
        <w:rPr>
          <w:color w:val="595958"/>
          <w:sz w:val="18"/>
        </w:rPr>
        <w:t>-</w:t>
      </w:r>
      <w:r w:rsidR="0026469F" w:rsidRPr="00726DAC">
        <w:rPr>
          <w:color w:val="595958"/>
          <w:sz w:val="18"/>
        </w:rPr>
        <w:t>1</w:t>
      </w:r>
      <w:r w:rsidR="00362ADC" w:rsidRPr="00726DAC">
        <w:rPr>
          <w:color w:val="595958"/>
          <w:sz w:val="18"/>
        </w:rPr>
        <w:t>1</w:t>
      </w:r>
      <w:r w:rsidRPr="00726DAC">
        <w:rPr>
          <w:color w:val="595958"/>
          <w:sz w:val="18"/>
        </w:rPr>
        <w:t xml:space="preserve">. Admisibilidad. </w:t>
      </w:r>
      <w:r w:rsidR="00664365" w:rsidRPr="00726DAC">
        <w:rPr>
          <w:color w:val="595958"/>
          <w:sz w:val="18"/>
        </w:rPr>
        <w:t>Félix Antonio Ulloa</w:t>
      </w:r>
      <w:r w:rsidRPr="00726DAC">
        <w:rPr>
          <w:color w:val="595958"/>
          <w:sz w:val="18"/>
        </w:rPr>
        <w:t xml:space="preserve">. </w:t>
      </w:r>
      <w:r w:rsidR="00664365" w:rsidRPr="00726DAC">
        <w:rPr>
          <w:color w:val="595958"/>
          <w:sz w:val="18"/>
        </w:rPr>
        <w:t>El Salvador</w:t>
      </w:r>
      <w:r w:rsidRPr="00726DAC">
        <w:rPr>
          <w:color w:val="595958"/>
          <w:sz w:val="18"/>
        </w:rPr>
        <w:t xml:space="preserve">. </w:t>
      </w:r>
      <w:r w:rsidR="0040613C">
        <w:rPr>
          <w:color w:val="595958"/>
          <w:sz w:val="18"/>
        </w:rPr>
        <w:t>5</w:t>
      </w:r>
      <w:r w:rsidRPr="00726DAC">
        <w:rPr>
          <w:color w:val="595958"/>
          <w:sz w:val="18"/>
        </w:rPr>
        <w:t xml:space="preserve"> de </w:t>
      </w:r>
      <w:r w:rsidR="0040613C">
        <w:rPr>
          <w:color w:val="595958"/>
          <w:sz w:val="18"/>
        </w:rPr>
        <w:t>septiembre</w:t>
      </w:r>
      <w:r w:rsidRPr="00726DAC">
        <w:rPr>
          <w:color w:val="595958"/>
          <w:sz w:val="18"/>
        </w:rPr>
        <w:t xml:space="preserve"> de 202</w:t>
      </w:r>
      <w:r w:rsidR="00CF6E5B" w:rsidRPr="00726DAC">
        <w:rPr>
          <w:color w:val="595958"/>
          <w:sz w:val="18"/>
        </w:rPr>
        <w:t>1</w:t>
      </w:r>
      <w:r w:rsidRPr="00726DAC">
        <w:rPr>
          <w:color w:val="595958"/>
          <w:sz w:val="18"/>
        </w:rPr>
        <w:t>.</w:t>
      </w:r>
    </w:p>
    <w:p w14:paraId="41E2E7B7" w14:textId="77777777" w:rsidR="00C02C7F" w:rsidRDefault="00C02C7F" w:rsidP="00E967F5">
      <w:pPr>
        <w:pStyle w:val="BodyText"/>
      </w:pPr>
    </w:p>
    <w:p w14:paraId="38E03824" w14:textId="77777777" w:rsidR="00C02C7F" w:rsidRDefault="00C02C7F" w:rsidP="00E967F5">
      <w:pPr>
        <w:pStyle w:val="BodyText"/>
      </w:pPr>
    </w:p>
    <w:p w14:paraId="0CD67CB2" w14:textId="77777777" w:rsidR="00C02C7F" w:rsidRDefault="00C02C7F" w:rsidP="00E967F5">
      <w:pPr>
        <w:pStyle w:val="BodyText"/>
      </w:pPr>
    </w:p>
    <w:p w14:paraId="1B7A744F" w14:textId="77777777" w:rsidR="00C02C7F" w:rsidRDefault="001223F2" w:rsidP="00E967F5">
      <w:pPr>
        <w:pStyle w:val="BodyText"/>
        <w:spacing w:before="4"/>
        <w:rPr>
          <w:sz w:val="16"/>
        </w:rPr>
      </w:pPr>
      <w:r>
        <w:rPr>
          <w:noProof/>
        </w:rPr>
        <w:drawing>
          <wp:anchor distT="0" distB="0" distL="0" distR="0" simplePos="0" relativeHeight="251656192" behindDoc="0" locked="0" layoutInCell="1" allowOverlap="1" wp14:anchorId="5C333012" wp14:editId="2BDC3543">
            <wp:simplePos x="0" y="0"/>
            <wp:positionH relativeFrom="page">
              <wp:posOffset>2338705</wp:posOffset>
            </wp:positionH>
            <wp:positionV relativeFrom="paragraph">
              <wp:posOffset>284661</wp:posOffset>
            </wp:positionV>
            <wp:extent cx="1772183" cy="456056"/>
            <wp:effectExtent l="0" t="0" r="0" b="127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772183" cy="456056"/>
                    </a:xfrm>
                    <a:prstGeom prst="rect">
                      <a:avLst/>
                    </a:prstGeom>
                  </pic:spPr>
                </pic:pic>
              </a:graphicData>
            </a:graphic>
          </wp:anchor>
        </w:drawing>
      </w:r>
    </w:p>
    <w:p w14:paraId="43CCC4A7" w14:textId="77777777" w:rsidR="00C02C7F" w:rsidRDefault="00C02C7F" w:rsidP="00E967F5">
      <w:pPr>
        <w:rPr>
          <w:sz w:val="16"/>
        </w:rPr>
        <w:sectPr w:rsidR="00C02C7F" w:rsidSect="00C67306">
          <w:headerReference w:type="default" r:id="rId12"/>
          <w:type w:val="continuous"/>
          <w:pgSz w:w="12240" w:h="15840"/>
          <w:pgMar w:top="740" w:right="1200" w:bottom="280" w:left="680" w:header="720" w:footer="720" w:gutter="0"/>
          <w:cols w:space="720"/>
          <w:titlePg/>
          <w:docGrid w:linePitch="299"/>
        </w:sectPr>
      </w:pPr>
    </w:p>
    <w:p w14:paraId="21A11F39" w14:textId="77777777" w:rsidR="00C02C7F" w:rsidRDefault="00C02C7F" w:rsidP="00E967F5">
      <w:pPr>
        <w:pStyle w:val="BodyText"/>
        <w:spacing w:before="4"/>
        <w:rPr>
          <w:sz w:val="11"/>
        </w:rPr>
      </w:pPr>
    </w:p>
    <w:p w14:paraId="3D379E68" w14:textId="77777777" w:rsidR="00C02C7F" w:rsidRDefault="001223F2" w:rsidP="00E967F5">
      <w:pPr>
        <w:pStyle w:val="Heading2"/>
        <w:numPr>
          <w:ilvl w:val="0"/>
          <w:numId w:val="3"/>
        </w:numPr>
        <w:spacing w:before="99"/>
        <w:ind w:firstLine="270"/>
      </w:pPr>
      <w:bookmarkStart w:id="2" w:name="_bookmark4"/>
      <w:bookmarkEnd w:id="2"/>
      <w:r>
        <w:t>DATOS DE LA</w:t>
      </w:r>
      <w:r>
        <w:rPr>
          <w:spacing w:val="1"/>
        </w:rPr>
        <w:t xml:space="preserve"> </w:t>
      </w:r>
      <w:r>
        <w:t>PETICIÓN</w:t>
      </w:r>
    </w:p>
    <w:p w14:paraId="19C4C750" w14:textId="77777777" w:rsidR="00C02C7F" w:rsidRDefault="00C02C7F" w:rsidP="00E967F5">
      <w:pPr>
        <w:pStyle w:val="BodyText"/>
        <w:spacing w:before="4"/>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6569"/>
      </w:tblGrid>
      <w:tr w:rsidR="00C02C7F" w:rsidRPr="007206F8" w14:paraId="2E06C8FB" w14:textId="77777777" w:rsidTr="00E967F5">
        <w:trPr>
          <w:trHeight w:val="222"/>
        </w:trPr>
        <w:tc>
          <w:tcPr>
            <w:tcW w:w="2954" w:type="dxa"/>
            <w:tcBorders>
              <w:bottom w:val="single" w:sz="6" w:space="0" w:color="000000"/>
              <w:right w:val="single" w:sz="6" w:space="0" w:color="000000"/>
            </w:tcBorders>
            <w:shd w:val="clear" w:color="auto" w:fill="386294"/>
          </w:tcPr>
          <w:p w14:paraId="2D1EFF23" w14:textId="77777777" w:rsidR="00C02C7F" w:rsidRDefault="001223F2" w:rsidP="00E967F5">
            <w:pPr>
              <w:pStyle w:val="TableParagraph"/>
              <w:ind w:left="175" w:right="164"/>
              <w:jc w:val="center"/>
              <w:rPr>
                <w:sz w:val="19"/>
              </w:rPr>
            </w:pPr>
            <w:r>
              <w:rPr>
                <w:color w:val="FFFFFF"/>
                <w:sz w:val="19"/>
              </w:rPr>
              <w:t>Parte peticionaria</w:t>
            </w:r>
          </w:p>
        </w:tc>
        <w:tc>
          <w:tcPr>
            <w:tcW w:w="6569" w:type="dxa"/>
            <w:tcBorders>
              <w:left w:val="single" w:sz="6" w:space="0" w:color="000000"/>
              <w:bottom w:val="single" w:sz="6" w:space="0" w:color="000000"/>
            </w:tcBorders>
          </w:tcPr>
          <w:p w14:paraId="192EA89A" w14:textId="78C3E2C0" w:rsidR="00C02C7F" w:rsidRPr="00664365" w:rsidRDefault="00664365" w:rsidP="00E967F5">
            <w:pPr>
              <w:pStyle w:val="TableParagraph"/>
              <w:ind w:right="65"/>
              <w:jc w:val="both"/>
              <w:rPr>
                <w:sz w:val="12"/>
              </w:rPr>
            </w:pPr>
            <w:r w:rsidRPr="00664365">
              <w:rPr>
                <w:sz w:val="19"/>
              </w:rPr>
              <w:t>Instituto de Derechos Humanos de la Universidad Centroamericana</w:t>
            </w:r>
            <w:r>
              <w:rPr>
                <w:sz w:val="19"/>
              </w:rPr>
              <w:t xml:space="preserve"> </w:t>
            </w:r>
            <w:r w:rsidRPr="00664365">
              <w:rPr>
                <w:sz w:val="19"/>
              </w:rPr>
              <w:t>"José Simeón Cañas" (IDHUCA)</w:t>
            </w:r>
          </w:p>
        </w:tc>
      </w:tr>
      <w:tr w:rsidR="00C02C7F" w14:paraId="78BCB745" w14:textId="77777777" w:rsidTr="00E967F5">
        <w:trPr>
          <w:trHeight w:val="222"/>
        </w:trPr>
        <w:tc>
          <w:tcPr>
            <w:tcW w:w="2954" w:type="dxa"/>
            <w:tcBorders>
              <w:top w:val="single" w:sz="6" w:space="0" w:color="000000"/>
              <w:bottom w:val="single" w:sz="6" w:space="0" w:color="000000"/>
              <w:right w:val="single" w:sz="6" w:space="0" w:color="000000"/>
            </w:tcBorders>
            <w:shd w:val="clear" w:color="auto" w:fill="386294"/>
          </w:tcPr>
          <w:p w14:paraId="5558FF07" w14:textId="020AEE9F" w:rsidR="00C02C7F" w:rsidRDefault="001223F2" w:rsidP="00E967F5">
            <w:pPr>
              <w:pStyle w:val="TableParagraph"/>
              <w:ind w:left="175" w:right="167"/>
              <w:jc w:val="center"/>
              <w:rPr>
                <w:sz w:val="19"/>
              </w:rPr>
            </w:pPr>
            <w:r>
              <w:rPr>
                <w:color w:val="FFFFFF"/>
                <w:sz w:val="19"/>
              </w:rPr>
              <w:t>Presunta</w:t>
            </w:r>
            <w:r w:rsidR="00664365">
              <w:rPr>
                <w:color w:val="FFFFFF"/>
                <w:sz w:val="19"/>
              </w:rPr>
              <w:t>s</w:t>
            </w:r>
            <w:r>
              <w:rPr>
                <w:color w:val="FFFFFF"/>
                <w:sz w:val="19"/>
              </w:rPr>
              <w:t xml:space="preserve"> víctima</w:t>
            </w:r>
            <w:r w:rsidR="00664365">
              <w:rPr>
                <w:color w:val="FFFFFF"/>
                <w:sz w:val="19"/>
              </w:rPr>
              <w:t>s</w:t>
            </w:r>
          </w:p>
        </w:tc>
        <w:tc>
          <w:tcPr>
            <w:tcW w:w="6569" w:type="dxa"/>
            <w:tcBorders>
              <w:top w:val="single" w:sz="6" w:space="0" w:color="000000"/>
              <w:left w:val="single" w:sz="6" w:space="0" w:color="000000"/>
              <w:bottom w:val="single" w:sz="6" w:space="0" w:color="000000"/>
            </w:tcBorders>
          </w:tcPr>
          <w:p w14:paraId="523C9213" w14:textId="5D302534" w:rsidR="00C02C7F" w:rsidRDefault="00664365" w:rsidP="00E967F5">
            <w:pPr>
              <w:pStyle w:val="TableParagraph"/>
              <w:rPr>
                <w:sz w:val="19"/>
              </w:rPr>
            </w:pPr>
            <w:r w:rsidRPr="00664365">
              <w:rPr>
                <w:sz w:val="19"/>
                <w:lang w:val="pt-BR"/>
              </w:rPr>
              <w:t>Félix Antonio Ulloa</w:t>
            </w:r>
          </w:p>
        </w:tc>
      </w:tr>
      <w:tr w:rsidR="00C02C7F" w14:paraId="2D2B5C75" w14:textId="77777777" w:rsidTr="00E967F5">
        <w:trPr>
          <w:trHeight w:val="222"/>
        </w:trPr>
        <w:tc>
          <w:tcPr>
            <w:tcW w:w="2954" w:type="dxa"/>
            <w:tcBorders>
              <w:top w:val="single" w:sz="6" w:space="0" w:color="000000"/>
              <w:bottom w:val="single" w:sz="6" w:space="0" w:color="000000"/>
              <w:right w:val="single" w:sz="6" w:space="0" w:color="000000"/>
            </w:tcBorders>
            <w:shd w:val="clear" w:color="auto" w:fill="386294"/>
          </w:tcPr>
          <w:p w14:paraId="7ACFC022" w14:textId="77777777" w:rsidR="00C02C7F" w:rsidRDefault="001223F2" w:rsidP="00E967F5">
            <w:pPr>
              <w:pStyle w:val="TableParagraph"/>
              <w:ind w:left="175" w:right="168"/>
              <w:jc w:val="center"/>
              <w:rPr>
                <w:sz w:val="19"/>
              </w:rPr>
            </w:pPr>
            <w:r>
              <w:rPr>
                <w:color w:val="FFFFFF"/>
                <w:sz w:val="19"/>
              </w:rPr>
              <w:t>Estado denunciado</w:t>
            </w:r>
          </w:p>
        </w:tc>
        <w:tc>
          <w:tcPr>
            <w:tcW w:w="6569" w:type="dxa"/>
            <w:tcBorders>
              <w:top w:val="single" w:sz="6" w:space="0" w:color="000000"/>
              <w:left w:val="single" w:sz="6" w:space="0" w:color="000000"/>
              <w:bottom w:val="single" w:sz="6" w:space="0" w:color="000000"/>
            </w:tcBorders>
          </w:tcPr>
          <w:p w14:paraId="0F0AD21D" w14:textId="7D8B867C" w:rsidR="00C02C7F" w:rsidRDefault="00664365" w:rsidP="00E967F5">
            <w:pPr>
              <w:pStyle w:val="TableParagraph"/>
              <w:rPr>
                <w:sz w:val="19"/>
              </w:rPr>
            </w:pPr>
            <w:r>
              <w:rPr>
                <w:sz w:val="19"/>
              </w:rPr>
              <w:t>El Salvador</w:t>
            </w:r>
          </w:p>
        </w:tc>
      </w:tr>
      <w:tr w:rsidR="00C02C7F" w14:paraId="7B4FADA0" w14:textId="77777777" w:rsidTr="00E967F5">
        <w:trPr>
          <w:trHeight w:val="889"/>
        </w:trPr>
        <w:tc>
          <w:tcPr>
            <w:tcW w:w="2954" w:type="dxa"/>
            <w:tcBorders>
              <w:top w:val="single" w:sz="6" w:space="0" w:color="000000"/>
              <w:bottom w:val="single" w:sz="6" w:space="0" w:color="000000"/>
              <w:right w:val="single" w:sz="6" w:space="0" w:color="000000"/>
            </w:tcBorders>
            <w:shd w:val="clear" w:color="auto" w:fill="386294"/>
          </w:tcPr>
          <w:p w14:paraId="7386B7A3" w14:textId="77777777" w:rsidR="00C02C7F" w:rsidRDefault="00C02C7F" w:rsidP="00E967F5">
            <w:pPr>
              <w:pStyle w:val="TableParagraph"/>
              <w:spacing w:before="2" w:line="240" w:lineRule="auto"/>
              <w:ind w:left="0"/>
              <w:rPr>
                <w:b/>
                <w:sz w:val="28"/>
              </w:rPr>
            </w:pPr>
          </w:p>
          <w:p w14:paraId="123FDED4" w14:textId="77777777" w:rsidR="00C02C7F" w:rsidRDefault="001223F2" w:rsidP="00E967F5">
            <w:pPr>
              <w:pStyle w:val="TableParagraph"/>
              <w:spacing w:line="240" w:lineRule="auto"/>
              <w:ind w:left="175" w:right="163"/>
              <w:jc w:val="center"/>
              <w:rPr>
                <w:sz w:val="19"/>
              </w:rPr>
            </w:pPr>
            <w:r>
              <w:rPr>
                <w:color w:val="FFFFFF"/>
                <w:sz w:val="19"/>
              </w:rPr>
              <w:t>Derechos invocados</w:t>
            </w:r>
          </w:p>
        </w:tc>
        <w:tc>
          <w:tcPr>
            <w:tcW w:w="6569" w:type="dxa"/>
            <w:tcBorders>
              <w:top w:val="single" w:sz="6" w:space="0" w:color="000000"/>
              <w:left w:val="single" w:sz="6" w:space="0" w:color="000000"/>
            </w:tcBorders>
          </w:tcPr>
          <w:p w14:paraId="343BF5C1" w14:textId="56D61085" w:rsidR="00C02C7F" w:rsidRDefault="001223F2" w:rsidP="00E967F5">
            <w:pPr>
              <w:pStyle w:val="TableParagraph"/>
              <w:ind w:right="34"/>
              <w:rPr>
                <w:sz w:val="12"/>
              </w:rPr>
            </w:pPr>
            <w:r>
              <w:rPr>
                <w:sz w:val="19"/>
              </w:rPr>
              <w:t>Artículos</w:t>
            </w:r>
            <w:r w:rsidR="00664365">
              <w:rPr>
                <w:sz w:val="19"/>
              </w:rPr>
              <w:t xml:space="preserve"> 4 (vida), 5 (integridad personal),</w:t>
            </w:r>
            <w:r>
              <w:rPr>
                <w:sz w:val="19"/>
              </w:rPr>
              <w:t xml:space="preserve"> </w:t>
            </w:r>
            <w:r w:rsidR="00920309">
              <w:rPr>
                <w:sz w:val="19"/>
              </w:rPr>
              <w:t>8</w:t>
            </w:r>
            <w:r w:rsidR="00384195">
              <w:rPr>
                <w:sz w:val="19"/>
              </w:rPr>
              <w:t xml:space="preserve"> (garantías judiciales)</w:t>
            </w:r>
            <w:r w:rsidR="00920309">
              <w:rPr>
                <w:sz w:val="19"/>
              </w:rPr>
              <w:t>, 25 (protección judicial)</w:t>
            </w:r>
            <w:r w:rsidR="00384195">
              <w:rPr>
                <w:sz w:val="19"/>
              </w:rPr>
              <w:t xml:space="preserve"> de la Convención Americana de Derechos Humanos, </w:t>
            </w:r>
            <w:r w:rsidR="00807BF6">
              <w:rPr>
                <w:sz w:val="19"/>
              </w:rPr>
              <w:t xml:space="preserve">en conexión </w:t>
            </w:r>
            <w:r w:rsidR="00807BF6" w:rsidRPr="00807BF6">
              <w:rPr>
                <w:sz w:val="19"/>
              </w:rPr>
              <w:t xml:space="preserve">con </w:t>
            </w:r>
            <w:r w:rsidR="00920309">
              <w:rPr>
                <w:sz w:val="19"/>
              </w:rPr>
              <w:t>el</w:t>
            </w:r>
            <w:r w:rsidR="00807BF6" w:rsidRPr="00807BF6">
              <w:rPr>
                <w:sz w:val="19"/>
              </w:rPr>
              <w:t xml:space="preserve"> artículo 1.1 (obligación de respetar los derechos) </w:t>
            </w:r>
          </w:p>
        </w:tc>
      </w:tr>
    </w:tbl>
    <w:p w14:paraId="3AC4BC06" w14:textId="293CF95B" w:rsidR="00C02C7F" w:rsidRDefault="001223F2" w:rsidP="00E967F5">
      <w:pPr>
        <w:pStyle w:val="ListParagraph"/>
        <w:numPr>
          <w:ilvl w:val="0"/>
          <w:numId w:val="3"/>
        </w:numPr>
        <w:spacing w:before="122"/>
        <w:ind w:left="2200" w:hanging="721"/>
        <w:rPr>
          <w:b/>
          <w:sz w:val="13"/>
        </w:rPr>
      </w:pPr>
      <w:r>
        <w:rPr>
          <w:b/>
          <w:sz w:val="20"/>
        </w:rPr>
        <w:t>TRÁMITE ANTE LA</w:t>
      </w:r>
      <w:r>
        <w:rPr>
          <w:b/>
          <w:spacing w:val="-2"/>
          <w:sz w:val="20"/>
        </w:rPr>
        <w:t xml:space="preserve"> </w:t>
      </w:r>
      <w:r>
        <w:rPr>
          <w:b/>
          <w:spacing w:val="2"/>
          <w:sz w:val="20"/>
        </w:rPr>
        <w:t>CIDH</w:t>
      </w:r>
    </w:p>
    <w:p w14:paraId="286E1769" w14:textId="77777777" w:rsidR="00C02C7F" w:rsidRDefault="00C02C7F" w:rsidP="00E967F5">
      <w:pPr>
        <w:pStyle w:val="BodyText"/>
        <w:spacing w:before="10" w:after="1"/>
        <w:rPr>
          <w:b/>
          <w:sz w:val="9"/>
        </w:rPr>
      </w:pPr>
    </w:p>
    <w:tbl>
      <w:tblPr>
        <w:tblStyle w:val="TableNormal1"/>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54"/>
        <w:gridCol w:w="6569"/>
      </w:tblGrid>
      <w:tr w:rsidR="00C02C7F" w:rsidRPr="00CE19C2" w14:paraId="3325FE85" w14:textId="77777777" w:rsidTr="00E967F5">
        <w:trPr>
          <w:trHeight w:val="225"/>
        </w:trPr>
        <w:tc>
          <w:tcPr>
            <w:tcW w:w="2954" w:type="dxa"/>
            <w:tcBorders>
              <w:left w:val="single" w:sz="4" w:space="0" w:color="000000"/>
            </w:tcBorders>
            <w:shd w:val="clear" w:color="auto" w:fill="386294"/>
          </w:tcPr>
          <w:p w14:paraId="2284D9D5" w14:textId="77777777" w:rsidR="00C02C7F" w:rsidRDefault="001223F2" w:rsidP="00E967F5">
            <w:pPr>
              <w:pStyle w:val="TableParagraph"/>
              <w:spacing w:line="205" w:lineRule="exact"/>
              <w:ind w:left="175" w:right="165"/>
              <w:jc w:val="center"/>
              <w:rPr>
                <w:sz w:val="19"/>
              </w:rPr>
            </w:pPr>
            <w:r>
              <w:rPr>
                <w:color w:val="FFFFFF"/>
                <w:sz w:val="19"/>
              </w:rPr>
              <w:t>Recepción de la petición</w:t>
            </w:r>
          </w:p>
        </w:tc>
        <w:tc>
          <w:tcPr>
            <w:tcW w:w="6569" w:type="dxa"/>
            <w:tcBorders>
              <w:top w:val="single" w:sz="4" w:space="0" w:color="000000"/>
              <w:right w:val="single" w:sz="4" w:space="0" w:color="000000"/>
            </w:tcBorders>
          </w:tcPr>
          <w:p w14:paraId="5DA58D2E" w14:textId="35E9296E" w:rsidR="00C02C7F" w:rsidRPr="00CE19C2" w:rsidRDefault="00664365" w:rsidP="00E967F5">
            <w:pPr>
              <w:pStyle w:val="TableParagraph"/>
              <w:spacing w:line="205" w:lineRule="exact"/>
              <w:rPr>
                <w:sz w:val="19"/>
                <w:highlight w:val="yellow"/>
              </w:rPr>
            </w:pPr>
            <w:r>
              <w:rPr>
                <w:sz w:val="19"/>
              </w:rPr>
              <w:t>4 de noviembre</w:t>
            </w:r>
            <w:r w:rsidR="0053334E" w:rsidRPr="0053334E">
              <w:rPr>
                <w:sz w:val="19"/>
              </w:rPr>
              <w:t xml:space="preserve"> de 2011</w:t>
            </w:r>
          </w:p>
        </w:tc>
      </w:tr>
      <w:tr w:rsidR="00C02C7F" w14:paraId="32759362" w14:textId="77777777" w:rsidTr="00E967F5">
        <w:trPr>
          <w:trHeight w:val="222"/>
        </w:trPr>
        <w:tc>
          <w:tcPr>
            <w:tcW w:w="2954" w:type="dxa"/>
            <w:tcBorders>
              <w:left w:val="single" w:sz="4" w:space="0" w:color="000000"/>
            </w:tcBorders>
            <w:shd w:val="clear" w:color="auto" w:fill="386294"/>
          </w:tcPr>
          <w:p w14:paraId="017B6122" w14:textId="77777777" w:rsidR="00C02C7F" w:rsidRDefault="001223F2" w:rsidP="00E967F5">
            <w:pPr>
              <w:pStyle w:val="TableParagraph"/>
              <w:ind w:left="175" w:right="168"/>
              <w:jc w:val="center"/>
              <w:rPr>
                <w:sz w:val="19"/>
              </w:rPr>
            </w:pPr>
            <w:r>
              <w:rPr>
                <w:color w:val="FFFFFF"/>
                <w:sz w:val="19"/>
              </w:rPr>
              <w:t>Notificación de la petición</w:t>
            </w:r>
          </w:p>
        </w:tc>
        <w:tc>
          <w:tcPr>
            <w:tcW w:w="6569" w:type="dxa"/>
            <w:tcBorders>
              <w:right w:val="single" w:sz="4" w:space="0" w:color="000000"/>
            </w:tcBorders>
          </w:tcPr>
          <w:p w14:paraId="7549FCD6" w14:textId="15B93834" w:rsidR="00C02C7F" w:rsidRPr="00BE5630" w:rsidRDefault="00664365" w:rsidP="00E967F5">
            <w:pPr>
              <w:pStyle w:val="TableParagraph"/>
              <w:rPr>
                <w:sz w:val="19"/>
              </w:rPr>
            </w:pPr>
            <w:r>
              <w:rPr>
                <w:sz w:val="19"/>
              </w:rPr>
              <w:t>14 de diciembre de 2017</w:t>
            </w:r>
          </w:p>
        </w:tc>
      </w:tr>
      <w:tr w:rsidR="00C02C7F" w14:paraId="41A7E7E6" w14:textId="77777777" w:rsidTr="00E967F5">
        <w:trPr>
          <w:trHeight w:val="222"/>
        </w:trPr>
        <w:tc>
          <w:tcPr>
            <w:tcW w:w="2954" w:type="dxa"/>
            <w:tcBorders>
              <w:left w:val="single" w:sz="4" w:space="0" w:color="000000"/>
            </w:tcBorders>
            <w:shd w:val="clear" w:color="auto" w:fill="386294"/>
          </w:tcPr>
          <w:p w14:paraId="63A3DC5C" w14:textId="77777777" w:rsidR="00C02C7F" w:rsidRDefault="001223F2" w:rsidP="00E967F5">
            <w:pPr>
              <w:pStyle w:val="TableParagraph"/>
              <w:ind w:left="175" w:right="166"/>
              <w:jc w:val="center"/>
              <w:rPr>
                <w:sz w:val="19"/>
              </w:rPr>
            </w:pPr>
            <w:r>
              <w:rPr>
                <w:color w:val="FFFFFF"/>
                <w:sz w:val="19"/>
              </w:rPr>
              <w:t>Primera respuesta del Estado</w:t>
            </w:r>
          </w:p>
        </w:tc>
        <w:tc>
          <w:tcPr>
            <w:tcW w:w="6569" w:type="dxa"/>
            <w:tcBorders>
              <w:right w:val="single" w:sz="4" w:space="0" w:color="000000"/>
            </w:tcBorders>
          </w:tcPr>
          <w:p w14:paraId="20499362" w14:textId="58947987" w:rsidR="00C02C7F" w:rsidRPr="00BE5630" w:rsidRDefault="00664365" w:rsidP="00E967F5">
            <w:pPr>
              <w:pStyle w:val="TableParagraph"/>
              <w:rPr>
                <w:sz w:val="19"/>
              </w:rPr>
            </w:pPr>
            <w:r>
              <w:rPr>
                <w:sz w:val="19"/>
              </w:rPr>
              <w:t>25 de mayo de 2018</w:t>
            </w:r>
          </w:p>
        </w:tc>
      </w:tr>
      <w:tr w:rsidR="00664365" w14:paraId="2D8E3796" w14:textId="77777777" w:rsidTr="00E967F5">
        <w:trPr>
          <w:trHeight w:val="222"/>
        </w:trPr>
        <w:tc>
          <w:tcPr>
            <w:tcW w:w="2954" w:type="dxa"/>
            <w:tcBorders>
              <w:left w:val="single" w:sz="4" w:space="0" w:color="000000"/>
            </w:tcBorders>
            <w:shd w:val="clear" w:color="auto" w:fill="386294"/>
          </w:tcPr>
          <w:p w14:paraId="65D5D43B" w14:textId="768C1BBC" w:rsidR="00664365" w:rsidRDefault="00664365" w:rsidP="00E967F5">
            <w:pPr>
              <w:pStyle w:val="TableParagraph"/>
              <w:ind w:left="175" w:right="166"/>
              <w:jc w:val="center"/>
              <w:rPr>
                <w:color w:val="FFFFFF"/>
                <w:sz w:val="19"/>
              </w:rPr>
            </w:pPr>
            <w:r>
              <w:rPr>
                <w:color w:val="FFFFFF"/>
                <w:sz w:val="19"/>
              </w:rPr>
              <w:t>Información adicional de la parte peticionaria</w:t>
            </w:r>
          </w:p>
        </w:tc>
        <w:tc>
          <w:tcPr>
            <w:tcW w:w="6569" w:type="dxa"/>
            <w:tcBorders>
              <w:right w:val="single" w:sz="4" w:space="0" w:color="000000"/>
            </w:tcBorders>
          </w:tcPr>
          <w:p w14:paraId="573BD604" w14:textId="04019FB6" w:rsidR="00664365" w:rsidRDefault="00664365" w:rsidP="00E967F5">
            <w:pPr>
              <w:pStyle w:val="TableParagraph"/>
              <w:rPr>
                <w:sz w:val="19"/>
              </w:rPr>
            </w:pPr>
            <w:r>
              <w:rPr>
                <w:sz w:val="19"/>
              </w:rPr>
              <w:t>19 de octubre de 2018</w:t>
            </w:r>
          </w:p>
        </w:tc>
      </w:tr>
    </w:tbl>
    <w:p w14:paraId="3CBF9A68" w14:textId="77777777" w:rsidR="00C02C7F" w:rsidRDefault="001223F2" w:rsidP="00E967F5">
      <w:pPr>
        <w:pStyle w:val="ListParagraph"/>
        <w:numPr>
          <w:ilvl w:val="0"/>
          <w:numId w:val="3"/>
        </w:numPr>
        <w:spacing w:before="122"/>
        <w:ind w:firstLine="360"/>
        <w:rPr>
          <w:b/>
          <w:sz w:val="20"/>
        </w:rPr>
      </w:pPr>
      <w:r>
        <w:rPr>
          <w:b/>
          <w:sz w:val="20"/>
        </w:rPr>
        <w:t>COMPETENCIA</w:t>
      </w:r>
    </w:p>
    <w:p w14:paraId="1D935329" w14:textId="77777777" w:rsidR="00C02C7F" w:rsidRDefault="00C02C7F" w:rsidP="00E967F5">
      <w:pPr>
        <w:pStyle w:val="BodyText"/>
        <w:spacing w:before="3" w:after="1"/>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3"/>
        <w:gridCol w:w="6563"/>
      </w:tblGrid>
      <w:tr w:rsidR="00C02C7F" w14:paraId="7BD6E492" w14:textId="77777777" w:rsidTr="00E967F5">
        <w:trPr>
          <w:trHeight w:val="222"/>
        </w:trPr>
        <w:tc>
          <w:tcPr>
            <w:tcW w:w="2923" w:type="dxa"/>
            <w:tcBorders>
              <w:bottom w:val="single" w:sz="6" w:space="0" w:color="000000"/>
              <w:right w:val="single" w:sz="6" w:space="0" w:color="000000"/>
            </w:tcBorders>
            <w:shd w:val="clear" w:color="auto" w:fill="386294"/>
          </w:tcPr>
          <w:p w14:paraId="37EA1B65" w14:textId="77777777" w:rsidR="00C02C7F" w:rsidRDefault="001223F2" w:rsidP="00E967F5">
            <w:pPr>
              <w:pStyle w:val="TableParagraph"/>
              <w:ind w:left="669" w:right="660"/>
              <w:jc w:val="center"/>
              <w:rPr>
                <w:i/>
                <w:sz w:val="19"/>
              </w:rPr>
            </w:pPr>
            <w:r>
              <w:rPr>
                <w:i/>
                <w:color w:val="FFFFFF"/>
                <w:sz w:val="19"/>
              </w:rPr>
              <w:t>Ratione personae</w:t>
            </w:r>
          </w:p>
        </w:tc>
        <w:tc>
          <w:tcPr>
            <w:tcW w:w="6563" w:type="dxa"/>
            <w:tcBorders>
              <w:left w:val="single" w:sz="6" w:space="0" w:color="000000"/>
              <w:bottom w:val="single" w:sz="6" w:space="0" w:color="000000"/>
            </w:tcBorders>
          </w:tcPr>
          <w:p w14:paraId="2B29C0D1" w14:textId="77777777" w:rsidR="00C02C7F" w:rsidRDefault="001223F2" w:rsidP="00E967F5">
            <w:pPr>
              <w:pStyle w:val="TableParagraph"/>
              <w:rPr>
                <w:sz w:val="19"/>
              </w:rPr>
            </w:pPr>
            <w:r>
              <w:rPr>
                <w:sz w:val="19"/>
              </w:rPr>
              <w:t>Sí</w:t>
            </w:r>
          </w:p>
        </w:tc>
      </w:tr>
      <w:tr w:rsidR="00C02C7F" w14:paraId="6F84A2C7" w14:textId="77777777" w:rsidTr="00E967F5">
        <w:trPr>
          <w:trHeight w:val="222"/>
        </w:trPr>
        <w:tc>
          <w:tcPr>
            <w:tcW w:w="2923" w:type="dxa"/>
            <w:tcBorders>
              <w:top w:val="single" w:sz="6" w:space="0" w:color="000000"/>
              <w:bottom w:val="single" w:sz="6" w:space="0" w:color="000000"/>
              <w:right w:val="single" w:sz="6" w:space="0" w:color="000000"/>
            </w:tcBorders>
            <w:shd w:val="clear" w:color="auto" w:fill="386294"/>
          </w:tcPr>
          <w:p w14:paraId="7E0B9C49" w14:textId="77777777" w:rsidR="00C02C7F" w:rsidRDefault="001223F2" w:rsidP="00E967F5">
            <w:pPr>
              <w:pStyle w:val="TableParagraph"/>
              <w:ind w:left="669" w:right="659"/>
              <w:jc w:val="center"/>
              <w:rPr>
                <w:i/>
                <w:sz w:val="19"/>
              </w:rPr>
            </w:pPr>
            <w:r>
              <w:rPr>
                <w:i/>
                <w:color w:val="FFFFFF"/>
                <w:sz w:val="19"/>
              </w:rPr>
              <w:t>Ratione loci</w:t>
            </w:r>
          </w:p>
        </w:tc>
        <w:tc>
          <w:tcPr>
            <w:tcW w:w="6563" w:type="dxa"/>
            <w:tcBorders>
              <w:top w:val="single" w:sz="6" w:space="0" w:color="000000"/>
              <w:left w:val="single" w:sz="6" w:space="0" w:color="000000"/>
              <w:bottom w:val="single" w:sz="6" w:space="0" w:color="000000"/>
            </w:tcBorders>
          </w:tcPr>
          <w:p w14:paraId="1E77A86A" w14:textId="77777777" w:rsidR="00C02C7F" w:rsidRDefault="001223F2" w:rsidP="00E967F5">
            <w:pPr>
              <w:pStyle w:val="TableParagraph"/>
              <w:rPr>
                <w:sz w:val="19"/>
              </w:rPr>
            </w:pPr>
            <w:r>
              <w:rPr>
                <w:sz w:val="19"/>
              </w:rPr>
              <w:t>Sí</w:t>
            </w:r>
          </w:p>
        </w:tc>
      </w:tr>
      <w:tr w:rsidR="00C02C7F" w14:paraId="78FEFE3D" w14:textId="77777777" w:rsidTr="00E967F5">
        <w:trPr>
          <w:trHeight w:val="222"/>
        </w:trPr>
        <w:tc>
          <w:tcPr>
            <w:tcW w:w="2923" w:type="dxa"/>
            <w:tcBorders>
              <w:top w:val="single" w:sz="6" w:space="0" w:color="000000"/>
              <w:bottom w:val="single" w:sz="6" w:space="0" w:color="000000"/>
              <w:right w:val="single" w:sz="6" w:space="0" w:color="000000"/>
            </w:tcBorders>
            <w:shd w:val="clear" w:color="auto" w:fill="386294"/>
          </w:tcPr>
          <w:p w14:paraId="4E6595F1" w14:textId="77777777" w:rsidR="00C02C7F" w:rsidRDefault="001223F2" w:rsidP="00E967F5">
            <w:pPr>
              <w:pStyle w:val="TableParagraph"/>
              <w:ind w:left="669" w:right="659"/>
              <w:jc w:val="center"/>
              <w:rPr>
                <w:i/>
                <w:sz w:val="19"/>
              </w:rPr>
            </w:pPr>
            <w:r>
              <w:rPr>
                <w:i/>
                <w:color w:val="FFFFFF"/>
                <w:sz w:val="19"/>
              </w:rPr>
              <w:t>Ratione temporis</w:t>
            </w:r>
          </w:p>
        </w:tc>
        <w:tc>
          <w:tcPr>
            <w:tcW w:w="6563" w:type="dxa"/>
            <w:tcBorders>
              <w:top w:val="single" w:sz="6" w:space="0" w:color="000000"/>
              <w:left w:val="single" w:sz="6" w:space="0" w:color="000000"/>
              <w:bottom w:val="single" w:sz="6" w:space="0" w:color="000000"/>
            </w:tcBorders>
          </w:tcPr>
          <w:p w14:paraId="2A361CE3" w14:textId="77777777" w:rsidR="00C02C7F" w:rsidRDefault="001223F2" w:rsidP="00E967F5">
            <w:pPr>
              <w:pStyle w:val="TableParagraph"/>
              <w:rPr>
                <w:sz w:val="19"/>
              </w:rPr>
            </w:pPr>
            <w:r>
              <w:rPr>
                <w:sz w:val="19"/>
              </w:rPr>
              <w:t>Sí</w:t>
            </w:r>
          </w:p>
        </w:tc>
      </w:tr>
      <w:tr w:rsidR="00C02C7F" w14:paraId="099011DD" w14:textId="77777777" w:rsidTr="00E967F5">
        <w:trPr>
          <w:trHeight w:val="443"/>
        </w:trPr>
        <w:tc>
          <w:tcPr>
            <w:tcW w:w="2923" w:type="dxa"/>
            <w:tcBorders>
              <w:top w:val="single" w:sz="6" w:space="0" w:color="000000"/>
              <w:bottom w:val="single" w:sz="6" w:space="0" w:color="000000"/>
              <w:right w:val="single" w:sz="6" w:space="0" w:color="000000"/>
            </w:tcBorders>
            <w:shd w:val="clear" w:color="auto" w:fill="386294"/>
          </w:tcPr>
          <w:p w14:paraId="696C58D4" w14:textId="77777777" w:rsidR="00C02C7F" w:rsidRDefault="001223F2" w:rsidP="00E967F5">
            <w:pPr>
              <w:pStyle w:val="TableParagraph"/>
              <w:spacing w:before="109" w:line="240" w:lineRule="auto"/>
              <w:ind w:left="667" w:right="660"/>
              <w:jc w:val="center"/>
              <w:rPr>
                <w:i/>
                <w:sz w:val="19"/>
              </w:rPr>
            </w:pPr>
            <w:r>
              <w:rPr>
                <w:i/>
                <w:color w:val="FFFFFF"/>
                <w:sz w:val="19"/>
              </w:rPr>
              <w:t>Ratione materiae</w:t>
            </w:r>
          </w:p>
        </w:tc>
        <w:tc>
          <w:tcPr>
            <w:tcW w:w="6563" w:type="dxa"/>
            <w:tcBorders>
              <w:top w:val="single" w:sz="6" w:space="0" w:color="000000"/>
              <w:left w:val="single" w:sz="6" w:space="0" w:color="000000"/>
            </w:tcBorders>
          </w:tcPr>
          <w:p w14:paraId="0683CE5A" w14:textId="4326BD66" w:rsidR="00C02C7F" w:rsidRDefault="001223F2" w:rsidP="00E967F5">
            <w:pPr>
              <w:pStyle w:val="TableParagraph"/>
              <w:spacing w:line="220" w:lineRule="exact"/>
              <w:ind w:right="126"/>
              <w:jc w:val="both"/>
              <w:rPr>
                <w:sz w:val="19"/>
              </w:rPr>
            </w:pPr>
            <w:r>
              <w:rPr>
                <w:sz w:val="19"/>
              </w:rPr>
              <w:t xml:space="preserve">Sí, Convención Americana (depósito del instrumento de ratificación el </w:t>
            </w:r>
            <w:r w:rsidR="00E91AC4" w:rsidRPr="00E91AC4">
              <w:rPr>
                <w:sz w:val="19"/>
              </w:rPr>
              <w:t>23 de junio de 1978</w:t>
            </w:r>
            <w:r>
              <w:rPr>
                <w:sz w:val="19"/>
              </w:rPr>
              <w:t>)</w:t>
            </w:r>
          </w:p>
        </w:tc>
      </w:tr>
    </w:tbl>
    <w:p w14:paraId="770A037A" w14:textId="77777777" w:rsidR="00C02C7F" w:rsidRDefault="001223F2" w:rsidP="00BF15ED">
      <w:pPr>
        <w:pStyle w:val="ListParagraph"/>
        <w:numPr>
          <w:ilvl w:val="0"/>
          <w:numId w:val="3"/>
        </w:numPr>
        <w:spacing w:before="122"/>
        <w:ind w:left="720" w:right="242" w:firstLine="720"/>
        <w:rPr>
          <w:b/>
          <w:sz w:val="20"/>
        </w:rPr>
      </w:pPr>
      <w:r>
        <w:rPr>
          <w:b/>
          <w:sz w:val="20"/>
        </w:rPr>
        <w:t>DUPLICACIÓN DE PROCEDIMIENTOS Y COSA JUZGADA INTERNACIONAL, CARACTERIZACIÓN, AGOTAMIENTO DE LOS RECURSOS INTERNOS Y PLAZO DE</w:t>
      </w:r>
      <w:r>
        <w:rPr>
          <w:b/>
          <w:spacing w:val="-10"/>
          <w:sz w:val="20"/>
        </w:rPr>
        <w:t xml:space="preserve"> </w:t>
      </w:r>
      <w:r>
        <w:rPr>
          <w:b/>
          <w:sz w:val="20"/>
        </w:rPr>
        <w:t>PRESENTACIÓN</w:t>
      </w:r>
    </w:p>
    <w:p w14:paraId="5634685D" w14:textId="77777777" w:rsidR="00C02C7F" w:rsidRDefault="00C02C7F" w:rsidP="00E967F5">
      <w:pPr>
        <w:pStyle w:val="BodyText"/>
        <w:spacing w:before="4"/>
        <w:rPr>
          <w:b/>
          <w:sz w:val="1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6558"/>
      </w:tblGrid>
      <w:tr w:rsidR="00C02C7F" w14:paraId="68B4CAD7" w14:textId="77777777" w:rsidTr="00E967F5">
        <w:trPr>
          <w:trHeight w:val="443"/>
        </w:trPr>
        <w:tc>
          <w:tcPr>
            <w:tcW w:w="2928" w:type="dxa"/>
            <w:tcBorders>
              <w:bottom w:val="single" w:sz="6" w:space="0" w:color="000000"/>
              <w:right w:val="single" w:sz="6" w:space="0" w:color="000000"/>
            </w:tcBorders>
            <w:shd w:val="clear" w:color="auto" w:fill="386294"/>
          </w:tcPr>
          <w:p w14:paraId="33949A2B" w14:textId="77777777" w:rsidR="00C02C7F" w:rsidRDefault="001223F2" w:rsidP="00E967F5">
            <w:pPr>
              <w:pStyle w:val="TableParagraph"/>
              <w:spacing w:line="220" w:lineRule="exact"/>
              <w:ind w:left="142" w:right="134"/>
              <w:jc w:val="center"/>
              <w:rPr>
                <w:sz w:val="19"/>
              </w:rPr>
            </w:pPr>
            <w:r>
              <w:rPr>
                <w:color w:val="FFFFFF"/>
                <w:sz w:val="19"/>
              </w:rPr>
              <w:t>Duplicación y cosa juzgada</w:t>
            </w:r>
          </w:p>
          <w:p w14:paraId="66EB2A0D" w14:textId="77777777" w:rsidR="00C02C7F" w:rsidRDefault="001223F2" w:rsidP="00E967F5">
            <w:pPr>
              <w:pStyle w:val="TableParagraph"/>
              <w:ind w:left="146" w:right="131"/>
              <w:jc w:val="center"/>
              <w:rPr>
                <w:sz w:val="19"/>
              </w:rPr>
            </w:pPr>
            <w:r>
              <w:rPr>
                <w:color w:val="FFFFFF"/>
                <w:sz w:val="19"/>
              </w:rPr>
              <w:t>internacional</w:t>
            </w:r>
          </w:p>
        </w:tc>
        <w:tc>
          <w:tcPr>
            <w:tcW w:w="6558" w:type="dxa"/>
            <w:tcBorders>
              <w:left w:val="single" w:sz="6" w:space="0" w:color="000000"/>
              <w:bottom w:val="single" w:sz="6" w:space="0" w:color="000000"/>
            </w:tcBorders>
          </w:tcPr>
          <w:p w14:paraId="66B92B08" w14:textId="77777777" w:rsidR="00C02C7F" w:rsidRDefault="001223F2" w:rsidP="00E967F5">
            <w:pPr>
              <w:pStyle w:val="TableParagraph"/>
              <w:spacing w:before="107" w:line="240" w:lineRule="auto"/>
              <w:rPr>
                <w:sz w:val="19"/>
              </w:rPr>
            </w:pPr>
            <w:r>
              <w:rPr>
                <w:sz w:val="19"/>
              </w:rPr>
              <w:t>No</w:t>
            </w:r>
          </w:p>
        </w:tc>
      </w:tr>
      <w:tr w:rsidR="00C02C7F" w14:paraId="1357AF01" w14:textId="77777777" w:rsidTr="00E967F5">
        <w:trPr>
          <w:trHeight w:val="892"/>
        </w:trPr>
        <w:tc>
          <w:tcPr>
            <w:tcW w:w="2928" w:type="dxa"/>
            <w:tcBorders>
              <w:top w:val="single" w:sz="6" w:space="0" w:color="000000"/>
              <w:bottom w:val="single" w:sz="6" w:space="0" w:color="000000"/>
              <w:right w:val="single" w:sz="6" w:space="0" w:color="000000"/>
            </w:tcBorders>
            <w:shd w:val="clear" w:color="auto" w:fill="386294"/>
          </w:tcPr>
          <w:p w14:paraId="7AD67A63" w14:textId="77777777" w:rsidR="00C02C7F" w:rsidRDefault="00C02C7F" w:rsidP="00E967F5">
            <w:pPr>
              <w:pStyle w:val="TableParagraph"/>
              <w:spacing w:before="11" w:line="240" w:lineRule="auto"/>
              <w:ind w:left="0"/>
              <w:rPr>
                <w:b/>
                <w:sz w:val="18"/>
              </w:rPr>
            </w:pPr>
          </w:p>
          <w:p w14:paraId="11221178" w14:textId="77777777" w:rsidR="00C02C7F" w:rsidRDefault="001223F2" w:rsidP="00E967F5">
            <w:pPr>
              <w:pStyle w:val="TableParagraph"/>
              <w:spacing w:line="240" w:lineRule="auto"/>
              <w:ind w:left="945" w:right="507" w:hanging="408"/>
              <w:rPr>
                <w:sz w:val="19"/>
              </w:rPr>
            </w:pPr>
            <w:r>
              <w:rPr>
                <w:color w:val="FFFFFF"/>
                <w:sz w:val="19"/>
              </w:rPr>
              <w:t>Derechos declarados admisibles</w:t>
            </w:r>
          </w:p>
        </w:tc>
        <w:tc>
          <w:tcPr>
            <w:tcW w:w="6558" w:type="dxa"/>
            <w:tcBorders>
              <w:top w:val="single" w:sz="6" w:space="0" w:color="000000"/>
              <w:left w:val="single" w:sz="6" w:space="0" w:color="000000"/>
              <w:bottom w:val="single" w:sz="6" w:space="0" w:color="000000"/>
            </w:tcBorders>
          </w:tcPr>
          <w:p w14:paraId="7854F17A" w14:textId="77777777" w:rsidR="00664365" w:rsidRPr="00664365" w:rsidRDefault="00664365" w:rsidP="00E967F5">
            <w:pPr>
              <w:pStyle w:val="TableParagraph"/>
              <w:spacing w:line="240" w:lineRule="auto"/>
              <w:ind w:left="108" w:right="136"/>
              <w:jc w:val="both"/>
              <w:rPr>
                <w:sz w:val="8"/>
                <w:szCs w:val="8"/>
              </w:rPr>
            </w:pPr>
          </w:p>
          <w:p w14:paraId="6966E372" w14:textId="09256101" w:rsidR="00C02C7F" w:rsidRDefault="00664365" w:rsidP="00E967F5">
            <w:pPr>
              <w:pStyle w:val="TableParagraph"/>
              <w:spacing w:line="240" w:lineRule="auto"/>
              <w:ind w:left="108" w:right="136"/>
              <w:jc w:val="both"/>
              <w:rPr>
                <w:sz w:val="19"/>
              </w:rPr>
            </w:pPr>
            <w:r w:rsidRPr="00664365">
              <w:rPr>
                <w:sz w:val="19"/>
              </w:rPr>
              <w:t xml:space="preserve">Artículos 4 (vida), 5 (integridad personal), 8 (garantías judiciales), 25 (protección judicial) de la Convención Americana de Derechos Humanos, en conexión con </w:t>
            </w:r>
            <w:r w:rsidR="00BB0A0E">
              <w:rPr>
                <w:sz w:val="19"/>
              </w:rPr>
              <w:t>los</w:t>
            </w:r>
            <w:r w:rsidRPr="00664365">
              <w:rPr>
                <w:sz w:val="19"/>
              </w:rPr>
              <w:t xml:space="preserve"> artículo</w:t>
            </w:r>
            <w:r w:rsidR="00BB0A0E">
              <w:rPr>
                <w:sz w:val="19"/>
              </w:rPr>
              <w:t>s</w:t>
            </w:r>
            <w:r w:rsidRPr="00664365">
              <w:rPr>
                <w:sz w:val="19"/>
              </w:rPr>
              <w:t xml:space="preserve"> 1.1 (obligación de respetar los derechos)</w:t>
            </w:r>
            <w:r w:rsidR="00BB0A0E">
              <w:rPr>
                <w:sz w:val="19"/>
              </w:rPr>
              <w:t xml:space="preserve"> y 2 (deber de adoptar disposiciones de derecho interno)</w:t>
            </w:r>
          </w:p>
          <w:p w14:paraId="4B0B80C4" w14:textId="24E46797" w:rsidR="00664365" w:rsidRPr="00664365" w:rsidRDefault="00664365" w:rsidP="00E967F5">
            <w:pPr>
              <w:pStyle w:val="TableParagraph"/>
              <w:spacing w:line="240" w:lineRule="auto"/>
              <w:ind w:left="108" w:right="136"/>
              <w:jc w:val="both"/>
              <w:rPr>
                <w:sz w:val="8"/>
                <w:szCs w:val="8"/>
              </w:rPr>
            </w:pPr>
          </w:p>
        </w:tc>
      </w:tr>
      <w:tr w:rsidR="00C02C7F" w14:paraId="6D15123B" w14:textId="77777777" w:rsidTr="00E967F5">
        <w:trPr>
          <w:trHeight w:val="445"/>
        </w:trPr>
        <w:tc>
          <w:tcPr>
            <w:tcW w:w="2928" w:type="dxa"/>
            <w:tcBorders>
              <w:top w:val="single" w:sz="6" w:space="0" w:color="000000"/>
              <w:bottom w:val="single" w:sz="6" w:space="0" w:color="000000"/>
              <w:right w:val="single" w:sz="6" w:space="0" w:color="000000"/>
            </w:tcBorders>
            <w:shd w:val="clear" w:color="auto" w:fill="386294"/>
          </w:tcPr>
          <w:p w14:paraId="25E17E00" w14:textId="77777777" w:rsidR="00C02C7F" w:rsidRDefault="001223F2" w:rsidP="00E967F5">
            <w:pPr>
              <w:pStyle w:val="TableParagraph"/>
              <w:spacing w:line="220" w:lineRule="exact"/>
              <w:ind w:left="145" w:right="134"/>
              <w:jc w:val="center"/>
              <w:rPr>
                <w:sz w:val="19"/>
              </w:rPr>
            </w:pPr>
            <w:r>
              <w:rPr>
                <w:color w:val="FFFFFF"/>
                <w:sz w:val="19"/>
              </w:rPr>
              <w:t>Agotamiento de recursos o</w:t>
            </w:r>
          </w:p>
          <w:p w14:paraId="56AB8829" w14:textId="77777777" w:rsidR="00C02C7F" w:rsidRDefault="001223F2" w:rsidP="00E967F5">
            <w:pPr>
              <w:pStyle w:val="TableParagraph"/>
              <w:spacing w:line="206" w:lineRule="exact"/>
              <w:ind w:left="146" w:right="134"/>
              <w:jc w:val="center"/>
              <w:rPr>
                <w:sz w:val="19"/>
              </w:rPr>
            </w:pPr>
            <w:r>
              <w:rPr>
                <w:color w:val="FFFFFF"/>
                <w:sz w:val="19"/>
              </w:rPr>
              <w:t>procedencia de una excepción</w:t>
            </w:r>
          </w:p>
        </w:tc>
        <w:tc>
          <w:tcPr>
            <w:tcW w:w="6558" w:type="dxa"/>
            <w:tcBorders>
              <w:top w:val="single" w:sz="6" w:space="0" w:color="000000"/>
              <w:left w:val="single" w:sz="6" w:space="0" w:color="000000"/>
              <w:bottom w:val="single" w:sz="6" w:space="0" w:color="000000"/>
            </w:tcBorders>
          </w:tcPr>
          <w:p w14:paraId="0D9375A6" w14:textId="5FD47204" w:rsidR="00C02C7F" w:rsidRDefault="009C4491" w:rsidP="00E967F5">
            <w:pPr>
              <w:pStyle w:val="TableParagraph"/>
              <w:spacing w:before="109" w:line="240" w:lineRule="auto"/>
              <w:rPr>
                <w:sz w:val="19"/>
              </w:rPr>
            </w:pPr>
            <w:r>
              <w:rPr>
                <w:sz w:val="19"/>
              </w:rPr>
              <w:t xml:space="preserve">Excepciones de los </w:t>
            </w:r>
            <w:r w:rsidRPr="009C4491">
              <w:rPr>
                <w:sz w:val="20"/>
                <w:szCs w:val="20"/>
              </w:rPr>
              <w:t>artículo</w:t>
            </w:r>
            <w:r>
              <w:rPr>
                <w:sz w:val="20"/>
                <w:szCs w:val="20"/>
              </w:rPr>
              <w:t>s</w:t>
            </w:r>
            <w:r w:rsidRPr="009C4491">
              <w:rPr>
                <w:sz w:val="20"/>
                <w:szCs w:val="20"/>
              </w:rPr>
              <w:t xml:space="preserve"> 46.2(a)</w:t>
            </w:r>
            <w:r>
              <w:rPr>
                <w:sz w:val="20"/>
                <w:szCs w:val="20"/>
              </w:rPr>
              <w:t xml:space="preserve"> y 46.2(c).</w:t>
            </w:r>
          </w:p>
        </w:tc>
      </w:tr>
      <w:tr w:rsidR="00C02C7F" w14:paraId="00883C9E" w14:textId="77777777" w:rsidTr="00E967F5">
        <w:trPr>
          <w:trHeight w:val="220"/>
        </w:trPr>
        <w:tc>
          <w:tcPr>
            <w:tcW w:w="2928" w:type="dxa"/>
            <w:tcBorders>
              <w:top w:val="single" w:sz="6" w:space="0" w:color="000000"/>
              <w:bottom w:val="single" w:sz="6" w:space="0" w:color="000000"/>
              <w:right w:val="single" w:sz="6" w:space="0" w:color="000000"/>
            </w:tcBorders>
            <w:shd w:val="clear" w:color="auto" w:fill="386294"/>
          </w:tcPr>
          <w:p w14:paraId="5C6952B9" w14:textId="77777777" w:rsidR="00C02C7F" w:rsidRDefault="001223F2" w:rsidP="00E967F5">
            <w:pPr>
              <w:pStyle w:val="TableParagraph"/>
              <w:spacing w:line="200" w:lineRule="exact"/>
              <w:ind w:left="196"/>
              <w:rPr>
                <w:sz w:val="19"/>
              </w:rPr>
            </w:pPr>
            <w:r>
              <w:rPr>
                <w:color w:val="FFFFFF"/>
                <w:sz w:val="19"/>
              </w:rPr>
              <w:t>Presentación dentro de plazo</w:t>
            </w:r>
          </w:p>
        </w:tc>
        <w:tc>
          <w:tcPr>
            <w:tcW w:w="6558" w:type="dxa"/>
            <w:tcBorders>
              <w:top w:val="single" w:sz="6" w:space="0" w:color="000000"/>
              <w:left w:val="single" w:sz="6" w:space="0" w:color="000000"/>
            </w:tcBorders>
          </w:tcPr>
          <w:p w14:paraId="4F97759F" w14:textId="40B2041C" w:rsidR="00C02C7F" w:rsidRDefault="009C4491" w:rsidP="00E967F5">
            <w:pPr>
              <w:pStyle w:val="TableParagraph"/>
              <w:spacing w:line="200" w:lineRule="exact"/>
              <w:rPr>
                <w:sz w:val="19"/>
              </w:rPr>
            </w:pPr>
            <w:r>
              <w:rPr>
                <w:sz w:val="19"/>
              </w:rPr>
              <w:t xml:space="preserve">Sí, cf. razones </w:t>
            </w:r>
            <w:r w:rsidRPr="009C4491">
              <w:rPr>
                <w:i/>
                <w:iCs/>
                <w:sz w:val="19"/>
              </w:rPr>
              <w:t>infra</w:t>
            </w:r>
            <w:r>
              <w:rPr>
                <w:sz w:val="19"/>
              </w:rPr>
              <w:t>.</w:t>
            </w:r>
          </w:p>
        </w:tc>
      </w:tr>
    </w:tbl>
    <w:p w14:paraId="69C852CF" w14:textId="77777777" w:rsidR="0026469F" w:rsidRPr="00113C4F" w:rsidRDefault="0026469F" w:rsidP="00E967F5">
      <w:pPr>
        <w:pStyle w:val="ListParagraph"/>
        <w:spacing w:before="0"/>
        <w:ind w:left="0" w:firstLine="0"/>
        <w:rPr>
          <w:b/>
          <w:sz w:val="20"/>
          <w:szCs w:val="20"/>
        </w:rPr>
      </w:pPr>
    </w:p>
    <w:p w14:paraId="058A2370" w14:textId="29E8F9EA" w:rsidR="00C02C7F" w:rsidRPr="00113C4F" w:rsidRDefault="001223F2" w:rsidP="00E967F5">
      <w:pPr>
        <w:pStyle w:val="ListParagraph"/>
        <w:numPr>
          <w:ilvl w:val="0"/>
          <w:numId w:val="3"/>
        </w:numPr>
        <w:spacing w:before="0"/>
        <w:ind w:left="810" w:firstLine="630"/>
        <w:rPr>
          <w:b/>
          <w:sz w:val="20"/>
          <w:szCs w:val="20"/>
        </w:rPr>
      </w:pPr>
      <w:r w:rsidRPr="00113C4F">
        <w:rPr>
          <w:b/>
          <w:sz w:val="20"/>
          <w:szCs w:val="20"/>
        </w:rPr>
        <w:t>RESUMEN DE LOS HECHOS ALEGADOS</w:t>
      </w:r>
    </w:p>
    <w:bookmarkEnd w:id="0"/>
    <w:p w14:paraId="5856EB25" w14:textId="77777777" w:rsidR="00373BFD" w:rsidRDefault="00373BFD" w:rsidP="00DD7D3D">
      <w:pPr>
        <w:pStyle w:val="ListParagraph"/>
        <w:spacing w:before="0"/>
        <w:ind w:left="0" w:right="280" w:firstLine="0"/>
        <w:rPr>
          <w:sz w:val="20"/>
          <w:szCs w:val="20"/>
        </w:rPr>
      </w:pPr>
    </w:p>
    <w:p w14:paraId="09C3C159" w14:textId="082644BA" w:rsidR="00373BFD" w:rsidRDefault="00373BFD" w:rsidP="00DD7D3D">
      <w:pPr>
        <w:pStyle w:val="ListParagraph"/>
        <w:numPr>
          <w:ilvl w:val="0"/>
          <w:numId w:val="2"/>
        </w:numPr>
        <w:spacing w:before="0"/>
        <w:ind w:left="720" w:right="280" w:firstLine="720"/>
        <w:rPr>
          <w:sz w:val="20"/>
          <w:szCs w:val="20"/>
        </w:rPr>
      </w:pPr>
      <w:r w:rsidRPr="00327A12">
        <w:rPr>
          <w:sz w:val="20"/>
          <w:szCs w:val="20"/>
        </w:rPr>
        <w:t xml:space="preserve">La </w:t>
      </w:r>
      <w:r w:rsidR="00A407A3" w:rsidRPr="00327A12">
        <w:rPr>
          <w:sz w:val="20"/>
          <w:szCs w:val="20"/>
        </w:rPr>
        <w:t xml:space="preserve">parte peticionaria denuncia </w:t>
      </w:r>
      <w:r w:rsidR="00327A12">
        <w:rPr>
          <w:sz w:val="20"/>
          <w:szCs w:val="20"/>
        </w:rPr>
        <w:t xml:space="preserve">el </w:t>
      </w:r>
      <w:r w:rsidR="00327A12" w:rsidRPr="00342746">
        <w:rPr>
          <w:sz w:val="20"/>
          <w:szCs w:val="20"/>
        </w:rPr>
        <w:t>asesinato de</w:t>
      </w:r>
      <w:r w:rsidR="00327A12">
        <w:rPr>
          <w:sz w:val="20"/>
          <w:szCs w:val="20"/>
        </w:rPr>
        <w:t xml:space="preserve"> </w:t>
      </w:r>
      <w:r w:rsidR="00327A12" w:rsidRPr="00327A12">
        <w:rPr>
          <w:sz w:val="20"/>
          <w:szCs w:val="20"/>
        </w:rPr>
        <w:t>Félix Antonio Ulloa (en adelante “la presunta víctima”)</w:t>
      </w:r>
      <w:r w:rsidR="00327A12" w:rsidRPr="00342746">
        <w:rPr>
          <w:sz w:val="20"/>
          <w:szCs w:val="20"/>
        </w:rPr>
        <w:t xml:space="preserve"> </w:t>
      </w:r>
      <w:r w:rsidR="00327A12">
        <w:rPr>
          <w:sz w:val="20"/>
          <w:szCs w:val="20"/>
        </w:rPr>
        <w:t xml:space="preserve">por </w:t>
      </w:r>
      <w:r w:rsidR="00327A12" w:rsidRPr="00342746">
        <w:rPr>
          <w:sz w:val="20"/>
          <w:szCs w:val="20"/>
        </w:rPr>
        <w:t xml:space="preserve">agentes del Estado </w:t>
      </w:r>
      <w:r w:rsidR="00327A12">
        <w:rPr>
          <w:sz w:val="20"/>
          <w:szCs w:val="20"/>
        </w:rPr>
        <w:t xml:space="preserve">durante el </w:t>
      </w:r>
      <w:r w:rsidR="00327A12" w:rsidRPr="00342746">
        <w:rPr>
          <w:sz w:val="20"/>
          <w:szCs w:val="20"/>
        </w:rPr>
        <w:t>conflicto armado interno en El Salvador, así como la falta de investigación y sanción a los responsables, en p</w:t>
      </w:r>
      <w:r w:rsidR="00327A12">
        <w:rPr>
          <w:sz w:val="20"/>
          <w:szCs w:val="20"/>
        </w:rPr>
        <w:t>e</w:t>
      </w:r>
      <w:r w:rsidR="00327A12" w:rsidRPr="00342746">
        <w:rPr>
          <w:sz w:val="20"/>
          <w:szCs w:val="20"/>
        </w:rPr>
        <w:t xml:space="preserve">rjuicio de </w:t>
      </w:r>
      <w:r w:rsidR="00327A12">
        <w:rPr>
          <w:sz w:val="20"/>
          <w:szCs w:val="20"/>
        </w:rPr>
        <w:t xml:space="preserve">sus </w:t>
      </w:r>
      <w:r w:rsidR="00327A12" w:rsidRPr="00342746">
        <w:rPr>
          <w:sz w:val="20"/>
          <w:szCs w:val="20"/>
        </w:rPr>
        <w:t xml:space="preserve">familiares. </w:t>
      </w:r>
      <w:r w:rsidR="00327A12" w:rsidRPr="00327A12">
        <w:rPr>
          <w:sz w:val="20"/>
          <w:szCs w:val="20"/>
        </w:rPr>
        <w:t xml:space="preserve"> </w:t>
      </w:r>
    </w:p>
    <w:p w14:paraId="5545638A" w14:textId="77777777" w:rsidR="00327A12" w:rsidRPr="00327A12" w:rsidRDefault="00327A12" w:rsidP="00DD7D3D">
      <w:pPr>
        <w:ind w:left="720" w:right="280"/>
        <w:rPr>
          <w:sz w:val="20"/>
          <w:szCs w:val="20"/>
        </w:rPr>
      </w:pPr>
    </w:p>
    <w:p w14:paraId="3D24475A" w14:textId="2BA3351B" w:rsidR="003B548D" w:rsidRDefault="00327A12" w:rsidP="00DD7D3D">
      <w:pPr>
        <w:pStyle w:val="ListParagraph"/>
        <w:numPr>
          <w:ilvl w:val="0"/>
          <w:numId w:val="2"/>
        </w:numPr>
        <w:spacing w:before="0"/>
        <w:ind w:left="720" w:right="280" w:firstLine="720"/>
        <w:rPr>
          <w:sz w:val="20"/>
          <w:szCs w:val="20"/>
        </w:rPr>
      </w:pPr>
      <w:r>
        <w:rPr>
          <w:sz w:val="20"/>
          <w:szCs w:val="20"/>
        </w:rPr>
        <w:t xml:space="preserve">Relata </w:t>
      </w:r>
      <w:r w:rsidR="003B548D" w:rsidRPr="003B548D">
        <w:rPr>
          <w:sz w:val="20"/>
          <w:szCs w:val="20"/>
        </w:rPr>
        <w:t xml:space="preserve">que </w:t>
      </w:r>
      <w:r w:rsidR="005A605B">
        <w:rPr>
          <w:sz w:val="20"/>
          <w:szCs w:val="20"/>
        </w:rPr>
        <w:t xml:space="preserve">entre </w:t>
      </w:r>
      <w:r w:rsidR="003B548D" w:rsidRPr="003B548D">
        <w:rPr>
          <w:sz w:val="20"/>
          <w:szCs w:val="20"/>
        </w:rPr>
        <w:t xml:space="preserve">1980 </w:t>
      </w:r>
      <w:r w:rsidR="005A605B">
        <w:rPr>
          <w:sz w:val="20"/>
          <w:szCs w:val="20"/>
        </w:rPr>
        <w:t>y</w:t>
      </w:r>
      <w:r w:rsidR="003B548D" w:rsidRPr="003B548D">
        <w:rPr>
          <w:sz w:val="20"/>
          <w:szCs w:val="20"/>
        </w:rPr>
        <w:t xml:space="preserve"> 1991 tuvo lugar una guerra </w:t>
      </w:r>
      <w:r w:rsidR="005A605B" w:rsidRPr="003B548D">
        <w:rPr>
          <w:sz w:val="20"/>
          <w:szCs w:val="20"/>
        </w:rPr>
        <w:t xml:space="preserve">en El Salvador </w:t>
      </w:r>
      <w:r w:rsidR="003B548D" w:rsidRPr="003B548D">
        <w:rPr>
          <w:sz w:val="20"/>
          <w:szCs w:val="20"/>
        </w:rPr>
        <w:t xml:space="preserve">entre fuerzas armadas gubernamentales </w:t>
      </w:r>
      <w:r w:rsidR="00E967F5">
        <w:rPr>
          <w:sz w:val="20"/>
          <w:szCs w:val="20"/>
        </w:rPr>
        <w:t>e</w:t>
      </w:r>
      <w:r w:rsidR="003B548D" w:rsidRPr="003B548D">
        <w:rPr>
          <w:sz w:val="20"/>
          <w:szCs w:val="20"/>
        </w:rPr>
        <w:t xml:space="preserve"> insurgentes</w:t>
      </w:r>
      <w:r w:rsidR="0071323A">
        <w:rPr>
          <w:sz w:val="20"/>
          <w:szCs w:val="20"/>
        </w:rPr>
        <w:t>,</w:t>
      </w:r>
      <w:r w:rsidR="003B548D" w:rsidRPr="003B548D">
        <w:rPr>
          <w:sz w:val="20"/>
          <w:szCs w:val="20"/>
        </w:rPr>
        <w:t xml:space="preserve"> </w:t>
      </w:r>
      <w:r w:rsidR="0071323A">
        <w:rPr>
          <w:sz w:val="20"/>
          <w:szCs w:val="20"/>
        </w:rPr>
        <w:t xml:space="preserve">durante la cual se perpetraron </w:t>
      </w:r>
      <w:r w:rsidR="003B548D" w:rsidRPr="003B548D">
        <w:rPr>
          <w:sz w:val="20"/>
          <w:szCs w:val="20"/>
        </w:rPr>
        <w:t xml:space="preserve">más de setenta y cinco mil ejecuciones extrajudiciales </w:t>
      </w:r>
      <w:r w:rsidR="005A605B">
        <w:rPr>
          <w:sz w:val="20"/>
          <w:szCs w:val="20"/>
        </w:rPr>
        <w:t>de</w:t>
      </w:r>
      <w:r w:rsidR="003B548D" w:rsidRPr="003B548D">
        <w:rPr>
          <w:sz w:val="20"/>
          <w:szCs w:val="20"/>
        </w:rPr>
        <w:t xml:space="preserve"> la población civil no combatiente</w:t>
      </w:r>
      <w:r w:rsidR="0071323A">
        <w:rPr>
          <w:sz w:val="20"/>
          <w:szCs w:val="20"/>
        </w:rPr>
        <w:t>;</w:t>
      </w:r>
      <w:r w:rsidR="003B548D" w:rsidRPr="003B548D">
        <w:rPr>
          <w:sz w:val="20"/>
          <w:szCs w:val="20"/>
        </w:rPr>
        <w:t xml:space="preserve"> </w:t>
      </w:r>
      <w:r w:rsidR="005A605B">
        <w:rPr>
          <w:sz w:val="20"/>
          <w:szCs w:val="20"/>
        </w:rPr>
        <w:t xml:space="preserve">más de </w:t>
      </w:r>
      <w:r w:rsidR="003B548D" w:rsidRPr="003B548D">
        <w:rPr>
          <w:sz w:val="20"/>
          <w:szCs w:val="20"/>
        </w:rPr>
        <w:t>ocho mil desapariciones forzadas</w:t>
      </w:r>
      <w:r w:rsidR="0071323A">
        <w:rPr>
          <w:sz w:val="20"/>
          <w:szCs w:val="20"/>
        </w:rPr>
        <w:t>;</w:t>
      </w:r>
      <w:r w:rsidR="003B548D" w:rsidRPr="003B548D">
        <w:rPr>
          <w:sz w:val="20"/>
          <w:szCs w:val="20"/>
        </w:rPr>
        <w:t xml:space="preserve"> </w:t>
      </w:r>
      <w:r w:rsidR="0071323A">
        <w:rPr>
          <w:sz w:val="20"/>
          <w:szCs w:val="20"/>
        </w:rPr>
        <w:t xml:space="preserve">y </w:t>
      </w:r>
      <w:r w:rsidR="005A605B">
        <w:rPr>
          <w:sz w:val="20"/>
          <w:szCs w:val="20"/>
        </w:rPr>
        <w:t xml:space="preserve">violaciones </w:t>
      </w:r>
      <w:r w:rsidR="003B548D" w:rsidRPr="003B548D">
        <w:rPr>
          <w:sz w:val="20"/>
          <w:szCs w:val="20"/>
        </w:rPr>
        <w:t xml:space="preserve">graves y sistemáticas de derechos humanos </w:t>
      </w:r>
      <w:r w:rsidR="00FF4895">
        <w:rPr>
          <w:sz w:val="20"/>
          <w:szCs w:val="20"/>
        </w:rPr>
        <w:t xml:space="preserve">tales </w:t>
      </w:r>
      <w:r w:rsidR="003B548D" w:rsidRPr="003B548D">
        <w:rPr>
          <w:sz w:val="20"/>
          <w:szCs w:val="20"/>
        </w:rPr>
        <w:t>como detenciones arbitrarias y tortura, que también produjeron innumerables víctimas</w:t>
      </w:r>
      <w:r w:rsidR="00E967F5">
        <w:rPr>
          <w:sz w:val="20"/>
          <w:szCs w:val="20"/>
        </w:rPr>
        <w:t>.</w:t>
      </w:r>
      <w:r w:rsidR="003B548D" w:rsidRPr="003B548D">
        <w:rPr>
          <w:sz w:val="20"/>
          <w:szCs w:val="20"/>
        </w:rPr>
        <w:t xml:space="preserve"> </w:t>
      </w:r>
      <w:r w:rsidR="0071323A">
        <w:rPr>
          <w:sz w:val="20"/>
          <w:szCs w:val="20"/>
        </w:rPr>
        <w:t>La parte peticionaria r</w:t>
      </w:r>
      <w:r w:rsidR="00E967F5">
        <w:rPr>
          <w:sz w:val="20"/>
          <w:szCs w:val="20"/>
        </w:rPr>
        <w:t xml:space="preserve">efiere asimismo que </w:t>
      </w:r>
      <w:r w:rsidR="0071323A" w:rsidRPr="003B548D">
        <w:rPr>
          <w:sz w:val="20"/>
          <w:szCs w:val="20"/>
        </w:rPr>
        <w:t>en enero de 1992</w:t>
      </w:r>
      <w:r w:rsidR="0071323A">
        <w:rPr>
          <w:sz w:val="20"/>
          <w:szCs w:val="20"/>
        </w:rPr>
        <w:t>,</w:t>
      </w:r>
      <w:r w:rsidR="0071323A" w:rsidRPr="003B548D">
        <w:rPr>
          <w:sz w:val="20"/>
          <w:szCs w:val="20"/>
        </w:rPr>
        <w:t xml:space="preserve"> </w:t>
      </w:r>
      <w:r w:rsidR="003B548D" w:rsidRPr="003B548D">
        <w:rPr>
          <w:sz w:val="20"/>
          <w:szCs w:val="20"/>
        </w:rPr>
        <w:t>tras el fin de la guerra</w:t>
      </w:r>
      <w:r w:rsidR="0071323A">
        <w:rPr>
          <w:sz w:val="20"/>
          <w:szCs w:val="20"/>
        </w:rPr>
        <w:t>,</w:t>
      </w:r>
      <w:r w:rsidR="003B548D" w:rsidRPr="003B548D">
        <w:rPr>
          <w:sz w:val="20"/>
          <w:szCs w:val="20"/>
        </w:rPr>
        <w:t xml:space="preserve"> se creó una Comisión de la Verdad</w:t>
      </w:r>
      <w:r w:rsidR="00E967F5">
        <w:rPr>
          <w:sz w:val="20"/>
          <w:szCs w:val="20"/>
        </w:rPr>
        <w:t>,</w:t>
      </w:r>
      <w:r w:rsidR="003B548D" w:rsidRPr="003B548D">
        <w:rPr>
          <w:sz w:val="20"/>
          <w:szCs w:val="20"/>
        </w:rPr>
        <w:t xml:space="preserve"> </w:t>
      </w:r>
      <w:r w:rsidR="00E967F5">
        <w:rPr>
          <w:sz w:val="20"/>
          <w:szCs w:val="20"/>
        </w:rPr>
        <w:t xml:space="preserve">cuyo </w:t>
      </w:r>
      <w:r w:rsidR="003B548D" w:rsidRPr="003B548D">
        <w:rPr>
          <w:sz w:val="20"/>
          <w:szCs w:val="20"/>
        </w:rPr>
        <w:t>informe señal</w:t>
      </w:r>
      <w:r w:rsidR="00E967F5">
        <w:rPr>
          <w:sz w:val="20"/>
          <w:szCs w:val="20"/>
        </w:rPr>
        <w:t>a</w:t>
      </w:r>
      <w:r w:rsidR="003B548D" w:rsidRPr="003B548D">
        <w:rPr>
          <w:sz w:val="20"/>
          <w:szCs w:val="20"/>
        </w:rPr>
        <w:t xml:space="preserve"> que el conjunto de graves violaciones de derechos humanos </w:t>
      </w:r>
      <w:r w:rsidR="0071323A">
        <w:rPr>
          <w:sz w:val="20"/>
          <w:szCs w:val="20"/>
        </w:rPr>
        <w:t xml:space="preserve">fue parte de una </w:t>
      </w:r>
      <w:r w:rsidR="003B548D" w:rsidRPr="003B548D">
        <w:rPr>
          <w:sz w:val="20"/>
          <w:szCs w:val="20"/>
        </w:rPr>
        <w:t xml:space="preserve">política estatal sistemática </w:t>
      </w:r>
      <w:r w:rsidR="0071323A">
        <w:rPr>
          <w:sz w:val="20"/>
          <w:szCs w:val="20"/>
        </w:rPr>
        <w:t xml:space="preserve">en un contexto de </w:t>
      </w:r>
      <w:r w:rsidR="003B548D" w:rsidRPr="003B548D">
        <w:rPr>
          <w:sz w:val="20"/>
          <w:szCs w:val="20"/>
        </w:rPr>
        <w:t xml:space="preserve">exacerbada violencia política; </w:t>
      </w:r>
      <w:r w:rsidR="00E967F5">
        <w:rPr>
          <w:sz w:val="20"/>
          <w:szCs w:val="20"/>
        </w:rPr>
        <w:t>y que</w:t>
      </w:r>
      <w:r w:rsidR="003B548D" w:rsidRPr="003B548D">
        <w:rPr>
          <w:sz w:val="20"/>
          <w:szCs w:val="20"/>
        </w:rPr>
        <w:t xml:space="preserve"> </w:t>
      </w:r>
      <w:r w:rsidR="008D5132">
        <w:rPr>
          <w:sz w:val="20"/>
          <w:szCs w:val="20"/>
        </w:rPr>
        <w:t xml:space="preserve">la </w:t>
      </w:r>
      <w:r w:rsidR="003B548D" w:rsidRPr="003B548D">
        <w:rPr>
          <w:sz w:val="20"/>
          <w:szCs w:val="20"/>
        </w:rPr>
        <w:t xml:space="preserve">represión estatal asimilaba </w:t>
      </w:r>
      <w:r w:rsidR="008D5132" w:rsidRPr="003B548D">
        <w:rPr>
          <w:sz w:val="20"/>
          <w:szCs w:val="20"/>
        </w:rPr>
        <w:t xml:space="preserve">oficialmente </w:t>
      </w:r>
      <w:r w:rsidR="003B548D" w:rsidRPr="003B548D">
        <w:rPr>
          <w:sz w:val="20"/>
          <w:szCs w:val="20"/>
        </w:rPr>
        <w:t xml:space="preserve">el concepto de opositor político </w:t>
      </w:r>
      <w:r w:rsidR="008D5132">
        <w:rPr>
          <w:sz w:val="20"/>
          <w:szCs w:val="20"/>
        </w:rPr>
        <w:t xml:space="preserve">con los </w:t>
      </w:r>
      <w:r w:rsidR="003B548D" w:rsidRPr="003B548D">
        <w:rPr>
          <w:sz w:val="20"/>
          <w:szCs w:val="20"/>
        </w:rPr>
        <w:t>de subversivo y enemigo</w:t>
      </w:r>
      <w:r w:rsidR="008D5132">
        <w:rPr>
          <w:sz w:val="20"/>
          <w:szCs w:val="20"/>
        </w:rPr>
        <w:t>, por lo que</w:t>
      </w:r>
      <w:r w:rsidR="003B548D" w:rsidRPr="003B548D">
        <w:rPr>
          <w:sz w:val="20"/>
          <w:szCs w:val="20"/>
        </w:rPr>
        <w:t xml:space="preserve"> toda persona que de alguna manera cuestionara al gobierno era considerada "delincuente terrorista" y debía ser eliminada o sometida.</w:t>
      </w:r>
    </w:p>
    <w:p w14:paraId="4FCE29A1" w14:textId="0D396793" w:rsidR="005A605B" w:rsidRDefault="005A605B" w:rsidP="00DD7D3D">
      <w:pPr>
        <w:pStyle w:val="ListParagraph"/>
        <w:ind w:right="280"/>
        <w:rPr>
          <w:sz w:val="20"/>
          <w:szCs w:val="20"/>
        </w:rPr>
      </w:pPr>
    </w:p>
    <w:p w14:paraId="6E4724FA" w14:textId="77777777" w:rsidR="00BF15ED" w:rsidRPr="005A605B" w:rsidRDefault="00BF15ED" w:rsidP="00DD7D3D">
      <w:pPr>
        <w:pStyle w:val="ListParagraph"/>
        <w:ind w:right="280"/>
        <w:rPr>
          <w:sz w:val="20"/>
          <w:szCs w:val="20"/>
        </w:rPr>
      </w:pPr>
    </w:p>
    <w:p w14:paraId="71C28DFD" w14:textId="77777777" w:rsidR="005A605B" w:rsidRPr="00916D1F" w:rsidRDefault="005A605B" w:rsidP="00DD7D3D">
      <w:pPr>
        <w:ind w:right="280"/>
        <w:rPr>
          <w:sz w:val="20"/>
          <w:szCs w:val="20"/>
        </w:rPr>
      </w:pPr>
    </w:p>
    <w:p w14:paraId="459953CC" w14:textId="650DBB95" w:rsidR="00664365" w:rsidRDefault="00E967F5" w:rsidP="00DD7D3D">
      <w:pPr>
        <w:pStyle w:val="ListParagraph"/>
        <w:numPr>
          <w:ilvl w:val="0"/>
          <w:numId w:val="2"/>
        </w:numPr>
        <w:spacing w:before="0"/>
        <w:ind w:left="720" w:right="280" w:firstLine="720"/>
        <w:rPr>
          <w:sz w:val="20"/>
          <w:szCs w:val="20"/>
        </w:rPr>
      </w:pPr>
      <w:r>
        <w:rPr>
          <w:sz w:val="20"/>
          <w:szCs w:val="20"/>
        </w:rPr>
        <w:t xml:space="preserve">Según la parte peticionaria, cuando </w:t>
      </w:r>
      <w:r w:rsidR="00A407A3">
        <w:rPr>
          <w:sz w:val="20"/>
          <w:szCs w:val="20"/>
        </w:rPr>
        <w:t xml:space="preserve">la presunta víctima </w:t>
      </w:r>
      <w:r>
        <w:rPr>
          <w:sz w:val="20"/>
          <w:szCs w:val="20"/>
        </w:rPr>
        <w:t xml:space="preserve">asumió como </w:t>
      </w:r>
      <w:r w:rsidR="003B548D" w:rsidRPr="0054166D">
        <w:rPr>
          <w:sz w:val="20"/>
          <w:szCs w:val="20"/>
        </w:rPr>
        <w:t xml:space="preserve">Rector de la Universidad de El Salvador en agosto de 1979 </w:t>
      </w:r>
      <w:r>
        <w:rPr>
          <w:sz w:val="20"/>
          <w:szCs w:val="20"/>
        </w:rPr>
        <w:t xml:space="preserve">se </w:t>
      </w:r>
      <w:r w:rsidR="00664365" w:rsidRPr="0054166D">
        <w:rPr>
          <w:sz w:val="20"/>
          <w:szCs w:val="20"/>
        </w:rPr>
        <w:t xml:space="preserve">colocó </w:t>
      </w:r>
      <w:r w:rsidR="00A407A3">
        <w:rPr>
          <w:sz w:val="20"/>
          <w:szCs w:val="20"/>
        </w:rPr>
        <w:t xml:space="preserve">de inmediato </w:t>
      </w:r>
      <w:r w:rsidR="00664365" w:rsidRPr="0054166D">
        <w:rPr>
          <w:sz w:val="20"/>
          <w:szCs w:val="20"/>
        </w:rPr>
        <w:t>en la palestra de oposición política en el</w:t>
      </w:r>
      <w:r w:rsidR="00C76963" w:rsidRPr="0054166D">
        <w:rPr>
          <w:sz w:val="20"/>
          <w:szCs w:val="20"/>
        </w:rPr>
        <w:t xml:space="preserve"> </w:t>
      </w:r>
      <w:r w:rsidR="00664365" w:rsidRPr="0054166D">
        <w:rPr>
          <w:sz w:val="20"/>
          <w:szCs w:val="20"/>
        </w:rPr>
        <w:t>país</w:t>
      </w:r>
      <w:r w:rsidR="00A407A3">
        <w:rPr>
          <w:sz w:val="20"/>
          <w:szCs w:val="20"/>
        </w:rPr>
        <w:t>,</w:t>
      </w:r>
      <w:r>
        <w:rPr>
          <w:sz w:val="20"/>
          <w:szCs w:val="20"/>
        </w:rPr>
        <w:t xml:space="preserve"> y por lo tanto </w:t>
      </w:r>
      <w:r w:rsidR="00664365" w:rsidRPr="0054166D">
        <w:rPr>
          <w:sz w:val="20"/>
          <w:szCs w:val="20"/>
        </w:rPr>
        <w:t xml:space="preserve">en </w:t>
      </w:r>
      <w:r w:rsidR="003B548D" w:rsidRPr="0054166D">
        <w:rPr>
          <w:sz w:val="20"/>
          <w:szCs w:val="20"/>
        </w:rPr>
        <w:t>l</w:t>
      </w:r>
      <w:r w:rsidR="00664365" w:rsidRPr="0054166D">
        <w:rPr>
          <w:sz w:val="20"/>
          <w:szCs w:val="20"/>
        </w:rPr>
        <w:t>a mira de los grupos armados ilegales conocidos como</w:t>
      </w:r>
      <w:r w:rsidR="00C76963" w:rsidRPr="0054166D">
        <w:rPr>
          <w:sz w:val="20"/>
          <w:szCs w:val="20"/>
        </w:rPr>
        <w:t xml:space="preserve"> </w:t>
      </w:r>
      <w:r>
        <w:rPr>
          <w:sz w:val="20"/>
          <w:szCs w:val="20"/>
        </w:rPr>
        <w:t>“</w:t>
      </w:r>
      <w:r w:rsidR="00664365" w:rsidRPr="0054166D">
        <w:rPr>
          <w:sz w:val="20"/>
          <w:szCs w:val="20"/>
        </w:rPr>
        <w:t>escuadrones de l</w:t>
      </w:r>
      <w:r w:rsidR="003B548D" w:rsidRPr="0054166D">
        <w:rPr>
          <w:sz w:val="20"/>
          <w:szCs w:val="20"/>
        </w:rPr>
        <w:t>a</w:t>
      </w:r>
      <w:r w:rsidR="00664365" w:rsidRPr="0054166D">
        <w:rPr>
          <w:sz w:val="20"/>
          <w:szCs w:val="20"/>
        </w:rPr>
        <w:t xml:space="preserve"> muerte</w:t>
      </w:r>
      <w:r>
        <w:rPr>
          <w:sz w:val="20"/>
          <w:szCs w:val="20"/>
        </w:rPr>
        <w:t>”</w:t>
      </w:r>
      <w:r w:rsidR="00664365" w:rsidRPr="0054166D">
        <w:rPr>
          <w:sz w:val="20"/>
          <w:szCs w:val="20"/>
        </w:rPr>
        <w:t xml:space="preserve"> que operaban con la aquiescencia, tolerancia </w:t>
      </w:r>
      <w:r w:rsidR="006844C1">
        <w:rPr>
          <w:sz w:val="20"/>
          <w:szCs w:val="20"/>
        </w:rPr>
        <w:t xml:space="preserve">e incluso </w:t>
      </w:r>
      <w:r w:rsidR="00664365" w:rsidRPr="0054166D">
        <w:rPr>
          <w:sz w:val="20"/>
          <w:szCs w:val="20"/>
        </w:rPr>
        <w:t xml:space="preserve">participación </w:t>
      </w:r>
      <w:r w:rsidR="00A407A3">
        <w:rPr>
          <w:sz w:val="20"/>
          <w:szCs w:val="20"/>
        </w:rPr>
        <w:t>del Estado</w:t>
      </w:r>
      <w:r w:rsidR="00664365" w:rsidRPr="0054166D">
        <w:rPr>
          <w:sz w:val="20"/>
          <w:szCs w:val="20"/>
        </w:rPr>
        <w:t>.</w:t>
      </w:r>
      <w:r w:rsidR="003B548D" w:rsidRPr="0054166D">
        <w:rPr>
          <w:sz w:val="20"/>
          <w:szCs w:val="20"/>
        </w:rPr>
        <w:t xml:space="preserve"> Como represalia, </w:t>
      </w:r>
      <w:r w:rsidR="00916D1F">
        <w:rPr>
          <w:sz w:val="20"/>
          <w:szCs w:val="20"/>
        </w:rPr>
        <w:t>la presunta víctima</w:t>
      </w:r>
      <w:r w:rsidR="003B548D" w:rsidRPr="0054166D">
        <w:rPr>
          <w:sz w:val="20"/>
          <w:szCs w:val="20"/>
        </w:rPr>
        <w:t xml:space="preserve"> </w:t>
      </w:r>
      <w:r w:rsidR="0068552D" w:rsidRPr="0054166D">
        <w:rPr>
          <w:sz w:val="20"/>
          <w:szCs w:val="20"/>
        </w:rPr>
        <w:t>sufrió amenazas contra su persona y su familia</w:t>
      </w:r>
      <w:r w:rsidR="0068552D" w:rsidRPr="00A407A3">
        <w:rPr>
          <w:vertAlign w:val="superscript"/>
        </w:rPr>
        <w:footnoteReference w:id="1"/>
      </w:r>
      <w:r w:rsidR="0068552D" w:rsidRPr="0054166D">
        <w:rPr>
          <w:sz w:val="20"/>
          <w:szCs w:val="20"/>
        </w:rPr>
        <w:t xml:space="preserve">, por </w:t>
      </w:r>
      <w:r w:rsidR="00916D1F">
        <w:rPr>
          <w:sz w:val="20"/>
          <w:szCs w:val="20"/>
        </w:rPr>
        <w:t xml:space="preserve">lo </w:t>
      </w:r>
      <w:r w:rsidR="00FF4895">
        <w:rPr>
          <w:sz w:val="20"/>
          <w:szCs w:val="20"/>
        </w:rPr>
        <w:t>que ni siquiera</w:t>
      </w:r>
      <w:r w:rsidR="0068552D" w:rsidRPr="0054166D">
        <w:rPr>
          <w:sz w:val="20"/>
          <w:szCs w:val="20"/>
        </w:rPr>
        <w:t xml:space="preserve"> </w:t>
      </w:r>
      <w:r w:rsidR="00916D1F">
        <w:rPr>
          <w:sz w:val="20"/>
          <w:szCs w:val="20"/>
        </w:rPr>
        <w:t xml:space="preserve">podían dormir </w:t>
      </w:r>
      <w:r w:rsidR="00664365" w:rsidRPr="0054166D">
        <w:rPr>
          <w:sz w:val="20"/>
          <w:szCs w:val="20"/>
        </w:rPr>
        <w:t xml:space="preserve">en su </w:t>
      </w:r>
      <w:r w:rsidR="00916D1F">
        <w:rPr>
          <w:sz w:val="20"/>
          <w:szCs w:val="20"/>
        </w:rPr>
        <w:t xml:space="preserve">propia </w:t>
      </w:r>
      <w:r w:rsidR="00664365" w:rsidRPr="0054166D">
        <w:rPr>
          <w:sz w:val="20"/>
          <w:szCs w:val="20"/>
        </w:rPr>
        <w:t>casa</w:t>
      </w:r>
      <w:r w:rsidR="00916D1F">
        <w:rPr>
          <w:sz w:val="20"/>
          <w:szCs w:val="20"/>
        </w:rPr>
        <w:t>, sino</w:t>
      </w:r>
      <w:r w:rsidR="00C76963" w:rsidRPr="0054166D">
        <w:rPr>
          <w:sz w:val="20"/>
          <w:szCs w:val="20"/>
        </w:rPr>
        <w:t xml:space="preserve"> </w:t>
      </w:r>
      <w:r w:rsidR="00FF4895">
        <w:rPr>
          <w:sz w:val="20"/>
          <w:szCs w:val="20"/>
        </w:rPr>
        <w:t xml:space="preserve">que se veían obligados a </w:t>
      </w:r>
      <w:r w:rsidR="00664365" w:rsidRPr="0054166D">
        <w:rPr>
          <w:sz w:val="20"/>
          <w:szCs w:val="20"/>
        </w:rPr>
        <w:t xml:space="preserve">buscar otros lugares para protegerse. </w:t>
      </w:r>
      <w:r w:rsidR="0054166D" w:rsidRPr="0054166D">
        <w:rPr>
          <w:sz w:val="20"/>
          <w:szCs w:val="20"/>
        </w:rPr>
        <w:t>A</w:t>
      </w:r>
      <w:r w:rsidR="00916D1F">
        <w:rPr>
          <w:sz w:val="20"/>
          <w:szCs w:val="20"/>
        </w:rPr>
        <w:t xml:space="preserve">grega que </w:t>
      </w:r>
      <w:r w:rsidR="00A407A3">
        <w:rPr>
          <w:sz w:val="20"/>
          <w:szCs w:val="20"/>
        </w:rPr>
        <w:t>cada vez que</w:t>
      </w:r>
      <w:r w:rsidR="00664365" w:rsidRPr="0054166D">
        <w:rPr>
          <w:sz w:val="20"/>
          <w:szCs w:val="20"/>
        </w:rPr>
        <w:t xml:space="preserve"> las fuerzas militares y</w:t>
      </w:r>
      <w:r w:rsidR="00C76963" w:rsidRPr="0054166D">
        <w:rPr>
          <w:sz w:val="20"/>
          <w:szCs w:val="20"/>
        </w:rPr>
        <w:t xml:space="preserve"> </w:t>
      </w:r>
      <w:r w:rsidR="00664365" w:rsidRPr="0054166D">
        <w:rPr>
          <w:sz w:val="20"/>
          <w:szCs w:val="20"/>
        </w:rPr>
        <w:t xml:space="preserve">policiales sitiaban la Universidad de El Salvador, </w:t>
      </w:r>
      <w:r w:rsidR="00A407A3">
        <w:rPr>
          <w:sz w:val="20"/>
          <w:szCs w:val="20"/>
        </w:rPr>
        <w:t xml:space="preserve">la presunta víctima </w:t>
      </w:r>
      <w:r w:rsidR="00664365" w:rsidRPr="0054166D">
        <w:rPr>
          <w:sz w:val="20"/>
          <w:szCs w:val="20"/>
        </w:rPr>
        <w:t>deb</w:t>
      </w:r>
      <w:r w:rsidR="00A407A3">
        <w:rPr>
          <w:sz w:val="20"/>
          <w:szCs w:val="20"/>
        </w:rPr>
        <w:t>ía</w:t>
      </w:r>
      <w:r w:rsidR="00664365" w:rsidRPr="0054166D">
        <w:rPr>
          <w:sz w:val="20"/>
          <w:szCs w:val="20"/>
        </w:rPr>
        <w:t xml:space="preserve"> salir</w:t>
      </w:r>
      <w:r w:rsidR="00C76963" w:rsidRPr="0054166D">
        <w:rPr>
          <w:sz w:val="20"/>
          <w:szCs w:val="20"/>
        </w:rPr>
        <w:t xml:space="preserve"> </w:t>
      </w:r>
      <w:r w:rsidR="00664365" w:rsidRPr="0054166D">
        <w:rPr>
          <w:sz w:val="20"/>
          <w:szCs w:val="20"/>
        </w:rPr>
        <w:t>en el baúl de</w:t>
      </w:r>
      <w:r w:rsidR="00C76963" w:rsidRPr="0054166D">
        <w:rPr>
          <w:sz w:val="20"/>
          <w:szCs w:val="20"/>
        </w:rPr>
        <w:t xml:space="preserve"> </w:t>
      </w:r>
      <w:r w:rsidR="00664365" w:rsidRPr="0054166D">
        <w:rPr>
          <w:sz w:val="20"/>
          <w:szCs w:val="20"/>
        </w:rPr>
        <w:t>algún vehículo para evitar</w:t>
      </w:r>
      <w:r w:rsidR="00A407A3">
        <w:rPr>
          <w:sz w:val="20"/>
          <w:szCs w:val="20"/>
        </w:rPr>
        <w:t xml:space="preserve">los, </w:t>
      </w:r>
      <w:r w:rsidR="00664365" w:rsidRPr="0054166D">
        <w:rPr>
          <w:sz w:val="20"/>
          <w:szCs w:val="20"/>
        </w:rPr>
        <w:t>ya que se tenía conocimiento de</w:t>
      </w:r>
      <w:r w:rsidR="00C76963" w:rsidRPr="0054166D">
        <w:rPr>
          <w:sz w:val="20"/>
          <w:szCs w:val="20"/>
        </w:rPr>
        <w:t xml:space="preserve"> </w:t>
      </w:r>
      <w:r w:rsidR="00664365" w:rsidRPr="0054166D">
        <w:rPr>
          <w:sz w:val="20"/>
          <w:szCs w:val="20"/>
        </w:rPr>
        <w:t xml:space="preserve">que algunos </w:t>
      </w:r>
      <w:r w:rsidR="00A407A3">
        <w:rPr>
          <w:sz w:val="20"/>
          <w:szCs w:val="20"/>
        </w:rPr>
        <w:t xml:space="preserve">de ellos </w:t>
      </w:r>
      <w:r w:rsidR="00664365" w:rsidRPr="0054166D">
        <w:rPr>
          <w:sz w:val="20"/>
          <w:szCs w:val="20"/>
        </w:rPr>
        <w:t>pertenecían a los</w:t>
      </w:r>
      <w:r w:rsidR="00C76963" w:rsidRPr="0054166D">
        <w:rPr>
          <w:sz w:val="20"/>
          <w:szCs w:val="20"/>
        </w:rPr>
        <w:t xml:space="preserve"> </w:t>
      </w:r>
      <w:r w:rsidR="00664365" w:rsidRPr="0054166D">
        <w:rPr>
          <w:sz w:val="20"/>
          <w:szCs w:val="20"/>
        </w:rPr>
        <w:t>escuadrones de la muerte que amenazaban su vida y la de su familia. En el</w:t>
      </w:r>
      <w:r w:rsidR="00C76963" w:rsidRPr="0054166D">
        <w:rPr>
          <w:sz w:val="20"/>
          <w:szCs w:val="20"/>
        </w:rPr>
        <w:t xml:space="preserve"> </w:t>
      </w:r>
      <w:r w:rsidR="00664365" w:rsidRPr="0054166D">
        <w:rPr>
          <w:sz w:val="20"/>
          <w:szCs w:val="20"/>
        </w:rPr>
        <w:t xml:space="preserve">marco de ese tipo de operativos, </w:t>
      </w:r>
      <w:r w:rsidR="00FF4895">
        <w:rPr>
          <w:sz w:val="20"/>
          <w:szCs w:val="20"/>
        </w:rPr>
        <w:t>llegó a</w:t>
      </w:r>
      <w:r w:rsidR="00664365" w:rsidRPr="0054166D">
        <w:rPr>
          <w:sz w:val="20"/>
          <w:szCs w:val="20"/>
        </w:rPr>
        <w:t xml:space="preserve"> brindar declaraciones a la prensa tendido en el</w:t>
      </w:r>
      <w:r w:rsidR="00C76963" w:rsidRPr="0054166D">
        <w:rPr>
          <w:sz w:val="20"/>
          <w:szCs w:val="20"/>
        </w:rPr>
        <w:t xml:space="preserve"> </w:t>
      </w:r>
      <w:r w:rsidR="00664365" w:rsidRPr="0054166D">
        <w:rPr>
          <w:sz w:val="20"/>
          <w:szCs w:val="20"/>
        </w:rPr>
        <w:t>piso</w:t>
      </w:r>
      <w:r w:rsidR="00A407A3">
        <w:rPr>
          <w:sz w:val="20"/>
          <w:szCs w:val="20"/>
        </w:rPr>
        <w:t>,</w:t>
      </w:r>
      <w:r w:rsidR="00664365" w:rsidRPr="0054166D">
        <w:rPr>
          <w:sz w:val="20"/>
          <w:szCs w:val="20"/>
        </w:rPr>
        <w:t xml:space="preserve"> pues </w:t>
      </w:r>
      <w:r w:rsidR="00A407A3">
        <w:rPr>
          <w:sz w:val="20"/>
          <w:szCs w:val="20"/>
        </w:rPr>
        <w:t xml:space="preserve">los </w:t>
      </w:r>
      <w:r w:rsidR="00664365" w:rsidRPr="0054166D">
        <w:rPr>
          <w:sz w:val="20"/>
          <w:szCs w:val="20"/>
        </w:rPr>
        <w:t xml:space="preserve">francotiradores apostados en edificios vecinos </w:t>
      </w:r>
      <w:r w:rsidR="00A407A3">
        <w:rPr>
          <w:sz w:val="20"/>
          <w:szCs w:val="20"/>
        </w:rPr>
        <w:t>a</w:t>
      </w:r>
      <w:r w:rsidR="00664365" w:rsidRPr="0054166D">
        <w:rPr>
          <w:sz w:val="20"/>
          <w:szCs w:val="20"/>
        </w:rPr>
        <w:t xml:space="preserve"> la </w:t>
      </w:r>
      <w:r w:rsidR="00A407A3">
        <w:rPr>
          <w:sz w:val="20"/>
          <w:szCs w:val="20"/>
        </w:rPr>
        <w:t>u</w:t>
      </w:r>
      <w:r w:rsidR="00664365" w:rsidRPr="0054166D">
        <w:rPr>
          <w:sz w:val="20"/>
          <w:szCs w:val="20"/>
        </w:rPr>
        <w:t>niversidad habían disparado y quebrado las ventanas del edificio donde se encontraba</w:t>
      </w:r>
      <w:r w:rsidR="00C76963" w:rsidRPr="0054166D">
        <w:rPr>
          <w:sz w:val="20"/>
          <w:szCs w:val="20"/>
        </w:rPr>
        <w:t xml:space="preserve"> </w:t>
      </w:r>
      <w:r w:rsidR="00664365" w:rsidRPr="0054166D">
        <w:rPr>
          <w:sz w:val="20"/>
          <w:szCs w:val="20"/>
        </w:rPr>
        <w:t>la Rectoría.</w:t>
      </w:r>
    </w:p>
    <w:p w14:paraId="228FEB67" w14:textId="77777777" w:rsidR="0090139E" w:rsidRPr="00A407A3" w:rsidRDefault="0090139E" w:rsidP="00DD7D3D">
      <w:pPr>
        <w:ind w:left="720" w:right="280"/>
        <w:rPr>
          <w:sz w:val="20"/>
          <w:szCs w:val="20"/>
        </w:rPr>
      </w:pPr>
    </w:p>
    <w:p w14:paraId="2F69F8C0" w14:textId="5AE2256F" w:rsidR="0090139E" w:rsidRDefault="00A407A3" w:rsidP="00DD7D3D">
      <w:pPr>
        <w:pStyle w:val="ListParagraph"/>
        <w:numPr>
          <w:ilvl w:val="0"/>
          <w:numId w:val="2"/>
        </w:numPr>
        <w:spacing w:before="0"/>
        <w:ind w:left="720" w:right="280" w:firstLine="720"/>
        <w:rPr>
          <w:sz w:val="20"/>
          <w:szCs w:val="20"/>
        </w:rPr>
      </w:pPr>
      <w:r>
        <w:rPr>
          <w:sz w:val="20"/>
          <w:szCs w:val="20"/>
        </w:rPr>
        <w:t>A</w:t>
      </w:r>
      <w:r w:rsidR="0090139E">
        <w:rPr>
          <w:sz w:val="20"/>
          <w:szCs w:val="20"/>
        </w:rPr>
        <w:t xml:space="preserve"> pesar de las incursiones militares en la Ciudad Universitaria</w:t>
      </w:r>
      <w:r w:rsidR="00A71D96">
        <w:rPr>
          <w:sz w:val="20"/>
          <w:szCs w:val="20"/>
        </w:rPr>
        <w:t>,</w:t>
      </w:r>
      <w:r w:rsidR="0090139E">
        <w:rPr>
          <w:sz w:val="20"/>
          <w:szCs w:val="20"/>
        </w:rPr>
        <w:t xml:space="preserve"> y de los asesinatos de otras personas prominentes</w:t>
      </w:r>
      <w:r>
        <w:rPr>
          <w:sz w:val="20"/>
          <w:szCs w:val="20"/>
        </w:rPr>
        <w:t xml:space="preserve"> </w:t>
      </w:r>
      <w:r w:rsidR="0090139E">
        <w:rPr>
          <w:sz w:val="20"/>
          <w:szCs w:val="20"/>
        </w:rPr>
        <w:t xml:space="preserve">como el Procurador General de Pobres y el </w:t>
      </w:r>
      <w:r w:rsidR="00916D1F">
        <w:rPr>
          <w:sz w:val="20"/>
          <w:szCs w:val="20"/>
        </w:rPr>
        <w:t>A</w:t>
      </w:r>
      <w:r w:rsidR="0090139E">
        <w:rPr>
          <w:sz w:val="20"/>
          <w:szCs w:val="20"/>
        </w:rPr>
        <w:t xml:space="preserve">rzobispo de San Salvador, </w:t>
      </w:r>
      <w:r>
        <w:rPr>
          <w:sz w:val="20"/>
          <w:szCs w:val="20"/>
        </w:rPr>
        <w:t xml:space="preserve">la presunta víctima </w:t>
      </w:r>
      <w:r w:rsidR="0090139E">
        <w:rPr>
          <w:sz w:val="20"/>
          <w:szCs w:val="20"/>
        </w:rPr>
        <w:t xml:space="preserve">continuó con sus </w:t>
      </w:r>
      <w:r w:rsidR="0090139E" w:rsidRPr="001E152B">
        <w:rPr>
          <w:sz w:val="20"/>
          <w:szCs w:val="20"/>
        </w:rPr>
        <w:t>actividades académicas y administrativas</w:t>
      </w:r>
      <w:r w:rsidR="0090139E">
        <w:rPr>
          <w:sz w:val="20"/>
          <w:szCs w:val="20"/>
        </w:rPr>
        <w:t xml:space="preserve">. El 28 de octubre de 1980, luego de dirigirse a una sucursal bancaria ubicada cerca del recinto universitario, </w:t>
      </w:r>
      <w:r w:rsidR="00ED5706">
        <w:rPr>
          <w:sz w:val="20"/>
          <w:szCs w:val="20"/>
        </w:rPr>
        <w:t>la presunta víctima y su chofer</w:t>
      </w:r>
      <w:r w:rsidR="0090139E">
        <w:rPr>
          <w:sz w:val="20"/>
          <w:szCs w:val="20"/>
        </w:rPr>
        <w:t xml:space="preserve"> sufrieron un ataque armado. El </w:t>
      </w:r>
      <w:r w:rsidR="00ED5706">
        <w:rPr>
          <w:sz w:val="20"/>
          <w:szCs w:val="20"/>
        </w:rPr>
        <w:t>chofer</w:t>
      </w:r>
      <w:r w:rsidR="0090139E">
        <w:rPr>
          <w:sz w:val="20"/>
          <w:szCs w:val="20"/>
        </w:rPr>
        <w:t xml:space="preserve"> falleció en el instante</w:t>
      </w:r>
      <w:r w:rsidR="00ED5706">
        <w:rPr>
          <w:sz w:val="20"/>
          <w:szCs w:val="20"/>
        </w:rPr>
        <w:t>, mientras que la presunta víctima quedó</w:t>
      </w:r>
      <w:r w:rsidR="0090139E">
        <w:rPr>
          <w:sz w:val="20"/>
          <w:szCs w:val="20"/>
        </w:rPr>
        <w:t xml:space="preserve"> gravemente herid</w:t>
      </w:r>
      <w:r w:rsidR="00ED5706">
        <w:rPr>
          <w:sz w:val="20"/>
          <w:szCs w:val="20"/>
        </w:rPr>
        <w:t>a</w:t>
      </w:r>
      <w:r w:rsidR="0090139E">
        <w:rPr>
          <w:sz w:val="20"/>
          <w:szCs w:val="20"/>
        </w:rPr>
        <w:t xml:space="preserve">, </w:t>
      </w:r>
      <w:r w:rsidR="00ED5706">
        <w:rPr>
          <w:sz w:val="20"/>
          <w:szCs w:val="20"/>
        </w:rPr>
        <w:t xml:space="preserve">por lo que </w:t>
      </w:r>
      <w:r w:rsidR="0090139E">
        <w:rPr>
          <w:sz w:val="20"/>
          <w:szCs w:val="20"/>
        </w:rPr>
        <w:t>fue trasladad</w:t>
      </w:r>
      <w:r w:rsidR="00ED5706">
        <w:rPr>
          <w:sz w:val="20"/>
          <w:szCs w:val="20"/>
        </w:rPr>
        <w:t>a</w:t>
      </w:r>
      <w:r w:rsidR="0090139E">
        <w:rPr>
          <w:sz w:val="20"/>
          <w:szCs w:val="20"/>
        </w:rPr>
        <w:t xml:space="preserve"> a una clínica</w:t>
      </w:r>
      <w:r w:rsidR="00FF4895">
        <w:rPr>
          <w:sz w:val="20"/>
          <w:szCs w:val="20"/>
        </w:rPr>
        <w:t>,</w:t>
      </w:r>
      <w:r w:rsidR="0090139E">
        <w:rPr>
          <w:sz w:val="20"/>
          <w:szCs w:val="20"/>
        </w:rPr>
        <w:t xml:space="preserve"> </w:t>
      </w:r>
      <w:r w:rsidR="00ED5706">
        <w:rPr>
          <w:sz w:val="20"/>
          <w:szCs w:val="20"/>
        </w:rPr>
        <w:t>donde</w:t>
      </w:r>
      <w:r w:rsidR="0090139E">
        <w:rPr>
          <w:sz w:val="20"/>
          <w:szCs w:val="20"/>
        </w:rPr>
        <w:t xml:space="preserve"> falleció en la madrugada del siguiente día. La parte peticionaria indica que el ataque fue</w:t>
      </w:r>
      <w:r w:rsidR="00ED5706">
        <w:rPr>
          <w:sz w:val="20"/>
          <w:szCs w:val="20"/>
        </w:rPr>
        <w:t xml:space="preserve"> </w:t>
      </w:r>
      <w:r w:rsidR="0090139E">
        <w:rPr>
          <w:sz w:val="20"/>
          <w:szCs w:val="20"/>
        </w:rPr>
        <w:t>parte de un operativo militar.</w:t>
      </w:r>
    </w:p>
    <w:p w14:paraId="1A17CCDB" w14:textId="77777777" w:rsidR="0090139E" w:rsidRPr="00ED5706" w:rsidRDefault="0090139E" w:rsidP="00DD7D3D">
      <w:pPr>
        <w:ind w:left="720" w:right="280"/>
        <w:rPr>
          <w:sz w:val="20"/>
          <w:szCs w:val="20"/>
        </w:rPr>
      </w:pPr>
    </w:p>
    <w:p w14:paraId="3DE7F81B" w14:textId="504F6BCB" w:rsidR="00910A7B" w:rsidRDefault="0090139E" w:rsidP="00DD7D3D">
      <w:pPr>
        <w:pStyle w:val="ListParagraph"/>
        <w:numPr>
          <w:ilvl w:val="0"/>
          <w:numId w:val="2"/>
        </w:numPr>
        <w:spacing w:before="0"/>
        <w:ind w:left="720" w:right="280" w:firstLine="720"/>
        <w:rPr>
          <w:sz w:val="20"/>
          <w:szCs w:val="20"/>
        </w:rPr>
      </w:pPr>
      <w:r w:rsidRPr="00480AD1">
        <w:rPr>
          <w:sz w:val="20"/>
          <w:szCs w:val="20"/>
        </w:rPr>
        <w:t xml:space="preserve">La parte peticionaria también señala que </w:t>
      </w:r>
      <w:r w:rsidR="00ED5706">
        <w:rPr>
          <w:sz w:val="20"/>
          <w:szCs w:val="20"/>
        </w:rPr>
        <w:t>se inició un</w:t>
      </w:r>
      <w:r w:rsidRPr="00480AD1">
        <w:rPr>
          <w:sz w:val="20"/>
          <w:szCs w:val="20"/>
        </w:rPr>
        <w:t xml:space="preserve"> expediente penal que nunca prosperó, por la decidida negativa </w:t>
      </w:r>
      <w:r w:rsidR="00ED5706">
        <w:rPr>
          <w:sz w:val="20"/>
          <w:szCs w:val="20"/>
        </w:rPr>
        <w:t>de</w:t>
      </w:r>
      <w:r w:rsidR="00ED5706" w:rsidRPr="00480AD1">
        <w:rPr>
          <w:sz w:val="20"/>
          <w:szCs w:val="20"/>
        </w:rPr>
        <w:t xml:space="preserve"> establecer la verdad de los hechos </w:t>
      </w:r>
      <w:r w:rsidR="00ED5706">
        <w:rPr>
          <w:sz w:val="20"/>
          <w:szCs w:val="20"/>
        </w:rPr>
        <w:t xml:space="preserve">por parte </w:t>
      </w:r>
      <w:r w:rsidRPr="00480AD1">
        <w:rPr>
          <w:sz w:val="20"/>
          <w:szCs w:val="20"/>
        </w:rPr>
        <w:t>de las autoridades civiles y militares de la época</w:t>
      </w:r>
      <w:r w:rsidR="00ED5706">
        <w:rPr>
          <w:sz w:val="20"/>
          <w:szCs w:val="20"/>
        </w:rPr>
        <w:t>.</w:t>
      </w:r>
      <w:r w:rsidR="00480AD1" w:rsidRPr="00480AD1">
        <w:rPr>
          <w:sz w:val="20"/>
          <w:szCs w:val="20"/>
        </w:rPr>
        <w:t xml:space="preserve"> </w:t>
      </w:r>
      <w:r w:rsidR="00ED5706">
        <w:rPr>
          <w:sz w:val="20"/>
          <w:szCs w:val="20"/>
        </w:rPr>
        <w:t xml:space="preserve">Agrega que </w:t>
      </w:r>
      <w:r w:rsidR="00ED5706" w:rsidRPr="00480AD1">
        <w:rPr>
          <w:sz w:val="20"/>
          <w:szCs w:val="20"/>
        </w:rPr>
        <w:t xml:space="preserve">el 29 de </w:t>
      </w:r>
      <w:r w:rsidR="00A71D96">
        <w:rPr>
          <w:sz w:val="20"/>
          <w:szCs w:val="20"/>
        </w:rPr>
        <w:t>o</w:t>
      </w:r>
      <w:r w:rsidR="00ED5706" w:rsidRPr="00480AD1">
        <w:rPr>
          <w:sz w:val="20"/>
          <w:szCs w:val="20"/>
        </w:rPr>
        <w:t>ctubre de 2010</w:t>
      </w:r>
      <w:r w:rsidR="00ED5706">
        <w:rPr>
          <w:sz w:val="20"/>
          <w:szCs w:val="20"/>
        </w:rPr>
        <w:t xml:space="preserve">, </w:t>
      </w:r>
      <w:r w:rsidR="00480AD1" w:rsidRPr="00480AD1">
        <w:rPr>
          <w:sz w:val="20"/>
          <w:szCs w:val="20"/>
        </w:rPr>
        <w:t>antes de presenta</w:t>
      </w:r>
      <w:r w:rsidR="00ED5706">
        <w:rPr>
          <w:sz w:val="20"/>
          <w:szCs w:val="20"/>
        </w:rPr>
        <w:t>r</w:t>
      </w:r>
      <w:r w:rsidR="00480AD1" w:rsidRPr="00480AD1">
        <w:rPr>
          <w:sz w:val="20"/>
          <w:szCs w:val="20"/>
        </w:rPr>
        <w:t xml:space="preserve"> </w:t>
      </w:r>
      <w:r w:rsidR="00ED5706">
        <w:rPr>
          <w:sz w:val="20"/>
          <w:szCs w:val="20"/>
        </w:rPr>
        <w:t xml:space="preserve">la </w:t>
      </w:r>
      <w:r w:rsidR="00480AD1" w:rsidRPr="00480AD1">
        <w:rPr>
          <w:sz w:val="20"/>
          <w:szCs w:val="20"/>
        </w:rPr>
        <w:t>petición a la C</w:t>
      </w:r>
      <w:r w:rsidR="00ED5706">
        <w:rPr>
          <w:sz w:val="20"/>
          <w:szCs w:val="20"/>
        </w:rPr>
        <w:t>IDH,</w:t>
      </w:r>
      <w:r w:rsidR="00480AD1" w:rsidRPr="00480AD1">
        <w:rPr>
          <w:sz w:val="20"/>
          <w:szCs w:val="20"/>
        </w:rPr>
        <w:t xml:space="preserve"> la familia Ulloa denunció los hechos en la </w:t>
      </w:r>
      <w:proofErr w:type="gramStart"/>
      <w:r w:rsidR="00480AD1" w:rsidRPr="00480AD1">
        <w:rPr>
          <w:sz w:val="20"/>
          <w:szCs w:val="20"/>
        </w:rPr>
        <w:t>Fiscalía General</w:t>
      </w:r>
      <w:proofErr w:type="gramEnd"/>
      <w:r w:rsidR="00480AD1" w:rsidRPr="00480AD1">
        <w:rPr>
          <w:sz w:val="20"/>
          <w:szCs w:val="20"/>
        </w:rPr>
        <w:t xml:space="preserve"> de la República, </w:t>
      </w:r>
      <w:r w:rsidR="00ED5706">
        <w:rPr>
          <w:sz w:val="20"/>
          <w:szCs w:val="20"/>
        </w:rPr>
        <w:t xml:space="preserve">que no los había </w:t>
      </w:r>
      <w:r w:rsidR="00480AD1" w:rsidRPr="00480AD1">
        <w:rPr>
          <w:sz w:val="20"/>
          <w:szCs w:val="20"/>
        </w:rPr>
        <w:t>investig</w:t>
      </w:r>
      <w:r w:rsidR="00ED5706">
        <w:rPr>
          <w:sz w:val="20"/>
          <w:szCs w:val="20"/>
        </w:rPr>
        <w:t>ado</w:t>
      </w:r>
      <w:r w:rsidR="00480AD1" w:rsidRPr="00480AD1">
        <w:rPr>
          <w:sz w:val="20"/>
          <w:szCs w:val="20"/>
        </w:rPr>
        <w:t xml:space="preserve"> de oficio durante </w:t>
      </w:r>
      <w:r w:rsidR="00FF4895">
        <w:rPr>
          <w:sz w:val="20"/>
          <w:szCs w:val="20"/>
        </w:rPr>
        <w:t xml:space="preserve">las </w:t>
      </w:r>
      <w:r w:rsidR="00480AD1" w:rsidRPr="00480AD1">
        <w:rPr>
          <w:sz w:val="20"/>
          <w:szCs w:val="20"/>
        </w:rPr>
        <w:t>tres décadas</w:t>
      </w:r>
      <w:r w:rsidR="00FF4895">
        <w:rPr>
          <w:sz w:val="20"/>
          <w:szCs w:val="20"/>
        </w:rPr>
        <w:t xml:space="preserve"> anteriores</w:t>
      </w:r>
      <w:r w:rsidR="00480AD1" w:rsidRPr="00480AD1">
        <w:rPr>
          <w:sz w:val="20"/>
          <w:szCs w:val="20"/>
        </w:rPr>
        <w:t xml:space="preserve">; </w:t>
      </w:r>
      <w:r w:rsidR="00ED5706">
        <w:rPr>
          <w:sz w:val="20"/>
          <w:szCs w:val="20"/>
        </w:rPr>
        <w:t xml:space="preserve">y que </w:t>
      </w:r>
      <w:r w:rsidR="00480AD1" w:rsidRPr="00480AD1">
        <w:rPr>
          <w:sz w:val="20"/>
          <w:szCs w:val="20"/>
        </w:rPr>
        <w:t xml:space="preserve">tras más de un año, </w:t>
      </w:r>
      <w:r w:rsidR="00ED5706">
        <w:rPr>
          <w:sz w:val="20"/>
          <w:szCs w:val="20"/>
        </w:rPr>
        <w:t xml:space="preserve">no se tenía </w:t>
      </w:r>
      <w:r w:rsidR="00480AD1" w:rsidRPr="00480AD1">
        <w:rPr>
          <w:sz w:val="20"/>
          <w:szCs w:val="20"/>
        </w:rPr>
        <w:t xml:space="preserve">información alguna sobre las acciones de investigación emprendidas por </w:t>
      </w:r>
      <w:r w:rsidR="00ED5706">
        <w:rPr>
          <w:sz w:val="20"/>
          <w:szCs w:val="20"/>
        </w:rPr>
        <w:t>dicha entidad</w:t>
      </w:r>
      <w:r w:rsidR="00480AD1" w:rsidRPr="00480AD1">
        <w:rPr>
          <w:sz w:val="20"/>
          <w:szCs w:val="20"/>
        </w:rPr>
        <w:t>.</w:t>
      </w:r>
    </w:p>
    <w:p w14:paraId="0725EC91" w14:textId="77777777" w:rsidR="00910A7B" w:rsidRPr="00FF4895" w:rsidRDefault="00910A7B" w:rsidP="00FF4895">
      <w:pPr>
        <w:ind w:left="720" w:right="280"/>
        <w:rPr>
          <w:sz w:val="20"/>
          <w:szCs w:val="20"/>
        </w:rPr>
      </w:pPr>
    </w:p>
    <w:p w14:paraId="000ED177" w14:textId="45E9BFD7" w:rsidR="009B2EA2" w:rsidRDefault="00A71D96" w:rsidP="00DD7D3D">
      <w:pPr>
        <w:pStyle w:val="ListParagraph"/>
        <w:numPr>
          <w:ilvl w:val="0"/>
          <w:numId w:val="2"/>
        </w:numPr>
        <w:spacing w:before="0"/>
        <w:ind w:left="720" w:right="280" w:firstLine="720"/>
        <w:rPr>
          <w:sz w:val="20"/>
          <w:szCs w:val="20"/>
        </w:rPr>
      </w:pPr>
      <w:r>
        <w:rPr>
          <w:sz w:val="20"/>
          <w:szCs w:val="20"/>
        </w:rPr>
        <w:t>A</w:t>
      </w:r>
      <w:r w:rsidR="00910A7B" w:rsidRPr="009B2EA2">
        <w:rPr>
          <w:sz w:val="20"/>
          <w:szCs w:val="20"/>
        </w:rPr>
        <w:t xml:space="preserve"> su </w:t>
      </w:r>
      <w:r>
        <w:rPr>
          <w:sz w:val="20"/>
          <w:szCs w:val="20"/>
        </w:rPr>
        <w:t>vez</w:t>
      </w:r>
      <w:r w:rsidR="00910A7B" w:rsidRPr="009B2EA2">
        <w:rPr>
          <w:sz w:val="20"/>
          <w:szCs w:val="20"/>
        </w:rPr>
        <w:t xml:space="preserve">, el Estado </w:t>
      </w:r>
      <w:r w:rsidR="00ED5706" w:rsidRPr="009B2EA2">
        <w:rPr>
          <w:sz w:val="20"/>
          <w:szCs w:val="20"/>
        </w:rPr>
        <w:t xml:space="preserve">informa </w:t>
      </w:r>
      <w:r w:rsidR="00910A7B" w:rsidRPr="009B2EA2">
        <w:rPr>
          <w:sz w:val="20"/>
          <w:szCs w:val="20"/>
        </w:rPr>
        <w:t>que</w:t>
      </w:r>
      <w:r w:rsidR="009B2EA2">
        <w:rPr>
          <w:sz w:val="20"/>
          <w:szCs w:val="20"/>
        </w:rPr>
        <w:t xml:space="preserve"> una vez </w:t>
      </w:r>
      <w:r>
        <w:rPr>
          <w:sz w:val="20"/>
          <w:szCs w:val="20"/>
        </w:rPr>
        <w:t xml:space="preserve">que le fue notificada </w:t>
      </w:r>
      <w:r w:rsidR="00910A7B" w:rsidRPr="009B2EA2">
        <w:rPr>
          <w:sz w:val="20"/>
          <w:szCs w:val="20"/>
        </w:rPr>
        <w:t xml:space="preserve">la presente </w:t>
      </w:r>
      <w:r w:rsidR="00ED5706" w:rsidRPr="009B2EA2">
        <w:rPr>
          <w:sz w:val="20"/>
          <w:szCs w:val="20"/>
        </w:rPr>
        <w:t xml:space="preserve">petición </w:t>
      </w:r>
      <w:r w:rsidR="00910A7B" w:rsidRPr="009B2EA2">
        <w:rPr>
          <w:sz w:val="20"/>
          <w:szCs w:val="20"/>
        </w:rPr>
        <w:t>se solicit</w:t>
      </w:r>
      <w:r w:rsidR="00ED5706" w:rsidRPr="009B2EA2">
        <w:rPr>
          <w:sz w:val="20"/>
          <w:szCs w:val="20"/>
        </w:rPr>
        <w:t>ó</w:t>
      </w:r>
      <w:r w:rsidR="00910A7B" w:rsidRPr="009B2EA2">
        <w:rPr>
          <w:sz w:val="20"/>
          <w:szCs w:val="20"/>
        </w:rPr>
        <w:t xml:space="preserve"> información a diferentes instituciones. </w:t>
      </w:r>
      <w:r w:rsidR="009B2EA2" w:rsidRPr="009B2EA2">
        <w:rPr>
          <w:sz w:val="20"/>
          <w:szCs w:val="20"/>
        </w:rPr>
        <w:t>Señala</w:t>
      </w:r>
      <w:r w:rsidR="00ED5706" w:rsidRPr="009B2EA2">
        <w:rPr>
          <w:sz w:val="20"/>
          <w:szCs w:val="20"/>
        </w:rPr>
        <w:t xml:space="preserve"> que</w:t>
      </w:r>
      <w:r w:rsidR="00910A7B" w:rsidRPr="009B2EA2">
        <w:rPr>
          <w:sz w:val="20"/>
          <w:szCs w:val="20"/>
        </w:rPr>
        <w:t xml:space="preserve"> </w:t>
      </w:r>
      <w:r w:rsidR="009B2EA2" w:rsidRPr="009B2EA2">
        <w:rPr>
          <w:sz w:val="20"/>
          <w:szCs w:val="20"/>
        </w:rPr>
        <w:t xml:space="preserve">el 20 de febrero de 2018 </w:t>
      </w:r>
      <w:r w:rsidR="00ED5706" w:rsidRPr="009B2EA2">
        <w:rPr>
          <w:sz w:val="20"/>
          <w:szCs w:val="20"/>
        </w:rPr>
        <w:t>e</w:t>
      </w:r>
      <w:r w:rsidR="00910A7B" w:rsidRPr="009B2EA2">
        <w:rPr>
          <w:sz w:val="20"/>
          <w:szCs w:val="20"/>
        </w:rPr>
        <w:t>l Ministerio de la Defens</w:t>
      </w:r>
      <w:r w:rsidR="009B2EA2" w:rsidRPr="009B2EA2">
        <w:rPr>
          <w:sz w:val="20"/>
          <w:szCs w:val="20"/>
        </w:rPr>
        <w:t>a</w:t>
      </w:r>
      <w:r w:rsidR="00910A7B" w:rsidRPr="009B2EA2">
        <w:rPr>
          <w:sz w:val="20"/>
          <w:szCs w:val="20"/>
        </w:rPr>
        <w:t xml:space="preserve"> realizó una búsqueda de información en el Archivo Central de la Brigada Especial de Seguridad Militar, </w:t>
      </w:r>
      <w:r w:rsidR="009B2EA2" w:rsidRPr="009B2EA2">
        <w:rPr>
          <w:sz w:val="20"/>
          <w:szCs w:val="20"/>
        </w:rPr>
        <w:t xml:space="preserve">pero que no se halló </w:t>
      </w:r>
      <w:r w:rsidR="00910A7B" w:rsidRPr="009B2EA2">
        <w:rPr>
          <w:sz w:val="20"/>
          <w:szCs w:val="20"/>
        </w:rPr>
        <w:t xml:space="preserve">registro alguno </w:t>
      </w:r>
      <w:r w:rsidR="009B2EA2" w:rsidRPr="009B2EA2">
        <w:rPr>
          <w:sz w:val="20"/>
          <w:szCs w:val="20"/>
        </w:rPr>
        <w:t>de</w:t>
      </w:r>
      <w:r w:rsidR="00910A7B" w:rsidRPr="009B2EA2">
        <w:rPr>
          <w:sz w:val="20"/>
          <w:szCs w:val="20"/>
        </w:rPr>
        <w:t xml:space="preserve"> los hechos; y </w:t>
      </w:r>
      <w:r w:rsidR="009B2EA2" w:rsidRPr="009B2EA2">
        <w:rPr>
          <w:sz w:val="20"/>
          <w:szCs w:val="20"/>
        </w:rPr>
        <w:t xml:space="preserve">que se hizo </w:t>
      </w:r>
      <w:r w:rsidR="00910A7B" w:rsidRPr="009B2EA2">
        <w:rPr>
          <w:sz w:val="20"/>
          <w:szCs w:val="20"/>
        </w:rPr>
        <w:t xml:space="preserve">otra búsqueda en el Archivo General del Estado Mayor Conjunto de la Fuerza Armada, pero </w:t>
      </w:r>
      <w:r w:rsidR="009B2EA2" w:rsidRPr="009B2EA2">
        <w:rPr>
          <w:sz w:val="20"/>
          <w:szCs w:val="20"/>
        </w:rPr>
        <w:t xml:space="preserve">que </w:t>
      </w:r>
      <w:r w:rsidR="00910A7B" w:rsidRPr="009B2EA2">
        <w:rPr>
          <w:sz w:val="20"/>
          <w:szCs w:val="20"/>
        </w:rPr>
        <w:t>tampoco se encontró información</w:t>
      </w:r>
      <w:r w:rsidR="009B2EA2" w:rsidRPr="009B2EA2">
        <w:rPr>
          <w:sz w:val="20"/>
          <w:szCs w:val="20"/>
        </w:rPr>
        <w:t xml:space="preserve">. </w:t>
      </w:r>
      <w:r w:rsidR="00910A7B" w:rsidRPr="009B2EA2">
        <w:rPr>
          <w:sz w:val="20"/>
          <w:szCs w:val="20"/>
        </w:rPr>
        <w:t xml:space="preserve">La Corte Suprema de Justicia también </w:t>
      </w:r>
      <w:r w:rsidR="009B2EA2" w:rsidRPr="009B2EA2">
        <w:rPr>
          <w:sz w:val="20"/>
          <w:szCs w:val="20"/>
        </w:rPr>
        <w:t xml:space="preserve">solicitó </w:t>
      </w:r>
      <w:r w:rsidR="00910A7B" w:rsidRPr="009B2EA2">
        <w:rPr>
          <w:sz w:val="20"/>
          <w:szCs w:val="20"/>
        </w:rPr>
        <w:t xml:space="preserve">información sobre la judicialización del caso a la Sala de lo Constitucional, a la Sala de lo Penal y al Centro de Documentación Judicial, sin que se </w:t>
      </w:r>
      <w:r w:rsidR="009B2EA2" w:rsidRPr="009B2EA2">
        <w:rPr>
          <w:sz w:val="20"/>
          <w:szCs w:val="20"/>
        </w:rPr>
        <w:t xml:space="preserve">hallara </w:t>
      </w:r>
      <w:r w:rsidR="00910A7B" w:rsidRPr="009B2EA2">
        <w:rPr>
          <w:sz w:val="20"/>
          <w:szCs w:val="20"/>
        </w:rPr>
        <w:t>registro alguno.</w:t>
      </w:r>
      <w:r w:rsidR="009B2EA2" w:rsidRPr="009B2EA2">
        <w:rPr>
          <w:sz w:val="20"/>
          <w:szCs w:val="20"/>
        </w:rPr>
        <w:t xml:space="preserve"> </w:t>
      </w:r>
      <w:r w:rsidR="009B2EA2">
        <w:rPr>
          <w:sz w:val="20"/>
          <w:szCs w:val="20"/>
        </w:rPr>
        <w:t>Finalmente, refiere que l</w:t>
      </w:r>
      <w:r w:rsidR="00910A7B" w:rsidRPr="009B2EA2">
        <w:rPr>
          <w:sz w:val="20"/>
          <w:szCs w:val="20"/>
        </w:rPr>
        <w:t xml:space="preserve">a Fiscalía General de la República comunicó que la Unidad Fiscal Especializada Antipandillas y Delitos de Homicidio abrió el expediente 133-UFEADH-SS-2010, por homicidio en perjuicio </w:t>
      </w:r>
      <w:r w:rsidR="009B2EA2">
        <w:rPr>
          <w:sz w:val="20"/>
          <w:szCs w:val="20"/>
        </w:rPr>
        <w:t>de la presunta víctima, que</w:t>
      </w:r>
      <w:r w:rsidR="00910A7B" w:rsidRPr="009B2EA2">
        <w:rPr>
          <w:sz w:val="20"/>
          <w:szCs w:val="20"/>
        </w:rPr>
        <w:t xml:space="preserve"> sería remitida a la Unidad para la Investigación de Delitos del Conflicto Armado Interno, a efectos de que se acumule y siga con dicha investigación bajo la referencia 31-GIDCAI-2018.</w:t>
      </w:r>
      <w:r w:rsidR="00910A7B" w:rsidRPr="00A407A3">
        <w:rPr>
          <w:vertAlign w:val="superscript"/>
        </w:rPr>
        <w:footnoteReference w:id="2"/>
      </w:r>
    </w:p>
    <w:p w14:paraId="1EDFBEA1" w14:textId="05507788" w:rsidR="00C02C7F" w:rsidRPr="003B0E17" w:rsidRDefault="009B2EA2" w:rsidP="00DA43B2">
      <w:pPr>
        <w:ind w:right="280"/>
        <w:rPr>
          <w:b/>
          <w:bCs/>
          <w:sz w:val="20"/>
          <w:szCs w:val="20"/>
        </w:rPr>
      </w:pPr>
      <w:r>
        <w:rPr>
          <w:sz w:val="20"/>
          <w:szCs w:val="20"/>
        </w:rPr>
        <w:br w:type="page"/>
      </w:r>
      <w:r w:rsidR="00DA43B2">
        <w:rPr>
          <w:sz w:val="20"/>
          <w:szCs w:val="20"/>
        </w:rPr>
        <w:lastRenderedPageBreak/>
        <w:tab/>
      </w:r>
      <w:r w:rsidR="00DA43B2">
        <w:rPr>
          <w:sz w:val="20"/>
          <w:szCs w:val="20"/>
        </w:rPr>
        <w:tab/>
      </w:r>
      <w:r w:rsidR="001223F2" w:rsidRPr="003B0E17">
        <w:rPr>
          <w:b/>
          <w:bCs/>
          <w:sz w:val="20"/>
          <w:szCs w:val="20"/>
        </w:rPr>
        <w:t>AGOTAMIENTO DE LOS RECURSOS INTERNOS Y PLAZO DE PRESENTACIÓN</w:t>
      </w:r>
    </w:p>
    <w:p w14:paraId="66D0F5C3" w14:textId="77777777" w:rsidR="0091162B" w:rsidRDefault="0091162B" w:rsidP="00DD7D3D">
      <w:pPr>
        <w:pStyle w:val="ListParagraph"/>
        <w:spacing w:before="0"/>
        <w:ind w:left="1440" w:right="280" w:firstLine="0"/>
        <w:rPr>
          <w:sz w:val="20"/>
          <w:szCs w:val="20"/>
        </w:rPr>
      </w:pPr>
    </w:p>
    <w:p w14:paraId="27EFF7A5" w14:textId="6089618A" w:rsidR="00F64563" w:rsidRPr="002D63E7" w:rsidRDefault="00F64563" w:rsidP="00DD7D3D">
      <w:pPr>
        <w:pStyle w:val="ListParagraph"/>
        <w:numPr>
          <w:ilvl w:val="0"/>
          <w:numId w:val="2"/>
        </w:numPr>
        <w:spacing w:before="0"/>
        <w:ind w:left="720" w:right="280" w:firstLine="720"/>
        <w:rPr>
          <w:sz w:val="20"/>
          <w:szCs w:val="20"/>
        </w:rPr>
      </w:pPr>
      <w:r w:rsidRPr="002D63E7">
        <w:rPr>
          <w:sz w:val="20"/>
          <w:szCs w:val="20"/>
        </w:rPr>
        <w:t xml:space="preserve">La parte peticionaria considera que </w:t>
      </w:r>
      <w:r w:rsidR="00A71D96">
        <w:rPr>
          <w:sz w:val="20"/>
          <w:szCs w:val="20"/>
        </w:rPr>
        <w:t xml:space="preserve">resulta aplicable a su </w:t>
      </w:r>
      <w:r w:rsidRPr="002D63E7">
        <w:rPr>
          <w:sz w:val="20"/>
          <w:szCs w:val="20"/>
        </w:rPr>
        <w:t xml:space="preserve">denuncia </w:t>
      </w:r>
      <w:r w:rsidR="00A71D96">
        <w:rPr>
          <w:sz w:val="20"/>
          <w:szCs w:val="20"/>
        </w:rPr>
        <w:t xml:space="preserve">la excepción al </w:t>
      </w:r>
      <w:r w:rsidR="002D63E7" w:rsidRPr="002D63E7">
        <w:rPr>
          <w:sz w:val="20"/>
          <w:szCs w:val="20"/>
        </w:rPr>
        <w:t xml:space="preserve">previo agotamiento </w:t>
      </w:r>
      <w:r w:rsidR="00A71D96">
        <w:rPr>
          <w:sz w:val="20"/>
          <w:szCs w:val="20"/>
        </w:rPr>
        <w:t xml:space="preserve">debido a </w:t>
      </w:r>
      <w:r w:rsidRPr="002D63E7">
        <w:rPr>
          <w:sz w:val="20"/>
          <w:szCs w:val="20"/>
        </w:rPr>
        <w:t>la ineficacia de los recursos internos para satisfacer las demandas en materia de verdad, justicia y reparación</w:t>
      </w:r>
      <w:r w:rsidR="00A71D96">
        <w:rPr>
          <w:sz w:val="20"/>
          <w:szCs w:val="20"/>
        </w:rPr>
        <w:t xml:space="preserve">; y por el </w:t>
      </w:r>
      <w:r w:rsidRPr="002D63E7">
        <w:rPr>
          <w:sz w:val="20"/>
          <w:szCs w:val="20"/>
        </w:rPr>
        <w:t xml:space="preserve">desacato </w:t>
      </w:r>
      <w:r w:rsidR="00A71D96" w:rsidRPr="002D63E7">
        <w:rPr>
          <w:sz w:val="20"/>
          <w:szCs w:val="20"/>
        </w:rPr>
        <w:t xml:space="preserve">del Estado </w:t>
      </w:r>
      <w:r w:rsidRPr="002D63E7">
        <w:rPr>
          <w:sz w:val="20"/>
          <w:szCs w:val="20"/>
        </w:rPr>
        <w:t>ante las decisiones, recomendaciones y sentencias de los sistemas internacionales de protección de los derechos humanos</w:t>
      </w:r>
      <w:r w:rsidR="002D63E7" w:rsidRPr="002D63E7">
        <w:rPr>
          <w:sz w:val="20"/>
          <w:szCs w:val="20"/>
        </w:rPr>
        <w:t xml:space="preserve">. Sobre este último punto, se refiere a </w:t>
      </w:r>
      <w:r w:rsidR="00FF4895">
        <w:rPr>
          <w:sz w:val="20"/>
          <w:szCs w:val="20"/>
        </w:rPr>
        <w:t xml:space="preserve">las </w:t>
      </w:r>
      <w:r w:rsidR="002D63E7" w:rsidRPr="002D63E7">
        <w:rPr>
          <w:sz w:val="20"/>
          <w:szCs w:val="20"/>
        </w:rPr>
        <w:t xml:space="preserve">recomendaciones </w:t>
      </w:r>
      <w:r w:rsidR="00A71D96">
        <w:rPr>
          <w:sz w:val="20"/>
          <w:szCs w:val="20"/>
        </w:rPr>
        <w:t>de</w:t>
      </w:r>
      <w:r w:rsidR="002D63E7" w:rsidRPr="002D63E7">
        <w:rPr>
          <w:sz w:val="20"/>
          <w:szCs w:val="20"/>
        </w:rPr>
        <w:t xml:space="preserve"> la CIDH </w:t>
      </w:r>
      <w:r w:rsidR="00A71D96">
        <w:rPr>
          <w:sz w:val="20"/>
          <w:szCs w:val="20"/>
        </w:rPr>
        <w:t>a</w:t>
      </w:r>
      <w:r w:rsidR="002D63E7" w:rsidRPr="002D63E7">
        <w:rPr>
          <w:sz w:val="20"/>
          <w:szCs w:val="20"/>
        </w:rPr>
        <w:t xml:space="preserve"> El Salvador sobre sus deberes de investigar los hechos y sancionar a los responsables </w:t>
      </w:r>
      <w:r w:rsidR="00484D2D">
        <w:rPr>
          <w:sz w:val="20"/>
          <w:szCs w:val="20"/>
        </w:rPr>
        <w:t>de</w:t>
      </w:r>
      <w:r w:rsidR="002D63E7" w:rsidRPr="002D63E7">
        <w:rPr>
          <w:sz w:val="20"/>
          <w:szCs w:val="20"/>
        </w:rPr>
        <w:t xml:space="preserve"> violaciones de derechos humanos cometidas durante el conflicto armado </w:t>
      </w:r>
      <w:r w:rsidR="00A71D96">
        <w:rPr>
          <w:sz w:val="20"/>
          <w:szCs w:val="20"/>
        </w:rPr>
        <w:t>en dicho país</w:t>
      </w:r>
      <w:r w:rsidR="002D63E7" w:rsidRPr="002D63E7">
        <w:rPr>
          <w:sz w:val="20"/>
          <w:szCs w:val="20"/>
        </w:rPr>
        <w:t xml:space="preserve">. Además, señala la inactividad de la </w:t>
      </w:r>
      <w:r w:rsidR="00A71D96" w:rsidRPr="002D63E7">
        <w:rPr>
          <w:sz w:val="20"/>
          <w:szCs w:val="20"/>
        </w:rPr>
        <w:t xml:space="preserve">Fiscalía General </w:t>
      </w:r>
      <w:r w:rsidR="00A71D96">
        <w:rPr>
          <w:sz w:val="20"/>
          <w:szCs w:val="20"/>
        </w:rPr>
        <w:t>luego de</w:t>
      </w:r>
      <w:r w:rsidR="002D63E7" w:rsidRPr="002D63E7">
        <w:rPr>
          <w:sz w:val="20"/>
          <w:szCs w:val="20"/>
        </w:rPr>
        <w:t xml:space="preserve">l intento de </w:t>
      </w:r>
      <w:r w:rsidR="00A71D96">
        <w:rPr>
          <w:sz w:val="20"/>
          <w:szCs w:val="20"/>
        </w:rPr>
        <w:t xml:space="preserve">los familiares de la presunta víctima de impulsar la investigación de los hechos, y considera que ello demuestra </w:t>
      </w:r>
      <w:r w:rsidRPr="002D63E7">
        <w:rPr>
          <w:sz w:val="20"/>
          <w:szCs w:val="20"/>
        </w:rPr>
        <w:t xml:space="preserve">la falta de diligencia y voluntad del sistema de justicia salvadoreño para esclarecer </w:t>
      </w:r>
      <w:r w:rsidR="00A71D96">
        <w:rPr>
          <w:sz w:val="20"/>
          <w:szCs w:val="20"/>
        </w:rPr>
        <w:t xml:space="preserve">las </w:t>
      </w:r>
      <w:r w:rsidRPr="002D63E7">
        <w:rPr>
          <w:sz w:val="20"/>
          <w:szCs w:val="20"/>
        </w:rPr>
        <w:t xml:space="preserve">responsabilidades </w:t>
      </w:r>
      <w:r w:rsidR="00A71D96">
        <w:rPr>
          <w:sz w:val="20"/>
          <w:szCs w:val="20"/>
        </w:rPr>
        <w:t>e imponer las correspondientes sanciones.</w:t>
      </w:r>
      <w:r w:rsidR="002D63E7" w:rsidRPr="00A71D96">
        <w:rPr>
          <w:vertAlign w:val="superscript"/>
        </w:rPr>
        <w:footnoteReference w:id="3"/>
      </w:r>
    </w:p>
    <w:p w14:paraId="663C7D8B" w14:textId="77777777" w:rsidR="00F64563" w:rsidRPr="00484D2D" w:rsidRDefault="00F64563" w:rsidP="00DD7D3D">
      <w:pPr>
        <w:ind w:left="720" w:right="280"/>
        <w:rPr>
          <w:sz w:val="20"/>
          <w:szCs w:val="20"/>
        </w:rPr>
      </w:pPr>
    </w:p>
    <w:p w14:paraId="161EB1FB" w14:textId="30892917" w:rsidR="00EC0904" w:rsidRDefault="00A917ED" w:rsidP="00DD7D3D">
      <w:pPr>
        <w:pStyle w:val="ListParagraph"/>
        <w:numPr>
          <w:ilvl w:val="0"/>
          <w:numId w:val="2"/>
        </w:numPr>
        <w:spacing w:before="0"/>
        <w:ind w:left="720" w:right="280" w:firstLine="720"/>
        <w:rPr>
          <w:sz w:val="20"/>
          <w:szCs w:val="20"/>
        </w:rPr>
      </w:pPr>
      <w:r w:rsidRPr="00A660B6">
        <w:rPr>
          <w:sz w:val="20"/>
          <w:szCs w:val="20"/>
        </w:rPr>
        <w:t xml:space="preserve">El Estado </w:t>
      </w:r>
      <w:r w:rsidR="00484D2D" w:rsidRPr="00A660B6">
        <w:rPr>
          <w:sz w:val="20"/>
          <w:szCs w:val="20"/>
        </w:rPr>
        <w:t>destaca</w:t>
      </w:r>
      <w:r w:rsidR="00910A7B" w:rsidRPr="00A660B6">
        <w:rPr>
          <w:sz w:val="20"/>
          <w:szCs w:val="20"/>
        </w:rPr>
        <w:t xml:space="preserve"> que la petición fue presentada a </w:t>
      </w:r>
      <w:r w:rsidR="00484D2D" w:rsidRPr="00A660B6">
        <w:rPr>
          <w:sz w:val="20"/>
          <w:szCs w:val="20"/>
        </w:rPr>
        <w:t>la CIDH</w:t>
      </w:r>
      <w:r w:rsidR="00910A7B" w:rsidRPr="00A660B6">
        <w:rPr>
          <w:sz w:val="20"/>
          <w:szCs w:val="20"/>
        </w:rPr>
        <w:t xml:space="preserve"> el 4 de noviembre de 2011, un año después que la Fiscalía General de la República abriese </w:t>
      </w:r>
      <w:r w:rsidR="00484D2D" w:rsidRPr="00A660B6">
        <w:rPr>
          <w:sz w:val="20"/>
          <w:szCs w:val="20"/>
        </w:rPr>
        <w:t xml:space="preserve">una investigación de </w:t>
      </w:r>
      <w:r w:rsidR="00910A7B" w:rsidRPr="00A660B6">
        <w:rPr>
          <w:sz w:val="20"/>
          <w:szCs w:val="20"/>
        </w:rPr>
        <w:t xml:space="preserve">los hechos </w:t>
      </w:r>
      <w:r w:rsidR="00484D2D" w:rsidRPr="00A660B6">
        <w:rPr>
          <w:sz w:val="20"/>
          <w:szCs w:val="20"/>
        </w:rPr>
        <w:t>denunciados</w:t>
      </w:r>
      <w:r w:rsidR="00910A7B" w:rsidRPr="00A660B6">
        <w:rPr>
          <w:sz w:val="20"/>
          <w:szCs w:val="20"/>
        </w:rPr>
        <w:t xml:space="preserve">, </w:t>
      </w:r>
      <w:r w:rsidR="00484D2D" w:rsidRPr="00A660B6">
        <w:rPr>
          <w:sz w:val="20"/>
          <w:szCs w:val="20"/>
        </w:rPr>
        <w:t xml:space="preserve">que </w:t>
      </w:r>
      <w:r w:rsidR="00910A7B" w:rsidRPr="00A660B6">
        <w:rPr>
          <w:sz w:val="20"/>
          <w:szCs w:val="20"/>
        </w:rPr>
        <w:t>aún se encontraba pendiente de desarrollo y conclusión</w:t>
      </w:r>
      <w:r w:rsidR="00484D2D" w:rsidRPr="00A660B6">
        <w:rPr>
          <w:sz w:val="20"/>
          <w:szCs w:val="20"/>
        </w:rPr>
        <w:t xml:space="preserve">. Agrega que </w:t>
      </w:r>
      <w:r w:rsidR="0032337A" w:rsidRPr="00A660B6">
        <w:rPr>
          <w:sz w:val="20"/>
          <w:szCs w:val="20"/>
        </w:rPr>
        <w:t xml:space="preserve">en mayo de 2018 </w:t>
      </w:r>
      <w:r w:rsidR="00484D2D" w:rsidRPr="00A660B6">
        <w:rPr>
          <w:sz w:val="20"/>
          <w:szCs w:val="20"/>
        </w:rPr>
        <w:t xml:space="preserve">la Fiscalía General delegó la investigación en </w:t>
      </w:r>
      <w:r w:rsidR="00910A7B" w:rsidRPr="00A660B6">
        <w:rPr>
          <w:sz w:val="20"/>
          <w:szCs w:val="20"/>
        </w:rPr>
        <w:t xml:space="preserve">una unidad especializada responsable de investigar graves violaciones </w:t>
      </w:r>
      <w:r w:rsidR="0032337A" w:rsidRPr="00A660B6">
        <w:rPr>
          <w:sz w:val="20"/>
          <w:szCs w:val="20"/>
        </w:rPr>
        <w:t>de</w:t>
      </w:r>
      <w:r w:rsidR="00910A7B" w:rsidRPr="00A660B6">
        <w:rPr>
          <w:sz w:val="20"/>
          <w:szCs w:val="20"/>
        </w:rPr>
        <w:t xml:space="preserve"> derechos humanos ocurridas </w:t>
      </w:r>
      <w:r w:rsidR="00484D2D" w:rsidRPr="00A660B6">
        <w:rPr>
          <w:sz w:val="20"/>
          <w:szCs w:val="20"/>
        </w:rPr>
        <w:t xml:space="preserve">durante </w:t>
      </w:r>
      <w:r w:rsidR="00910A7B" w:rsidRPr="00A660B6">
        <w:rPr>
          <w:sz w:val="20"/>
          <w:szCs w:val="20"/>
        </w:rPr>
        <w:t>conflicto armado interno</w:t>
      </w:r>
      <w:r w:rsidR="0032337A" w:rsidRPr="00A660B6">
        <w:rPr>
          <w:sz w:val="20"/>
          <w:szCs w:val="20"/>
        </w:rPr>
        <w:t>;</w:t>
      </w:r>
      <w:r w:rsidR="00F64563" w:rsidRPr="00A660B6">
        <w:rPr>
          <w:sz w:val="20"/>
          <w:szCs w:val="20"/>
        </w:rPr>
        <w:t xml:space="preserve"> </w:t>
      </w:r>
      <w:r w:rsidR="0032337A" w:rsidRPr="00A660B6">
        <w:rPr>
          <w:sz w:val="20"/>
          <w:szCs w:val="20"/>
        </w:rPr>
        <w:t xml:space="preserve">por ello, </w:t>
      </w:r>
      <w:r w:rsidR="00F64563" w:rsidRPr="00A660B6">
        <w:rPr>
          <w:sz w:val="20"/>
          <w:szCs w:val="20"/>
        </w:rPr>
        <w:t xml:space="preserve">sostiene </w:t>
      </w:r>
      <w:r w:rsidR="00484D2D" w:rsidRPr="00A660B6">
        <w:rPr>
          <w:sz w:val="20"/>
          <w:szCs w:val="20"/>
        </w:rPr>
        <w:t>que en el</w:t>
      </w:r>
      <w:r w:rsidR="00F64563" w:rsidRPr="00A660B6">
        <w:rPr>
          <w:sz w:val="20"/>
          <w:szCs w:val="20"/>
        </w:rPr>
        <w:t xml:space="preserve"> momento de presentarse </w:t>
      </w:r>
      <w:r w:rsidR="00484D2D" w:rsidRPr="00A660B6">
        <w:rPr>
          <w:sz w:val="20"/>
          <w:szCs w:val="20"/>
        </w:rPr>
        <w:t>l</w:t>
      </w:r>
      <w:r w:rsidR="00F64563" w:rsidRPr="00A660B6">
        <w:rPr>
          <w:sz w:val="20"/>
          <w:szCs w:val="20"/>
        </w:rPr>
        <w:t>a petición no se había cumplido con el requisito de agotamiento de los recursos internos.</w:t>
      </w:r>
      <w:r w:rsidR="002D63E7" w:rsidRPr="0032337A">
        <w:rPr>
          <w:sz w:val="20"/>
          <w:szCs w:val="20"/>
          <w:vertAlign w:val="superscript"/>
        </w:rPr>
        <w:footnoteReference w:id="4"/>
      </w:r>
    </w:p>
    <w:p w14:paraId="18FA1819" w14:textId="77777777" w:rsidR="00A660B6" w:rsidRPr="00A660B6" w:rsidRDefault="00A660B6" w:rsidP="00DD7D3D">
      <w:pPr>
        <w:ind w:right="280"/>
        <w:rPr>
          <w:sz w:val="20"/>
          <w:szCs w:val="20"/>
        </w:rPr>
      </w:pPr>
    </w:p>
    <w:p w14:paraId="6E59F82A" w14:textId="0E4B6FF8" w:rsidR="00342746" w:rsidRPr="00F579FA" w:rsidRDefault="00342746" w:rsidP="00DD7D3D">
      <w:pPr>
        <w:pStyle w:val="ListParagraph"/>
        <w:numPr>
          <w:ilvl w:val="0"/>
          <w:numId w:val="2"/>
        </w:numPr>
        <w:spacing w:before="0"/>
        <w:ind w:left="720" w:right="280" w:firstLine="720"/>
        <w:rPr>
          <w:sz w:val="20"/>
          <w:szCs w:val="20"/>
        </w:rPr>
      </w:pPr>
      <w:r>
        <w:rPr>
          <w:sz w:val="20"/>
          <w:szCs w:val="20"/>
        </w:rPr>
        <w:t>S</w:t>
      </w:r>
      <w:r w:rsidRPr="00F579FA">
        <w:rPr>
          <w:sz w:val="20"/>
          <w:szCs w:val="20"/>
        </w:rPr>
        <w:t>egún el Artículo 31.3 de</w:t>
      </w:r>
      <w:r w:rsidR="00484D2D">
        <w:rPr>
          <w:sz w:val="20"/>
          <w:szCs w:val="20"/>
        </w:rPr>
        <w:t>l</w:t>
      </w:r>
      <w:r w:rsidRPr="00F579FA">
        <w:rPr>
          <w:sz w:val="20"/>
          <w:szCs w:val="20"/>
        </w:rPr>
        <w:t xml:space="preserve"> Reglamento</w:t>
      </w:r>
      <w:r w:rsidR="00484D2D">
        <w:rPr>
          <w:sz w:val="20"/>
          <w:szCs w:val="20"/>
        </w:rPr>
        <w:t xml:space="preserve"> de la Comisión Interamericana</w:t>
      </w:r>
      <w:r w:rsidRPr="00F579FA">
        <w:rPr>
          <w:sz w:val="20"/>
          <w:szCs w:val="20"/>
        </w:rPr>
        <w:t xml:space="preserve">, cuando </w:t>
      </w:r>
      <w:r w:rsidR="00FF4895">
        <w:rPr>
          <w:sz w:val="20"/>
          <w:szCs w:val="20"/>
        </w:rPr>
        <w:t>la parte</w:t>
      </w:r>
      <w:r w:rsidRPr="00F579FA">
        <w:rPr>
          <w:sz w:val="20"/>
          <w:szCs w:val="20"/>
        </w:rPr>
        <w:t xml:space="preserve"> peticionari</w:t>
      </w:r>
      <w:r w:rsidR="00FF4895">
        <w:rPr>
          <w:sz w:val="20"/>
          <w:szCs w:val="20"/>
        </w:rPr>
        <w:t>a</w:t>
      </w:r>
      <w:r w:rsidRPr="00F579FA">
        <w:rPr>
          <w:sz w:val="20"/>
          <w:szCs w:val="20"/>
        </w:rPr>
        <w:t xml:space="preserve"> alegue la imposibilidad de comprobar el cumplimiento del requisito del previo agotamiento, corresponderá al Estado demostrar que los recursos internos no han sido agotados. Adicionalmente, corresponde al Estado </w:t>
      </w:r>
      <w:r w:rsidRPr="00740D91">
        <w:rPr>
          <w:sz w:val="20"/>
          <w:szCs w:val="20"/>
        </w:rPr>
        <w:t>la carga de identificar los recursos a</w:t>
      </w:r>
      <w:r w:rsidRPr="00F579FA">
        <w:rPr>
          <w:sz w:val="20"/>
          <w:szCs w:val="20"/>
        </w:rPr>
        <w:t xml:space="preserve"> a</w:t>
      </w:r>
      <w:r w:rsidRPr="00740D91">
        <w:rPr>
          <w:sz w:val="20"/>
          <w:szCs w:val="20"/>
        </w:rPr>
        <w:t>gotarse y demostrar que resultan adecuados para subsanar la</w:t>
      </w:r>
      <w:r w:rsidRPr="00F579FA">
        <w:rPr>
          <w:sz w:val="20"/>
          <w:szCs w:val="20"/>
        </w:rPr>
        <w:t xml:space="preserve"> </w:t>
      </w:r>
      <w:r w:rsidRPr="00740D91">
        <w:rPr>
          <w:sz w:val="20"/>
          <w:szCs w:val="20"/>
        </w:rPr>
        <w:t xml:space="preserve">violación alegada, </w:t>
      </w:r>
      <w:r w:rsidR="0032337A">
        <w:rPr>
          <w:sz w:val="20"/>
          <w:szCs w:val="20"/>
        </w:rPr>
        <w:t xml:space="preserve">es </w:t>
      </w:r>
      <w:r w:rsidRPr="00740D91">
        <w:rPr>
          <w:sz w:val="20"/>
          <w:szCs w:val="20"/>
        </w:rPr>
        <w:t xml:space="preserve">decir que </w:t>
      </w:r>
      <w:r w:rsidR="0032337A">
        <w:rPr>
          <w:sz w:val="20"/>
          <w:szCs w:val="20"/>
        </w:rPr>
        <w:t xml:space="preserve">su </w:t>
      </w:r>
      <w:r w:rsidRPr="00740D91">
        <w:rPr>
          <w:sz w:val="20"/>
          <w:szCs w:val="20"/>
        </w:rPr>
        <w:t xml:space="preserve">función </w:t>
      </w:r>
      <w:r w:rsidR="0032337A">
        <w:rPr>
          <w:sz w:val="20"/>
          <w:szCs w:val="20"/>
        </w:rPr>
        <w:t xml:space="preserve">en el </w:t>
      </w:r>
      <w:r w:rsidRPr="00740D91">
        <w:rPr>
          <w:sz w:val="20"/>
          <w:szCs w:val="20"/>
        </w:rPr>
        <w:t>derecho interno es idónea</w:t>
      </w:r>
      <w:r w:rsidRPr="00F579FA">
        <w:rPr>
          <w:sz w:val="20"/>
          <w:szCs w:val="20"/>
        </w:rPr>
        <w:t xml:space="preserve"> para proteger la situación jurídica infringida</w:t>
      </w:r>
      <w:r w:rsidRPr="00484D2D">
        <w:rPr>
          <w:vertAlign w:val="superscript"/>
        </w:rPr>
        <w:footnoteReference w:id="5"/>
      </w:r>
      <w:r w:rsidR="0032337A">
        <w:rPr>
          <w:sz w:val="20"/>
          <w:szCs w:val="20"/>
        </w:rPr>
        <w:t>.</w:t>
      </w:r>
      <w:r w:rsidRPr="00F579FA">
        <w:rPr>
          <w:sz w:val="20"/>
          <w:szCs w:val="20"/>
        </w:rPr>
        <w:t xml:space="preserve"> Sin embargo, </w:t>
      </w:r>
      <w:r w:rsidR="0032337A">
        <w:rPr>
          <w:sz w:val="20"/>
          <w:szCs w:val="20"/>
        </w:rPr>
        <w:t xml:space="preserve">la CIDH observa que </w:t>
      </w:r>
      <w:r w:rsidRPr="00F579FA">
        <w:rPr>
          <w:sz w:val="20"/>
          <w:szCs w:val="20"/>
        </w:rPr>
        <w:t xml:space="preserve">en el presente </w:t>
      </w:r>
      <w:r w:rsidR="0032337A">
        <w:rPr>
          <w:sz w:val="20"/>
          <w:szCs w:val="20"/>
        </w:rPr>
        <w:t>asunto</w:t>
      </w:r>
      <w:r w:rsidRPr="00F579FA">
        <w:rPr>
          <w:sz w:val="20"/>
          <w:szCs w:val="20"/>
        </w:rPr>
        <w:t xml:space="preserve"> el Estado no ha indicado </w:t>
      </w:r>
      <w:r w:rsidR="0032337A">
        <w:rPr>
          <w:sz w:val="20"/>
          <w:szCs w:val="20"/>
        </w:rPr>
        <w:t>ni</w:t>
      </w:r>
      <w:r w:rsidRPr="00F579FA">
        <w:rPr>
          <w:sz w:val="20"/>
          <w:szCs w:val="20"/>
        </w:rPr>
        <w:t xml:space="preserve"> demostrado cuáles serían </w:t>
      </w:r>
      <w:r w:rsidR="0032337A">
        <w:rPr>
          <w:sz w:val="20"/>
          <w:szCs w:val="20"/>
        </w:rPr>
        <w:t>tales</w:t>
      </w:r>
      <w:r w:rsidRPr="00F579FA">
        <w:rPr>
          <w:sz w:val="20"/>
          <w:szCs w:val="20"/>
        </w:rPr>
        <w:t xml:space="preserve"> recursos.</w:t>
      </w:r>
    </w:p>
    <w:p w14:paraId="13CB03B5" w14:textId="77777777" w:rsidR="00342746" w:rsidRPr="0032337A" w:rsidRDefault="00342746" w:rsidP="00DD7D3D">
      <w:pPr>
        <w:ind w:left="720" w:right="280"/>
        <w:rPr>
          <w:sz w:val="20"/>
          <w:szCs w:val="20"/>
        </w:rPr>
      </w:pPr>
    </w:p>
    <w:p w14:paraId="232CF943" w14:textId="7FF586D1" w:rsidR="00E91AC4" w:rsidRDefault="00FF4895" w:rsidP="00DD7D3D">
      <w:pPr>
        <w:pStyle w:val="ListParagraph"/>
        <w:numPr>
          <w:ilvl w:val="0"/>
          <w:numId w:val="2"/>
        </w:numPr>
        <w:spacing w:before="0"/>
        <w:ind w:left="720" w:right="280" w:firstLine="720"/>
        <w:rPr>
          <w:sz w:val="20"/>
          <w:szCs w:val="20"/>
        </w:rPr>
      </w:pPr>
      <w:r>
        <w:rPr>
          <w:sz w:val="20"/>
          <w:szCs w:val="20"/>
        </w:rPr>
        <w:t xml:space="preserve">La parte peticionaria </w:t>
      </w:r>
      <w:r w:rsidR="00EC0904" w:rsidRPr="00342746">
        <w:rPr>
          <w:sz w:val="20"/>
          <w:szCs w:val="20"/>
        </w:rPr>
        <w:t>alega la responsabilidad de agentes del Estado por el asesinato de</w:t>
      </w:r>
      <w:r w:rsidR="00327A12">
        <w:rPr>
          <w:sz w:val="20"/>
          <w:szCs w:val="20"/>
        </w:rPr>
        <w:t xml:space="preserve"> </w:t>
      </w:r>
      <w:r w:rsidR="00EC0904" w:rsidRPr="00342746">
        <w:rPr>
          <w:sz w:val="20"/>
          <w:szCs w:val="20"/>
        </w:rPr>
        <w:t>l</w:t>
      </w:r>
      <w:r w:rsidR="00327A12">
        <w:rPr>
          <w:sz w:val="20"/>
          <w:szCs w:val="20"/>
        </w:rPr>
        <w:t>a presunta víctima</w:t>
      </w:r>
      <w:r w:rsidR="00EC0904" w:rsidRPr="00342746">
        <w:rPr>
          <w:sz w:val="20"/>
          <w:szCs w:val="20"/>
        </w:rPr>
        <w:t xml:space="preserve"> </w:t>
      </w:r>
      <w:r w:rsidR="00327A12">
        <w:rPr>
          <w:sz w:val="20"/>
          <w:szCs w:val="20"/>
        </w:rPr>
        <w:t xml:space="preserve">durante el </w:t>
      </w:r>
      <w:r w:rsidR="00EC0904" w:rsidRPr="00342746">
        <w:rPr>
          <w:sz w:val="20"/>
          <w:szCs w:val="20"/>
        </w:rPr>
        <w:t>conflicto armado interno en El Salvador, así como por la falta de investigación y sanción a los responsables</w:t>
      </w:r>
      <w:r w:rsidR="00342746" w:rsidRPr="00342746">
        <w:rPr>
          <w:sz w:val="20"/>
          <w:szCs w:val="20"/>
        </w:rPr>
        <w:t>, en p</w:t>
      </w:r>
      <w:r w:rsidR="00327A12">
        <w:rPr>
          <w:sz w:val="20"/>
          <w:szCs w:val="20"/>
        </w:rPr>
        <w:t>e</w:t>
      </w:r>
      <w:r w:rsidR="00342746" w:rsidRPr="00342746">
        <w:rPr>
          <w:sz w:val="20"/>
          <w:szCs w:val="20"/>
        </w:rPr>
        <w:t xml:space="preserve">rjuicio de </w:t>
      </w:r>
      <w:r w:rsidR="00327A12">
        <w:rPr>
          <w:sz w:val="20"/>
          <w:szCs w:val="20"/>
        </w:rPr>
        <w:t xml:space="preserve">sus </w:t>
      </w:r>
      <w:r w:rsidR="00342746" w:rsidRPr="00342746">
        <w:rPr>
          <w:sz w:val="20"/>
          <w:szCs w:val="20"/>
        </w:rPr>
        <w:t>familiares</w:t>
      </w:r>
      <w:r w:rsidR="00EC0904" w:rsidRPr="00342746">
        <w:rPr>
          <w:sz w:val="20"/>
          <w:szCs w:val="20"/>
        </w:rPr>
        <w:t xml:space="preserve">. </w:t>
      </w:r>
      <w:r w:rsidR="00342746" w:rsidRPr="00342746">
        <w:rPr>
          <w:sz w:val="20"/>
          <w:szCs w:val="20"/>
        </w:rPr>
        <w:t>La época de</w:t>
      </w:r>
      <w:r w:rsidR="0032337A">
        <w:rPr>
          <w:sz w:val="20"/>
          <w:szCs w:val="20"/>
        </w:rPr>
        <w:t>l</w:t>
      </w:r>
      <w:r w:rsidR="00342746" w:rsidRPr="00342746">
        <w:rPr>
          <w:sz w:val="20"/>
          <w:szCs w:val="20"/>
        </w:rPr>
        <w:t xml:space="preserve"> conflicto armado</w:t>
      </w:r>
      <w:r w:rsidR="00EC0904" w:rsidRPr="00342746">
        <w:rPr>
          <w:sz w:val="20"/>
          <w:szCs w:val="20"/>
        </w:rPr>
        <w:t xml:space="preserve"> se caracterizó por violaciones sistemáticas de derechos humanos e impunidad, facilitada en parte por la ineficacia del sistema judicial salvadoreño</w:t>
      </w:r>
      <w:r w:rsidR="00342746" w:rsidRPr="00342746">
        <w:rPr>
          <w:sz w:val="20"/>
          <w:szCs w:val="20"/>
        </w:rPr>
        <w:t xml:space="preserve">, como ya había </w:t>
      </w:r>
      <w:r w:rsidR="0032337A">
        <w:rPr>
          <w:sz w:val="20"/>
          <w:szCs w:val="20"/>
        </w:rPr>
        <w:t xml:space="preserve">establecido </w:t>
      </w:r>
      <w:r w:rsidR="00342746" w:rsidRPr="00342746">
        <w:rPr>
          <w:sz w:val="20"/>
          <w:szCs w:val="20"/>
        </w:rPr>
        <w:t>la propia Comisión Interamericana en diferentes oportunidades</w:t>
      </w:r>
      <w:r w:rsidR="00EC0904" w:rsidRPr="0032337A">
        <w:rPr>
          <w:vertAlign w:val="superscript"/>
        </w:rPr>
        <w:footnoteReference w:id="6"/>
      </w:r>
      <w:r>
        <w:rPr>
          <w:sz w:val="20"/>
          <w:szCs w:val="20"/>
        </w:rPr>
        <w:t>.</w:t>
      </w:r>
      <w:r w:rsidR="00EC0904" w:rsidRPr="003B0E17">
        <w:t xml:space="preserve"> </w:t>
      </w:r>
    </w:p>
    <w:p w14:paraId="0F63416E" w14:textId="77777777" w:rsidR="00E91AC4" w:rsidRPr="00E91AC4" w:rsidRDefault="00E91AC4" w:rsidP="00DD7D3D">
      <w:pPr>
        <w:pStyle w:val="ListParagraph"/>
        <w:spacing w:before="0"/>
        <w:ind w:left="1440" w:right="280" w:firstLine="0"/>
        <w:rPr>
          <w:sz w:val="20"/>
          <w:szCs w:val="20"/>
        </w:rPr>
      </w:pPr>
    </w:p>
    <w:p w14:paraId="733D6158" w14:textId="346281B9" w:rsidR="00342746" w:rsidRDefault="00A660B6" w:rsidP="00DD7D3D">
      <w:pPr>
        <w:pStyle w:val="ListParagraph"/>
        <w:numPr>
          <w:ilvl w:val="0"/>
          <w:numId w:val="2"/>
        </w:numPr>
        <w:spacing w:before="0"/>
        <w:ind w:left="720" w:right="280" w:firstLine="720"/>
        <w:rPr>
          <w:sz w:val="20"/>
          <w:szCs w:val="20"/>
        </w:rPr>
      </w:pPr>
      <w:r w:rsidRPr="00A660B6">
        <w:rPr>
          <w:sz w:val="20"/>
          <w:szCs w:val="20"/>
        </w:rPr>
        <w:t xml:space="preserve">En definitiva, la CIDH observa que hasta la fecha de adopción del presente informe sigue pendiente la investigación </w:t>
      </w:r>
      <w:r>
        <w:rPr>
          <w:sz w:val="20"/>
          <w:szCs w:val="20"/>
        </w:rPr>
        <w:t xml:space="preserve">de la denuncia </w:t>
      </w:r>
      <w:r w:rsidRPr="00A660B6">
        <w:rPr>
          <w:sz w:val="20"/>
          <w:szCs w:val="20"/>
        </w:rPr>
        <w:t>de un asesinato por motivación política</w:t>
      </w:r>
      <w:r>
        <w:rPr>
          <w:sz w:val="20"/>
          <w:szCs w:val="20"/>
        </w:rPr>
        <w:t xml:space="preserve"> perpetrado hace más de cuatro décadas</w:t>
      </w:r>
      <w:r w:rsidRPr="0032337A">
        <w:rPr>
          <w:vertAlign w:val="superscript"/>
        </w:rPr>
        <w:footnoteReference w:id="7"/>
      </w:r>
      <w:r w:rsidRPr="00A660B6">
        <w:rPr>
          <w:sz w:val="20"/>
          <w:szCs w:val="20"/>
        </w:rPr>
        <w:t>. Al respecto, la Comisión Interamericana recuerda al Estado que las investigaciones deben realizarse con prontitud, a cuyo deben considerarse una serie de factores, tales como el tiempo transcurrido desde que se cometió el delito; si la investigación ha pasado de la etapa preliminar; la complejidad del caso; y las medidas adoptadas por las autoridades.</w:t>
      </w:r>
      <w:r>
        <w:rPr>
          <w:sz w:val="20"/>
          <w:szCs w:val="20"/>
        </w:rPr>
        <w:t xml:space="preserve"> </w:t>
      </w:r>
      <w:r w:rsidR="00342746" w:rsidRPr="00A660B6">
        <w:rPr>
          <w:sz w:val="20"/>
          <w:szCs w:val="20"/>
        </w:rPr>
        <w:t>los recursos internos no han operado con la efectividad que se requiere para investigar.</w:t>
      </w:r>
      <w:r w:rsidRPr="00A660B6">
        <w:rPr>
          <w:sz w:val="20"/>
          <w:szCs w:val="20"/>
        </w:rPr>
        <w:t xml:space="preserve"> </w:t>
      </w:r>
      <w:r w:rsidR="00E91AC4" w:rsidRPr="00A660B6">
        <w:rPr>
          <w:sz w:val="20"/>
          <w:szCs w:val="20"/>
          <w:vertAlign w:val="superscript"/>
        </w:rPr>
        <w:t xml:space="preserve"> </w:t>
      </w:r>
      <w:r w:rsidR="00342746" w:rsidRPr="00A660B6">
        <w:rPr>
          <w:sz w:val="20"/>
          <w:szCs w:val="20"/>
        </w:rPr>
        <w:t>Con base en todo lo anterior, la Comisión Interamericana decide aplicar al presente caso la excepción prevista en la segunda parte del artículo 46</w:t>
      </w:r>
      <w:r w:rsidR="0032337A" w:rsidRPr="00A660B6">
        <w:rPr>
          <w:sz w:val="20"/>
          <w:szCs w:val="20"/>
        </w:rPr>
        <w:t>.</w:t>
      </w:r>
      <w:r w:rsidR="00342746" w:rsidRPr="00A660B6">
        <w:rPr>
          <w:sz w:val="20"/>
          <w:szCs w:val="20"/>
        </w:rPr>
        <w:t>2(c) de la Convención Americana</w:t>
      </w:r>
      <w:r w:rsidR="00342746" w:rsidRPr="00A407A3">
        <w:rPr>
          <w:vertAlign w:val="superscript"/>
        </w:rPr>
        <w:footnoteReference w:id="8"/>
      </w:r>
      <w:r w:rsidR="0032337A" w:rsidRPr="00A660B6">
        <w:rPr>
          <w:sz w:val="20"/>
          <w:szCs w:val="20"/>
        </w:rPr>
        <w:t>.</w:t>
      </w:r>
    </w:p>
    <w:p w14:paraId="42175945" w14:textId="14C87559" w:rsidR="0040613C" w:rsidRDefault="0040613C" w:rsidP="0040613C">
      <w:pPr>
        <w:pStyle w:val="ListParagraph"/>
        <w:spacing w:before="0"/>
        <w:ind w:left="1440" w:right="280" w:firstLine="0"/>
        <w:rPr>
          <w:sz w:val="20"/>
          <w:szCs w:val="20"/>
        </w:rPr>
      </w:pPr>
    </w:p>
    <w:p w14:paraId="694AA388" w14:textId="77777777" w:rsidR="0040613C" w:rsidRPr="00A660B6" w:rsidRDefault="0040613C" w:rsidP="0040613C">
      <w:pPr>
        <w:pStyle w:val="ListParagraph"/>
        <w:spacing w:before="0"/>
        <w:ind w:left="1440" w:right="280" w:firstLine="0"/>
        <w:rPr>
          <w:sz w:val="20"/>
          <w:szCs w:val="20"/>
        </w:rPr>
      </w:pPr>
    </w:p>
    <w:p w14:paraId="1F1660C5" w14:textId="44E35A1C" w:rsidR="00342746" w:rsidRPr="00342746" w:rsidRDefault="00342746" w:rsidP="00DD7D3D">
      <w:pPr>
        <w:pStyle w:val="ListParagraph"/>
        <w:numPr>
          <w:ilvl w:val="0"/>
          <w:numId w:val="2"/>
        </w:numPr>
        <w:spacing w:before="0"/>
        <w:ind w:left="720" w:right="280" w:firstLine="720"/>
        <w:rPr>
          <w:sz w:val="20"/>
          <w:szCs w:val="20"/>
        </w:rPr>
      </w:pPr>
      <w:r>
        <w:rPr>
          <w:sz w:val="20"/>
          <w:szCs w:val="20"/>
        </w:rPr>
        <w:t>Adicionalmente, l</w:t>
      </w:r>
      <w:r w:rsidRPr="00342746">
        <w:rPr>
          <w:sz w:val="20"/>
          <w:szCs w:val="20"/>
        </w:rPr>
        <w:t xml:space="preserve">a parte peticionaria </w:t>
      </w:r>
      <w:r w:rsidR="00A660B6">
        <w:rPr>
          <w:sz w:val="20"/>
          <w:szCs w:val="20"/>
        </w:rPr>
        <w:t xml:space="preserve">afirma </w:t>
      </w:r>
      <w:r w:rsidRPr="00342746">
        <w:rPr>
          <w:sz w:val="20"/>
          <w:szCs w:val="20"/>
        </w:rPr>
        <w:t>que la falta de investigación de los hechos fue parte de un contexto de impunidad impulsad</w:t>
      </w:r>
      <w:r w:rsidR="00FF4895">
        <w:rPr>
          <w:sz w:val="20"/>
          <w:szCs w:val="20"/>
        </w:rPr>
        <w:t>o</w:t>
      </w:r>
      <w:r w:rsidRPr="00342746">
        <w:rPr>
          <w:sz w:val="20"/>
          <w:szCs w:val="20"/>
        </w:rPr>
        <w:t xml:space="preserve"> por reglas jurídicas internas de amnistía y prescripción</w:t>
      </w:r>
      <w:r w:rsidR="00A660B6">
        <w:rPr>
          <w:sz w:val="20"/>
          <w:szCs w:val="20"/>
        </w:rPr>
        <w:t>; d</w:t>
      </w:r>
      <w:r w:rsidRPr="00342746">
        <w:rPr>
          <w:sz w:val="20"/>
          <w:szCs w:val="20"/>
        </w:rPr>
        <w:t>ich</w:t>
      </w:r>
      <w:r w:rsidR="00A660B6">
        <w:rPr>
          <w:sz w:val="20"/>
          <w:szCs w:val="20"/>
        </w:rPr>
        <w:t>o alegato</w:t>
      </w:r>
      <w:r w:rsidRPr="00342746">
        <w:rPr>
          <w:sz w:val="20"/>
          <w:szCs w:val="20"/>
        </w:rPr>
        <w:t xml:space="preserve"> no fue controvertid</w:t>
      </w:r>
      <w:r w:rsidR="00A660B6">
        <w:rPr>
          <w:sz w:val="20"/>
          <w:szCs w:val="20"/>
        </w:rPr>
        <w:t>o</w:t>
      </w:r>
      <w:r w:rsidRPr="00342746">
        <w:rPr>
          <w:sz w:val="20"/>
          <w:szCs w:val="20"/>
        </w:rPr>
        <w:t xml:space="preserve"> por el Estado. </w:t>
      </w:r>
      <w:r w:rsidR="00DD7D3D">
        <w:rPr>
          <w:sz w:val="20"/>
          <w:szCs w:val="20"/>
        </w:rPr>
        <w:t>Al respecto</w:t>
      </w:r>
      <w:r w:rsidRPr="00342746">
        <w:rPr>
          <w:sz w:val="20"/>
          <w:szCs w:val="20"/>
        </w:rPr>
        <w:t xml:space="preserve">, la Comisión </w:t>
      </w:r>
      <w:r w:rsidR="00A660B6">
        <w:rPr>
          <w:sz w:val="20"/>
          <w:szCs w:val="20"/>
        </w:rPr>
        <w:t xml:space="preserve">Interamericana </w:t>
      </w:r>
      <w:r w:rsidR="00DD7D3D">
        <w:rPr>
          <w:sz w:val="20"/>
          <w:szCs w:val="20"/>
        </w:rPr>
        <w:t xml:space="preserve">ha sostenido en forma reiterada </w:t>
      </w:r>
      <w:r w:rsidRPr="00342746">
        <w:rPr>
          <w:sz w:val="20"/>
          <w:szCs w:val="20"/>
        </w:rPr>
        <w:t xml:space="preserve">que </w:t>
      </w:r>
      <w:r w:rsidR="00DD7D3D">
        <w:rPr>
          <w:sz w:val="20"/>
          <w:szCs w:val="20"/>
        </w:rPr>
        <w:t xml:space="preserve">las </w:t>
      </w:r>
      <w:r w:rsidRPr="00342746">
        <w:rPr>
          <w:sz w:val="20"/>
          <w:szCs w:val="20"/>
        </w:rPr>
        <w:t xml:space="preserve">leyes de amnistía o prescripción de delitos pueden imposibilitar la investigación de la responsabilidad individual y la sanción de los agentes estatales involucrados en violaciones </w:t>
      </w:r>
      <w:r w:rsidR="00DD7D3D">
        <w:rPr>
          <w:sz w:val="20"/>
          <w:szCs w:val="20"/>
        </w:rPr>
        <w:t xml:space="preserve">de derechos humanos </w:t>
      </w:r>
      <w:r w:rsidRPr="00342746">
        <w:rPr>
          <w:sz w:val="20"/>
          <w:szCs w:val="20"/>
        </w:rPr>
        <w:t xml:space="preserve">y, por lo tanto, </w:t>
      </w:r>
      <w:r w:rsidR="00DD7D3D">
        <w:rPr>
          <w:sz w:val="20"/>
          <w:szCs w:val="20"/>
        </w:rPr>
        <w:t xml:space="preserve">resulta aplicable la </w:t>
      </w:r>
      <w:r w:rsidRPr="00342746">
        <w:rPr>
          <w:sz w:val="20"/>
          <w:szCs w:val="20"/>
        </w:rPr>
        <w:t xml:space="preserve">excepción al agotamiento de los recursos internos </w:t>
      </w:r>
      <w:r w:rsidR="00DD7D3D">
        <w:rPr>
          <w:sz w:val="20"/>
          <w:szCs w:val="20"/>
        </w:rPr>
        <w:t>d</w:t>
      </w:r>
      <w:r w:rsidRPr="00342746">
        <w:rPr>
          <w:sz w:val="20"/>
          <w:szCs w:val="20"/>
        </w:rPr>
        <w:t>el artículo 46.2(a) de la Convención Americana</w:t>
      </w:r>
      <w:r w:rsidRPr="00A660B6">
        <w:rPr>
          <w:vertAlign w:val="superscript"/>
        </w:rPr>
        <w:footnoteReference w:id="9"/>
      </w:r>
      <w:r w:rsidR="00DD7D3D">
        <w:rPr>
          <w:sz w:val="20"/>
          <w:szCs w:val="20"/>
        </w:rPr>
        <w:t>.</w:t>
      </w:r>
    </w:p>
    <w:p w14:paraId="4E5A697E" w14:textId="77777777" w:rsidR="00342746" w:rsidRPr="00FF4895" w:rsidRDefault="00342746" w:rsidP="00FF4895">
      <w:pPr>
        <w:ind w:left="720" w:right="280"/>
        <w:rPr>
          <w:sz w:val="20"/>
          <w:szCs w:val="20"/>
        </w:rPr>
      </w:pPr>
    </w:p>
    <w:p w14:paraId="256AAB1D" w14:textId="3E0392FF" w:rsidR="00342746" w:rsidRPr="00342746" w:rsidRDefault="00342746" w:rsidP="00DD7D3D">
      <w:pPr>
        <w:pStyle w:val="ListParagraph"/>
        <w:numPr>
          <w:ilvl w:val="0"/>
          <w:numId w:val="2"/>
        </w:numPr>
        <w:spacing w:before="0"/>
        <w:ind w:left="720" w:right="280" w:firstLine="720"/>
        <w:rPr>
          <w:sz w:val="20"/>
          <w:szCs w:val="20"/>
        </w:rPr>
      </w:pPr>
      <w:r w:rsidRPr="00342746">
        <w:rPr>
          <w:sz w:val="20"/>
          <w:szCs w:val="20"/>
        </w:rPr>
        <w:t xml:space="preserve">El artículo 32 del Reglamento </w:t>
      </w:r>
      <w:r w:rsidR="00DD7D3D" w:rsidRPr="00342746">
        <w:rPr>
          <w:sz w:val="20"/>
          <w:szCs w:val="20"/>
        </w:rPr>
        <w:t>de la Comisión</w:t>
      </w:r>
      <w:r w:rsidR="00DD7D3D">
        <w:rPr>
          <w:sz w:val="20"/>
          <w:szCs w:val="20"/>
        </w:rPr>
        <w:t xml:space="preserve"> Interamericana</w:t>
      </w:r>
      <w:r w:rsidR="00DD7D3D" w:rsidRPr="00342746">
        <w:rPr>
          <w:sz w:val="20"/>
          <w:szCs w:val="20"/>
        </w:rPr>
        <w:t xml:space="preserve"> </w:t>
      </w:r>
      <w:r w:rsidRPr="00342746">
        <w:rPr>
          <w:sz w:val="20"/>
          <w:szCs w:val="20"/>
        </w:rPr>
        <w:t xml:space="preserve">contempla que </w:t>
      </w:r>
      <w:r w:rsidR="00DD7D3D">
        <w:rPr>
          <w:sz w:val="20"/>
          <w:szCs w:val="20"/>
        </w:rPr>
        <w:t>cuando</w:t>
      </w:r>
      <w:r w:rsidRPr="00342746">
        <w:rPr>
          <w:sz w:val="20"/>
          <w:szCs w:val="20"/>
        </w:rPr>
        <w:t xml:space="preserve"> resulten aplicables las excepciones al agotamiento de los recursos internos, la petición deberá ser presentada dentro de un plazo razonable, a</w:t>
      </w:r>
      <w:r w:rsidR="00DD7D3D">
        <w:rPr>
          <w:sz w:val="20"/>
          <w:szCs w:val="20"/>
        </w:rPr>
        <w:t xml:space="preserve"> cuyo efecto se </w:t>
      </w:r>
      <w:r w:rsidRPr="00342746">
        <w:rPr>
          <w:sz w:val="20"/>
          <w:szCs w:val="20"/>
        </w:rPr>
        <w:t>toma</w:t>
      </w:r>
      <w:r w:rsidR="00DD7D3D">
        <w:rPr>
          <w:sz w:val="20"/>
          <w:szCs w:val="20"/>
        </w:rPr>
        <w:t>rá</w:t>
      </w:r>
      <w:r w:rsidRPr="00342746">
        <w:rPr>
          <w:sz w:val="20"/>
          <w:szCs w:val="20"/>
        </w:rPr>
        <w:t xml:space="preserve"> en cuenta la fecha de la presunta violación y las circunstancias de cada caso. Al respecto, tomando en cuenta la situación de los diversos recursos internos en El Salvador</w:t>
      </w:r>
      <w:r w:rsidR="00DD7D3D">
        <w:rPr>
          <w:sz w:val="20"/>
          <w:szCs w:val="20"/>
        </w:rPr>
        <w:t>,</w:t>
      </w:r>
      <w:r w:rsidRPr="00342746">
        <w:rPr>
          <w:sz w:val="20"/>
          <w:szCs w:val="20"/>
        </w:rPr>
        <w:t xml:space="preserve"> la Comisión considera que la petición bajo estudio fue presentada dentro de un plazo razonable</w:t>
      </w:r>
      <w:r w:rsidR="00DD7D3D" w:rsidRPr="00DD7D3D">
        <w:rPr>
          <w:vertAlign w:val="superscript"/>
        </w:rPr>
        <w:footnoteReference w:id="10"/>
      </w:r>
      <w:r w:rsidRPr="00342746">
        <w:rPr>
          <w:sz w:val="20"/>
          <w:szCs w:val="20"/>
        </w:rPr>
        <w:t>.</w:t>
      </w:r>
    </w:p>
    <w:p w14:paraId="155F6DEF" w14:textId="0909331C" w:rsidR="00BD238C" w:rsidRDefault="00BD238C" w:rsidP="00DD7D3D">
      <w:pPr>
        <w:pStyle w:val="ListParagraph"/>
        <w:spacing w:before="0"/>
        <w:ind w:left="1440" w:right="280" w:firstLine="0"/>
        <w:rPr>
          <w:sz w:val="20"/>
          <w:szCs w:val="20"/>
        </w:rPr>
      </w:pPr>
    </w:p>
    <w:p w14:paraId="38F502FD" w14:textId="387CFA57" w:rsidR="00BD238C" w:rsidRPr="003B0E17" w:rsidRDefault="00BD238C" w:rsidP="00DD7D3D">
      <w:pPr>
        <w:pStyle w:val="ListParagraph"/>
        <w:numPr>
          <w:ilvl w:val="0"/>
          <w:numId w:val="3"/>
        </w:numPr>
        <w:spacing w:before="0"/>
        <w:ind w:right="280" w:firstLine="270"/>
        <w:rPr>
          <w:b/>
          <w:bCs/>
          <w:sz w:val="20"/>
          <w:szCs w:val="20"/>
        </w:rPr>
      </w:pPr>
      <w:r w:rsidRPr="003B0E17">
        <w:rPr>
          <w:b/>
          <w:bCs/>
          <w:sz w:val="20"/>
          <w:szCs w:val="20"/>
        </w:rPr>
        <w:t>CARACTERIZACIÓN</w:t>
      </w:r>
    </w:p>
    <w:p w14:paraId="253380FB" w14:textId="77777777" w:rsidR="00344681" w:rsidRDefault="00344681" w:rsidP="00DD7D3D">
      <w:pPr>
        <w:pStyle w:val="ListParagraph"/>
        <w:spacing w:before="0"/>
        <w:ind w:left="1440" w:right="280" w:firstLine="0"/>
        <w:rPr>
          <w:sz w:val="20"/>
          <w:szCs w:val="20"/>
        </w:rPr>
      </w:pPr>
    </w:p>
    <w:p w14:paraId="3377FFEB" w14:textId="1ED15F87" w:rsidR="00DD7D3D" w:rsidRDefault="00DD7D3D" w:rsidP="00DD7D3D">
      <w:pPr>
        <w:pStyle w:val="ListParagraph"/>
        <w:numPr>
          <w:ilvl w:val="0"/>
          <w:numId w:val="2"/>
        </w:numPr>
        <w:spacing w:before="0"/>
        <w:ind w:left="720" w:right="280" w:firstLine="720"/>
        <w:rPr>
          <w:sz w:val="20"/>
          <w:szCs w:val="20"/>
        </w:rPr>
      </w:pPr>
      <w:r w:rsidRPr="00327A12">
        <w:rPr>
          <w:sz w:val="20"/>
          <w:szCs w:val="20"/>
        </w:rPr>
        <w:t xml:space="preserve">La parte peticionaria denuncia </w:t>
      </w:r>
      <w:r>
        <w:rPr>
          <w:sz w:val="20"/>
          <w:szCs w:val="20"/>
        </w:rPr>
        <w:t>la ejecución extrajudicial de</w:t>
      </w:r>
      <w:r w:rsidRPr="00327A12">
        <w:rPr>
          <w:sz w:val="20"/>
          <w:szCs w:val="20"/>
        </w:rPr>
        <w:t xml:space="preserve"> la presunta víctima</w:t>
      </w:r>
      <w:r w:rsidRPr="00342746">
        <w:rPr>
          <w:sz w:val="20"/>
          <w:szCs w:val="20"/>
        </w:rPr>
        <w:t xml:space="preserve"> </w:t>
      </w:r>
      <w:r>
        <w:rPr>
          <w:sz w:val="20"/>
          <w:szCs w:val="20"/>
        </w:rPr>
        <w:t xml:space="preserve">por parte de militares en un operativo realizado durante el </w:t>
      </w:r>
      <w:r w:rsidRPr="00342746">
        <w:rPr>
          <w:sz w:val="20"/>
          <w:szCs w:val="20"/>
        </w:rPr>
        <w:t xml:space="preserve">conflicto armado interno en El Salvador, </w:t>
      </w:r>
      <w:r>
        <w:rPr>
          <w:sz w:val="20"/>
          <w:szCs w:val="20"/>
        </w:rPr>
        <w:t xml:space="preserve">precedido de diversas amenazas y actos de hostigamiento contra aquella y su familia. Alega igualmente que los familiares han sufrido </w:t>
      </w:r>
      <w:r w:rsidRPr="00342746">
        <w:rPr>
          <w:sz w:val="20"/>
          <w:szCs w:val="20"/>
        </w:rPr>
        <w:t>la falta de investigación y sanción a los responsables</w:t>
      </w:r>
      <w:r>
        <w:rPr>
          <w:sz w:val="20"/>
          <w:szCs w:val="20"/>
        </w:rPr>
        <w:t>, y que la resultante impunidad subsiste hasta la fecha.</w:t>
      </w:r>
      <w:r w:rsidRPr="00342746">
        <w:rPr>
          <w:sz w:val="20"/>
          <w:szCs w:val="20"/>
        </w:rPr>
        <w:t xml:space="preserve"> </w:t>
      </w:r>
      <w:r w:rsidRPr="00327A12">
        <w:rPr>
          <w:sz w:val="20"/>
          <w:szCs w:val="20"/>
        </w:rPr>
        <w:t xml:space="preserve"> </w:t>
      </w:r>
    </w:p>
    <w:p w14:paraId="78A13AF4" w14:textId="77777777" w:rsidR="00DD7D3D" w:rsidRPr="00DD7D3D" w:rsidRDefault="00DD7D3D" w:rsidP="00DD7D3D">
      <w:pPr>
        <w:ind w:left="720" w:right="280"/>
        <w:rPr>
          <w:sz w:val="20"/>
          <w:szCs w:val="20"/>
        </w:rPr>
      </w:pPr>
    </w:p>
    <w:p w14:paraId="01DA825B" w14:textId="7D4EF607" w:rsidR="0091162B" w:rsidRDefault="00FF4895" w:rsidP="00DD7D3D">
      <w:pPr>
        <w:pStyle w:val="ListParagraph"/>
        <w:numPr>
          <w:ilvl w:val="0"/>
          <w:numId w:val="2"/>
        </w:numPr>
        <w:spacing w:before="0"/>
        <w:ind w:left="720" w:right="280" w:firstLine="720"/>
        <w:rPr>
          <w:sz w:val="20"/>
          <w:szCs w:val="20"/>
        </w:rPr>
      </w:pPr>
      <w:r>
        <w:rPr>
          <w:sz w:val="20"/>
          <w:szCs w:val="20"/>
        </w:rPr>
        <w:t>Tras</w:t>
      </w:r>
      <w:r w:rsidR="00BD238C" w:rsidRPr="00BD238C">
        <w:rPr>
          <w:sz w:val="20"/>
          <w:szCs w:val="20"/>
        </w:rPr>
        <w:t xml:space="preserve"> examinar los elementos de hecho y de derecho expuestos por las partes</w:t>
      </w:r>
      <w:r>
        <w:rPr>
          <w:sz w:val="20"/>
          <w:szCs w:val="20"/>
        </w:rPr>
        <w:t>,</w:t>
      </w:r>
      <w:r w:rsidR="00BD238C" w:rsidRPr="00BD238C">
        <w:rPr>
          <w:sz w:val="20"/>
          <w:szCs w:val="20"/>
        </w:rPr>
        <w:t xml:space="preserve"> la Comisión </w:t>
      </w:r>
      <w:r>
        <w:rPr>
          <w:sz w:val="20"/>
          <w:szCs w:val="20"/>
        </w:rPr>
        <w:t xml:space="preserve">Interamericana </w:t>
      </w:r>
      <w:r w:rsidR="00E91AC4">
        <w:rPr>
          <w:sz w:val="20"/>
          <w:szCs w:val="20"/>
        </w:rPr>
        <w:t>considera que</w:t>
      </w:r>
      <w:r w:rsidRPr="00FF4895">
        <w:rPr>
          <w:sz w:val="20"/>
          <w:szCs w:val="20"/>
        </w:rPr>
        <w:t xml:space="preserve"> </w:t>
      </w:r>
      <w:r w:rsidRPr="00BD238C">
        <w:rPr>
          <w:sz w:val="20"/>
          <w:szCs w:val="20"/>
        </w:rPr>
        <w:t>los hechos denunciados</w:t>
      </w:r>
      <w:r w:rsidR="00E91AC4">
        <w:rPr>
          <w:sz w:val="20"/>
          <w:szCs w:val="20"/>
        </w:rPr>
        <w:t>,</w:t>
      </w:r>
      <w:r w:rsidR="00BD238C" w:rsidRPr="00BD238C">
        <w:rPr>
          <w:sz w:val="20"/>
          <w:szCs w:val="20"/>
        </w:rPr>
        <w:t xml:space="preserve"> </w:t>
      </w:r>
      <w:r w:rsidR="00E91AC4">
        <w:rPr>
          <w:sz w:val="20"/>
          <w:szCs w:val="20"/>
        </w:rPr>
        <w:t>d</w:t>
      </w:r>
      <w:r w:rsidR="00BD238C" w:rsidRPr="00BD238C">
        <w:rPr>
          <w:sz w:val="20"/>
          <w:szCs w:val="20"/>
        </w:rPr>
        <w:t xml:space="preserve">e verificarse como ciertos, podrían </w:t>
      </w:r>
      <w:r>
        <w:rPr>
          <w:sz w:val="20"/>
          <w:szCs w:val="20"/>
        </w:rPr>
        <w:t>constituir</w:t>
      </w:r>
      <w:r w:rsidR="00BD238C" w:rsidRPr="00BD238C">
        <w:rPr>
          <w:sz w:val="20"/>
          <w:szCs w:val="20"/>
        </w:rPr>
        <w:t xml:space="preserve"> violaciones </w:t>
      </w:r>
      <w:r w:rsidR="00E967F5">
        <w:rPr>
          <w:sz w:val="20"/>
          <w:szCs w:val="20"/>
        </w:rPr>
        <w:t>de</w:t>
      </w:r>
      <w:r w:rsidR="00BD238C" w:rsidRPr="00BD238C">
        <w:rPr>
          <w:sz w:val="20"/>
          <w:szCs w:val="20"/>
        </w:rPr>
        <w:t xml:space="preserve"> los derechos </w:t>
      </w:r>
      <w:r w:rsidR="00E967F5">
        <w:rPr>
          <w:sz w:val="20"/>
          <w:szCs w:val="20"/>
        </w:rPr>
        <w:t xml:space="preserve">reconocidos </w:t>
      </w:r>
      <w:r w:rsidR="00BD238C" w:rsidRPr="00BD238C">
        <w:rPr>
          <w:sz w:val="20"/>
          <w:szCs w:val="20"/>
        </w:rPr>
        <w:t>en los artículos</w:t>
      </w:r>
      <w:r w:rsidR="00E91AC4">
        <w:rPr>
          <w:sz w:val="20"/>
          <w:szCs w:val="20"/>
        </w:rPr>
        <w:t xml:space="preserve"> 4 (vida), 5 (integridad personal),</w:t>
      </w:r>
      <w:r w:rsidR="00BD238C" w:rsidRPr="00BD238C">
        <w:rPr>
          <w:sz w:val="20"/>
          <w:szCs w:val="20"/>
        </w:rPr>
        <w:t xml:space="preserve"> 8 (garantías judiciales)</w:t>
      </w:r>
      <w:r w:rsidR="00BD238C">
        <w:rPr>
          <w:sz w:val="20"/>
          <w:szCs w:val="20"/>
        </w:rPr>
        <w:t xml:space="preserve"> </w:t>
      </w:r>
      <w:r w:rsidR="00BD238C" w:rsidRPr="00BD238C">
        <w:rPr>
          <w:sz w:val="20"/>
          <w:szCs w:val="20"/>
        </w:rPr>
        <w:t xml:space="preserve">y 25 (protección judicial) de la Convención Americana, en relación con sus artículos 1.1 (obligación de respetar los derechos) y 2 (deber de adoptar disposiciones de derecho interno) del mismo instrumento. </w:t>
      </w:r>
    </w:p>
    <w:p w14:paraId="184E4663" w14:textId="77777777" w:rsidR="00A407A3" w:rsidRPr="00A407A3" w:rsidRDefault="00A407A3" w:rsidP="00DD7D3D">
      <w:pPr>
        <w:ind w:left="720" w:right="280"/>
        <w:rPr>
          <w:sz w:val="20"/>
          <w:szCs w:val="20"/>
        </w:rPr>
      </w:pPr>
    </w:p>
    <w:p w14:paraId="4C0322DB" w14:textId="4C53F3AD" w:rsidR="00C02C7F" w:rsidRPr="003B0E17" w:rsidRDefault="001223F2" w:rsidP="00DD7D3D">
      <w:pPr>
        <w:pStyle w:val="ListParagraph"/>
        <w:numPr>
          <w:ilvl w:val="0"/>
          <w:numId w:val="3"/>
        </w:numPr>
        <w:spacing w:before="0"/>
        <w:ind w:right="280" w:firstLine="270"/>
        <w:rPr>
          <w:b/>
          <w:bCs/>
          <w:sz w:val="20"/>
          <w:szCs w:val="20"/>
        </w:rPr>
      </w:pPr>
      <w:r w:rsidRPr="003B0E17">
        <w:rPr>
          <w:b/>
          <w:bCs/>
          <w:sz w:val="20"/>
          <w:szCs w:val="20"/>
        </w:rPr>
        <w:t>DECISIÓN</w:t>
      </w:r>
    </w:p>
    <w:p w14:paraId="3D3A46FF" w14:textId="77777777" w:rsidR="0091162B" w:rsidRPr="00FF4895" w:rsidRDefault="0091162B" w:rsidP="00FF4895">
      <w:pPr>
        <w:ind w:right="280"/>
        <w:rPr>
          <w:sz w:val="20"/>
          <w:szCs w:val="20"/>
        </w:rPr>
      </w:pPr>
    </w:p>
    <w:p w14:paraId="2F5D1BBA" w14:textId="049B59F0" w:rsidR="00C02C7F" w:rsidRPr="003B0E17" w:rsidRDefault="001223F2" w:rsidP="00DD7D3D">
      <w:pPr>
        <w:pStyle w:val="ListParagraph"/>
        <w:numPr>
          <w:ilvl w:val="0"/>
          <w:numId w:val="2"/>
        </w:numPr>
        <w:spacing w:before="0"/>
        <w:ind w:left="720" w:right="280" w:firstLine="720"/>
        <w:rPr>
          <w:sz w:val="20"/>
          <w:szCs w:val="20"/>
        </w:rPr>
      </w:pPr>
      <w:r w:rsidRPr="003B0E17">
        <w:rPr>
          <w:sz w:val="20"/>
          <w:szCs w:val="20"/>
        </w:rPr>
        <w:t>Declarar admisible la presente petición en relación con los artículos</w:t>
      </w:r>
      <w:r w:rsidR="00E91AC4" w:rsidRPr="003B0E17">
        <w:rPr>
          <w:sz w:val="20"/>
          <w:szCs w:val="20"/>
        </w:rPr>
        <w:t xml:space="preserve"> 4, 5,</w:t>
      </w:r>
      <w:r w:rsidRPr="003B0E17">
        <w:rPr>
          <w:sz w:val="20"/>
          <w:szCs w:val="20"/>
        </w:rPr>
        <w:t xml:space="preserve"> 8</w:t>
      </w:r>
      <w:r w:rsidR="00E91AC4" w:rsidRPr="003B0E17">
        <w:rPr>
          <w:sz w:val="20"/>
          <w:szCs w:val="20"/>
        </w:rPr>
        <w:t xml:space="preserve"> </w:t>
      </w:r>
      <w:r w:rsidRPr="003B0E17">
        <w:rPr>
          <w:sz w:val="20"/>
          <w:szCs w:val="20"/>
        </w:rPr>
        <w:t>y 25 de la Convención Americana, en concordancia con los artículos 1.1 y 2 del mismo instrumento;</w:t>
      </w:r>
    </w:p>
    <w:p w14:paraId="1A3DAA4A" w14:textId="77777777" w:rsidR="0091162B" w:rsidRPr="00FF4895" w:rsidRDefault="0091162B" w:rsidP="00FF4895">
      <w:pPr>
        <w:ind w:left="720" w:right="280"/>
        <w:rPr>
          <w:sz w:val="20"/>
          <w:szCs w:val="20"/>
        </w:rPr>
      </w:pPr>
    </w:p>
    <w:p w14:paraId="15EB5B61" w14:textId="3A0C242E" w:rsidR="00C02C7F" w:rsidRDefault="001223F2" w:rsidP="00DD7D3D">
      <w:pPr>
        <w:pStyle w:val="ListParagraph"/>
        <w:numPr>
          <w:ilvl w:val="0"/>
          <w:numId w:val="2"/>
        </w:numPr>
        <w:spacing w:before="0"/>
        <w:ind w:left="720" w:right="280" w:firstLine="720"/>
        <w:rPr>
          <w:sz w:val="20"/>
          <w:szCs w:val="20"/>
        </w:rPr>
      </w:pPr>
      <w:r w:rsidRPr="003B0E17">
        <w:rPr>
          <w:sz w:val="20"/>
          <w:szCs w:val="20"/>
        </w:rPr>
        <w:t>Notificar a las partes la presente decisión; continuar con el análisis del fondo de la cuestión; y publicar esta decisión e incluirla en su Informe Anual a la Asamblea General de la Organización de los Estados Americanos.</w:t>
      </w:r>
    </w:p>
    <w:p w14:paraId="7ED4BD91" w14:textId="700105A0" w:rsidR="0040613C" w:rsidRDefault="0040613C" w:rsidP="0040613C">
      <w:pPr>
        <w:pStyle w:val="ListParagraph"/>
        <w:spacing w:before="0"/>
        <w:ind w:left="1440" w:right="280" w:firstLine="0"/>
        <w:rPr>
          <w:sz w:val="20"/>
          <w:szCs w:val="20"/>
        </w:rPr>
      </w:pPr>
    </w:p>
    <w:p w14:paraId="526E658B" w14:textId="51A3717F" w:rsidR="0040613C" w:rsidRPr="00A37B82" w:rsidRDefault="0040613C" w:rsidP="0040613C">
      <w:pPr>
        <w:ind w:left="810" w:right="280"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Margarette May Macaulay,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7252501D" w14:textId="77777777" w:rsidR="00DA43B2" w:rsidRDefault="00DA43B2" w:rsidP="004A23BC">
      <w:pPr>
        <w:ind w:right="280"/>
        <w:jc w:val="both"/>
        <w:rPr>
          <w:rFonts w:cs="Arial"/>
          <w:noProof/>
          <w:sz w:val="20"/>
          <w:szCs w:val="20"/>
          <w:lang w:val="es-CL"/>
        </w:rPr>
      </w:pPr>
    </w:p>
    <w:sectPr w:rsidR="00DA43B2">
      <w:footerReference w:type="default" r:id="rId13"/>
      <w:pgSz w:w="12240" w:h="15840"/>
      <w:pgMar w:top="1200" w:right="1200" w:bottom="1180" w:left="680" w:header="82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52EC" w14:textId="77777777" w:rsidR="009E3897" w:rsidRDefault="009E3897">
      <w:r>
        <w:separator/>
      </w:r>
    </w:p>
  </w:endnote>
  <w:endnote w:type="continuationSeparator" w:id="0">
    <w:p w14:paraId="64DA5862" w14:textId="77777777" w:rsidR="009E3897" w:rsidRDefault="009E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E212" w14:textId="53F9104C" w:rsidR="00371496" w:rsidRDefault="00371496">
    <w:pPr>
      <w:pStyle w:val="BodyText"/>
      <w:spacing w:line="14" w:lineRule="auto"/>
    </w:pPr>
    <w:r>
      <w:rPr>
        <w:noProof/>
      </w:rPr>
      <mc:AlternateContent>
        <mc:Choice Requires="wps">
          <w:drawing>
            <wp:anchor distT="0" distB="0" distL="114300" distR="114300" simplePos="0" relativeHeight="251274240" behindDoc="1" locked="0" layoutInCell="1" allowOverlap="1" wp14:anchorId="22DEC8B2" wp14:editId="2DEC0E9B">
              <wp:simplePos x="0" y="0"/>
              <wp:positionH relativeFrom="page">
                <wp:posOffset>3831590</wp:posOffset>
              </wp:positionH>
              <wp:positionV relativeFrom="page">
                <wp:posOffset>9290050</wp:posOffset>
              </wp:positionV>
              <wp:extent cx="10795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00E4" w14:textId="77777777" w:rsidR="00371496" w:rsidRDefault="00371496">
                          <w:pPr>
                            <w:spacing w:before="20"/>
                            <w:ind w:left="4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8B2" id="_x0000_t202" coordsize="21600,21600" o:spt="202" path="m,l,21600r21600,l21600,xe">
              <v:stroke joinstyle="miter"/>
              <v:path gradientshapeok="t" o:connecttype="rect"/>
            </v:shapetype>
            <v:shape id="Text Box 1" o:spid="_x0000_s1027" type="#_x0000_t202" style="position:absolute;margin-left:301.7pt;margin-top:731.5pt;width:8.5pt;height:11.4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" filled="f" stroked="f">
              <v:textbox inset="0,0,0,0">
                <w:txbxContent>
                  <w:p w14:paraId="020200E4" w14:textId="77777777" w:rsidR="00371496" w:rsidRDefault="00371496">
                    <w:pPr>
                      <w:spacing w:before="20"/>
                      <w:ind w:left="4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0101" w14:textId="77777777" w:rsidR="009E3897" w:rsidRDefault="009E3897">
      <w:r>
        <w:separator/>
      </w:r>
    </w:p>
  </w:footnote>
  <w:footnote w:type="continuationSeparator" w:id="0">
    <w:p w14:paraId="6CBAF6A2" w14:textId="77777777" w:rsidR="009E3897" w:rsidRDefault="009E3897">
      <w:r>
        <w:continuationSeparator/>
      </w:r>
    </w:p>
  </w:footnote>
  <w:footnote w:id="1">
    <w:p w14:paraId="18602685" w14:textId="0955C803" w:rsidR="00371496" w:rsidRPr="0068552D" w:rsidRDefault="0037149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Según la parte peticionaria , </w:t>
      </w:r>
      <w:r w:rsidRPr="0068552D">
        <w:rPr>
          <w:i/>
          <w:iCs/>
          <w:sz w:val="16"/>
          <w:szCs w:val="16"/>
        </w:rPr>
        <w:t>v.g.</w:t>
      </w:r>
      <w:r w:rsidRPr="0068552D">
        <w:rPr>
          <w:sz w:val="16"/>
          <w:szCs w:val="16"/>
        </w:rPr>
        <w:t>, “[e]n las noches se colocaban frente a su casa de habitación, automóviles de la Policía Nacional con radios de comunicación activos a alto volumen para que la familia Ulloa escuchara las órdenes de sus jefes que – de manera descarada – les mandaban asesinar a sus integrantes”</w:t>
      </w:r>
      <w:r w:rsidR="00A71D96">
        <w:rPr>
          <w:sz w:val="16"/>
          <w:szCs w:val="16"/>
        </w:rPr>
        <w:t>…</w:t>
      </w:r>
      <w:r w:rsidRPr="0068552D">
        <w:rPr>
          <w:sz w:val="16"/>
          <w:szCs w:val="16"/>
        </w:rPr>
        <w:t>“siempre que había una movilización popular u otra actividad en la Universidad de El Salvador, un tanque de combate "Sherman" sé colocaba frente a las instalaciones de la institución en aras de ejercer presión psicológica sobre sus autoridades; lo mismo ocurría cuando el Rector Ulloa era entrevistado por o vertía declaraciones ante los medios de difusión masiva de la época”</w:t>
      </w:r>
      <w:r w:rsidR="00A71D96">
        <w:rPr>
          <w:sz w:val="16"/>
          <w:szCs w:val="16"/>
        </w:rPr>
        <w:t>.</w:t>
      </w:r>
      <w:r w:rsidRPr="0068552D">
        <w:rPr>
          <w:sz w:val="16"/>
          <w:szCs w:val="16"/>
        </w:rPr>
        <w:t xml:space="preserve"> </w:t>
      </w:r>
      <w:r w:rsidR="00A71D96">
        <w:rPr>
          <w:sz w:val="16"/>
          <w:szCs w:val="16"/>
        </w:rPr>
        <w:t xml:space="preserve">Indica igualmente que </w:t>
      </w:r>
      <w:r w:rsidRPr="0068552D">
        <w:rPr>
          <w:sz w:val="16"/>
          <w:szCs w:val="16"/>
        </w:rPr>
        <w:t>“[e]ra cotidiana la presencia de agentes encubiertos conocidos entonces como ‘orejas’, que se ubicaban permanentemente frente a la casa de la familia Ulloa o cerca de la misma; en ocasiones, cuando el Rector inmolado junto a su esposa e hijos se conducían en vehículo, los perseguían</w:t>
      </w:r>
      <w:r w:rsidR="00A71D96">
        <w:rPr>
          <w:sz w:val="16"/>
          <w:szCs w:val="16"/>
        </w:rPr>
        <w:t>.</w:t>
      </w:r>
      <w:r w:rsidRPr="0068552D">
        <w:rPr>
          <w:sz w:val="16"/>
          <w:szCs w:val="16"/>
        </w:rPr>
        <w:t>”</w:t>
      </w:r>
      <w:r w:rsidR="00A71D96">
        <w:rPr>
          <w:sz w:val="16"/>
          <w:szCs w:val="16"/>
        </w:rPr>
        <w:t xml:space="preserve"> Fina</w:t>
      </w:r>
      <w:r w:rsidRPr="0068552D">
        <w:rPr>
          <w:sz w:val="16"/>
          <w:szCs w:val="16"/>
        </w:rPr>
        <w:t>l</w:t>
      </w:r>
      <w:r w:rsidR="00A71D96">
        <w:rPr>
          <w:sz w:val="16"/>
          <w:szCs w:val="16"/>
        </w:rPr>
        <w:t>mente refiere que l</w:t>
      </w:r>
      <w:r w:rsidRPr="0068552D">
        <w:rPr>
          <w:sz w:val="16"/>
          <w:szCs w:val="16"/>
        </w:rPr>
        <w:t>a familia también recibía “a diario llamadas telefónicas de escuadrones de la muerte”, y “eran frecuente</w:t>
      </w:r>
      <w:r w:rsidR="00ED5706">
        <w:rPr>
          <w:sz w:val="16"/>
          <w:szCs w:val="16"/>
        </w:rPr>
        <w:t>s</w:t>
      </w:r>
      <w:r w:rsidRPr="0068552D">
        <w:rPr>
          <w:sz w:val="16"/>
          <w:szCs w:val="16"/>
        </w:rPr>
        <w:t xml:space="preserve"> esos mensajes de la ‘Mano </w:t>
      </w:r>
      <w:r w:rsidR="00726DAC">
        <w:rPr>
          <w:sz w:val="16"/>
          <w:szCs w:val="16"/>
        </w:rPr>
        <w:t>B</w:t>
      </w:r>
      <w:r w:rsidRPr="0068552D">
        <w:rPr>
          <w:sz w:val="16"/>
          <w:szCs w:val="16"/>
        </w:rPr>
        <w:t xml:space="preserve">lanca’ – cuyos integrantes pintaron una mano de ese color en el portón de su </w:t>
      </w:r>
      <w:r w:rsidR="00726DAC" w:rsidRPr="0068552D">
        <w:rPr>
          <w:sz w:val="16"/>
          <w:szCs w:val="16"/>
        </w:rPr>
        <w:t>casa”</w:t>
      </w:r>
      <w:r w:rsidR="00726DAC">
        <w:rPr>
          <w:sz w:val="16"/>
          <w:szCs w:val="16"/>
        </w:rPr>
        <w:t xml:space="preserve"> …</w:t>
      </w:r>
      <w:r w:rsidRPr="0068552D">
        <w:rPr>
          <w:sz w:val="16"/>
          <w:szCs w:val="16"/>
        </w:rPr>
        <w:t xml:space="preserve"> “de la ‘Unión Guerrera Blanca’”, y </w:t>
      </w:r>
      <w:r w:rsidR="00726DAC" w:rsidRPr="0068552D">
        <w:rPr>
          <w:sz w:val="16"/>
          <w:szCs w:val="16"/>
        </w:rPr>
        <w:t>“también</w:t>
      </w:r>
      <w:r w:rsidRPr="0068552D">
        <w:rPr>
          <w:sz w:val="16"/>
          <w:szCs w:val="16"/>
        </w:rPr>
        <w:t xml:space="preserve"> del ‘Ejército Secreto Anticomunista’ que publicó una ‘Proclama’ el 11 de mayo de 1980, ‘decretando’ el exterminio físico de varias personas ‘enemigas’”</w:t>
      </w:r>
      <w:r w:rsidR="00A71D96">
        <w:rPr>
          <w:sz w:val="16"/>
          <w:szCs w:val="16"/>
        </w:rPr>
        <w:t>. La presunta víctima se hallaba entre las primeras personas incluidas en dicha lista</w:t>
      </w:r>
      <w:r w:rsidRPr="0068552D">
        <w:rPr>
          <w:sz w:val="16"/>
          <w:szCs w:val="16"/>
        </w:rPr>
        <w:t>.</w:t>
      </w:r>
      <w:r>
        <w:rPr>
          <w:sz w:val="16"/>
          <w:szCs w:val="16"/>
        </w:rPr>
        <w:t xml:space="preserve"> Cf. Petición inicial de 4 de noviembre de 2011.</w:t>
      </w:r>
    </w:p>
  </w:footnote>
  <w:footnote w:id="2">
    <w:p w14:paraId="3863F35F" w14:textId="72C5F6BB" w:rsidR="00371496" w:rsidRPr="0068552D" w:rsidRDefault="0037149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w:t>
      </w:r>
      <w:r>
        <w:rPr>
          <w:sz w:val="16"/>
          <w:szCs w:val="16"/>
        </w:rPr>
        <w:t>Cf. Escrito del Estado de 25 de mayo de 2018</w:t>
      </w:r>
      <w:r w:rsidR="009B2EA2">
        <w:rPr>
          <w:sz w:val="16"/>
          <w:szCs w:val="16"/>
        </w:rPr>
        <w:t>. En dicho escrito se</w:t>
      </w:r>
      <w:r>
        <w:rPr>
          <w:sz w:val="16"/>
          <w:szCs w:val="16"/>
        </w:rPr>
        <w:t xml:space="preserve"> señala adicionalmente, que “[l]</w:t>
      </w:r>
      <w:r w:rsidRPr="00910A7B">
        <w:rPr>
          <w:sz w:val="16"/>
          <w:szCs w:val="16"/>
        </w:rPr>
        <w:t>a Unidad para la Investigación de Delitos del Conflicto Armado Interno creada por la Fiscalía General de la República, es un equipo especial de fiscales responsables de la investigación penal de casos ocurridos en el contexto del conflicto armado interno, tal como es el caso del señor Félix Antonio Ulloa. La creación de esta Unidad es una acción que se enmarca en las obligaciones que fueron reiteradas por la Sala de lo Constitucional de la Corte Suprema de Justicia, en su sentencia de inconstitucionalidad 44-2013/145-2013, del 13 de julio de 2016, por medio de la cual declaró de forma general y obligatoria la inconstitucional de la Ley de Amnistía General para la Consolidación de la Paz.</w:t>
      </w:r>
      <w:r>
        <w:rPr>
          <w:sz w:val="16"/>
          <w:szCs w:val="16"/>
        </w:rPr>
        <w:t>”.</w:t>
      </w:r>
    </w:p>
  </w:footnote>
  <w:footnote w:id="3">
    <w:p w14:paraId="6E0F63C8" w14:textId="77777777" w:rsidR="00371496" w:rsidRPr="0068552D" w:rsidRDefault="0037149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w:t>
      </w:r>
      <w:r>
        <w:rPr>
          <w:sz w:val="16"/>
          <w:szCs w:val="16"/>
        </w:rPr>
        <w:t>Cf. Petición inicial de 4 de noviembre de 2011.</w:t>
      </w:r>
    </w:p>
  </w:footnote>
  <w:footnote w:id="4">
    <w:p w14:paraId="0794E450" w14:textId="6CD5304D" w:rsidR="00371496" w:rsidRPr="0068552D" w:rsidRDefault="0037149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w:t>
      </w:r>
      <w:r>
        <w:rPr>
          <w:sz w:val="16"/>
          <w:szCs w:val="16"/>
        </w:rPr>
        <w:t>Cf. Escrito del Estado de 25 de mayo de 2018.</w:t>
      </w:r>
    </w:p>
  </w:footnote>
  <w:footnote w:id="5">
    <w:p w14:paraId="0C92530E" w14:textId="77777777" w:rsidR="00342746" w:rsidRPr="0068552D" w:rsidRDefault="0034274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Cf., </w:t>
      </w:r>
      <w:r w:rsidRPr="0068552D">
        <w:rPr>
          <w:i/>
          <w:iCs/>
          <w:sz w:val="16"/>
          <w:szCs w:val="16"/>
        </w:rPr>
        <w:t>v.g.</w:t>
      </w:r>
      <w:r w:rsidRPr="0068552D">
        <w:rPr>
          <w:sz w:val="16"/>
          <w:szCs w:val="16"/>
        </w:rPr>
        <w:t xml:space="preserve">, </w:t>
      </w:r>
      <w:r w:rsidRPr="00740D91">
        <w:rPr>
          <w:sz w:val="16"/>
          <w:szCs w:val="16"/>
        </w:rPr>
        <w:t>CIDH, Informe No. 26/16, Petición 932-03. Inadmisibilidad. Rómulo Jonás Ponce Santamaría. Perú. 15 de abril de 2016, párr. 25.</w:t>
      </w:r>
    </w:p>
  </w:footnote>
  <w:footnote w:id="6">
    <w:p w14:paraId="64644700" w14:textId="29D536AA" w:rsidR="00EC0904" w:rsidRPr="0068552D" w:rsidRDefault="00EC0904"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Cf., </w:t>
      </w:r>
      <w:r w:rsidRPr="00740D91">
        <w:rPr>
          <w:sz w:val="16"/>
          <w:szCs w:val="16"/>
        </w:rPr>
        <w:t xml:space="preserve">CIDH, Informe No. </w:t>
      </w:r>
      <w:r>
        <w:rPr>
          <w:sz w:val="16"/>
          <w:szCs w:val="16"/>
        </w:rPr>
        <w:t>11</w:t>
      </w:r>
      <w:r w:rsidRPr="00740D91">
        <w:rPr>
          <w:sz w:val="16"/>
          <w:szCs w:val="16"/>
        </w:rPr>
        <w:t>/</w:t>
      </w:r>
      <w:r>
        <w:rPr>
          <w:sz w:val="16"/>
          <w:szCs w:val="16"/>
        </w:rPr>
        <w:t>05</w:t>
      </w:r>
      <w:r w:rsidRPr="00740D91">
        <w:rPr>
          <w:sz w:val="16"/>
          <w:szCs w:val="16"/>
        </w:rPr>
        <w:t xml:space="preserve">, Petición </w:t>
      </w:r>
      <w:r>
        <w:rPr>
          <w:sz w:val="16"/>
          <w:szCs w:val="16"/>
        </w:rPr>
        <w:t>708</w:t>
      </w:r>
      <w:r w:rsidRPr="00740D91">
        <w:rPr>
          <w:sz w:val="16"/>
          <w:szCs w:val="16"/>
        </w:rPr>
        <w:t xml:space="preserve">-03. </w:t>
      </w:r>
      <w:r>
        <w:rPr>
          <w:sz w:val="16"/>
          <w:szCs w:val="16"/>
        </w:rPr>
        <w:t>A</w:t>
      </w:r>
      <w:r w:rsidRPr="00740D91">
        <w:rPr>
          <w:sz w:val="16"/>
          <w:szCs w:val="16"/>
        </w:rPr>
        <w:t xml:space="preserve">dmisibilidad. </w:t>
      </w:r>
      <w:r>
        <w:rPr>
          <w:sz w:val="16"/>
          <w:szCs w:val="16"/>
        </w:rPr>
        <w:t>Gregoria Herminia, Serapio Cristián y Julia Inés Contreras</w:t>
      </w:r>
      <w:r w:rsidRPr="00740D91">
        <w:rPr>
          <w:sz w:val="16"/>
          <w:szCs w:val="16"/>
        </w:rPr>
        <w:t>.</w:t>
      </w:r>
      <w:r>
        <w:rPr>
          <w:sz w:val="16"/>
          <w:szCs w:val="16"/>
        </w:rPr>
        <w:t xml:space="preserve"> El Salvador.</w:t>
      </w:r>
      <w:r w:rsidRPr="00740D91">
        <w:rPr>
          <w:sz w:val="16"/>
          <w:szCs w:val="16"/>
        </w:rPr>
        <w:t xml:space="preserve"> </w:t>
      </w:r>
      <w:r>
        <w:rPr>
          <w:sz w:val="16"/>
          <w:szCs w:val="16"/>
        </w:rPr>
        <w:t>23 de febrero de 2005</w:t>
      </w:r>
      <w:r w:rsidRPr="00740D91">
        <w:rPr>
          <w:sz w:val="16"/>
          <w:szCs w:val="16"/>
        </w:rPr>
        <w:t>, párr. 25</w:t>
      </w:r>
      <w:r w:rsidR="00342746">
        <w:rPr>
          <w:sz w:val="16"/>
          <w:szCs w:val="16"/>
        </w:rPr>
        <w:t xml:space="preserve">; </w:t>
      </w:r>
      <w:r w:rsidR="00342746" w:rsidRPr="00740D91">
        <w:rPr>
          <w:sz w:val="16"/>
          <w:szCs w:val="16"/>
        </w:rPr>
        <w:t xml:space="preserve">CIDH, Informe No. </w:t>
      </w:r>
      <w:r w:rsidR="00342746">
        <w:rPr>
          <w:sz w:val="16"/>
          <w:szCs w:val="16"/>
        </w:rPr>
        <w:t>24</w:t>
      </w:r>
      <w:r w:rsidR="00342746" w:rsidRPr="00740D91">
        <w:rPr>
          <w:sz w:val="16"/>
          <w:szCs w:val="16"/>
        </w:rPr>
        <w:t>/</w:t>
      </w:r>
      <w:r w:rsidR="00342746">
        <w:rPr>
          <w:sz w:val="16"/>
          <w:szCs w:val="16"/>
        </w:rPr>
        <w:t>06</w:t>
      </w:r>
      <w:r w:rsidR="00342746" w:rsidRPr="00740D91">
        <w:rPr>
          <w:sz w:val="16"/>
          <w:szCs w:val="16"/>
        </w:rPr>
        <w:t xml:space="preserve">, Petición </w:t>
      </w:r>
      <w:r w:rsidR="00342746">
        <w:rPr>
          <w:sz w:val="16"/>
          <w:szCs w:val="16"/>
        </w:rPr>
        <w:t>10.720</w:t>
      </w:r>
      <w:r w:rsidR="00342746" w:rsidRPr="00740D91">
        <w:rPr>
          <w:sz w:val="16"/>
          <w:szCs w:val="16"/>
        </w:rPr>
        <w:t xml:space="preserve">. </w:t>
      </w:r>
      <w:r w:rsidR="00342746">
        <w:rPr>
          <w:sz w:val="16"/>
          <w:szCs w:val="16"/>
        </w:rPr>
        <w:t>A</w:t>
      </w:r>
      <w:r w:rsidR="00342746" w:rsidRPr="00740D91">
        <w:rPr>
          <w:sz w:val="16"/>
          <w:szCs w:val="16"/>
        </w:rPr>
        <w:t xml:space="preserve">dmisibilidad. </w:t>
      </w:r>
      <w:r w:rsidR="00342746">
        <w:rPr>
          <w:sz w:val="16"/>
          <w:szCs w:val="16"/>
        </w:rPr>
        <w:t>Masacre El Mozote</w:t>
      </w:r>
      <w:r w:rsidR="00342746" w:rsidRPr="00740D91">
        <w:rPr>
          <w:sz w:val="16"/>
          <w:szCs w:val="16"/>
        </w:rPr>
        <w:t>.</w:t>
      </w:r>
      <w:r w:rsidR="00342746">
        <w:rPr>
          <w:sz w:val="16"/>
          <w:szCs w:val="16"/>
        </w:rPr>
        <w:t xml:space="preserve"> El Salvador.</w:t>
      </w:r>
      <w:r w:rsidR="00342746" w:rsidRPr="00740D91">
        <w:rPr>
          <w:sz w:val="16"/>
          <w:szCs w:val="16"/>
        </w:rPr>
        <w:t xml:space="preserve"> </w:t>
      </w:r>
      <w:r w:rsidR="00342746">
        <w:rPr>
          <w:sz w:val="16"/>
          <w:szCs w:val="16"/>
        </w:rPr>
        <w:t>2 de marzo de 2006</w:t>
      </w:r>
      <w:r w:rsidR="00342746" w:rsidRPr="00740D91">
        <w:rPr>
          <w:sz w:val="16"/>
          <w:szCs w:val="16"/>
        </w:rPr>
        <w:t xml:space="preserve">, párr. </w:t>
      </w:r>
      <w:r w:rsidR="00342746">
        <w:rPr>
          <w:sz w:val="16"/>
          <w:szCs w:val="16"/>
        </w:rPr>
        <w:t>35</w:t>
      </w:r>
      <w:r w:rsidR="00342746" w:rsidRPr="00740D91">
        <w:rPr>
          <w:sz w:val="16"/>
          <w:szCs w:val="16"/>
        </w:rPr>
        <w:t>.</w:t>
      </w:r>
    </w:p>
  </w:footnote>
  <w:footnote w:id="7">
    <w:p w14:paraId="4C27C367" w14:textId="77777777" w:rsidR="00A660B6" w:rsidRPr="0068552D" w:rsidRDefault="00A660B6" w:rsidP="0040613C">
      <w:pPr>
        <w:pStyle w:val="FootnoteText"/>
        <w:ind w:left="720" w:firstLine="720"/>
        <w:jc w:val="both"/>
        <w:rPr>
          <w:sz w:val="16"/>
          <w:szCs w:val="16"/>
        </w:rPr>
      </w:pPr>
      <w:r w:rsidRPr="0068552D">
        <w:rPr>
          <w:rStyle w:val="FootnoteReference"/>
          <w:sz w:val="16"/>
          <w:szCs w:val="16"/>
        </w:rPr>
        <w:footnoteRef/>
      </w:r>
      <w:r w:rsidRPr="00371496">
        <w:rPr>
          <w:sz w:val="16"/>
          <w:szCs w:val="16"/>
        </w:rPr>
        <w:t xml:space="preserve"> Cf., </w:t>
      </w:r>
      <w:r w:rsidRPr="00371496">
        <w:rPr>
          <w:i/>
          <w:iCs/>
          <w:sz w:val="16"/>
          <w:szCs w:val="16"/>
        </w:rPr>
        <w:t>v.g.</w:t>
      </w:r>
      <w:r w:rsidRPr="00371496">
        <w:rPr>
          <w:sz w:val="16"/>
          <w:szCs w:val="16"/>
        </w:rPr>
        <w:t xml:space="preserve">, CIDH, Informe No. 50/08, Petición 298-07. Admisibilidad. Néstor José Uzcátegui y otros. Venezuela. 24 de julio de 2008, párr. </w:t>
      </w:r>
      <w:r w:rsidRPr="00E91AC4">
        <w:rPr>
          <w:sz w:val="16"/>
          <w:szCs w:val="16"/>
        </w:rPr>
        <w:t>42. En el presente caso, los elementos presentados por las partes indican un retardo superior a tres décadas en las investigaciones. El Estado no logró indicar ninguna medida tomada antes de 2018.</w:t>
      </w:r>
    </w:p>
  </w:footnote>
  <w:footnote w:id="8">
    <w:p w14:paraId="7455507A" w14:textId="12483D7C" w:rsidR="00342746" w:rsidRPr="0068552D" w:rsidRDefault="00342746"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w:t>
      </w:r>
      <w:r>
        <w:rPr>
          <w:sz w:val="16"/>
          <w:szCs w:val="16"/>
        </w:rPr>
        <w:t>En el mismo sentido, cf.</w:t>
      </w:r>
      <w:r w:rsidRPr="0068552D">
        <w:rPr>
          <w:sz w:val="16"/>
          <w:szCs w:val="16"/>
        </w:rPr>
        <w:t xml:space="preserve"> </w:t>
      </w:r>
      <w:r w:rsidRPr="00740D91">
        <w:rPr>
          <w:sz w:val="16"/>
          <w:szCs w:val="16"/>
        </w:rPr>
        <w:t xml:space="preserve">CIDH, Informe No. </w:t>
      </w:r>
      <w:r>
        <w:rPr>
          <w:sz w:val="16"/>
          <w:szCs w:val="16"/>
        </w:rPr>
        <w:t>11</w:t>
      </w:r>
      <w:r w:rsidRPr="00740D91">
        <w:rPr>
          <w:sz w:val="16"/>
          <w:szCs w:val="16"/>
        </w:rPr>
        <w:t>/</w:t>
      </w:r>
      <w:r>
        <w:rPr>
          <w:sz w:val="16"/>
          <w:szCs w:val="16"/>
        </w:rPr>
        <w:t>05</w:t>
      </w:r>
      <w:r w:rsidRPr="00740D91">
        <w:rPr>
          <w:sz w:val="16"/>
          <w:szCs w:val="16"/>
        </w:rPr>
        <w:t xml:space="preserve">, Petición </w:t>
      </w:r>
      <w:r>
        <w:rPr>
          <w:sz w:val="16"/>
          <w:szCs w:val="16"/>
        </w:rPr>
        <w:t>708</w:t>
      </w:r>
      <w:r w:rsidRPr="00740D91">
        <w:rPr>
          <w:sz w:val="16"/>
          <w:szCs w:val="16"/>
        </w:rPr>
        <w:t xml:space="preserve">-03. </w:t>
      </w:r>
      <w:r>
        <w:rPr>
          <w:sz w:val="16"/>
          <w:szCs w:val="16"/>
        </w:rPr>
        <w:t>A</w:t>
      </w:r>
      <w:r w:rsidRPr="00740D91">
        <w:rPr>
          <w:sz w:val="16"/>
          <w:szCs w:val="16"/>
        </w:rPr>
        <w:t xml:space="preserve">dmisibilidad. </w:t>
      </w:r>
      <w:r>
        <w:rPr>
          <w:sz w:val="16"/>
          <w:szCs w:val="16"/>
        </w:rPr>
        <w:t>Gregoria Herminia, Serapio Cristián y Julia Inés Contreras</w:t>
      </w:r>
      <w:r w:rsidRPr="00740D91">
        <w:rPr>
          <w:sz w:val="16"/>
          <w:szCs w:val="16"/>
        </w:rPr>
        <w:t>.</w:t>
      </w:r>
      <w:r>
        <w:rPr>
          <w:sz w:val="16"/>
          <w:szCs w:val="16"/>
        </w:rPr>
        <w:t xml:space="preserve"> El Salvador.</w:t>
      </w:r>
      <w:r w:rsidRPr="00740D91">
        <w:rPr>
          <w:sz w:val="16"/>
          <w:szCs w:val="16"/>
        </w:rPr>
        <w:t xml:space="preserve"> </w:t>
      </w:r>
      <w:r>
        <w:rPr>
          <w:sz w:val="16"/>
          <w:szCs w:val="16"/>
        </w:rPr>
        <w:t>23 de febrero de 2005</w:t>
      </w:r>
      <w:r w:rsidRPr="00740D91">
        <w:rPr>
          <w:sz w:val="16"/>
          <w:szCs w:val="16"/>
        </w:rPr>
        <w:t xml:space="preserve">, párr. </w:t>
      </w:r>
      <w:r>
        <w:rPr>
          <w:sz w:val="16"/>
          <w:szCs w:val="16"/>
        </w:rPr>
        <w:t xml:space="preserve">33; </w:t>
      </w:r>
      <w:r w:rsidRPr="00740D91">
        <w:rPr>
          <w:sz w:val="16"/>
          <w:szCs w:val="16"/>
        </w:rPr>
        <w:t xml:space="preserve">CIDH, Informe No. </w:t>
      </w:r>
      <w:r>
        <w:rPr>
          <w:sz w:val="16"/>
          <w:szCs w:val="16"/>
        </w:rPr>
        <w:t>24</w:t>
      </w:r>
      <w:r w:rsidRPr="00740D91">
        <w:rPr>
          <w:sz w:val="16"/>
          <w:szCs w:val="16"/>
        </w:rPr>
        <w:t>/</w:t>
      </w:r>
      <w:r>
        <w:rPr>
          <w:sz w:val="16"/>
          <w:szCs w:val="16"/>
        </w:rPr>
        <w:t>06</w:t>
      </w:r>
      <w:r w:rsidRPr="00740D91">
        <w:rPr>
          <w:sz w:val="16"/>
          <w:szCs w:val="16"/>
        </w:rPr>
        <w:t xml:space="preserve">, Petición </w:t>
      </w:r>
      <w:r>
        <w:rPr>
          <w:sz w:val="16"/>
          <w:szCs w:val="16"/>
        </w:rPr>
        <w:t>10.720</w:t>
      </w:r>
      <w:r w:rsidRPr="00740D91">
        <w:rPr>
          <w:sz w:val="16"/>
          <w:szCs w:val="16"/>
        </w:rPr>
        <w:t xml:space="preserve">. </w:t>
      </w:r>
      <w:r>
        <w:rPr>
          <w:sz w:val="16"/>
          <w:szCs w:val="16"/>
        </w:rPr>
        <w:t>A</w:t>
      </w:r>
      <w:r w:rsidRPr="00740D91">
        <w:rPr>
          <w:sz w:val="16"/>
          <w:szCs w:val="16"/>
        </w:rPr>
        <w:t xml:space="preserve">dmisibilidad. </w:t>
      </w:r>
      <w:r>
        <w:rPr>
          <w:sz w:val="16"/>
          <w:szCs w:val="16"/>
        </w:rPr>
        <w:t>Masacre El Mozote</w:t>
      </w:r>
      <w:r w:rsidRPr="00740D91">
        <w:rPr>
          <w:sz w:val="16"/>
          <w:szCs w:val="16"/>
        </w:rPr>
        <w:t>.</w:t>
      </w:r>
      <w:r>
        <w:rPr>
          <w:sz w:val="16"/>
          <w:szCs w:val="16"/>
        </w:rPr>
        <w:t xml:space="preserve"> El Salvador.</w:t>
      </w:r>
      <w:r w:rsidRPr="00740D91">
        <w:rPr>
          <w:sz w:val="16"/>
          <w:szCs w:val="16"/>
        </w:rPr>
        <w:t xml:space="preserve"> </w:t>
      </w:r>
      <w:r>
        <w:rPr>
          <w:sz w:val="16"/>
          <w:szCs w:val="16"/>
        </w:rPr>
        <w:t>2 de marzo de 2006</w:t>
      </w:r>
      <w:r w:rsidRPr="00740D91">
        <w:rPr>
          <w:sz w:val="16"/>
          <w:szCs w:val="16"/>
        </w:rPr>
        <w:t xml:space="preserve">, párr. </w:t>
      </w:r>
      <w:r>
        <w:rPr>
          <w:sz w:val="16"/>
          <w:szCs w:val="16"/>
        </w:rPr>
        <w:t>35</w:t>
      </w:r>
      <w:r w:rsidRPr="00740D91">
        <w:rPr>
          <w:sz w:val="16"/>
          <w:szCs w:val="16"/>
        </w:rPr>
        <w:t>.</w:t>
      </w:r>
    </w:p>
  </w:footnote>
  <w:footnote w:id="9">
    <w:p w14:paraId="459B87F8" w14:textId="77777777" w:rsidR="00342746" w:rsidRPr="0068552D" w:rsidRDefault="00342746" w:rsidP="0040613C">
      <w:pPr>
        <w:pStyle w:val="FootnoteText"/>
        <w:ind w:left="720" w:firstLine="720"/>
        <w:jc w:val="both"/>
        <w:rPr>
          <w:sz w:val="16"/>
          <w:szCs w:val="16"/>
        </w:rPr>
      </w:pPr>
      <w:r w:rsidRPr="0068552D">
        <w:rPr>
          <w:rStyle w:val="FootnoteReference"/>
          <w:sz w:val="16"/>
          <w:szCs w:val="16"/>
        </w:rPr>
        <w:footnoteRef/>
      </w:r>
      <w:r w:rsidRPr="0040613C">
        <w:rPr>
          <w:sz w:val="16"/>
          <w:szCs w:val="16"/>
          <w:lang w:val="es-419"/>
        </w:rPr>
        <w:t xml:space="preserve"> Cf., </w:t>
      </w:r>
      <w:r w:rsidRPr="0040613C">
        <w:rPr>
          <w:i/>
          <w:iCs/>
          <w:sz w:val="16"/>
          <w:szCs w:val="16"/>
          <w:lang w:val="es-419"/>
        </w:rPr>
        <w:t>v.g.</w:t>
      </w:r>
      <w:r w:rsidRPr="0040613C">
        <w:rPr>
          <w:sz w:val="16"/>
          <w:szCs w:val="16"/>
          <w:lang w:val="es-419"/>
        </w:rPr>
        <w:t xml:space="preserve">, CIDH, Informe No. 70/19. </w:t>
      </w:r>
      <w:r w:rsidRPr="00F579FA">
        <w:rPr>
          <w:sz w:val="16"/>
          <w:szCs w:val="16"/>
        </w:rPr>
        <w:t xml:space="preserve">Petición 858-09. </w:t>
      </w:r>
      <w:r w:rsidRPr="0040613C">
        <w:rPr>
          <w:sz w:val="16"/>
          <w:szCs w:val="16"/>
          <w:lang w:val="pt-BR"/>
        </w:rPr>
        <w:t xml:space="preserve">Admisibilidad. Luiz José da Cunha “Crioulo” y familia. Brasil. </w:t>
      </w:r>
      <w:r w:rsidRPr="00371496">
        <w:rPr>
          <w:sz w:val="16"/>
          <w:szCs w:val="16"/>
        </w:rPr>
        <w:t>5 de mayo de 2019, párr. 8.</w:t>
      </w:r>
    </w:p>
  </w:footnote>
  <w:footnote w:id="10">
    <w:p w14:paraId="69F6815A" w14:textId="77777777" w:rsidR="00DD7D3D" w:rsidRPr="0068552D" w:rsidRDefault="00DD7D3D" w:rsidP="0040613C">
      <w:pPr>
        <w:pStyle w:val="FootnoteText"/>
        <w:ind w:left="720" w:firstLine="720"/>
        <w:jc w:val="both"/>
        <w:rPr>
          <w:sz w:val="16"/>
          <w:szCs w:val="16"/>
        </w:rPr>
      </w:pPr>
      <w:r w:rsidRPr="0068552D">
        <w:rPr>
          <w:rStyle w:val="FootnoteReference"/>
          <w:sz w:val="16"/>
          <w:szCs w:val="16"/>
        </w:rPr>
        <w:footnoteRef/>
      </w:r>
      <w:r w:rsidRPr="0068552D">
        <w:rPr>
          <w:sz w:val="16"/>
          <w:szCs w:val="16"/>
        </w:rPr>
        <w:t xml:space="preserve"> Cf.,</w:t>
      </w:r>
      <w:r>
        <w:rPr>
          <w:sz w:val="16"/>
          <w:szCs w:val="16"/>
        </w:rPr>
        <w:t xml:space="preserve"> </w:t>
      </w:r>
      <w:r w:rsidRPr="00E91AC4">
        <w:rPr>
          <w:i/>
          <w:iCs/>
          <w:sz w:val="16"/>
          <w:szCs w:val="16"/>
        </w:rPr>
        <w:t>e.g.</w:t>
      </w:r>
      <w:r>
        <w:rPr>
          <w:sz w:val="16"/>
          <w:szCs w:val="16"/>
        </w:rPr>
        <w:t>,</w:t>
      </w:r>
      <w:r w:rsidRPr="0068552D">
        <w:rPr>
          <w:sz w:val="16"/>
          <w:szCs w:val="16"/>
        </w:rPr>
        <w:t xml:space="preserve"> </w:t>
      </w:r>
      <w:r w:rsidRPr="00740D91">
        <w:rPr>
          <w:sz w:val="16"/>
          <w:szCs w:val="16"/>
        </w:rPr>
        <w:t xml:space="preserve">CIDH, Informe No. </w:t>
      </w:r>
      <w:r>
        <w:rPr>
          <w:sz w:val="16"/>
          <w:szCs w:val="16"/>
        </w:rPr>
        <w:t>11</w:t>
      </w:r>
      <w:r w:rsidRPr="00740D91">
        <w:rPr>
          <w:sz w:val="16"/>
          <w:szCs w:val="16"/>
        </w:rPr>
        <w:t>/</w:t>
      </w:r>
      <w:r>
        <w:rPr>
          <w:sz w:val="16"/>
          <w:szCs w:val="16"/>
        </w:rPr>
        <w:t>05</w:t>
      </w:r>
      <w:r w:rsidRPr="00740D91">
        <w:rPr>
          <w:sz w:val="16"/>
          <w:szCs w:val="16"/>
        </w:rPr>
        <w:t xml:space="preserve">, Petición </w:t>
      </w:r>
      <w:r>
        <w:rPr>
          <w:sz w:val="16"/>
          <w:szCs w:val="16"/>
        </w:rPr>
        <w:t>708</w:t>
      </w:r>
      <w:r w:rsidRPr="00740D91">
        <w:rPr>
          <w:sz w:val="16"/>
          <w:szCs w:val="16"/>
        </w:rPr>
        <w:t xml:space="preserve">-03. </w:t>
      </w:r>
      <w:r>
        <w:rPr>
          <w:sz w:val="16"/>
          <w:szCs w:val="16"/>
        </w:rPr>
        <w:t>A</w:t>
      </w:r>
      <w:r w:rsidRPr="00740D91">
        <w:rPr>
          <w:sz w:val="16"/>
          <w:szCs w:val="16"/>
        </w:rPr>
        <w:t xml:space="preserve">dmisibilidad. </w:t>
      </w:r>
      <w:r>
        <w:rPr>
          <w:sz w:val="16"/>
          <w:szCs w:val="16"/>
        </w:rPr>
        <w:t>Gregoria Herminia, Serapio Cristián y Julia Inés Contreras</w:t>
      </w:r>
      <w:r w:rsidRPr="00740D91">
        <w:rPr>
          <w:sz w:val="16"/>
          <w:szCs w:val="16"/>
        </w:rPr>
        <w:t>.</w:t>
      </w:r>
      <w:r>
        <w:rPr>
          <w:sz w:val="16"/>
          <w:szCs w:val="16"/>
        </w:rPr>
        <w:t xml:space="preserve"> El Salvador.</w:t>
      </w:r>
      <w:r w:rsidRPr="00740D91">
        <w:rPr>
          <w:sz w:val="16"/>
          <w:szCs w:val="16"/>
        </w:rPr>
        <w:t xml:space="preserve"> </w:t>
      </w:r>
      <w:r>
        <w:rPr>
          <w:sz w:val="16"/>
          <w:szCs w:val="16"/>
        </w:rPr>
        <w:t>23 de febrero de 2005</w:t>
      </w:r>
      <w:r w:rsidRPr="00740D91">
        <w:rPr>
          <w:sz w:val="16"/>
          <w:szCs w:val="16"/>
        </w:rPr>
        <w:t xml:space="preserve">, párr. </w:t>
      </w:r>
      <w:r>
        <w:rPr>
          <w:sz w:val="16"/>
          <w:szCs w:val="16"/>
        </w:rPr>
        <w:t xml:space="preserve">36-37; </w:t>
      </w:r>
      <w:r w:rsidRPr="00740D91">
        <w:rPr>
          <w:sz w:val="16"/>
          <w:szCs w:val="16"/>
        </w:rPr>
        <w:t xml:space="preserve">CIDH, Informe No. </w:t>
      </w:r>
      <w:r>
        <w:rPr>
          <w:sz w:val="16"/>
          <w:szCs w:val="16"/>
        </w:rPr>
        <w:t>24</w:t>
      </w:r>
      <w:r w:rsidRPr="00740D91">
        <w:rPr>
          <w:sz w:val="16"/>
          <w:szCs w:val="16"/>
        </w:rPr>
        <w:t>/</w:t>
      </w:r>
      <w:r>
        <w:rPr>
          <w:sz w:val="16"/>
          <w:szCs w:val="16"/>
        </w:rPr>
        <w:t>06</w:t>
      </w:r>
      <w:r w:rsidRPr="00740D91">
        <w:rPr>
          <w:sz w:val="16"/>
          <w:szCs w:val="16"/>
        </w:rPr>
        <w:t xml:space="preserve">, Petición </w:t>
      </w:r>
      <w:r>
        <w:rPr>
          <w:sz w:val="16"/>
          <w:szCs w:val="16"/>
        </w:rPr>
        <w:t>10.720</w:t>
      </w:r>
      <w:r w:rsidRPr="00740D91">
        <w:rPr>
          <w:sz w:val="16"/>
          <w:szCs w:val="16"/>
        </w:rPr>
        <w:t xml:space="preserve">. </w:t>
      </w:r>
      <w:r>
        <w:rPr>
          <w:sz w:val="16"/>
          <w:szCs w:val="16"/>
        </w:rPr>
        <w:t>A</w:t>
      </w:r>
      <w:r w:rsidRPr="00740D91">
        <w:rPr>
          <w:sz w:val="16"/>
          <w:szCs w:val="16"/>
        </w:rPr>
        <w:t xml:space="preserve">dmisibilidad. </w:t>
      </w:r>
      <w:r>
        <w:rPr>
          <w:sz w:val="16"/>
          <w:szCs w:val="16"/>
        </w:rPr>
        <w:t>Masacre El Mozote</w:t>
      </w:r>
      <w:r w:rsidRPr="00740D91">
        <w:rPr>
          <w:sz w:val="16"/>
          <w:szCs w:val="16"/>
        </w:rPr>
        <w:t>.</w:t>
      </w:r>
      <w:r>
        <w:rPr>
          <w:sz w:val="16"/>
          <w:szCs w:val="16"/>
        </w:rPr>
        <w:t xml:space="preserve"> El Salvador.</w:t>
      </w:r>
      <w:r w:rsidRPr="00740D91">
        <w:rPr>
          <w:sz w:val="16"/>
          <w:szCs w:val="16"/>
        </w:rPr>
        <w:t xml:space="preserve"> </w:t>
      </w:r>
      <w:r>
        <w:rPr>
          <w:sz w:val="16"/>
          <w:szCs w:val="16"/>
        </w:rPr>
        <w:t>2 de marzo de 2006</w:t>
      </w:r>
      <w:r w:rsidRPr="00740D91">
        <w:rPr>
          <w:sz w:val="16"/>
          <w:szCs w:val="16"/>
        </w:rPr>
        <w:t xml:space="preserve">, párr. </w:t>
      </w:r>
      <w:r>
        <w:rPr>
          <w:sz w:val="16"/>
          <w:szCs w:val="16"/>
        </w:rPr>
        <w:t>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5385" w14:textId="77777777" w:rsidR="00C67306" w:rsidRDefault="00C67306" w:rsidP="00C67306">
    <w:pPr>
      <w:pStyle w:val="Header"/>
      <w:jc w:val="center"/>
    </w:pPr>
    <w:r>
      <w:rPr>
        <w:noProof/>
      </w:rPr>
      <w:drawing>
        <wp:inline distT="0" distB="0" distL="0" distR="0" wp14:anchorId="395BA969" wp14:editId="0C7F00A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2EAEB8E" w14:textId="77777777" w:rsidR="00C67306" w:rsidRPr="00EC7D62" w:rsidRDefault="009E3897" w:rsidP="00C67306">
    <w:pPr>
      <w:pStyle w:val="Header"/>
      <w:jc w:val="center"/>
    </w:pPr>
    <w:r>
      <w:rPr>
        <w:noProof/>
        <w:bdr w:val="nil"/>
      </w:rPr>
      <w:pict w14:anchorId="7C5B2188">
        <v:rect id="_x0000_i1025" alt="" style="width:468pt;height:.05pt;mso-width-percent:0;mso-height-percent:0;mso-width-percent:0;mso-height-percent:0" o:hralign="center" o:hrstd="t" o:hr="t" fillcolor="#a0a0a0" stroked="f"/>
      </w:pict>
    </w:r>
  </w:p>
  <w:p w14:paraId="32227360" w14:textId="77777777" w:rsidR="00C67306" w:rsidRDefault="00C6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5D"/>
    <w:multiLevelType w:val="hybridMultilevel"/>
    <w:tmpl w:val="90081536"/>
    <w:lvl w:ilvl="0" w:tplc="4DFE5B5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6015C6"/>
    <w:multiLevelType w:val="hybridMultilevel"/>
    <w:tmpl w:val="E65E2B94"/>
    <w:lvl w:ilvl="0" w:tplc="581E13C0">
      <w:start w:val="15"/>
      <w:numFmt w:val="upperRoman"/>
      <w:lvlText w:val="%1."/>
      <w:lvlJc w:val="left"/>
      <w:pPr>
        <w:ind w:left="1170" w:hanging="720"/>
      </w:pPr>
      <w:rPr>
        <w:rFonts w:ascii="Cambria" w:eastAsia="Cambria" w:hAnsi="Cambria" w:cs="Cambria"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3" w15:restartNumberingAfterBreak="0">
    <w:nsid w:val="1AA60F95"/>
    <w:multiLevelType w:val="hybridMultilevel"/>
    <w:tmpl w:val="0C6E3040"/>
    <w:lvl w:ilvl="0" w:tplc="535E9C72">
      <w:start w:val="1"/>
      <w:numFmt w:val="decimal"/>
      <w:lvlText w:val="%1."/>
      <w:lvlJc w:val="left"/>
      <w:pPr>
        <w:ind w:left="759" w:hanging="720"/>
      </w:pPr>
      <w:rPr>
        <w:rFonts w:hint="default"/>
        <w:w w:val="99"/>
        <w:lang w:val="es-ES" w:eastAsia="es-ES" w:bidi="es-ES"/>
      </w:rPr>
    </w:lvl>
    <w:lvl w:ilvl="1" w:tplc="5DA4F3E2">
      <w:numFmt w:val="bullet"/>
      <w:lvlText w:val="•"/>
      <w:lvlJc w:val="left"/>
      <w:pPr>
        <w:ind w:left="1726" w:hanging="720"/>
      </w:pPr>
      <w:rPr>
        <w:rFonts w:hint="default"/>
        <w:lang w:val="es-ES" w:eastAsia="es-ES" w:bidi="es-ES"/>
      </w:rPr>
    </w:lvl>
    <w:lvl w:ilvl="2" w:tplc="CB9EF8D2">
      <w:numFmt w:val="bullet"/>
      <w:lvlText w:val="•"/>
      <w:lvlJc w:val="left"/>
      <w:pPr>
        <w:ind w:left="2692" w:hanging="720"/>
      </w:pPr>
      <w:rPr>
        <w:rFonts w:hint="default"/>
        <w:lang w:val="es-ES" w:eastAsia="es-ES" w:bidi="es-ES"/>
      </w:rPr>
    </w:lvl>
    <w:lvl w:ilvl="3" w:tplc="2C04E2E8">
      <w:numFmt w:val="bullet"/>
      <w:lvlText w:val="•"/>
      <w:lvlJc w:val="left"/>
      <w:pPr>
        <w:ind w:left="3658" w:hanging="720"/>
      </w:pPr>
      <w:rPr>
        <w:rFonts w:hint="default"/>
        <w:lang w:val="es-ES" w:eastAsia="es-ES" w:bidi="es-ES"/>
      </w:rPr>
    </w:lvl>
    <w:lvl w:ilvl="4" w:tplc="84D8DBA4">
      <w:numFmt w:val="bullet"/>
      <w:lvlText w:val="•"/>
      <w:lvlJc w:val="left"/>
      <w:pPr>
        <w:ind w:left="4624" w:hanging="720"/>
      </w:pPr>
      <w:rPr>
        <w:rFonts w:hint="default"/>
        <w:lang w:val="es-ES" w:eastAsia="es-ES" w:bidi="es-ES"/>
      </w:rPr>
    </w:lvl>
    <w:lvl w:ilvl="5" w:tplc="D890C6F6">
      <w:numFmt w:val="bullet"/>
      <w:lvlText w:val="•"/>
      <w:lvlJc w:val="left"/>
      <w:pPr>
        <w:ind w:left="5590" w:hanging="720"/>
      </w:pPr>
      <w:rPr>
        <w:rFonts w:hint="default"/>
        <w:lang w:val="es-ES" w:eastAsia="es-ES" w:bidi="es-ES"/>
      </w:rPr>
    </w:lvl>
    <w:lvl w:ilvl="6" w:tplc="49885676">
      <w:numFmt w:val="bullet"/>
      <w:lvlText w:val="•"/>
      <w:lvlJc w:val="left"/>
      <w:pPr>
        <w:ind w:left="6556" w:hanging="720"/>
      </w:pPr>
      <w:rPr>
        <w:rFonts w:hint="default"/>
        <w:lang w:val="es-ES" w:eastAsia="es-ES" w:bidi="es-ES"/>
      </w:rPr>
    </w:lvl>
    <w:lvl w:ilvl="7" w:tplc="8132EC28">
      <w:numFmt w:val="bullet"/>
      <w:lvlText w:val="•"/>
      <w:lvlJc w:val="left"/>
      <w:pPr>
        <w:ind w:left="7522" w:hanging="720"/>
      </w:pPr>
      <w:rPr>
        <w:rFonts w:hint="default"/>
        <w:lang w:val="es-ES" w:eastAsia="es-ES" w:bidi="es-ES"/>
      </w:rPr>
    </w:lvl>
    <w:lvl w:ilvl="8" w:tplc="6A825AF6">
      <w:numFmt w:val="bullet"/>
      <w:lvlText w:val="•"/>
      <w:lvlJc w:val="left"/>
      <w:pPr>
        <w:ind w:left="8488" w:hanging="720"/>
      </w:pPr>
      <w:rPr>
        <w:rFonts w:hint="default"/>
        <w:lang w:val="es-ES" w:eastAsia="es-ES" w:bidi="es-ES"/>
      </w:rPr>
    </w:lvl>
  </w:abstractNum>
  <w:abstractNum w:abstractNumId="4" w15:restartNumberingAfterBreak="0">
    <w:nsid w:val="1BEF6253"/>
    <w:multiLevelType w:val="hybridMultilevel"/>
    <w:tmpl w:val="92F40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6" w15:restartNumberingAfterBreak="0">
    <w:nsid w:val="64486C16"/>
    <w:multiLevelType w:val="hybridMultilevel"/>
    <w:tmpl w:val="16FE8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001150"/>
    <w:multiLevelType w:val="hybridMultilevel"/>
    <w:tmpl w:val="039E1F7C"/>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F"/>
    <w:rsid w:val="00001ECC"/>
    <w:rsid w:val="00022A0F"/>
    <w:rsid w:val="00035FF1"/>
    <w:rsid w:val="000B0EA8"/>
    <w:rsid w:val="000D7C43"/>
    <w:rsid w:val="000E20AA"/>
    <w:rsid w:val="000E5323"/>
    <w:rsid w:val="000F1EF6"/>
    <w:rsid w:val="000F61B8"/>
    <w:rsid w:val="00113C4F"/>
    <w:rsid w:val="00116B0C"/>
    <w:rsid w:val="001223F2"/>
    <w:rsid w:val="001365D7"/>
    <w:rsid w:val="001732A9"/>
    <w:rsid w:val="00182D26"/>
    <w:rsid w:val="001E152B"/>
    <w:rsid w:val="002126CD"/>
    <w:rsid w:val="00220FFB"/>
    <w:rsid w:val="002569D9"/>
    <w:rsid w:val="0026469F"/>
    <w:rsid w:val="002656BF"/>
    <w:rsid w:val="002750C4"/>
    <w:rsid w:val="002B20F1"/>
    <w:rsid w:val="002D63E7"/>
    <w:rsid w:val="002E3ABF"/>
    <w:rsid w:val="0032337A"/>
    <w:rsid w:val="00327A12"/>
    <w:rsid w:val="00333914"/>
    <w:rsid w:val="003411B6"/>
    <w:rsid w:val="00342746"/>
    <w:rsid w:val="00344681"/>
    <w:rsid w:val="00350045"/>
    <w:rsid w:val="00356753"/>
    <w:rsid w:val="00362ADC"/>
    <w:rsid w:val="00371496"/>
    <w:rsid w:val="00373BFD"/>
    <w:rsid w:val="00384195"/>
    <w:rsid w:val="003B0E17"/>
    <w:rsid w:val="003B548D"/>
    <w:rsid w:val="0040613C"/>
    <w:rsid w:val="00480AD1"/>
    <w:rsid w:val="00484D2D"/>
    <w:rsid w:val="00486513"/>
    <w:rsid w:val="004A23BC"/>
    <w:rsid w:val="004A4F3A"/>
    <w:rsid w:val="004A6D26"/>
    <w:rsid w:val="004E22EB"/>
    <w:rsid w:val="004E61BD"/>
    <w:rsid w:val="0053334E"/>
    <w:rsid w:val="00536852"/>
    <w:rsid w:val="0054166D"/>
    <w:rsid w:val="0054336E"/>
    <w:rsid w:val="00564824"/>
    <w:rsid w:val="005A23E7"/>
    <w:rsid w:val="005A605B"/>
    <w:rsid w:val="005E4037"/>
    <w:rsid w:val="00652350"/>
    <w:rsid w:val="00664365"/>
    <w:rsid w:val="006832C4"/>
    <w:rsid w:val="006844C1"/>
    <w:rsid w:val="0068552D"/>
    <w:rsid w:val="006856C3"/>
    <w:rsid w:val="006C32F9"/>
    <w:rsid w:val="0071323A"/>
    <w:rsid w:val="007206F8"/>
    <w:rsid w:val="00726DAC"/>
    <w:rsid w:val="0073451E"/>
    <w:rsid w:val="00740D91"/>
    <w:rsid w:val="0075545F"/>
    <w:rsid w:val="007A336B"/>
    <w:rsid w:val="007C701B"/>
    <w:rsid w:val="007D4CB4"/>
    <w:rsid w:val="007E5BC2"/>
    <w:rsid w:val="00807BF6"/>
    <w:rsid w:val="00812B49"/>
    <w:rsid w:val="008818E3"/>
    <w:rsid w:val="008D0910"/>
    <w:rsid w:val="008D5132"/>
    <w:rsid w:val="0090139E"/>
    <w:rsid w:val="00904A45"/>
    <w:rsid w:val="00910A7B"/>
    <w:rsid w:val="0091162B"/>
    <w:rsid w:val="00916D1F"/>
    <w:rsid w:val="009176FC"/>
    <w:rsid w:val="00920309"/>
    <w:rsid w:val="00925902"/>
    <w:rsid w:val="00987AEF"/>
    <w:rsid w:val="009A3D5B"/>
    <w:rsid w:val="009A7017"/>
    <w:rsid w:val="009B2EA2"/>
    <w:rsid w:val="009C4491"/>
    <w:rsid w:val="009D1656"/>
    <w:rsid w:val="009E3897"/>
    <w:rsid w:val="009E39F2"/>
    <w:rsid w:val="00A11353"/>
    <w:rsid w:val="00A30CFC"/>
    <w:rsid w:val="00A407A3"/>
    <w:rsid w:val="00A65F54"/>
    <w:rsid w:val="00A660B6"/>
    <w:rsid w:val="00A71D96"/>
    <w:rsid w:val="00A917ED"/>
    <w:rsid w:val="00AE33A2"/>
    <w:rsid w:val="00AE6BA9"/>
    <w:rsid w:val="00B26D9D"/>
    <w:rsid w:val="00B40AED"/>
    <w:rsid w:val="00B610FB"/>
    <w:rsid w:val="00BA6930"/>
    <w:rsid w:val="00BB0A0E"/>
    <w:rsid w:val="00BD238C"/>
    <w:rsid w:val="00BE5630"/>
    <w:rsid w:val="00BF15ED"/>
    <w:rsid w:val="00C02C7F"/>
    <w:rsid w:val="00C42F6F"/>
    <w:rsid w:val="00C63D9F"/>
    <w:rsid w:val="00C67306"/>
    <w:rsid w:val="00C76963"/>
    <w:rsid w:val="00C93CAD"/>
    <w:rsid w:val="00CA4FB9"/>
    <w:rsid w:val="00CD00E9"/>
    <w:rsid w:val="00CE19C2"/>
    <w:rsid w:val="00CE2971"/>
    <w:rsid w:val="00CF138C"/>
    <w:rsid w:val="00CF6E5B"/>
    <w:rsid w:val="00D07F20"/>
    <w:rsid w:val="00D36EB2"/>
    <w:rsid w:val="00D406D7"/>
    <w:rsid w:val="00D45647"/>
    <w:rsid w:val="00D805E4"/>
    <w:rsid w:val="00DA43B2"/>
    <w:rsid w:val="00DD1A15"/>
    <w:rsid w:val="00DD7D3D"/>
    <w:rsid w:val="00DE582E"/>
    <w:rsid w:val="00E05DC5"/>
    <w:rsid w:val="00E54756"/>
    <w:rsid w:val="00E7546C"/>
    <w:rsid w:val="00E80E1F"/>
    <w:rsid w:val="00E818F9"/>
    <w:rsid w:val="00E8638A"/>
    <w:rsid w:val="00E86A6E"/>
    <w:rsid w:val="00E91AC4"/>
    <w:rsid w:val="00E967F5"/>
    <w:rsid w:val="00EC0904"/>
    <w:rsid w:val="00ED5706"/>
    <w:rsid w:val="00EE7BDA"/>
    <w:rsid w:val="00F14654"/>
    <w:rsid w:val="00F579FA"/>
    <w:rsid w:val="00F64563"/>
    <w:rsid w:val="00F75FF5"/>
    <w:rsid w:val="00F8328C"/>
    <w:rsid w:val="00FF4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eastAsia="es-ES" w:bidi="es-ES"/>
    </w:rPr>
  </w:style>
  <w:style w:type="paragraph" w:styleId="Heading1">
    <w:name w:val="heading 1"/>
    <w:basedOn w:val="Normal"/>
    <w:uiPriority w:val="9"/>
    <w:qFormat/>
    <w:pPr>
      <w:ind w:left="3040"/>
      <w:outlineLvl w:val="0"/>
    </w:pPr>
    <w:rPr>
      <w:sz w:val="24"/>
      <w:szCs w:val="24"/>
    </w:rPr>
  </w:style>
  <w:style w:type="paragraph" w:styleId="Heading2">
    <w:name w:val="heading 2"/>
    <w:basedOn w:val="Normal"/>
    <w:uiPriority w:val="9"/>
    <w:unhideWhenUsed/>
    <w:qFormat/>
    <w:pPr>
      <w:spacing w:before="122"/>
      <w:ind w:left="2199"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758" w:hanging="721"/>
      <w:jc w:val="both"/>
    </w:pPr>
  </w:style>
  <w:style w:type="paragraph" w:customStyle="1" w:styleId="TableParagraph">
    <w:name w:val="Table Paragraph"/>
    <w:basedOn w:val="Normal"/>
    <w:uiPriority w:val="1"/>
    <w:qFormat/>
    <w:pPr>
      <w:spacing w:line="203" w:lineRule="exact"/>
      <w:ind w:left="105"/>
    </w:pPr>
  </w:style>
  <w:style w:type="paragraph" w:styleId="Header">
    <w:name w:val="header"/>
    <w:aliases w:val="encabezado"/>
    <w:basedOn w:val="Normal"/>
    <w:link w:val="HeaderChar"/>
    <w:unhideWhenUsed/>
    <w:rsid w:val="00035FF1"/>
    <w:pPr>
      <w:tabs>
        <w:tab w:val="center" w:pos="4252"/>
        <w:tab w:val="right" w:pos="8504"/>
      </w:tabs>
    </w:pPr>
  </w:style>
  <w:style w:type="character" w:customStyle="1" w:styleId="HeaderChar">
    <w:name w:val="Header Char"/>
    <w:aliases w:val="encabezado Char"/>
    <w:basedOn w:val="DefaultParagraphFont"/>
    <w:link w:val="Header"/>
    <w:uiPriority w:val="99"/>
    <w:rsid w:val="00035FF1"/>
    <w:rPr>
      <w:rFonts w:ascii="Cambria" w:eastAsia="Cambria" w:hAnsi="Cambria" w:cs="Cambria"/>
      <w:lang w:val="es-ES" w:eastAsia="es-ES" w:bidi="es-ES"/>
    </w:rPr>
  </w:style>
  <w:style w:type="paragraph" w:styleId="Footer">
    <w:name w:val="footer"/>
    <w:basedOn w:val="Normal"/>
    <w:link w:val="FooterChar"/>
    <w:uiPriority w:val="99"/>
    <w:unhideWhenUsed/>
    <w:rsid w:val="00035FF1"/>
    <w:pPr>
      <w:tabs>
        <w:tab w:val="center" w:pos="4252"/>
        <w:tab w:val="right" w:pos="8504"/>
      </w:tabs>
    </w:pPr>
  </w:style>
  <w:style w:type="character" w:customStyle="1" w:styleId="FooterChar">
    <w:name w:val="Footer Char"/>
    <w:basedOn w:val="DefaultParagraphFont"/>
    <w:link w:val="Footer"/>
    <w:uiPriority w:val="99"/>
    <w:rsid w:val="00035FF1"/>
    <w:rPr>
      <w:rFonts w:ascii="Cambria" w:eastAsia="Cambria" w:hAnsi="Cambria" w:cs="Cambria"/>
      <w:lang w:val="es-ES" w:eastAsia="es-ES" w:bidi="es-ES"/>
    </w:rPr>
  </w:style>
  <w:style w:type="paragraph" w:styleId="FootnoteText">
    <w:name w:val="footnote text"/>
    <w:basedOn w:val="Normal"/>
    <w:link w:val="FootnoteTextChar"/>
    <w:uiPriority w:val="99"/>
    <w:semiHidden/>
    <w:unhideWhenUsed/>
    <w:rsid w:val="00536852"/>
    <w:rPr>
      <w:sz w:val="20"/>
      <w:szCs w:val="20"/>
    </w:rPr>
  </w:style>
  <w:style w:type="character" w:customStyle="1" w:styleId="FootnoteTextChar">
    <w:name w:val="Footnote Text Char"/>
    <w:basedOn w:val="DefaultParagraphFont"/>
    <w:link w:val="FootnoteText"/>
    <w:uiPriority w:val="99"/>
    <w:semiHidden/>
    <w:rsid w:val="00536852"/>
    <w:rPr>
      <w:rFonts w:ascii="Cambria" w:eastAsia="Cambria" w:hAnsi="Cambria" w:cs="Cambria"/>
      <w:sz w:val="20"/>
      <w:szCs w:val="20"/>
      <w:lang w:val="es-ES" w:eastAsia="es-ES" w:bidi="es-ES"/>
    </w:rPr>
  </w:style>
  <w:style w:type="character" w:styleId="FootnoteReference">
    <w:name w:val="footnote reference"/>
    <w:basedOn w:val="DefaultParagraphFont"/>
    <w:uiPriority w:val="99"/>
    <w:semiHidden/>
    <w:unhideWhenUsed/>
    <w:rsid w:val="00536852"/>
    <w:rPr>
      <w:vertAlign w:val="superscript"/>
    </w:rPr>
  </w:style>
  <w:style w:type="character" w:styleId="Hyperlink">
    <w:name w:val="Hyperlink"/>
    <w:basedOn w:val="DefaultParagraphFont"/>
    <w:uiPriority w:val="99"/>
    <w:unhideWhenUsed/>
    <w:rsid w:val="00664365"/>
    <w:rPr>
      <w:color w:val="0000FF" w:themeColor="hyperlink"/>
      <w:u w:val="single"/>
    </w:rPr>
  </w:style>
  <w:style w:type="character" w:styleId="UnresolvedMention">
    <w:name w:val="Unresolved Mention"/>
    <w:basedOn w:val="DefaultParagraphFont"/>
    <w:uiPriority w:val="99"/>
    <w:semiHidden/>
    <w:unhideWhenUsed/>
    <w:rsid w:val="00664365"/>
    <w:rPr>
      <w:color w:val="605E5C"/>
      <w:shd w:val="clear" w:color="auto" w:fill="E1DFDD"/>
    </w:rPr>
  </w:style>
  <w:style w:type="paragraph" w:styleId="BodyTextIndent3">
    <w:name w:val="Body Text Indent 3"/>
    <w:basedOn w:val="Normal"/>
    <w:link w:val="BodyTextIndent3Char"/>
    <w:uiPriority w:val="99"/>
    <w:semiHidden/>
    <w:unhideWhenUsed/>
    <w:rsid w:val="00EC09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0904"/>
    <w:rPr>
      <w:rFonts w:ascii="Cambria" w:eastAsia="Cambria" w:hAnsi="Cambria" w:cs="Cambri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8740">
      <w:bodyDiv w:val="1"/>
      <w:marLeft w:val="0"/>
      <w:marRight w:val="0"/>
      <w:marTop w:val="0"/>
      <w:marBottom w:val="0"/>
      <w:divBdr>
        <w:top w:val="none" w:sz="0" w:space="0" w:color="auto"/>
        <w:left w:val="none" w:sz="0" w:space="0" w:color="auto"/>
        <w:bottom w:val="none" w:sz="0" w:space="0" w:color="auto"/>
        <w:right w:val="none" w:sz="0" w:space="0" w:color="auto"/>
      </w:divBdr>
    </w:div>
    <w:div w:id="1542861999">
      <w:bodyDiv w:val="1"/>
      <w:marLeft w:val="0"/>
      <w:marRight w:val="0"/>
      <w:marTop w:val="0"/>
      <w:marBottom w:val="0"/>
      <w:divBdr>
        <w:top w:val="none" w:sz="0" w:space="0" w:color="auto"/>
        <w:left w:val="none" w:sz="0" w:space="0" w:color="auto"/>
        <w:bottom w:val="none" w:sz="0" w:space="0" w:color="auto"/>
        <w:right w:val="none" w:sz="0" w:space="0" w:color="auto"/>
      </w:divBdr>
    </w:div>
    <w:div w:id="186339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d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id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4008-1979-42AE-895B-54B469C6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11109</Characters>
  <Application>Microsoft Office Word</Application>
  <DocSecurity>0</DocSecurity>
  <Lines>236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277/21</dc:title>
  <dc:creator/>
  <cp:lastModifiedBy/>
  <cp:revision>1</cp:revision>
  <dcterms:created xsi:type="dcterms:W3CDTF">2021-12-06T20:31:00Z</dcterms:created>
  <dcterms:modified xsi:type="dcterms:W3CDTF">2021-12-06T20:31:00Z</dcterms:modified>
</cp:coreProperties>
</file>