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F803D0" w:rsidRDefault="00D306D1" w:rsidP="00627C9F">
      <w:pPr>
        <w:jc w:val="both"/>
        <w:rPr>
          <w:rFonts w:asciiTheme="majorHAnsi" w:hAnsiTheme="majorHAnsi" w:cs="Univers"/>
          <w:b/>
          <w:bCs/>
          <w:sz w:val="22"/>
          <w:szCs w:val="22"/>
          <w:lang w:val="es-ES"/>
        </w:rPr>
      </w:pPr>
      <w:r w:rsidRPr="00F803D0">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E555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803D0">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511EE" w:rsidRDefault="000511EE"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0511EE" w:rsidRDefault="000511EE"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F803D0"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F803D0"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F803D0" w:rsidRDefault="005128E4" w:rsidP="00040C3A">
      <w:pPr>
        <w:tabs>
          <w:tab w:val="center" w:pos="5400"/>
        </w:tabs>
        <w:suppressAutoHyphens/>
        <w:rPr>
          <w:rFonts w:asciiTheme="majorHAnsi" w:hAnsiTheme="majorHAnsi"/>
          <w:sz w:val="22"/>
          <w:szCs w:val="22"/>
          <w:lang w:val="es-ES"/>
        </w:rPr>
      </w:pPr>
    </w:p>
    <w:p w14:paraId="12A36B24" w14:textId="77777777" w:rsidR="005128E4" w:rsidRPr="00F803D0" w:rsidRDefault="005128E4" w:rsidP="00040C3A">
      <w:pPr>
        <w:tabs>
          <w:tab w:val="center" w:pos="5400"/>
        </w:tabs>
        <w:suppressAutoHyphens/>
        <w:rPr>
          <w:rFonts w:asciiTheme="majorHAnsi" w:hAnsiTheme="majorHAnsi"/>
          <w:sz w:val="22"/>
          <w:szCs w:val="22"/>
          <w:lang w:val="es-ES"/>
        </w:rPr>
      </w:pPr>
    </w:p>
    <w:p w14:paraId="2252093D" w14:textId="77777777" w:rsidR="005128E4" w:rsidRPr="00F803D0" w:rsidRDefault="005128E4" w:rsidP="00040C3A">
      <w:pPr>
        <w:tabs>
          <w:tab w:val="center" w:pos="5400"/>
        </w:tabs>
        <w:suppressAutoHyphens/>
        <w:rPr>
          <w:rFonts w:asciiTheme="majorHAnsi" w:hAnsiTheme="majorHAnsi"/>
          <w:sz w:val="22"/>
          <w:szCs w:val="22"/>
          <w:lang w:val="es-ES"/>
        </w:rPr>
      </w:pPr>
    </w:p>
    <w:p w14:paraId="403935BD" w14:textId="77777777" w:rsidR="00040C3A" w:rsidRPr="00F803D0"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F803D0"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F803D0"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F803D0"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F803D0"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F803D0" w:rsidRDefault="003D3BC2" w:rsidP="00040C3A">
      <w:pPr>
        <w:tabs>
          <w:tab w:val="center" w:pos="5400"/>
        </w:tabs>
        <w:suppressAutoHyphens/>
        <w:jc w:val="center"/>
        <w:rPr>
          <w:rFonts w:asciiTheme="majorHAnsi" w:hAnsiTheme="majorHAnsi"/>
          <w:sz w:val="22"/>
          <w:szCs w:val="22"/>
          <w:lang w:val="es-ES"/>
        </w:rPr>
      </w:pPr>
      <w:r w:rsidRPr="00F803D0">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037F274" w:rsidR="000511EE" w:rsidRPr="004E2649" w:rsidRDefault="000511E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C4672">
                              <w:rPr>
                                <w:rFonts w:asciiTheme="majorHAnsi" w:hAnsiTheme="majorHAnsi" w:cs="Arial"/>
                                <w:b/>
                                <w:bCs/>
                                <w:color w:val="0D0D0D" w:themeColor="text1" w:themeTint="F2"/>
                                <w:sz w:val="36"/>
                                <w:szCs w:val="22"/>
                                <w:lang w:val="es-ES_tradnl"/>
                              </w:rPr>
                              <w:t>197</w:t>
                            </w:r>
                            <w:r>
                              <w:rPr>
                                <w:rFonts w:asciiTheme="majorHAnsi" w:hAnsiTheme="majorHAnsi" w:cs="Arial"/>
                                <w:b/>
                                <w:bCs/>
                                <w:color w:val="0D0D0D" w:themeColor="text1" w:themeTint="F2"/>
                                <w:sz w:val="36"/>
                                <w:szCs w:val="22"/>
                                <w:lang w:val="es-ES_tradnl"/>
                              </w:rPr>
                              <w:t>/</w:t>
                            </w:r>
                            <w:r w:rsidR="00E1018B">
                              <w:rPr>
                                <w:rFonts w:asciiTheme="majorHAnsi" w:hAnsiTheme="majorHAnsi" w:cs="Arial"/>
                                <w:b/>
                                <w:bCs/>
                                <w:color w:val="0D0D0D" w:themeColor="text1" w:themeTint="F2"/>
                                <w:sz w:val="36"/>
                                <w:szCs w:val="22"/>
                                <w:lang w:val="es-ES_tradnl"/>
                              </w:rPr>
                              <w:t>2</w:t>
                            </w:r>
                            <w:r w:rsidR="00664809">
                              <w:rPr>
                                <w:rFonts w:asciiTheme="majorHAnsi" w:hAnsiTheme="majorHAnsi" w:cs="Arial"/>
                                <w:b/>
                                <w:bCs/>
                                <w:color w:val="0D0D0D" w:themeColor="text1" w:themeTint="F2"/>
                                <w:sz w:val="36"/>
                                <w:szCs w:val="22"/>
                                <w:lang w:val="es-ES_tradnl"/>
                              </w:rPr>
                              <w:t>1</w:t>
                            </w:r>
                          </w:p>
                          <w:p w14:paraId="09C54AB3" w14:textId="7F6EEB91" w:rsidR="000511EE" w:rsidRDefault="000511E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1364-11</w:t>
                            </w:r>
                            <w:r w:rsidRPr="004E2649">
                              <w:rPr>
                                <w:rFonts w:asciiTheme="majorHAnsi" w:hAnsiTheme="majorHAnsi" w:cs="Arial"/>
                                <w:b/>
                                <w:color w:val="0D0D0D" w:themeColor="text1" w:themeTint="F2"/>
                                <w:sz w:val="36"/>
                                <w:szCs w:val="22"/>
                                <w:lang w:val="es-ES_tradnl"/>
                              </w:rPr>
                              <w:t xml:space="preserve"> </w:t>
                            </w:r>
                          </w:p>
                          <w:p w14:paraId="70CF6833" w14:textId="706249B6" w:rsidR="000511EE" w:rsidRPr="0010736F" w:rsidRDefault="000511E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C0216">
                              <w:rPr>
                                <w:rFonts w:asciiTheme="majorHAnsi" w:hAnsiTheme="majorHAnsi" w:cs="Arial"/>
                                <w:color w:val="0D0D0D" w:themeColor="text1" w:themeTint="F2"/>
                                <w:szCs w:val="22"/>
                                <w:lang w:val="es-ES_tradnl"/>
                              </w:rPr>
                              <w:t>ADMISIBILIDAD</w:t>
                            </w:r>
                          </w:p>
                          <w:p w14:paraId="5FDD6F0D" w14:textId="77777777" w:rsidR="000511EE" w:rsidRPr="0010736F" w:rsidRDefault="000511EE"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1978E31" w:rsidR="000511EE" w:rsidRPr="0010736F" w:rsidRDefault="005740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ES"/>
                              </w:rPr>
                              <w:t>PUEBLO GARÍFUNA</w:t>
                            </w:r>
                          </w:p>
                          <w:bookmarkEnd w:id="0"/>
                          <w:p w14:paraId="35068D0D" w14:textId="49D82EE1" w:rsidR="000511EE" w:rsidRPr="0010736F" w:rsidRDefault="000511E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HONDURAS</w:t>
                            </w:r>
                          </w:p>
                          <w:p w14:paraId="575DFD52" w14:textId="77777777" w:rsidR="000511EE" w:rsidRPr="00AE5488" w:rsidRDefault="000511E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037F274" w:rsidR="000511EE" w:rsidRPr="004E2649" w:rsidRDefault="000511E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C4672">
                        <w:rPr>
                          <w:rFonts w:asciiTheme="majorHAnsi" w:hAnsiTheme="majorHAnsi" w:cs="Arial"/>
                          <w:b/>
                          <w:bCs/>
                          <w:color w:val="0D0D0D" w:themeColor="text1" w:themeTint="F2"/>
                          <w:sz w:val="36"/>
                          <w:szCs w:val="22"/>
                          <w:lang w:val="es-ES_tradnl"/>
                        </w:rPr>
                        <w:t>197</w:t>
                      </w:r>
                      <w:r>
                        <w:rPr>
                          <w:rFonts w:asciiTheme="majorHAnsi" w:hAnsiTheme="majorHAnsi" w:cs="Arial"/>
                          <w:b/>
                          <w:bCs/>
                          <w:color w:val="0D0D0D" w:themeColor="text1" w:themeTint="F2"/>
                          <w:sz w:val="36"/>
                          <w:szCs w:val="22"/>
                          <w:lang w:val="es-ES_tradnl"/>
                        </w:rPr>
                        <w:t>/</w:t>
                      </w:r>
                      <w:r w:rsidR="00E1018B">
                        <w:rPr>
                          <w:rFonts w:asciiTheme="majorHAnsi" w:hAnsiTheme="majorHAnsi" w:cs="Arial"/>
                          <w:b/>
                          <w:bCs/>
                          <w:color w:val="0D0D0D" w:themeColor="text1" w:themeTint="F2"/>
                          <w:sz w:val="36"/>
                          <w:szCs w:val="22"/>
                          <w:lang w:val="es-ES_tradnl"/>
                        </w:rPr>
                        <w:t>2</w:t>
                      </w:r>
                      <w:r w:rsidR="00664809">
                        <w:rPr>
                          <w:rFonts w:asciiTheme="majorHAnsi" w:hAnsiTheme="majorHAnsi" w:cs="Arial"/>
                          <w:b/>
                          <w:bCs/>
                          <w:color w:val="0D0D0D" w:themeColor="text1" w:themeTint="F2"/>
                          <w:sz w:val="36"/>
                          <w:szCs w:val="22"/>
                          <w:lang w:val="es-ES_tradnl"/>
                        </w:rPr>
                        <w:t>1</w:t>
                      </w:r>
                    </w:p>
                    <w:p w14:paraId="09C54AB3" w14:textId="7F6EEB91" w:rsidR="000511EE" w:rsidRDefault="000511E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1364-11</w:t>
                      </w:r>
                      <w:r w:rsidRPr="004E2649">
                        <w:rPr>
                          <w:rFonts w:asciiTheme="majorHAnsi" w:hAnsiTheme="majorHAnsi" w:cs="Arial"/>
                          <w:b/>
                          <w:color w:val="0D0D0D" w:themeColor="text1" w:themeTint="F2"/>
                          <w:sz w:val="36"/>
                          <w:szCs w:val="22"/>
                          <w:lang w:val="es-ES_tradnl"/>
                        </w:rPr>
                        <w:t xml:space="preserve"> </w:t>
                      </w:r>
                    </w:p>
                    <w:p w14:paraId="70CF6833" w14:textId="706249B6" w:rsidR="000511EE" w:rsidRPr="0010736F" w:rsidRDefault="000511E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C0216">
                        <w:rPr>
                          <w:rFonts w:asciiTheme="majorHAnsi" w:hAnsiTheme="majorHAnsi" w:cs="Arial"/>
                          <w:color w:val="0D0D0D" w:themeColor="text1" w:themeTint="F2"/>
                          <w:szCs w:val="22"/>
                          <w:lang w:val="es-ES_tradnl"/>
                        </w:rPr>
                        <w:t>ADMISIBILIDAD</w:t>
                      </w:r>
                    </w:p>
                    <w:p w14:paraId="5FDD6F0D" w14:textId="77777777" w:rsidR="000511EE" w:rsidRPr="0010736F" w:rsidRDefault="000511EE"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1978E31" w:rsidR="000511EE" w:rsidRPr="0010736F" w:rsidRDefault="005740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ES"/>
                        </w:rPr>
                        <w:t>PUEBLO GARÍFUNA</w:t>
                      </w:r>
                    </w:p>
                    <w:bookmarkEnd w:id="1"/>
                    <w:p w14:paraId="35068D0D" w14:textId="49D82EE1" w:rsidR="000511EE" w:rsidRPr="0010736F" w:rsidRDefault="000511E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HONDURAS</w:t>
                      </w:r>
                    </w:p>
                    <w:p w14:paraId="575DFD52" w14:textId="77777777" w:rsidR="000511EE" w:rsidRPr="00AE5488" w:rsidRDefault="000511EE" w:rsidP="007A5817">
                      <w:pPr>
                        <w:rPr>
                          <w:color w:val="0D0D0D" w:themeColor="text1" w:themeTint="F2"/>
                          <w:lang w:val="es-ES_tradnl"/>
                        </w:rPr>
                      </w:pPr>
                    </w:p>
                  </w:txbxContent>
                </v:textbox>
              </v:shape>
            </w:pict>
          </mc:Fallback>
        </mc:AlternateContent>
      </w:r>
      <w:r w:rsidR="004E2649" w:rsidRPr="00F803D0">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D5D4466" w:rsidR="000511EE" w:rsidRPr="001475B6" w:rsidRDefault="000511EE" w:rsidP="007A5817">
                            <w:pPr>
                              <w:spacing w:line="276" w:lineRule="auto"/>
                              <w:jc w:val="right"/>
                              <w:rPr>
                                <w:rFonts w:asciiTheme="minorHAnsi" w:hAnsiTheme="minorHAnsi"/>
                                <w:color w:val="FFFFFF" w:themeColor="background1"/>
                                <w:sz w:val="22"/>
                                <w:lang w:val="es-419"/>
                              </w:rPr>
                            </w:pPr>
                            <w:r w:rsidRPr="001475B6">
                              <w:rPr>
                                <w:rFonts w:asciiTheme="minorHAnsi" w:hAnsiTheme="minorHAnsi"/>
                                <w:color w:val="FFFFFF" w:themeColor="background1"/>
                                <w:sz w:val="22"/>
                                <w:lang w:val="es-419"/>
                              </w:rPr>
                              <w:t>OEA/</w:t>
                            </w:r>
                            <w:proofErr w:type="spellStart"/>
                            <w:r w:rsidRPr="001475B6">
                              <w:rPr>
                                <w:rFonts w:asciiTheme="minorHAnsi" w:hAnsiTheme="minorHAnsi"/>
                                <w:color w:val="FFFFFF" w:themeColor="background1"/>
                                <w:sz w:val="22"/>
                                <w:lang w:val="es-419"/>
                              </w:rPr>
                              <w:t>Ser.L</w:t>
                            </w:r>
                            <w:proofErr w:type="spellEnd"/>
                            <w:r w:rsidRPr="001475B6">
                              <w:rPr>
                                <w:rFonts w:asciiTheme="minorHAnsi" w:hAnsiTheme="minorHAnsi"/>
                                <w:color w:val="FFFFFF" w:themeColor="background1"/>
                                <w:sz w:val="22"/>
                                <w:lang w:val="es-419"/>
                              </w:rPr>
                              <w:t>/V/II</w:t>
                            </w:r>
                          </w:p>
                          <w:p w14:paraId="6A41611B" w14:textId="12448E65" w:rsidR="000511EE" w:rsidRPr="001475B6" w:rsidRDefault="000511EE" w:rsidP="007A5817">
                            <w:pPr>
                              <w:spacing w:line="276" w:lineRule="auto"/>
                              <w:jc w:val="right"/>
                              <w:rPr>
                                <w:rFonts w:asciiTheme="minorHAnsi" w:hAnsiTheme="minorHAnsi"/>
                                <w:color w:val="FFFFFF" w:themeColor="background1"/>
                                <w:sz w:val="22"/>
                                <w:lang w:val="es-419"/>
                              </w:rPr>
                            </w:pPr>
                            <w:r w:rsidRPr="001475B6">
                              <w:rPr>
                                <w:rFonts w:asciiTheme="minorHAnsi" w:hAnsiTheme="minorHAnsi"/>
                                <w:color w:val="FFFFFF" w:themeColor="background1"/>
                                <w:sz w:val="22"/>
                                <w:lang w:val="es-419"/>
                              </w:rPr>
                              <w:t xml:space="preserve">Doc. </w:t>
                            </w:r>
                            <w:r w:rsidR="007C4672" w:rsidRPr="001475B6">
                              <w:rPr>
                                <w:rFonts w:asciiTheme="minorHAnsi" w:hAnsiTheme="minorHAnsi"/>
                                <w:color w:val="FFFFFF" w:themeColor="background1"/>
                                <w:sz w:val="22"/>
                                <w:lang w:val="es-419"/>
                              </w:rPr>
                              <w:t>205</w:t>
                            </w:r>
                          </w:p>
                          <w:p w14:paraId="69373ED2" w14:textId="48716AFB" w:rsidR="000511EE" w:rsidRPr="00D51C9F" w:rsidRDefault="007C4672"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7 septiembre</w:t>
                            </w:r>
                            <w:r w:rsidR="000511EE" w:rsidRPr="00D51C9F">
                              <w:rPr>
                                <w:rFonts w:asciiTheme="minorHAnsi" w:hAnsiTheme="minorHAnsi"/>
                                <w:color w:val="FFFFFF" w:themeColor="background1"/>
                                <w:sz w:val="22"/>
                                <w:lang w:val="es-VE"/>
                              </w:rPr>
                              <w:t xml:space="preserve"> 20</w:t>
                            </w:r>
                            <w:r w:rsidR="00E1018B">
                              <w:rPr>
                                <w:rFonts w:asciiTheme="minorHAnsi" w:hAnsiTheme="minorHAnsi"/>
                                <w:color w:val="FFFFFF" w:themeColor="background1"/>
                                <w:sz w:val="22"/>
                                <w:lang w:val="es-VE"/>
                              </w:rPr>
                              <w:t>2</w:t>
                            </w:r>
                            <w:r w:rsidR="00664809">
                              <w:rPr>
                                <w:rFonts w:asciiTheme="minorHAnsi" w:hAnsiTheme="minorHAnsi"/>
                                <w:color w:val="FFFFFF" w:themeColor="background1"/>
                                <w:sz w:val="22"/>
                                <w:lang w:val="es-VE"/>
                              </w:rPr>
                              <w:t>1</w:t>
                            </w:r>
                          </w:p>
                          <w:p w14:paraId="0771DB5B" w14:textId="77777777" w:rsidR="000511EE" w:rsidRPr="00D51C9F" w:rsidRDefault="000511EE" w:rsidP="007A5817">
                            <w:pPr>
                              <w:spacing w:line="276" w:lineRule="auto"/>
                              <w:jc w:val="right"/>
                              <w:rPr>
                                <w:rFonts w:asciiTheme="minorHAnsi" w:hAnsiTheme="minorHAnsi"/>
                                <w:color w:val="FFFFFF" w:themeColor="background1"/>
                                <w:sz w:val="22"/>
                                <w:lang w:val="es-VE"/>
                              </w:rPr>
                            </w:pPr>
                            <w:r w:rsidRPr="00D51C9F">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D5D4466" w:rsidR="000511EE" w:rsidRPr="001475B6" w:rsidRDefault="000511EE" w:rsidP="007A5817">
                      <w:pPr>
                        <w:spacing w:line="276" w:lineRule="auto"/>
                        <w:jc w:val="right"/>
                        <w:rPr>
                          <w:rFonts w:asciiTheme="minorHAnsi" w:hAnsiTheme="minorHAnsi"/>
                          <w:color w:val="FFFFFF" w:themeColor="background1"/>
                          <w:sz w:val="22"/>
                          <w:lang w:val="es-419"/>
                        </w:rPr>
                      </w:pPr>
                      <w:r w:rsidRPr="001475B6">
                        <w:rPr>
                          <w:rFonts w:asciiTheme="minorHAnsi" w:hAnsiTheme="minorHAnsi"/>
                          <w:color w:val="FFFFFF" w:themeColor="background1"/>
                          <w:sz w:val="22"/>
                          <w:lang w:val="es-419"/>
                        </w:rPr>
                        <w:t>OEA/</w:t>
                      </w:r>
                      <w:proofErr w:type="spellStart"/>
                      <w:r w:rsidRPr="001475B6">
                        <w:rPr>
                          <w:rFonts w:asciiTheme="minorHAnsi" w:hAnsiTheme="minorHAnsi"/>
                          <w:color w:val="FFFFFF" w:themeColor="background1"/>
                          <w:sz w:val="22"/>
                          <w:lang w:val="es-419"/>
                        </w:rPr>
                        <w:t>Ser.L</w:t>
                      </w:r>
                      <w:proofErr w:type="spellEnd"/>
                      <w:r w:rsidRPr="001475B6">
                        <w:rPr>
                          <w:rFonts w:asciiTheme="minorHAnsi" w:hAnsiTheme="minorHAnsi"/>
                          <w:color w:val="FFFFFF" w:themeColor="background1"/>
                          <w:sz w:val="22"/>
                          <w:lang w:val="es-419"/>
                        </w:rPr>
                        <w:t>/V/II</w:t>
                      </w:r>
                    </w:p>
                    <w:p w14:paraId="6A41611B" w14:textId="12448E65" w:rsidR="000511EE" w:rsidRPr="001475B6" w:rsidRDefault="000511EE" w:rsidP="007A5817">
                      <w:pPr>
                        <w:spacing w:line="276" w:lineRule="auto"/>
                        <w:jc w:val="right"/>
                        <w:rPr>
                          <w:rFonts w:asciiTheme="minorHAnsi" w:hAnsiTheme="minorHAnsi"/>
                          <w:color w:val="FFFFFF" w:themeColor="background1"/>
                          <w:sz w:val="22"/>
                          <w:lang w:val="es-419"/>
                        </w:rPr>
                      </w:pPr>
                      <w:r w:rsidRPr="001475B6">
                        <w:rPr>
                          <w:rFonts w:asciiTheme="minorHAnsi" w:hAnsiTheme="minorHAnsi"/>
                          <w:color w:val="FFFFFF" w:themeColor="background1"/>
                          <w:sz w:val="22"/>
                          <w:lang w:val="es-419"/>
                        </w:rPr>
                        <w:t xml:space="preserve">Doc. </w:t>
                      </w:r>
                      <w:r w:rsidR="007C4672" w:rsidRPr="001475B6">
                        <w:rPr>
                          <w:rFonts w:asciiTheme="minorHAnsi" w:hAnsiTheme="minorHAnsi"/>
                          <w:color w:val="FFFFFF" w:themeColor="background1"/>
                          <w:sz w:val="22"/>
                          <w:lang w:val="es-419"/>
                        </w:rPr>
                        <w:t>205</w:t>
                      </w:r>
                    </w:p>
                    <w:p w14:paraId="69373ED2" w14:textId="48716AFB" w:rsidR="000511EE" w:rsidRPr="00D51C9F" w:rsidRDefault="007C4672"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7 septiembre</w:t>
                      </w:r>
                      <w:r w:rsidR="000511EE" w:rsidRPr="00D51C9F">
                        <w:rPr>
                          <w:rFonts w:asciiTheme="minorHAnsi" w:hAnsiTheme="minorHAnsi"/>
                          <w:color w:val="FFFFFF" w:themeColor="background1"/>
                          <w:sz w:val="22"/>
                          <w:lang w:val="es-VE"/>
                        </w:rPr>
                        <w:t xml:space="preserve"> 20</w:t>
                      </w:r>
                      <w:r w:rsidR="00E1018B">
                        <w:rPr>
                          <w:rFonts w:asciiTheme="minorHAnsi" w:hAnsiTheme="minorHAnsi"/>
                          <w:color w:val="FFFFFF" w:themeColor="background1"/>
                          <w:sz w:val="22"/>
                          <w:lang w:val="es-VE"/>
                        </w:rPr>
                        <w:t>2</w:t>
                      </w:r>
                      <w:r w:rsidR="00664809">
                        <w:rPr>
                          <w:rFonts w:asciiTheme="minorHAnsi" w:hAnsiTheme="minorHAnsi"/>
                          <w:color w:val="FFFFFF" w:themeColor="background1"/>
                          <w:sz w:val="22"/>
                          <w:lang w:val="es-VE"/>
                        </w:rPr>
                        <w:t>1</w:t>
                      </w:r>
                    </w:p>
                    <w:p w14:paraId="0771DB5B" w14:textId="77777777" w:rsidR="000511EE" w:rsidRPr="00D51C9F" w:rsidRDefault="000511EE" w:rsidP="007A5817">
                      <w:pPr>
                        <w:spacing w:line="276" w:lineRule="auto"/>
                        <w:jc w:val="right"/>
                        <w:rPr>
                          <w:rFonts w:asciiTheme="minorHAnsi" w:hAnsiTheme="minorHAnsi"/>
                          <w:color w:val="FFFFFF" w:themeColor="background1"/>
                          <w:sz w:val="22"/>
                          <w:lang w:val="es-VE"/>
                        </w:rPr>
                      </w:pPr>
                      <w:r w:rsidRPr="00D51C9F">
                        <w:rPr>
                          <w:rFonts w:asciiTheme="minorHAnsi" w:hAnsiTheme="minorHAnsi"/>
                          <w:color w:val="FFFFFF" w:themeColor="background1"/>
                          <w:sz w:val="22"/>
                          <w:lang w:val="es-VE"/>
                        </w:rPr>
                        <w:t>Original: español</w:t>
                      </w:r>
                    </w:p>
                  </w:txbxContent>
                </v:textbox>
              </v:shape>
            </w:pict>
          </mc:Fallback>
        </mc:AlternateContent>
      </w:r>
    </w:p>
    <w:p w14:paraId="155B0536"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F803D0"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F803D0"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F803D0"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F803D0"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F803D0"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F803D0"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F803D0" w:rsidRDefault="0090270B" w:rsidP="00040C3A">
      <w:pPr>
        <w:tabs>
          <w:tab w:val="center" w:pos="5400"/>
        </w:tabs>
        <w:suppressAutoHyphens/>
        <w:jc w:val="center"/>
        <w:rPr>
          <w:rFonts w:asciiTheme="majorHAnsi" w:hAnsiTheme="majorHAnsi"/>
          <w:sz w:val="18"/>
          <w:szCs w:val="22"/>
          <w:lang w:val="es-ES"/>
        </w:rPr>
      </w:pPr>
      <w:r w:rsidRPr="00F803D0">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1BA15E6" w:rsidR="000511EE" w:rsidRPr="00890650" w:rsidRDefault="000511E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C4672">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7C4672">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1018B">
                              <w:rPr>
                                <w:rFonts w:asciiTheme="majorHAnsi" w:hAnsiTheme="majorHAnsi"/>
                                <w:color w:val="0D0D0D" w:themeColor="text1" w:themeTint="F2"/>
                                <w:sz w:val="18"/>
                                <w:szCs w:val="22"/>
                                <w:lang w:val="es-ES"/>
                              </w:rPr>
                              <w:t>2</w:t>
                            </w:r>
                            <w:r w:rsidR="00664809">
                              <w:rPr>
                                <w:rFonts w:asciiTheme="majorHAnsi" w:hAnsiTheme="majorHAnsi"/>
                                <w:color w:val="0D0D0D" w:themeColor="text1" w:themeTint="F2"/>
                                <w:sz w:val="18"/>
                                <w:szCs w:val="22"/>
                                <w:lang w:val="es-ES"/>
                              </w:rPr>
                              <w:t>1</w:t>
                            </w:r>
                            <w:r w:rsidR="00F803D0">
                              <w:rPr>
                                <w:rFonts w:asciiTheme="majorHAnsi" w:hAnsiTheme="majorHAnsi"/>
                                <w:color w:val="0D0D0D" w:themeColor="text1" w:themeTint="F2"/>
                                <w:sz w:val="18"/>
                                <w:szCs w:val="22"/>
                                <w:lang w:val="es-ES"/>
                              </w:rPr>
                              <w:t>.</w:t>
                            </w:r>
                          </w:p>
                          <w:p w14:paraId="4BDF3581" w14:textId="77777777" w:rsidR="000511EE" w:rsidRPr="007A5817" w:rsidRDefault="000511E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511EE" w:rsidRPr="00167A34" w:rsidRDefault="000511E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1BA15E6" w:rsidR="000511EE" w:rsidRPr="00890650" w:rsidRDefault="000511E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C4672">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7C4672">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1018B">
                        <w:rPr>
                          <w:rFonts w:asciiTheme="majorHAnsi" w:hAnsiTheme="majorHAnsi"/>
                          <w:color w:val="0D0D0D" w:themeColor="text1" w:themeTint="F2"/>
                          <w:sz w:val="18"/>
                          <w:szCs w:val="22"/>
                          <w:lang w:val="es-ES"/>
                        </w:rPr>
                        <w:t>2</w:t>
                      </w:r>
                      <w:r w:rsidR="00664809">
                        <w:rPr>
                          <w:rFonts w:asciiTheme="majorHAnsi" w:hAnsiTheme="majorHAnsi"/>
                          <w:color w:val="0D0D0D" w:themeColor="text1" w:themeTint="F2"/>
                          <w:sz w:val="18"/>
                          <w:szCs w:val="22"/>
                          <w:lang w:val="es-ES"/>
                        </w:rPr>
                        <w:t>1</w:t>
                      </w:r>
                      <w:r w:rsidR="00F803D0">
                        <w:rPr>
                          <w:rFonts w:asciiTheme="majorHAnsi" w:hAnsiTheme="majorHAnsi"/>
                          <w:color w:val="0D0D0D" w:themeColor="text1" w:themeTint="F2"/>
                          <w:sz w:val="18"/>
                          <w:szCs w:val="22"/>
                          <w:lang w:val="es-ES"/>
                        </w:rPr>
                        <w:t>.</w:t>
                      </w:r>
                    </w:p>
                    <w:p w14:paraId="4BDF3581" w14:textId="77777777" w:rsidR="000511EE" w:rsidRPr="007A5817" w:rsidRDefault="000511E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511EE" w:rsidRPr="00167A34" w:rsidRDefault="000511E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F803D0" w:rsidRDefault="0090270B" w:rsidP="00040C3A">
      <w:pPr>
        <w:tabs>
          <w:tab w:val="center" w:pos="5400"/>
        </w:tabs>
        <w:suppressAutoHyphens/>
        <w:jc w:val="center"/>
        <w:rPr>
          <w:rFonts w:asciiTheme="majorHAnsi" w:hAnsiTheme="majorHAnsi"/>
          <w:sz w:val="18"/>
          <w:szCs w:val="22"/>
          <w:lang w:val="es-ES"/>
        </w:rPr>
      </w:pPr>
      <w:r w:rsidRPr="00F803D0">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36C5D50" w:rsidR="000511EE" w:rsidRPr="007B05C4" w:rsidRDefault="000511E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C4672" w:rsidRPr="007C4672">
                              <w:rPr>
                                <w:rFonts w:asciiTheme="majorHAnsi" w:hAnsiTheme="majorHAnsi"/>
                                <w:color w:val="595959" w:themeColor="text1" w:themeTint="A6"/>
                                <w:sz w:val="18"/>
                                <w:szCs w:val="18"/>
                                <w:lang w:val="pt-BR"/>
                              </w:rPr>
                              <w:t>197</w:t>
                            </w:r>
                            <w:r w:rsidRPr="007C4672">
                              <w:rPr>
                                <w:rFonts w:asciiTheme="majorHAnsi" w:hAnsiTheme="majorHAnsi"/>
                                <w:color w:val="595959" w:themeColor="text1" w:themeTint="A6"/>
                                <w:sz w:val="18"/>
                                <w:szCs w:val="18"/>
                                <w:lang w:val="pt-BR"/>
                              </w:rPr>
                              <w:t>/</w:t>
                            </w:r>
                            <w:r w:rsidR="007C4672">
                              <w:rPr>
                                <w:rFonts w:asciiTheme="majorHAnsi" w:hAnsiTheme="majorHAnsi"/>
                                <w:color w:val="595959" w:themeColor="text1" w:themeTint="A6"/>
                                <w:sz w:val="18"/>
                                <w:szCs w:val="18"/>
                                <w:lang w:val="pt-BR"/>
                              </w:rPr>
                              <w:t>21</w:t>
                            </w:r>
                            <w:r w:rsidRPr="007C4672">
                              <w:rPr>
                                <w:rFonts w:asciiTheme="majorHAnsi" w:hAnsiTheme="majorHAnsi"/>
                                <w:color w:val="595959" w:themeColor="text1" w:themeTint="A6"/>
                                <w:sz w:val="18"/>
                                <w:szCs w:val="18"/>
                                <w:lang w:val="pt-BR"/>
                              </w:rPr>
                              <w:t xml:space="preserve">. </w:t>
                            </w:r>
                            <w:r w:rsidR="00F803D0">
                              <w:rPr>
                                <w:rFonts w:asciiTheme="majorHAnsi" w:hAnsiTheme="majorHAnsi"/>
                                <w:color w:val="595959" w:themeColor="text1" w:themeTint="A6"/>
                                <w:sz w:val="18"/>
                                <w:szCs w:val="18"/>
                                <w:lang w:val="pt-BR"/>
                              </w:rPr>
                              <w:t xml:space="preserve">Petición 1364-11. </w:t>
                            </w:r>
                            <w:r w:rsidR="00BC021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474EFC">
                              <w:rPr>
                                <w:rFonts w:asciiTheme="majorHAnsi" w:hAnsiTheme="majorHAnsi"/>
                                <w:color w:val="595959" w:themeColor="text1" w:themeTint="A6"/>
                                <w:sz w:val="18"/>
                                <w:szCs w:val="18"/>
                                <w:lang w:val="es-ES_tradnl"/>
                              </w:rPr>
                              <w:t>Pueblo Garífuna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7C4672">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36C5D50" w:rsidR="000511EE" w:rsidRPr="007B05C4" w:rsidRDefault="000511E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C4672" w:rsidRPr="007C4672">
                        <w:rPr>
                          <w:rFonts w:asciiTheme="majorHAnsi" w:hAnsiTheme="majorHAnsi"/>
                          <w:color w:val="595959" w:themeColor="text1" w:themeTint="A6"/>
                          <w:sz w:val="18"/>
                          <w:szCs w:val="18"/>
                          <w:lang w:val="pt-BR"/>
                        </w:rPr>
                        <w:t>197</w:t>
                      </w:r>
                      <w:r w:rsidRPr="007C4672">
                        <w:rPr>
                          <w:rFonts w:asciiTheme="majorHAnsi" w:hAnsiTheme="majorHAnsi"/>
                          <w:color w:val="595959" w:themeColor="text1" w:themeTint="A6"/>
                          <w:sz w:val="18"/>
                          <w:szCs w:val="18"/>
                          <w:lang w:val="pt-BR"/>
                        </w:rPr>
                        <w:t>/</w:t>
                      </w:r>
                      <w:r w:rsidR="007C4672">
                        <w:rPr>
                          <w:rFonts w:asciiTheme="majorHAnsi" w:hAnsiTheme="majorHAnsi"/>
                          <w:color w:val="595959" w:themeColor="text1" w:themeTint="A6"/>
                          <w:sz w:val="18"/>
                          <w:szCs w:val="18"/>
                          <w:lang w:val="pt-BR"/>
                        </w:rPr>
                        <w:t>21</w:t>
                      </w:r>
                      <w:r w:rsidRPr="007C4672">
                        <w:rPr>
                          <w:rFonts w:asciiTheme="majorHAnsi" w:hAnsiTheme="majorHAnsi"/>
                          <w:color w:val="595959" w:themeColor="text1" w:themeTint="A6"/>
                          <w:sz w:val="18"/>
                          <w:szCs w:val="18"/>
                          <w:lang w:val="pt-BR"/>
                        </w:rPr>
                        <w:t xml:space="preserve">. </w:t>
                      </w:r>
                      <w:r w:rsidR="00F803D0">
                        <w:rPr>
                          <w:rFonts w:asciiTheme="majorHAnsi" w:hAnsiTheme="majorHAnsi"/>
                          <w:color w:val="595959" w:themeColor="text1" w:themeTint="A6"/>
                          <w:sz w:val="18"/>
                          <w:szCs w:val="18"/>
                          <w:lang w:val="pt-BR"/>
                        </w:rPr>
                        <w:t xml:space="preserve">Petición 1364-11. </w:t>
                      </w:r>
                      <w:r w:rsidR="00BC021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474EFC">
                        <w:rPr>
                          <w:rFonts w:asciiTheme="majorHAnsi" w:hAnsiTheme="majorHAnsi"/>
                          <w:color w:val="595959" w:themeColor="text1" w:themeTint="A6"/>
                          <w:sz w:val="18"/>
                          <w:szCs w:val="18"/>
                          <w:lang w:val="es-ES_tradnl"/>
                        </w:rPr>
                        <w:t>Pueblo Garífuna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7C4672">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F803D0"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F803D0" w:rsidRDefault="00D306D1" w:rsidP="005516A1">
      <w:pPr>
        <w:tabs>
          <w:tab w:val="center" w:pos="5400"/>
        </w:tabs>
        <w:suppressAutoHyphens/>
        <w:jc w:val="center"/>
        <w:rPr>
          <w:rFonts w:asciiTheme="majorHAnsi" w:hAnsiTheme="majorHAnsi"/>
          <w:b/>
          <w:sz w:val="20"/>
          <w:lang w:val="es-ES"/>
        </w:rPr>
      </w:pPr>
      <w:r w:rsidRPr="00F803D0">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83C47CD" w:rsidR="000511EE" w:rsidRPr="00D72DC6" w:rsidRDefault="007C4672" w:rsidP="00F02AD1">
                            <w:pPr>
                              <w:rPr>
                                <w:color w:val="FFFFFF" w:themeColor="background1"/>
                                <w14:textFill>
                                  <w14:noFill/>
                                </w14:textFill>
                              </w:rPr>
                            </w:pPr>
                            <w:r>
                              <w:rPr>
                                <w:noProof/>
                                <w:color w:val="FFFFFF" w:themeColor="background1"/>
                              </w:rPr>
                              <w:drawing>
                                <wp:inline distT="0" distB="0" distL="0" distR="0" wp14:anchorId="2B9B5D17" wp14:editId="024EF82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83C47CD" w:rsidR="000511EE" w:rsidRPr="00D72DC6" w:rsidRDefault="007C4672" w:rsidP="00F02AD1">
                      <w:pPr>
                        <w:rPr>
                          <w:color w:val="FFFFFF" w:themeColor="background1"/>
                          <w14:textFill>
                            <w14:noFill/>
                          </w14:textFill>
                        </w:rPr>
                      </w:pPr>
                      <w:r>
                        <w:rPr>
                          <w:noProof/>
                          <w:color w:val="FFFFFF" w:themeColor="background1"/>
                        </w:rPr>
                        <w:drawing>
                          <wp:inline distT="0" distB="0" distL="0" distR="0" wp14:anchorId="2B9B5D17" wp14:editId="024EF82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F803D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511EE" w:rsidRPr="004B7EB6" w:rsidRDefault="000511E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0511EE" w:rsidRPr="004B7EB6" w:rsidRDefault="000511E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F803D0" w:rsidRDefault="004A6A54" w:rsidP="005516A1">
      <w:pPr>
        <w:tabs>
          <w:tab w:val="center" w:pos="5400"/>
        </w:tabs>
        <w:suppressAutoHyphens/>
        <w:jc w:val="center"/>
        <w:rPr>
          <w:rFonts w:asciiTheme="majorHAnsi" w:hAnsiTheme="majorHAnsi"/>
          <w:b/>
          <w:sz w:val="20"/>
          <w:lang w:val="es-ES"/>
        </w:rPr>
        <w:sectPr w:rsidR="0070697F" w:rsidRPr="00F803D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F803D0">
        <w:rPr>
          <w:rFonts w:asciiTheme="majorHAnsi" w:hAnsiTheme="majorHAnsi"/>
          <w:b/>
          <w:sz w:val="20"/>
          <w:lang w:val="es-ES"/>
        </w:rPr>
        <w:tab/>
      </w:r>
    </w:p>
    <w:p w14:paraId="4BADEE29" w14:textId="77777777" w:rsidR="00730A5E" w:rsidRPr="00F803D0" w:rsidRDefault="003239B8" w:rsidP="00730A5E">
      <w:pPr>
        <w:pStyle w:val="ListParagraph"/>
        <w:numPr>
          <w:ilvl w:val="0"/>
          <w:numId w:val="60"/>
        </w:numPr>
        <w:ind w:left="0" w:firstLine="720"/>
        <w:jc w:val="both"/>
        <w:rPr>
          <w:rFonts w:asciiTheme="majorHAnsi" w:hAnsiTheme="majorHAnsi"/>
          <w:b/>
          <w:bCs/>
          <w:sz w:val="20"/>
          <w:szCs w:val="20"/>
          <w:lang w:val="es-ES"/>
        </w:rPr>
      </w:pPr>
      <w:r w:rsidRPr="00F803D0">
        <w:rPr>
          <w:rFonts w:asciiTheme="majorHAnsi" w:hAnsiTheme="majorHAnsi"/>
          <w:b/>
          <w:bCs/>
          <w:sz w:val="20"/>
          <w:szCs w:val="20"/>
          <w:lang w:val="es-ES"/>
        </w:rPr>
        <w:lastRenderedPageBreak/>
        <w:t>DATOS DE LA PETICIÓN</w:t>
      </w:r>
    </w:p>
    <w:p w14:paraId="376DDC8B" w14:textId="0C379724" w:rsidR="003239B8" w:rsidRPr="00F803D0" w:rsidRDefault="003239B8" w:rsidP="00730A5E">
      <w:pPr>
        <w:pStyle w:val="ListParagraph"/>
        <w:jc w:val="both"/>
        <w:rPr>
          <w:rFonts w:asciiTheme="majorHAnsi" w:hAnsiTheme="majorHAnsi"/>
          <w:b/>
          <w:bCs/>
          <w:sz w:val="20"/>
          <w:szCs w:val="20"/>
          <w:lang w:val="es-ES"/>
        </w:rPr>
      </w:pPr>
      <w:r w:rsidRPr="00F803D0">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F803D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F803D0" w:rsidRDefault="00D77503" w:rsidP="00455D80">
            <w:pPr>
              <w:jc w:val="center"/>
              <w:rPr>
                <w:rFonts w:asciiTheme="majorHAnsi" w:hAnsiTheme="majorHAnsi"/>
                <w:bCs/>
                <w:color w:val="FFFFFF" w:themeColor="background1"/>
                <w:sz w:val="19"/>
                <w:szCs w:val="19"/>
                <w:lang w:val="es-ES"/>
              </w:rPr>
            </w:pPr>
            <w:r w:rsidRPr="00F803D0">
              <w:rPr>
                <w:rFonts w:asciiTheme="majorHAnsi" w:hAnsiTheme="majorHAnsi"/>
                <w:bCs/>
                <w:color w:val="FFFFFF" w:themeColor="background1"/>
                <w:sz w:val="19"/>
                <w:szCs w:val="19"/>
                <w:lang w:val="es-ES"/>
              </w:rPr>
              <w:t>Parte peticionaria</w:t>
            </w:r>
          </w:p>
        </w:tc>
        <w:tc>
          <w:tcPr>
            <w:tcW w:w="6570" w:type="dxa"/>
            <w:vAlign w:val="center"/>
          </w:tcPr>
          <w:p w14:paraId="3C5315D8" w14:textId="3D186205" w:rsidR="003239B8" w:rsidRPr="00F803D0" w:rsidRDefault="008B145E" w:rsidP="009605CA">
            <w:pPr>
              <w:jc w:val="both"/>
              <w:rPr>
                <w:rFonts w:asciiTheme="majorHAnsi" w:hAnsiTheme="majorHAnsi"/>
                <w:bCs/>
                <w:sz w:val="19"/>
                <w:szCs w:val="19"/>
                <w:lang w:val="es-ES"/>
              </w:rPr>
            </w:pPr>
            <w:r w:rsidRPr="00F803D0">
              <w:rPr>
                <w:rFonts w:asciiTheme="majorHAnsi" w:hAnsiTheme="majorHAnsi"/>
                <w:bCs/>
                <w:sz w:val="19"/>
                <w:szCs w:val="19"/>
                <w:lang w:val="es-ES"/>
              </w:rPr>
              <w:t>O</w:t>
            </w:r>
            <w:r w:rsidR="00846E31" w:rsidRPr="00F803D0">
              <w:rPr>
                <w:rFonts w:asciiTheme="majorHAnsi" w:hAnsiTheme="majorHAnsi"/>
                <w:bCs/>
                <w:sz w:val="19"/>
                <w:szCs w:val="19"/>
                <w:lang w:val="es-ES"/>
              </w:rPr>
              <w:t>rganización Fraternal Negra Hondureña</w:t>
            </w:r>
          </w:p>
        </w:tc>
      </w:tr>
      <w:tr w:rsidR="003239B8" w:rsidRPr="00F803D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F803D0" w:rsidRDefault="0039680A" w:rsidP="00455D80">
            <w:pPr>
              <w:jc w:val="center"/>
              <w:rPr>
                <w:rFonts w:asciiTheme="majorHAnsi" w:hAnsiTheme="majorHAnsi"/>
                <w:bCs/>
                <w:color w:val="FFFFFF" w:themeColor="background1"/>
                <w:sz w:val="19"/>
                <w:szCs w:val="19"/>
                <w:lang w:val="es-ES"/>
              </w:rPr>
            </w:pPr>
            <w:sdt>
              <w:sdtPr>
                <w:rPr>
                  <w:rFonts w:asciiTheme="majorHAnsi" w:hAnsiTheme="majorHAnsi"/>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803D0">
                  <w:rPr>
                    <w:rFonts w:asciiTheme="majorHAnsi" w:hAnsiTheme="majorHAnsi"/>
                    <w:bCs/>
                    <w:color w:val="FFFFFF" w:themeColor="background1"/>
                    <w:sz w:val="19"/>
                    <w:szCs w:val="19"/>
                    <w:lang w:val="es-ES"/>
                  </w:rPr>
                  <w:t>Presunta víctima</w:t>
                </w:r>
              </w:sdtContent>
            </w:sdt>
          </w:p>
        </w:tc>
        <w:tc>
          <w:tcPr>
            <w:tcW w:w="6570" w:type="dxa"/>
            <w:vAlign w:val="center"/>
          </w:tcPr>
          <w:p w14:paraId="4AEBF59E" w14:textId="5190F425" w:rsidR="003239B8" w:rsidRPr="00F803D0" w:rsidRDefault="00846E31" w:rsidP="005B6D22">
            <w:pPr>
              <w:jc w:val="both"/>
              <w:rPr>
                <w:rFonts w:asciiTheme="majorHAnsi" w:hAnsiTheme="majorHAnsi"/>
                <w:bCs/>
                <w:sz w:val="19"/>
                <w:szCs w:val="19"/>
                <w:lang w:val="es-ES"/>
              </w:rPr>
            </w:pPr>
            <w:r w:rsidRPr="00F803D0">
              <w:rPr>
                <w:rFonts w:asciiTheme="majorHAnsi" w:hAnsiTheme="majorHAnsi"/>
                <w:bCs/>
                <w:sz w:val="19"/>
                <w:szCs w:val="19"/>
                <w:lang w:val="es-ES"/>
              </w:rPr>
              <w:t>Pueblo Garífuna</w:t>
            </w:r>
            <w:r w:rsidR="008B145E" w:rsidRPr="00F803D0">
              <w:rPr>
                <w:rFonts w:asciiTheme="majorHAnsi" w:hAnsiTheme="majorHAnsi"/>
                <w:bCs/>
                <w:sz w:val="19"/>
                <w:szCs w:val="19"/>
                <w:lang w:val="es-ES"/>
              </w:rPr>
              <w:t xml:space="preserve"> de Honduras</w:t>
            </w:r>
          </w:p>
        </w:tc>
      </w:tr>
      <w:tr w:rsidR="003239B8" w:rsidRPr="00F803D0"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F803D0" w:rsidRDefault="00D77503" w:rsidP="00455D80">
            <w:pPr>
              <w:jc w:val="center"/>
              <w:rPr>
                <w:rFonts w:asciiTheme="majorHAnsi" w:hAnsiTheme="majorHAnsi"/>
                <w:bCs/>
                <w:color w:val="FFFFFF" w:themeColor="background1"/>
                <w:sz w:val="19"/>
                <w:szCs w:val="19"/>
                <w:lang w:val="es-ES"/>
              </w:rPr>
            </w:pPr>
            <w:r w:rsidRPr="00F803D0">
              <w:rPr>
                <w:rFonts w:asciiTheme="majorHAnsi" w:hAnsiTheme="majorHAnsi"/>
                <w:bCs/>
                <w:color w:val="FFFFFF" w:themeColor="background1"/>
                <w:sz w:val="19"/>
                <w:szCs w:val="19"/>
                <w:lang w:val="es-ES"/>
              </w:rPr>
              <w:t>Estado denunciado</w:t>
            </w:r>
          </w:p>
        </w:tc>
        <w:tc>
          <w:tcPr>
            <w:tcW w:w="6570" w:type="dxa"/>
            <w:vAlign w:val="center"/>
          </w:tcPr>
          <w:p w14:paraId="274C8A50" w14:textId="4B854BCF" w:rsidR="003239B8" w:rsidRPr="00F803D0" w:rsidRDefault="00846E31" w:rsidP="004B2B08">
            <w:pPr>
              <w:jc w:val="both"/>
              <w:rPr>
                <w:rFonts w:asciiTheme="majorHAnsi" w:hAnsiTheme="majorHAnsi"/>
                <w:bCs/>
                <w:sz w:val="19"/>
                <w:szCs w:val="19"/>
                <w:lang w:val="es-ES"/>
              </w:rPr>
            </w:pPr>
            <w:r w:rsidRPr="00F803D0">
              <w:rPr>
                <w:rFonts w:asciiTheme="majorHAnsi" w:hAnsiTheme="majorHAnsi"/>
                <w:bCs/>
                <w:sz w:val="19"/>
                <w:szCs w:val="19"/>
                <w:lang w:val="es-ES"/>
              </w:rPr>
              <w:t>Honduras</w:t>
            </w:r>
          </w:p>
        </w:tc>
      </w:tr>
      <w:tr w:rsidR="00223A29" w:rsidRPr="00F803D0"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F803D0" w:rsidRDefault="001B3A00" w:rsidP="00E4118C">
            <w:pPr>
              <w:jc w:val="center"/>
              <w:rPr>
                <w:rFonts w:asciiTheme="majorHAnsi" w:hAnsiTheme="majorHAnsi"/>
                <w:bCs/>
                <w:color w:val="FFFFFF" w:themeColor="background1"/>
                <w:sz w:val="19"/>
                <w:szCs w:val="19"/>
                <w:lang w:val="es-ES"/>
              </w:rPr>
            </w:pPr>
            <w:r w:rsidRPr="00F803D0">
              <w:rPr>
                <w:rFonts w:asciiTheme="majorHAnsi" w:hAnsiTheme="majorHAnsi"/>
                <w:bCs/>
                <w:color w:val="FFFFFF" w:themeColor="background1"/>
                <w:sz w:val="19"/>
                <w:szCs w:val="19"/>
                <w:lang w:val="es-ES"/>
              </w:rPr>
              <w:t xml:space="preserve">Derechos </w:t>
            </w:r>
            <w:r w:rsidR="00E4118C" w:rsidRPr="00F803D0">
              <w:rPr>
                <w:rFonts w:asciiTheme="majorHAnsi" w:hAnsiTheme="majorHAnsi"/>
                <w:bCs/>
                <w:color w:val="FFFFFF" w:themeColor="background1"/>
                <w:sz w:val="19"/>
                <w:szCs w:val="19"/>
                <w:lang w:val="es-ES"/>
              </w:rPr>
              <w:t>invocados</w:t>
            </w:r>
          </w:p>
        </w:tc>
        <w:tc>
          <w:tcPr>
            <w:tcW w:w="6570" w:type="dxa"/>
            <w:vAlign w:val="center"/>
          </w:tcPr>
          <w:p w14:paraId="6DEE1EEB" w14:textId="201320F4" w:rsidR="00975A4D" w:rsidRPr="00F803D0" w:rsidRDefault="008671A7" w:rsidP="008671A7">
            <w:pPr>
              <w:jc w:val="both"/>
              <w:rPr>
                <w:rFonts w:asciiTheme="majorHAnsi" w:hAnsiTheme="majorHAnsi"/>
                <w:bCs/>
                <w:sz w:val="19"/>
                <w:szCs w:val="19"/>
                <w:lang w:val="es-ES"/>
              </w:rPr>
            </w:pPr>
            <w:r w:rsidRPr="00F803D0">
              <w:rPr>
                <w:rFonts w:asciiTheme="majorHAnsi" w:hAnsiTheme="majorHAnsi"/>
                <w:bCs/>
                <w:sz w:val="19"/>
                <w:szCs w:val="19"/>
                <w:lang w:val="es-ES"/>
              </w:rPr>
              <w:t xml:space="preserve">Artículo </w:t>
            </w:r>
            <w:r w:rsidR="002C39E7" w:rsidRPr="00F803D0">
              <w:rPr>
                <w:rFonts w:asciiTheme="majorHAnsi" w:hAnsiTheme="majorHAnsi"/>
                <w:bCs/>
                <w:sz w:val="19"/>
                <w:szCs w:val="19"/>
                <w:lang w:val="es-ES"/>
              </w:rPr>
              <w:t>2</w:t>
            </w:r>
            <w:r w:rsidRPr="00F803D0">
              <w:rPr>
                <w:rFonts w:asciiTheme="majorHAnsi" w:hAnsiTheme="majorHAnsi"/>
                <w:bCs/>
                <w:sz w:val="19"/>
                <w:szCs w:val="19"/>
                <w:lang w:val="es-ES"/>
              </w:rPr>
              <w:t>1</w:t>
            </w:r>
            <w:r w:rsidR="002C39E7" w:rsidRPr="00F803D0">
              <w:rPr>
                <w:rFonts w:asciiTheme="majorHAnsi" w:hAnsiTheme="majorHAnsi"/>
                <w:bCs/>
                <w:sz w:val="19"/>
                <w:szCs w:val="19"/>
                <w:lang w:val="es-ES"/>
              </w:rPr>
              <w:t xml:space="preserve"> </w:t>
            </w:r>
            <w:r w:rsidRPr="00F803D0">
              <w:rPr>
                <w:rFonts w:asciiTheme="majorHAnsi" w:hAnsiTheme="majorHAnsi"/>
                <w:bCs/>
                <w:sz w:val="19"/>
                <w:szCs w:val="19"/>
                <w:lang w:val="es-ES"/>
              </w:rPr>
              <w:t xml:space="preserve">(derecho a la propiedad) </w:t>
            </w:r>
            <w:r w:rsidR="00BF514A" w:rsidRPr="00F803D0">
              <w:rPr>
                <w:rFonts w:asciiTheme="majorHAnsi" w:hAnsiTheme="majorHAnsi"/>
                <w:bCs/>
                <w:sz w:val="19"/>
                <w:szCs w:val="19"/>
                <w:lang w:val="es-ES"/>
              </w:rPr>
              <w:t>de la Convención Americana sobre Derechos Humanos</w:t>
            </w:r>
            <w:r w:rsidR="00BF514A" w:rsidRPr="00F803D0">
              <w:rPr>
                <w:rStyle w:val="FootnoteReference"/>
                <w:rFonts w:asciiTheme="majorHAnsi" w:hAnsiTheme="majorHAnsi"/>
                <w:bCs/>
                <w:sz w:val="19"/>
                <w:szCs w:val="19"/>
                <w:lang w:val="es-ES"/>
              </w:rPr>
              <w:footnoteReference w:id="2"/>
            </w:r>
            <w:r w:rsidR="00975A4D" w:rsidRPr="00F803D0">
              <w:rPr>
                <w:rFonts w:asciiTheme="majorHAnsi" w:hAnsiTheme="majorHAnsi"/>
                <w:bCs/>
                <w:sz w:val="19"/>
                <w:szCs w:val="19"/>
                <w:lang w:val="es-ES"/>
              </w:rPr>
              <w:t xml:space="preserve"> </w:t>
            </w:r>
            <w:r w:rsidRPr="00F803D0">
              <w:rPr>
                <w:rFonts w:asciiTheme="majorHAnsi" w:hAnsiTheme="majorHAnsi"/>
                <w:bCs/>
                <w:sz w:val="19"/>
                <w:szCs w:val="19"/>
                <w:lang w:val="es-ES"/>
              </w:rPr>
              <w:t xml:space="preserve">en relación con su artículo 1.1 y 2 y </w:t>
            </w:r>
            <w:r w:rsidR="00846E31" w:rsidRPr="00F803D0">
              <w:rPr>
                <w:rFonts w:asciiTheme="majorHAnsi" w:hAnsiTheme="majorHAnsi"/>
                <w:bCs/>
                <w:sz w:val="19"/>
                <w:szCs w:val="19"/>
                <w:lang w:val="es-ES"/>
              </w:rPr>
              <w:t>otros tratados</w:t>
            </w:r>
            <w:r w:rsidRPr="00F803D0">
              <w:rPr>
                <w:rFonts w:asciiTheme="majorHAnsi" w:hAnsiTheme="majorHAnsi"/>
                <w:bCs/>
                <w:sz w:val="19"/>
                <w:szCs w:val="19"/>
                <w:lang w:val="es-ES"/>
              </w:rPr>
              <w:t xml:space="preserve"> internacionales</w:t>
            </w:r>
            <w:r w:rsidR="00846E31" w:rsidRPr="00F803D0">
              <w:rPr>
                <w:rStyle w:val="FootnoteReference"/>
                <w:rFonts w:asciiTheme="majorHAnsi" w:hAnsiTheme="majorHAnsi"/>
                <w:bCs/>
                <w:sz w:val="19"/>
                <w:szCs w:val="19"/>
                <w:lang w:val="es-ES"/>
              </w:rPr>
              <w:footnoteReference w:id="3"/>
            </w:r>
          </w:p>
        </w:tc>
      </w:tr>
    </w:tbl>
    <w:p w14:paraId="3AFE6696" w14:textId="77777777" w:rsidR="00730A5E" w:rsidRPr="00F803D0" w:rsidRDefault="00730A5E" w:rsidP="00730A5E">
      <w:pPr>
        <w:pStyle w:val="ListParagraph"/>
        <w:jc w:val="both"/>
        <w:rPr>
          <w:rFonts w:asciiTheme="majorHAnsi" w:hAnsiTheme="majorHAnsi"/>
          <w:b/>
          <w:bCs/>
          <w:sz w:val="20"/>
          <w:szCs w:val="20"/>
          <w:lang w:val="es-ES"/>
        </w:rPr>
      </w:pPr>
    </w:p>
    <w:p w14:paraId="20263696" w14:textId="4CB24C3A" w:rsidR="003239B8" w:rsidRPr="00F803D0" w:rsidRDefault="003239B8" w:rsidP="00730A5E">
      <w:pPr>
        <w:pStyle w:val="ListParagraph"/>
        <w:numPr>
          <w:ilvl w:val="0"/>
          <w:numId w:val="60"/>
        </w:numPr>
        <w:ind w:left="0" w:firstLine="720"/>
        <w:jc w:val="both"/>
        <w:rPr>
          <w:rFonts w:asciiTheme="majorHAnsi" w:hAnsiTheme="majorHAnsi"/>
          <w:b/>
          <w:bCs/>
          <w:sz w:val="20"/>
          <w:szCs w:val="20"/>
          <w:lang w:val="es-ES"/>
        </w:rPr>
      </w:pPr>
      <w:r w:rsidRPr="00F803D0">
        <w:rPr>
          <w:rFonts w:asciiTheme="majorHAnsi" w:hAnsiTheme="majorHAnsi"/>
          <w:b/>
          <w:bCs/>
          <w:sz w:val="20"/>
          <w:szCs w:val="20"/>
          <w:lang w:val="es-ES"/>
        </w:rPr>
        <w:t>TRÁMITE ANTE LA CIDH</w:t>
      </w:r>
      <w:r w:rsidR="008E3BFE" w:rsidRPr="00F803D0">
        <w:rPr>
          <w:rStyle w:val="FootnoteReference"/>
          <w:rFonts w:asciiTheme="majorHAnsi" w:hAnsiTheme="majorHAnsi"/>
          <w:b/>
          <w:sz w:val="20"/>
          <w:szCs w:val="20"/>
          <w:lang w:val="es-ES"/>
        </w:rPr>
        <w:footnoteReference w:id="4"/>
      </w:r>
    </w:p>
    <w:p w14:paraId="6F232EB3" w14:textId="77777777" w:rsidR="00730A5E" w:rsidRPr="00F803D0" w:rsidRDefault="00730A5E" w:rsidP="00730A5E">
      <w:pPr>
        <w:pStyle w:val="ListParagraph"/>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F803D0"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F803D0" w:rsidRDefault="000C1C69" w:rsidP="004A6A54">
            <w:pPr>
              <w:jc w:val="center"/>
              <w:rPr>
                <w:rFonts w:asciiTheme="majorHAnsi" w:hAnsiTheme="majorHAnsi"/>
                <w:bCs/>
                <w:color w:val="FFFFFF" w:themeColor="background1"/>
                <w:sz w:val="19"/>
                <w:szCs w:val="19"/>
                <w:lang w:val="es-ES"/>
              </w:rPr>
            </w:pPr>
            <w:r w:rsidRPr="00F803D0">
              <w:rPr>
                <w:rFonts w:asciiTheme="majorHAnsi" w:hAnsiTheme="majorHAnsi"/>
                <w:bCs/>
                <w:color w:val="FFFFFF" w:themeColor="background1"/>
                <w:sz w:val="19"/>
                <w:szCs w:val="19"/>
                <w:lang w:val="es-ES"/>
              </w:rPr>
              <w:t>Recepción</w:t>
            </w:r>
            <w:r w:rsidR="00D77503" w:rsidRPr="00F803D0">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2938AACF" w:rsidR="004C2312" w:rsidRPr="00F803D0" w:rsidRDefault="00846E31" w:rsidP="00455D80">
            <w:pPr>
              <w:jc w:val="both"/>
              <w:rPr>
                <w:rFonts w:asciiTheme="majorHAnsi" w:hAnsiTheme="majorHAnsi"/>
                <w:bCs/>
                <w:sz w:val="19"/>
                <w:szCs w:val="19"/>
                <w:lang w:val="es-ES"/>
              </w:rPr>
            </w:pPr>
            <w:r w:rsidRPr="00F803D0">
              <w:rPr>
                <w:rFonts w:asciiTheme="majorHAnsi" w:hAnsiTheme="majorHAnsi"/>
                <w:bCs/>
                <w:sz w:val="19"/>
                <w:szCs w:val="19"/>
                <w:lang w:val="es-ES"/>
              </w:rPr>
              <w:t>6 de octubre de 2011</w:t>
            </w:r>
          </w:p>
        </w:tc>
      </w:tr>
      <w:tr w:rsidR="00E1018B" w:rsidRPr="00F803D0" w14:paraId="431BDF00" w14:textId="77777777" w:rsidTr="00954B82">
        <w:tc>
          <w:tcPr>
            <w:tcW w:w="2790" w:type="dxa"/>
            <w:tcBorders>
              <w:top w:val="single" w:sz="6" w:space="0" w:color="auto"/>
              <w:bottom w:val="single" w:sz="6" w:space="0" w:color="auto"/>
            </w:tcBorders>
            <w:shd w:val="clear" w:color="auto" w:fill="386294"/>
            <w:vAlign w:val="center"/>
          </w:tcPr>
          <w:p w14:paraId="2F2B9C67" w14:textId="46D64B5F" w:rsidR="00E1018B" w:rsidRPr="00F803D0" w:rsidRDefault="00E1018B" w:rsidP="004A6A54">
            <w:pPr>
              <w:jc w:val="center"/>
              <w:rPr>
                <w:rFonts w:asciiTheme="majorHAnsi" w:hAnsiTheme="majorHAnsi"/>
                <w:bCs/>
                <w:color w:val="FFFFFF" w:themeColor="background1"/>
                <w:sz w:val="19"/>
                <w:szCs w:val="19"/>
                <w:lang w:val="es-ES"/>
              </w:rPr>
            </w:pPr>
            <w:r w:rsidRPr="00F803D0">
              <w:rPr>
                <w:rFonts w:asciiTheme="majorHAnsi" w:hAnsiTheme="majorHAnsi"/>
                <w:bCs/>
                <w:color w:val="FFFFFF" w:themeColor="background1"/>
                <w:sz w:val="19"/>
                <w:szCs w:val="19"/>
                <w:lang w:val="es-ES"/>
              </w:rPr>
              <w:t>Información adicional recibida durante la etapa de estudio</w:t>
            </w:r>
          </w:p>
        </w:tc>
        <w:tc>
          <w:tcPr>
            <w:tcW w:w="6570" w:type="dxa"/>
            <w:vAlign w:val="center"/>
          </w:tcPr>
          <w:p w14:paraId="371BDDE1" w14:textId="7CEC5580" w:rsidR="00E1018B" w:rsidRPr="00F803D0" w:rsidRDefault="00BC0216" w:rsidP="00455D80">
            <w:pPr>
              <w:jc w:val="both"/>
              <w:rPr>
                <w:rFonts w:asciiTheme="majorHAnsi" w:hAnsiTheme="majorHAnsi"/>
                <w:bCs/>
                <w:sz w:val="19"/>
                <w:szCs w:val="19"/>
                <w:lang w:val="es-ES"/>
              </w:rPr>
            </w:pPr>
            <w:r w:rsidRPr="00F803D0">
              <w:rPr>
                <w:rFonts w:asciiTheme="majorHAnsi" w:hAnsiTheme="majorHAnsi"/>
                <w:bCs/>
                <w:sz w:val="19"/>
                <w:szCs w:val="19"/>
                <w:lang w:val="es-ES"/>
              </w:rPr>
              <w:t xml:space="preserve">7 de octubre de 2011; 23 de febrero, 23 de agosto y 20 de noviembre de 2012; 15 de </w:t>
            </w:r>
            <w:r w:rsidR="00664809" w:rsidRPr="00F803D0">
              <w:rPr>
                <w:rFonts w:asciiTheme="majorHAnsi" w:hAnsiTheme="majorHAnsi"/>
                <w:bCs/>
                <w:sz w:val="19"/>
                <w:szCs w:val="19"/>
                <w:lang w:val="es-ES"/>
              </w:rPr>
              <w:t>enero, 20</w:t>
            </w:r>
            <w:r w:rsidRPr="00F803D0">
              <w:rPr>
                <w:rFonts w:asciiTheme="majorHAnsi" w:hAnsiTheme="majorHAnsi"/>
                <w:bCs/>
                <w:sz w:val="19"/>
                <w:szCs w:val="19"/>
                <w:lang w:val="es-ES"/>
              </w:rPr>
              <w:t xml:space="preserve"> de agosto y 12 de septiembre de 2013; 16 de enero de 2014; </w:t>
            </w:r>
            <w:r w:rsidR="00664809" w:rsidRPr="00F803D0">
              <w:rPr>
                <w:rFonts w:asciiTheme="majorHAnsi" w:hAnsiTheme="majorHAnsi"/>
                <w:bCs/>
                <w:sz w:val="19"/>
                <w:szCs w:val="19"/>
                <w:lang w:val="es-ES"/>
              </w:rPr>
              <w:t xml:space="preserve">y </w:t>
            </w:r>
            <w:r w:rsidRPr="00F803D0">
              <w:rPr>
                <w:rFonts w:asciiTheme="majorHAnsi" w:hAnsiTheme="majorHAnsi"/>
                <w:bCs/>
                <w:sz w:val="19"/>
                <w:szCs w:val="19"/>
                <w:lang w:val="es-ES"/>
              </w:rPr>
              <w:t>21 de julio de 2016</w:t>
            </w:r>
          </w:p>
        </w:tc>
      </w:tr>
      <w:tr w:rsidR="004C2312" w:rsidRPr="00F803D0"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F803D0" w:rsidRDefault="004A6A54" w:rsidP="000C1C69">
            <w:pPr>
              <w:jc w:val="center"/>
              <w:rPr>
                <w:rFonts w:asciiTheme="majorHAnsi" w:hAnsiTheme="majorHAnsi"/>
                <w:bCs/>
                <w:color w:val="FFFFFF" w:themeColor="background1"/>
                <w:sz w:val="19"/>
                <w:szCs w:val="19"/>
                <w:lang w:val="es-ES"/>
              </w:rPr>
            </w:pPr>
            <w:r w:rsidRPr="00F803D0">
              <w:rPr>
                <w:rFonts w:asciiTheme="majorHAnsi" w:hAnsiTheme="majorHAnsi"/>
                <w:color w:val="FFFFFF" w:themeColor="background1"/>
                <w:sz w:val="19"/>
                <w:szCs w:val="19"/>
                <w:lang w:val="es-ES"/>
              </w:rPr>
              <w:t>N</w:t>
            </w:r>
            <w:r w:rsidR="004C2312" w:rsidRPr="00F803D0">
              <w:rPr>
                <w:rFonts w:asciiTheme="majorHAnsi" w:hAnsiTheme="majorHAnsi"/>
                <w:color w:val="FFFFFF" w:themeColor="background1"/>
                <w:sz w:val="19"/>
                <w:szCs w:val="19"/>
                <w:lang w:val="es-ES"/>
              </w:rPr>
              <w:t>otificación de la petición</w:t>
            </w:r>
          </w:p>
        </w:tc>
        <w:tc>
          <w:tcPr>
            <w:tcW w:w="6570" w:type="dxa"/>
            <w:vAlign w:val="center"/>
          </w:tcPr>
          <w:p w14:paraId="1519DA6A" w14:textId="16BCEBE0" w:rsidR="004C2312" w:rsidRPr="00F803D0" w:rsidRDefault="004B2B08" w:rsidP="00455D80">
            <w:pPr>
              <w:jc w:val="both"/>
              <w:rPr>
                <w:rFonts w:asciiTheme="majorHAnsi" w:hAnsiTheme="majorHAnsi"/>
                <w:bCs/>
                <w:sz w:val="19"/>
                <w:szCs w:val="19"/>
                <w:lang w:val="es-ES"/>
              </w:rPr>
            </w:pPr>
            <w:r w:rsidRPr="00F803D0">
              <w:rPr>
                <w:rFonts w:asciiTheme="majorHAnsi" w:hAnsiTheme="majorHAnsi"/>
                <w:bCs/>
                <w:sz w:val="19"/>
                <w:szCs w:val="19"/>
                <w:lang w:val="es-ES"/>
              </w:rPr>
              <w:t>12 de septiembre de 2018</w:t>
            </w:r>
          </w:p>
        </w:tc>
      </w:tr>
      <w:tr w:rsidR="00F06354" w:rsidRPr="00F803D0"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F803D0" w:rsidRDefault="00D77503" w:rsidP="00F06354">
            <w:pPr>
              <w:jc w:val="center"/>
              <w:rPr>
                <w:rFonts w:asciiTheme="majorHAnsi" w:hAnsiTheme="majorHAnsi"/>
                <w:bCs/>
                <w:color w:val="FFFFFF" w:themeColor="background1"/>
                <w:sz w:val="19"/>
                <w:szCs w:val="19"/>
                <w:lang w:val="es-ES"/>
              </w:rPr>
            </w:pPr>
            <w:r w:rsidRPr="00F803D0">
              <w:rPr>
                <w:rFonts w:asciiTheme="majorHAnsi" w:hAnsiTheme="majorHAnsi"/>
                <w:color w:val="FFFFFF" w:themeColor="background1"/>
                <w:sz w:val="19"/>
                <w:szCs w:val="19"/>
                <w:lang w:val="es-ES"/>
              </w:rPr>
              <w:t>Primera respuesta del Estado</w:t>
            </w:r>
          </w:p>
        </w:tc>
        <w:tc>
          <w:tcPr>
            <w:tcW w:w="6570" w:type="dxa"/>
            <w:vAlign w:val="center"/>
          </w:tcPr>
          <w:p w14:paraId="1972B99E" w14:textId="08D164F2" w:rsidR="00F06354" w:rsidRPr="00F803D0" w:rsidRDefault="004B2B08" w:rsidP="004B2B08">
            <w:pPr>
              <w:jc w:val="both"/>
              <w:rPr>
                <w:rFonts w:asciiTheme="majorHAnsi" w:hAnsiTheme="majorHAnsi"/>
                <w:bCs/>
                <w:sz w:val="19"/>
                <w:szCs w:val="19"/>
                <w:lang w:val="es-ES"/>
              </w:rPr>
            </w:pPr>
            <w:r w:rsidRPr="00F803D0">
              <w:rPr>
                <w:rFonts w:asciiTheme="majorHAnsi" w:hAnsiTheme="majorHAnsi"/>
                <w:bCs/>
                <w:sz w:val="19"/>
                <w:szCs w:val="19"/>
                <w:lang w:val="es-ES"/>
              </w:rPr>
              <w:t>12 de diciembre de 2018</w:t>
            </w:r>
          </w:p>
        </w:tc>
      </w:tr>
      <w:tr w:rsidR="00020137" w:rsidRPr="00F803D0" w14:paraId="31A1627C" w14:textId="77777777" w:rsidTr="00954B82">
        <w:tc>
          <w:tcPr>
            <w:tcW w:w="2790" w:type="dxa"/>
            <w:tcBorders>
              <w:top w:val="single" w:sz="6" w:space="0" w:color="auto"/>
              <w:bottom w:val="single" w:sz="6" w:space="0" w:color="auto"/>
            </w:tcBorders>
            <w:shd w:val="clear" w:color="auto" w:fill="386294"/>
            <w:vAlign w:val="center"/>
          </w:tcPr>
          <w:p w14:paraId="27DC1F40" w14:textId="174BF75B" w:rsidR="00020137" w:rsidRPr="00F803D0" w:rsidRDefault="00020137" w:rsidP="00F06354">
            <w:pPr>
              <w:jc w:val="center"/>
              <w:rPr>
                <w:rFonts w:asciiTheme="majorHAnsi" w:hAnsiTheme="majorHAnsi"/>
                <w:bCs/>
                <w:color w:val="FFFFFF" w:themeColor="background1"/>
                <w:sz w:val="19"/>
                <w:szCs w:val="19"/>
                <w:lang w:val="es-ES"/>
              </w:rPr>
            </w:pPr>
            <w:r w:rsidRPr="00F803D0">
              <w:rPr>
                <w:rFonts w:asciiTheme="majorHAnsi" w:hAnsiTheme="majorHAnsi"/>
                <w:bCs/>
                <w:color w:val="FFFFFF" w:themeColor="background1"/>
                <w:sz w:val="19"/>
                <w:szCs w:val="19"/>
                <w:lang w:val="es-ES"/>
              </w:rPr>
              <w:t>Advertencia sobre posible archivo</w:t>
            </w:r>
          </w:p>
        </w:tc>
        <w:tc>
          <w:tcPr>
            <w:tcW w:w="6570" w:type="dxa"/>
            <w:vAlign w:val="center"/>
          </w:tcPr>
          <w:p w14:paraId="42A79239" w14:textId="585D1C66" w:rsidR="00020137" w:rsidRPr="00F803D0" w:rsidRDefault="00020137" w:rsidP="006D5C7F">
            <w:pPr>
              <w:jc w:val="both"/>
              <w:rPr>
                <w:rFonts w:asciiTheme="majorHAnsi" w:hAnsiTheme="majorHAnsi"/>
                <w:bCs/>
                <w:sz w:val="19"/>
                <w:szCs w:val="19"/>
                <w:lang w:val="es-ES"/>
              </w:rPr>
            </w:pPr>
            <w:r w:rsidRPr="00F803D0">
              <w:rPr>
                <w:rFonts w:asciiTheme="majorHAnsi" w:hAnsiTheme="majorHAnsi"/>
                <w:bCs/>
                <w:sz w:val="19"/>
                <w:szCs w:val="19"/>
                <w:lang w:val="es-ES"/>
              </w:rPr>
              <w:t>8 de agosto de 2019</w:t>
            </w:r>
          </w:p>
        </w:tc>
      </w:tr>
    </w:tbl>
    <w:p w14:paraId="452867EA" w14:textId="77777777" w:rsidR="00730A5E" w:rsidRPr="00F803D0" w:rsidRDefault="00730A5E" w:rsidP="00730A5E">
      <w:pPr>
        <w:pStyle w:val="ListParagraph"/>
        <w:jc w:val="both"/>
        <w:rPr>
          <w:rFonts w:asciiTheme="majorHAnsi" w:hAnsiTheme="majorHAnsi"/>
          <w:b/>
          <w:bCs/>
          <w:sz w:val="20"/>
          <w:szCs w:val="20"/>
          <w:lang w:val="es-ES"/>
        </w:rPr>
      </w:pPr>
    </w:p>
    <w:p w14:paraId="21DAA666" w14:textId="736A0400" w:rsidR="003239B8" w:rsidRPr="00F803D0" w:rsidRDefault="003239B8" w:rsidP="00730A5E">
      <w:pPr>
        <w:pStyle w:val="ListParagraph"/>
        <w:numPr>
          <w:ilvl w:val="0"/>
          <w:numId w:val="60"/>
        </w:numPr>
        <w:ind w:left="0" w:firstLine="720"/>
        <w:jc w:val="both"/>
        <w:rPr>
          <w:rFonts w:asciiTheme="majorHAnsi" w:hAnsiTheme="majorHAnsi"/>
          <w:b/>
          <w:bCs/>
          <w:sz w:val="20"/>
          <w:szCs w:val="20"/>
          <w:lang w:val="es-ES"/>
        </w:rPr>
      </w:pPr>
      <w:r w:rsidRPr="00F803D0">
        <w:rPr>
          <w:rFonts w:asciiTheme="majorHAnsi" w:hAnsiTheme="majorHAnsi"/>
          <w:b/>
          <w:bCs/>
          <w:sz w:val="20"/>
          <w:szCs w:val="20"/>
          <w:lang w:val="es-ES"/>
        </w:rPr>
        <w:t>COMPETENCIA</w:t>
      </w:r>
      <w:r w:rsidR="00EE00E9" w:rsidRPr="00F803D0">
        <w:rPr>
          <w:rFonts w:asciiTheme="majorHAnsi" w:hAnsiTheme="majorHAnsi"/>
          <w:b/>
          <w:bCs/>
          <w:sz w:val="20"/>
          <w:szCs w:val="20"/>
          <w:lang w:val="es-ES"/>
        </w:rPr>
        <w:t xml:space="preserve"> </w:t>
      </w:r>
    </w:p>
    <w:p w14:paraId="7A4CE7EA" w14:textId="77777777" w:rsidR="00730A5E" w:rsidRPr="00F803D0" w:rsidRDefault="00730A5E" w:rsidP="00730A5E">
      <w:pPr>
        <w:pStyle w:val="ListParagraph"/>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F803D0"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F803D0" w:rsidRDefault="00D77503" w:rsidP="00455D80">
            <w:pPr>
              <w:jc w:val="center"/>
              <w:rPr>
                <w:rFonts w:asciiTheme="majorHAnsi" w:hAnsiTheme="majorHAnsi"/>
                <w:bCs/>
                <w:i/>
                <w:color w:val="FFFFFF" w:themeColor="background1"/>
                <w:sz w:val="19"/>
                <w:szCs w:val="19"/>
                <w:lang w:val="es-ES"/>
              </w:rPr>
            </w:pPr>
            <w:r w:rsidRPr="00F803D0">
              <w:rPr>
                <w:rFonts w:asciiTheme="majorHAnsi" w:hAnsiTheme="majorHAnsi"/>
                <w:bCs/>
                <w:i/>
                <w:color w:val="FFFFFF" w:themeColor="background1"/>
                <w:sz w:val="19"/>
                <w:szCs w:val="19"/>
                <w:lang w:val="es-ES"/>
              </w:rPr>
              <w:t>Ratione personae</w:t>
            </w:r>
          </w:p>
        </w:tc>
        <w:tc>
          <w:tcPr>
            <w:tcW w:w="6570" w:type="dxa"/>
            <w:vAlign w:val="center"/>
          </w:tcPr>
          <w:p w14:paraId="7707F3E9" w14:textId="19DA5766" w:rsidR="003239B8" w:rsidRPr="00F803D0" w:rsidRDefault="003473EB" w:rsidP="00455D80">
            <w:pPr>
              <w:rPr>
                <w:rFonts w:asciiTheme="majorHAnsi" w:hAnsiTheme="majorHAnsi"/>
                <w:bCs/>
                <w:sz w:val="19"/>
                <w:szCs w:val="19"/>
                <w:lang w:val="es-ES"/>
              </w:rPr>
            </w:pPr>
            <w:r w:rsidRPr="00F803D0">
              <w:rPr>
                <w:rFonts w:asciiTheme="majorHAnsi" w:hAnsiTheme="majorHAnsi"/>
                <w:bCs/>
                <w:sz w:val="19"/>
                <w:szCs w:val="19"/>
                <w:lang w:val="es-ES"/>
              </w:rPr>
              <w:t>Sí</w:t>
            </w:r>
          </w:p>
        </w:tc>
      </w:tr>
      <w:tr w:rsidR="003239B8" w:rsidRPr="00F803D0"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F803D0" w:rsidRDefault="003239B8" w:rsidP="00D77503">
            <w:pPr>
              <w:jc w:val="center"/>
              <w:rPr>
                <w:rFonts w:asciiTheme="majorHAnsi" w:hAnsiTheme="majorHAnsi"/>
                <w:bCs/>
                <w:color w:val="FFFFFF" w:themeColor="background1"/>
                <w:sz w:val="19"/>
                <w:szCs w:val="19"/>
                <w:lang w:val="es-ES"/>
              </w:rPr>
            </w:pPr>
            <w:r w:rsidRPr="00F803D0">
              <w:rPr>
                <w:rFonts w:asciiTheme="majorHAnsi" w:hAnsiTheme="majorHAnsi"/>
                <w:bCs/>
                <w:i/>
                <w:color w:val="FFFFFF" w:themeColor="background1"/>
                <w:sz w:val="19"/>
                <w:szCs w:val="19"/>
                <w:lang w:val="es-ES"/>
              </w:rPr>
              <w:t>Ratione loci</w:t>
            </w:r>
          </w:p>
        </w:tc>
        <w:tc>
          <w:tcPr>
            <w:tcW w:w="6570" w:type="dxa"/>
            <w:vAlign w:val="center"/>
          </w:tcPr>
          <w:p w14:paraId="12C931CB" w14:textId="15E70392" w:rsidR="003239B8" w:rsidRPr="00F803D0" w:rsidRDefault="003473EB" w:rsidP="00455D80">
            <w:pPr>
              <w:rPr>
                <w:rFonts w:asciiTheme="majorHAnsi" w:hAnsiTheme="majorHAnsi"/>
                <w:bCs/>
                <w:sz w:val="19"/>
                <w:szCs w:val="19"/>
                <w:lang w:val="es-ES"/>
              </w:rPr>
            </w:pPr>
            <w:r w:rsidRPr="00F803D0">
              <w:rPr>
                <w:rFonts w:asciiTheme="majorHAnsi" w:hAnsiTheme="majorHAnsi"/>
                <w:bCs/>
                <w:sz w:val="19"/>
                <w:szCs w:val="19"/>
                <w:lang w:val="es-ES"/>
              </w:rPr>
              <w:t>Sí</w:t>
            </w:r>
          </w:p>
        </w:tc>
      </w:tr>
      <w:tr w:rsidR="003239B8" w:rsidRPr="00F803D0"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F803D0" w:rsidRDefault="003239B8" w:rsidP="00455D80">
            <w:pPr>
              <w:jc w:val="center"/>
              <w:rPr>
                <w:rFonts w:asciiTheme="majorHAnsi" w:hAnsiTheme="majorHAnsi"/>
                <w:bCs/>
                <w:color w:val="FFFFFF" w:themeColor="background1"/>
                <w:sz w:val="19"/>
                <w:szCs w:val="19"/>
                <w:lang w:val="es-ES"/>
              </w:rPr>
            </w:pPr>
            <w:r w:rsidRPr="00F803D0">
              <w:rPr>
                <w:rFonts w:asciiTheme="majorHAnsi" w:hAnsiTheme="majorHAnsi"/>
                <w:bCs/>
                <w:i/>
                <w:color w:val="FFFFFF" w:themeColor="background1"/>
                <w:sz w:val="19"/>
                <w:szCs w:val="19"/>
                <w:lang w:val="es-ES"/>
              </w:rPr>
              <w:t>Ratione temporis</w:t>
            </w:r>
          </w:p>
        </w:tc>
        <w:tc>
          <w:tcPr>
            <w:tcW w:w="6570" w:type="dxa"/>
            <w:vAlign w:val="center"/>
          </w:tcPr>
          <w:p w14:paraId="6F8B059B" w14:textId="1E74EA27" w:rsidR="003239B8" w:rsidRPr="00F803D0" w:rsidRDefault="003473EB" w:rsidP="003473EB">
            <w:pPr>
              <w:rPr>
                <w:rFonts w:asciiTheme="majorHAnsi" w:hAnsiTheme="majorHAnsi"/>
                <w:bCs/>
                <w:sz w:val="19"/>
                <w:szCs w:val="19"/>
                <w:lang w:val="es-ES"/>
              </w:rPr>
            </w:pPr>
            <w:r w:rsidRPr="00F803D0">
              <w:rPr>
                <w:rFonts w:asciiTheme="majorHAnsi" w:hAnsiTheme="majorHAnsi"/>
                <w:bCs/>
                <w:sz w:val="19"/>
                <w:szCs w:val="19"/>
                <w:lang w:val="es-ES"/>
              </w:rPr>
              <w:t>Sí</w:t>
            </w:r>
          </w:p>
        </w:tc>
      </w:tr>
      <w:tr w:rsidR="003239B8" w:rsidRPr="00F803D0"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F803D0" w:rsidRDefault="003239B8" w:rsidP="00455D80">
            <w:pPr>
              <w:jc w:val="center"/>
              <w:rPr>
                <w:rFonts w:asciiTheme="majorHAnsi" w:hAnsiTheme="majorHAnsi"/>
                <w:bCs/>
                <w:color w:val="FFFFFF" w:themeColor="background1"/>
                <w:sz w:val="19"/>
                <w:szCs w:val="19"/>
                <w:lang w:val="es-ES"/>
              </w:rPr>
            </w:pPr>
            <w:r w:rsidRPr="00F803D0">
              <w:rPr>
                <w:rFonts w:asciiTheme="majorHAnsi" w:hAnsiTheme="majorHAnsi"/>
                <w:bCs/>
                <w:i/>
                <w:color w:val="FFFFFF" w:themeColor="background1"/>
                <w:sz w:val="19"/>
                <w:szCs w:val="19"/>
                <w:lang w:val="es-ES"/>
              </w:rPr>
              <w:t>Ratione materia</w:t>
            </w:r>
            <w:r w:rsidR="00EE00E9" w:rsidRPr="00F803D0">
              <w:rPr>
                <w:rFonts w:asciiTheme="majorHAnsi" w:hAnsiTheme="majorHAnsi"/>
                <w:bCs/>
                <w:i/>
                <w:color w:val="FFFFFF" w:themeColor="background1"/>
                <w:sz w:val="19"/>
                <w:szCs w:val="19"/>
                <w:lang w:val="es-ES"/>
              </w:rPr>
              <w:t>e</w:t>
            </w:r>
          </w:p>
        </w:tc>
        <w:tc>
          <w:tcPr>
            <w:tcW w:w="6570" w:type="dxa"/>
            <w:vAlign w:val="center"/>
          </w:tcPr>
          <w:p w14:paraId="0C122F44" w14:textId="4029CB9C" w:rsidR="003239B8" w:rsidRPr="00F803D0" w:rsidRDefault="003473EB" w:rsidP="00455D80">
            <w:pPr>
              <w:jc w:val="both"/>
              <w:rPr>
                <w:rFonts w:asciiTheme="majorHAnsi" w:hAnsiTheme="majorHAnsi"/>
                <w:bCs/>
                <w:sz w:val="19"/>
                <w:szCs w:val="19"/>
                <w:lang w:val="es-ES"/>
              </w:rPr>
            </w:pPr>
            <w:r w:rsidRPr="00F803D0">
              <w:rPr>
                <w:rFonts w:asciiTheme="majorHAnsi" w:hAnsiTheme="majorHAnsi"/>
                <w:bCs/>
                <w:sz w:val="19"/>
                <w:szCs w:val="19"/>
                <w:lang w:val="es-ES"/>
              </w:rPr>
              <w:t>Sí, Convención Americana (depósito de instrumento realizado el 8 de septiembre de 1977)</w:t>
            </w:r>
          </w:p>
        </w:tc>
      </w:tr>
    </w:tbl>
    <w:p w14:paraId="03FC9196" w14:textId="77777777" w:rsidR="00730A5E" w:rsidRPr="00F803D0" w:rsidRDefault="00730A5E" w:rsidP="00730A5E">
      <w:pPr>
        <w:pStyle w:val="ListParagraph"/>
        <w:jc w:val="both"/>
        <w:rPr>
          <w:rFonts w:asciiTheme="majorHAnsi" w:hAnsiTheme="majorHAnsi"/>
          <w:b/>
          <w:bCs/>
          <w:sz w:val="20"/>
          <w:szCs w:val="20"/>
          <w:lang w:val="es-ES"/>
        </w:rPr>
      </w:pPr>
    </w:p>
    <w:p w14:paraId="4E92C444" w14:textId="261303AE" w:rsidR="003239B8" w:rsidRPr="00F803D0" w:rsidRDefault="00EE00E9" w:rsidP="00730A5E">
      <w:pPr>
        <w:pStyle w:val="ListParagraph"/>
        <w:numPr>
          <w:ilvl w:val="0"/>
          <w:numId w:val="60"/>
        </w:numPr>
        <w:ind w:left="0" w:firstLine="720"/>
        <w:jc w:val="both"/>
        <w:rPr>
          <w:rFonts w:asciiTheme="majorHAnsi" w:hAnsiTheme="majorHAnsi"/>
          <w:b/>
          <w:bCs/>
          <w:sz w:val="20"/>
          <w:szCs w:val="20"/>
          <w:lang w:val="es-ES"/>
        </w:rPr>
      </w:pPr>
      <w:r w:rsidRPr="00F803D0">
        <w:rPr>
          <w:rFonts w:asciiTheme="majorHAnsi" w:hAnsiTheme="majorHAnsi"/>
          <w:b/>
          <w:bCs/>
          <w:sz w:val="20"/>
          <w:szCs w:val="20"/>
          <w:lang w:val="es-ES"/>
        </w:rPr>
        <w:t>DUPLICACIÓN</w:t>
      </w:r>
      <w:r w:rsidRPr="00F803D0">
        <w:rPr>
          <w:rFonts w:asciiTheme="majorHAnsi" w:hAnsiTheme="majorHAnsi"/>
          <w:b/>
          <w:bCs/>
          <w:color w:val="FFFFFF" w:themeColor="background1"/>
          <w:sz w:val="20"/>
          <w:szCs w:val="20"/>
          <w:lang w:val="es-ES"/>
        </w:rPr>
        <w:t xml:space="preserve"> </w:t>
      </w:r>
      <w:r w:rsidRPr="00F803D0">
        <w:rPr>
          <w:rFonts w:asciiTheme="majorHAnsi" w:hAnsiTheme="majorHAnsi"/>
          <w:b/>
          <w:bCs/>
          <w:sz w:val="20"/>
          <w:szCs w:val="20"/>
          <w:lang w:val="es-ES"/>
        </w:rPr>
        <w:t>DE PROCEDIMIENTOS Y COSA JUZGADA</w:t>
      </w:r>
      <w:r w:rsidRPr="00F803D0">
        <w:rPr>
          <w:rFonts w:asciiTheme="majorHAnsi" w:hAnsiTheme="majorHAnsi"/>
          <w:b/>
          <w:bCs/>
          <w:i/>
          <w:sz w:val="20"/>
          <w:szCs w:val="20"/>
          <w:lang w:val="es-ES"/>
        </w:rPr>
        <w:t xml:space="preserve"> </w:t>
      </w:r>
      <w:r w:rsidRPr="00F803D0">
        <w:rPr>
          <w:rFonts w:asciiTheme="majorHAnsi" w:hAnsiTheme="majorHAnsi"/>
          <w:b/>
          <w:bCs/>
          <w:sz w:val="20"/>
          <w:szCs w:val="20"/>
          <w:lang w:val="es-ES"/>
        </w:rPr>
        <w:t xml:space="preserve">INTERNACIONAL, </w:t>
      </w:r>
      <w:r w:rsidR="003239B8" w:rsidRPr="00F803D0">
        <w:rPr>
          <w:rFonts w:asciiTheme="majorHAnsi" w:hAnsiTheme="majorHAnsi"/>
          <w:b/>
          <w:bCs/>
          <w:sz w:val="20"/>
          <w:szCs w:val="20"/>
          <w:lang w:val="es-ES"/>
        </w:rPr>
        <w:t xml:space="preserve">CARACTERIZACIÓN, </w:t>
      </w:r>
      <w:r w:rsidR="003239B8" w:rsidRPr="00F803D0">
        <w:rPr>
          <w:rFonts w:asciiTheme="majorHAnsi" w:hAnsiTheme="majorHAnsi"/>
          <w:b/>
          <w:sz w:val="20"/>
          <w:szCs w:val="20"/>
          <w:lang w:val="es-ES"/>
        </w:rPr>
        <w:t>AGOTAMIENTO DE LOS RECURSOS INTERNOS Y PLAZO DE PRESENTACIÓN</w:t>
      </w:r>
    </w:p>
    <w:p w14:paraId="74BD87E3" w14:textId="77777777" w:rsidR="00730A5E" w:rsidRPr="00F803D0" w:rsidRDefault="00730A5E" w:rsidP="00730A5E">
      <w:pPr>
        <w:pStyle w:val="ListParagraph"/>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F803D0"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F803D0" w:rsidRDefault="00EE00E9" w:rsidP="00954B82">
            <w:pPr>
              <w:jc w:val="center"/>
              <w:rPr>
                <w:rFonts w:asciiTheme="majorHAnsi" w:hAnsiTheme="majorHAnsi"/>
                <w:bCs/>
                <w:color w:val="FFFFFF" w:themeColor="background1"/>
                <w:sz w:val="19"/>
                <w:szCs w:val="19"/>
                <w:lang w:val="es-ES"/>
              </w:rPr>
            </w:pPr>
            <w:r w:rsidRPr="00F803D0">
              <w:rPr>
                <w:rFonts w:asciiTheme="majorHAnsi" w:hAnsiTheme="majorHAnsi"/>
                <w:bCs/>
                <w:color w:val="FFFFFF" w:themeColor="background1"/>
                <w:sz w:val="19"/>
                <w:szCs w:val="19"/>
                <w:lang w:val="es-ES"/>
              </w:rPr>
              <w:t xml:space="preserve">Duplicación </w:t>
            </w:r>
            <w:r w:rsidR="00D77503" w:rsidRPr="00F803D0">
              <w:rPr>
                <w:rFonts w:asciiTheme="majorHAnsi" w:hAnsiTheme="majorHAnsi"/>
                <w:bCs/>
                <w:color w:val="FFFFFF" w:themeColor="background1"/>
                <w:sz w:val="19"/>
                <w:szCs w:val="19"/>
                <w:lang w:val="es-ES"/>
              </w:rPr>
              <w:t>y cosa juzgada internacional</w:t>
            </w:r>
          </w:p>
        </w:tc>
        <w:tc>
          <w:tcPr>
            <w:tcW w:w="6570" w:type="dxa"/>
            <w:vAlign w:val="center"/>
          </w:tcPr>
          <w:p w14:paraId="240941E6" w14:textId="54CA7F94" w:rsidR="00EE00E9" w:rsidRPr="00F803D0" w:rsidRDefault="00A507A6" w:rsidP="00455D80">
            <w:pPr>
              <w:jc w:val="both"/>
              <w:rPr>
                <w:rFonts w:asciiTheme="majorHAnsi" w:hAnsiTheme="majorHAnsi"/>
                <w:bCs/>
                <w:sz w:val="19"/>
                <w:szCs w:val="19"/>
                <w:lang w:val="es-ES"/>
              </w:rPr>
            </w:pPr>
            <w:r w:rsidRPr="00F803D0">
              <w:rPr>
                <w:rFonts w:asciiTheme="majorHAnsi" w:hAnsiTheme="majorHAnsi"/>
                <w:bCs/>
                <w:sz w:val="19"/>
                <w:szCs w:val="19"/>
                <w:lang w:val="es-ES"/>
              </w:rPr>
              <w:t>No</w:t>
            </w:r>
          </w:p>
        </w:tc>
      </w:tr>
      <w:tr w:rsidR="003239B8" w:rsidRPr="00F803D0"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F803D0" w:rsidRDefault="003239B8" w:rsidP="00954B82">
            <w:pPr>
              <w:jc w:val="center"/>
              <w:rPr>
                <w:rFonts w:asciiTheme="majorHAnsi" w:hAnsiTheme="majorHAnsi"/>
                <w:bCs/>
                <w:i/>
                <w:color w:val="FFFFFF" w:themeColor="background1"/>
                <w:sz w:val="19"/>
                <w:szCs w:val="19"/>
                <w:lang w:val="es-ES"/>
              </w:rPr>
            </w:pPr>
            <w:r w:rsidRPr="00F803D0">
              <w:rPr>
                <w:rFonts w:asciiTheme="majorHAnsi" w:hAnsiTheme="majorHAnsi"/>
                <w:bCs/>
                <w:color w:val="FFFFFF" w:themeColor="background1"/>
                <w:sz w:val="19"/>
                <w:szCs w:val="19"/>
                <w:lang w:val="es-ES"/>
              </w:rPr>
              <w:t>Derechos admi</w:t>
            </w:r>
            <w:r w:rsidR="00954B82" w:rsidRPr="00F803D0">
              <w:rPr>
                <w:rFonts w:asciiTheme="majorHAnsi" w:hAnsiTheme="majorHAnsi"/>
                <w:bCs/>
                <w:color w:val="FFFFFF" w:themeColor="background1"/>
                <w:sz w:val="19"/>
                <w:szCs w:val="19"/>
                <w:lang w:val="es-ES"/>
              </w:rPr>
              <w:t>tidos</w:t>
            </w:r>
          </w:p>
        </w:tc>
        <w:tc>
          <w:tcPr>
            <w:tcW w:w="6570" w:type="dxa"/>
            <w:vAlign w:val="center"/>
          </w:tcPr>
          <w:p w14:paraId="6310C8F7" w14:textId="1CF3296B" w:rsidR="003239B8" w:rsidRPr="00F803D0" w:rsidRDefault="00A507A6" w:rsidP="001479C0">
            <w:pPr>
              <w:jc w:val="both"/>
              <w:rPr>
                <w:rFonts w:asciiTheme="majorHAnsi" w:hAnsiTheme="majorHAnsi"/>
                <w:bCs/>
                <w:sz w:val="19"/>
                <w:szCs w:val="19"/>
                <w:lang w:val="es-ES"/>
              </w:rPr>
            </w:pPr>
            <w:r w:rsidRPr="00F803D0">
              <w:rPr>
                <w:rFonts w:asciiTheme="majorHAnsi" w:hAnsiTheme="majorHAnsi"/>
                <w:bCs/>
                <w:sz w:val="19"/>
                <w:szCs w:val="19"/>
                <w:lang w:val="es-ES"/>
              </w:rPr>
              <w:t>Artículo 21 (derecho a la propiedad), y 25 (protección judicial) de la Convención Americana en relación con el artículo 1.1 y 2 de dicho tratado.</w:t>
            </w:r>
          </w:p>
        </w:tc>
      </w:tr>
      <w:tr w:rsidR="003239B8" w:rsidRPr="00F803D0"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F803D0" w:rsidRDefault="003239B8" w:rsidP="00D77503">
            <w:pPr>
              <w:jc w:val="center"/>
              <w:rPr>
                <w:rFonts w:asciiTheme="majorHAnsi" w:hAnsiTheme="majorHAnsi"/>
                <w:bCs/>
                <w:color w:val="FFFFFF" w:themeColor="background1"/>
                <w:sz w:val="19"/>
                <w:szCs w:val="19"/>
                <w:lang w:val="es-ES"/>
              </w:rPr>
            </w:pPr>
            <w:r w:rsidRPr="00F803D0">
              <w:rPr>
                <w:rFonts w:asciiTheme="majorHAnsi" w:hAnsiTheme="majorHAnsi"/>
                <w:bCs/>
                <w:color w:val="FFFFFF" w:themeColor="background1"/>
                <w:sz w:val="19"/>
                <w:szCs w:val="19"/>
                <w:lang w:val="es-ES"/>
              </w:rPr>
              <w:t xml:space="preserve">Agotamiento de recursos </w:t>
            </w:r>
            <w:r w:rsidR="00D77503" w:rsidRPr="00F803D0">
              <w:rPr>
                <w:rFonts w:asciiTheme="majorHAnsi" w:hAnsiTheme="majorHAnsi"/>
                <w:bCs/>
                <w:color w:val="FFFFFF" w:themeColor="background1"/>
                <w:sz w:val="19"/>
                <w:szCs w:val="19"/>
                <w:lang w:val="es-ES"/>
              </w:rPr>
              <w:t>o procedencia de una excepción</w:t>
            </w:r>
          </w:p>
        </w:tc>
        <w:tc>
          <w:tcPr>
            <w:tcW w:w="6570" w:type="dxa"/>
            <w:vAlign w:val="center"/>
          </w:tcPr>
          <w:p w14:paraId="69C53E8A" w14:textId="7B9C9BE6" w:rsidR="003239B8" w:rsidRPr="00F803D0" w:rsidRDefault="00020137" w:rsidP="00BB3FBD">
            <w:pPr>
              <w:rPr>
                <w:rFonts w:asciiTheme="majorHAnsi" w:hAnsiTheme="majorHAnsi"/>
                <w:bCs/>
                <w:sz w:val="19"/>
                <w:szCs w:val="19"/>
                <w:lang w:val="es-ES"/>
              </w:rPr>
            </w:pPr>
            <w:r w:rsidRPr="00F803D0">
              <w:rPr>
                <w:rFonts w:asciiTheme="majorHAnsi" w:hAnsiTheme="majorHAnsi"/>
                <w:bCs/>
                <w:sz w:val="19"/>
                <w:szCs w:val="19"/>
                <w:lang w:val="es-ES"/>
              </w:rPr>
              <w:t>Sí, en los términos de la Sección VI</w:t>
            </w:r>
          </w:p>
        </w:tc>
      </w:tr>
      <w:tr w:rsidR="003239B8" w:rsidRPr="00F803D0"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F803D0" w:rsidRDefault="00D77503" w:rsidP="00455D80">
            <w:pPr>
              <w:jc w:val="center"/>
              <w:rPr>
                <w:rFonts w:asciiTheme="majorHAnsi" w:hAnsiTheme="majorHAnsi"/>
                <w:bCs/>
                <w:color w:val="FFFFFF" w:themeColor="background1"/>
                <w:sz w:val="19"/>
                <w:szCs w:val="19"/>
                <w:lang w:val="es-ES"/>
              </w:rPr>
            </w:pPr>
            <w:r w:rsidRPr="00F803D0">
              <w:rPr>
                <w:rFonts w:asciiTheme="majorHAnsi" w:hAnsiTheme="majorHAnsi"/>
                <w:bCs/>
                <w:color w:val="FFFFFF" w:themeColor="background1"/>
                <w:sz w:val="19"/>
                <w:szCs w:val="19"/>
                <w:lang w:val="es-ES"/>
              </w:rPr>
              <w:t>Presentación dentro de plazo</w:t>
            </w:r>
          </w:p>
        </w:tc>
        <w:tc>
          <w:tcPr>
            <w:tcW w:w="6570" w:type="dxa"/>
            <w:vAlign w:val="center"/>
          </w:tcPr>
          <w:p w14:paraId="4A2A4569" w14:textId="51B82020" w:rsidR="003239B8" w:rsidRPr="00F803D0" w:rsidRDefault="00020137" w:rsidP="00455D80">
            <w:pPr>
              <w:rPr>
                <w:rFonts w:asciiTheme="majorHAnsi" w:hAnsiTheme="majorHAnsi"/>
                <w:bCs/>
                <w:sz w:val="19"/>
                <w:szCs w:val="19"/>
                <w:lang w:val="es-ES"/>
              </w:rPr>
            </w:pPr>
            <w:r w:rsidRPr="00F803D0">
              <w:rPr>
                <w:rFonts w:asciiTheme="majorHAnsi" w:hAnsiTheme="majorHAnsi"/>
                <w:bCs/>
                <w:sz w:val="19"/>
                <w:szCs w:val="19"/>
                <w:lang w:val="es-ES"/>
              </w:rPr>
              <w:t>Sí, en los términos de la Sección VI</w:t>
            </w:r>
          </w:p>
        </w:tc>
      </w:tr>
    </w:tbl>
    <w:p w14:paraId="6FF08434" w14:textId="77777777" w:rsidR="00730A5E" w:rsidRPr="00F803D0" w:rsidRDefault="00730A5E" w:rsidP="00730A5E">
      <w:pPr>
        <w:pStyle w:val="ListParagraph"/>
        <w:jc w:val="both"/>
        <w:rPr>
          <w:rFonts w:asciiTheme="majorHAnsi" w:hAnsiTheme="majorHAnsi"/>
          <w:b/>
          <w:sz w:val="20"/>
          <w:szCs w:val="20"/>
          <w:lang w:val="es-ES"/>
        </w:rPr>
      </w:pPr>
    </w:p>
    <w:p w14:paraId="18E6423B" w14:textId="790CC409" w:rsidR="003239B8" w:rsidRPr="00F803D0" w:rsidRDefault="0034224A" w:rsidP="00730A5E">
      <w:pPr>
        <w:pStyle w:val="ListParagraph"/>
        <w:numPr>
          <w:ilvl w:val="0"/>
          <w:numId w:val="60"/>
        </w:numPr>
        <w:ind w:left="0" w:firstLine="720"/>
        <w:jc w:val="both"/>
        <w:rPr>
          <w:rFonts w:asciiTheme="majorHAnsi" w:hAnsiTheme="majorHAnsi"/>
          <w:b/>
          <w:sz w:val="20"/>
          <w:szCs w:val="20"/>
          <w:lang w:val="es-ES"/>
        </w:rPr>
      </w:pPr>
      <w:r w:rsidRPr="00F803D0">
        <w:rPr>
          <w:rFonts w:asciiTheme="majorHAnsi" w:hAnsiTheme="majorHAnsi"/>
          <w:b/>
          <w:sz w:val="20"/>
          <w:szCs w:val="20"/>
          <w:lang w:val="es-ES"/>
        </w:rPr>
        <w:t>RESUMEN DE LOS HECHOS ALEGADOS</w:t>
      </w:r>
    </w:p>
    <w:p w14:paraId="79C984ED" w14:textId="77777777" w:rsidR="00730A5E" w:rsidRPr="00F803D0" w:rsidRDefault="00730A5E" w:rsidP="007272A4">
      <w:pPr>
        <w:pStyle w:val="ListParagraph"/>
        <w:ind w:left="0" w:firstLine="720"/>
        <w:jc w:val="both"/>
        <w:rPr>
          <w:rFonts w:asciiTheme="majorHAnsi" w:hAnsiTheme="majorHAnsi"/>
          <w:b/>
          <w:sz w:val="20"/>
          <w:szCs w:val="20"/>
          <w:lang w:val="es-ES"/>
        </w:rPr>
      </w:pPr>
    </w:p>
    <w:p w14:paraId="1CFD1E41" w14:textId="0C310870" w:rsidR="00E95F04" w:rsidRPr="00F803D0" w:rsidRDefault="00FC7F44" w:rsidP="00CE54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F803D0">
        <w:rPr>
          <w:rFonts w:asciiTheme="majorHAnsi" w:eastAsia="Cambria" w:hAnsiTheme="majorHAnsi" w:cs="Cambria"/>
          <w:color w:val="000000"/>
          <w:sz w:val="20"/>
          <w:szCs w:val="20"/>
          <w:u w:color="000000"/>
          <w:lang w:val="es-ES" w:eastAsia="es-ES"/>
        </w:rPr>
        <w:t xml:space="preserve">La </w:t>
      </w:r>
      <w:r w:rsidR="00567F23" w:rsidRPr="00F803D0">
        <w:rPr>
          <w:rFonts w:asciiTheme="majorHAnsi" w:eastAsia="Cambria" w:hAnsiTheme="majorHAnsi" w:cs="Cambria"/>
          <w:color w:val="000000"/>
          <w:sz w:val="20"/>
          <w:szCs w:val="20"/>
          <w:u w:color="000000"/>
          <w:lang w:val="es-ES" w:eastAsia="es-ES"/>
        </w:rPr>
        <w:t>petición</w:t>
      </w:r>
      <w:r w:rsidRPr="00F803D0">
        <w:rPr>
          <w:rFonts w:asciiTheme="majorHAnsi" w:eastAsia="Cambria" w:hAnsiTheme="majorHAnsi" w:cs="Cambria"/>
          <w:color w:val="000000"/>
          <w:sz w:val="20"/>
          <w:szCs w:val="20"/>
          <w:u w:color="000000"/>
          <w:lang w:val="es-ES" w:eastAsia="es-ES"/>
        </w:rPr>
        <w:t xml:space="preserve"> presentad</w:t>
      </w:r>
      <w:r w:rsidR="00567F23" w:rsidRPr="00F803D0">
        <w:rPr>
          <w:rFonts w:asciiTheme="majorHAnsi" w:eastAsia="Cambria" w:hAnsiTheme="majorHAnsi" w:cs="Cambria"/>
          <w:color w:val="000000"/>
          <w:sz w:val="20"/>
          <w:szCs w:val="20"/>
          <w:u w:color="000000"/>
          <w:lang w:val="es-ES" w:eastAsia="es-ES"/>
        </w:rPr>
        <w:t>a</w:t>
      </w:r>
      <w:r w:rsidRPr="00F803D0">
        <w:rPr>
          <w:rFonts w:asciiTheme="majorHAnsi" w:eastAsia="Cambria" w:hAnsiTheme="majorHAnsi" w:cs="Cambria"/>
          <w:color w:val="000000"/>
          <w:sz w:val="20"/>
          <w:szCs w:val="20"/>
          <w:u w:color="000000"/>
          <w:lang w:val="es-ES" w:eastAsia="es-ES"/>
        </w:rPr>
        <w:t xml:space="preserve"> </w:t>
      </w:r>
      <w:r w:rsidR="00096EA1" w:rsidRPr="00F803D0">
        <w:rPr>
          <w:rFonts w:asciiTheme="majorHAnsi" w:eastAsia="Cambria" w:hAnsiTheme="majorHAnsi" w:cs="Cambria"/>
          <w:color w:val="000000"/>
          <w:sz w:val="20"/>
          <w:szCs w:val="20"/>
          <w:u w:color="000000"/>
          <w:lang w:val="es-ES" w:eastAsia="es-ES"/>
        </w:rPr>
        <w:t xml:space="preserve">por la Organización Fraternal Negra Hondureña (en adelante </w:t>
      </w:r>
      <w:r w:rsidR="00E22EE0" w:rsidRPr="00F803D0">
        <w:rPr>
          <w:rFonts w:asciiTheme="majorHAnsi" w:eastAsia="Cambria" w:hAnsiTheme="majorHAnsi" w:cs="Cambria"/>
          <w:color w:val="000000"/>
          <w:sz w:val="20"/>
          <w:szCs w:val="20"/>
          <w:u w:color="000000"/>
          <w:lang w:val="es-ES" w:eastAsia="es-ES"/>
        </w:rPr>
        <w:t>“</w:t>
      </w:r>
      <w:r w:rsidR="00E22EE0" w:rsidRPr="00F803D0">
        <w:rPr>
          <w:rFonts w:asciiTheme="majorHAnsi" w:hAnsiTheme="majorHAnsi"/>
          <w:sz w:val="20"/>
          <w:szCs w:val="20"/>
          <w:lang w:val="es-ES"/>
        </w:rPr>
        <w:t>OFRANEH</w:t>
      </w:r>
      <w:r w:rsidR="00E22EE0" w:rsidRPr="00F803D0">
        <w:rPr>
          <w:rFonts w:asciiTheme="majorHAnsi" w:eastAsia="Cambria" w:hAnsiTheme="majorHAnsi" w:cs="Cambria"/>
          <w:color w:val="000000"/>
          <w:sz w:val="20"/>
          <w:szCs w:val="20"/>
          <w:u w:color="000000"/>
          <w:lang w:val="es-ES" w:eastAsia="es-ES"/>
        </w:rPr>
        <w:t xml:space="preserve">” o </w:t>
      </w:r>
      <w:r w:rsidR="00096EA1" w:rsidRPr="00F803D0">
        <w:rPr>
          <w:rFonts w:asciiTheme="majorHAnsi" w:eastAsia="Cambria" w:hAnsiTheme="majorHAnsi" w:cs="Cambria"/>
          <w:color w:val="000000"/>
          <w:sz w:val="20"/>
          <w:szCs w:val="20"/>
          <w:u w:color="000000"/>
          <w:lang w:val="es-ES" w:eastAsia="es-ES"/>
        </w:rPr>
        <w:t xml:space="preserve">“la parte peticionaria”) </w:t>
      </w:r>
      <w:r w:rsidR="0058483F" w:rsidRPr="00F803D0">
        <w:rPr>
          <w:rFonts w:asciiTheme="majorHAnsi" w:eastAsia="Cambria" w:hAnsiTheme="majorHAnsi" w:cs="Cambria"/>
          <w:color w:val="000000"/>
          <w:sz w:val="20"/>
          <w:szCs w:val="20"/>
          <w:u w:color="000000"/>
          <w:lang w:val="es-ES" w:eastAsia="es-ES"/>
        </w:rPr>
        <w:t>en representación de</w:t>
      </w:r>
      <w:r w:rsidRPr="00F803D0">
        <w:rPr>
          <w:rFonts w:asciiTheme="majorHAnsi" w:eastAsia="Cambria" w:hAnsiTheme="majorHAnsi" w:cs="Cambria"/>
          <w:color w:val="000000"/>
          <w:sz w:val="20"/>
          <w:szCs w:val="20"/>
          <w:u w:color="000000"/>
          <w:lang w:val="es-ES" w:eastAsia="es-ES"/>
        </w:rPr>
        <w:t xml:space="preserve">l Pueblo </w:t>
      </w:r>
      <w:r w:rsidR="00567F23" w:rsidRPr="00F803D0">
        <w:rPr>
          <w:rFonts w:asciiTheme="majorHAnsi" w:eastAsia="Cambria" w:hAnsiTheme="majorHAnsi" w:cs="Cambria"/>
          <w:color w:val="000000"/>
          <w:sz w:val="20"/>
          <w:szCs w:val="20"/>
          <w:u w:color="000000"/>
          <w:lang w:val="es-ES" w:eastAsia="es-ES"/>
        </w:rPr>
        <w:t>Garífuna</w:t>
      </w:r>
      <w:r w:rsidRPr="00F803D0">
        <w:rPr>
          <w:rFonts w:asciiTheme="majorHAnsi" w:eastAsia="Cambria" w:hAnsiTheme="majorHAnsi" w:cs="Cambria"/>
          <w:color w:val="000000"/>
          <w:sz w:val="20"/>
          <w:szCs w:val="20"/>
          <w:u w:color="000000"/>
          <w:lang w:val="es-ES" w:eastAsia="es-ES"/>
        </w:rPr>
        <w:t xml:space="preserve"> </w:t>
      </w:r>
      <w:r w:rsidR="00033215" w:rsidRPr="00F803D0">
        <w:rPr>
          <w:rFonts w:asciiTheme="majorHAnsi" w:eastAsia="Cambria" w:hAnsiTheme="majorHAnsi" w:cs="Cambria"/>
          <w:color w:val="000000"/>
          <w:sz w:val="20"/>
          <w:szCs w:val="20"/>
          <w:u w:color="000000"/>
          <w:lang w:val="es-ES" w:eastAsia="es-ES"/>
        </w:rPr>
        <w:t>denuncia violaci</w:t>
      </w:r>
      <w:r w:rsidR="00B1251A" w:rsidRPr="00F803D0">
        <w:rPr>
          <w:rFonts w:asciiTheme="majorHAnsi" w:eastAsia="Cambria" w:hAnsiTheme="majorHAnsi" w:cs="Cambria"/>
          <w:color w:val="000000"/>
          <w:sz w:val="20"/>
          <w:szCs w:val="20"/>
          <w:u w:color="000000"/>
          <w:lang w:val="es-ES" w:eastAsia="es-ES"/>
        </w:rPr>
        <w:t xml:space="preserve">ones del </w:t>
      </w:r>
      <w:r w:rsidR="0058483F" w:rsidRPr="00F803D0">
        <w:rPr>
          <w:rFonts w:asciiTheme="majorHAnsi" w:eastAsia="Cambria" w:hAnsiTheme="majorHAnsi" w:cs="Cambria"/>
          <w:color w:val="000000"/>
          <w:sz w:val="20"/>
          <w:szCs w:val="20"/>
          <w:u w:color="000000"/>
          <w:lang w:val="es-ES" w:eastAsia="es-ES"/>
        </w:rPr>
        <w:t xml:space="preserve">derecho de propiedad colectiva sobre </w:t>
      </w:r>
      <w:r w:rsidR="00B1251A" w:rsidRPr="00F803D0">
        <w:rPr>
          <w:rFonts w:asciiTheme="majorHAnsi" w:eastAsia="Cambria" w:hAnsiTheme="majorHAnsi" w:cs="Cambria"/>
          <w:color w:val="000000"/>
          <w:sz w:val="20"/>
          <w:szCs w:val="20"/>
          <w:u w:color="000000"/>
          <w:lang w:val="es-ES" w:eastAsia="es-ES"/>
        </w:rPr>
        <w:t xml:space="preserve">el </w:t>
      </w:r>
      <w:r w:rsidRPr="00F803D0">
        <w:rPr>
          <w:rFonts w:asciiTheme="majorHAnsi" w:eastAsia="Cambria" w:hAnsiTheme="majorHAnsi" w:cs="Cambria"/>
          <w:color w:val="000000"/>
          <w:sz w:val="20"/>
          <w:szCs w:val="20"/>
          <w:u w:color="000000"/>
          <w:lang w:val="es-ES" w:eastAsia="es-ES"/>
        </w:rPr>
        <w:t>territorio ancestral</w:t>
      </w:r>
      <w:r w:rsidR="00033215" w:rsidRPr="00F803D0">
        <w:rPr>
          <w:rFonts w:asciiTheme="majorHAnsi" w:eastAsia="Cambria" w:hAnsiTheme="majorHAnsi" w:cs="Cambria"/>
          <w:color w:val="000000"/>
          <w:sz w:val="20"/>
          <w:szCs w:val="20"/>
          <w:u w:color="000000"/>
          <w:lang w:val="es-ES" w:eastAsia="es-ES"/>
        </w:rPr>
        <w:t xml:space="preserve"> de dicho pueblo</w:t>
      </w:r>
      <w:r w:rsidRPr="00F803D0">
        <w:rPr>
          <w:rFonts w:asciiTheme="majorHAnsi" w:eastAsia="Cambria" w:hAnsiTheme="majorHAnsi" w:cs="Cambria"/>
          <w:color w:val="000000"/>
          <w:sz w:val="20"/>
          <w:szCs w:val="20"/>
          <w:u w:color="000000"/>
          <w:lang w:val="es-ES" w:eastAsia="es-ES"/>
        </w:rPr>
        <w:t>.</w:t>
      </w:r>
      <w:r w:rsidR="00B1251A" w:rsidRPr="00F803D0">
        <w:rPr>
          <w:rFonts w:asciiTheme="majorHAnsi" w:eastAsia="Cambria" w:hAnsiTheme="majorHAnsi" w:cs="Cambria"/>
          <w:color w:val="000000"/>
          <w:sz w:val="20"/>
          <w:szCs w:val="20"/>
          <w:u w:color="000000"/>
          <w:lang w:val="es-ES" w:eastAsia="es-ES"/>
        </w:rPr>
        <w:t xml:space="preserve"> La parte </w:t>
      </w:r>
      <w:r w:rsidR="0058483F" w:rsidRPr="00F803D0">
        <w:rPr>
          <w:rFonts w:asciiTheme="majorHAnsi" w:hAnsiTheme="majorHAnsi"/>
          <w:sz w:val="20"/>
          <w:szCs w:val="20"/>
          <w:lang w:val="es-ES"/>
        </w:rPr>
        <w:t>peticionari</w:t>
      </w:r>
      <w:r w:rsidR="00B1251A" w:rsidRPr="00F803D0">
        <w:rPr>
          <w:rFonts w:asciiTheme="majorHAnsi" w:hAnsiTheme="majorHAnsi"/>
          <w:sz w:val="20"/>
          <w:szCs w:val="20"/>
          <w:lang w:val="es-ES"/>
        </w:rPr>
        <w:t>a</w:t>
      </w:r>
      <w:r w:rsidR="0058483F" w:rsidRPr="00F803D0">
        <w:rPr>
          <w:rFonts w:asciiTheme="majorHAnsi" w:hAnsiTheme="majorHAnsi"/>
          <w:sz w:val="20"/>
          <w:szCs w:val="20"/>
          <w:lang w:val="es-ES"/>
        </w:rPr>
        <w:t xml:space="preserve"> indica que </w:t>
      </w:r>
      <w:r w:rsidR="00B25A06" w:rsidRPr="00F803D0">
        <w:rPr>
          <w:rFonts w:asciiTheme="majorHAnsi" w:hAnsiTheme="majorHAnsi"/>
          <w:sz w:val="20"/>
          <w:szCs w:val="20"/>
          <w:lang w:val="es-ES"/>
        </w:rPr>
        <w:t>la L</w:t>
      </w:r>
      <w:r w:rsidR="0058483F" w:rsidRPr="00F803D0">
        <w:rPr>
          <w:rFonts w:asciiTheme="majorHAnsi" w:hAnsiTheme="majorHAnsi"/>
          <w:sz w:val="20"/>
          <w:szCs w:val="20"/>
          <w:lang w:val="es-ES"/>
        </w:rPr>
        <w:t xml:space="preserve">ey de </w:t>
      </w:r>
      <w:r w:rsidR="00B25A06" w:rsidRPr="00F803D0">
        <w:rPr>
          <w:rFonts w:asciiTheme="majorHAnsi" w:hAnsiTheme="majorHAnsi"/>
          <w:sz w:val="20"/>
          <w:szCs w:val="20"/>
          <w:lang w:val="es-ES"/>
        </w:rPr>
        <w:t>P</w:t>
      </w:r>
      <w:r w:rsidR="0058483F" w:rsidRPr="00F803D0">
        <w:rPr>
          <w:rFonts w:asciiTheme="majorHAnsi" w:hAnsiTheme="majorHAnsi"/>
          <w:sz w:val="20"/>
          <w:szCs w:val="20"/>
          <w:lang w:val="es-ES"/>
        </w:rPr>
        <w:t xml:space="preserve">ropiedad </w:t>
      </w:r>
      <w:r w:rsidR="00B25A06" w:rsidRPr="00F803D0">
        <w:rPr>
          <w:rFonts w:asciiTheme="majorHAnsi" w:hAnsiTheme="majorHAnsi"/>
          <w:sz w:val="20"/>
          <w:szCs w:val="20"/>
          <w:lang w:val="es-ES"/>
        </w:rPr>
        <w:t xml:space="preserve">fue promulgada en junio de 2004 </w:t>
      </w:r>
      <w:r w:rsidR="00AA6C1B" w:rsidRPr="00F803D0">
        <w:rPr>
          <w:rFonts w:asciiTheme="majorHAnsi" w:hAnsiTheme="majorHAnsi"/>
          <w:sz w:val="20"/>
          <w:szCs w:val="20"/>
          <w:lang w:val="es-ES"/>
        </w:rPr>
        <w:t xml:space="preserve">mediante </w:t>
      </w:r>
      <w:r w:rsidR="00A25681" w:rsidRPr="00F803D0">
        <w:rPr>
          <w:rFonts w:asciiTheme="majorHAnsi" w:hAnsiTheme="majorHAnsi"/>
          <w:sz w:val="20"/>
          <w:szCs w:val="20"/>
          <w:lang w:val="es-ES"/>
        </w:rPr>
        <w:t xml:space="preserve">el </w:t>
      </w:r>
      <w:r w:rsidR="00B25A06" w:rsidRPr="00F803D0">
        <w:rPr>
          <w:rFonts w:asciiTheme="majorHAnsi" w:hAnsiTheme="majorHAnsi"/>
          <w:sz w:val="20"/>
          <w:szCs w:val="20"/>
          <w:lang w:val="es-ES"/>
        </w:rPr>
        <w:t>Decreto No. 82-2004</w:t>
      </w:r>
      <w:r w:rsidR="00AA6C1B" w:rsidRPr="00F803D0">
        <w:rPr>
          <w:rFonts w:asciiTheme="majorHAnsi" w:hAnsiTheme="majorHAnsi"/>
          <w:sz w:val="20"/>
          <w:szCs w:val="20"/>
          <w:lang w:val="es-ES"/>
        </w:rPr>
        <w:t>,</w:t>
      </w:r>
      <w:r w:rsidR="00B25A06" w:rsidRPr="00F803D0">
        <w:rPr>
          <w:rFonts w:asciiTheme="majorHAnsi" w:hAnsiTheme="majorHAnsi"/>
          <w:sz w:val="20"/>
          <w:szCs w:val="20"/>
          <w:lang w:val="es-ES"/>
        </w:rPr>
        <w:t xml:space="preserve"> </w:t>
      </w:r>
      <w:r w:rsidR="0058483F" w:rsidRPr="00F803D0">
        <w:rPr>
          <w:rFonts w:asciiTheme="majorHAnsi" w:hAnsiTheme="majorHAnsi"/>
          <w:sz w:val="20"/>
          <w:szCs w:val="20"/>
          <w:lang w:val="es-ES"/>
        </w:rPr>
        <w:t xml:space="preserve">en el marco de una política de </w:t>
      </w:r>
      <w:r w:rsidR="00B1251A" w:rsidRPr="00F803D0">
        <w:rPr>
          <w:rFonts w:asciiTheme="majorHAnsi" w:hAnsiTheme="majorHAnsi"/>
          <w:sz w:val="20"/>
          <w:szCs w:val="20"/>
          <w:lang w:val="es-ES"/>
        </w:rPr>
        <w:t>E</w:t>
      </w:r>
      <w:r w:rsidR="0058483F" w:rsidRPr="00F803D0">
        <w:rPr>
          <w:rFonts w:asciiTheme="majorHAnsi" w:hAnsiTheme="majorHAnsi"/>
          <w:sz w:val="20"/>
          <w:szCs w:val="20"/>
          <w:lang w:val="es-ES"/>
        </w:rPr>
        <w:t>stado que permite la realización de todo tipo de negocios y actos jurídicos con lo</w:t>
      </w:r>
      <w:r w:rsidR="00B25A06" w:rsidRPr="00F803D0">
        <w:rPr>
          <w:rFonts w:asciiTheme="majorHAnsi" w:hAnsiTheme="majorHAnsi"/>
          <w:sz w:val="20"/>
          <w:szCs w:val="20"/>
          <w:lang w:val="es-ES"/>
        </w:rPr>
        <w:t xml:space="preserve">s bienes sujetos a </w:t>
      </w:r>
      <w:r w:rsidR="00B1251A" w:rsidRPr="00F803D0">
        <w:rPr>
          <w:rFonts w:asciiTheme="majorHAnsi" w:hAnsiTheme="majorHAnsi"/>
          <w:sz w:val="20"/>
          <w:szCs w:val="20"/>
          <w:lang w:val="es-ES"/>
        </w:rPr>
        <w:t>dicho</w:t>
      </w:r>
      <w:r w:rsidR="00B25A06" w:rsidRPr="00F803D0">
        <w:rPr>
          <w:rFonts w:asciiTheme="majorHAnsi" w:hAnsiTheme="majorHAnsi"/>
          <w:sz w:val="20"/>
          <w:szCs w:val="20"/>
          <w:lang w:val="es-ES"/>
        </w:rPr>
        <w:t xml:space="preserve"> régimen</w:t>
      </w:r>
      <w:r w:rsidR="0058483F" w:rsidRPr="00F803D0">
        <w:rPr>
          <w:rFonts w:asciiTheme="majorHAnsi" w:hAnsiTheme="majorHAnsi"/>
          <w:sz w:val="20"/>
          <w:szCs w:val="20"/>
          <w:lang w:val="es-ES"/>
        </w:rPr>
        <w:t xml:space="preserve">. </w:t>
      </w:r>
      <w:r w:rsidR="00B1251A" w:rsidRPr="00F803D0">
        <w:rPr>
          <w:rFonts w:asciiTheme="majorHAnsi" w:hAnsiTheme="majorHAnsi"/>
          <w:sz w:val="20"/>
          <w:szCs w:val="20"/>
          <w:lang w:val="es-ES"/>
        </w:rPr>
        <w:t xml:space="preserve">Sostiene </w:t>
      </w:r>
      <w:r w:rsidR="00B25A06" w:rsidRPr="00F803D0">
        <w:rPr>
          <w:rFonts w:asciiTheme="majorHAnsi" w:hAnsiTheme="majorHAnsi"/>
          <w:sz w:val="20"/>
          <w:szCs w:val="20"/>
          <w:lang w:val="es-ES"/>
        </w:rPr>
        <w:t xml:space="preserve">que </w:t>
      </w:r>
      <w:r w:rsidR="00B1251A" w:rsidRPr="00F803D0">
        <w:rPr>
          <w:rFonts w:asciiTheme="majorHAnsi" w:hAnsiTheme="majorHAnsi"/>
          <w:sz w:val="20"/>
          <w:szCs w:val="20"/>
          <w:lang w:val="es-ES"/>
        </w:rPr>
        <w:t xml:space="preserve">la </w:t>
      </w:r>
      <w:r w:rsidR="0058483F" w:rsidRPr="00F803D0">
        <w:rPr>
          <w:rFonts w:asciiTheme="majorHAnsi" w:hAnsiTheme="majorHAnsi"/>
          <w:sz w:val="20"/>
          <w:szCs w:val="20"/>
          <w:lang w:val="es-ES"/>
        </w:rPr>
        <w:t xml:space="preserve">ley contiene una profunda reforma </w:t>
      </w:r>
      <w:r w:rsidR="00B1251A" w:rsidRPr="00F803D0">
        <w:rPr>
          <w:rFonts w:asciiTheme="majorHAnsi" w:hAnsiTheme="majorHAnsi"/>
          <w:sz w:val="20"/>
          <w:szCs w:val="20"/>
          <w:lang w:val="es-ES"/>
        </w:rPr>
        <w:t>de</w:t>
      </w:r>
      <w:r w:rsidR="0058483F" w:rsidRPr="00F803D0">
        <w:rPr>
          <w:rFonts w:asciiTheme="majorHAnsi" w:hAnsiTheme="majorHAnsi"/>
          <w:sz w:val="20"/>
          <w:szCs w:val="20"/>
          <w:lang w:val="es-ES"/>
        </w:rPr>
        <w:t xml:space="preserve"> la normativa e instit</w:t>
      </w:r>
      <w:r w:rsidR="00B25A06" w:rsidRPr="00F803D0">
        <w:rPr>
          <w:rFonts w:asciiTheme="majorHAnsi" w:hAnsiTheme="majorHAnsi"/>
          <w:sz w:val="20"/>
          <w:szCs w:val="20"/>
          <w:lang w:val="es-ES"/>
        </w:rPr>
        <w:t xml:space="preserve">ucionalidad que hasta entonces </w:t>
      </w:r>
      <w:r w:rsidR="0058483F" w:rsidRPr="00F803D0">
        <w:rPr>
          <w:rFonts w:asciiTheme="majorHAnsi" w:hAnsiTheme="majorHAnsi"/>
          <w:sz w:val="20"/>
          <w:szCs w:val="20"/>
          <w:lang w:val="es-ES"/>
        </w:rPr>
        <w:t>regulaban en forma general los procesos de registro de propiedad</w:t>
      </w:r>
      <w:r w:rsidR="00B1251A" w:rsidRPr="00F803D0">
        <w:rPr>
          <w:rFonts w:asciiTheme="majorHAnsi" w:hAnsiTheme="majorHAnsi"/>
          <w:sz w:val="20"/>
          <w:szCs w:val="20"/>
          <w:lang w:val="es-ES"/>
        </w:rPr>
        <w:t>; y que</w:t>
      </w:r>
      <w:r w:rsidR="00B25A06" w:rsidRPr="00F803D0">
        <w:rPr>
          <w:rFonts w:asciiTheme="majorHAnsi" w:hAnsiTheme="majorHAnsi"/>
          <w:sz w:val="20"/>
          <w:szCs w:val="20"/>
          <w:lang w:val="es-ES"/>
        </w:rPr>
        <w:t xml:space="preserve"> </w:t>
      </w:r>
      <w:r w:rsidR="0058483F" w:rsidRPr="00F803D0">
        <w:rPr>
          <w:rFonts w:asciiTheme="majorHAnsi" w:hAnsiTheme="majorHAnsi"/>
          <w:sz w:val="20"/>
          <w:szCs w:val="20"/>
          <w:lang w:val="es-ES"/>
        </w:rPr>
        <w:t>introduce nuevas figuras jurídicas de derecho civil que modifican el derecho sustantivo, específicamente en cuanto al derecho de propiedad inmueble</w:t>
      </w:r>
      <w:r w:rsidR="00920C61" w:rsidRPr="00F803D0">
        <w:rPr>
          <w:rFonts w:asciiTheme="majorHAnsi" w:hAnsiTheme="majorHAnsi"/>
          <w:sz w:val="20"/>
          <w:szCs w:val="20"/>
          <w:lang w:val="es-ES"/>
        </w:rPr>
        <w:t xml:space="preserve"> a través de</w:t>
      </w:r>
      <w:r w:rsidR="0058483F" w:rsidRPr="00F803D0">
        <w:rPr>
          <w:rFonts w:asciiTheme="majorHAnsi" w:hAnsiTheme="majorHAnsi"/>
          <w:sz w:val="20"/>
          <w:szCs w:val="20"/>
          <w:lang w:val="es-ES"/>
        </w:rPr>
        <w:t>l Catastro, la Regularización y el Registro en Folio Rea</w:t>
      </w:r>
      <w:r w:rsidR="00E8310D" w:rsidRPr="00F803D0">
        <w:rPr>
          <w:rFonts w:asciiTheme="majorHAnsi" w:hAnsiTheme="majorHAnsi"/>
          <w:sz w:val="20"/>
          <w:szCs w:val="20"/>
          <w:lang w:val="es-ES"/>
        </w:rPr>
        <w:t>l</w:t>
      </w:r>
      <w:r w:rsidR="00920C61" w:rsidRPr="00F803D0">
        <w:rPr>
          <w:rFonts w:asciiTheme="majorHAnsi" w:hAnsiTheme="majorHAnsi"/>
          <w:sz w:val="20"/>
          <w:szCs w:val="20"/>
          <w:lang w:val="es-ES"/>
        </w:rPr>
        <w:t xml:space="preserve">. Agrega que </w:t>
      </w:r>
      <w:r w:rsidR="00A54195" w:rsidRPr="00F803D0">
        <w:rPr>
          <w:rFonts w:asciiTheme="majorHAnsi" w:hAnsiTheme="majorHAnsi"/>
          <w:sz w:val="20"/>
          <w:szCs w:val="20"/>
          <w:lang w:val="es-ES"/>
        </w:rPr>
        <w:t xml:space="preserve">el proceso de </w:t>
      </w:r>
      <w:r w:rsidR="00920C61" w:rsidRPr="00F803D0">
        <w:rPr>
          <w:rFonts w:asciiTheme="majorHAnsi" w:hAnsiTheme="majorHAnsi"/>
          <w:sz w:val="20"/>
          <w:szCs w:val="20"/>
          <w:lang w:val="es-ES"/>
        </w:rPr>
        <w:t xml:space="preserve">regularización </w:t>
      </w:r>
      <w:r w:rsidR="0058483F" w:rsidRPr="00F803D0">
        <w:rPr>
          <w:rFonts w:asciiTheme="majorHAnsi" w:hAnsiTheme="majorHAnsi"/>
          <w:sz w:val="20"/>
          <w:szCs w:val="20"/>
          <w:lang w:val="es-ES"/>
        </w:rPr>
        <w:t>sustitu</w:t>
      </w:r>
      <w:r w:rsidR="00B1251A" w:rsidRPr="00F803D0">
        <w:rPr>
          <w:rFonts w:asciiTheme="majorHAnsi" w:hAnsiTheme="majorHAnsi"/>
          <w:sz w:val="20"/>
          <w:szCs w:val="20"/>
          <w:lang w:val="es-ES"/>
        </w:rPr>
        <w:t>ye</w:t>
      </w:r>
      <w:r w:rsidR="0058483F" w:rsidRPr="00F803D0">
        <w:rPr>
          <w:rFonts w:asciiTheme="majorHAnsi" w:hAnsiTheme="majorHAnsi"/>
          <w:sz w:val="20"/>
          <w:szCs w:val="20"/>
          <w:lang w:val="es-ES"/>
        </w:rPr>
        <w:t xml:space="preserve"> algunos modos de adquirir la propiedad </w:t>
      </w:r>
      <w:r w:rsidR="00920C61" w:rsidRPr="00F803D0">
        <w:rPr>
          <w:rFonts w:asciiTheme="majorHAnsi" w:hAnsiTheme="majorHAnsi"/>
          <w:sz w:val="20"/>
          <w:szCs w:val="20"/>
          <w:lang w:val="es-ES"/>
        </w:rPr>
        <w:t>establecidos en</w:t>
      </w:r>
      <w:r w:rsidR="007B64BA" w:rsidRPr="00F803D0">
        <w:rPr>
          <w:rFonts w:asciiTheme="majorHAnsi" w:hAnsiTheme="majorHAnsi"/>
          <w:sz w:val="20"/>
          <w:szCs w:val="20"/>
          <w:lang w:val="es-ES"/>
        </w:rPr>
        <w:t xml:space="preserve"> marco normativo </w:t>
      </w:r>
      <w:r w:rsidR="007B64BA" w:rsidRPr="00F803D0">
        <w:rPr>
          <w:rFonts w:asciiTheme="majorHAnsi" w:hAnsiTheme="majorHAnsi"/>
          <w:sz w:val="20"/>
          <w:szCs w:val="20"/>
          <w:lang w:val="es-ES"/>
        </w:rPr>
        <w:lastRenderedPageBreak/>
        <w:t xml:space="preserve">hondureño </w:t>
      </w:r>
      <w:r w:rsidR="0058483F" w:rsidRPr="00F803D0">
        <w:rPr>
          <w:rFonts w:asciiTheme="majorHAnsi" w:hAnsiTheme="majorHAnsi"/>
          <w:sz w:val="20"/>
          <w:szCs w:val="20"/>
          <w:lang w:val="es-ES"/>
        </w:rPr>
        <w:t>por un proceso meramente administrativo</w:t>
      </w:r>
      <w:r w:rsidR="00B1251A" w:rsidRPr="00F803D0">
        <w:rPr>
          <w:rFonts w:asciiTheme="majorHAnsi" w:hAnsiTheme="majorHAnsi"/>
          <w:sz w:val="20"/>
          <w:szCs w:val="20"/>
          <w:lang w:val="es-ES"/>
        </w:rPr>
        <w:t>,</w:t>
      </w:r>
      <w:r w:rsidR="0058483F" w:rsidRPr="00F803D0">
        <w:rPr>
          <w:rFonts w:asciiTheme="majorHAnsi" w:hAnsiTheme="majorHAnsi"/>
          <w:sz w:val="20"/>
          <w:szCs w:val="20"/>
          <w:lang w:val="es-ES"/>
        </w:rPr>
        <w:t xml:space="preserve"> que fusiona en una misma figura jurídi</w:t>
      </w:r>
      <w:r w:rsidR="00920C61" w:rsidRPr="00F803D0">
        <w:rPr>
          <w:rFonts w:asciiTheme="majorHAnsi" w:hAnsiTheme="majorHAnsi"/>
          <w:sz w:val="20"/>
          <w:szCs w:val="20"/>
          <w:lang w:val="es-ES"/>
        </w:rPr>
        <w:t>ca</w:t>
      </w:r>
      <w:r w:rsidR="0058483F" w:rsidRPr="00F803D0">
        <w:rPr>
          <w:rFonts w:asciiTheme="majorHAnsi" w:hAnsiTheme="majorHAnsi"/>
          <w:sz w:val="20"/>
          <w:szCs w:val="20"/>
          <w:lang w:val="es-ES"/>
        </w:rPr>
        <w:t xml:space="preserve"> los derechos de propiedad civil individual y los de propiedad comunal de los pueb</w:t>
      </w:r>
      <w:r w:rsidR="00920C61" w:rsidRPr="00F803D0">
        <w:rPr>
          <w:rFonts w:asciiTheme="majorHAnsi" w:hAnsiTheme="majorHAnsi"/>
          <w:sz w:val="20"/>
          <w:szCs w:val="20"/>
          <w:lang w:val="es-ES"/>
        </w:rPr>
        <w:t>los indígenas y negros del país</w:t>
      </w:r>
      <w:r w:rsidR="00DE276C" w:rsidRPr="00F803D0">
        <w:rPr>
          <w:rStyle w:val="FootnoteReference"/>
          <w:rFonts w:asciiTheme="majorHAnsi" w:hAnsiTheme="majorHAnsi"/>
          <w:sz w:val="20"/>
          <w:szCs w:val="20"/>
          <w:lang w:val="es-ES"/>
        </w:rPr>
        <w:footnoteReference w:id="5"/>
      </w:r>
      <w:r w:rsidR="00E95F04" w:rsidRPr="00F803D0">
        <w:rPr>
          <w:rFonts w:asciiTheme="majorHAnsi" w:hAnsiTheme="majorHAnsi"/>
          <w:sz w:val="20"/>
          <w:szCs w:val="20"/>
          <w:lang w:val="es-ES"/>
        </w:rPr>
        <w:t xml:space="preserve">. </w:t>
      </w:r>
      <w:r w:rsidR="00B1251A" w:rsidRPr="00F803D0">
        <w:rPr>
          <w:rFonts w:asciiTheme="majorHAnsi" w:hAnsiTheme="majorHAnsi"/>
          <w:sz w:val="20"/>
          <w:szCs w:val="20"/>
          <w:lang w:val="es-ES"/>
        </w:rPr>
        <w:t xml:space="preserve">La parte peticionaria señala </w:t>
      </w:r>
      <w:r w:rsidR="001B1C0E" w:rsidRPr="00F803D0">
        <w:rPr>
          <w:rFonts w:asciiTheme="majorHAnsi" w:hAnsiTheme="majorHAnsi"/>
          <w:sz w:val="20"/>
          <w:szCs w:val="20"/>
          <w:lang w:val="es-ES"/>
        </w:rPr>
        <w:t xml:space="preserve">que el Capítulo III del Título V de la Ley de Propiedad es la única norma que hace referencia precisa a los pueblos indígenas y </w:t>
      </w:r>
      <w:r w:rsidR="00B1251A" w:rsidRPr="00F803D0">
        <w:rPr>
          <w:rFonts w:asciiTheme="majorHAnsi" w:hAnsiTheme="majorHAnsi"/>
          <w:sz w:val="20"/>
          <w:szCs w:val="20"/>
          <w:lang w:val="es-ES"/>
        </w:rPr>
        <w:t>afro hondureños</w:t>
      </w:r>
      <w:r w:rsidR="001B1C0E" w:rsidRPr="00F803D0">
        <w:rPr>
          <w:rFonts w:asciiTheme="majorHAnsi" w:hAnsiTheme="majorHAnsi"/>
          <w:sz w:val="20"/>
          <w:szCs w:val="20"/>
          <w:lang w:val="es-ES"/>
        </w:rPr>
        <w:t xml:space="preserve"> y al proceso de regularización de la propiedad inmueble</w:t>
      </w:r>
      <w:r w:rsidR="00B1251A" w:rsidRPr="00F803D0">
        <w:rPr>
          <w:rFonts w:asciiTheme="majorHAnsi" w:hAnsiTheme="majorHAnsi"/>
          <w:sz w:val="20"/>
          <w:szCs w:val="20"/>
          <w:lang w:val="es-ES"/>
        </w:rPr>
        <w:t>; sin embargo, considera que</w:t>
      </w:r>
      <w:r w:rsidR="001B1C0E" w:rsidRPr="00F803D0">
        <w:rPr>
          <w:rFonts w:asciiTheme="majorHAnsi" w:hAnsiTheme="majorHAnsi"/>
          <w:sz w:val="20"/>
          <w:szCs w:val="20"/>
          <w:lang w:val="es-ES"/>
        </w:rPr>
        <w:t xml:space="preserve"> </w:t>
      </w:r>
      <w:r w:rsidR="00B1251A" w:rsidRPr="00F803D0">
        <w:rPr>
          <w:rFonts w:asciiTheme="majorHAnsi" w:hAnsiTheme="majorHAnsi"/>
          <w:sz w:val="20"/>
          <w:szCs w:val="20"/>
          <w:lang w:val="es-ES"/>
        </w:rPr>
        <w:t>sus</w:t>
      </w:r>
      <w:r w:rsidR="001B1C0E" w:rsidRPr="00F803D0">
        <w:rPr>
          <w:rFonts w:asciiTheme="majorHAnsi" w:hAnsiTheme="majorHAnsi"/>
          <w:sz w:val="20"/>
          <w:szCs w:val="20"/>
          <w:lang w:val="es-ES"/>
        </w:rPr>
        <w:t xml:space="preserve"> disposiciones atentan contra las obligaciones contraídas por el Estado en diferentes instrumentos internacionales. </w:t>
      </w:r>
      <w:r w:rsidR="00B1251A" w:rsidRPr="00F803D0">
        <w:rPr>
          <w:rFonts w:asciiTheme="majorHAnsi" w:hAnsiTheme="majorHAnsi"/>
          <w:sz w:val="20"/>
          <w:szCs w:val="20"/>
          <w:lang w:val="es-ES"/>
        </w:rPr>
        <w:t xml:space="preserve">En su opinión, </w:t>
      </w:r>
      <w:r w:rsidR="00B94502" w:rsidRPr="00F803D0">
        <w:rPr>
          <w:rFonts w:asciiTheme="majorHAnsi" w:hAnsiTheme="majorHAnsi"/>
          <w:sz w:val="20"/>
          <w:szCs w:val="20"/>
          <w:lang w:val="es-ES"/>
        </w:rPr>
        <w:t>estos procesos no permiten el acceso a la consulta popular por parte del Estado</w:t>
      </w:r>
      <w:r w:rsidR="00B1251A" w:rsidRPr="00F803D0">
        <w:rPr>
          <w:rFonts w:asciiTheme="majorHAnsi" w:hAnsiTheme="majorHAnsi"/>
          <w:sz w:val="20"/>
          <w:szCs w:val="20"/>
          <w:lang w:val="es-ES"/>
        </w:rPr>
        <w:t>,</w:t>
      </w:r>
      <w:r w:rsidR="00B94502" w:rsidRPr="00F803D0">
        <w:rPr>
          <w:rFonts w:asciiTheme="majorHAnsi" w:hAnsiTheme="majorHAnsi"/>
          <w:sz w:val="20"/>
          <w:szCs w:val="20"/>
          <w:lang w:val="es-ES"/>
        </w:rPr>
        <w:t xml:space="preserve"> y </w:t>
      </w:r>
      <w:r w:rsidR="0024396B" w:rsidRPr="00F803D0">
        <w:rPr>
          <w:rFonts w:asciiTheme="majorHAnsi" w:hAnsiTheme="majorHAnsi"/>
          <w:sz w:val="20"/>
          <w:szCs w:val="20"/>
          <w:lang w:val="es-ES"/>
        </w:rPr>
        <w:t xml:space="preserve">los procesos de regularización que eventualmente se </w:t>
      </w:r>
      <w:r w:rsidR="00E95F04" w:rsidRPr="00F803D0">
        <w:rPr>
          <w:rFonts w:asciiTheme="majorHAnsi" w:hAnsiTheme="majorHAnsi"/>
          <w:sz w:val="20"/>
          <w:szCs w:val="20"/>
          <w:lang w:val="es-ES"/>
        </w:rPr>
        <w:t xml:space="preserve">realicen </w:t>
      </w:r>
      <w:r w:rsidR="0024396B" w:rsidRPr="00F803D0">
        <w:rPr>
          <w:rFonts w:asciiTheme="majorHAnsi" w:hAnsiTheme="majorHAnsi"/>
          <w:sz w:val="20"/>
          <w:szCs w:val="20"/>
          <w:lang w:val="es-ES"/>
        </w:rPr>
        <w:t>tomarían en cuenta solamente aspectos de tenencia física de tales tierras y no de la posesión</w:t>
      </w:r>
      <w:r w:rsidR="00B94502" w:rsidRPr="00F803D0">
        <w:rPr>
          <w:rFonts w:asciiTheme="majorHAnsi" w:hAnsiTheme="majorHAnsi"/>
          <w:sz w:val="20"/>
          <w:szCs w:val="20"/>
          <w:lang w:val="es-ES"/>
        </w:rPr>
        <w:t xml:space="preserve"> ancestral</w:t>
      </w:r>
      <w:r w:rsidR="0024396B" w:rsidRPr="00F803D0">
        <w:rPr>
          <w:rFonts w:asciiTheme="majorHAnsi" w:hAnsiTheme="majorHAnsi"/>
          <w:sz w:val="20"/>
          <w:szCs w:val="20"/>
          <w:lang w:val="es-ES"/>
        </w:rPr>
        <w:t xml:space="preserve"> y demás derechos históricos de los pueblos.</w:t>
      </w:r>
    </w:p>
    <w:p w14:paraId="4D751849" w14:textId="77777777" w:rsidR="00E95F04" w:rsidRPr="00F803D0" w:rsidRDefault="00E95F04" w:rsidP="00E95F0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717AA1A" w14:textId="03CE1C14" w:rsidR="008C1FB3" w:rsidRPr="00F803D0" w:rsidRDefault="00FA621D" w:rsidP="00CA158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jc w:val="both"/>
        <w:rPr>
          <w:rFonts w:asciiTheme="majorHAnsi" w:hAnsiTheme="majorHAnsi"/>
          <w:sz w:val="20"/>
          <w:szCs w:val="20"/>
          <w:lang w:val="es-ES"/>
        </w:rPr>
      </w:pPr>
      <w:r w:rsidRPr="00F803D0">
        <w:rPr>
          <w:rFonts w:asciiTheme="majorHAnsi" w:eastAsia="NotDefSpecial" w:hAnsiTheme="majorHAnsi" w:cs="NotDefSpecial"/>
          <w:sz w:val="20"/>
          <w:szCs w:val="20"/>
          <w:lang w:val="es-ES"/>
        </w:rPr>
        <w:t>En particular</w:t>
      </w:r>
      <w:r w:rsidR="00B1251A" w:rsidRPr="00F803D0">
        <w:rPr>
          <w:rFonts w:asciiTheme="majorHAnsi" w:eastAsia="NotDefSpecial" w:hAnsiTheme="majorHAnsi" w:cs="NotDefSpecial"/>
          <w:sz w:val="20"/>
          <w:szCs w:val="20"/>
          <w:lang w:val="es-ES"/>
        </w:rPr>
        <w:t>,</w:t>
      </w:r>
      <w:r w:rsidRPr="00F803D0">
        <w:rPr>
          <w:rFonts w:asciiTheme="majorHAnsi" w:eastAsia="NotDefSpecial" w:hAnsiTheme="majorHAnsi" w:cs="NotDefSpecial"/>
          <w:sz w:val="20"/>
          <w:szCs w:val="20"/>
          <w:lang w:val="es-ES"/>
        </w:rPr>
        <w:t xml:space="preserve"> </w:t>
      </w:r>
      <w:r w:rsidR="00E95F04" w:rsidRPr="00F803D0">
        <w:rPr>
          <w:rFonts w:asciiTheme="majorHAnsi" w:eastAsia="NotDefSpecial" w:hAnsiTheme="majorHAnsi" w:cs="NotDefSpecial"/>
          <w:sz w:val="20"/>
          <w:szCs w:val="20"/>
          <w:lang w:val="es-ES"/>
        </w:rPr>
        <w:t xml:space="preserve">sostiene que las disposiciones </w:t>
      </w:r>
      <w:r w:rsidR="00B1251A" w:rsidRPr="00F803D0">
        <w:rPr>
          <w:rFonts w:asciiTheme="majorHAnsi" w:eastAsia="NotDefSpecial" w:hAnsiTheme="majorHAnsi" w:cs="NotDefSpecial"/>
          <w:sz w:val="20"/>
          <w:szCs w:val="20"/>
          <w:lang w:val="es-ES"/>
        </w:rPr>
        <w:t>d</w:t>
      </w:r>
      <w:r w:rsidR="00CE7047" w:rsidRPr="00F803D0">
        <w:rPr>
          <w:rFonts w:asciiTheme="majorHAnsi" w:eastAsia="NotDefSpecial" w:hAnsiTheme="majorHAnsi" w:cs="NotDefSpecial"/>
          <w:sz w:val="20"/>
          <w:szCs w:val="20"/>
          <w:lang w:val="es-ES"/>
        </w:rPr>
        <w:t xml:space="preserve">el Capítulo III </w:t>
      </w:r>
      <w:r w:rsidR="00E22EE0" w:rsidRPr="00F803D0">
        <w:rPr>
          <w:rFonts w:asciiTheme="majorHAnsi" w:eastAsia="NotDefSpecial" w:hAnsiTheme="majorHAnsi" w:cs="NotDefSpecial"/>
          <w:sz w:val="20"/>
          <w:szCs w:val="20"/>
          <w:lang w:val="es-ES"/>
        </w:rPr>
        <w:t xml:space="preserve">mencionado </w:t>
      </w:r>
      <w:r w:rsidR="00E95F04" w:rsidRPr="00F803D0">
        <w:rPr>
          <w:rFonts w:asciiTheme="majorHAnsi" w:eastAsia="NotDefSpecial" w:hAnsiTheme="majorHAnsi" w:cs="NotDefSpecial"/>
          <w:sz w:val="20"/>
          <w:szCs w:val="20"/>
          <w:lang w:val="es-ES"/>
        </w:rPr>
        <w:t xml:space="preserve">violentan el derecho a la libre determinación </w:t>
      </w:r>
      <w:r w:rsidR="00CE7047" w:rsidRPr="00F803D0">
        <w:rPr>
          <w:rFonts w:asciiTheme="majorHAnsi" w:eastAsia="NotDefSpecial" w:hAnsiTheme="majorHAnsi" w:cs="NotDefSpecial"/>
          <w:sz w:val="20"/>
          <w:szCs w:val="20"/>
          <w:lang w:val="es-ES"/>
        </w:rPr>
        <w:t>sobre</w:t>
      </w:r>
      <w:r w:rsidR="00E95F04" w:rsidRPr="00F803D0">
        <w:rPr>
          <w:rFonts w:asciiTheme="majorHAnsi" w:eastAsia="NotDefSpecial" w:hAnsiTheme="majorHAnsi" w:cs="NotDefSpecial"/>
          <w:sz w:val="20"/>
          <w:szCs w:val="20"/>
          <w:lang w:val="es-ES"/>
        </w:rPr>
        <w:t xml:space="preserve"> sus propias prioridades en lo que atañe a las tierras que ocupan; </w:t>
      </w:r>
      <w:r w:rsidR="00B1251A" w:rsidRPr="00F803D0">
        <w:rPr>
          <w:rFonts w:asciiTheme="majorHAnsi" w:eastAsia="NotDefSpecial" w:hAnsiTheme="majorHAnsi" w:cs="NotDefSpecial"/>
          <w:sz w:val="20"/>
          <w:szCs w:val="20"/>
          <w:lang w:val="es-ES"/>
        </w:rPr>
        <w:t xml:space="preserve">que </w:t>
      </w:r>
      <w:r w:rsidR="00CE7047" w:rsidRPr="00F803D0">
        <w:rPr>
          <w:rFonts w:asciiTheme="majorHAnsi" w:eastAsia="NotDefSpecial" w:hAnsiTheme="majorHAnsi" w:cs="NotDefSpecial"/>
          <w:sz w:val="20"/>
          <w:szCs w:val="20"/>
          <w:lang w:val="es-ES"/>
        </w:rPr>
        <w:t xml:space="preserve">niegan la esencia de </w:t>
      </w:r>
      <w:r w:rsidR="00E95F04" w:rsidRPr="00F803D0">
        <w:rPr>
          <w:rFonts w:asciiTheme="majorHAnsi" w:eastAsia="NotDefSpecial" w:hAnsiTheme="majorHAnsi" w:cs="NotDefSpecial"/>
          <w:sz w:val="20"/>
          <w:szCs w:val="20"/>
          <w:lang w:val="es-ES"/>
        </w:rPr>
        <w:t>la propiedad comunal</w:t>
      </w:r>
      <w:r w:rsidR="00CE7047" w:rsidRPr="00F803D0">
        <w:rPr>
          <w:rFonts w:asciiTheme="majorHAnsi" w:eastAsia="NotDefSpecial" w:hAnsiTheme="majorHAnsi" w:cs="NotDefSpecial"/>
          <w:sz w:val="20"/>
          <w:szCs w:val="20"/>
          <w:lang w:val="es-ES"/>
        </w:rPr>
        <w:t xml:space="preserve"> en cuanto a su </w:t>
      </w:r>
      <w:r w:rsidR="00E95F04" w:rsidRPr="00F803D0">
        <w:rPr>
          <w:rFonts w:asciiTheme="majorHAnsi" w:eastAsia="NotDefSpecial" w:hAnsiTheme="majorHAnsi" w:cs="NotDefSpecial"/>
          <w:sz w:val="20"/>
          <w:szCs w:val="20"/>
          <w:lang w:val="es-ES"/>
        </w:rPr>
        <w:t>inalien</w:t>
      </w:r>
      <w:r w:rsidR="00CE7047" w:rsidRPr="00F803D0">
        <w:rPr>
          <w:rFonts w:asciiTheme="majorHAnsi" w:eastAsia="NotDefSpecial" w:hAnsiTheme="majorHAnsi" w:cs="NotDefSpecial"/>
          <w:sz w:val="20"/>
          <w:szCs w:val="20"/>
          <w:lang w:val="es-ES"/>
        </w:rPr>
        <w:t>abilidad, imprescriptibilidad e inembarga</w:t>
      </w:r>
      <w:r w:rsidR="00E95F04" w:rsidRPr="00F803D0">
        <w:rPr>
          <w:rFonts w:asciiTheme="majorHAnsi" w:eastAsia="NotDefSpecial" w:hAnsiTheme="majorHAnsi" w:cs="NotDefSpecial"/>
          <w:sz w:val="20"/>
          <w:szCs w:val="20"/>
          <w:lang w:val="es-ES"/>
        </w:rPr>
        <w:t xml:space="preserve">bilidad; </w:t>
      </w:r>
      <w:r w:rsidR="00CE7047" w:rsidRPr="00F803D0">
        <w:rPr>
          <w:rFonts w:asciiTheme="majorHAnsi" w:eastAsia="NotDefSpecial" w:hAnsiTheme="majorHAnsi" w:cs="NotDefSpecial"/>
          <w:sz w:val="20"/>
          <w:szCs w:val="20"/>
          <w:lang w:val="es-ES"/>
        </w:rPr>
        <w:t xml:space="preserve">y </w:t>
      </w:r>
      <w:r w:rsidR="00E95F04" w:rsidRPr="00F803D0">
        <w:rPr>
          <w:rFonts w:asciiTheme="majorHAnsi" w:eastAsia="NotDefSpecial" w:hAnsiTheme="majorHAnsi" w:cs="NotDefSpecial"/>
          <w:sz w:val="20"/>
          <w:szCs w:val="20"/>
          <w:lang w:val="es-ES"/>
        </w:rPr>
        <w:t xml:space="preserve">en términos de la explotación de los recursos que se encuentran en los territorios indígenas, </w:t>
      </w:r>
      <w:r w:rsidR="00B1251A" w:rsidRPr="00F803D0">
        <w:rPr>
          <w:rFonts w:asciiTheme="majorHAnsi" w:eastAsia="NotDefSpecial" w:hAnsiTheme="majorHAnsi" w:cs="NotDefSpecial"/>
          <w:sz w:val="20"/>
          <w:szCs w:val="20"/>
          <w:lang w:val="es-ES"/>
        </w:rPr>
        <w:t>que car</w:t>
      </w:r>
      <w:r w:rsidR="00E95F04" w:rsidRPr="00F803D0">
        <w:rPr>
          <w:rFonts w:asciiTheme="majorHAnsi" w:eastAsia="NotDefSpecial" w:hAnsiTheme="majorHAnsi" w:cs="NotDefSpecial"/>
          <w:sz w:val="20"/>
          <w:szCs w:val="20"/>
          <w:lang w:val="es-ES"/>
        </w:rPr>
        <w:t>ece</w:t>
      </w:r>
      <w:r w:rsidR="00CE7047" w:rsidRPr="00F803D0">
        <w:rPr>
          <w:rFonts w:asciiTheme="majorHAnsi" w:eastAsia="NotDefSpecial" w:hAnsiTheme="majorHAnsi" w:cs="NotDefSpecial"/>
          <w:sz w:val="20"/>
          <w:szCs w:val="20"/>
          <w:lang w:val="es-ES"/>
        </w:rPr>
        <w:t>n</w:t>
      </w:r>
      <w:r w:rsidR="00E95F04" w:rsidRPr="00F803D0">
        <w:rPr>
          <w:rFonts w:asciiTheme="majorHAnsi" w:eastAsia="NotDefSpecial" w:hAnsiTheme="majorHAnsi" w:cs="NotDefSpecial"/>
          <w:sz w:val="20"/>
          <w:szCs w:val="20"/>
          <w:lang w:val="es-ES"/>
        </w:rPr>
        <w:t xml:space="preserve"> de estándares y parámetros sobre la consulta previa</w:t>
      </w:r>
      <w:r w:rsidR="00CE7047" w:rsidRPr="00F803D0">
        <w:rPr>
          <w:rFonts w:asciiTheme="majorHAnsi" w:eastAsia="NotDefSpecial" w:hAnsiTheme="majorHAnsi" w:cs="NotDefSpecial"/>
          <w:sz w:val="20"/>
          <w:szCs w:val="20"/>
          <w:lang w:val="es-ES"/>
        </w:rPr>
        <w:t xml:space="preserve">. </w:t>
      </w:r>
    </w:p>
    <w:p w14:paraId="4215E0CA" w14:textId="77777777" w:rsidR="00E22EE0" w:rsidRPr="00F803D0" w:rsidRDefault="00E22EE0" w:rsidP="00E22EE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sz w:val="20"/>
          <w:szCs w:val="20"/>
          <w:lang w:val="es-ES"/>
        </w:rPr>
      </w:pPr>
    </w:p>
    <w:p w14:paraId="3D3C94F1" w14:textId="4124DB0F" w:rsidR="004B156F" w:rsidRPr="00F803D0" w:rsidRDefault="0024396B" w:rsidP="007272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jc w:val="both"/>
        <w:rPr>
          <w:rFonts w:asciiTheme="majorHAnsi" w:hAnsiTheme="majorHAnsi"/>
          <w:sz w:val="20"/>
          <w:szCs w:val="20"/>
          <w:lang w:val="es-ES"/>
        </w:rPr>
      </w:pPr>
      <w:r w:rsidRPr="00F803D0">
        <w:rPr>
          <w:rFonts w:asciiTheme="majorHAnsi" w:hAnsiTheme="majorHAnsi"/>
          <w:sz w:val="20"/>
          <w:szCs w:val="20"/>
          <w:lang w:val="es-ES"/>
        </w:rPr>
        <w:t>OFRANEH</w:t>
      </w:r>
      <w:r w:rsidR="008C7F16" w:rsidRPr="00F803D0">
        <w:rPr>
          <w:rFonts w:asciiTheme="majorHAnsi" w:hAnsiTheme="majorHAnsi"/>
          <w:sz w:val="20"/>
          <w:szCs w:val="20"/>
          <w:lang w:val="es-ES"/>
        </w:rPr>
        <w:t xml:space="preserve"> efectuó una </w:t>
      </w:r>
      <w:r w:rsidR="00A27069" w:rsidRPr="00F803D0">
        <w:rPr>
          <w:rFonts w:asciiTheme="majorHAnsi" w:hAnsiTheme="majorHAnsi"/>
          <w:sz w:val="20"/>
          <w:szCs w:val="20"/>
          <w:lang w:val="es-ES"/>
        </w:rPr>
        <w:t>consulta comunitaria en San Juan Tel</w:t>
      </w:r>
      <w:r w:rsidR="005016E2" w:rsidRPr="00F803D0">
        <w:rPr>
          <w:rFonts w:asciiTheme="majorHAnsi" w:hAnsiTheme="majorHAnsi"/>
          <w:sz w:val="20"/>
          <w:szCs w:val="20"/>
          <w:lang w:val="es-ES"/>
        </w:rPr>
        <w:t>a</w:t>
      </w:r>
      <w:r w:rsidR="007B64BA" w:rsidRPr="00F803D0">
        <w:rPr>
          <w:rFonts w:asciiTheme="majorHAnsi" w:hAnsiTheme="majorHAnsi"/>
          <w:sz w:val="20"/>
          <w:szCs w:val="20"/>
          <w:lang w:val="es-ES"/>
        </w:rPr>
        <w:t xml:space="preserve"> en </w:t>
      </w:r>
      <w:r w:rsidR="00A27069" w:rsidRPr="00F803D0">
        <w:rPr>
          <w:rFonts w:asciiTheme="majorHAnsi" w:hAnsiTheme="majorHAnsi"/>
          <w:sz w:val="20"/>
          <w:szCs w:val="20"/>
          <w:lang w:val="es-ES"/>
        </w:rPr>
        <w:t xml:space="preserve">2003 </w:t>
      </w:r>
      <w:r w:rsidRPr="00F803D0">
        <w:rPr>
          <w:rFonts w:asciiTheme="majorHAnsi" w:hAnsiTheme="majorHAnsi"/>
          <w:sz w:val="20"/>
          <w:szCs w:val="20"/>
          <w:lang w:val="es-ES"/>
        </w:rPr>
        <w:t xml:space="preserve">con participación de </w:t>
      </w:r>
      <w:r w:rsidR="00A27069" w:rsidRPr="00F803D0">
        <w:rPr>
          <w:rFonts w:asciiTheme="majorHAnsi" w:hAnsiTheme="majorHAnsi"/>
          <w:sz w:val="20"/>
          <w:szCs w:val="20"/>
          <w:lang w:val="es-ES"/>
        </w:rPr>
        <w:t xml:space="preserve">los delegados del Proyecto de </w:t>
      </w:r>
      <w:r w:rsidRPr="00F803D0">
        <w:rPr>
          <w:rFonts w:asciiTheme="majorHAnsi" w:hAnsiTheme="majorHAnsi"/>
          <w:sz w:val="20"/>
          <w:szCs w:val="20"/>
          <w:lang w:val="es-ES"/>
        </w:rPr>
        <w:t>Administración</w:t>
      </w:r>
      <w:r w:rsidR="00A27069" w:rsidRPr="00F803D0">
        <w:rPr>
          <w:rFonts w:asciiTheme="majorHAnsi" w:hAnsiTheme="majorHAnsi"/>
          <w:sz w:val="20"/>
          <w:szCs w:val="20"/>
          <w:lang w:val="es-ES"/>
        </w:rPr>
        <w:t xml:space="preserve"> de Tierras de Honduras</w:t>
      </w:r>
      <w:r w:rsidR="00664809" w:rsidRPr="00F803D0">
        <w:rPr>
          <w:rFonts w:asciiTheme="majorHAnsi" w:hAnsiTheme="majorHAnsi"/>
          <w:sz w:val="20"/>
          <w:szCs w:val="20"/>
          <w:lang w:val="es-ES"/>
        </w:rPr>
        <w:t>, durante la cual</w:t>
      </w:r>
      <w:r w:rsidRPr="00F803D0">
        <w:rPr>
          <w:rFonts w:asciiTheme="majorHAnsi" w:hAnsiTheme="majorHAnsi"/>
          <w:sz w:val="20"/>
          <w:szCs w:val="20"/>
          <w:lang w:val="es-ES"/>
        </w:rPr>
        <w:t xml:space="preserve"> se expresó </w:t>
      </w:r>
      <w:r w:rsidR="00A27069" w:rsidRPr="00F803D0">
        <w:rPr>
          <w:rFonts w:asciiTheme="majorHAnsi" w:hAnsiTheme="majorHAnsi"/>
          <w:sz w:val="20"/>
          <w:szCs w:val="20"/>
          <w:lang w:val="es-ES"/>
        </w:rPr>
        <w:t xml:space="preserve">un rotundo rechazo de las versiones </w:t>
      </w:r>
      <w:r w:rsidRPr="00F803D0">
        <w:rPr>
          <w:rFonts w:asciiTheme="majorHAnsi" w:hAnsiTheme="majorHAnsi"/>
          <w:sz w:val="20"/>
          <w:szCs w:val="20"/>
          <w:lang w:val="es-ES"/>
        </w:rPr>
        <w:t xml:space="preserve">del proyecto de ley </w:t>
      </w:r>
      <w:r w:rsidR="00664809" w:rsidRPr="00F803D0">
        <w:rPr>
          <w:rFonts w:asciiTheme="majorHAnsi" w:hAnsiTheme="majorHAnsi"/>
          <w:sz w:val="20"/>
          <w:szCs w:val="20"/>
          <w:lang w:val="es-ES"/>
        </w:rPr>
        <w:t xml:space="preserve">por </w:t>
      </w:r>
      <w:r w:rsidR="001F7B0D" w:rsidRPr="00F803D0">
        <w:rPr>
          <w:rFonts w:asciiTheme="majorHAnsi" w:hAnsiTheme="majorHAnsi"/>
          <w:sz w:val="20"/>
          <w:szCs w:val="20"/>
          <w:lang w:val="es-ES"/>
        </w:rPr>
        <w:t>considera</w:t>
      </w:r>
      <w:r w:rsidR="00664809" w:rsidRPr="00F803D0">
        <w:rPr>
          <w:rFonts w:asciiTheme="majorHAnsi" w:hAnsiTheme="majorHAnsi"/>
          <w:sz w:val="20"/>
          <w:szCs w:val="20"/>
          <w:lang w:val="es-ES"/>
        </w:rPr>
        <w:t>rlo</w:t>
      </w:r>
      <w:r w:rsidR="001F7B0D" w:rsidRPr="00F803D0">
        <w:rPr>
          <w:rFonts w:asciiTheme="majorHAnsi" w:hAnsiTheme="majorHAnsi"/>
          <w:sz w:val="20"/>
          <w:szCs w:val="20"/>
          <w:lang w:val="es-ES"/>
        </w:rPr>
        <w:t xml:space="preserve"> violatori</w:t>
      </w:r>
      <w:r w:rsidR="00664809" w:rsidRPr="00F803D0">
        <w:rPr>
          <w:rFonts w:asciiTheme="majorHAnsi" w:hAnsiTheme="majorHAnsi"/>
          <w:sz w:val="20"/>
          <w:szCs w:val="20"/>
          <w:lang w:val="es-ES"/>
        </w:rPr>
        <w:t>o</w:t>
      </w:r>
      <w:r w:rsidR="001F7B0D" w:rsidRPr="00F803D0">
        <w:rPr>
          <w:rFonts w:asciiTheme="majorHAnsi" w:hAnsiTheme="majorHAnsi"/>
          <w:sz w:val="20"/>
          <w:szCs w:val="20"/>
          <w:lang w:val="es-ES"/>
        </w:rPr>
        <w:t xml:space="preserve"> de los derechos </w:t>
      </w:r>
      <w:r w:rsidR="00664809" w:rsidRPr="00F803D0">
        <w:rPr>
          <w:rFonts w:asciiTheme="majorHAnsi" w:hAnsiTheme="majorHAnsi"/>
          <w:sz w:val="20"/>
          <w:szCs w:val="20"/>
          <w:lang w:val="es-ES"/>
        </w:rPr>
        <w:t xml:space="preserve">reconocidos </w:t>
      </w:r>
      <w:r w:rsidR="001F7B0D" w:rsidRPr="00F803D0">
        <w:rPr>
          <w:rFonts w:asciiTheme="majorHAnsi" w:hAnsiTheme="majorHAnsi"/>
          <w:sz w:val="20"/>
          <w:szCs w:val="20"/>
          <w:lang w:val="es-ES"/>
        </w:rPr>
        <w:t>en el Convenio No. 169 de la Organización Internacional del Trabajo (“OIT”) y de la Convención de Viena sobre el Derechos de los Tratados</w:t>
      </w:r>
      <w:r w:rsidR="00664809" w:rsidRPr="00F803D0">
        <w:rPr>
          <w:rFonts w:asciiTheme="majorHAnsi" w:hAnsiTheme="majorHAnsi"/>
          <w:sz w:val="20"/>
          <w:szCs w:val="20"/>
          <w:lang w:val="es-ES"/>
        </w:rPr>
        <w:t>.</w:t>
      </w:r>
      <w:r w:rsidR="001F7B0D" w:rsidRPr="00F803D0">
        <w:rPr>
          <w:rFonts w:asciiTheme="majorHAnsi" w:hAnsiTheme="majorHAnsi"/>
          <w:sz w:val="20"/>
          <w:szCs w:val="20"/>
          <w:lang w:val="es-ES"/>
        </w:rPr>
        <w:t xml:space="preserve"> </w:t>
      </w:r>
      <w:r w:rsidR="00664809" w:rsidRPr="00F803D0">
        <w:rPr>
          <w:rFonts w:asciiTheme="majorHAnsi" w:hAnsiTheme="majorHAnsi"/>
          <w:sz w:val="20"/>
          <w:szCs w:val="20"/>
          <w:lang w:val="es-ES"/>
        </w:rPr>
        <w:t>La parte peticionaria refiere que s</w:t>
      </w:r>
      <w:r w:rsidR="00A27069" w:rsidRPr="00F803D0">
        <w:rPr>
          <w:rFonts w:asciiTheme="majorHAnsi" w:hAnsiTheme="majorHAnsi"/>
          <w:sz w:val="20"/>
          <w:szCs w:val="20"/>
          <w:lang w:val="es-ES"/>
        </w:rPr>
        <w:t>e exigió un saneamiento territorial para solucionar los conflictos creados por las apropiaciones indebidas.</w:t>
      </w:r>
      <w:r w:rsidR="00664809" w:rsidRPr="00F803D0">
        <w:rPr>
          <w:rFonts w:asciiTheme="majorHAnsi" w:hAnsiTheme="majorHAnsi"/>
          <w:sz w:val="20"/>
          <w:szCs w:val="20"/>
          <w:lang w:val="es-ES"/>
        </w:rPr>
        <w:t xml:space="preserve"> S</w:t>
      </w:r>
      <w:r w:rsidR="00CA05FD" w:rsidRPr="00F803D0">
        <w:rPr>
          <w:rFonts w:asciiTheme="majorHAnsi" w:eastAsia="NotDefSpecial" w:hAnsiTheme="majorHAnsi" w:cs="NotDefSpecial"/>
          <w:sz w:val="20"/>
          <w:szCs w:val="20"/>
          <w:lang w:val="es-ES" w:eastAsia="es-ES"/>
        </w:rPr>
        <w:t xml:space="preserve">ostiene que </w:t>
      </w:r>
      <w:r w:rsidR="00664809" w:rsidRPr="00F803D0">
        <w:rPr>
          <w:rFonts w:asciiTheme="majorHAnsi" w:eastAsia="NotDefSpecial" w:hAnsiTheme="majorHAnsi" w:cs="NotDefSpecial"/>
          <w:sz w:val="20"/>
          <w:szCs w:val="20"/>
          <w:lang w:val="es-ES" w:eastAsia="es-ES"/>
        </w:rPr>
        <w:t xml:space="preserve">en respuesta a ello, </w:t>
      </w:r>
      <w:r w:rsidR="004D5280" w:rsidRPr="00F803D0">
        <w:rPr>
          <w:rFonts w:asciiTheme="majorHAnsi" w:eastAsia="NotDefSpecial" w:hAnsiTheme="majorHAnsi" w:cs="NotDefSpecial"/>
          <w:sz w:val="20"/>
          <w:szCs w:val="20"/>
          <w:lang w:val="es-ES" w:eastAsia="es-ES"/>
        </w:rPr>
        <w:t xml:space="preserve">el </w:t>
      </w:r>
      <w:r w:rsidR="00664809" w:rsidRPr="00F803D0">
        <w:rPr>
          <w:rFonts w:asciiTheme="majorHAnsi" w:eastAsia="NotDefSpecial" w:hAnsiTheme="majorHAnsi" w:cs="NotDefSpecial"/>
          <w:sz w:val="20"/>
          <w:szCs w:val="20"/>
          <w:lang w:val="es-ES" w:eastAsia="es-ES"/>
        </w:rPr>
        <w:t>G</w:t>
      </w:r>
      <w:r w:rsidR="004D5280" w:rsidRPr="00F803D0">
        <w:rPr>
          <w:rFonts w:asciiTheme="majorHAnsi" w:eastAsia="NotDefSpecial" w:hAnsiTheme="majorHAnsi" w:cs="NotDefSpecial"/>
          <w:sz w:val="20"/>
          <w:szCs w:val="20"/>
          <w:lang w:val="es-ES" w:eastAsia="es-ES"/>
        </w:rPr>
        <w:t xml:space="preserve">obierno impuso un proceso de información </w:t>
      </w:r>
      <w:r w:rsidR="00544B94" w:rsidRPr="00F803D0">
        <w:rPr>
          <w:rFonts w:asciiTheme="majorHAnsi" w:eastAsia="NotDefSpecial" w:hAnsiTheme="majorHAnsi" w:cs="NotDefSpecial"/>
          <w:sz w:val="20"/>
          <w:szCs w:val="20"/>
          <w:lang w:val="es-ES" w:eastAsia="es-ES"/>
        </w:rPr>
        <w:t>llamado la Mesa Indígena</w:t>
      </w:r>
      <w:r w:rsidR="004D5280" w:rsidRPr="00F803D0">
        <w:rPr>
          <w:rFonts w:asciiTheme="majorHAnsi" w:eastAsia="NotDefSpecial" w:hAnsiTheme="majorHAnsi" w:cs="NotDefSpecial"/>
          <w:sz w:val="20"/>
          <w:szCs w:val="20"/>
          <w:lang w:val="es-ES" w:eastAsia="es-ES"/>
        </w:rPr>
        <w:t xml:space="preserve">, con </w:t>
      </w:r>
      <w:r w:rsidR="00AA7C33" w:rsidRPr="00F803D0">
        <w:rPr>
          <w:rFonts w:asciiTheme="majorHAnsi" w:eastAsia="NotDefSpecial" w:hAnsiTheme="majorHAnsi" w:cs="NotDefSpecial"/>
          <w:sz w:val="20"/>
          <w:szCs w:val="20"/>
          <w:lang w:val="es-ES" w:eastAsia="es-ES"/>
        </w:rPr>
        <w:t xml:space="preserve">una </w:t>
      </w:r>
      <w:r w:rsidR="004D5280" w:rsidRPr="00F803D0">
        <w:rPr>
          <w:rFonts w:asciiTheme="majorHAnsi" w:eastAsia="NotDefSpecial" w:hAnsiTheme="majorHAnsi" w:cs="NotDefSpecial"/>
          <w:sz w:val="20"/>
          <w:szCs w:val="20"/>
          <w:lang w:val="es-ES" w:eastAsia="es-ES"/>
        </w:rPr>
        <w:t>metodología no consensuada y con criterios que reducían las posibilidades de una consulta prev</w:t>
      </w:r>
      <w:r w:rsidR="00544B94" w:rsidRPr="00F803D0">
        <w:rPr>
          <w:rFonts w:asciiTheme="majorHAnsi" w:eastAsia="NotDefSpecial" w:hAnsiTheme="majorHAnsi" w:cs="NotDefSpecial"/>
          <w:sz w:val="20"/>
          <w:szCs w:val="20"/>
          <w:lang w:val="es-ES" w:eastAsia="es-ES"/>
        </w:rPr>
        <w:t>ia, libre e informada</w:t>
      </w:r>
      <w:r w:rsidR="00664809" w:rsidRPr="00F803D0">
        <w:rPr>
          <w:rFonts w:asciiTheme="majorHAnsi" w:eastAsia="NotDefSpecial" w:hAnsiTheme="majorHAnsi" w:cs="NotDefSpecial"/>
          <w:sz w:val="20"/>
          <w:szCs w:val="20"/>
          <w:lang w:val="es-ES" w:eastAsia="es-ES"/>
        </w:rPr>
        <w:t>.</w:t>
      </w:r>
      <w:r w:rsidR="00A31344" w:rsidRPr="00F803D0">
        <w:rPr>
          <w:rFonts w:asciiTheme="majorHAnsi" w:eastAsia="NotDefSpecial" w:hAnsiTheme="majorHAnsi" w:cs="NotDefSpecial"/>
          <w:sz w:val="20"/>
          <w:szCs w:val="20"/>
          <w:lang w:val="es-ES" w:eastAsia="es-ES"/>
        </w:rPr>
        <w:t xml:space="preserve"> </w:t>
      </w:r>
      <w:r w:rsidR="00664809" w:rsidRPr="00F803D0">
        <w:rPr>
          <w:rFonts w:asciiTheme="majorHAnsi" w:eastAsia="NotDefSpecial" w:hAnsiTheme="majorHAnsi" w:cs="NotDefSpecial"/>
          <w:sz w:val="20"/>
          <w:szCs w:val="20"/>
          <w:lang w:val="es-ES" w:eastAsia="es-ES"/>
        </w:rPr>
        <w:t>A</w:t>
      </w:r>
      <w:r w:rsidR="008C7F16" w:rsidRPr="00F803D0">
        <w:rPr>
          <w:rFonts w:asciiTheme="majorHAnsi" w:hAnsiTheme="majorHAnsi" w:cs="Helvetica"/>
          <w:sz w:val="20"/>
          <w:szCs w:val="20"/>
          <w:lang w:val="es-ES" w:eastAsia="es-ES"/>
        </w:rPr>
        <w:t xml:space="preserve">rgumenta que </w:t>
      </w:r>
      <w:r w:rsidR="008C1FB3" w:rsidRPr="00F803D0">
        <w:rPr>
          <w:rFonts w:asciiTheme="majorHAnsi" w:hAnsiTheme="majorHAnsi" w:cs="Helvetica"/>
          <w:sz w:val="20"/>
          <w:szCs w:val="20"/>
          <w:lang w:val="es-ES" w:eastAsia="es-ES"/>
        </w:rPr>
        <w:t xml:space="preserve">el Congreso Nacional aprobó la Ley de Propiedad sin tomar en cuenta las objeciones presentadas por la consulta comunitaria Garífuna. </w:t>
      </w:r>
    </w:p>
    <w:p w14:paraId="14A1F754" w14:textId="77777777" w:rsidR="004B156F" w:rsidRPr="00F803D0" w:rsidRDefault="004B156F" w:rsidP="00C425F0">
      <w:pPr>
        <w:pBdr>
          <w:top w:val="none" w:sz="0" w:space="0" w:color="auto"/>
          <w:left w:val="none" w:sz="0" w:space="0" w:color="auto"/>
          <w:bottom w:val="none" w:sz="0" w:space="0" w:color="auto"/>
          <w:right w:val="none" w:sz="0" w:space="0" w:color="auto"/>
          <w:between w:val="none" w:sz="0" w:space="0" w:color="auto"/>
          <w:bar w:val="none" w:sz="0" w:color="auto"/>
        </w:pBdr>
        <w:tabs>
          <w:tab w:val="left" w:pos="4170"/>
        </w:tabs>
        <w:autoSpaceDE w:val="0"/>
        <w:autoSpaceDN w:val="0"/>
        <w:adjustRightInd w:val="0"/>
        <w:jc w:val="both"/>
        <w:rPr>
          <w:rFonts w:asciiTheme="majorHAnsi" w:eastAsia="NotDefSpecial" w:hAnsiTheme="majorHAnsi" w:cs="NotDefSpecial"/>
          <w:sz w:val="20"/>
          <w:szCs w:val="20"/>
          <w:lang w:val="es-ES" w:eastAsia="es-ES"/>
        </w:rPr>
      </w:pPr>
    </w:p>
    <w:p w14:paraId="775B1BC5" w14:textId="7D7B062D" w:rsidR="00F35CFE" w:rsidRPr="00F803D0" w:rsidRDefault="00664809" w:rsidP="000F7D0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eastAsia="NotDefSpecial" w:hAnsiTheme="majorHAnsi" w:cs="NotDefSpecial"/>
          <w:sz w:val="20"/>
          <w:szCs w:val="20"/>
          <w:lang w:val="es-ES"/>
        </w:rPr>
      </w:pPr>
      <w:r w:rsidRPr="00F803D0">
        <w:rPr>
          <w:rFonts w:asciiTheme="majorHAnsi" w:hAnsiTheme="majorHAnsi"/>
          <w:sz w:val="20"/>
          <w:szCs w:val="20"/>
          <w:lang w:val="es-ES"/>
        </w:rPr>
        <w:t xml:space="preserve">El </w:t>
      </w:r>
      <w:r w:rsidR="00A27069" w:rsidRPr="00F803D0">
        <w:rPr>
          <w:rFonts w:asciiTheme="majorHAnsi" w:hAnsiTheme="majorHAnsi"/>
          <w:sz w:val="20"/>
          <w:szCs w:val="20"/>
          <w:lang w:val="es-ES"/>
        </w:rPr>
        <w:t xml:space="preserve">15 de diciembre de 2008 OFRANEH interpuso una acción ante la Sala Constitucional de la Corte Suprema de Justicia </w:t>
      </w:r>
      <w:r w:rsidRPr="00F803D0">
        <w:rPr>
          <w:rFonts w:asciiTheme="majorHAnsi" w:hAnsiTheme="majorHAnsi"/>
          <w:sz w:val="20"/>
          <w:szCs w:val="20"/>
          <w:lang w:val="es-ES"/>
        </w:rPr>
        <w:t xml:space="preserve">en la que solicitó </w:t>
      </w:r>
      <w:r w:rsidR="00D02B1E" w:rsidRPr="00F803D0">
        <w:rPr>
          <w:rFonts w:asciiTheme="majorHAnsi" w:hAnsiTheme="majorHAnsi"/>
          <w:sz w:val="20"/>
          <w:szCs w:val="20"/>
          <w:lang w:val="es-ES"/>
        </w:rPr>
        <w:t>la declaratoria de</w:t>
      </w:r>
      <w:r w:rsidR="00A27069" w:rsidRPr="00F803D0">
        <w:rPr>
          <w:rFonts w:asciiTheme="majorHAnsi" w:hAnsiTheme="majorHAnsi"/>
          <w:sz w:val="20"/>
          <w:szCs w:val="20"/>
          <w:lang w:val="es-ES"/>
        </w:rPr>
        <w:t xml:space="preserve"> inconstitucionalidad e</w:t>
      </w:r>
      <w:r w:rsidR="00D02B1E" w:rsidRPr="00F803D0">
        <w:rPr>
          <w:rFonts w:asciiTheme="majorHAnsi" w:hAnsiTheme="majorHAnsi"/>
          <w:sz w:val="20"/>
          <w:szCs w:val="20"/>
          <w:lang w:val="es-ES"/>
        </w:rPr>
        <w:t xml:space="preserve"> </w:t>
      </w:r>
      <w:r w:rsidR="00A27069" w:rsidRPr="00F803D0">
        <w:rPr>
          <w:rFonts w:asciiTheme="majorHAnsi" w:hAnsiTheme="majorHAnsi"/>
          <w:sz w:val="20"/>
          <w:szCs w:val="20"/>
          <w:lang w:val="es-ES"/>
        </w:rPr>
        <w:t xml:space="preserve">inaplicabilidad de la Ley de Propiedad en </w:t>
      </w:r>
      <w:r w:rsidR="00D02B1E" w:rsidRPr="00F803D0">
        <w:rPr>
          <w:rFonts w:asciiTheme="majorHAnsi" w:hAnsiTheme="majorHAnsi"/>
          <w:sz w:val="20"/>
          <w:szCs w:val="20"/>
          <w:lang w:val="es-ES"/>
        </w:rPr>
        <w:t>l</w:t>
      </w:r>
      <w:r w:rsidR="00A27069" w:rsidRPr="00F803D0">
        <w:rPr>
          <w:rFonts w:asciiTheme="majorHAnsi" w:hAnsiTheme="majorHAnsi"/>
          <w:sz w:val="20"/>
          <w:szCs w:val="20"/>
          <w:lang w:val="es-ES"/>
        </w:rPr>
        <w:t xml:space="preserve">o </w:t>
      </w:r>
      <w:r w:rsidR="00D02B1E" w:rsidRPr="00F803D0">
        <w:rPr>
          <w:rFonts w:asciiTheme="majorHAnsi" w:hAnsiTheme="majorHAnsi"/>
          <w:sz w:val="20"/>
          <w:szCs w:val="20"/>
          <w:lang w:val="es-ES"/>
        </w:rPr>
        <w:t>concerniente</w:t>
      </w:r>
      <w:r w:rsidR="00A27069" w:rsidRPr="00F803D0">
        <w:rPr>
          <w:rFonts w:asciiTheme="majorHAnsi" w:hAnsiTheme="majorHAnsi"/>
          <w:sz w:val="20"/>
          <w:szCs w:val="20"/>
          <w:lang w:val="es-ES"/>
        </w:rPr>
        <w:t xml:space="preserve"> a los territorios indígenas</w:t>
      </w:r>
      <w:r w:rsidRPr="00F803D0">
        <w:rPr>
          <w:rFonts w:asciiTheme="majorHAnsi" w:hAnsiTheme="majorHAnsi"/>
          <w:sz w:val="20"/>
          <w:szCs w:val="20"/>
          <w:lang w:val="es-ES"/>
        </w:rPr>
        <w:t>.</w:t>
      </w:r>
      <w:r w:rsidR="000511EE" w:rsidRPr="00F803D0">
        <w:rPr>
          <w:rFonts w:asciiTheme="majorHAnsi" w:hAnsiTheme="majorHAnsi"/>
          <w:sz w:val="20"/>
          <w:szCs w:val="20"/>
          <w:lang w:val="es-ES"/>
        </w:rPr>
        <w:t xml:space="preserve"> </w:t>
      </w:r>
      <w:r w:rsidRPr="00F803D0">
        <w:rPr>
          <w:rFonts w:asciiTheme="majorHAnsi" w:hAnsiTheme="majorHAnsi"/>
          <w:sz w:val="20"/>
          <w:szCs w:val="20"/>
          <w:lang w:val="es-ES"/>
        </w:rPr>
        <w:t>Entre los fundamentos, se planteó que</w:t>
      </w:r>
      <w:r w:rsidR="000511EE" w:rsidRPr="00F803D0">
        <w:rPr>
          <w:rFonts w:asciiTheme="majorHAnsi" w:hAnsiTheme="majorHAnsi"/>
          <w:sz w:val="20"/>
          <w:szCs w:val="20"/>
          <w:lang w:val="es-ES"/>
        </w:rPr>
        <w:t xml:space="preserve"> </w:t>
      </w:r>
      <w:r w:rsidR="000511EE" w:rsidRPr="00F803D0">
        <w:rPr>
          <w:rFonts w:asciiTheme="majorHAnsi" w:eastAsia="NotDefSpecial" w:hAnsiTheme="majorHAnsi" w:cs="NotDefSpecial"/>
          <w:sz w:val="20"/>
          <w:szCs w:val="20"/>
          <w:lang w:val="es-ES"/>
        </w:rPr>
        <w:t>dicha ley violenta</w:t>
      </w:r>
      <w:r w:rsidRPr="00F803D0">
        <w:rPr>
          <w:rFonts w:asciiTheme="majorHAnsi" w:eastAsia="NotDefSpecial" w:hAnsiTheme="majorHAnsi" w:cs="NotDefSpecial"/>
          <w:sz w:val="20"/>
          <w:szCs w:val="20"/>
          <w:lang w:val="es-ES"/>
        </w:rPr>
        <w:t>ba</w:t>
      </w:r>
      <w:r w:rsidR="000511EE" w:rsidRPr="00F803D0">
        <w:rPr>
          <w:rFonts w:asciiTheme="majorHAnsi" w:eastAsia="NotDefSpecial" w:hAnsiTheme="majorHAnsi" w:cs="NotDefSpecial"/>
          <w:sz w:val="20"/>
          <w:szCs w:val="20"/>
          <w:lang w:val="es-ES"/>
        </w:rPr>
        <w:t xml:space="preserve"> el derecho a la consulta, a la propiedad privada colectiva, al uso y manejo de los recursos en los territorios</w:t>
      </w:r>
      <w:r w:rsidRPr="00F803D0">
        <w:rPr>
          <w:rFonts w:asciiTheme="majorHAnsi" w:eastAsia="NotDefSpecial" w:hAnsiTheme="majorHAnsi" w:cs="NotDefSpecial"/>
          <w:sz w:val="20"/>
          <w:szCs w:val="20"/>
          <w:lang w:val="es-ES"/>
        </w:rPr>
        <w:t>;</w:t>
      </w:r>
      <w:r w:rsidR="000511EE" w:rsidRPr="00F803D0">
        <w:rPr>
          <w:rFonts w:asciiTheme="majorHAnsi" w:eastAsia="NotDefSpecial" w:hAnsiTheme="majorHAnsi" w:cs="NotDefSpecial"/>
          <w:sz w:val="20"/>
          <w:szCs w:val="20"/>
          <w:lang w:val="es-ES"/>
        </w:rPr>
        <w:t xml:space="preserve"> </w:t>
      </w:r>
      <w:r w:rsidRPr="00F803D0">
        <w:rPr>
          <w:rFonts w:asciiTheme="majorHAnsi" w:eastAsia="NotDefSpecial" w:hAnsiTheme="majorHAnsi" w:cs="NotDefSpecial"/>
          <w:sz w:val="20"/>
          <w:szCs w:val="20"/>
          <w:lang w:val="es-ES"/>
        </w:rPr>
        <w:t xml:space="preserve">y que no respetaba el </w:t>
      </w:r>
      <w:r w:rsidR="000511EE" w:rsidRPr="00F803D0">
        <w:rPr>
          <w:rFonts w:asciiTheme="majorHAnsi" w:eastAsia="NotDefSpecial" w:hAnsiTheme="majorHAnsi" w:cs="NotDefSpecial"/>
          <w:sz w:val="20"/>
          <w:szCs w:val="20"/>
          <w:lang w:val="es-ES"/>
        </w:rPr>
        <w:t>principio de je</w:t>
      </w:r>
      <w:r w:rsidR="00000B49" w:rsidRPr="00F803D0">
        <w:rPr>
          <w:rFonts w:asciiTheme="majorHAnsi" w:eastAsia="NotDefSpecial" w:hAnsiTheme="majorHAnsi" w:cs="NotDefSpecial"/>
          <w:sz w:val="20"/>
          <w:szCs w:val="20"/>
          <w:lang w:val="es-ES"/>
        </w:rPr>
        <w:t xml:space="preserve">rarquía normativa </w:t>
      </w:r>
      <w:r w:rsidRPr="00F803D0">
        <w:rPr>
          <w:rFonts w:asciiTheme="majorHAnsi" w:eastAsia="NotDefSpecial" w:hAnsiTheme="majorHAnsi" w:cs="NotDefSpecial"/>
          <w:sz w:val="20"/>
          <w:szCs w:val="20"/>
          <w:lang w:val="es-ES"/>
        </w:rPr>
        <w:t>en relación con</w:t>
      </w:r>
      <w:r w:rsidR="00000B49" w:rsidRPr="00F803D0">
        <w:rPr>
          <w:rFonts w:asciiTheme="majorHAnsi" w:eastAsia="NotDefSpecial" w:hAnsiTheme="majorHAnsi" w:cs="NotDefSpecial"/>
          <w:sz w:val="20"/>
          <w:szCs w:val="20"/>
          <w:lang w:val="es-ES"/>
        </w:rPr>
        <w:t xml:space="preserve"> distintos tratados internacionales</w:t>
      </w:r>
      <w:r w:rsidR="000511EE" w:rsidRPr="00F803D0">
        <w:rPr>
          <w:rFonts w:asciiTheme="majorHAnsi" w:eastAsia="NotDefSpecial" w:hAnsiTheme="majorHAnsi" w:cs="NotDefSpecial"/>
          <w:sz w:val="20"/>
          <w:szCs w:val="20"/>
          <w:lang w:val="es-ES"/>
        </w:rPr>
        <w:t xml:space="preserve">. </w:t>
      </w:r>
      <w:r w:rsidRPr="00F803D0">
        <w:rPr>
          <w:rFonts w:asciiTheme="majorHAnsi" w:eastAsia="NotDefSpecial" w:hAnsiTheme="majorHAnsi" w:cs="NotDefSpecial"/>
          <w:sz w:val="20"/>
          <w:szCs w:val="20"/>
          <w:lang w:val="es-ES"/>
        </w:rPr>
        <w:t>La</w:t>
      </w:r>
      <w:r w:rsidR="000511EE" w:rsidRPr="00F803D0">
        <w:rPr>
          <w:rFonts w:asciiTheme="majorHAnsi" w:eastAsia="NotDefSpecial" w:hAnsiTheme="majorHAnsi" w:cs="NotDefSpecial"/>
          <w:sz w:val="20"/>
          <w:szCs w:val="20"/>
          <w:lang w:val="es-ES"/>
        </w:rPr>
        <w:t xml:space="preserve"> acción </w:t>
      </w:r>
      <w:r w:rsidR="00A76BBF" w:rsidRPr="00F803D0">
        <w:rPr>
          <w:rFonts w:asciiTheme="majorHAnsi" w:hAnsiTheme="majorHAnsi"/>
          <w:sz w:val="20"/>
          <w:szCs w:val="20"/>
          <w:lang w:val="es-ES"/>
        </w:rPr>
        <w:t xml:space="preserve">fue declarada </w:t>
      </w:r>
      <w:r w:rsidR="000511EE" w:rsidRPr="00F803D0">
        <w:rPr>
          <w:rFonts w:asciiTheme="majorHAnsi" w:hAnsiTheme="majorHAnsi"/>
          <w:sz w:val="20"/>
          <w:szCs w:val="20"/>
          <w:lang w:val="es-ES"/>
        </w:rPr>
        <w:t xml:space="preserve">inadmisible mediante sentencia de </w:t>
      </w:r>
      <w:r w:rsidR="00000B49" w:rsidRPr="00F803D0">
        <w:rPr>
          <w:rFonts w:asciiTheme="majorHAnsi" w:eastAsia="NotDefSpecial" w:hAnsiTheme="majorHAnsi" w:cs="NotDefSpecial"/>
          <w:sz w:val="20"/>
          <w:szCs w:val="20"/>
          <w:lang w:val="es-ES"/>
        </w:rPr>
        <w:t>8 de f</w:t>
      </w:r>
      <w:r w:rsidR="004B156F" w:rsidRPr="00F803D0">
        <w:rPr>
          <w:rFonts w:asciiTheme="majorHAnsi" w:eastAsia="NotDefSpecial" w:hAnsiTheme="majorHAnsi" w:cs="NotDefSpecial"/>
          <w:sz w:val="20"/>
          <w:szCs w:val="20"/>
          <w:lang w:val="es-ES"/>
        </w:rPr>
        <w:t>ebrero del 2011</w:t>
      </w:r>
      <w:r w:rsidRPr="00F803D0">
        <w:rPr>
          <w:rFonts w:asciiTheme="majorHAnsi" w:eastAsia="NotDefSpecial" w:hAnsiTheme="majorHAnsi" w:cs="NotDefSpecial"/>
          <w:sz w:val="20"/>
          <w:szCs w:val="20"/>
          <w:lang w:val="es-ES"/>
        </w:rPr>
        <w:t>, con</w:t>
      </w:r>
      <w:r w:rsidR="00AA7C33" w:rsidRPr="00F803D0">
        <w:rPr>
          <w:rFonts w:asciiTheme="majorHAnsi" w:eastAsia="NotDefSpecial" w:hAnsiTheme="majorHAnsi" w:cs="NotDefSpecial"/>
          <w:sz w:val="20"/>
          <w:szCs w:val="20"/>
          <w:lang w:val="es-ES"/>
        </w:rPr>
        <w:t xml:space="preserve"> base </w:t>
      </w:r>
      <w:r w:rsidRPr="00F803D0">
        <w:rPr>
          <w:rFonts w:asciiTheme="majorHAnsi" w:eastAsia="NotDefSpecial" w:hAnsiTheme="majorHAnsi" w:cs="NotDefSpecial"/>
          <w:sz w:val="20"/>
          <w:szCs w:val="20"/>
          <w:lang w:val="es-ES"/>
        </w:rPr>
        <w:t>en</w:t>
      </w:r>
      <w:r w:rsidR="000511EE" w:rsidRPr="00F803D0">
        <w:rPr>
          <w:rFonts w:asciiTheme="majorHAnsi" w:eastAsia="NotDefSpecial" w:hAnsiTheme="majorHAnsi" w:cs="NotDefSpecial"/>
          <w:sz w:val="20"/>
          <w:szCs w:val="20"/>
          <w:lang w:val="es-ES"/>
        </w:rPr>
        <w:t xml:space="preserve"> interpretaciones </w:t>
      </w:r>
      <w:r w:rsidR="001C444A" w:rsidRPr="00F803D0">
        <w:rPr>
          <w:rFonts w:asciiTheme="majorHAnsi" w:eastAsia="NotDefSpecial" w:hAnsiTheme="majorHAnsi" w:cs="NotDefSpecial"/>
          <w:sz w:val="20"/>
          <w:szCs w:val="20"/>
          <w:lang w:val="es-ES"/>
        </w:rPr>
        <w:t xml:space="preserve">que la parte peticionaria describe como </w:t>
      </w:r>
      <w:r w:rsidR="000511EE" w:rsidRPr="00F803D0">
        <w:rPr>
          <w:rFonts w:asciiTheme="majorHAnsi" w:eastAsia="NotDefSpecial" w:hAnsiTheme="majorHAnsi" w:cs="NotDefSpecial"/>
          <w:sz w:val="20"/>
          <w:szCs w:val="20"/>
          <w:lang w:val="es-ES"/>
        </w:rPr>
        <w:t>re</w:t>
      </w:r>
      <w:r w:rsidR="00C0256F" w:rsidRPr="00F803D0">
        <w:rPr>
          <w:rFonts w:asciiTheme="majorHAnsi" w:eastAsia="NotDefSpecial" w:hAnsiTheme="majorHAnsi" w:cs="NotDefSpecial"/>
          <w:sz w:val="20"/>
          <w:szCs w:val="20"/>
          <w:lang w:val="es-ES"/>
        </w:rPr>
        <w:t xml:space="preserve">strictivas del </w:t>
      </w:r>
      <w:r w:rsidRPr="00F803D0">
        <w:rPr>
          <w:rFonts w:asciiTheme="majorHAnsi" w:eastAsia="NotDefSpecial" w:hAnsiTheme="majorHAnsi" w:cs="NotDefSpecial"/>
          <w:sz w:val="20"/>
          <w:szCs w:val="20"/>
          <w:lang w:val="es-ES"/>
        </w:rPr>
        <w:t>C</w:t>
      </w:r>
      <w:r w:rsidR="00C0256F" w:rsidRPr="00F803D0">
        <w:rPr>
          <w:rFonts w:asciiTheme="majorHAnsi" w:eastAsia="NotDefSpecial" w:hAnsiTheme="majorHAnsi" w:cs="NotDefSpecial"/>
          <w:sz w:val="20"/>
          <w:szCs w:val="20"/>
          <w:lang w:val="es-ES"/>
        </w:rPr>
        <w:t xml:space="preserve">ódigo </w:t>
      </w:r>
      <w:r w:rsidRPr="00F803D0">
        <w:rPr>
          <w:rFonts w:asciiTheme="majorHAnsi" w:eastAsia="NotDefSpecial" w:hAnsiTheme="majorHAnsi" w:cs="NotDefSpecial"/>
          <w:sz w:val="20"/>
          <w:szCs w:val="20"/>
          <w:lang w:val="es-ES"/>
        </w:rPr>
        <w:t>C</w:t>
      </w:r>
      <w:r w:rsidR="00C0256F" w:rsidRPr="00F803D0">
        <w:rPr>
          <w:rFonts w:asciiTheme="majorHAnsi" w:eastAsia="NotDefSpecial" w:hAnsiTheme="majorHAnsi" w:cs="NotDefSpecial"/>
          <w:sz w:val="20"/>
          <w:szCs w:val="20"/>
          <w:lang w:val="es-ES"/>
        </w:rPr>
        <w:t>ivil y</w:t>
      </w:r>
      <w:r w:rsidR="000511EE" w:rsidRPr="00F803D0">
        <w:rPr>
          <w:rFonts w:asciiTheme="majorHAnsi" w:eastAsia="NotDefSpecial" w:hAnsiTheme="majorHAnsi" w:cs="NotDefSpecial"/>
          <w:sz w:val="20"/>
          <w:szCs w:val="20"/>
          <w:lang w:val="es-ES"/>
        </w:rPr>
        <w:t xml:space="preserve"> </w:t>
      </w:r>
      <w:r w:rsidRPr="00F803D0">
        <w:rPr>
          <w:rFonts w:asciiTheme="majorHAnsi" w:eastAsia="NotDefSpecial" w:hAnsiTheme="majorHAnsi" w:cs="NotDefSpecial"/>
          <w:sz w:val="20"/>
          <w:szCs w:val="20"/>
          <w:lang w:val="es-ES"/>
        </w:rPr>
        <w:t xml:space="preserve">de </w:t>
      </w:r>
      <w:r w:rsidR="000511EE" w:rsidRPr="00F803D0">
        <w:rPr>
          <w:rFonts w:asciiTheme="majorHAnsi" w:eastAsia="NotDefSpecial" w:hAnsiTheme="majorHAnsi" w:cs="NotDefSpecial"/>
          <w:sz w:val="20"/>
          <w:szCs w:val="20"/>
          <w:lang w:val="es-ES"/>
        </w:rPr>
        <w:t>principios de propiedad privada individual</w:t>
      </w:r>
      <w:r w:rsidRPr="00F803D0">
        <w:rPr>
          <w:rFonts w:asciiTheme="majorHAnsi" w:eastAsia="NotDefSpecial" w:hAnsiTheme="majorHAnsi" w:cs="NotDefSpecial"/>
          <w:sz w:val="20"/>
          <w:szCs w:val="20"/>
          <w:lang w:val="es-ES"/>
        </w:rPr>
        <w:t>,</w:t>
      </w:r>
      <w:r w:rsidR="000511EE" w:rsidRPr="00F803D0">
        <w:rPr>
          <w:rFonts w:asciiTheme="majorHAnsi" w:eastAsia="NotDefSpecial" w:hAnsiTheme="majorHAnsi" w:cs="NotDefSpecial"/>
          <w:sz w:val="20"/>
          <w:szCs w:val="20"/>
          <w:lang w:val="es-ES"/>
        </w:rPr>
        <w:t xml:space="preserve"> </w:t>
      </w:r>
      <w:r w:rsidR="00000B49" w:rsidRPr="00F803D0">
        <w:rPr>
          <w:rFonts w:asciiTheme="majorHAnsi" w:eastAsia="NotDefSpecial" w:hAnsiTheme="majorHAnsi" w:cs="NotDefSpecial"/>
          <w:sz w:val="20"/>
          <w:szCs w:val="20"/>
          <w:lang w:val="es-ES"/>
        </w:rPr>
        <w:t>para justificar</w:t>
      </w:r>
      <w:r w:rsidR="00235EBA" w:rsidRPr="00F803D0">
        <w:rPr>
          <w:rFonts w:asciiTheme="majorHAnsi" w:eastAsia="NotDefSpecial" w:hAnsiTheme="majorHAnsi" w:cs="NotDefSpecial"/>
          <w:sz w:val="20"/>
          <w:szCs w:val="20"/>
          <w:lang w:val="es-ES"/>
        </w:rPr>
        <w:t xml:space="preserve"> la vigencia de </w:t>
      </w:r>
      <w:r w:rsidR="00000B49" w:rsidRPr="00F803D0">
        <w:rPr>
          <w:rFonts w:asciiTheme="majorHAnsi" w:eastAsia="NotDefSpecial" w:hAnsiTheme="majorHAnsi" w:cs="NotDefSpecial"/>
          <w:sz w:val="20"/>
          <w:szCs w:val="20"/>
          <w:lang w:val="es-ES"/>
        </w:rPr>
        <w:t xml:space="preserve">dicha </w:t>
      </w:r>
      <w:r w:rsidR="00235EBA" w:rsidRPr="00F803D0">
        <w:rPr>
          <w:rFonts w:asciiTheme="majorHAnsi" w:eastAsia="NotDefSpecial" w:hAnsiTheme="majorHAnsi" w:cs="NotDefSpecial"/>
          <w:color w:val="auto"/>
          <w:sz w:val="20"/>
          <w:szCs w:val="20"/>
          <w:lang w:val="es-ES"/>
        </w:rPr>
        <w:t>nor</w:t>
      </w:r>
      <w:r w:rsidR="00000B49" w:rsidRPr="00F803D0">
        <w:rPr>
          <w:rFonts w:asciiTheme="majorHAnsi" w:eastAsia="NotDefSpecial" w:hAnsiTheme="majorHAnsi" w:cs="NotDefSpecial"/>
          <w:color w:val="auto"/>
          <w:sz w:val="20"/>
          <w:szCs w:val="20"/>
          <w:lang w:val="es-ES"/>
        </w:rPr>
        <w:t xml:space="preserve">ma bajo criterios de utilidad, </w:t>
      </w:r>
      <w:r w:rsidR="00235EBA" w:rsidRPr="00F803D0">
        <w:rPr>
          <w:rFonts w:asciiTheme="majorHAnsi" w:eastAsia="NotDefSpecial" w:hAnsiTheme="majorHAnsi" w:cs="NotDefSpecial"/>
          <w:color w:val="auto"/>
          <w:sz w:val="20"/>
          <w:szCs w:val="20"/>
          <w:lang w:val="es-ES"/>
        </w:rPr>
        <w:t xml:space="preserve">necesidad pública </w:t>
      </w:r>
      <w:r w:rsidRPr="00F803D0">
        <w:rPr>
          <w:rFonts w:asciiTheme="majorHAnsi" w:eastAsia="NotDefSpecial" w:hAnsiTheme="majorHAnsi" w:cs="NotDefSpecial"/>
          <w:color w:val="auto"/>
          <w:sz w:val="20"/>
          <w:szCs w:val="20"/>
          <w:lang w:val="es-ES"/>
        </w:rPr>
        <w:t>e</w:t>
      </w:r>
      <w:r w:rsidR="00235EBA" w:rsidRPr="00F803D0">
        <w:rPr>
          <w:rFonts w:asciiTheme="majorHAnsi" w:eastAsia="NotDefSpecial" w:hAnsiTheme="majorHAnsi" w:cs="NotDefSpecial"/>
          <w:color w:val="auto"/>
          <w:sz w:val="20"/>
          <w:szCs w:val="20"/>
          <w:lang w:val="es-ES"/>
        </w:rPr>
        <w:t xml:space="preserve"> interés social</w:t>
      </w:r>
      <w:r w:rsidR="007272A4" w:rsidRPr="00F803D0">
        <w:rPr>
          <w:rFonts w:asciiTheme="majorHAnsi" w:eastAsia="NotDefSpecial" w:hAnsiTheme="majorHAnsi" w:cs="NotDefSpecial"/>
          <w:color w:val="auto"/>
          <w:sz w:val="20"/>
          <w:szCs w:val="20"/>
          <w:lang w:val="es-ES"/>
        </w:rPr>
        <w:t>.</w:t>
      </w:r>
      <w:r w:rsidR="000F7D01" w:rsidRPr="00F803D0">
        <w:rPr>
          <w:rFonts w:asciiTheme="majorHAnsi" w:eastAsia="NotDefSpecial" w:hAnsiTheme="majorHAnsi" w:cs="NotDefSpecial"/>
          <w:color w:val="auto"/>
          <w:sz w:val="20"/>
          <w:szCs w:val="20"/>
          <w:lang w:val="es-ES"/>
        </w:rPr>
        <w:t xml:space="preserve"> </w:t>
      </w:r>
    </w:p>
    <w:p w14:paraId="017BB635" w14:textId="77777777" w:rsidR="008C11AC" w:rsidRPr="00F803D0" w:rsidRDefault="008C11AC" w:rsidP="00C24834">
      <w:pPr>
        <w:rPr>
          <w:rFonts w:asciiTheme="majorHAnsi" w:eastAsia="NotDefSpecial" w:hAnsiTheme="majorHAnsi" w:cs="NotDefSpecial"/>
          <w:sz w:val="20"/>
          <w:szCs w:val="20"/>
          <w:lang w:val="es-ES"/>
        </w:rPr>
      </w:pPr>
    </w:p>
    <w:p w14:paraId="29AA93AB" w14:textId="1AF45F87" w:rsidR="00DA3219" w:rsidRPr="00F803D0" w:rsidRDefault="001C444A" w:rsidP="005C78B1">
      <w:pPr>
        <w:pStyle w:val="ListParagraph"/>
        <w:numPr>
          <w:ilvl w:val="0"/>
          <w:numId w:val="55"/>
        </w:numPr>
        <w:tabs>
          <w:tab w:val="clear" w:pos="720"/>
        </w:tabs>
        <w:suppressAutoHyphens/>
        <w:jc w:val="both"/>
        <w:rPr>
          <w:rFonts w:asciiTheme="majorHAnsi" w:eastAsia="NotDefSpecial" w:hAnsiTheme="majorHAnsi" w:cs="NotDefSpecial"/>
          <w:color w:val="auto"/>
          <w:sz w:val="20"/>
          <w:szCs w:val="20"/>
          <w:lang w:val="es-ES"/>
        </w:rPr>
      </w:pPr>
      <w:r w:rsidRPr="00F803D0">
        <w:rPr>
          <w:rFonts w:asciiTheme="majorHAnsi" w:hAnsiTheme="majorHAnsi"/>
          <w:color w:val="auto"/>
          <w:sz w:val="20"/>
          <w:szCs w:val="20"/>
          <w:lang w:val="es-ES"/>
        </w:rPr>
        <w:t>La parte peticionaria aduce</w:t>
      </w:r>
      <w:r w:rsidR="000F7D01" w:rsidRPr="00F803D0">
        <w:rPr>
          <w:rFonts w:asciiTheme="majorHAnsi" w:hAnsiTheme="majorHAnsi"/>
          <w:color w:val="auto"/>
          <w:sz w:val="20"/>
          <w:szCs w:val="20"/>
          <w:lang w:val="es-ES"/>
        </w:rPr>
        <w:t xml:space="preserve"> que </w:t>
      </w:r>
      <w:r w:rsidRPr="00F803D0">
        <w:rPr>
          <w:rFonts w:asciiTheme="majorHAnsi" w:hAnsiTheme="majorHAnsi"/>
          <w:color w:val="auto"/>
          <w:sz w:val="20"/>
          <w:szCs w:val="20"/>
          <w:lang w:val="es-ES"/>
        </w:rPr>
        <w:t xml:space="preserve">el Estado ha realizado </w:t>
      </w:r>
      <w:r w:rsidR="00EE5518" w:rsidRPr="00F803D0">
        <w:rPr>
          <w:rFonts w:asciiTheme="majorHAnsi" w:hAnsiTheme="majorHAnsi"/>
          <w:color w:val="auto"/>
          <w:sz w:val="20"/>
          <w:szCs w:val="20"/>
          <w:lang w:val="es-ES"/>
        </w:rPr>
        <w:t>una serie de inte</w:t>
      </w:r>
      <w:r w:rsidR="000F7D01" w:rsidRPr="00F803D0">
        <w:rPr>
          <w:rFonts w:asciiTheme="majorHAnsi" w:hAnsiTheme="majorHAnsi"/>
          <w:color w:val="auto"/>
          <w:sz w:val="20"/>
          <w:szCs w:val="20"/>
          <w:lang w:val="es-ES"/>
        </w:rPr>
        <w:t xml:space="preserve">rvenciones </w:t>
      </w:r>
      <w:r w:rsidR="006F302E" w:rsidRPr="00F803D0">
        <w:rPr>
          <w:rFonts w:asciiTheme="majorHAnsi" w:hAnsiTheme="majorHAnsi"/>
          <w:color w:val="auto"/>
          <w:sz w:val="20"/>
          <w:szCs w:val="20"/>
          <w:lang w:val="es-ES"/>
        </w:rPr>
        <w:t xml:space="preserve">como </w:t>
      </w:r>
      <w:r w:rsidR="000F7D01" w:rsidRPr="00F803D0">
        <w:rPr>
          <w:rFonts w:asciiTheme="majorHAnsi" w:eastAsia="NotDefSpecial" w:hAnsiTheme="majorHAnsi" w:cs="NotDefSpecial"/>
          <w:color w:val="auto"/>
          <w:sz w:val="20"/>
          <w:szCs w:val="20"/>
          <w:lang w:val="es-ES"/>
        </w:rPr>
        <w:t>“</w:t>
      </w:r>
      <w:r w:rsidR="00B76F05" w:rsidRPr="00F803D0">
        <w:rPr>
          <w:rFonts w:asciiTheme="majorHAnsi" w:eastAsia="NotDefSpecial" w:hAnsiTheme="majorHAnsi" w:cs="NotDefSpecial"/>
          <w:color w:val="auto"/>
          <w:sz w:val="20"/>
          <w:szCs w:val="20"/>
          <w:lang w:val="es-ES"/>
        </w:rPr>
        <w:t xml:space="preserve">procesos de </w:t>
      </w:r>
      <w:r w:rsidR="000F7D01" w:rsidRPr="00F803D0">
        <w:rPr>
          <w:rFonts w:asciiTheme="majorHAnsi" w:eastAsia="NotDefSpecial" w:hAnsiTheme="majorHAnsi" w:cs="NotDefSpecial"/>
          <w:color w:val="auto"/>
          <w:sz w:val="20"/>
          <w:szCs w:val="20"/>
          <w:lang w:val="es-ES"/>
        </w:rPr>
        <w:t>r</w:t>
      </w:r>
      <w:r w:rsidR="006F302E" w:rsidRPr="00F803D0">
        <w:rPr>
          <w:rFonts w:asciiTheme="majorHAnsi" w:eastAsia="NotDefSpecial" w:hAnsiTheme="majorHAnsi" w:cs="NotDefSpecial"/>
          <w:color w:val="auto"/>
          <w:sz w:val="20"/>
          <w:szCs w:val="20"/>
          <w:lang w:val="es-ES"/>
        </w:rPr>
        <w:t xml:space="preserve">egularización […], </w:t>
      </w:r>
      <w:r w:rsidR="00B76F05" w:rsidRPr="00F803D0">
        <w:rPr>
          <w:rFonts w:asciiTheme="majorHAnsi" w:eastAsia="NotDefSpecial" w:hAnsiTheme="majorHAnsi" w:cs="NotDefSpecial"/>
          <w:color w:val="auto"/>
          <w:sz w:val="20"/>
          <w:szCs w:val="20"/>
          <w:lang w:val="es-ES"/>
        </w:rPr>
        <w:t>segregaciones e inscripciones de tierra indígena</w:t>
      </w:r>
      <w:r w:rsidR="000F7D01" w:rsidRPr="00F803D0">
        <w:rPr>
          <w:rFonts w:asciiTheme="majorHAnsi" w:eastAsia="NotDefSpecial" w:hAnsiTheme="majorHAnsi" w:cs="NotDefSpecial"/>
          <w:color w:val="auto"/>
          <w:sz w:val="20"/>
          <w:szCs w:val="20"/>
          <w:lang w:val="es-ES"/>
        </w:rPr>
        <w:t>”</w:t>
      </w:r>
      <w:r w:rsidR="001B5356" w:rsidRPr="00F803D0">
        <w:rPr>
          <w:rFonts w:asciiTheme="majorHAnsi" w:eastAsia="NotDefSpecial" w:hAnsiTheme="majorHAnsi" w:cs="NotDefSpecial"/>
          <w:color w:val="auto"/>
          <w:sz w:val="20"/>
          <w:szCs w:val="20"/>
          <w:lang w:val="es-ES"/>
        </w:rPr>
        <w:t>;</w:t>
      </w:r>
      <w:r w:rsidR="00B76F05"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 xml:space="preserve">y que al mismo tiempo </w:t>
      </w:r>
      <w:r w:rsidR="004D5280" w:rsidRPr="00F803D0">
        <w:rPr>
          <w:rFonts w:asciiTheme="majorHAnsi" w:eastAsia="NotDefSpecial" w:hAnsiTheme="majorHAnsi" w:cs="NotDefSpecial"/>
          <w:color w:val="auto"/>
          <w:sz w:val="20"/>
          <w:szCs w:val="20"/>
          <w:lang w:val="es-ES"/>
        </w:rPr>
        <w:t>“</w:t>
      </w:r>
      <w:r w:rsidR="00B76F05" w:rsidRPr="00F803D0">
        <w:rPr>
          <w:rFonts w:asciiTheme="majorHAnsi" w:eastAsia="NotDefSpecial" w:hAnsiTheme="majorHAnsi" w:cs="NotDefSpecial"/>
          <w:color w:val="auto"/>
          <w:sz w:val="20"/>
          <w:szCs w:val="20"/>
          <w:lang w:val="es-ES"/>
        </w:rPr>
        <w:t>se han</w:t>
      </w:r>
      <w:r w:rsidR="00567F23" w:rsidRPr="00F803D0">
        <w:rPr>
          <w:rFonts w:asciiTheme="majorHAnsi" w:eastAsia="NotDefSpecial" w:hAnsiTheme="majorHAnsi" w:cs="NotDefSpecial"/>
          <w:color w:val="auto"/>
          <w:sz w:val="20"/>
          <w:szCs w:val="20"/>
          <w:lang w:val="es-ES"/>
        </w:rPr>
        <w:t xml:space="preserve"> </w:t>
      </w:r>
      <w:r w:rsidR="00B76F05" w:rsidRPr="00F803D0">
        <w:rPr>
          <w:rFonts w:asciiTheme="majorHAnsi" w:eastAsia="NotDefSpecial" w:hAnsiTheme="majorHAnsi" w:cs="NotDefSpecial"/>
          <w:color w:val="auto"/>
          <w:sz w:val="20"/>
          <w:szCs w:val="20"/>
          <w:lang w:val="es-ES"/>
        </w:rPr>
        <w:t>denegado peticiones territoriales y se han ignorado un promedio de</w:t>
      </w:r>
      <w:r w:rsidR="00567F23" w:rsidRPr="00F803D0">
        <w:rPr>
          <w:rFonts w:asciiTheme="majorHAnsi" w:eastAsia="NotDefSpecial" w:hAnsiTheme="majorHAnsi" w:cs="NotDefSpecial"/>
          <w:color w:val="auto"/>
          <w:sz w:val="20"/>
          <w:szCs w:val="20"/>
          <w:lang w:val="es-ES"/>
        </w:rPr>
        <w:t xml:space="preserve"> </w:t>
      </w:r>
      <w:r w:rsidR="004D5280" w:rsidRPr="00F803D0">
        <w:rPr>
          <w:rFonts w:asciiTheme="majorHAnsi" w:eastAsia="NotDefSpecial" w:hAnsiTheme="majorHAnsi" w:cs="NotDefSpecial"/>
          <w:color w:val="auto"/>
          <w:sz w:val="20"/>
          <w:szCs w:val="20"/>
          <w:lang w:val="es-ES"/>
        </w:rPr>
        <w:t>100</w:t>
      </w:r>
      <w:r w:rsidR="00B76F05" w:rsidRPr="00F803D0">
        <w:rPr>
          <w:rFonts w:asciiTheme="majorHAnsi" w:eastAsia="NotDefSpecial" w:hAnsiTheme="majorHAnsi" w:cs="NotDefSpecial"/>
          <w:color w:val="auto"/>
          <w:sz w:val="20"/>
          <w:szCs w:val="20"/>
          <w:lang w:val="es-ES"/>
        </w:rPr>
        <w:t xml:space="preserve"> acciones legales en defensa de los territorios hechas por</w:t>
      </w:r>
      <w:r w:rsidR="00567F23" w:rsidRPr="00F803D0">
        <w:rPr>
          <w:rFonts w:asciiTheme="majorHAnsi" w:eastAsia="NotDefSpecial" w:hAnsiTheme="majorHAnsi" w:cs="NotDefSpecial"/>
          <w:color w:val="auto"/>
          <w:sz w:val="20"/>
          <w:szCs w:val="20"/>
          <w:lang w:val="es-ES"/>
        </w:rPr>
        <w:t xml:space="preserve"> </w:t>
      </w:r>
      <w:r w:rsidR="00B76F05" w:rsidRPr="00F803D0">
        <w:rPr>
          <w:rFonts w:asciiTheme="majorHAnsi" w:eastAsia="NotDefSpecial" w:hAnsiTheme="majorHAnsi" w:cs="NotDefSpecial"/>
          <w:color w:val="auto"/>
          <w:sz w:val="20"/>
          <w:szCs w:val="20"/>
          <w:lang w:val="es-ES"/>
        </w:rPr>
        <w:t>las organizaciones indígenas</w:t>
      </w:r>
      <w:r w:rsidR="004D5280" w:rsidRPr="00F803D0">
        <w:rPr>
          <w:rFonts w:asciiTheme="majorHAnsi" w:eastAsia="NotDefSpecial" w:hAnsiTheme="majorHAnsi" w:cs="NotDefSpecial"/>
          <w:color w:val="auto"/>
          <w:sz w:val="20"/>
          <w:szCs w:val="20"/>
          <w:lang w:val="es-ES"/>
        </w:rPr>
        <w:t>”</w:t>
      </w:r>
      <w:r w:rsidR="00B76F05" w:rsidRPr="00F803D0">
        <w:rPr>
          <w:rFonts w:asciiTheme="majorHAnsi" w:eastAsia="NotDefSpecial" w:hAnsiTheme="majorHAnsi" w:cs="NotDefSpecial"/>
          <w:color w:val="auto"/>
          <w:sz w:val="20"/>
          <w:szCs w:val="20"/>
          <w:lang w:val="es-ES"/>
        </w:rPr>
        <w:t>.</w:t>
      </w:r>
      <w:r w:rsidR="006F302E"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 xml:space="preserve">Afirma que </w:t>
      </w:r>
      <w:r w:rsidR="00B0415E" w:rsidRPr="00F803D0">
        <w:rPr>
          <w:rFonts w:asciiTheme="majorHAnsi" w:eastAsia="NotDefSpecial" w:hAnsiTheme="majorHAnsi" w:cs="NotDefSpecial"/>
          <w:color w:val="auto"/>
          <w:sz w:val="20"/>
          <w:szCs w:val="20"/>
          <w:lang w:val="es-ES"/>
        </w:rPr>
        <w:t xml:space="preserve">los pueblos indígenas del país </w:t>
      </w:r>
      <w:r w:rsidRPr="00F803D0">
        <w:rPr>
          <w:rFonts w:asciiTheme="majorHAnsi" w:eastAsia="NotDefSpecial" w:hAnsiTheme="majorHAnsi" w:cs="NotDefSpecial"/>
          <w:color w:val="auto"/>
          <w:sz w:val="20"/>
          <w:szCs w:val="20"/>
          <w:lang w:val="es-ES"/>
        </w:rPr>
        <w:t xml:space="preserve">se hallan en indefensión, pues no pueden </w:t>
      </w:r>
      <w:r w:rsidR="00B0415E" w:rsidRPr="00F803D0">
        <w:rPr>
          <w:rFonts w:asciiTheme="majorHAnsi" w:eastAsia="NotDefSpecial" w:hAnsiTheme="majorHAnsi" w:cs="NotDefSpecial"/>
          <w:color w:val="auto"/>
          <w:sz w:val="20"/>
          <w:szCs w:val="20"/>
          <w:lang w:val="es-ES"/>
        </w:rPr>
        <w:t xml:space="preserve">hacer valer sus derechos, especialmente en </w:t>
      </w:r>
      <w:r w:rsidR="006F302E" w:rsidRPr="00F803D0">
        <w:rPr>
          <w:rFonts w:asciiTheme="majorHAnsi" w:eastAsia="NotDefSpecial" w:hAnsiTheme="majorHAnsi" w:cs="NotDefSpecial"/>
          <w:color w:val="auto"/>
          <w:sz w:val="20"/>
          <w:szCs w:val="20"/>
          <w:lang w:val="es-ES"/>
        </w:rPr>
        <w:t xml:space="preserve">los </w:t>
      </w:r>
      <w:r w:rsidR="00B0415E" w:rsidRPr="00F803D0">
        <w:rPr>
          <w:rFonts w:asciiTheme="majorHAnsi" w:eastAsia="NotDefSpecial" w:hAnsiTheme="majorHAnsi" w:cs="NotDefSpecial"/>
          <w:color w:val="auto"/>
          <w:sz w:val="20"/>
          <w:szCs w:val="20"/>
          <w:lang w:val="es-ES"/>
        </w:rPr>
        <w:t>caso</w:t>
      </w:r>
      <w:r w:rsidR="006F302E" w:rsidRPr="00F803D0">
        <w:rPr>
          <w:rFonts w:asciiTheme="majorHAnsi" w:eastAsia="NotDefSpecial" w:hAnsiTheme="majorHAnsi" w:cs="NotDefSpecial"/>
          <w:color w:val="auto"/>
          <w:sz w:val="20"/>
          <w:szCs w:val="20"/>
          <w:lang w:val="es-ES"/>
        </w:rPr>
        <w:t>s</w:t>
      </w:r>
      <w:r w:rsidR="00B0415E" w:rsidRPr="00F803D0">
        <w:rPr>
          <w:rFonts w:asciiTheme="majorHAnsi" w:eastAsia="NotDefSpecial" w:hAnsiTheme="majorHAnsi" w:cs="NotDefSpecial"/>
          <w:color w:val="auto"/>
          <w:sz w:val="20"/>
          <w:szCs w:val="20"/>
          <w:lang w:val="es-ES"/>
        </w:rPr>
        <w:t xml:space="preserve"> de desintegración de los títulos comunitarios a través de los procesos de regularización predial y </w:t>
      </w:r>
      <w:r w:rsidR="006F302E" w:rsidRPr="00F803D0">
        <w:rPr>
          <w:rFonts w:asciiTheme="majorHAnsi" w:eastAsia="NotDefSpecial" w:hAnsiTheme="majorHAnsi" w:cs="NotDefSpecial"/>
          <w:color w:val="auto"/>
          <w:sz w:val="20"/>
          <w:szCs w:val="20"/>
          <w:lang w:val="es-ES"/>
        </w:rPr>
        <w:t xml:space="preserve">ante </w:t>
      </w:r>
      <w:r w:rsidR="00B0415E" w:rsidRPr="00F803D0">
        <w:rPr>
          <w:rFonts w:asciiTheme="majorHAnsi" w:eastAsia="NotDefSpecial" w:hAnsiTheme="majorHAnsi" w:cs="NotDefSpecial"/>
          <w:color w:val="auto"/>
          <w:sz w:val="20"/>
          <w:szCs w:val="20"/>
          <w:lang w:val="es-ES"/>
        </w:rPr>
        <w:t>la falta de seguridad jurídica de los títulos y derecho</w:t>
      </w:r>
      <w:r w:rsidR="006F302E" w:rsidRPr="00F803D0">
        <w:rPr>
          <w:rFonts w:asciiTheme="majorHAnsi" w:eastAsia="NotDefSpecial" w:hAnsiTheme="majorHAnsi" w:cs="NotDefSpecial"/>
          <w:color w:val="auto"/>
          <w:sz w:val="20"/>
          <w:szCs w:val="20"/>
          <w:lang w:val="es-ES"/>
        </w:rPr>
        <w:t>s pose</w:t>
      </w:r>
      <w:r w:rsidR="00717B32" w:rsidRPr="00F803D0">
        <w:rPr>
          <w:rFonts w:asciiTheme="majorHAnsi" w:eastAsia="NotDefSpecial" w:hAnsiTheme="majorHAnsi" w:cs="NotDefSpecial"/>
          <w:color w:val="auto"/>
          <w:sz w:val="20"/>
          <w:szCs w:val="20"/>
          <w:lang w:val="es-ES"/>
        </w:rPr>
        <w:t>sorios ancestrales</w:t>
      </w:r>
      <w:r w:rsidR="00B0415E" w:rsidRPr="00F803D0">
        <w:rPr>
          <w:rFonts w:asciiTheme="majorHAnsi" w:eastAsia="NotDefSpecial" w:hAnsiTheme="majorHAnsi" w:cs="NotDefSpecial"/>
          <w:color w:val="auto"/>
          <w:sz w:val="20"/>
          <w:szCs w:val="20"/>
          <w:lang w:val="es-ES"/>
        </w:rPr>
        <w:t xml:space="preserve">. </w:t>
      </w:r>
      <w:r w:rsidR="00DA3219" w:rsidRPr="00F803D0">
        <w:rPr>
          <w:rFonts w:asciiTheme="majorHAnsi" w:eastAsia="NotDefSpecial" w:hAnsiTheme="majorHAnsi" w:cs="NotDefSpecial"/>
          <w:color w:val="auto"/>
          <w:sz w:val="20"/>
          <w:szCs w:val="20"/>
          <w:lang w:val="es-ES"/>
        </w:rPr>
        <w:t>En particular</w:t>
      </w:r>
      <w:r w:rsidRPr="00F803D0">
        <w:rPr>
          <w:rFonts w:asciiTheme="majorHAnsi" w:eastAsia="NotDefSpecial" w:hAnsiTheme="majorHAnsi" w:cs="NotDefSpecial"/>
          <w:color w:val="auto"/>
          <w:sz w:val="20"/>
          <w:szCs w:val="20"/>
          <w:lang w:val="es-ES"/>
        </w:rPr>
        <w:t>,</w:t>
      </w:r>
      <w:r w:rsidR="00DA3219" w:rsidRPr="00F803D0">
        <w:rPr>
          <w:rFonts w:asciiTheme="majorHAnsi" w:eastAsia="NotDefSpecial" w:hAnsiTheme="majorHAnsi" w:cs="NotDefSpecial"/>
          <w:color w:val="auto"/>
          <w:sz w:val="20"/>
          <w:szCs w:val="20"/>
          <w:lang w:val="es-ES"/>
        </w:rPr>
        <w:t xml:space="preserve"> </w:t>
      </w:r>
      <w:r w:rsidR="000F7D01" w:rsidRPr="00F803D0">
        <w:rPr>
          <w:rFonts w:asciiTheme="majorHAnsi" w:eastAsia="NotDefSpecial" w:hAnsiTheme="majorHAnsi" w:cs="NotDefSpecial"/>
          <w:color w:val="auto"/>
          <w:sz w:val="20"/>
          <w:szCs w:val="20"/>
          <w:lang w:val="es-ES"/>
        </w:rPr>
        <w:t>denuncia que e</w:t>
      </w:r>
      <w:r w:rsidR="00B76F05" w:rsidRPr="00F803D0">
        <w:rPr>
          <w:rFonts w:asciiTheme="majorHAnsi" w:eastAsia="NotDefSpecial" w:hAnsiTheme="majorHAnsi" w:cs="NotDefSpecial"/>
          <w:color w:val="auto"/>
          <w:sz w:val="20"/>
          <w:szCs w:val="20"/>
          <w:lang w:val="es-ES"/>
        </w:rPr>
        <w:t xml:space="preserve">l </w:t>
      </w:r>
      <w:r w:rsidR="004D5280" w:rsidRPr="00F803D0">
        <w:rPr>
          <w:rFonts w:asciiTheme="majorHAnsi" w:eastAsia="NotDefSpecial" w:hAnsiTheme="majorHAnsi" w:cs="NotDefSpecial"/>
          <w:color w:val="auto"/>
          <w:sz w:val="20"/>
          <w:szCs w:val="20"/>
          <w:lang w:val="es-ES"/>
        </w:rPr>
        <w:t>E</w:t>
      </w:r>
      <w:r w:rsidR="00B76F05" w:rsidRPr="00F803D0">
        <w:rPr>
          <w:rFonts w:asciiTheme="majorHAnsi" w:eastAsia="NotDefSpecial" w:hAnsiTheme="majorHAnsi" w:cs="NotDefSpecial"/>
          <w:color w:val="auto"/>
          <w:sz w:val="20"/>
          <w:szCs w:val="20"/>
          <w:lang w:val="es-ES"/>
        </w:rPr>
        <w:t>stado ha otorgado concesiones</w:t>
      </w:r>
      <w:r w:rsidR="00567F23" w:rsidRPr="00F803D0">
        <w:rPr>
          <w:rFonts w:asciiTheme="majorHAnsi" w:eastAsia="NotDefSpecial" w:hAnsiTheme="majorHAnsi" w:cs="NotDefSpecial"/>
          <w:color w:val="auto"/>
          <w:sz w:val="20"/>
          <w:szCs w:val="20"/>
          <w:lang w:val="es-ES"/>
        </w:rPr>
        <w:t xml:space="preserve"> </w:t>
      </w:r>
      <w:r w:rsidR="001B5356" w:rsidRPr="00F803D0">
        <w:rPr>
          <w:rFonts w:asciiTheme="majorHAnsi" w:eastAsia="NotDefSpecial" w:hAnsiTheme="majorHAnsi" w:cs="NotDefSpecial"/>
          <w:color w:val="auto"/>
          <w:sz w:val="20"/>
          <w:szCs w:val="20"/>
          <w:lang w:val="es-ES"/>
        </w:rPr>
        <w:t xml:space="preserve">sobre ríos y distintos territorios indígenas </w:t>
      </w:r>
      <w:r w:rsidR="00B76F05" w:rsidRPr="00F803D0">
        <w:rPr>
          <w:rFonts w:asciiTheme="majorHAnsi" w:eastAsia="NotDefSpecial" w:hAnsiTheme="majorHAnsi" w:cs="NotDefSpecial"/>
          <w:color w:val="auto"/>
          <w:sz w:val="20"/>
          <w:szCs w:val="20"/>
          <w:lang w:val="es-ES"/>
        </w:rPr>
        <w:t>para la construcción de represas hidroeléctricas</w:t>
      </w:r>
      <w:r w:rsidR="001B5356" w:rsidRPr="00F803D0">
        <w:rPr>
          <w:rFonts w:asciiTheme="majorHAnsi" w:eastAsia="NotDefSpecial" w:hAnsiTheme="majorHAnsi" w:cs="NotDefSpecial"/>
          <w:color w:val="auto"/>
          <w:sz w:val="20"/>
          <w:szCs w:val="20"/>
          <w:lang w:val="es-ES"/>
        </w:rPr>
        <w:t>,</w:t>
      </w:r>
      <w:r w:rsidR="00CC431D" w:rsidRPr="00F803D0">
        <w:rPr>
          <w:rFonts w:asciiTheme="majorHAnsi" w:eastAsia="NotDefSpecial" w:hAnsiTheme="majorHAnsi" w:cs="NotDefSpecial"/>
          <w:color w:val="auto"/>
          <w:sz w:val="20"/>
          <w:szCs w:val="20"/>
          <w:lang w:val="es-ES"/>
        </w:rPr>
        <w:t xml:space="preserve"> sin consulta alguna</w:t>
      </w:r>
      <w:r w:rsidR="00F35CFE" w:rsidRPr="00F803D0">
        <w:rPr>
          <w:rFonts w:asciiTheme="majorHAnsi" w:eastAsia="NotDefSpecial" w:hAnsiTheme="majorHAnsi" w:cs="NotDefSpecial"/>
          <w:color w:val="auto"/>
          <w:sz w:val="20"/>
          <w:szCs w:val="20"/>
          <w:lang w:val="es-ES"/>
        </w:rPr>
        <w:t xml:space="preserve">; y </w:t>
      </w:r>
      <w:r w:rsidRPr="00F803D0">
        <w:rPr>
          <w:rFonts w:asciiTheme="majorHAnsi" w:eastAsia="NotDefSpecial" w:hAnsiTheme="majorHAnsi" w:cs="NotDefSpecial"/>
          <w:color w:val="auto"/>
          <w:sz w:val="20"/>
          <w:szCs w:val="20"/>
          <w:lang w:val="es-ES"/>
        </w:rPr>
        <w:t xml:space="preserve">que </w:t>
      </w:r>
      <w:r w:rsidR="00B76F05" w:rsidRPr="00F803D0">
        <w:rPr>
          <w:rFonts w:asciiTheme="majorHAnsi" w:eastAsia="NotDefSpecial" w:hAnsiTheme="majorHAnsi" w:cs="NotDefSpecial"/>
          <w:color w:val="auto"/>
          <w:sz w:val="20"/>
          <w:szCs w:val="20"/>
          <w:lang w:val="es-ES"/>
        </w:rPr>
        <w:t>ha iniciado obras en algunos de los</w:t>
      </w:r>
      <w:r w:rsidR="00567F23" w:rsidRPr="00F803D0">
        <w:rPr>
          <w:rFonts w:asciiTheme="majorHAnsi" w:eastAsia="NotDefSpecial" w:hAnsiTheme="majorHAnsi" w:cs="NotDefSpecial"/>
          <w:color w:val="auto"/>
          <w:sz w:val="20"/>
          <w:szCs w:val="20"/>
          <w:lang w:val="es-ES"/>
        </w:rPr>
        <w:t xml:space="preserve"> </w:t>
      </w:r>
      <w:r w:rsidR="00B76F05" w:rsidRPr="00F803D0">
        <w:rPr>
          <w:rFonts w:asciiTheme="majorHAnsi" w:eastAsia="NotDefSpecial" w:hAnsiTheme="majorHAnsi" w:cs="NotDefSpecial"/>
          <w:color w:val="auto"/>
          <w:sz w:val="20"/>
          <w:szCs w:val="20"/>
          <w:lang w:val="es-ES"/>
        </w:rPr>
        <w:t>territorios usurpados sin realiza</w:t>
      </w:r>
      <w:r w:rsidR="001B5356" w:rsidRPr="00F803D0">
        <w:rPr>
          <w:rFonts w:asciiTheme="majorHAnsi" w:eastAsia="NotDefSpecial" w:hAnsiTheme="majorHAnsi" w:cs="NotDefSpecial"/>
          <w:color w:val="auto"/>
          <w:sz w:val="20"/>
          <w:szCs w:val="20"/>
          <w:lang w:val="es-ES"/>
        </w:rPr>
        <w:t>r</w:t>
      </w:r>
      <w:r w:rsidR="00B76F05" w:rsidRPr="00F803D0">
        <w:rPr>
          <w:rFonts w:asciiTheme="majorHAnsi" w:eastAsia="NotDefSpecial" w:hAnsiTheme="majorHAnsi" w:cs="NotDefSpecial"/>
          <w:color w:val="auto"/>
          <w:sz w:val="20"/>
          <w:szCs w:val="20"/>
          <w:lang w:val="es-ES"/>
        </w:rPr>
        <w:t xml:space="preserve"> los estudio</w:t>
      </w:r>
      <w:r w:rsidR="00BC2426" w:rsidRPr="00F803D0">
        <w:rPr>
          <w:rFonts w:asciiTheme="majorHAnsi" w:eastAsia="NotDefSpecial" w:hAnsiTheme="majorHAnsi" w:cs="NotDefSpecial"/>
          <w:color w:val="auto"/>
          <w:sz w:val="20"/>
          <w:szCs w:val="20"/>
          <w:lang w:val="es-ES"/>
        </w:rPr>
        <w:t>s de impacto social y ambiental</w:t>
      </w:r>
      <w:r w:rsidR="00B76F05"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A</w:t>
      </w:r>
      <w:r w:rsidR="00BC2426" w:rsidRPr="00F803D0">
        <w:rPr>
          <w:rFonts w:asciiTheme="majorHAnsi" w:eastAsia="NotDefSpecial" w:hAnsiTheme="majorHAnsi" w:cs="NotDefSpecial"/>
          <w:color w:val="auto"/>
          <w:sz w:val="20"/>
          <w:szCs w:val="20"/>
          <w:lang w:val="es-ES"/>
        </w:rPr>
        <w:t xml:space="preserve">rgumenta </w:t>
      </w:r>
      <w:r w:rsidRPr="00F803D0">
        <w:rPr>
          <w:rFonts w:asciiTheme="majorHAnsi" w:eastAsia="NotDefSpecial" w:hAnsiTheme="majorHAnsi" w:cs="NotDefSpecial"/>
          <w:color w:val="auto"/>
          <w:sz w:val="20"/>
          <w:szCs w:val="20"/>
          <w:lang w:val="es-ES"/>
        </w:rPr>
        <w:t xml:space="preserve">adicionalmente </w:t>
      </w:r>
      <w:r w:rsidR="00BC2426" w:rsidRPr="00F803D0">
        <w:rPr>
          <w:rFonts w:asciiTheme="majorHAnsi" w:eastAsia="NotDefSpecial" w:hAnsiTheme="majorHAnsi" w:cs="NotDefSpecial"/>
          <w:color w:val="auto"/>
          <w:sz w:val="20"/>
          <w:szCs w:val="20"/>
          <w:lang w:val="es-ES"/>
        </w:rPr>
        <w:t>que e</w:t>
      </w:r>
      <w:r w:rsidR="004F2307" w:rsidRPr="00F803D0">
        <w:rPr>
          <w:rFonts w:asciiTheme="majorHAnsi" w:eastAsia="NotDefSpecial" w:hAnsiTheme="majorHAnsi" w:cs="NotDefSpecial"/>
          <w:color w:val="auto"/>
          <w:sz w:val="20"/>
          <w:szCs w:val="20"/>
          <w:lang w:val="es-ES"/>
        </w:rPr>
        <w:t xml:space="preserve">l elevado número de concesiones sobre ríos de estas comunidades pone en riesgo el libre acceso y aprovechamiento de los recursos que brinda </w:t>
      </w:r>
      <w:r w:rsidR="001B5356" w:rsidRPr="00F803D0">
        <w:rPr>
          <w:rFonts w:asciiTheme="majorHAnsi" w:eastAsia="NotDefSpecial" w:hAnsiTheme="majorHAnsi" w:cs="NotDefSpecial"/>
          <w:color w:val="auto"/>
          <w:sz w:val="20"/>
          <w:szCs w:val="20"/>
          <w:lang w:val="es-ES"/>
        </w:rPr>
        <w:t>dicha</w:t>
      </w:r>
      <w:r w:rsidR="004F2307" w:rsidRPr="00F803D0">
        <w:rPr>
          <w:rFonts w:asciiTheme="majorHAnsi" w:eastAsia="NotDefSpecial" w:hAnsiTheme="majorHAnsi" w:cs="NotDefSpecial"/>
          <w:color w:val="auto"/>
          <w:sz w:val="20"/>
          <w:szCs w:val="20"/>
          <w:lang w:val="es-ES"/>
        </w:rPr>
        <w:t xml:space="preserve"> fuente de alimentos</w:t>
      </w:r>
      <w:r w:rsidR="00BC2426" w:rsidRPr="00F803D0">
        <w:rPr>
          <w:rFonts w:asciiTheme="majorHAnsi" w:eastAsia="NotDefSpecial" w:hAnsiTheme="majorHAnsi" w:cs="NotDefSpecial"/>
          <w:color w:val="auto"/>
          <w:sz w:val="20"/>
          <w:szCs w:val="20"/>
          <w:lang w:val="es-ES"/>
        </w:rPr>
        <w:t>,</w:t>
      </w:r>
      <w:r w:rsidR="001B5356" w:rsidRPr="00F803D0">
        <w:rPr>
          <w:rFonts w:asciiTheme="majorHAnsi" w:eastAsia="NotDefSpecial" w:hAnsiTheme="majorHAnsi" w:cs="NotDefSpecial"/>
          <w:color w:val="auto"/>
          <w:sz w:val="20"/>
          <w:szCs w:val="20"/>
          <w:lang w:val="es-ES"/>
        </w:rPr>
        <w:t xml:space="preserve"> así como</w:t>
      </w:r>
      <w:r w:rsidR="00BC2426" w:rsidRPr="00F803D0">
        <w:rPr>
          <w:rFonts w:asciiTheme="majorHAnsi" w:eastAsia="NotDefSpecial" w:hAnsiTheme="majorHAnsi" w:cs="NotDefSpecial"/>
          <w:color w:val="auto"/>
          <w:sz w:val="20"/>
          <w:szCs w:val="20"/>
          <w:lang w:val="es-ES"/>
        </w:rPr>
        <w:t xml:space="preserve"> la integridad personal de </w:t>
      </w:r>
      <w:r w:rsidR="001B5356" w:rsidRPr="00F803D0">
        <w:rPr>
          <w:rFonts w:asciiTheme="majorHAnsi" w:eastAsia="NotDefSpecial" w:hAnsiTheme="majorHAnsi" w:cs="NotDefSpecial"/>
          <w:color w:val="auto"/>
          <w:sz w:val="20"/>
          <w:szCs w:val="20"/>
          <w:lang w:val="es-ES"/>
        </w:rPr>
        <w:t>sus integrantes ante</w:t>
      </w:r>
      <w:r w:rsidR="00BC2426" w:rsidRPr="00F803D0">
        <w:rPr>
          <w:rFonts w:asciiTheme="majorHAnsi" w:eastAsia="NotDefSpecial" w:hAnsiTheme="majorHAnsi" w:cs="NotDefSpecial"/>
          <w:color w:val="auto"/>
          <w:sz w:val="20"/>
          <w:szCs w:val="20"/>
          <w:lang w:val="es-ES"/>
        </w:rPr>
        <w:t xml:space="preserve"> </w:t>
      </w:r>
      <w:r w:rsidR="004F2307" w:rsidRPr="00F803D0">
        <w:rPr>
          <w:rFonts w:asciiTheme="majorHAnsi" w:eastAsia="NotDefSpecial" w:hAnsiTheme="majorHAnsi" w:cs="NotDefSpecial"/>
          <w:color w:val="auto"/>
          <w:sz w:val="20"/>
          <w:szCs w:val="20"/>
          <w:lang w:val="es-ES"/>
        </w:rPr>
        <w:t xml:space="preserve">las constantes amenazas </w:t>
      </w:r>
      <w:r w:rsidR="001B5356" w:rsidRPr="00F803D0">
        <w:rPr>
          <w:rFonts w:asciiTheme="majorHAnsi" w:eastAsia="NotDefSpecial" w:hAnsiTheme="majorHAnsi" w:cs="NotDefSpecial"/>
          <w:color w:val="auto"/>
          <w:sz w:val="20"/>
          <w:szCs w:val="20"/>
          <w:lang w:val="es-ES"/>
        </w:rPr>
        <w:t>y actos d</w:t>
      </w:r>
      <w:r w:rsidR="004F2307" w:rsidRPr="00F803D0">
        <w:rPr>
          <w:rFonts w:asciiTheme="majorHAnsi" w:eastAsia="NotDefSpecial" w:hAnsiTheme="majorHAnsi" w:cs="NotDefSpecial"/>
          <w:color w:val="auto"/>
          <w:sz w:val="20"/>
          <w:szCs w:val="20"/>
          <w:lang w:val="es-ES"/>
        </w:rPr>
        <w:t>e intimidaciones al resto de la comunidad</w:t>
      </w:r>
      <w:r w:rsidR="00DD3590" w:rsidRPr="00F803D0">
        <w:rPr>
          <w:rStyle w:val="FootnoteReference"/>
          <w:rFonts w:asciiTheme="majorHAnsi" w:eastAsia="NotDefSpecial" w:hAnsiTheme="majorHAnsi" w:cs="NotDefSpecial"/>
          <w:color w:val="auto"/>
          <w:sz w:val="20"/>
          <w:szCs w:val="20"/>
          <w:lang w:val="es-ES"/>
        </w:rPr>
        <w:footnoteReference w:id="6"/>
      </w:r>
      <w:r w:rsidR="004F2307" w:rsidRPr="00F803D0">
        <w:rPr>
          <w:rFonts w:asciiTheme="majorHAnsi" w:eastAsia="NotDefSpecial" w:hAnsiTheme="majorHAnsi" w:cs="NotDefSpecial"/>
          <w:color w:val="auto"/>
          <w:sz w:val="20"/>
          <w:szCs w:val="20"/>
          <w:lang w:val="es-ES"/>
        </w:rPr>
        <w:t>.</w:t>
      </w:r>
      <w:r w:rsidR="00DA3219" w:rsidRPr="00F803D0">
        <w:rPr>
          <w:rFonts w:asciiTheme="majorHAnsi" w:eastAsia="NotDefSpecial" w:hAnsiTheme="majorHAnsi" w:cs="NotDefSpecial"/>
          <w:color w:val="auto"/>
          <w:sz w:val="20"/>
          <w:szCs w:val="20"/>
          <w:lang w:val="es-ES"/>
        </w:rPr>
        <w:t xml:space="preserve"> </w:t>
      </w:r>
    </w:p>
    <w:p w14:paraId="003FD2EC" w14:textId="77777777" w:rsidR="00DA3219" w:rsidRPr="00F803D0" w:rsidRDefault="00DA3219" w:rsidP="00DA3219">
      <w:pPr>
        <w:pStyle w:val="ListParagraph"/>
        <w:rPr>
          <w:rFonts w:asciiTheme="majorHAnsi" w:eastAsia="NotDefSpecial" w:hAnsiTheme="majorHAnsi" w:cs="NotDefSpecial"/>
          <w:color w:val="auto"/>
          <w:sz w:val="20"/>
          <w:szCs w:val="20"/>
          <w:lang w:val="es-ES"/>
        </w:rPr>
      </w:pPr>
    </w:p>
    <w:p w14:paraId="41940890" w14:textId="050DC01F" w:rsidR="0003299A" w:rsidRPr="00F803D0" w:rsidRDefault="001B5356" w:rsidP="00E12087">
      <w:pPr>
        <w:pStyle w:val="ListParagraph"/>
        <w:numPr>
          <w:ilvl w:val="0"/>
          <w:numId w:val="55"/>
        </w:numPr>
        <w:tabs>
          <w:tab w:val="clear" w:pos="720"/>
        </w:tabs>
        <w:suppressAutoHyphens/>
        <w:jc w:val="both"/>
        <w:rPr>
          <w:rFonts w:asciiTheme="majorHAnsi" w:eastAsia="NotDefSpecial" w:hAnsiTheme="majorHAnsi" w:cs="NotDefSpecial"/>
          <w:color w:val="auto"/>
          <w:sz w:val="20"/>
          <w:szCs w:val="20"/>
          <w:lang w:val="es-ES"/>
        </w:rPr>
      </w:pPr>
      <w:r w:rsidRPr="00F803D0">
        <w:rPr>
          <w:rFonts w:asciiTheme="majorHAnsi" w:eastAsia="NotDefSpecial" w:hAnsiTheme="majorHAnsi" w:cs="NotDefSpecial"/>
          <w:color w:val="auto"/>
          <w:sz w:val="20"/>
          <w:szCs w:val="20"/>
          <w:lang w:val="es-ES"/>
        </w:rPr>
        <w:t>Alega</w:t>
      </w:r>
      <w:r w:rsidR="00DA3219" w:rsidRPr="00F803D0">
        <w:rPr>
          <w:rFonts w:asciiTheme="majorHAnsi" w:eastAsia="NotDefSpecial" w:hAnsiTheme="majorHAnsi" w:cs="NotDefSpecial"/>
          <w:color w:val="auto"/>
          <w:sz w:val="20"/>
          <w:szCs w:val="20"/>
          <w:lang w:val="es-ES"/>
        </w:rPr>
        <w:t xml:space="preserve"> </w:t>
      </w:r>
      <w:r w:rsidR="00FF7EA5" w:rsidRPr="00F803D0">
        <w:rPr>
          <w:rFonts w:asciiTheme="majorHAnsi" w:eastAsia="NotDefSpecial" w:hAnsiTheme="majorHAnsi" w:cs="NotDefSpecial"/>
          <w:color w:val="auto"/>
          <w:sz w:val="20"/>
          <w:szCs w:val="20"/>
          <w:lang w:val="es-ES"/>
        </w:rPr>
        <w:t>asimismo</w:t>
      </w:r>
      <w:r w:rsidR="000E6898" w:rsidRPr="00F803D0">
        <w:rPr>
          <w:rFonts w:asciiTheme="majorHAnsi" w:eastAsia="NotDefSpecial" w:hAnsiTheme="majorHAnsi" w:cs="NotDefSpecial"/>
          <w:color w:val="auto"/>
          <w:sz w:val="20"/>
          <w:szCs w:val="20"/>
          <w:lang w:val="es-ES"/>
        </w:rPr>
        <w:t xml:space="preserve"> </w:t>
      </w:r>
      <w:r w:rsidR="00DA3219" w:rsidRPr="00F803D0">
        <w:rPr>
          <w:rFonts w:asciiTheme="majorHAnsi" w:eastAsia="NotDefSpecial" w:hAnsiTheme="majorHAnsi" w:cs="NotDefSpecial"/>
          <w:color w:val="auto"/>
          <w:sz w:val="20"/>
          <w:szCs w:val="20"/>
          <w:lang w:val="es-ES"/>
        </w:rPr>
        <w:t>que e</w:t>
      </w:r>
      <w:r w:rsidR="00B76F05" w:rsidRPr="00F803D0">
        <w:rPr>
          <w:rFonts w:asciiTheme="majorHAnsi" w:eastAsia="NotDefSpecial" w:hAnsiTheme="majorHAnsi" w:cs="NotDefSpecial"/>
          <w:color w:val="auto"/>
          <w:sz w:val="20"/>
          <w:szCs w:val="20"/>
          <w:lang w:val="es-ES"/>
        </w:rPr>
        <w:t xml:space="preserve">l Estado </w:t>
      </w:r>
      <w:r w:rsidR="00CC55A8" w:rsidRPr="00F803D0">
        <w:rPr>
          <w:rFonts w:asciiTheme="majorHAnsi" w:eastAsia="NotDefSpecial" w:hAnsiTheme="majorHAnsi" w:cs="NotDefSpecial"/>
          <w:color w:val="auto"/>
          <w:sz w:val="20"/>
          <w:szCs w:val="20"/>
          <w:lang w:val="es-ES"/>
        </w:rPr>
        <w:t xml:space="preserve">aprobó </w:t>
      </w:r>
      <w:r w:rsidR="00B15EA6" w:rsidRPr="00F803D0">
        <w:rPr>
          <w:rFonts w:asciiTheme="majorHAnsi" w:eastAsia="NotDefSpecial" w:hAnsiTheme="majorHAnsi" w:cs="NotDefSpecial"/>
          <w:color w:val="auto"/>
          <w:sz w:val="20"/>
          <w:szCs w:val="20"/>
          <w:lang w:val="es-ES"/>
        </w:rPr>
        <w:t xml:space="preserve">el Estatuto Constitucional de Regiones Especiales de Desarrollo (“Ley RED”) y </w:t>
      </w:r>
      <w:r w:rsidRPr="00F803D0">
        <w:rPr>
          <w:rFonts w:asciiTheme="majorHAnsi" w:eastAsia="NotDefSpecial" w:hAnsiTheme="majorHAnsi" w:cs="NotDefSpecial"/>
          <w:color w:val="auto"/>
          <w:sz w:val="20"/>
          <w:szCs w:val="20"/>
          <w:lang w:val="es-ES"/>
        </w:rPr>
        <w:t>que</w:t>
      </w:r>
      <w:r w:rsidR="00B15EA6" w:rsidRPr="00F803D0">
        <w:rPr>
          <w:rFonts w:asciiTheme="majorHAnsi" w:eastAsia="NotDefSpecial" w:hAnsiTheme="majorHAnsi" w:cs="NotDefSpecial"/>
          <w:color w:val="auto"/>
          <w:sz w:val="20"/>
          <w:szCs w:val="20"/>
          <w:lang w:val="es-ES"/>
        </w:rPr>
        <w:t xml:space="preserve"> luego </w:t>
      </w:r>
      <w:r w:rsidRPr="00F803D0">
        <w:rPr>
          <w:rFonts w:asciiTheme="majorHAnsi" w:eastAsia="NotDefSpecial" w:hAnsiTheme="majorHAnsi" w:cs="NotDefSpecial"/>
          <w:color w:val="auto"/>
          <w:sz w:val="20"/>
          <w:szCs w:val="20"/>
          <w:lang w:val="es-ES"/>
        </w:rPr>
        <w:t xml:space="preserve">de </w:t>
      </w:r>
      <w:r w:rsidR="00B15EA6" w:rsidRPr="00F803D0">
        <w:rPr>
          <w:rFonts w:asciiTheme="majorHAnsi" w:eastAsia="NotDefSpecial" w:hAnsiTheme="majorHAnsi" w:cs="NotDefSpecial"/>
          <w:color w:val="auto"/>
          <w:sz w:val="20"/>
          <w:szCs w:val="20"/>
          <w:lang w:val="es-ES"/>
        </w:rPr>
        <w:t xml:space="preserve">que </w:t>
      </w:r>
      <w:r w:rsidRPr="00F803D0">
        <w:rPr>
          <w:rFonts w:asciiTheme="majorHAnsi" w:eastAsia="NotDefSpecial" w:hAnsiTheme="majorHAnsi" w:cs="NotDefSpecial"/>
          <w:color w:val="auto"/>
          <w:sz w:val="20"/>
          <w:szCs w:val="20"/>
          <w:lang w:val="es-ES"/>
        </w:rPr>
        <w:t xml:space="preserve">esta fuera </w:t>
      </w:r>
      <w:r w:rsidR="00B15EA6" w:rsidRPr="00F803D0">
        <w:rPr>
          <w:rFonts w:asciiTheme="majorHAnsi" w:eastAsia="NotDefSpecial" w:hAnsiTheme="majorHAnsi" w:cs="NotDefSpecial"/>
          <w:color w:val="auto"/>
          <w:sz w:val="20"/>
          <w:szCs w:val="20"/>
          <w:lang w:val="es-ES"/>
        </w:rPr>
        <w:t xml:space="preserve">declarada inconstitucional por la Corte Suprema de Justicia, </w:t>
      </w:r>
      <w:r w:rsidRPr="00F803D0">
        <w:rPr>
          <w:rFonts w:asciiTheme="majorHAnsi" w:eastAsia="NotDefSpecial" w:hAnsiTheme="majorHAnsi" w:cs="NotDefSpecial"/>
          <w:color w:val="auto"/>
          <w:sz w:val="20"/>
          <w:szCs w:val="20"/>
          <w:lang w:val="es-ES"/>
        </w:rPr>
        <w:t xml:space="preserve">aprobó </w:t>
      </w:r>
      <w:r w:rsidR="00CC55A8" w:rsidRPr="00F803D0">
        <w:rPr>
          <w:rFonts w:asciiTheme="majorHAnsi" w:eastAsia="NotDefSpecial" w:hAnsiTheme="majorHAnsi" w:cs="NotDefSpecial"/>
          <w:color w:val="auto"/>
          <w:sz w:val="20"/>
          <w:szCs w:val="20"/>
          <w:lang w:val="es-ES"/>
        </w:rPr>
        <w:t>la Ley Orgánica de las Zonas de Empleo y Desarrollo Económico (“Ley</w:t>
      </w:r>
      <w:r w:rsidR="00B15EA6" w:rsidRPr="00F803D0">
        <w:rPr>
          <w:rFonts w:asciiTheme="majorHAnsi" w:eastAsia="NotDefSpecial" w:hAnsiTheme="majorHAnsi" w:cs="NotDefSpecial"/>
          <w:color w:val="auto"/>
          <w:sz w:val="20"/>
          <w:szCs w:val="20"/>
          <w:lang w:val="es-ES"/>
        </w:rPr>
        <w:t xml:space="preserve"> ZEDE”) como una nueva versión</w:t>
      </w:r>
      <w:r w:rsidR="00717B32"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 xml:space="preserve">De acuerdo con la parte peticionaria, </w:t>
      </w:r>
      <w:r w:rsidR="00717B32" w:rsidRPr="00F803D0">
        <w:rPr>
          <w:rFonts w:asciiTheme="majorHAnsi" w:eastAsia="NotDefSpecial" w:hAnsiTheme="majorHAnsi" w:cs="NotDefSpecial"/>
          <w:color w:val="auto"/>
          <w:sz w:val="20"/>
          <w:szCs w:val="20"/>
          <w:lang w:val="es-ES"/>
        </w:rPr>
        <w:t>esta</w:t>
      </w:r>
      <w:r w:rsidR="00B15EA6" w:rsidRPr="00F803D0">
        <w:rPr>
          <w:rFonts w:asciiTheme="majorHAnsi" w:eastAsia="NotDefSpecial" w:hAnsiTheme="majorHAnsi" w:cs="NotDefSpecial"/>
          <w:color w:val="auto"/>
          <w:sz w:val="20"/>
          <w:szCs w:val="20"/>
          <w:lang w:val="es-ES"/>
        </w:rPr>
        <w:t>s</w:t>
      </w:r>
      <w:r w:rsidR="00717B32" w:rsidRPr="00F803D0">
        <w:rPr>
          <w:rFonts w:asciiTheme="majorHAnsi" w:eastAsia="NotDefSpecial" w:hAnsiTheme="majorHAnsi" w:cs="NotDefSpecial"/>
          <w:color w:val="auto"/>
          <w:sz w:val="20"/>
          <w:szCs w:val="20"/>
          <w:lang w:val="es-ES"/>
        </w:rPr>
        <w:t xml:space="preserve"> ley</w:t>
      </w:r>
      <w:r w:rsidR="00B15EA6" w:rsidRPr="00F803D0">
        <w:rPr>
          <w:rFonts w:asciiTheme="majorHAnsi" w:eastAsia="NotDefSpecial" w:hAnsiTheme="majorHAnsi" w:cs="NotDefSpecial"/>
          <w:color w:val="auto"/>
          <w:sz w:val="20"/>
          <w:szCs w:val="20"/>
          <w:lang w:val="es-ES"/>
        </w:rPr>
        <w:t>es</w:t>
      </w:r>
      <w:r w:rsidR="00567F23" w:rsidRPr="00F803D0">
        <w:rPr>
          <w:rFonts w:asciiTheme="majorHAnsi" w:eastAsia="NotDefSpecial" w:hAnsiTheme="majorHAnsi" w:cs="NotDefSpecial"/>
          <w:color w:val="auto"/>
          <w:sz w:val="20"/>
          <w:szCs w:val="20"/>
          <w:lang w:val="es-ES"/>
        </w:rPr>
        <w:t xml:space="preserve"> </w:t>
      </w:r>
      <w:r w:rsidR="000D65CC" w:rsidRPr="00F803D0">
        <w:rPr>
          <w:rFonts w:asciiTheme="majorHAnsi" w:eastAsia="NotDefSpecial" w:hAnsiTheme="majorHAnsi" w:cs="NotDefSpecial"/>
          <w:color w:val="auto"/>
          <w:sz w:val="20"/>
          <w:szCs w:val="20"/>
          <w:lang w:val="es-ES"/>
        </w:rPr>
        <w:t>estipula</w:t>
      </w:r>
      <w:r w:rsidR="00B15EA6" w:rsidRPr="00F803D0">
        <w:rPr>
          <w:rFonts w:asciiTheme="majorHAnsi" w:eastAsia="NotDefSpecial" w:hAnsiTheme="majorHAnsi" w:cs="NotDefSpecial"/>
          <w:color w:val="auto"/>
          <w:sz w:val="20"/>
          <w:szCs w:val="20"/>
          <w:lang w:val="es-ES"/>
        </w:rPr>
        <w:t>n</w:t>
      </w:r>
      <w:r w:rsidR="000D65CC" w:rsidRPr="00F803D0">
        <w:rPr>
          <w:rFonts w:asciiTheme="majorHAnsi" w:eastAsia="NotDefSpecial" w:hAnsiTheme="majorHAnsi" w:cs="NotDefSpecial"/>
          <w:color w:val="auto"/>
          <w:sz w:val="20"/>
          <w:szCs w:val="20"/>
          <w:lang w:val="es-ES"/>
        </w:rPr>
        <w:t xml:space="preserve"> la creación de </w:t>
      </w:r>
      <w:r w:rsidRPr="00F803D0">
        <w:rPr>
          <w:rFonts w:asciiTheme="majorHAnsi" w:eastAsia="NotDefSpecial" w:hAnsiTheme="majorHAnsi" w:cs="NotDefSpecial"/>
          <w:color w:val="auto"/>
          <w:sz w:val="20"/>
          <w:szCs w:val="20"/>
          <w:lang w:val="es-ES"/>
        </w:rPr>
        <w:t xml:space="preserve">las llamadas </w:t>
      </w:r>
      <w:r w:rsidR="000D65CC" w:rsidRPr="00F803D0">
        <w:rPr>
          <w:rFonts w:asciiTheme="majorHAnsi" w:eastAsia="NotDefSpecial" w:hAnsiTheme="majorHAnsi" w:cs="NotDefSpecial"/>
          <w:color w:val="auto"/>
          <w:sz w:val="20"/>
          <w:szCs w:val="20"/>
          <w:lang w:val="es-ES"/>
        </w:rPr>
        <w:t>ZEDE</w:t>
      </w:r>
      <w:r w:rsidRPr="00F803D0">
        <w:rPr>
          <w:rFonts w:asciiTheme="majorHAnsi" w:eastAsia="NotDefSpecial" w:hAnsiTheme="majorHAnsi" w:cs="NotDefSpecial"/>
          <w:color w:val="auto"/>
          <w:sz w:val="20"/>
          <w:szCs w:val="20"/>
          <w:lang w:val="es-ES"/>
        </w:rPr>
        <w:t>,</w:t>
      </w:r>
      <w:r w:rsidR="000D65CC" w:rsidRPr="00F803D0">
        <w:rPr>
          <w:rFonts w:asciiTheme="majorHAnsi" w:eastAsia="NotDefSpecial" w:hAnsiTheme="majorHAnsi" w:cs="NotDefSpecial"/>
          <w:color w:val="auto"/>
          <w:sz w:val="20"/>
          <w:szCs w:val="20"/>
          <w:lang w:val="es-ES"/>
        </w:rPr>
        <w:t xml:space="preserve"> conocidas </w:t>
      </w:r>
      <w:r w:rsidRPr="00F803D0">
        <w:rPr>
          <w:rFonts w:asciiTheme="majorHAnsi" w:eastAsia="NotDefSpecial" w:hAnsiTheme="majorHAnsi" w:cs="NotDefSpecial"/>
          <w:color w:val="auto"/>
          <w:sz w:val="20"/>
          <w:szCs w:val="20"/>
          <w:lang w:val="es-ES"/>
        </w:rPr>
        <w:t xml:space="preserve">igualmente </w:t>
      </w:r>
      <w:r w:rsidR="00B76F05" w:rsidRPr="00F803D0">
        <w:rPr>
          <w:rFonts w:asciiTheme="majorHAnsi" w:eastAsia="NotDefSpecial" w:hAnsiTheme="majorHAnsi" w:cs="NotDefSpecial"/>
          <w:color w:val="auto"/>
          <w:sz w:val="20"/>
          <w:szCs w:val="20"/>
          <w:lang w:val="es-ES"/>
        </w:rPr>
        <w:t>como ciudades modelo</w:t>
      </w:r>
      <w:r w:rsidR="000D65CC"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 xml:space="preserve">Refiere </w:t>
      </w:r>
      <w:r w:rsidR="005D29F3" w:rsidRPr="00F803D0">
        <w:rPr>
          <w:rFonts w:asciiTheme="majorHAnsi" w:eastAsia="NotDefSpecial" w:hAnsiTheme="majorHAnsi" w:cs="NotDefSpecial"/>
          <w:color w:val="auto"/>
          <w:sz w:val="20"/>
          <w:szCs w:val="20"/>
          <w:lang w:val="es-ES"/>
        </w:rPr>
        <w:t xml:space="preserve">que </w:t>
      </w:r>
      <w:r w:rsidR="0052581C" w:rsidRPr="00F803D0">
        <w:rPr>
          <w:rFonts w:asciiTheme="majorHAnsi" w:eastAsia="NotDefSpecial" w:hAnsiTheme="majorHAnsi" w:cs="NotDefSpecial"/>
          <w:color w:val="auto"/>
          <w:sz w:val="20"/>
          <w:szCs w:val="20"/>
          <w:lang w:val="es-ES"/>
        </w:rPr>
        <w:t>no se ha dado a conocer en forma clara la información sobre las ZEDE</w:t>
      </w:r>
      <w:r w:rsidRPr="00F803D0">
        <w:rPr>
          <w:rFonts w:asciiTheme="majorHAnsi" w:eastAsia="NotDefSpecial" w:hAnsiTheme="majorHAnsi" w:cs="NotDefSpecial"/>
          <w:color w:val="auto"/>
          <w:sz w:val="20"/>
          <w:szCs w:val="20"/>
          <w:lang w:val="es-ES"/>
        </w:rPr>
        <w:t xml:space="preserve">, pero que </w:t>
      </w:r>
      <w:r w:rsidR="0052581C" w:rsidRPr="00F803D0">
        <w:rPr>
          <w:rFonts w:asciiTheme="majorHAnsi" w:eastAsia="NotDefSpecial" w:hAnsiTheme="majorHAnsi" w:cs="NotDefSpecial"/>
          <w:color w:val="auto"/>
          <w:sz w:val="20"/>
          <w:szCs w:val="20"/>
          <w:lang w:val="es-ES"/>
        </w:rPr>
        <w:t xml:space="preserve">en varias ocasiones </w:t>
      </w:r>
      <w:r w:rsidRPr="00F803D0">
        <w:rPr>
          <w:rFonts w:asciiTheme="majorHAnsi" w:eastAsia="NotDefSpecial" w:hAnsiTheme="majorHAnsi" w:cs="NotDefSpecial"/>
          <w:color w:val="auto"/>
          <w:sz w:val="20"/>
          <w:szCs w:val="20"/>
          <w:lang w:val="es-ES"/>
        </w:rPr>
        <w:t xml:space="preserve">los </w:t>
      </w:r>
      <w:r w:rsidR="0052581C" w:rsidRPr="00F803D0">
        <w:rPr>
          <w:rFonts w:asciiTheme="majorHAnsi" w:eastAsia="NotDefSpecial" w:hAnsiTheme="majorHAnsi" w:cs="NotDefSpecial"/>
          <w:color w:val="auto"/>
          <w:sz w:val="20"/>
          <w:szCs w:val="20"/>
          <w:lang w:val="es-ES"/>
        </w:rPr>
        <w:t>miembros del Congreso Nacional y la Casa Presidencial han indicado que una de las ciudades mod</w:t>
      </w:r>
      <w:r w:rsidR="00474EFC" w:rsidRPr="00F803D0">
        <w:rPr>
          <w:rFonts w:asciiTheme="majorHAnsi" w:eastAsia="NotDefSpecial" w:hAnsiTheme="majorHAnsi" w:cs="NotDefSpecial"/>
          <w:color w:val="auto"/>
          <w:sz w:val="20"/>
          <w:szCs w:val="20"/>
          <w:lang w:val="es-ES"/>
        </w:rPr>
        <w:t>elo se localizar</w:t>
      </w:r>
      <w:r w:rsidRPr="00F803D0">
        <w:rPr>
          <w:rFonts w:asciiTheme="majorHAnsi" w:eastAsia="NotDefSpecial" w:hAnsiTheme="majorHAnsi" w:cs="NotDefSpecial"/>
          <w:color w:val="auto"/>
          <w:sz w:val="20"/>
          <w:szCs w:val="20"/>
          <w:lang w:val="es-ES"/>
        </w:rPr>
        <w:t>ía</w:t>
      </w:r>
      <w:r w:rsidR="0052581C" w:rsidRPr="00F803D0">
        <w:rPr>
          <w:rFonts w:asciiTheme="majorHAnsi" w:eastAsia="NotDefSpecial" w:hAnsiTheme="majorHAnsi" w:cs="NotDefSpecial"/>
          <w:color w:val="auto"/>
          <w:sz w:val="20"/>
          <w:szCs w:val="20"/>
          <w:lang w:val="es-ES"/>
        </w:rPr>
        <w:t xml:space="preserve"> entre el río Sico y la Bahía de Trujillo</w:t>
      </w:r>
      <w:r w:rsidR="008928D9" w:rsidRPr="00F803D0">
        <w:rPr>
          <w:rFonts w:asciiTheme="majorHAnsi" w:eastAsia="NotDefSpecial" w:hAnsiTheme="majorHAnsi" w:cs="NotDefSpecial"/>
          <w:color w:val="auto"/>
          <w:sz w:val="20"/>
          <w:szCs w:val="20"/>
          <w:lang w:val="es-ES"/>
        </w:rPr>
        <w:t xml:space="preserve">, lugar </w:t>
      </w:r>
      <w:r w:rsidRPr="00F803D0">
        <w:rPr>
          <w:rFonts w:asciiTheme="majorHAnsi" w:eastAsia="NotDefSpecial" w:hAnsiTheme="majorHAnsi" w:cs="NotDefSpecial"/>
          <w:color w:val="auto"/>
          <w:sz w:val="20"/>
          <w:szCs w:val="20"/>
          <w:lang w:val="es-ES"/>
        </w:rPr>
        <w:t xml:space="preserve">en </w:t>
      </w:r>
      <w:r w:rsidR="008928D9" w:rsidRPr="00F803D0">
        <w:rPr>
          <w:rFonts w:asciiTheme="majorHAnsi" w:eastAsia="NotDefSpecial" w:hAnsiTheme="majorHAnsi" w:cs="NotDefSpecial"/>
          <w:color w:val="auto"/>
          <w:sz w:val="20"/>
          <w:szCs w:val="20"/>
          <w:lang w:val="es-ES"/>
        </w:rPr>
        <w:t xml:space="preserve">que </w:t>
      </w:r>
      <w:r w:rsidR="0052581C" w:rsidRPr="00F803D0">
        <w:rPr>
          <w:rFonts w:asciiTheme="majorHAnsi" w:eastAsia="NotDefSpecial" w:hAnsiTheme="majorHAnsi" w:cs="NotDefSpecial"/>
          <w:color w:val="auto"/>
          <w:sz w:val="20"/>
          <w:szCs w:val="20"/>
          <w:lang w:val="es-ES"/>
        </w:rPr>
        <w:t>se encuentran ubicadas 24 comunidades garífunas</w:t>
      </w:r>
      <w:r w:rsidR="00717B32"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 xml:space="preserve">Dichas </w:t>
      </w:r>
      <w:r w:rsidR="00717B32" w:rsidRPr="00F803D0">
        <w:rPr>
          <w:rFonts w:asciiTheme="majorHAnsi" w:eastAsia="NotDefSpecial" w:hAnsiTheme="majorHAnsi" w:cs="NotDefSpecial"/>
          <w:color w:val="auto"/>
          <w:sz w:val="20"/>
          <w:szCs w:val="20"/>
          <w:lang w:val="es-ES"/>
        </w:rPr>
        <w:t xml:space="preserve">comunidades </w:t>
      </w:r>
      <w:r w:rsidR="0003299A" w:rsidRPr="00F803D0">
        <w:rPr>
          <w:rFonts w:asciiTheme="majorHAnsi" w:eastAsia="NotDefSpecial" w:hAnsiTheme="majorHAnsi" w:cs="NotDefSpecial"/>
          <w:color w:val="auto"/>
          <w:sz w:val="20"/>
          <w:szCs w:val="20"/>
          <w:lang w:val="es-ES"/>
        </w:rPr>
        <w:t xml:space="preserve">se </w:t>
      </w:r>
      <w:r w:rsidRPr="00F803D0">
        <w:rPr>
          <w:rFonts w:asciiTheme="majorHAnsi" w:eastAsia="NotDefSpecial" w:hAnsiTheme="majorHAnsi" w:cs="NotDefSpecial"/>
          <w:color w:val="auto"/>
          <w:sz w:val="20"/>
          <w:szCs w:val="20"/>
          <w:lang w:val="es-ES"/>
        </w:rPr>
        <w:t xml:space="preserve">consideran </w:t>
      </w:r>
      <w:r w:rsidR="00717B32" w:rsidRPr="00F803D0">
        <w:rPr>
          <w:rFonts w:asciiTheme="majorHAnsi" w:eastAsia="NotDefSpecial" w:hAnsiTheme="majorHAnsi" w:cs="NotDefSpecial"/>
          <w:color w:val="auto"/>
          <w:sz w:val="20"/>
          <w:szCs w:val="20"/>
          <w:lang w:val="es-ES"/>
        </w:rPr>
        <w:t>amenazada</w:t>
      </w:r>
      <w:r w:rsidR="0003299A" w:rsidRPr="00F803D0">
        <w:rPr>
          <w:rFonts w:asciiTheme="majorHAnsi" w:eastAsia="NotDefSpecial" w:hAnsiTheme="majorHAnsi" w:cs="NotDefSpecial"/>
          <w:color w:val="auto"/>
          <w:sz w:val="20"/>
          <w:szCs w:val="20"/>
          <w:lang w:val="es-ES"/>
        </w:rPr>
        <w:t xml:space="preserve">s ante las posibles </w:t>
      </w:r>
      <w:r w:rsidR="00717B32" w:rsidRPr="00F803D0">
        <w:rPr>
          <w:rFonts w:asciiTheme="majorHAnsi" w:eastAsia="NotDefSpecial" w:hAnsiTheme="majorHAnsi" w:cs="NotDefSpecial"/>
          <w:color w:val="auto"/>
          <w:sz w:val="20"/>
          <w:szCs w:val="20"/>
          <w:lang w:val="es-ES"/>
        </w:rPr>
        <w:t xml:space="preserve">disoluciones </w:t>
      </w:r>
      <w:r w:rsidR="0003299A" w:rsidRPr="00F803D0">
        <w:rPr>
          <w:rFonts w:asciiTheme="majorHAnsi" w:eastAsia="NotDefSpecial" w:hAnsiTheme="majorHAnsi" w:cs="NotDefSpecial"/>
          <w:color w:val="auto"/>
          <w:sz w:val="20"/>
          <w:szCs w:val="20"/>
          <w:lang w:val="es-ES"/>
        </w:rPr>
        <w:t xml:space="preserve">de títulos comunitarios </w:t>
      </w:r>
      <w:r w:rsidR="007160CB" w:rsidRPr="00F803D0">
        <w:rPr>
          <w:rFonts w:asciiTheme="majorHAnsi" w:eastAsia="NotDefSpecial" w:hAnsiTheme="majorHAnsi" w:cs="NotDefSpecial"/>
          <w:color w:val="auto"/>
          <w:sz w:val="20"/>
          <w:szCs w:val="20"/>
          <w:lang w:val="es-ES"/>
        </w:rPr>
        <w:t xml:space="preserve">a raíz de </w:t>
      </w:r>
      <w:r w:rsidR="0003299A" w:rsidRPr="00F803D0">
        <w:rPr>
          <w:rFonts w:asciiTheme="majorHAnsi" w:eastAsia="NotDefSpecial" w:hAnsiTheme="majorHAnsi" w:cs="NotDefSpecial"/>
          <w:color w:val="auto"/>
          <w:sz w:val="20"/>
          <w:szCs w:val="20"/>
          <w:lang w:val="es-ES"/>
        </w:rPr>
        <w:t xml:space="preserve">la </w:t>
      </w:r>
      <w:r w:rsidR="00717B32" w:rsidRPr="00F803D0">
        <w:rPr>
          <w:rFonts w:asciiTheme="majorHAnsi" w:eastAsia="NotDefSpecial" w:hAnsiTheme="majorHAnsi" w:cs="NotDefSpecial"/>
          <w:color w:val="auto"/>
          <w:sz w:val="20"/>
          <w:szCs w:val="20"/>
          <w:lang w:val="es-ES"/>
        </w:rPr>
        <w:t xml:space="preserve">figura </w:t>
      </w:r>
      <w:r w:rsidR="0003299A" w:rsidRPr="00F803D0">
        <w:rPr>
          <w:rFonts w:asciiTheme="majorHAnsi" w:eastAsia="NotDefSpecial" w:hAnsiTheme="majorHAnsi" w:cs="NotDefSpecial"/>
          <w:color w:val="auto"/>
          <w:sz w:val="20"/>
          <w:szCs w:val="20"/>
          <w:lang w:val="es-ES"/>
        </w:rPr>
        <w:t xml:space="preserve">contemplada en el artículo 100 de la Ley de Propiedad </w:t>
      </w:r>
      <w:r w:rsidR="00717B32" w:rsidRPr="00F803D0">
        <w:rPr>
          <w:rFonts w:asciiTheme="majorHAnsi" w:eastAsia="NotDefSpecial" w:hAnsiTheme="majorHAnsi" w:cs="NotDefSpecial"/>
          <w:color w:val="auto"/>
          <w:sz w:val="20"/>
          <w:szCs w:val="20"/>
          <w:lang w:val="es-ES"/>
        </w:rPr>
        <w:t xml:space="preserve">y </w:t>
      </w:r>
      <w:r w:rsidR="007160CB" w:rsidRPr="00F803D0">
        <w:rPr>
          <w:rFonts w:asciiTheme="majorHAnsi" w:eastAsia="NotDefSpecial" w:hAnsiTheme="majorHAnsi" w:cs="NotDefSpecial"/>
          <w:color w:val="auto"/>
          <w:sz w:val="20"/>
          <w:szCs w:val="20"/>
          <w:lang w:val="es-ES"/>
        </w:rPr>
        <w:t xml:space="preserve">en consecuencia de </w:t>
      </w:r>
      <w:r w:rsidR="00717B32" w:rsidRPr="00F803D0">
        <w:rPr>
          <w:rFonts w:asciiTheme="majorHAnsi" w:eastAsia="NotDefSpecial" w:hAnsiTheme="majorHAnsi" w:cs="NotDefSpecial"/>
          <w:color w:val="auto"/>
          <w:sz w:val="20"/>
          <w:szCs w:val="20"/>
          <w:lang w:val="es-ES"/>
        </w:rPr>
        <w:t>ventas ilegales de tierras dentro</w:t>
      </w:r>
      <w:r w:rsidR="007160CB" w:rsidRPr="00F803D0">
        <w:rPr>
          <w:rFonts w:asciiTheme="majorHAnsi" w:eastAsia="NotDefSpecial" w:hAnsiTheme="majorHAnsi" w:cs="NotDefSpecial"/>
          <w:color w:val="auto"/>
          <w:sz w:val="20"/>
          <w:szCs w:val="20"/>
          <w:lang w:val="es-ES"/>
        </w:rPr>
        <w:t xml:space="preserve"> de estos mismos títulos,</w:t>
      </w:r>
      <w:r w:rsidR="00717B32" w:rsidRPr="00F803D0">
        <w:rPr>
          <w:rFonts w:asciiTheme="majorHAnsi" w:eastAsia="NotDefSpecial" w:hAnsiTheme="majorHAnsi" w:cs="NotDefSpecial"/>
          <w:color w:val="auto"/>
          <w:sz w:val="20"/>
          <w:szCs w:val="20"/>
          <w:lang w:val="es-ES"/>
        </w:rPr>
        <w:t xml:space="preserve"> </w:t>
      </w:r>
      <w:r w:rsidR="0003299A" w:rsidRPr="00F803D0">
        <w:rPr>
          <w:rFonts w:asciiTheme="majorHAnsi" w:eastAsia="NotDefSpecial" w:hAnsiTheme="majorHAnsi" w:cs="NotDefSpecial"/>
          <w:color w:val="auto"/>
          <w:sz w:val="20"/>
          <w:szCs w:val="20"/>
          <w:lang w:val="es-ES"/>
        </w:rPr>
        <w:t xml:space="preserve">lo que </w:t>
      </w:r>
      <w:r w:rsidRPr="00F803D0">
        <w:rPr>
          <w:rFonts w:asciiTheme="majorHAnsi" w:eastAsia="NotDefSpecial" w:hAnsiTheme="majorHAnsi" w:cs="NotDefSpecial"/>
          <w:color w:val="auto"/>
          <w:sz w:val="20"/>
          <w:szCs w:val="20"/>
          <w:lang w:val="es-ES"/>
        </w:rPr>
        <w:t xml:space="preserve">resultaría en el </w:t>
      </w:r>
      <w:r w:rsidR="0003299A" w:rsidRPr="00F803D0">
        <w:rPr>
          <w:rFonts w:asciiTheme="majorHAnsi" w:eastAsia="NotDefSpecial" w:hAnsiTheme="majorHAnsi" w:cs="NotDefSpecial"/>
          <w:color w:val="auto"/>
          <w:sz w:val="20"/>
          <w:szCs w:val="20"/>
          <w:lang w:val="es-ES"/>
        </w:rPr>
        <w:t>desplazamiento de los miembros del pueblo garífuna</w:t>
      </w:r>
      <w:r w:rsidR="0003299A" w:rsidRPr="00F803D0">
        <w:rPr>
          <w:rStyle w:val="FootnoteReference"/>
          <w:rFonts w:asciiTheme="majorHAnsi" w:eastAsia="NotDefSpecial" w:hAnsiTheme="majorHAnsi" w:cs="NotDefSpecial"/>
          <w:color w:val="auto"/>
          <w:sz w:val="20"/>
          <w:szCs w:val="20"/>
          <w:lang w:val="es-ES"/>
        </w:rPr>
        <w:footnoteReference w:id="7"/>
      </w:r>
      <w:r w:rsidR="0003299A" w:rsidRPr="00F803D0">
        <w:rPr>
          <w:rFonts w:asciiTheme="majorHAnsi" w:eastAsia="NotDefSpecial" w:hAnsiTheme="majorHAnsi" w:cs="NotDefSpecial"/>
          <w:color w:val="auto"/>
          <w:sz w:val="20"/>
          <w:szCs w:val="20"/>
          <w:lang w:val="es-ES"/>
        </w:rPr>
        <w:t>.</w:t>
      </w:r>
      <w:r w:rsidR="00A31344" w:rsidRPr="00F803D0">
        <w:rPr>
          <w:rFonts w:asciiTheme="majorHAnsi" w:eastAsia="NotDefSpecial" w:hAnsiTheme="majorHAnsi" w:cs="NotDefSpecial"/>
          <w:color w:val="auto"/>
          <w:sz w:val="20"/>
          <w:szCs w:val="20"/>
          <w:lang w:val="es-ES"/>
        </w:rPr>
        <w:t xml:space="preserve"> </w:t>
      </w:r>
    </w:p>
    <w:p w14:paraId="59E0A338" w14:textId="77777777" w:rsidR="0081253C" w:rsidRPr="00F803D0" w:rsidRDefault="0081253C" w:rsidP="0081253C">
      <w:pPr>
        <w:suppressAutoHyphens/>
        <w:jc w:val="both"/>
        <w:rPr>
          <w:rFonts w:asciiTheme="majorHAnsi" w:eastAsia="NotDefSpecial" w:hAnsiTheme="majorHAnsi" w:cs="NotDefSpecial"/>
          <w:sz w:val="20"/>
          <w:szCs w:val="20"/>
          <w:lang w:val="es-ES"/>
        </w:rPr>
      </w:pPr>
    </w:p>
    <w:p w14:paraId="70E5E21E" w14:textId="00501BAE" w:rsidR="00C82182" w:rsidRPr="00F803D0" w:rsidRDefault="00AA339A" w:rsidP="0003299A">
      <w:pPr>
        <w:pStyle w:val="ListParagraph"/>
        <w:numPr>
          <w:ilvl w:val="0"/>
          <w:numId w:val="55"/>
        </w:numPr>
        <w:tabs>
          <w:tab w:val="clear" w:pos="720"/>
        </w:tabs>
        <w:suppressAutoHyphens/>
        <w:jc w:val="both"/>
        <w:rPr>
          <w:rFonts w:asciiTheme="majorHAnsi" w:eastAsia="NotDefSpecial" w:hAnsiTheme="majorHAnsi" w:cs="NotDefSpecial"/>
          <w:color w:val="auto"/>
          <w:sz w:val="20"/>
          <w:szCs w:val="20"/>
          <w:lang w:val="es-ES"/>
        </w:rPr>
      </w:pPr>
      <w:r w:rsidRPr="00F803D0">
        <w:rPr>
          <w:rStyle w:val="Hyperlink"/>
          <w:rFonts w:asciiTheme="majorHAnsi" w:hAnsiTheme="majorHAnsi"/>
          <w:color w:val="auto"/>
          <w:sz w:val="20"/>
          <w:szCs w:val="20"/>
          <w:u w:val="none"/>
          <w:lang w:val="es-ES"/>
        </w:rPr>
        <w:t>En</w:t>
      </w:r>
      <w:r w:rsidR="00DA3219" w:rsidRPr="00F803D0">
        <w:rPr>
          <w:rFonts w:asciiTheme="majorHAnsi" w:eastAsia="NotDefSpecial" w:hAnsiTheme="majorHAnsi" w:cs="NotDefSpecial"/>
          <w:color w:val="auto"/>
          <w:sz w:val="20"/>
          <w:szCs w:val="20"/>
          <w:lang w:val="es-ES"/>
        </w:rPr>
        <w:t xml:space="preserve"> noviembre de 2010 fue expedido el Testimonio de Escritura Pública No. 191 denominado “Protocolización Punto de Acta No. 021 de la Comunidad de Triunfo de la Cruz” </w:t>
      </w:r>
      <w:r w:rsidR="007160CB" w:rsidRPr="00F803D0">
        <w:rPr>
          <w:rFonts w:asciiTheme="majorHAnsi" w:eastAsia="NotDefSpecial" w:hAnsiTheme="majorHAnsi" w:cs="NotDefSpecial"/>
          <w:color w:val="auto"/>
          <w:sz w:val="20"/>
          <w:szCs w:val="20"/>
          <w:lang w:val="es-ES"/>
        </w:rPr>
        <w:t xml:space="preserve">otorgado </w:t>
      </w:r>
      <w:r w:rsidR="00DA3219" w:rsidRPr="00F803D0">
        <w:rPr>
          <w:rFonts w:asciiTheme="majorHAnsi" w:eastAsia="NotDefSpecial" w:hAnsiTheme="majorHAnsi" w:cs="NotDefSpecial"/>
          <w:color w:val="auto"/>
          <w:sz w:val="20"/>
          <w:szCs w:val="20"/>
          <w:lang w:val="es-ES"/>
        </w:rPr>
        <w:t>por Braulio Martínez Núñez</w:t>
      </w:r>
      <w:r w:rsidR="007160CB" w:rsidRPr="00F803D0">
        <w:rPr>
          <w:rFonts w:asciiTheme="majorHAnsi" w:eastAsia="NotDefSpecial" w:hAnsiTheme="majorHAnsi" w:cs="NotDefSpecial"/>
          <w:color w:val="auto"/>
          <w:sz w:val="20"/>
          <w:szCs w:val="20"/>
          <w:lang w:val="es-ES"/>
        </w:rPr>
        <w:t>,</w:t>
      </w:r>
      <w:r w:rsidR="00DA3219" w:rsidRPr="00F803D0">
        <w:rPr>
          <w:rFonts w:asciiTheme="majorHAnsi" w:eastAsia="NotDefSpecial" w:hAnsiTheme="majorHAnsi" w:cs="NotDefSpecial"/>
          <w:color w:val="auto"/>
          <w:sz w:val="20"/>
          <w:szCs w:val="20"/>
          <w:lang w:val="es-ES"/>
        </w:rPr>
        <w:t xml:space="preserve"> en su condición de </w:t>
      </w:r>
      <w:r w:rsidRPr="00F803D0">
        <w:rPr>
          <w:rFonts w:asciiTheme="majorHAnsi" w:eastAsia="NotDefSpecial" w:hAnsiTheme="majorHAnsi" w:cs="NotDefSpecial"/>
          <w:color w:val="auto"/>
          <w:sz w:val="20"/>
          <w:szCs w:val="20"/>
          <w:lang w:val="es-ES"/>
        </w:rPr>
        <w:t>P</w:t>
      </w:r>
      <w:r w:rsidR="00DA3219" w:rsidRPr="00F803D0">
        <w:rPr>
          <w:rFonts w:asciiTheme="majorHAnsi" w:eastAsia="NotDefSpecial" w:hAnsiTheme="majorHAnsi" w:cs="NotDefSpecial"/>
          <w:color w:val="auto"/>
          <w:sz w:val="20"/>
          <w:szCs w:val="20"/>
          <w:lang w:val="es-ES"/>
        </w:rPr>
        <w:t xml:space="preserve">residente de la Junta Directiva paralela del Patronato de </w:t>
      </w:r>
      <w:r w:rsidRPr="00F803D0">
        <w:rPr>
          <w:rFonts w:asciiTheme="majorHAnsi" w:eastAsia="NotDefSpecial" w:hAnsiTheme="majorHAnsi" w:cs="NotDefSpecial"/>
          <w:color w:val="auto"/>
          <w:sz w:val="20"/>
          <w:szCs w:val="20"/>
          <w:lang w:val="es-ES"/>
        </w:rPr>
        <w:t>dicha c</w:t>
      </w:r>
      <w:r w:rsidR="00DA3219" w:rsidRPr="00F803D0">
        <w:rPr>
          <w:rFonts w:asciiTheme="majorHAnsi" w:eastAsia="NotDefSpecial" w:hAnsiTheme="majorHAnsi" w:cs="NotDefSpecial"/>
          <w:color w:val="auto"/>
          <w:sz w:val="20"/>
          <w:szCs w:val="20"/>
          <w:lang w:val="es-ES"/>
        </w:rPr>
        <w:t>omunidad</w:t>
      </w:r>
      <w:r w:rsidRPr="00F803D0">
        <w:rPr>
          <w:rFonts w:asciiTheme="majorHAnsi" w:eastAsia="NotDefSpecial" w:hAnsiTheme="majorHAnsi" w:cs="NotDefSpecial"/>
          <w:color w:val="auto"/>
          <w:sz w:val="20"/>
          <w:szCs w:val="20"/>
          <w:lang w:val="es-ES"/>
        </w:rPr>
        <w:t>.</w:t>
      </w:r>
      <w:r w:rsidR="00DA3219"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En dicho documento se</w:t>
      </w:r>
      <w:r w:rsidR="00DA3219" w:rsidRPr="00F803D0">
        <w:rPr>
          <w:rFonts w:asciiTheme="majorHAnsi" w:eastAsia="NotDefSpecial" w:hAnsiTheme="majorHAnsi" w:cs="NotDefSpecial"/>
          <w:color w:val="auto"/>
          <w:sz w:val="20"/>
          <w:szCs w:val="20"/>
          <w:lang w:val="es-ES"/>
        </w:rPr>
        <w:t xml:space="preserve"> invoca el artículo 100 de la Ley de Propiedad</w:t>
      </w:r>
      <w:r w:rsidR="00276236" w:rsidRPr="00F803D0">
        <w:rPr>
          <w:rFonts w:asciiTheme="majorHAnsi" w:eastAsia="NotDefSpecial" w:hAnsiTheme="majorHAnsi" w:cs="NotDefSpecial"/>
          <w:color w:val="auto"/>
          <w:sz w:val="20"/>
          <w:szCs w:val="20"/>
          <w:lang w:val="es-ES"/>
        </w:rPr>
        <w:t xml:space="preserve"> y la celebración de una Asamblea General para autorizar esta decisión</w:t>
      </w:r>
      <w:r w:rsidR="00DA3219"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 xml:space="preserve">por la que </w:t>
      </w:r>
      <w:r w:rsidR="00DA3219" w:rsidRPr="00F803D0">
        <w:rPr>
          <w:rFonts w:asciiTheme="majorHAnsi" w:eastAsia="NotDefSpecial" w:hAnsiTheme="majorHAnsi" w:cs="NotDefSpecial"/>
          <w:color w:val="auto"/>
          <w:sz w:val="20"/>
          <w:szCs w:val="20"/>
          <w:lang w:val="es-ES"/>
        </w:rPr>
        <w:t xml:space="preserve">se </w:t>
      </w:r>
      <w:r w:rsidR="007160CB" w:rsidRPr="00F803D0">
        <w:rPr>
          <w:rFonts w:asciiTheme="majorHAnsi" w:eastAsia="NotDefSpecial" w:hAnsiTheme="majorHAnsi" w:cs="NotDefSpecial"/>
          <w:color w:val="auto"/>
          <w:sz w:val="20"/>
          <w:szCs w:val="20"/>
          <w:lang w:val="es-ES"/>
        </w:rPr>
        <w:t xml:space="preserve">acuerda </w:t>
      </w:r>
      <w:r w:rsidR="00DA3219" w:rsidRPr="00F803D0">
        <w:rPr>
          <w:rFonts w:asciiTheme="majorHAnsi" w:eastAsia="NotDefSpecial" w:hAnsiTheme="majorHAnsi" w:cs="NotDefSpecial"/>
          <w:color w:val="auto"/>
          <w:sz w:val="20"/>
          <w:szCs w:val="20"/>
          <w:lang w:val="es-ES"/>
        </w:rPr>
        <w:t>desmembrar el título comunitario otorgado por el Instituto Nacional Agrario</w:t>
      </w:r>
      <w:r w:rsidR="00276236" w:rsidRPr="00F803D0">
        <w:rPr>
          <w:rFonts w:asciiTheme="majorHAnsi" w:eastAsia="NotDefSpecial" w:hAnsiTheme="majorHAnsi" w:cs="NotDefSpecial"/>
          <w:color w:val="auto"/>
          <w:sz w:val="20"/>
          <w:szCs w:val="20"/>
          <w:lang w:val="es-ES"/>
        </w:rPr>
        <w:t xml:space="preserve"> a favor del proyecto de desarrollo urbanístico-turístico denominado “Complejo Comunitario Garífuna Laguna Negra”</w:t>
      </w:r>
      <w:r w:rsidR="00DA3219"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La parte</w:t>
      </w:r>
      <w:r w:rsidR="007160CB" w:rsidRPr="00F803D0">
        <w:rPr>
          <w:rFonts w:asciiTheme="majorHAnsi" w:eastAsia="NotDefSpecial" w:hAnsiTheme="majorHAnsi" w:cs="NotDefSpecial"/>
          <w:color w:val="auto"/>
          <w:sz w:val="20"/>
          <w:szCs w:val="20"/>
          <w:lang w:val="es-ES"/>
        </w:rPr>
        <w:t xml:space="preserve"> peticionari</w:t>
      </w:r>
      <w:r w:rsidRPr="00F803D0">
        <w:rPr>
          <w:rFonts w:asciiTheme="majorHAnsi" w:eastAsia="NotDefSpecial" w:hAnsiTheme="majorHAnsi" w:cs="NotDefSpecial"/>
          <w:color w:val="auto"/>
          <w:sz w:val="20"/>
          <w:szCs w:val="20"/>
          <w:lang w:val="es-ES"/>
        </w:rPr>
        <w:t>a</w:t>
      </w:r>
      <w:r w:rsidR="007160CB" w:rsidRPr="00F803D0">
        <w:rPr>
          <w:rFonts w:asciiTheme="majorHAnsi" w:eastAsia="NotDefSpecial" w:hAnsiTheme="majorHAnsi" w:cs="NotDefSpecial"/>
          <w:color w:val="auto"/>
          <w:sz w:val="20"/>
          <w:szCs w:val="20"/>
          <w:lang w:val="es-ES"/>
        </w:rPr>
        <w:t xml:space="preserve"> describe que la mencionada</w:t>
      </w:r>
      <w:r w:rsidR="00DA3219"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j</w:t>
      </w:r>
      <w:r w:rsidR="00DA3219" w:rsidRPr="00F803D0">
        <w:rPr>
          <w:rFonts w:asciiTheme="majorHAnsi" w:eastAsia="NotDefSpecial" w:hAnsiTheme="majorHAnsi" w:cs="NotDefSpecial"/>
          <w:color w:val="auto"/>
          <w:sz w:val="20"/>
          <w:szCs w:val="20"/>
          <w:lang w:val="es-ES"/>
        </w:rPr>
        <w:t>unta funciona como un patronato paralelo impuesto por la Municipalidad de Tela y los empresarios turísticos</w:t>
      </w:r>
      <w:r w:rsidRPr="00F803D0">
        <w:rPr>
          <w:rFonts w:asciiTheme="majorHAnsi" w:eastAsia="NotDefSpecial" w:hAnsiTheme="majorHAnsi" w:cs="NotDefSpecial"/>
          <w:color w:val="auto"/>
          <w:sz w:val="20"/>
          <w:szCs w:val="20"/>
          <w:lang w:val="es-ES"/>
        </w:rPr>
        <w:t>;</w:t>
      </w:r>
      <w:r w:rsidR="00DA3219" w:rsidRPr="00F803D0">
        <w:rPr>
          <w:rFonts w:asciiTheme="majorHAnsi" w:eastAsia="NotDefSpecial" w:hAnsiTheme="majorHAnsi" w:cs="NotDefSpecial"/>
          <w:color w:val="auto"/>
          <w:sz w:val="20"/>
          <w:szCs w:val="20"/>
          <w:lang w:val="es-ES"/>
        </w:rPr>
        <w:t xml:space="preserve"> y que la supuesta asamblea comunitaria en </w:t>
      </w:r>
      <w:r w:rsidRPr="00F803D0">
        <w:rPr>
          <w:rFonts w:asciiTheme="majorHAnsi" w:eastAsia="NotDefSpecial" w:hAnsiTheme="majorHAnsi" w:cs="NotDefSpecial"/>
          <w:color w:val="auto"/>
          <w:sz w:val="20"/>
          <w:szCs w:val="20"/>
          <w:lang w:val="es-ES"/>
        </w:rPr>
        <w:t xml:space="preserve">que se habría </w:t>
      </w:r>
      <w:r w:rsidR="00DA3219" w:rsidRPr="00F803D0">
        <w:rPr>
          <w:rFonts w:asciiTheme="majorHAnsi" w:eastAsia="NotDefSpecial" w:hAnsiTheme="majorHAnsi" w:cs="NotDefSpecial"/>
          <w:color w:val="auto"/>
          <w:sz w:val="20"/>
          <w:szCs w:val="20"/>
          <w:lang w:val="es-ES"/>
        </w:rPr>
        <w:t>apr</w:t>
      </w:r>
      <w:r w:rsidRPr="00F803D0">
        <w:rPr>
          <w:rFonts w:asciiTheme="majorHAnsi" w:eastAsia="NotDefSpecial" w:hAnsiTheme="majorHAnsi" w:cs="NotDefSpecial"/>
          <w:color w:val="auto"/>
          <w:sz w:val="20"/>
          <w:szCs w:val="20"/>
          <w:lang w:val="es-ES"/>
        </w:rPr>
        <w:t>obado</w:t>
      </w:r>
      <w:r w:rsidR="00DA3219" w:rsidRPr="00F803D0">
        <w:rPr>
          <w:rFonts w:asciiTheme="majorHAnsi" w:eastAsia="NotDefSpecial" w:hAnsiTheme="majorHAnsi" w:cs="NotDefSpecial"/>
          <w:color w:val="auto"/>
          <w:sz w:val="20"/>
          <w:szCs w:val="20"/>
          <w:lang w:val="es-ES"/>
        </w:rPr>
        <w:t xml:space="preserve"> el desmembramiento nunca tuvo lugar. </w:t>
      </w:r>
      <w:r w:rsidRPr="00F803D0">
        <w:rPr>
          <w:rFonts w:asciiTheme="majorHAnsi" w:eastAsia="NotDefSpecial" w:hAnsiTheme="majorHAnsi" w:cs="NotDefSpecial"/>
          <w:color w:val="auto"/>
          <w:sz w:val="20"/>
          <w:szCs w:val="20"/>
          <w:lang w:val="es-ES"/>
        </w:rPr>
        <w:t>A</w:t>
      </w:r>
      <w:r w:rsidR="00DA3219" w:rsidRPr="00F803D0">
        <w:rPr>
          <w:rFonts w:asciiTheme="majorHAnsi" w:eastAsia="NotDefSpecial" w:hAnsiTheme="majorHAnsi" w:cs="NotDefSpecial"/>
          <w:color w:val="auto"/>
          <w:sz w:val="20"/>
          <w:szCs w:val="20"/>
          <w:lang w:val="es-ES"/>
        </w:rPr>
        <w:t xml:space="preserve">rgumenta que </w:t>
      </w:r>
      <w:r w:rsidRPr="00F803D0">
        <w:rPr>
          <w:rFonts w:asciiTheme="majorHAnsi" w:eastAsia="NotDefSpecial" w:hAnsiTheme="majorHAnsi" w:cs="NotDefSpecial"/>
          <w:color w:val="auto"/>
          <w:sz w:val="20"/>
          <w:szCs w:val="20"/>
          <w:lang w:val="es-ES"/>
        </w:rPr>
        <w:t xml:space="preserve">la </w:t>
      </w:r>
      <w:r w:rsidR="007160CB" w:rsidRPr="00F803D0">
        <w:rPr>
          <w:rFonts w:asciiTheme="majorHAnsi" w:eastAsia="NotDefSpecial" w:hAnsiTheme="majorHAnsi" w:cs="NotDefSpecial"/>
          <w:color w:val="auto"/>
          <w:sz w:val="20"/>
          <w:szCs w:val="20"/>
          <w:lang w:val="es-ES"/>
        </w:rPr>
        <w:t xml:space="preserve">información </w:t>
      </w:r>
      <w:r w:rsidRPr="00F803D0">
        <w:rPr>
          <w:rFonts w:asciiTheme="majorHAnsi" w:eastAsia="NotDefSpecial" w:hAnsiTheme="majorHAnsi" w:cs="NotDefSpecial"/>
          <w:color w:val="auto"/>
          <w:sz w:val="20"/>
          <w:szCs w:val="20"/>
          <w:lang w:val="es-ES"/>
        </w:rPr>
        <w:t xml:space="preserve">se obtuvo </w:t>
      </w:r>
      <w:r w:rsidR="007160CB" w:rsidRPr="00F803D0">
        <w:rPr>
          <w:rFonts w:asciiTheme="majorHAnsi" w:eastAsia="NotDefSpecial" w:hAnsiTheme="majorHAnsi" w:cs="NotDefSpecial"/>
          <w:color w:val="auto"/>
          <w:sz w:val="20"/>
          <w:szCs w:val="20"/>
          <w:lang w:val="es-ES"/>
        </w:rPr>
        <w:t xml:space="preserve">de </w:t>
      </w:r>
      <w:r w:rsidR="00DA3219" w:rsidRPr="00F803D0">
        <w:rPr>
          <w:rFonts w:asciiTheme="majorHAnsi" w:eastAsia="NotDefSpecial" w:hAnsiTheme="majorHAnsi" w:cs="NotDefSpecial"/>
          <w:color w:val="auto"/>
          <w:sz w:val="20"/>
          <w:szCs w:val="20"/>
          <w:lang w:val="es-ES"/>
        </w:rPr>
        <w:t>manera fortuita</w:t>
      </w:r>
      <w:r w:rsidRPr="00F803D0">
        <w:rPr>
          <w:rFonts w:asciiTheme="majorHAnsi" w:eastAsia="NotDefSpecial" w:hAnsiTheme="majorHAnsi" w:cs="NotDefSpecial"/>
          <w:color w:val="auto"/>
          <w:sz w:val="20"/>
          <w:szCs w:val="20"/>
          <w:lang w:val="es-ES"/>
        </w:rPr>
        <w:t>,</w:t>
      </w:r>
      <w:r w:rsidR="007160CB" w:rsidRPr="00F803D0">
        <w:rPr>
          <w:rFonts w:asciiTheme="majorHAnsi" w:eastAsia="NotDefSpecial" w:hAnsiTheme="majorHAnsi" w:cs="NotDefSpecial"/>
          <w:color w:val="auto"/>
          <w:sz w:val="20"/>
          <w:szCs w:val="20"/>
          <w:lang w:val="es-ES"/>
        </w:rPr>
        <w:t xml:space="preserve"> por lo </w:t>
      </w:r>
      <w:r w:rsidRPr="00F803D0">
        <w:rPr>
          <w:rFonts w:asciiTheme="majorHAnsi" w:eastAsia="NotDefSpecial" w:hAnsiTheme="majorHAnsi" w:cs="NotDefSpecial"/>
          <w:color w:val="auto"/>
          <w:sz w:val="20"/>
          <w:szCs w:val="20"/>
          <w:lang w:val="es-ES"/>
        </w:rPr>
        <w:t>que teme</w:t>
      </w:r>
      <w:r w:rsidR="00DA3219" w:rsidRPr="00F803D0">
        <w:rPr>
          <w:rFonts w:asciiTheme="majorHAnsi" w:eastAsia="NotDefSpecial" w:hAnsiTheme="majorHAnsi" w:cs="NotDefSpecial"/>
          <w:color w:val="auto"/>
          <w:sz w:val="20"/>
          <w:szCs w:val="20"/>
          <w:lang w:val="es-ES"/>
        </w:rPr>
        <w:t xml:space="preserve"> </w:t>
      </w:r>
      <w:r w:rsidRPr="00F803D0">
        <w:rPr>
          <w:rFonts w:asciiTheme="majorHAnsi" w:eastAsia="NotDefSpecial" w:hAnsiTheme="majorHAnsi" w:cs="NotDefSpecial"/>
          <w:color w:val="auto"/>
          <w:sz w:val="20"/>
          <w:szCs w:val="20"/>
          <w:lang w:val="es-ES"/>
        </w:rPr>
        <w:t xml:space="preserve">que haya </w:t>
      </w:r>
      <w:r w:rsidR="00DA3219" w:rsidRPr="00F803D0">
        <w:rPr>
          <w:rFonts w:asciiTheme="majorHAnsi" w:eastAsia="NotDefSpecial" w:hAnsiTheme="majorHAnsi" w:cs="NotDefSpecial"/>
          <w:color w:val="auto"/>
          <w:sz w:val="20"/>
          <w:szCs w:val="20"/>
          <w:lang w:val="es-ES"/>
        </w:rPr>
        <w:t>desmembramientos similares de otros títulos comunitarios a lo largo de la costa garífuna a raíz de la Ley Z</w:t>
      </w:r>
      <w:r w:rsidRPr="00F803D0">
        <w:rPr>
          <w:rFonts w:asciiTheme="majorHAnsi" w:eastAsia="NotDefSpecial" w:hAnsiTheme="majorHAnsi" w:cs="NotDefSpecial"/>
          <w:color w:val="auto"/>
          <w:sz w:val="20"/>
          <w:szCs w:val="20"/>
          <w:lang w:val="es-ES"/>
        </w:rPr>
        <w:t>EDE</w:t>
      </w:r>
      <w:r w:rsidR="00DA3219" w:rsidRPr="00F803D0">
        <w:rPr>
          <w:rFonts w:asciiTheme="majorHAnsi" w:eastAsia="NotDefSpecial" w:hAnsiTheme="majorHAnsi" w:cs="NotDefSpecial"/>
          <w:color w:val="auto"/>
          <w:sz w:val="20"/>
          <w:szCs w:val="20"/>
          <w:lang w:val="es-ES"/>
        </w:rPr>
        <w:t>.</w:t>
      </w:r>
    </w:p>
    <w:p w14:paraId="5BC702A8" w14:textId="77777777" w:rsidR="00CF7A7C" w:rsidRPr="00F803D0" w:rsidRDefault="00CF7A7C" w:rsidP="00CF7A7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eastAsia="NotDefSpecial" w:hAnsiTheme="majorHAnsi" w:cs="NotDefSpecial"/>
          <w:color w:val="FF0000"/>
          <w:sz w:val="20"/>
          <w:szCs w:val="20"/>
          <w:lang w:val="es-ES"/>
        </w:rPr>
      </w:pPr>
    </w:p>
    <w:p w14:paraId="337D1C45" w14:textId="632FA2A9" w:rsidR="00D077BB" w:rsidRPr="00F803D0" w:rsidRDefault="00D077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color w:val="auto"/>
          <w:lang w:val="es-ES"/>
        </w:rPr>
      </w:pPr>
      <w:r w:rsidRPr="00F803D0">
        <w:rPr>
          <w:rFonts w:asciiTheme="majorHAnsi" w:eastAsia="NotDefSpecial" w:hAnsiTheme="majorHAnsi" w:cs="NotDefSpecial"/>
          <w:sz w:val="20"/>
          <w:szCs w:val="20"/>
          <w:lang w:val="es-ES"/>
        </w:rPr>
        <w:t>Por otr</w:t>
      </w:r>
      <w:r w:rsidR="00AA339A" w:rsidRPr="00F803D0">
        <w:rPr>
          <w:rFonts w:asciiTheme="majorHAnsi" w:eastAsia="NotDefSpecial" w:hAnsiTheme="majorHAnsi" w:cs="NotDefSpecial"/>
          <w:sz w:val="20"/>
          <w:szCs w:val="20"/>
          <w:lang w:val="es-ES"/>
        </w:rPr>
        <w:t>o</w:t>
      </w:r>
      <w:r w:rsidRPr="00F803D0">
        <w:rPr>
          <w:rFonts w:asciiTheme="majorHAnsi" w:eastAsia="NotDefSpecial" w:hAnsiTheme="majorHAnsi" w:cs="NotDefSpecial"/>
          <w:sz w:val="20"/>
          <w:szCs w:val="20"/>
          <w:lang w:val="es-ES"/>
        </w:rPr>
        <w:t xml:space="preserve"> lado, </w:t>
      </w:r>
      <w:r w:rsidR="00AA339A" w:rsidRPr="00F803D0">
        <w:rPr>
          <w:rFonts w:asciiTheme="majorHAnsi" w:eastAsia="NotDefSpecial" w:hAnsiTheme="majorHAnsi" w:cs="NotDefSpecial"/>
          <w:sz w:val="20"/>
          <w:szCs w:val="20"/>
          <w:lang w:val="es-ES"/>
        </w:rPr>
        <w:t>la parte</w:t>
      </w:r>
      <w:r w:rsidR="0059255D" w:rsidRPr="00F803D0">
        <w:rPr>
          <w:rFonts w:asciiTheme="majorHAnsi" w:eastAsia="NotDefSpecial" w:hAnsiTheme="majorHAnsi" w:cs="NotDefSpecial"/>
          <w:sz w:val="20"/>
          <w:szCs w:val="20"/>
          <w:lang w:val="es-ES"/>
        </w:rPr>
        <w:t xml:space="preserve"> peticionari</w:t>
      </w:r>
      <w:r w:rsidR="00AA339A" w:rsidRPr="00F803D0">
        <w:rPr>
          <w:rFonts w:asciiTheme="majorHAnsi" w:eastAsia="NotDefSpecial" w:hAnsiTheme="majorHAnsi" w:cs="NotDefSpecial"/>
          <w:sz w:val="20"/>
          <w:szCs w:val="20"/>
          <w:lang w:val="es-ES"/>
        </w:rPr>
        <w:t>a</w:t>
      </w:r>
      <w:r w:rsidR="0059255D" w:rsidRPr="00F803D0">
        <w:rPr>
          <w:rFonts w:asciiTheme="majorHAnsi" w:eastAsia="NotDefSpecial" w:hAnsiTheme="majorHAnsi" w:cs="NotDefSpecial"/>
          <w:sz w:val="20"/>
          <w:szCs w:val="20"/>
          <w:lang w:val="es-ES"/>
        </w:rPr>
        <w:t xml:space="preserve"> señala que </w:t>
      </w:r>
      <w:r w:rsidR="0003299A" w:rsidRPr="00F803D0">
        <w:rPr>
          <w:rStyle w:val="Hyperlink"/>
          <w:rFonts w:asciiTheme="majorHAnsi" w:hAnsiTheme="majorHAnsi"/>
          <w:color w:val="auto"/>
          <w:sz w:val="20"/>
          <w:szCs w:val="20"/>
          <w:u w:val="none"/>
          <w:lang w:val="es-ES"/>
        </w:rPr>
        <w:t xml:space="preserve">los pueblos </w:t>
      </w:r>
      <w:r w:rsidR="0059255D" w:rsidRPr="00F803D0">
        <w:rPr>
          <w:rStyle w:val="Hyperlink"/>
          <w:rFonts w:asciiTheme="majorHAnsi" w:hAnsiTheme="majorHAnsi"/>
          <w:color w:val="auto"/>
          <w:sz w:val="20"/>
          <w:szCs w:val="20"/>
          <w:u w:val="none"/>
          <w:lang w:val="es-ES"/>
        </w:rPr>
        <w:t xml:space="preserve">indígenas </w:t>
      </w:r>
      <w:r w:rsidR="0003299A" w:rsidRPr="00F803D0">
        <w:rPr>
          <w:rStyle w:val="Hyperlink"/>
          <w:rFonts w:asciiTheme="majorHAnsi" w:hAnsiTheme="majorHAnsi"/>
          <w:color w:val="auto"/>
          <w:sz w:val="20"/>
          <w:szCs w:val="20"/>
          <w:u w:val="none"/>
          <w:lang w:val="es-ES"/>
        </w:rPr>
        <w:t xml:space="preserve">no fueron informados ni consultados </w:t>
      </w:r>
      <w:r w:rsidR="0059255D" w:rsidRPr="00F803D0">
        <w:rPr>
          <w:rStyle w:val="Hyperlink"/>
          <w:rFonts w:asciiTheme="majorHAnsi" w:hAnsiTheme="majorHAnsi"/>
          <w:color w:val="auto"/>
          <w:sz w:val="20"/>
          <w:szCs w:val="20"/>
          <w:u w:val="none"/>
          <w:lang w:val="es-ES"/>
        </w:rPr>
        <w:t>sobre</w:t>
      </w:r>
      <w:r w:rsidR="0003299A" w:rsidRPr="00F803D0">
        <w:rPr>
          <w:rStyle w:val="Hyperlink"/>
          <w:rFonts w:asciiTheme="majorHAnsi" w:hAnsiTheme="majorHAnsi"/>
          <w:color w:val="auto"/>
          <w:sz w:val="20"/>
          <w:szCs w:val="20"/>
          <w:u w:val="none"/>
          <w:lang w:val="es-ES"/>
        </w:rPr>
        <w:t xml:space="preserve"> la emisión del Plan de </w:t>
      </w:r>
      <w:r w:rsidR="0059255D" w:rsidRPr="00F803D0">
        <w:rPr>
          <w:rStyle w:val="Hyperlink"/>
          <w:rFonts w:asciiTheme="majorHAnsi" w:hAnsiTheme="majorHAnsi"/>
          <w:color w:val="auto"/>
          <w:sz w:val="20"/>
          <w:szCs w:val="20"/>
          <w:u w:val="none"/>
          <w:lang w:val="es-ES"/>
        </w:rPr>
        <w:t>Nación 2012-2022, Visión</w:t>
      </w:r>
      <w:r w:rsidR="0003299A" w:rsidRPr="00F803D0">
        <w:rPr>
          <w:rStyle w:val="Hyperlink"/>
          <w:rFonts w:asciiTheme="majorHAnsi" w:hAnsiTheme="majorHAnsi"/>
          <w:color w:val="auto"/>
          <w:sz w:val="20"/>
          <w:szCs w:val="20"/>
          <w:u w:val="none"/>
          <w:lang w:val="es-ES"/>
        </w:rPr>
        <w:t xml:space="preserve"> de </w:t>
      </w:r>
      <w:r w:rsidR="0059255D" w:rsidRPr="00F803D0">
        <w:rPr>
          <w:rStyle w:val="Hyperlink"/>
          <w:rFonts w:asciiTheme="majorHAnsi" w:hAnsiTheme="majorHAnsi"/>
          <w:color w:val="auto"/>
          <w:sz w:val="20"/>
          <w:szCs w:val="20"/>
          <w:u w:val="none"/>
          <w:lang w:val="es-ES"/>
        </w:rPr>
        <w:t>País</w:t>
      </w:r>
      <w:r w:rsidR="0003299A" w:rsidRPr="00F803D0">
        <w:rPr>
          <w:rStyle w:val="Hyperlink"/>
          <w:rFonts w:asciiTheme="majorHAnsi" w:hAnsiTheme="majorHAnsi"/>
          <w:color w:val="auto"/>
          <w:sz w:val="20"/>
          <w:szCs w:val="20"/>
          <w:u w:val="none"/>
          <w:lang w:val="es-ES"/>
        </w:rPr>
        <w:t xml:space="preserve"> 2010-2038</w:t>
      </w:r>
      <w:r w:rsidR="00C12318" w:rsidRPr="00F803D0">
        <w:rPr>
          <w:rStyle w:val="Hyperlink"/>
          <w:rFonts w:asciiTheme="majorHAnsi" w:hAnsiTheme="majorHAnsi"/>
          <w:color w:val="auto"/>
          <w:sz w:val="20"/>
          <w:szCs w:val="20"/>
          <w:u w:val="none"/>
          <w:lang w:val="es-ES"/>
        </w:rPr>
        <w:t>,</w:t>
      </w:r>
      <w:r w:rsidR="0003299A" w:rsidRPr="00F803D0">
        <w:rPr>
          <w:rStyle w:val="Hyperlink"/>
          <w:rFonts w:asciiTheme="majorHAnsi" w:hAnsiTheme="majorHAnsi"/>
          <w:color w:val="auto"/>
          <w:sz w:val="20"/>
          <w:szCs w:val="20"/>
          <w:u w:val="none"/>
          <w:lang w:val="es-ES"/>
        </w:rPr>
        <w:t xml:space="preserve"> </w:t>
      </w:r>
      <w:r w:rsidR="008928D9" w:rsidRPr="00F803D0">
        <w:rPr>
          <w:rFonts w:asciiTheme="majorHAnsi" w:hAnsiTheme="majorHAnsi"/>
          <w:sz w:val="20"/>
          <w:szCs w:val="20"/>
          <w:lang w:val="es-ES"/>
        </w:rPr>
        <w:t xml:space="preserve">la </w:t>
      </w:r>
      <w:r w:rsidR="00AA339A" w:rsidRPr="00F803D0">
        <w:rPr>
          <w:rFonts w:asciiTheme="majorHAnsi" w:hAnsiTheme="majorHAnsi"/>
          <w:sz w:val="20"/>
          <w:szCs w:val="20"/>
          <w:lang w:val="es-ES"/>
        </w:rPr>
        <w:t>L</w:t>
      </w:r>
      <w:r w:rsidR="008928D9" w:rsidRPr="00F803D0">
        <w:rPr>
          <w:rFonts w:asciiTheme="majorHAnsi" w:hAnsiTheme="majorHAnsi"/>
          <w:sz w:val="20"/>
          <w:szCs w:val="20"/>
          <w:lang w:val="es-ES"/>
        </w:rPr>
        <w:t xml:space="preserve">ey de </w:t>
      </w:r>
      <w:r w:rsidR="00AA339A" w:rsidRPr="00F803D0">
        <w:rPr>
          <w:rFonts w:asciiTheme="majorHAnsi" w:hAnsiTheme="majorHAnsi"/>
          <w:sz w:val="20"/>
          <w:szCs w:val="20"/>
          <w:lang w:val="es-ES"/>
        </w:rPr>
        <w:t>A</w:t>
      </w:r>
      <w:r w:rsidR="008928D9" w:rsidRPr="00F803D0">
        <w:rPr>
          <w:rFonts w:asciiTheme="majorHAnsi" w:hAnsiTheme="majorHAnsi"/>
          <w:sz w:val="20"/>
          <w:szCs w:val="20"/>
          <w:lang w:val="es-ES"/>
        </w:rPr>
        <w:t xml:space="preserve">guas, la Ley ZEDE, </w:t>
      </w:r>
      <w:r w:rsidR="00AA339A" w:rsidRPr="00F803D0">
        <w:rPr>
          <w:rFonts w:asciiTheme="majorHAnsi" w:hAnsiTheme="majorHAnsi"/>
          <w:sz w:val="20"/>
          <w:szCs w:val="20"/>
          <w:lang w:val="es-ES"/>
        </w:rPr>
        <w:t>L</w:t>
      </w:r>
      <w:r w:rsidR="008928D9" w:rsidRPr="00F803D0">
        <w:rPr>
          <w:rFonts w:asciiTheme="majorHAnsi" w:hAnsiTheme="majorHAnsi"/>
          <w:sz w:val="20"/>
          <w:szCs w:val="20"/>
          <w:lang w:val="es-ES"/>
        </w:rPr>
        <w:t xml:space="preserve">a ley de </w:t>
      </w:r>
      <w:r w:rsidR="00AA339A" w:rsidRPr="00F803D0">
        <w:rPr>
          <w:rFonts w:asciiTheme="majorHAnsi" w:hAnsiTheme="majorHAnsi"/>
          <w:sz w:val="20"/>
          <w:szCs w:val="20"/>
          <w:lang w:val="es-ES"/>
        </w:rPr>
        <w:t>P</w:t>
      </w:r>
      <w:r w:rsidR="008928D9" w:rsidRPr="00F803D0">
        <w:rPr>
          <w:rFonts w:asciiTheme="majorHAnsi" w:hAnsiTheme="majorHAnsi"/>
          <w:sz w:val="20"/>
          <w:szCs w:val="20"/>
          <w:lang w:val="es-ES"/>
        </w:rPr>
        <w:t>esca,</w:t>
      </w:r>
      <w:r w:rsidR="0059255D" w:rsidRPr="00F803D0">
        <w:rPr>
          <w:rFonts w:asciiTheme="majorHAnsi" w:hAnsiTheme="majorHAnsi"/>
          <w:sz w:val="20"/>
          <w:szCs w:val="20"/>
          <w:lang w:val="es-ES"/>
        </w:rPr>
        <w:t xml:space="preserve"> la actual </w:t>
      </w:r>
      <w:r w:rsidR="0041701D" w:rsidRPr="00F803D0">
        <w:rPr>
          <w:rFonts w:asciiTheme="majorHAnsi" w:hAnsiTheme="majorHAnsi"/>
          <w:sz w:val="20"/>
          <w:szCs w:val="20"/>
          <w:lang w:val="es-ES"/>
        </w:rPr>
        <w:t>versión</w:t>
      </w:r>
      <w:r w:rsidR="0059255D" w:rsidRPr="00F803D0">
        <w:rPr>
          <w:rFonts w:asciiTheme="majorHAnsi" w:hAnsiTheme="majorHAnsi"/>
          <w:sz w:val="20"/>
          <w:szCs w:val="20"/>
          <w:lang w:val="es-ES"/>
        </w:rPr>
        <w:t xml:space="preserve"> de </w:t>
      </w:r>
      <w:r w:rsidR="00AA339A" w:rsidRPr="00F803D0">
        <w:rPr>
          <w:rFonts w:asciiTheme="majorHAnsi" w:hAnsiTheme="majorHAnsi"/>
          <w:sz w:val="20"/>
          <w:szCs w:val="20"/>
          <w:lang w:val="es-ES"/>
        </w:rPr>
        <w:t>la L</w:t>
      </w:r>
      <w:r w:rsidR="0059255D" w:rsidRPr="00F803D0">
        <w:rPr>
          <w:rFonts w:asciiTheme="majorHAnsi" w:hAnsiTheme="majorHAnsi"/>
          <w:sz w:val="20"/>
          <w:szCs w:val="20"/>
          <w:lang w:val="es-ES"/>
        </w:rPr>
        <w:t xml:space="preserve">ey de </w:t>
      </w:r>
      <w:r w:rsidR="00AA339A" w:rsidRPr="00F803D0">
        <w:rPr>
          <w:rFonts w:asciiTheme="majorHAnsi" w:hAnsiTheme="majorHAnsi"/>
          <w:sz w:val="20"/>
          <w:szCs w:val="20"/>
          <w:lang w:val="es-ES"/>
        </w:rPr>
        <w:t>C</w:t>
      </w:r>
      <w:r w:rsidR="0059255D" w:rsidRPr="00F803D0">
        <w:rPr>
          <w:rFonts w:asciiTheme="majorHAnsi" w:hAnsiTheme="majorHAnsi"/>
          <w:sz w:val="20"/>
          <w:szCs w:val="20"/>
          <w:lang w:val="es-ES"/>
        </w:rPr>
        <w:t>onsulta</w:t>
      </w:r>
      <w:r w:rsidR="00AA339A" w:rsidRPr="00F803D0">
        <w:rPr>
          <w:rFonts w:asciiTheme="majorHAnsi" w:hAnsiTheme="majorHAnsi"/>
          <w:sz w:val="20"/>
          <w:szCs w:val="20"/>
          <w:lang w:val="es-ES"/>
        </w:rPr>
        <w:t>.</w:t>
      </w:r>
      <w:r w:rsidR="0059255D" w:rsidRPr="00F803D0">
        <w:rPr>
          <w:rFonts w:asciiTheme="majorHAnsi" w:hAnsiTheme="majorHAnsi"/>
          <w:sz w:val="20"/>
          <w:szCs w:val="20"/>
          <w:lang w:val="es-ES"/>
        </w:rPr>
        <w:t xml:space="preserve"> </w:t>
      </w:r>
      <w:r w:rsidR="00AA339A" w:rsidRPr="00F803D0">
        <w:rPr>
          <w:rFonts w:asciiTheme="majorHAnsi" w:hAnsiTheme="majorHAnsi"/>
          <w:sz w:val="20"/>
          <w:szCs w:val="20"/>
          <w:lang w:val="es-ES"/>
        </w:rPr>
        <w:t xml:space="preserve">Ello tampoco habría sucedido respecto a </w:t>
      </w:r>
      <w:r w:rsidR="0003299A" w:rsidRPr="00F803D0">
        <w:rPr>
          <w:rStyle w:val="Hyperlink"/>
          <w:rFonts w:asciiTheme="majorHAnsi" w:hAnsiTheme="majorHAnsi"/>
          <w:color w:val="auto"/>
          <w:sz w:val="20"/>
          <w:szCs w:val="20"/>
          <w:u w:val="none"/>
          <w:lang w:val="es-ES"/>
        </w:rPr>
        <w:t xml:space="preserve">una serie de decretos relacionados con la privatización de </w:t>
      </w:r>
      <w:r w:rsidR="0059255D" w:rsidRPr="00F803D0">
        <w:rPr>
          <w:rStyle w:val="Hyperlink"/>
          <w:rFonts w:asciiTheme="majorHAnsi" w:hAnsiTheme="majorHAnsi"/>
          <w:color w:val="auto"/>
          <w:sz w:val="20"/>
          <w:szCs w:val="20"/>
          <w:u w:val="none"/>
          <w:lang w:val="es-ES"/>
        </w:rPr>
        <w:t>más</w:t>
      </w:r>
      <w:r w:rsidR="0003299A" w:rsidRPr="00F803D0">
        <w:rPr>
          <w:rStyle w:val="Hyperlink"/>
          <w:rFonts w:asciiTheme="majorHAnsi" w:hAnsiTheme="majorHAnsi"/>
          <w:color w:val="auto"/>
          <w:sz w:val="20"/>
          <w:szCs w:val="20"/>
          <w:u w:val="none"/>
          <w:lang w:val="es-ES"/>
        </w:rPr>
        <w:t xml:space="preserve"> de medio ce</w:t>
      </w:r>
      <w:r w:rsidR="0059255D" w:rsidRPr="00F803D0">
        <w:rPr>
          <w:rStyle w:val="Hyperlink"/>
          <w:rFonts w:asciiTheme="majorHAnsi" w:hAnsiTheme="majorHAnsi"/>
          <w:color w:val="auto"/>
          <w:sz w:val="20"/>
          <w:szCs w:val="20"/>
          <w:u w:val="none"/>
          <w:lang w:val="es-ES"/>
        </w:rPr>
        <w:t>ntenar de cuencas hidrográficas</w:t>
      </w:r>
      <w:r w:rsidR="00AA339A" w:rsidRPr="00F803D0">
        <w:rPr>
          <w:rStyle w:val="Hyperlink"/>
          <w:rFonts w:asciiTheme="majorHAnsi" w:hAnsiTheme="majorHAnsi"/>
          <w:color w:val="auto"/>
          <w:sz w:val="20"/>
          <w:szCs w:val="20"/>
          <w:u w:val="none"/>
          <w:lang w:val="es-ES"/>
        </w:rPr>
        <w:t>, todo</w:t>
      </w:r>
      <w:r w:rsidR="0059255D" w:rsidRPr="00F803D0">
        <w:rPr>
          <w:rStyle w:val="Hyperlink"/>
          <w:rFonts w:asciiTheme="majorHAnsi" w:hAnsiTheme="majorHAnsi"/>
          <w:color w:val="auto"/>
          <w:sz w:val="20"/>
          <w:szCs w:val="20"/>
          <w:u w:val="none"/>
          <w:lang w:val="es-ES"/>
        </w:rPr>
        <w:t xml:space="preserve"> lo cual considera v</w:t>
      </w:r>
      <w:r w:rsidR="0003299A" w:rsidRPr="00F803D0">
        <w:rPr>
          <w:rFonts w:asciiTheme="majorHAnsi" w:eastAsia="NotDefSpecial" w:hAnsiTheme="majorHAnsi" w:cs="NotDefSpecial"/>
          <w:sz w:val="20"/>
          <w:szCs w:val="20"/>
          <w:lang w:val="es-ES"/>
        </w:rPr>
        <w:t>iol</w:t>
      </w:r>
      <w:r w:rsidR="00AA339A" w:rsidRPr="00F803D0">
        <w:rPr>
          <w:rFonts w:asciiTheme="majorHAnsi" w:eastAsia="NotDefSpecial" w:hAnsiTheme="majorHAnsi" w:cs="NotDefSpecial"/>
          <w:sz w:val="20"/>
          <w:szCs w:val="20"/>
          <w:lang w:val="es-ES"/>
        </w:rPr>
        <w:t>atorio d</w:t>
      </w:r>
      <w:r w:rsidR="0003299A" w:rsidRPr="00F803D0">
        <w:rPr>
          <w:rFonts w:asciiTheme="majorHAnsi" w:eastAsia="NotDefSpecial" w:hAnsiTheme="majorHAnsi" w:cs="NotDefSpecial"/>
          <w:sz w:val="20"/>
          <w:szCs w:val="20"/>
          <w:lang w:val="es-ES"/>
        </w:rPr>
        <w:t>el derecho a la consulta.</w:t>
      </w:r>
      <w:r w:rsidR="0059255D" w:rsidRPr="00F803D0">
        <w:rPr>
          <w:rFonts w:asciiTheme="majorHAnsi" w:hAnsiTheme="majorHAnsi" w:cs="Helvetica"/>
          <w:sz w:val="20"/>
          <w:szCs w:val="20"/>
          <w:lang w:val="es-ES"/>
        </w:rPr>
        <w:t xml:space="preserve"> </w:t>
      </w:r>
      <w:r w:rsidR="00E95C15" w:rsidRPr="00F803D0">
        <w:rPr>
          <w:rFonts w:asciiTheme="majorHAnsi" w:hAnsiTheme="majorHAnsi" w:cs="Helvetica"/>
          <w:sz w:val="20"/>
          <w:szCs w:val="20"/>
          <w:lang w:val="es-ES"/>
        </w:rPr>
        <w:t>A</w:t>
      </w:r>
      <w:r w:rsidR="00AA339A" w:rsidRPr="00F803D0">
        <w:rPr>
          <w:rFonts w:asciiTheme="majorHAnsi" w:hAnsiTheme="majorHAnsi" w:cs="Helvetica"/>
          <w:sz w:val="20"/>
          <w:szCs w:val="20"/>
          <w:lang w:val="es-ES"/>
        </w:rPr>
        <w:t>lega</w:t>
      </w:r>
      <w:r w:rsidR="00E95C15" w:rsidRPr="00F803D0">
        <w:rPr>
          <w:rFonts w:asciiTheme="majorHAnsi" w:hAnsiTheme="majorHAnsi" w:cs="Helvetica"/>
          <w:sz w:val="20"/>
          <w:szCs w:val="20"/>
          <w:lang w:val="es-ES"/>
        </w:rPr>
        <w:t xml:space="preserve"> que e</w:t>
      </w:r>
      <w:r w:rsidR="00E95C15" w:rsidRPr="00F803D0">
        <w:rPr>
          <w:rFonts w:asciiTheme="majorHAnsi" w:hAnsiTheme="majorHAnsi" w:cs="Helvetica"/>
          <w:color w:val="auto"/>
          <w:sz w:val="20"/>
          <w:szCs w:val="20"/>
          <w:lang w:val="es-ES"/>
        </w:rPr>
        <w:t xml:space="preserve">l territorio del pueblo garífuna se encuentra amenazado por </w:t>
      </w:r>
      <w:r w:rsidR="00AA339A" w:rsidRPr="00F803D0">
        <w:rPr>
          <w:rFonts w:asciiTheme="majorHAnsi" w:hAnsiTheme="majorHAnsi" w:cs="Helvetica"/>
          <w:color w:val="auto"/>
          <w:sz w:val="20"/>
          <w:szCs w:val="20"/>
          <w:lang w:val="es-ES"/>
        </w:rPr>
        <w:t>dichas</w:t>
      </w:r>
      <w:r w:rsidR="00E95C15" w:rsidRPr="00F803D0">
        <w:rPr>
          <w:rFonts w:asciiTheme="majorHAnsi" w:hAnsiTheme="majorHAnsi" w:cs="Helvetica"/>
          <w:color w:val="auto"/>
          <w:sz w:val="20"/>
          <w:szCs w:val="20"/>
          <w:lang w:val="es-ES"/>
        </w:rPr>
        <w:t xml:space="preserve"> leyes, sustentadas en la Ley de Propiedad, como base para la entrega de su territorio a proyectos de capital extranjero, destinados a crear las denominadas ciudades modelo. </w:t>
      </w:r>
    </w:p>
    <w:p w14:paraId="3D89F484" w14:textId="77777777" w:rsidR="00E437D3" w:rsidRPr="00F803D0" w:rsidRDefault="00E437D3" w:rsidP="00E437D3">
      <w:pPr>
        <w:rPr>
          <w:rFonts w:asciiTheme="majorHAnsi" w:eastAsia="NotDefSpecial" w:hAnsiTheme="majorHAnsi" w:cs="NotDefSpecial"/>
          <w:sz w:val="20"/>
          <w:szCs w:val="20"/>
          <w:lang w:val="es-ES"/>
        </w:rPr>
      </w:pPr>
    </w:p>
    <w:p w14:paraId="7D940659" w14:textId="7E5BAE39" w:rsidR="00D20598" w:rsidRPr="00F803D0" w:rsidRDefault="005242EF" w:rsidP="00E43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jc w:val="both"/>
        <w:rPr>
          <w:rFonts w:asciiTheme="majorHAnsi" w:hAnsiTheme="majorHAnsi"/>
          <w:sz w:val="20"/>
          <w:szCs w:val="20"/>
          <w:lang w:val="es-ES"/>
        </w:rPr>
      </w:pPr>
      <w:r w:rsidRPr="00F803D0">
        <w:rPr>
          <w:rFonts w:asciiTheme="majorHAnsi" w:hAnsiTheme="majorHAnsi"/>
          <w:color w:val="auto"/>
          <w:sz w:val="20"/>
          <w:szCs w:val="20"/>
          <w:lang w:val="es-ES"/>
        </w:rPr>
        <w:t>E</w:t>
      </w:r>
      <w:r w:rsidR="00C425F0" w:rsidRPr="00F803D0">
        <w:rPr>
          <w:rFonts w:asciiTheme="majorHAnsi" w:hAnsiTheme="majorHAnsi"/>
          <w:color w:val="auto"/>
          <w:sz w:val="20"/>
          <w:szCs w:val="20"/>
          <w:lang w:val="es-ES"/>
        </w:rPr>
        <w:t>l Estado</w:t>
      </w:r>
      <w:r w:rsidR="00AA339A" w:rsidRPr="00F803D0">
        <w:rPr>
          <w:rFonts w:asciiTheme="majorHAnsi" w:hAnsiTheme="majorHAnsi"/>
          <w:color w:val="auto"/>
          <w:sz w:val="20"/>
          <w:szCs w:val="20"/>
          <w:lang w:val="es-ES"/>
        </w:rPr>
        <w:t>,</w:t>
      </w:r>
      <w:r w:rsidR="00C425F0" w:rsidRPr="00F803D0">
        <w:rPr>
          <w:rFonts w:asciiTheme="majorHAnsi" w:hAnsiTheme="majorHAnsi"/>
          <w:color w:val="auto"/>
          <w:sz w:val="20"/>
          <w:szCs w:val="20"/>
          <w:lang w:val="es-ES"/>
        </w:rPr>
        <w:t xml:space="preserve"> </w:t>
      </w:r>
      <w:r w:rsidRPr="00F803D0">
        <w:rPr>
          <w:rFonts w:asciiTheme="majorHAnsi" w:hAnsiTheme="majorHAnsi"/>
          <w:color w:val="auto"/>
          <w:sz w:val="20"/>
          <w:szCs w:val="20"/>
          <w:lang w:val="es-ES"/>
        </w:rPr>
        <w:t>por su parte</w:t>
      </w:r>
      <w:r w:rsidR="00AA339A" w:rsidRPr="00F803D0">
        <w:rPr>
          <w:rFonts w:asciiTheme="majorHAnsi" w:hAnsiTheme="majorHAnsi"/>
          <w:color w:val="auto"/>
          <w:sz w:val="20"/>
          <w:szCs w:val="20"/>
          <w:lang w:val="es-ES"/>
        </w:rPr>
        <w:t>,</w:t>
      </w:r>
      <w:r w:rsidRPr="00F803D0">
        <w:rPr>
          <w:rFonts w:asciiTheme="majorHAnsi" w:hAnsiTheme="majorHAnsi"/>
          <w:color w:val="auto"/>
          <w:sz w:val="20"/>
          <w:szCs w:val="20"/>
          <w:lang w:val="es-ES"/>
        </w:rPr>
        <w:t xml:space="preserve"> </w:t>
      </w:r>
      <w:r w:rsidR="003B31AD" w:rsidRPr="00F803D0">
        <w:rPr>
          <w:rFonts w:asciiTheme="majorHAnsi" w:hAnsiTheme="majorHAnsi"/>
          <w:color w:val="auto"/>
          <w:sz w:val="20"/>
          <w:szCs w:val="20"/>
          <w:lang w:val="es-ES"/>
        </w:rPr>
        <w:t>argumenta</w:t>
      </w:r>
      <w:r w:rsidR="00A25681" w:rsidRPr="00F803D0">
        <w:rPr>
          <w:rFonts w:asciiTheme="majorHAnsi" w:hAnsiTheme="majorHAnsi"/>
          <w:color w:val="auto"/>
          <w:sz w:val="20"/>
          <w:szCs w:val="20"/>
          <w:lang w:val="es-ES"/>
        </w:rPr>
        <w:t xml:space="preserve"> </w:t>
      </w:r>
      <w:r w:rsidR="007908AC" w:rsidRPr="00F803D0">
        <w:rPr>
          <w:rFonts w:asciiTheme="majorHAnsi" w:hAnsiTheme="majorHAnsi"/>
          <w:color w:val="auto"/>
          <w:sz w:val="20"/>
          <w:szCs w:val="20"/>
          <w:lang w:val="es-ES"/>
        </w:rPr>
        <w:t xml:space="preserve">la presentación extemporánea de la petición </w:t>
      </w:r>
      <w:r w:rsidR="00AA339A" w:rsidRPr="00F803D0">
        <w:rPr>
          <w:rFonts w:asciiTheme="majorHAnsi" w:hAnsiTheme="majorHAnsi"/>
          <w:color w:val="auto"/>
          <w:sz w:val="20"/>
          <w:szCs w:val="20"/>
          <w:lang w:val="es-ES"/>
        </w:rPr>
        <w:t>ya que</w:t>
      </w:r>
      <w:r w:rsidR="007908AC" w:rsidRPr="00F803D0">
        <w:rPr>
          <w:rFonts w:asciiTheme="majorHAnsi" w:hAnsiTheme="majorHAnsi"/>
          <w:color w:val="auto"/>
          <w:sz w:val="20"/>
          <w:szCs w:val="20"/>
          <w:lang w:val="es-ES"/>
        </w:rPr>
        <w:t xml:space="preserve"> la sentencia de la Sala Constitucional de la Corte Suprema de Justicia de 8 de febrero de 2011 fue notificada a los peticionarios el 3 de marzo de 2011 y la petición fue presentada el 6 de octubre del mismo año. </w:t>
      </w:r>
      <w:r w:rsidR="00AA339A" w:rsidRPr="00F803D0">
        <w:rPr>
          <w:rFonts w:asciiTheme="majorHAnsi" w:hAnsiTheme="majorHAnsi"/>
          <w:color w:val="auto"/>
          <w:sz w:val="20"/>
          <w:szCs w:val="20"/>
          <w:lang w:val="es-ES"/>
        </w:rPr>
        <w:t>Afirma igualmente</w:t>
      </w:r>
      <w:r w:rsidR="007908AC" w:rsidRPr="00F803D0">
        <w:rPr>
          <w:rFonts w:asciiTheme="majorHAnsi" w:hAnsiTheme="majorHAnsi"/>
          <w:color w:val="auto"/>
          <w:sz w:val="20"/>
          <w:szCs w:val="20"/>
          <w:lang w:val="es-ES"/>
        </w:rPr>
        <w:t xml:space="preserve"> alega </w:t>
      </w:r>
      <w:r w:rsidR="00E8555B" w:rsidRPr="00F803D0">
        <w:rPr>
          <w:rFonts w:asciiTheme="majorHAnsi" w:hAnsiTheme="majorHAnsi"/>
          <w:color w:val="auto"/>
          <w:sz w:val="20"/>
          <w:szCs w:val="20"/>
          <w:lang w:val="es-ES"/>
        </w:rPr>
        <w:t xml:space="preserve">que </w:t>
      </w:r>
      <w:r w:rsidR="005A0A58" w:rsidRPr="00F803D0">
        <w:rPr>
          <w:rFonts w:asciiTheme="majorHAnsi" w:hAnsiTheme="majorHAnsi"/>
          <w:sz w:val="20"/>
          <w:szCs w:val="20"/>
          <w:lang w:val="es-ES"/>
        </w:rPr>
        <w:t xml:space="preserve">se </w:t>
      </w:r>
      <w:r w:rsidR="001D7FA0" w:rsidRPr="00F803D0">
        <w:rPr>
          <w:rFonts w:asciiTheme="majorHAnsi" w:hAnsiTheme="majorHAnsi"/>
          <w:sz w:val="20"/>
          <w:szCs w:val="20"/>
          <w:lang w:val="es-ES"/>
        </w:rPr>
        <w:t xml:space="preserve">encuentra </w:t>
      </w:r>
      <w:r w:rsidR="005A0A58" w:rsidRPr="00F803D0">
        <w:rPr>
          <w:rFonts w:asciiTheme="majorHAnsi" w:hAnsiTheme="majorHAnsi"/>
          <w:sz w:val="20"/>
          <w:szCs w:val="20"/>
          <w:lang w:val="es-ES"/>
        </w:rPr>
        <w:t xml:space="preserve">en indefensión </w:t>
      </w:r>
      <w:r w:rsidR="00AA339A" w:rsidRPr="00F803D0">
        <w:rPr>
          <w:rFonts w:asciiTheme="majorHAnsi" w:hAnsiTheme="majorHAnsi"/>
          <w:sz w:val="20"/>
          <w:szCs w:val="20"/>
          <w:lang w:val="es-ES"/>
        </w:rPr>
        <w:t xml:space="preserve">porque la parte </w:t>
      </w:r>
      <w:r w:rsidR="005A0A58" w:rsidRPr="00F803D0">
        <w:rPr>
          <w:rFonts w:asciiTheme="majorHAnsi" w:hAnsiTheme="majorHAnsi"/>
          <w:sz w:val="20"/>
          <w:szCs w:val="20"/>
          <w:lang w:val="es-ES"/>
        </w:rPr>
        <w:t>peticionari</w:t>
      </w:r>
      <w:r w:rsidR="00AA339A" w:rsidRPr="00F803D0">
        <w:rPr>
          <w:rFonts w:asciiTheme="majorHAnsi" w:hAnsiTheme="majorHAnsi"/>
          <w:sz w:val="20"/>
          <w:szCs w:val="20"/>
          <w:lang w:val="es-ES"/>
        </w:rPr>
        <w:t>a</w:t>
      </w:r>
      <w:r w:rsidR="005A0A58" w:rsidRPr="00F803D0">
        <w:rPr>
          <w:rFonts w:asciiTheme="majorHAnsi" w:hAnsiTheme="majorHAnsi"/>
          <w:sz w:val="20"/>
          <w:szCs w:val="20"/>
          <w:lang w:val="es-ES"/>
        </w:rPr>
        <w:t xml:space="preserve"> pretende utilizar el sistema interamericano para que conozca del derecho interno sin haber agotado los recursos adecuados</w:t>
      </w:r>
      <w:r w:rsidR="008928D9" w:rsidRPr="00F803D0">
        <w:rPr>
          <w:rFonts w:asciiTheme="majorHAnsi" w:hAnsiTheme="majorHAnsi"/>
          <w:sz w:val="20"/>
          <w:szCs w:val="20"/>
          <w:lang w:val="es-ES"/>
        </w:rPr>
        <w:t xml:space="preserve">. </w:t>
      </w:r>
      <w:r w:rsidR="00AA339A" w:rsidRPr="00F803D0">
        <w:rPr>
          <w:rFonts w:asciiTheme="majorHAnsi" w:hAnsiTheme="majorHAnsi"/>
          <w:sz w:val="20"/>
          <w:szCs w:val="20"/>
          <w:lang w:val="es-ES"/>
        </w:rPr>
        <w:t xml:space="preserve">En tal sentido, </w:t>
      </w:r>
      <w:r w:rsidR="00D00FF1" w:rsidRPr="00F803D0">
        <w:rPr>
          <w:rFonts w:asciiTheme="majorHAnsi" w:hAnsiTheme="majorHAnsi"/>
          <w:sz w:val="20"/>
          <w:szCs w:val="20"/>
          <w:lang w:val="es-ES"/>
        </w:rPr>
        <w:t>e</w:t>
      </w:r>
      <w:r w:rsidR="0041701D" w:rsidRPr="00F803D0">
        <w:rPr>
          <w:rFonts w:asciiTheme="majorHAnsi" w:hAnsiTheme="majorHAnsi"/>
          <w:sz w:val="20"/>
          <w:szCs w:val="20"/>
          <w:lang w:val="es-ES"/>
        </w:rPr>
        <w:t xml:space="preserve">l Estado argumenta que </w:t>
      </w:r>
      <w:r w:rsidR="00AA339A" w:rsidRPr="00F803D0">
        <w:rPr>
          <w:rFonts w:asciiTheme="majorHAnsi" w:hAnsiTheme="majorHAnsi"/>
          <w:sz w:val="20"/>
          <w:szCs w:val="20"/>
          <w:lang w:val="es-ES"/>
        </w:rPr>
        <w:t>OFRANEH</w:t>
      </w:r>
      <w:r w:rsidR="00E8555B" w:rsidRPr="00F803D0">
        <w:rPr>
          <w:rFonts w:asciiTheme="majorHAnsi" w:hAnsiTheme="majorHAnsi"/>
          <w:color w:val="auto"/>
          <w:sz w:val="20"/>
          <w:szCs w:val="20"/>
          <w:lang w:val="es-ES"/>
        </w:rPr>
        <w:t xml:space="preserve"> interpus</w:t>
      </w:r>
      <w:r w:rsidR="00AA339A" w:rsidRPr="00F803D0">
        <w:rPr>
          <w:rFonts w:asciiTheme="majorHAnsi" w:hAnsiTheme="majorHAnsi"/>
          <w:color w:val="auto"/>
          <w:sz w:val="20"/>
          <w:szCs w:val="20"/>
          <w:lang w:val="es-ES"/>
        </w:rPr>
        <w:t>o</w:t>
      </w:r>
      <w:r w:rsidR="00E8555B" w:rsidRPr="00F803D0">
        <w:rPr>
          <w:rFonts w:asciiTheme="majorHAnsi" w:hAnsiTheme="majorHAnsi"/>
          <w:color w:val="auto"/>
          <w:sz w:val="20"/>
          <w:szCs w:val="20"/>
          <w:lang w:val="es-ES"/>
        </w:rPr>
        <w:t xml:space="preserve"> el recurso de inconstitucionalidad </w:t>
      </w:r>
      <w:r w:rsidR="00AA339A" w:rsidRPr="00F803D0">
        <w:rPr>
          <w:rFonts w:asciiTheme="majorHAnsi" w:hAnsiTheme="majorHAnsi"/>
          <w:color w:val="auto"/>
          <w:sz w:val="20"/>
          <w:szCs w:val="20"/>
          <w:lang w:val="es-ES"/>
        </w:rPr>
        <w:t>con relación a</w:t>
      </w:r>
      <w:r w:rsidR="00E8555B" w:rsidRPr="00F803D0">
        <w:rPr>
          <w:rFonts w:asciiTheme="majorHAnsi" w:hAnsiTheme="majorHAnsi"/>
          <w:color w:val="auto"/>
          <w:sz w:val="20"/>
          <w:szCs w:val="20"/>
          <w:lang w:val="es-ES"/>
        </w:rPr>
        <w:t xml:space="preserve"> </w:t>
      </w:r>
      <w:r w:rsidR="007B64BA" w:rsidRPr="00F803D0">
        <w:rPr>
          <w:rFonts w:asciiTheme="majorHAnsi" w:hAnsiTheme="majorHAnsi"/>
          <w:color w:val="auto"/>
          <w:sz w:val="20"/>
          <w:szCs w:val="20"/>
          <w:lang w:val="es-ES"/>
        </w:rPr>
        <w:t xml:space="preserve">distintos </w:t>
      </w:r>
      <w:r w:rsidR="00E8555B" w:rsidRPr="00F803D0">
        <w:rPr>
          <w:rFonts w:asciiTheme="majorHAnsi" w:hAnsiTheme="majorHAnsi"/>
          <w:color w:val="auto"/>
          <w:sz w:val="20"/>
          <w:szCs w:val="20"/>
          <w:lang w:val="es-ES"/>
        </w:rPr>
        <w:t>artículos de la Ley del Instituto de la Propiedad</w:t>
      </w:r>
      <w:r w:rsidR="00D00FF1" w:rsidRPr="00F803D0">
        <w:rPr>
          <w:rFonts w:asciiTheme="majorHAnsi" w:hAnsiTheme="majorHAnsi"/>
          <w:color w:val="auto"/>
          <w:sz w:val="20"/>
          <w:szCs w:val="20"/>
          <w:lang w:val="es-ES"/>
        </w:rPr>
        <w:t xml:space="preserve"> y el artículo 83 de</w:t>
      </w:r>
      <w:r w:rsidR="00AA339A" w:rsidRPr="00F803D0">
        <w:rPr>
          <w:rFonts w:asciiTheme="majorHAnsi" w:hAnsiTheme="majorHAnsi"/>
          <w:color w:val="auto"/>
          <w:sz w:val="20"/>
          <w:szCs w:val="20"/>
          <w:lang w:val="es-ES"/>
        </w:rPr>
        <w:t xml:space="preserve"> su</w:t>
      </w:r>
      <w:r w:rsidR="00D00FF1" w:rsidRPr="00F803D0">
        <w:rPr>
          <w:rFonts w:asciiTheme="majorHAnsi" w:hAnsiTheme="majorHAnsi"/>
          <w:color w:val="auto"/>
          <w:sz w:val="20"/>
          <w:szCs w:val="20"/>
          <w:lang w:val="es-ES"/>
        </w:rPr>
        <w:t xml:space="preserve"> Reglamento</w:t>
      </w:r>
      <w:r w:rsidR="00E8555B" w:rsidRPr="00F803D0">
        <w:rPr>
          <w:rFonts w:asciiTheme="majorHAnsi" w:hAnsiTheme="majorHAnsi"/>
          <w:color w:val="auto"/>
          <w:sz w:val="20"/>
          <w:szCs w:val="20"/>
          <w:lang w:val="es-ES"/>
        </w:rPr>
        <w:t xml:space="preserve">, </w:t>
      </w:r>
      <w:r w:rsidR="00AA339A" w:rsidRPr="00F803D0">
        <w:rPr>
          <w:rFonts w:asciiTheme="majorHAnsi" w:hAnsiTheme="majorHAnsi"/>
          <w:color w:val="auto"/>
          <w:sz w:val="20"/>
          <w:szCs w:val="20"/>
          <w:lang w:val="es-ES"/>
        </w:rPr>
        <w:t>pero que</w:t>
      </w:r>
      <w:r w:rsidR="00E8555B" w:rsidRPr="00F803D0">
        <w:rPr>
          <w:rFonts w:asciiTheme="majorHAnsi" w:hAnsiTheme="majorHAnsi"/>
          <w:color w:val="auto"/>
          <w:sz w:val="20"/>
          <w:szCs w:val="20"/>
          <w:lang w:val="es-ES"/>
        </w:rPr>
        <w:t xml:space="preserve"> plante</w:t>
      </w:r>
      <w:r w:rsidR="00AA339A" w:rsidRPr="00F803D0">
        <w:rPr>
          <w:rFonts w:asciiTheme="majorHAnsi" w:hAnsiTheme="majorHAnsi"/>
          <w:color w:val="auto"/>
          <w:sz w:val="20"/>
          <w:szCs w:val="20"/>
          <w:lang w:val="es-ES"/>
        </w:rPr>
        <w:t>ó</w:t>
      </w:r>
      <w:r w:rsidR="00E8555B" w:rsidRPr="00F803D0">
        <w:rPr>
          <w:rFonts w:asciiTheme="majorHAnsi" w:hAnsiTheme="majorHAnsi"/>
          <w:color w:val="auto"/>
          <w:sz w:val="20"/>
          <w:szCs w:val="20"/>
          <w:lang w:val="es-ES"/>
        </w:rPr>
        <w:t xml:space="preserve"> la vulneración de artículos adicionales no inc</w:t>
      </w:r>
      <w:r w:rsidR="00B9487E" w:rsidRPr="00F803D0">
        <w:rPr>
          <w:rFonts w:asciiTheme="majorHAnsi" w:hAnsiTheme="majorHAnsi"/>
          <w:color w:val="auto"/>
          <w:sz w:val="20"/>
          <w:szCs w:val="20"/>
          <w:lang w:val="es-ES"/>
        </w:rPr>
        <w:t>l</w:t>
      </w:r>
      <w:r w:rsidR="005A0A58" w:rsidRPr="00F803D0">
        <w:rPr>
          <w:rFonts w:asciiTheme="majorHAnsi" w:hAnsiTheme="majorHAnsi"/>
          <w:color w:val="auto"/>
          <w:sz w:val="20"/>
          <w:szCs w:val="20"/>
          <w:lang w:val="es-ES"/>
        </w:rPr>
        <w:t>uidos en el recurso mencionado</w:t>
      </w:r>
      <w:r w:rsidR="005D01B2" w:rsidRPr="00F803D0">
        <w:rPr>
          <w:rFonts w:asciiTheme="majorHAnsi" w:hAnsiTheme="majorHAnsi"/>
          <w:color w:val="auto"/>
          <w:sz w:val="20"/>
          <w:szCs w:val="20"/>
          <w:lang w:val="es-ES"/>
        </w:rPr>
        <w:t>. El Estado s</w:t>
      </w:r>
      <w:r w:rsidR="00D20598" w:rsidRPr="00F803D0">
        <w:rPr>
          <w:rFonts w:asciiTheme="majorHAnsi" w:hAnsiTheme="majorHAnsi"/>
          <w:color w:val="auto"/>
          <w:sz w:val="20"/>
          <w:szCs w:val="20"/>
          <w:lang w:val="es-ES"/>
        </w:rPr>
        <w:t xml:space="preserve">eñala que </w:t>
      </w:r>
      <w:r w:rsidR="00AA339A" w:rsidRPr="00F803D0">
        <w:rPr>
          <w:rFonts w:asciiTheme="majorHAnsi" w:hAnsiTheme="majorHAnsi"/>
          <w:color w:val="auto"/>
          <w:sz w:val="20"/>
          <w:szCs w:val="20"/>
          <w:lang w:val="es-ES"/>
        </w:rPr>
        <w:t>la parte</w:t>
      </w:r>
      <w:r w:rsidR="00D20598" w:rsidRPr="00F803D0">
        <w:rPr>
          <w:rFonts w:asciiTheme="majorHAnsi" w:hAnsiTheme="majorHAnsi"/>
          <w:color w:val="auto"/>
          <w:sz w:val="20"/>
          <w:szCs w:val="20"/>
          <w:lang w:val="es-ES"/>
        </w:rPr>
        <w:t xml:space="preserve"> peticionari</w:t>
      </w:r>
      <w:r w:rsidR="00AA339A" w:rsidRPr="00F803D0">
        <w:rPr>
          <w:rFonts w:asciiTheme="majorHAnsi" w:hAnsiTheme="majorHAnsi"/>
          <w:color w:val="auto"/>
          <w:sz w:val="20"/>
          <w:szCs w:val="20"/>
          <w:lang w:val="es-ES"/>
        </w:rPr>
        <w:t>a</w:t>
      </w:r>
      <w:r w:rsidR="00D20598" w:rsidRPr="00F803D0">
        <w:rPr>
          <w:rFonts w:asciiTheme="majorHAnsi" w:hAnsiTheme="majorHAnsi"/>
          <w:color w:val="auto"/>
          <w:sz w:val="20"/>
          <w:szCs w:val="20"/>
          <w:lang w:val="es-ES"/>
        </w:rPr>
        <w:t xml:space="preserve"> se limita</w:t>
      </w:r>
      <w:r w:rsidR="00802992" w:rsidRPr="00F803D0">
        <w:rPr>
          <w:rFonts w:asciiTheme="majorHAnsi" w:hAnsiTheme="majorHAnsi"/>
          <w:color w:val="auto"/>
          <w:sz w:val="20"/>
          <w:szCs w:val="20"/>
          <w:lang w:val="es-ES"/>
        </w:rPr>
        <w:t xml:space="preserve"> </w:t>
      </w:r>
      <w:r w:rsidR="00D20598" w:rsidRPr="00F803D0">
        <w:rPr>
          <w:rFonts w:asciiTheme="majorHAnsi" w:hAnsiTheme="majorHAnsi"/>
          <w:color w:val="auto"/>
          <w:sz w:val="20"/>
          <w:szCs w:val="20"/>
          <w:lang w:val="es-ES"/>
        </w:rPr>
        <w:t xml:space="preserve">a </w:t>
      </w:r>
      <w:r w:rsidR="00802992" w:rsidRPr="00F803D0">
        <w:rPr>
          <w:rFonts w:asciiTheme="majorHAnsi" w:hAnsiTheme="majorHAnsi"/>
          <w:color w:val="auto"/>
          <w:sz w:val="20"/>
          <w:szCs w:val="20"/>
          <w:lang w:val="es-ES"/>
        </w:rPr>
        <w:t xml:space="preserve">informar </w:t>
      </w:r>
      <w:r w:rsidR="00D20598" w:rsidRPr="00F803D0">
        <w:rPr>
          <w:rFonts w:asciiTheme="majorHAnsi" w:hAnsiTheme="majorHAnsi"/>
          <w:color w:val="auto"/>
          <w:sz w:val="20"/>
          <w:szCs w:val="20"/>
          <w:lang w:val="es-ES"/>
        </w:rPr>
        <w:t>que ha interpuesto más de 100 denuncias y demandas</w:t>
      </w:r>
      <w:r w:rsidR="009548BE" w:rsidRPr="00F803D0">
        <w:rPr>
          <w:rFonts w:asciiTheme="majorHAnsi" w:hAnsiTheme="majorHAnsi"/>
          <w:color w:val="auto"/>
          <w:sz w:val="20"/>
          <w:szCs w:val="20"/>
          <w:lang w:val="es-ES"/>
        </w:rPr>
        <w:t xml:space="preserve">, </w:t>
      </w:r>
      <w:r w:rsidR="00802992" w:rsidRPr="00F803D0">
        <w:rPr>
          <w:rFonts w:asciiTheme="majorHAnsi" w:hAnsiTheme="majorHAnsi"/>
          <w:color w:val="auto"/>
          <w:sz w:val="20"/>
          <w:szCs w:val="20"/>
          <w:lang w:val="es-ES"/>
        </w:rPr>
        <w:t xml:space="preserve">sin detallar las personas </w:t>
      </w:r>
      <w:r w:rsidR="00AF444B" w:rsidRPr="00F803D0">
        <w:rPr>
          <w:rFonts w:asciiTheme="majorHAnsi" w:hAnsiTheme="majorHAnsi"/>
          <w:color w:val="auto"/>
          <w:sz w:val="20"/>
          <w:szCs w:val="20"/>
          <w:lang w:val="es-ES"/>
        </w:rPr>
        <w:t>que habrían sido víctimas</w:t>
      </w:r>
      <w:r w:rsidR="00F8570C" w:rsidRPr="00F803D0">
        <w:rPr>
          <w:rFonts w:asciiTheme="majorHAnsi" w:hAnsiTheme="majorHAnsi"/>
          <w:color w:val="auto"/>
          <w:sz w:val="20"/>
          <w:szCs w:val="20"/>
          <w:lang w:val="es-ES"/>
        </w:rPr>
        <w:t>,</w:t>
      </w:r>
      <w:r w:rsidR="00AF444B" w:rsidRPr="00F803D0">
        <w:rPr>
          <w:rFonts w:asciiTheme="majorHAnsi" w:hAnsiTheme="majorHAnsi"/>
          <w:color w:val="auto"/>
          <w:sz w:val="20"/>
          <w:szCs w:val="20"/>
          <w:lang w:val="es-ES"/>
        </w:rPr>
        <w:t xml:space="preserve"> ni </w:t>
      </w:r>
      <w:r w:rsidR="00F8570C" w:rsidRPr="00F803D0">
        <w:rPr>
          <w:rFonts w:asciiTheme="majorHAnsi" w:hAnsiTheme="majorHAnsi"/>
          <w:color w:val="auto"/>
          <w:sz w:val="20"/>
          <w:szCs w:val="20"/>
          <w:lang w:val="es-ES"/>
        </w:rPr>
        <w:t>el motivo correspondiente</w:t>
      </w:r>
      <w:r w:rsidR="00E8555B" w:rsidRPr="00F803D0">
        <w:rPr>
          <w:rFonts w:asciiTheme="majorHAnsi" w:hAnsiTheme="majorHAnsi"/>
          <w:color w:val="auto"/>
          <w:sz w:val="20"/>
          <w:szCs w:val="20"/>
          <w:lang w:val="es-ES"/>
        </w:rPr>
        <w:t>.</w:t>
      </w:r>
      <w:r w:rsidR="0029103C" w:rsidRPr="00F803D0">
        <w:rPr>
          <w:rFonts w:asciiTheme="majorHAnsi" w:hAnsiTheme="majorHAnsi"/>
          <w:color w:val="auto"/>
          <w:sz w:val="20"/>
          <w:szCs w:val="20"/>
          <w:lang w:val="es-ES"/>
        </w:rPr>
        <w:t xml:space="preserve"> </w:t>
      </w:r>
      <w:r w:rsidR="0041701D" w:rsidRPr="00F803D0">
        <w:rPr>
          <w:rFonts w:asciiTheme="majorHAnsi" w:hAnsiTheme="majorHAnsi"/>
          <w:sz w:val="20"/>
          <w:szCs w:val="20"/>
          <w:lang w:val="es-ES"/>
        </w:rPr>
        <w:t>A</w:t>
      </w:r>
      <w:r w:rsidR="00D20598" w:rsidRPr="00F803D0">
        <w:rPr>
          <w:rFonts w:asciiTheme="majorHAnsi" w:hAnsiTheme="majorHAnsi"/>
          <w:sz w:val="20"/>
          <w:szCs w:val="20"/>
          <w:lang w:val="es-ES"/>
        </w:rPr>
        <w:t xml:space="preserve">grega que </w:t>
      </w:r>
      <w:r w:rsidR="00F8570C" w:rsidRPr="00F803D0">
        <w:rPr>
          <w:rFonts w:asciiTheme="majorHAnsi" w:hAnsiTheme="majorHAnsi"/>
          <w:color w:val="auto"/>
          <w:sz w:val="20"/>
          <w:szCs w:val="20"/>
          <w:lang w:val="es-ES"/>
        </w:rPr>
        <w:t>la parte</w:t>
      </w:r>
      <w:r w:rsidR="00D20598" w:rsidRPr="00F803D0">
        <w:rPr>
          <w:rFonts w:asciiTheme="majorHAnsi" w:hAnsiTheme="majorHAnsi"/>
          <w:color w:val="auto"/>
          <w:sz w:val="20"/>
          <w:szCs w:val="20"/>
          <w:lang w:val="es-ES"/>
        </w:rPr>
        <w:t xml:space="preserve"> peticionari</w:t>
      </w:r>
      <w:r w:rsidR="00F8570C" w:rsidRPr="00F803D0">
        <w:rPr>
          <w:rFonts w:asciiTheme="majorHAnsi" w:hAnsiTheme="majorHAnsi"/>
          <w:color w:val="auto"/>
          <w:sz w:val="20"/>
          <w:szCs w:val="20"/>
          <w:lang w:val="es-ES"/>
        </w:rPr>
        <w:t>a</w:t>
      </w:r>
      <w:r w:rsidR="00D20598" w:rsidRPr="00F803D0">
        <w:rPr>
          <w:rFonts w:asciiTheme="majorHAnsi" w:hAnsiTheme="majorHAnsi"/>
          <w:color w:val="auto"/>
          <w:sz w:val="20"/>
          <w:szCs w:val="20"/>
          <w:lang w:val="es-ES"/>
        </w:rPr>
        <w:t xml:space="preserve"> insiste en los supuestos intentos de subastar la franja del territorio que incluía 24 comunidades garífunas, nombrando solo 19 comunidades, </w:t>
      </w:r>
      <w:r w:rsidR="00F8570C" w:rsidRPr="00F803D0">
        <w:rPr>
          <w:rFonts w:asciiTheme="majorHAnsi" w:hAnsiTheme="majorHAnsi"/>
          <w:color w:val="auto"/>
          <w:sz w:val="20"/>
          <w:szCs w:val="20"/>
          <w:lang w:val="es-ES"/>
        </w:rPr>
        <w:t xml:space="preserve">pero que </w:t>
      </w:r>
      <w:r w:rsidR="00D20598" w:rsidRPr="00F803D0">
        <w:rPr>
          <w:rFonts w:asciiTheme="majorHAnsi" w:hAnsiTheme="majorHAnsi"/>
          <w:color w:val="auto"/>
          <w:sz w:val="20"/>
          <w:szCs w:val="20"/>
          <w:lang w:val="es-ES"/>
        </w:rPr>
        <w:t>no indica ni acredita los recursos agotados</w:t>
      </w:r>
      <w:r w:rsidR="00F8570C" w:rsidRPr="00F803D0">
        <w:rPr>
          <w:rFonts w:asciiTheme="majorHAnsi" w:hAnsiTheme="majorHAnsi"/>
          <w:color w:val="auto"/>
          <w:sz w:val="20"/>
          <w:szCs w:val="20"/>
          <w:lang w:val="es-ES"/>
        </w:rPr>
        <w:t>;</w:t>
      </w:r>
      <w:r w:rsidR="00D20598" w:rsidRPr="00F803D0">
        <w:rPr>
          <w:rFonts w:asciiTheme="majorHAnsi" w:hAnsiTheme="majorHAnsi"/>
          <w:color w:val="auto"/>
          <w:sz w:val="20"/>
          <w:szCs w:val="20"/>
          <w:lang w:val="es-ES"/>
        </w:rPr>
        <w:t xml:space="preserve"> </w:t>
      </w:r>
      <w:r w:rsidR="00F8570C" w:rsidRPr="00F803D0">
        <w:rPr>
          <w:rFonts w:asciiTheme="majorHAnsi" w:hAnsiTheme="majorHAnsi"/>
          <w:color w:val="auto"/>
          <w:sz w:val="20"/>
          <w:szCs w:val="20"/>
          <w:lang w:val="es-ES"/>
        </w:rPr>
        <w:t xml:space="preserve">y que </w:t>
      </w:r>
      <w:r w:rsidR="00D00FF1" w:rsidRPr="00F803D0">
        <w:rPr>
          <w:rFonts w:asciiTheme="majorHAnsi" w:hAnsiTheme="majorHAnsi"/>
          <w:color w:val="auto"/>
          <w:sz w:val="20"/>
          <w:szCs w:val="20"/>
          <w:lang w:val="es-ES"/>
        </w:rPr>
        <w:t xml:space="preserve">solo </w:t>
      </w:r>
      <w:r w:rsidR="00AF444B" w:rsidRPr="00F803D0">
        <w:rPr>
          <w:rFonts w:asciiTheme="majorHAnsi" w:hAnsiTheme="majorHAnsi"/>
          <w:color w:val="auto"/>
          <w:sz w:val="20"/>
          <w:szCs w:val="20"/>
          <w:lang w:val="es-ES"/>
        </w:rPr>
        <w:t>hace</w:t>
      </w:r>
      <w:r w:rsidR="00D00FF1" w:rsidRPr="00F803D0">
        <w:rPr>
          <w:rFonts w:asciiTheme="majorHAnsi" w:hAnsiTheme="majorHAnsi"/>
          <w:color w:val="auto"/>
          <w:sz w:val="20"/>
          <w:szCs w:val="20"/>
          <w:lang w:val="es-ES"/>
        </w:rPr>
        <w:t xml:space="preserve"> </w:t>
      </w:r>
      <w:r w:rsidR="00D20598" w:rsidRPr="00F803D0">
        <w:rPr>
          <w:rFonts w:asciiTheme="majorHAnsi" w:hAnsiTheme="majorHAnsi"/>
          <w:color w:val="auto"/>
          <w:sz w:val="20"/>
          <w:szCs w:val="20"/>
          <w:lang w:val="es-ES"/>
        </w:rPr>
        <w:t xml:space="preserve">alusión a unas presuntas vulneraciones sin </w:t>
      </w:r>
      <w:r w:rsidR="00404B71" w:rsidRPr="00F803D0">
        <w:rPr>
          <w:rFonts w:asciiTheme="majorHAnsi" w:hAnsiTheme="majorHAnsi"/>
          <w:color w:val="auto"/>
          <w:sz w:val="20"/>
          <w:szCs w:val="20"/>
          <w:lang w:val="es-ES"/>
        </w:rPr>
        <w:t>describir</w:t>
      </w:r>
      <w:r w:rsidR="00D20598" w:rsidRPr="00F803D0">
        <w:rPr>
          <w:rFonts w:asciiTheme="majorHAnsi" w:hAnsiTheme="majorHAnsi"/>
          <w:color w:val="auto"/>
          <w:sz w:val="20"/>
          <w:szCs w:val="20"/>
          <w:lang w:val="es-ES"/>
        </w:rPr>
        <w:t xml:space="preserve"> </w:t>
      </w:r>
      <w:r w:rsidR="00404B71" w:rsidRPr="00F803D0">
        <w:rPr>
          <w:rFonts w:asciiTheme="majorHAnsi" w:hAnsiTheme="majorHAnsi"/>
          <w:color w:val="auto"/>
          <w:sz w:val="20"/>
          <w:szCs w:val="20"/>
          <w:lang w:val="es-ES"/>
        </w:rPr>
        <w:t xml:space="preserve">un nexo causal entre </w:t>
      </w:r>
      <w:r w:rsidR="00F8570C" w:rsidRPr="00F803D0">
        <w:rPr>
          <w:rFonts w:asciiTheme="majorHAnsi" w:hAnsiTheme="majorHAnsi"/>
          <w:color w:val="auto"/>
          <w:sz w:val="20"/>
          <w:szCs w:val="20"/>
          <w:lang w:val="es-ES"/>
        </w:rPr>
        <w:t xml:space="preserve">las violaciones a los derechos humanos y </w:t>
      </w:r>
      <w:r w:rsidR="002C59F6" w:rsidRPr="00F803D0">
        <w:rPr>
          <w:rFonts w:asciiTheme="majorHAnsi" w:hAnsiTheme="majorHAnsi"/>
          <w:color w:val="auto"/>
          <w:sz w:val="20"/>
          <w:szCs w:val="20"/>
          <w:lang w:val="es-ES"/>
        </w:rPr>
        <w:t>la L</w:t>
      </w:r>
      <w:r w:rsidR="00AF444B" w:rsidRPr="00F803D0">
        <w:rPr>
          <w:rFonts w:asciiTheme="majorHAnsi" w:hAnsiTheme="majorHAnsi"/>
          <w:color w:val="auto"/>
          <w:sz w:val="20"/>
          <w:szCs w:val="20"/>
          <w:lang w:val="es-ES"/>
        </w:rPr>
        <w:t xml:space="preserve">ey de </w:t>
      </w:r>
      <w:r w:rsidR="00B15EA6" w:rsidRPr="00F803D0">
        <w:rPr>
          <w:rFonts w:asciiTheme="majorHAnsi" w:hAnsiTheme="majorHAnsi"/>
          <w:color w:val="auto"/>
          <w:sz w:val="20"/>
          <w:szCs w:val="20"/>
          <w:lang w:val="es-ES"/>
        </w:rPr>
        <w:t>P</w:t>
      </w:r>
      <w:r w:rsidR="00AF444B" w:rsidRPr="00F803D0">
        <w:rPr>
          <w:rFonts w:asciiTheme="majorHAnsi" w:hAnsiTheme="majorHAnsi"/>
          <w:color w:val="auto"/>
          <w:sz w:val="20"/>
          <w:szCs w:val="20"/>
          <w:lang w:val="es-ES"/>
        </w:rPr>
        <w:t>ropiedad</w:t>
      </w:r>
      <w:r w:rsidR="00F8570C" w:rsidRPr="00F803D0">
        <w:rPr>
          <w:rFonts w:asciiTheme="majorHAnsi" w:hAnsiTheme="majorHAnsi"/>
          <w:color w:val="auto"/>
          <w:sz w:val="20"/>
          <w:szCs w:val="20"/>
          <w:lang w:val="es-ES"/>
        </w:rPr>
        <w:t>;</w:t>
      </w:r>
      <w:r w:rsidR="00AF444B" w:rsidRPr="00F803D0">
        <w:rPr>
          <w:rFonts w:asciiTheme="majorHAnsi" w:hAnsiTheme="majorHAnsi"/>
          <w:color w:val="auto"/>
          <w:sz w:val="20"/>
          <w:szCs w:val="20"/>
          <w:lang w:val="es-ES"/>
        </w:rPr>
        <w:t xml:space="preserve"> </w:t>
      </w:r>
      <w:r w:rsidR="00B15EA6" w:rsidRPr="00F803D0">
        <w:rPr>
          <w:rFonts w:asciiTheme="majorHAnsi" w:hAnsiTheme="majorHAnsi"/>
          <w:color w:val="auto"/>
          <w:sz w:val="20"/>
          <w:szCs w:val="20"/>
          <w:lang w:val="es-ES"/>
        </w:rPr>
        <w:t>la L</w:t>
      </w:r>
      <w:r w:rsidR="00404B71" w:rsidRPr="00F803D0">
        <w:rPr>
          <w:rFonts w:asciiTheme="majorHAnsi" w:hAnsiTheme="majorHAnsi"/>
          <w:color w:val="auto"/>
          <w:sz w:val="20"/>
          <w:szCs w:val="20"/>
          <w:lang w:val="es-ES"/>
        </w:rPr>
        <w:t>ey</w:t>
      </w:r>
      <w:r w:rsidR="00D20598" w:rsidRPr="00F803D0">
        <w:rPr>
          <w:rFonts w:asciiTheme="majorHAnsi" w:hAnsiTheme="majorHAnsi"/>
          <w:color w:val="auto"/>
          <w:sz w:val="20"/>
          <w:szCs w:val="20"/>
          <w:lang w:val="es-ES"/>
        </w:rPr>
        <w:t xml:space="preserve"> RED</w:t>
      </w:r>
      <w:r w:rsidR="00F8570C" w:rsidRPr="00F803D0">
        <w:rPr>
          <w:rFonts w:asciiTheme="majorHAnsi" w:hAnsiTheme="majorHAnsi"/>
          <w:color w:val="auto"/>
          <w:sz w:val="20"/>
          <w:szCs w:val="20"/>
          <w:lang w:val="es-ES"/>
        </w:rPr>
        <w:t xml:space="preserve"> que</w:t>
      </w:r>
      <w:r w:rsidR="00D20598" w:rsidRPr="00F803D0">
        <w:rPr>
          <w:rFonts w:asciiTheme="majorHAnsi" w:hAnsiTheme="majorHAnsi"/>
          <w:color w:val="auto"/>
          <w:sz w:val="20"/>
          <w:szCs w:val="20"/>
          <w:lang w:val="es-ES"/>
        </w:rPr>
        <w:t xml:space="preserve"> fue de</w:t>
      </w:r>
      <w:r w:rsidR="00B15EA6" w:rsidRPr="00F803D0">
        <w:rPr>
          <w:rFonts w:asciiTheme="majorHAnsi" w:hAnsiTheme="majorHAnsi"/>
          <w:color w:val="auto"/>
          <w:sz w:val="20"/>
          <w:szCs w:val="20"/>
          <w:lang w:val="es-ES"/>
        </w:rPr>
        <w:t>clarada inconstitucional</w:t>
      </w:r>
      <w:r w:rsidR="00F8570C" w:rsidRPr="00F803D0">
        <w:rPr>
          <w:rFonts w:asciiTheme="majorHAnsi" w:hAnsiTheme="majorHAnsi"/>
          <w:color w:val="auto"/>
          <w:sz w:val="20"/>
          <w:szCs w:val="20"/>
          <w:lang w:val="es-ES"/>
        </w:rPr>
        <w:t>;</w:t>
      </w:r>
      <w:r w:rsidR="00B15EA6" w:rsidRPr="00F803D0">
        <w:rPr>
          <w:rFonts w:asciiTheme="majorHAnsi" w:hAnsiTheme="majorHAnsi"/>
          <w:color w:val="auto"/>
          <w:sz w:val="20"/>
          <w:szCs w:val="20"/>
          <w:lang w:val="es-ES"/>
        </w:rPr>
        <w:t xml:space="preserve"> </w:t>
      </w:r>
      <w:r w:rsidR="00F8570C" w:rsidRPr="00F803D0">
        <w:rPr>
          <w:rFonts w:asciiTheme="majorHAnsi" w:hAnsiTheme="majorHAnsi"/>
          <w:color w:val="auto"/>
          <w:sz w:val="20"/>
          <w:szCs w:val="20"/>
          <w:lang w:val="es-ES"/>
        </w:rPr>
        <w:t xml:space="preserve">y </w:t>
      </w:r>
      <w:r w:rsidR="00B15EA6" w:rsidRPr="00F803D0">
        <w:rPr>
          <w:rFonts w:asciiTheme="majorHAnsi" w:hAnsiTheme="majorHAnsi"/>
          <w:color w:val="auto"/>
          <w:sz w:val="20"/>
          <w:szCs w:val="20"/>
          <w:lang w:val="es-ES"/>
        </w:rPr>
        <w:t>la L</w:t>
      </w:r>
      <w:r w:rsidR="00192CF4" w:rsidRPr="00F803D0">
        <w:rPr>
          <w:rFonts w:asciiTheme="majorHAnsi" w:hAnsiTheme="majorHAnsi"/>
          <w:color w:val="auto"/>
          <w:sz w:val="20"/>
          <w:szCs w:val="20"/>
          <w:lang w:val="es-ES"/>
        </w:rPr>
        <w:t>ey ZEDE</w:t>
      </w:r>
      <w:r w:rsidR="0041701D" w:rsidRPr="00F803D0">
        <w:rPr>
          <w:rFonts w:asciiTheme="majorHAnsi" w:hAnsiTheme="majorHAnsi"/>
          <w:color w:val="auto"/>
          <w:sz w:val="20"/>
          <w:szCs w:val="20"/>
          <w:lang w:val="es-ES"/>
        </w:rPr>
        <w:t>.</w:t>
      </w:r>
      <w:r w:rsidR="00D20598" w:rsidRPr="00F803D0">
        <w:rPr>
          <w:rFonts w:asciiTheme="majorHAnsi" w:hAnsiTheme="majorHAnsi"/>
          <w:color w:val="auto"/>
          <w:sz w:val="20"/>
          <w:szCs w:val="20"/>
          <w:lang w:val="es-ES"/>
        </w:rPr>
        <w:t xml:space="preserve"> </w:t>
      </w:r>
    </w:p>
    <w:p w14:paraId="3A1A168D" w14:textId="77777777" w:rsidR="00D20598" w:rsidRPr="00F803D0" w:rsidRDefault="00D20598" w:rsidP="00D205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1952F315" w14:textId="34C45690" w:rsidR="000D2CC6" w:rsidRPr="00F803D0" w:rsidRDefault="002C687F" w:rsidP="00E43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r w:rsidRPr="00F803D0">
        <w:rPr>
          <w:rFonts w:asciiTheme="majorHAnsi" w:hAnsiTheme="majorHAnsi"/>
          <w:sz w:val="20"/>
          <w:szCs w:val="20"/>
          <w:lang w:val="es-ES"/>
        </w:rPr>
        <w:t>E</w:t>
      </w:r>
      <w:r w:rsidR="00D20598" w:rsidRPr="00F803D0">
        <w:rPr>
          <w:rFonts w:asciiTheme="majorHAnsi" w:hAnsiTheme="majorHAnsi"/>
          <w:sz w:val="20"/>
          <w:szCs w:val="20"/>
          <w:lang w:val="es-ES"/>
        </w:rPr>
        <w:t xml:space="preserve">l </w:t>
      </w:r>
      <w:r w:rsidR="0041701D" w:rsidRPr="00F803D0">
        <w:rPr>
          <w:rFonts w:asciiTheme="majorHAnsi" w:hAnsiTheme="majorHAnsi"/>
          <w:sz w:val="20"/>
          <w:szCs w:val="20"/>
          <w:lang w:val="es-ES"/>
        </w:rPr>
        <w:t xml:space="preserve">Estado </w:t>
      </w:r>
      <w:r w:rsidR="00E8770D" w:rsidRPr="00F803D0">
        <w:rPr>
          <w:rFonts w:asciiTheme="majorHAnsi" w:hAnsiTheme="majorHAnsi"/>
          <w:sz w:val="20"/>
          <w:szCs w:val="20"/>
          <w:lang w:val="es-ES"/>
        </w:rPr>
        <w:t xml:space="preserve">sostiene que </w:t>
      </w:r>
      <w:r w:rsidR="0041701D" w:rsidRPr="00F803D0">
        <w:rPr>
          <w:rFonts w:asciiTheme="majorHAnsi" w:hAnsiTheme="majorHAnsi"/>
          <w:sz w:val="20"/>
          <w:szCs w:val="20"/>
          <w:lang w:val="es-ES"/>
        </w:rPr>
        <w:t xml:space="preserve">el recurso de inconstitucionalidad era el idóneo para </w:t>
      </w:r>
      <w:r w:rsidRPr="00F803D0">
        <w:rPr>
          <w:rFonts w:asciiTheme="majorHAnsi" w:hAnsiTheme="majorHAnsi"/>
          <w:sz w:val="20"/>
          <w:szCs w:val="20"/>
          <w:lang w:val="es-ES"/>
        </w:rPr>
        <w:t>invalidar</w:t>
      </w:r>
      <w:r w:rsidR="0041701D" w:rsidRPr="00F803D0">
        <w:rPr>
          <w:rFonts w:asciiTheme="majorHAnsi" w:hAnsiTheme="majorHAnsi"/>
          <w:sz w:val="20"/>
          <w:szCs w:val="20"/>
          <w:lang w:val="es-ES"/>
        </w:rPr>
        <w:t xml:space="preserve"> los artículos de la Ley</w:t>
      </w:r>
      <w:r w:rsidR="002C59F6" w:rsidRPr="00F803D0">
        <w:rPr>
          <w:rFonts w:asciiTheme="majorHAnsi" w:hAnsiTheme="majorHAnsi"/>
          <w:sz w:val="20"/>
          <w:szCs w:val="20"/>
          <w:lang w:val="es-ES"/>
        </w:rPr>
        <w:t xml:space="preserve"> de Propiedad</w:t>
      </w:r>
      <w:r w:rsidR="0041701D" w:rsidRPr="00F803D0">
        <w:rPr>
          <w:rFonts w:asciiTheme="majorHAnsi" w:hAnsiTheme="majorHAnsi"/>
          <w:sz w:val="20"/>
          <w:szCs w:val="20"/>
          <w:lang w:val="es-ES"/>
        </w:rPr>
        <w:t xml:space="preserve"> en </w:t>
      </w:r>
      <w:r w:rsidRPr="00F803D0">
        <w:rPr>
          <w:rFonts w:asciiTheme="majorHAnsi" w:hAnsiTheme="majorHAnsi"/>
          <w:sz w:val="20"/>
          <w:szCs w:val="20"/>
          <w:lang w:val="es-ES"/>
        </w:rPr>
        <w:t xml:space="preserve">la medida en que fueran contrarios a </w:t>
      </w:r>
      <w:r w:rsidR="0041701D" w:rsidRPr="00F803D0">
        <w:rPr>
          <w:rFonts w:asciiTheme="majorHAnsi" w:hAnsiTheme="majorHAnsi"/>
          <w:sz w:val="20"/>
          <w:szCs w:val="20"/>
          <w:lang w:val="es-ES"/>
        </w:rPr>
        <w:t xml:space="preserve">tratados internacionales o la </w:t>
      </w:r>
      <w:r w:rsidRPr="00F803D0">
        <w:rPr>
          <w:rFonts w:asciiTheme="majorHAnsi" w:hAnsiTheme="majorHAnsi"/>
          <w:sz w:val="20"/>
          <w:szCs w:val="20"/>
          <w:lang w:val="es-ES"/>
        </w:rPr>
        <w:t>C</w:t>
      </w:r>
      <w:r w:rsidR="0041701D" w:rsidRPr="00F803D0">
        <w:rPr>
          <w:rFonts w:asciiTheme="majorHAnsi" w:hAnsiTheme="majorHAnsi"/>
          <w:sz w:val="20"/>
          <w:szCs w:val="20"/>
          <w:lang w:val="es-ES"/>
        </w:rPr>
        <w:t>onstitución</w:t>
      </w:r>
      <w:r w:rsidRPr="00F803D0">
        <w:rPr>
          <w:rFonts w:asciiTheme="majorHAnsi" w:hAnsiTheme="majorHAnsi"/>
          <w:sz w:val="20"/>
          <w:szCs w:val="20"/>
          <w:lang w:val="es-ES"/>
        </w:rPr>
        <w:t>.</w:t>
      </w:r>
      <w:r w:rsidR="001F097F" w:rsidRPr="00F803D0">
        <w:rPr>
          <w:rFonts w:asciiTheme="majorHAnsi" w:hAnsiTheme="majorHAnsi"/>
          <w:sz w:val="20"/>
          <w:szCs w:val="20"/>
          <w:lang w:val="es-ES"/>
        </w:rPr>
        <w:t xml:space="preserve"> </w:t>
      </w:r>
      <w:r w:rsidRPr="00F803D0">
        <w:rPr>
          <w:rFonts w:asciiTheme="majorHAnsi" w:hAnsiTheme="majorHAnsi"/>
          <w:sz w:val="20"/>
          <w:szCs w:val="20"/>
          <w:lang w:val="es-ES"/>
        </w:rPr>
        <w:t xml:space="preserve">En </w:t>
      </w:r>
      <w:r w:rsidR="00404B71" w:rsidRPr="00F803D0">
        <w:rPr>
          <w:rFonts w:asciiTheme="majorHAnsi" w:hAnsiTheme="majorHAnsi"/>
          <w:sz w:val="20"/>
          <w:szCs w:val="20"/>
          <w:lang w:val="es-ES"/>
        </w:rPr>
        <w:t>cuanto a</w:t>
      </w:r>
      <w:r w:rsidRPr="00F803D0">
        <w:rPr>
          <w:rFonts w:asciiTheme="majorHAnsi" w:hAnsiTheme="majorHAnsi"/>
          <w:sz w:val="20"/>
          <w:szCs w:val="20"/>
          <w:lang w:val="es-ES"/>
        </w:rPr>
        <w:t>l cuestionamiento</w:t>
      </w:r>
      <w:r w:rsidR="00404B71" w:rsidRPr="00F803D0">
        <w:rPr>
          <w:rFonts w:asciiTheme="majorHAnsi" w:hAnsiTheme="majorHAnsi"/>
          <w:sz w:val="20"/>
          <w:szCs w:val="20"/>
          <w:lang w:val="es-ES"/>
        </w:rPr>
        <w:t xml:space="preserve"> </w:t>
      </w:r>
      <w:r w:rsidRPr="00F803D0">
        <w:rPr>
          <w:rFonts w:asciiTheme="majorHAnsi" w:hAnsiTheme="majorHAnsi"/>
          <w:sz w:val="20"/>
          <w:szCs w:val="20"/>
          <w:lang w:val="es-ES"/>
        </w:rPr>
        <w:t xml:space="preserve">de </w:t>
      </w:r>
      <w:r w:rsidR="00404B71" w:rsidRPr="00F803D0">
        <w:rPr>
          <w:rFonts w:asciiTheme="majorHAnsi" w:hAnsiTheme="majorHAnsi"/>
          <w:sz w:val="20"/>
          <w:szCs w:val="20"/>
          <w:lang w:val="es-ES"/>
        </w:rPr>
        <w:t>los actos de la administración pública de carácter general</w:t>
      </w:r>
      <w:r w:rsidRPr="00F803D0">
        <w:rPr>
          <w:rFonts w:asciiTheme="majorHAnsi" w:hAnsiTheme="majorHAnsi"/>
          <w:sz w:val="20"/>
          <w:szCs w:val="20"/>
          <w:lang w:val="es-ES"/>
        </w:rPr>
        <w:t>,</w:t>
      </w:r>
      <w:r w:rsidR="00404B71" w:rsidRPr="00F803D0">
        <w:rPr>
          <w:rFonts w:asciiTheme="majorHAnsi" w:hAnsiTheme="majorHAnsi"/>
          <w:sz w:val="20"/>
          <w:szCs w:val="20"/>
          <w:lang w:val="es-ES"/>
        </w:rPr>
        <w:t xml:space="preserve"> como el Reglamento de la Ley de Propiedad</w:t>
      </w:r>
      <w:r w:rsidRPr="00F803D0">
        <w:rPr>
          <w:rFonts w:asciiTheme="majorHAnsi" w:hAnsiTheme="majorHAnsi"/>
          <w:sz w:val="20"/>
          <w:szCs w:val="20"/>
          <w:lang w:val="es-ES"/>
        </w:rPr>
        <w:t>,</w:t>
      </w:r>
      <w:r w:rsidR="00AF444B" w:rsidRPr="00F803D0">
        <w:rPr>
          <w:rFonts w:asciiTheme="majorHAnsi" w:hAnsiTheme="majorHAnsi"/>
          <w:sz w:val="20"/>
          <w:szCs w:val="20"/>
          <w:lang w:val="es-ES"/>
        </w:rPr>
        <w:t xml:space="preserve"> y los </w:t>
      </w:r>
      <w:r w:rsidRPr="00F803D0">
        <w:rPr>
          <w:rFonts w:asciiTheme="majorHAnsi" w:hAnsiTheme="majorHAnsi"/>
          <w:sz w:val="20"/>
          <w:szCs w:val="20"/>
          <w:lang w:val="es-ES"/>
        </w:rPr>
        <w:t xml:space="preserve">reclamos por los </w:t>
      </w:r>
      <w:r w:rsidR="00AF444B" w:rsidRPr="00F803D0">
        <w:rPr>
          <w:rFonts w:asciiTheme="majorHAnsi" w:hAnsiTheme="majorHAnsi"/>
          <w:sz w:val="20"/>
          <w:szCs w:val="20"/>
          <w:lang w:val="es-ES"/>
        </w:rPr>
        <w:t>daños que les pudiera ocasionar</w:t>
      </w:r>
      <w:r w:rsidR="001F097F" w:rsidRPr="00F803D0">
        <w:rPr>
          <w:rFonts w:asciiTheme="majorHAnsi" w:hAnsiTheme="majorHAnsi"/>
          <w:sz w:val="20"/>
          <w:szCs w:val="20"/>
          <w:lang w:val="es-ES"/>
        </w:rPr>
        <w:t>,</w:t>
      </w:r>
      <w:r w:rsidR="00404B71" w:rsidRPr="00F803D0">
        <w:rPr>
          <w:rFonts w:asciiTheme="majorHAnsi" w:hAnsiTheme="majorHAnsi"/>
          <w:sz w:val="20"/>
          <w:szCs w:val="20"/>
          <w:lang w:val="es-ES"/>
        </w:rPr>
        <w:t xml:space="preserve"> </w:t>
      </w:r>
      <w:r w:rsidRPr="00F803D0">
        <w:rPr>
          <w:rFonts w:asciiTheme="majorHAnsi" w:hAnsiTheme="majorHAnsi"/>
          <w:sz w:val="20"/>
          <w:szCs w:val="20"/>
          <w:lang w:val="es-ES"/>
        </w:rPr>
        <w:t xml:space="preserve">la parte </w:t>
      </w:r>
      <w:r w:rsidR="00AF444B" w:rsidRPr="00F803D0">
        <w:rPr>
          <w:rFonts w:asciiTheme="majorHAnsi" w:hAnsiTheme="majorHAnsi"/>
          <w:sz w:val="20"/>
          <w:szCs w:val="20"/>
          <w:lang w:val="es-ES"/>
        </w:rPr>
        <w:lastRenderedPageBreak/>
        <w:t>peticionari</w:t>
      </w:r>
      <w:r w:rsidRPr="00F803D0">
        <w:rPr>
          <w:rFonts w:asciiTheme="majorHAnsi" w:hAnsiTheme="majorHAnsi"/>
          <w:sz w:val="20"/>
          <w:szCs w:val="20"/>
          <w:lang w:val="es-ES"/>
        </w:rPr>
        <w:t>a</w:t>
      </w:r>
      <w:r w:rsidR="00AF444B" w:rsidRPr="00F803D0">
        <w:rPr>
          <w:rFonts w:asciiTheme="majorHAnsi" w:hAnsiTheme="majorHAnsi"/>
          <w:sz w:val="20"/>
          <w:szCs w:val="20"/>
          <w:lang w:val="es-ES"/>
        </w:rPr>
        <w:t xml:space="preserve"> pud</w:t>
      </w:r>
      <w:r w:rsidRPr="00F803D0">
        <w:rPr>
          <w:rFonts w:asciiTheme="majorHAnsi" w:hAnsiTheme="majorHAnsi"/>
          <w:sz w:val="20"/>
          <w:szCs w:val="20"/>
          <w:lang w:val="es-ES"/>
        </w:rPr>
        <w:t>o</w:t>
      </w:r>
      <w:r w:rsidR="00AF444B" w:rsidRPr="00F803D0">
        <w:rPr>
          <w:rFonts w:asciiTheme="majorHAnsi" w:hAnsiTheme="majorHAnsi"/>
          <w:sz w:val="20"/>
          <w:szCs w:val="20"/>
          <w:lang w:val="es-ES"/>
        </w:rPr>
        <w:t xml:space="preserve"> </w:t>
      </w:r>
      <w:r w:rsidR="00404B71" w:rsidRPr="00F803D0">
        <w:rPr>
          <w:rFonts w:asciiTheme="majorHAnsi" w:hAnsiTheme="majorHAnsi"/>
          <w:sz w:val="20"/>
          <w:szCs w:val="20"/>
          <w:lang w:val="es-ES"/>
        </w:rPr>
        <w:t xml:space="preserve">haber agotado la jurisdicción </w:t>
      </w:r>
      <w:r w:rsidRPr="00F803D0">
        <w:rPr>
          <w:rFonts w:asciiTheme="majorHAnsi" w:hAnsiTheme="majorHAnsi"/>
          <w:sz w:val="20"/>
          <w:szCs w:val="20"/>
          <w:lang w:val="es-ES"/>
        </w:rPr>
        <w:t>contencioso-administrativa</w:t>
      </w:r>
      <w:r w:rsidR="00404B71" w:rsidRPr="00F803D0">
        <w:rPr>
          <w:rFonts w:asciiTheme="majorHAnsi" w:hAnsiTheme="majorHAnsi"/>
          <w:sz w:val="20"/>
          <w:szCs w:val="20"/>
          <w:lang w:val="es-ES"/>
        </w:rPr>
        <w:t xml:space="preserve"> o</w:t>
      </w:r>
      <w:r w:rsidRPr="00F803D0">
        <w:rPr>
          <w:rFonts w:asciiTheme="majorHAnsi" w:hAnsiTheme="majorHAnsi"/>
          <w:sz w:val="20"/>
          <w:szCs w:val="20"/>
          <w:lang w:val="es-ES"/>
        </w:rPr>
        <w:t>,</w:t>
      </w:r>
      <w:r w:rsidR="00404B71" w:rsidRPr="00F803D0">
        <w:rPr>
          <w:rFonts w:asciiTheme="majorHAnsi" w:hAnsiTheme="majorHAnsi"/>
          <w:sz w:val="20"/>
          <w:szCs w:val="20"/>
          <w:lang w:val="es-ES"/>
        </w:rPr>
        <w:t xml:space="preserve"> en su defecto</w:t>
      </w:r>
      <w:r w:rsidRPr="00F803D0">
        <w:rPr>
          <w:rFonts w:asciiTheme="majorHAnsi" w:hAnsiTheme="majorHAnsi"/>
          <w:sz w:val="20"/>
          <w:szCs w:val="20"/>
          <w:lang w:val="es-ES"/>
        </w:rPr>
        <w:t>,</w:t>
      </w:r>
      <w:r w:rsidR="00404B71" w:rsidRPr="00F803D0">
        <w:rPr>
          <w:rFonts w:asciiTheme="majorHAnsi" w:hAnsiTheme="majorHAnsi"/>
          <w:sz w:val="20"/>
          <w:szCs w:val="20"/>
          <w:lang w:val="es-ES"/>
        </w:rPr>
        <w:t xml:space="preserve"> interponer </w:t>
      </w:r>
      <w:r w:rsidRPr="00F803D0">
        <w:rPr>
          <w:rFonts w:asciiTheme="majorHAnsi" w:hAnsiTheme="majorHAnsi"/>
          <w:sz w:val="20"/>
          <w:szCs w:val="20"/>
          <w:lang w:val="es-ES"/>
        </w:rPr>
        <w:t>un</w:t>
      </w:r>
      <w:r w:rsidR="00404B71" w:rsidRPr="00F803D0">
        <w:rPr>
          <w:rFonts w:asciiTheme="majorHAnsi" w:hAnsiTheme="majorHAnsi"/>
          <w:sz w:val="20"/>
          <w:szCs w:val="20"/>
          <w:lang w:val="es-ES"/>
        </w:rPr>
        <w:t xml:space="preserve"> recurso de amparo. </w:t>
      </w:r>
      <w:r w:rsidR="00667F90" w:rsidRPr="00F803D0">
        <w:rPr>
          <w:rFonts w:asciiTheme="majorHAnsi" w:hAnsiTheme="majorHAnsi"/>
          <w:sz w:val="20"/>
          <w:szCs w:val="20"/>
          <w:lang w:val="es-ES"/>
        </w:rPr>
        <w:t>Asimismo, s</w:t>
      </w:r>
      <w:r w:rsidR="00306532" w:rsidRPr="00F803D0">
        <w:rPr>
          <w:rFonts w:asciiTheme="majorHAnsi" w:hAnsiTheme="majorHAnsi"/>
          <w:sz w:val="20"/>
          <w:szCs w:val="20"/>
          <w:lang w:val="es-ES"/>
        </w:rPr>
        <w:t>ostiene que</w:t>
      </w:r>
      <w:r w:rsidR="002C59F6" w:rsidRPr="00F803D0">
        <w:rPr>
          <w:rFonts w:asciiTheme="majorHAnsi" w:hAnsiTheme="majorHAnsi"/>
          <w:sz w:val="20"/>
          <w:szCs w:val="20"/>
          <w:lang w:val="es-ES"/>
        </w:rPr>
        <w:t xml:space="preserve"> </w:t>
      </w:r>
      <w:r w:rsidRPr="00F803D0">
        <w:rPr>
          <w:rFonts w:asciiTheme="majorHAnsi" w:hAnsiTheme="majorHAnsi"/>
          <w:sz w:val="20"/>
          <w:szCs w:val="20"/>
          <w:lang w:val="es-ES"/>
        </w:rPr>
        <w:t xml:space="preserve">la parte </w:t>
      </w:r>
      <w:r w:rsidR="00306532" w:rsidRPr="00F803D0">
        <w:rPr>
          <w:rFonts w:asciiTheme="majorHAnsi" w:hAnsiTheme="majorHAnsi"/>
          <w:sz w:val="20"/>
          <w:szCs w:val="20"/>
          <w:lang w:val="es-ES"/>
        </w:rPr>
        <w:t>peticionari</w:t>
      </w:r>
      <w:r w:rsidRPr="00F803D0">
        <w:rPr>
          <w:rFonts w:asciiTheme="majorHAnsi" w:hAnsiTheme="majorHAnsi"/>
          <w:sz w:val="20"/>
          <w:szCs w:val="20"/>
          <w:lang w:val="es-ES"/>
        </w:rPr>
        <w:t>a</w:t>
      </w:r>
      <w:r w:rsidR="00306532" w:rsidRPr="00F803D0">
        <w:rPr>
          <w:rFonts w:asciiTheme="majorHAnsi" w:hAnsiTheme="majorHAnsi"/>
          <w:sz w:val="20"/>
          <w:szCs w:val="20"/>
          <w:lang w:val="es-ES"/>
        </w:rPr>
        <w:t xml:space="preserve"> no se encuentra en los supuestos regulados en el artículo 46</w:t>
      </w:r>
      <w:r w:rsidR="002C59F6" w:rsidRPr="00F803D0">
        <w:rPr>
          <w:rFonts w:asciiTheme="majorHAnsi" w:hAnsiTheme="majorHAnsi"/>
          <w:sz w:val="20"/>
          <w:szCs w:val="20"/>
          <w:lang w:val="es-ES"/>
        </w:rPr>
        <w:t>.</w:t>
      </w:r>
      <w:r w:rsidR="00306532" w:rsidRPr="00F803D0">
        <w:rPr>
          <w:rFonts w:asciiTheme="majorHAnsi" w:hAnsiTheme="majorHAnsi"/>
          <w:sz w:val="20"/>
          <w:szCs w:val="20"/>
          <w:lang w:val="es-ES"/>
        </w:rPr>
        <w:t xml:space="preserve">2 de la </w:t>
      </w:r>
      <w:r w:rsidRPr="00F803D0">
        <w:rPr>
          <w:rFonts w:asciiTheme="majorHAnsi" w:hAnsiTheme="majorHAnsi"/>
          <w:sz w:val="20"/>
          <w:szCs w:val="20"/>
          <w:lang w:val="es-ES"/>
        </w:rPr>
        <w:t xml:space="preserve">Convención Americana, ya </w:t>
      </w:r>
      <w:r w:rsidR="00306532" w:rsidRPr="00F803D0">
        <w:rPr>
          <w:rFonts w:asciiTheme="majorHAnsi" w:hAnsiTheme="majorHAnsi"/>
          <w:sz w:val="20"/>
          <w:szCs w:val="20"/>
          <w:lang w:val="es-ES"/>
        </w:rPr>
        <w:t xml:space="preserve">que </w:t>
      </w:r>
      <w:r w:rsidRPr="00F803D0">
        <w:rPr>
          <w:rFonts w:asciiTheme="majorHAnsi" w:hAnsiTheme="majorHAnsi"/>
          <w:sz w:val="20"/>
          <w:szCs w:val="20"/>
          <w:lang w:val="es-ES"/>
        </w:rPr>
        <w:t xml:space="preserve">pudieron </w:t>
      </w:r>
      <w:r w:rsidR="00306532" w:rsidRPr="00F803D0">
        <w:rPr>
          <w:rFonts w:asciiTheme="majorHAnsi" w:hAnsiTheme="majorHAnsi"/>
          <w:sz w:val="20"/>
          <w:szCs w:val="20"/>
          <w:lang w:val="es-ES"/>
        </w:rPr>
        <w:t>agotar el r</w:t>
      </w:r>
      <w:r w:rsidR="008928D9" w:rsidRPr="00F803D0">
        <w:rPr>
          <w:rFonts w:asciiTheme="majorHAnsi" w:hAnsiTheme="majorHAnsi"/>
          <w:sz w:val="20"/>
          <w:szCs w:val="20"/>
          <w:lang w:val="es-ES"/>
        </w:rPr>
        <w:t xml:space="preserve">ecurso de inconstitucionalidad. </w:t>
      </w:r>
    </w:p>
    <w:p w14:paraId="364E6075" w14:textId="77777777" w:rsidR="000D2CC6" w:rsidRPr="00F803D0" w:rsidRDefault="000D2CC6" w:rsidP="000D2CC6">
      <w:pPr>
        <w:rPr>
          <w:rFonts w:asciiTheme="majorHAnsi" w:hAnsiTheme="majorHAnsi"/>
          <w:sz w:val="20"/>
          <w:szCs w:val="20"/>
          <w:lang w:val="es-ES"/>
        </w:rPr>
      </w:pPr>
    </w:p>
    <w:p w14:paraId="3EB553CF" w14:textId="7B7C995F" w:rsidR="00D20598" w:rsidRPr="00F803D0" w:rsidRDefault="002C687F" w:rsidP="00E43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r w:rsidRPr="00F803D0">
        <w:rPr>
          <w:rFonts w:asciiTheme="majorHAnsi" w:hAnsiTheme="majorHAnsi"/>
          <w:color w:val="auto"/>
          <w:sz w:val="20"/>
          <w:szCs w:val="20"/>
          <w:lang w:val="es-ES"/>
        </w:rPr>
        <w:t>A</w:t>
      </w:r>
      <w:r w:rsidR="000D2CC6" w:rsidRPr="00F803D0">
        <w:rPr>
          <w:rFonts w:asciiTheme="majorHAnsi" w:hAnsiTheme="majorHAnsi"/>
          <w:color w:val="auto"/>
          <w:sz w:val="20"/>
          <w:szCs w:val="20"/>
          <w:lang w:val="es-ES"/>
        </w:rPr>
        <w:t xml:space="preserve">lega </w:t>
      </w:r>
      <w:r w:rsidRPr="00F803D0">
        <w:rPr>
          <w:rFonts w:asciiTheme="majorHAnsi" w:hAnsiTheme="majorHAnsi"/>
          <w:color w:val="auto"/>
          <w:sz w:val="20"/>
          <w:szCs w:val="20"/>
          <w:lang w:val="es-ES"/>
        </w:rPr>
        <w:t xml:space="preserve">igualmente </w:t>
      </w:r>
      <w:r w:rsidR="000D2CC6" w:rsidRPr="00F803D0">
        <w:rPr>
          <w:rFonts w:asciiTheme="majorHAnsi" w:hAnsiTheme="majorHAnsi"/>
          <w:color w:val="auto"/>
          <w:sz w:val="20"/>
          <w:szCs w:val="20"/>
          <w:lang w:val="es-ES"/>
        </w:rPr>
        <w:t xml:space="preserve">que la petición debe ser rechazada conforme a la </w:t>
      </w:r>
      <w:r w:rsidRPr="00F803D0">
        <w:rPr>
          <w:rFonts w:asciiTheme="majorHAnsi" w:hAnsiTheme="majorHAnsi"/>
          <w:color w:val="auto"/>
          <w:sz w:val="20"/>
          <w:szCs w:val="20"/>
          <w:lang w:val="es-ES"/>
        </w:rPr>
        <w:t>llamada “</w:t>
      </w:r>
      <w:r w:rsidR="000D2CC6" w:rsidRPr="00F803D0">
        <w:rPr>
          <w:rFonts w:asciiTheme="majorHAnsi" w:hAnsiTheme="majorHAnsi"/>
          <w:color w:val="auto"/>
          <w:sz w:val="20"/>
          <w:szCs w:val="20"/>
          <w:lang w:val="es-ES"/>
        </w:rPr>
        <w:t>fórmula de la cuarta instancia</w:t>
      </w:r>
      <w:r w:rsidRPr="00F803D0">
        <w:rPr>
          <w:rFonts w:asciiTheme="majorHAnsi" w:hAnsiTheme="majorHAnsi"/>
          <w:color w:val="auto"/>
          <w:sz w:val="20"/>
          <w:szCs w:val="20"/>
          <w:lang w:val="es-ES"/>
        </w:rPr>
        <w:t>”</w:t>
      </w:r>
      <w:r w:rsidR="007908AC" w:rsidRPr="00F803D0">
        <w:rPr>
          <w:rFonts w:asciiTheme="majorHAnsi" w:hAnsiTheme="majorHAnsi"/>
          <w:color w:val="auto"/>
          <w:sz w:val="20"/>
          <w:szCs w:val="20"/>
          <w:lang w:val="es-ES"/>
        </w:rPr>
        <w:t xml:space="preserve"> en relación la acción de inconstitucionalidad</w:t>
      </w:r>
      <w:r w:rsidRPr="00F803D0">
        <w:rPr>
          <w:rFonts w:asciiTheme="majorHAnsi" w:hAnsiTheme="majorHAnsi"/>
          <w:color w:val="auto"/>
          <w:sz w:val="20"/>
          <w:szCs w:val="20"/>
          <w:lang w:val="es-ES"/>
        </w:rPr>
        <w:t>,</w:t>
      </w:r>
      <w:r w:rsidR="007908AC" w:rsidRPr="00F803D0">
        <w:rPr>
          <w:rFonts w:asciiTheme="majorHAnsi" w:hAnsiTheme="majorHAnsi"/>
          <w:color w:val="auto"/>
          <w:sz w:val="20"/>
          <w:szCs w:val="20"/>
          <w:lang w:val="es-ES"/>
        </w:rPr>
        <w:t xml:space="preserve"> </w:t>
      </w:r>
      <w:r w:rsidR="000D2CC6" w:rsidRPr="00F803D0">
        <w:rPr>
          <w:rFonts w:asciiTheme="majorHAnsi" w:hAnsiTheme="majorHAnsi"/>
          <w:color w:val="auto"/>
          <w:sz w:val="20"/>
          <w:szCs w:val="20"/>
          <w:lang w:val="es-ES"/>
        </w:rPr>
        <w:t>debido a que</w:t>
      </w:r>
      <w:r w:rsidRPr="00F803D0">
        <w:rPr>
          <w:rFonts w:asciiTheme="majorHAnsi" w:hAnsiTheme="majorHAnsi"/>
          <w:color w:val="auto"/>
          <w:sz w:val="20"/>
          <w:szCs w:val="20"/>
          <w:lang w:val="es-ES"/>
        </w:rPr>
        <w:t xml:space="preserve"> la parte </w:t>
      </w:r>
      <w:r w:rsidR="000D2CC6" w:rsidRPr="00F803D0">
        <w:rPr>
          <w:rFonts w:asciiTheme="majorHAnsi" w:hAnsiTheme="majorHAnsi"/>
          <w:color w:val="auto"/>
          <w:sz w:val="20"/>
          <w:szCs w:val="20"/>
          <w:lang w:val="es-ES"/>
        </w:rPr>
        <w:t>peticionari</w:t>
      </w:r>
      <w:r w:rsidRPr="00F803D0">
        <w:rPr>
          <w:rFonts w:asciiTheme="majorHAnsi" w:hAnsiTheme="majorHAnsi"/>
          <w:color w:val="auto"/>
          <w:sz w:val="20"/>
          <w:szCs w:val="20"/>
          <w:lang w:val="es-ES"/>
        </w:rPr>
        <w:t>a</w:t>
      </w:r>
      <w:r w:rsidR="000D2CC6" w:rsidRPr="00F803D0">
        <w:rPr>
          <w:rFonts w:asciiTheme="majorHAnsi" w:hAnsiTheme="majorHAnsi"/>
          <w:color w:val="auto"/>
          <w:sz w:val="20"/>
          <w:szCs w:val="20"/>
          <w:lang w:val="es-ES"/>
        </w:rPr>
        <w:t xml:space="preserve"> no alega que </w:t>
      </w:r>
      <w:r w:rsidRPr="00F803D0">
        <w:rPr>
          <w:rFonts w:asciiTheme="majorHAnsi" w:hAnsiTheme="majorHAnsi"/>
          <w:color w:val="auto"/>
          <w:sz w:val="20"/>
          <w:szCs w:val="20"/>
          <w:lang w:val="es-ES"/>
        </w:rPr>
        <w:t xml:space="preserve">las presuntas víctimas hubieran </w:t>
      </w:r>
      <w:r w:rsidR="000D2CC6" w:rsidRPr="00F803D0">
        <w:rPr>
          <w:rFonts w:asciiTheme="majorHAnsi" w:hAnsiTheme="majorHAnsi"/>
          <w:color w:val="auto"/>
          <w:sz w:val="20"/>
          <w:szCs w:val="20"/>
          <w:lang w:val="es-ES"/>
        </w:rPr>
        <w:t xml:space="preserve">sido </w:t>
      </w:r>
      <w:r w:rsidRPr="00F803D0">
        <w:rPr>
          <w:rFonts w:asciiTheme="majorHAnsi" w:hAnsiTheme="majorHAnsi"/>
          <w:color w:val="auto"/>
          <w:sz w:val="20"/>
          <w:szCs w:val="20"/>
          <w:lang w:val="es-ES"/>
        </w:rPr>
        <w:t>afectadas en sus</w:t>
      </w:r>
      <w:r w:rsidR="000D2CC6" w:rsidRPr="00F803D0">
        <w:rPr>
          <w:rFonts w:asciiTheme="majorHAnsi" w:hAnsiTheme="majorHAnsi"/>
          <w:color w:val="auto"/>
          <w:sz w:val="20"/>
          <w:szCs w:val="20"/>
          <w:lang w:val="es-ES"/>
        </w:rPr>
        <w:t xml:space="preserve"> garantías judiciales, sino que buscan que se les reconozca un supuesto derecho en virtud de la sentencia de inconstitucionalidad dictada por el órgano competente. </w:t>
      </w:r>
    </w:p>
    <w:p w14:paraId="547D7EA4" w14:textId="77777777" w:rsidR="007908AC" w:rsidRPr="00F803D0" w:rsidRDefault="007908AC" w:rsidP="007908AC">
      <w:pPr>
        <w:rPr>
          <w:rFonts w:asciiTheme="majorHAnsi" w:hAnsiTheme="majorHAnsi"/>
          <w:sz w:val="20"/>
          <w:szCs w:val="20"/>
          <w:lang w:val="es-ES"/>
        </w:rPr>
      </w:pPr>
    </w:p>
    <w:p w14:paraId="13AFDFDE" w14:textId="68878F23" w:rsidR="00730A5E" w:rsidRPr="00F803D0" w:rsidRDefault="00404B71" w:rsidP="00E43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r w:rsidRPr="00F803D0">
        <w:rPr>
          <w:rFonts w:asciiTheme="majorHAnsi" w:hAnsiTheme="majorHAnsi"/>
          <w:sz w:val="20"/>
          <w:szCs w:val="20"/>
          <w:lang w:val="es-ES"/>
        </w:rPr>
        <w:t xml:space="preserve">Por otra parte, </w:t>
      </w:r>
      <w:r w:rsidR="00B035C2" w:rsidRPr="00F803D0">
        <w:rPr>
          <w:rFonts w:asciiTheme="majorHAnsi" w:hAnsiTheme="majorHAnsi"/>
          <w:sz w:val="20"/>
          <w:szCs w:val="20"/>
          <w:lang w:val="es-ES"/>
        </w:rPr>
        <w:t>en relación con el</w:t>
      </w:r>
      <w:r w:rsidRPr="00F803D0">
        <w:rPr>
          <w:rFonts w:asciiTheme="majorHAnsi" w:hAnsiTheme="majorHAnsi"/>
          <w:sz w:val="20"/>
          <w:szCs w:val="20"/>
          <w:lang w:val="es-ES"/>
        </w:rPr>
        <w:t xml:space="preserve"> </w:t>
      </w:r>
      <w:r w:rsidR="00446E69" w:rsidRPr="00F803D0">
        <w:rPr>
          <w:rFonts w:asciiTheme="majorHAnsi" w:hAnsiTheme="majorHAnsi"/>
          <w:sz w:val="20"/>
          <w:szCs w:val="20"/>
          <w:lang w:val="es-ES"/>
        </w:rPr>
        <w:t xml:space="preserve">caso de la Comunidad Garífuna de Punta Piedra y </w:t>
      </w:r>
      <w:r w:rsidRPr="00F803D0">
        <w:rPr>
          <w:rFonts w:asciiTheme="majorHAnsi" w:hAnsiTheme="majorHAnsi"/>
          <w:sz w:val="20"/>
          <w:szCs w:val="20"/>
          <w:lang w:val="es-ES"/>
        </w:rPr>
        <w:t xml:space="preserve">la </w:t>
      </w:r>
      <w:r w:rsidR="00446E69" w:rsidRPr="00F803D0">
        <w:rPr>
          <w:rFonts w:asciiTheme="majorHAnsi" w:hAnsiTheme="majorHAnsi"/>
          <w:sz w:val="20"/>
          <w:szCs w:val="20"/>
          <w:lang w:val="es-ES"/>
        </w:rPr>
        <w:t xml:space="preserve">denuncia </w:t>
      </w:r>
      <w:r w:rsidRPr="00F803D0">
        <w:rPr>
          <w:rFonts w:asciiTheme="majorHAnsi" w:hAnsiTheme="majorHAnsi"/>
          <w:sz w:val="20"/>
          <w:szCs w:val="20"/>
          <w:lang w:val="es-ES"/>
        </w:rPr>
        <w:t>d</w:t>
      </w:r>
      <w:r w:rsidR="00446E69" w:rsidRPr="00F803D0">
        <w:rPr>
          <w:rFonts w:asciiTheme="majorHAnsi" w:hAnsiTheme="majorHAnsi"/>
          <w:sz w:val="20"/>
          <w:szCs w:val="20"/>
          <w:lang w:val="es-ES"/>
        </w:rPr>
        <w:t xml:space="preserve">el desmembramiento de Laguna Negra de la Comunidad Garífuna de Triunfo de la Cruz, </w:t>
      </w:r>
      <w:r w:rsidRPr="00F803D0">
        <w:rPr>
          <w:rFonts w:asciiTheme="majorHAnsi" w:hAnsiTheme="majorHAnsi"/>
          <w:sz w:val="20"/>
          <w:szCs w:val="20"/>
          <w:lang w:val="es-ES"/>
        </w:rPr>
        <w:t xml:space="preserve">el Estado sostiene que estos hechos </w:t>
      </w:r>
      <w:r w:rsidR="00446E69" w:rsidRPr="00F803D0">
        <w:rPr>
          <w:rFonts w:asciiTheme="majorHAnsi" w:hAnsiTheme="majorHAnsi"/>
          <w:sz w:val="20"/>
          <w:szCs w:val="20"/>
          <w:lang w:val="es-ES"/>
        </w:rPr>
        <w:t xml:space="preserve">ya han sido </w:t>
      </w:r>
      <w:r w:rsidR="002C687F" w:rsidRPr="00F803D0">
        <w:rPr>
          <w:rFonts w:asciiTheme="majorHAnsi" w:hAnsiTheme="majorHAnsi"/>
          <w:sz w:val="20"/>
          <w:szCs w:val="20"/>
          <w:lang w:val="es-ES"/>
        </w:rPr>
        <w:t xml:space="preserve">decididas por </w:t>
      </w:r>
      <w:r w:rsidRPr="00F803D0">
        <w:rPr>
          <w:rFonts w:asciiTheme="majorHAnsi" w:hAnsiTheme="majorHAnsi"/>
          <w:sz w:val="20"/>
          <w:szCs w:val="20"/>
          <w:lang w:val="es-ES"/>
        </w:rPr>
        <w:t>la Corte I</w:t>
      </w:r>
      <w:r w:rsidR="002C687F" w:rsidRPr="00F803D0">
        <w:rPr>
          <w:rFonts w:asciiTheme="majorHAnsi" w:hAnsiTheme="majorHAnsi"/>
          <w:sz w:val="20"/>
          <w:szCs w:val="20"/>
          <w:lang w:val="es-ES"/>
        </w:rPr>
        <w:t>nteramericana de Derechos Humanos</w:t>
      </w:r>
      <w:r w:rsidRPr="00F803D0">
        <w:rPr>
          <w:rFonts w:asciiTheme="majorHAnsi" w:hAnsiTheme="majorHAnsi"/>
          <w:sz w:val="20"/>
          <w:szCs w:val="20"/>
          <w:lang w:val="es-ES"/>
        </w:rPr>
        <w:t xml:space="preserve"> </w:t>
      </w:r>
      <w:r w:rsidR="002C687F" w:rsidRPr="00F803D0">
        <w:rPr>
          <w:rFonts w:asciiTheme="majorHAnsi" w:hAnsiTheme="majorHAnsi"/>
          <w:sz w:val="20"/>
          <w:szCs w:val="20"/>
          <w:lang w:val="es-ES"/>
        </w:rPr>
        <w:t xml:space="preserve">en su </w:t>
      </w:r>
      <w:r w:rsidR="00446E69" w:rsidRPr="00F803D0">
        <w:rPr>
          <w:rFonts w:asciiTheme="majorHAnsi" w:hAnsiTheme="majorHAnsi"/>
          <w:sz w:val="20"/>
          <w:szCs w:val="20"/>
          <w:lang w:val="es-ES"/>
        </w:rPr>
        <w:t xml:space="preserve">sentencia </w:t>
      </w:r>
      <w:r w:rsidR="002C687F" w:rsidRPr="00F803D0">
        <w:rPr>
          <w:rFonts w:asciiTheme="majorHAnsi" w:hAnsiTheme="majorHAnsi"/>
          <w:sz w:val="20"/>
          <w:szCs w:val="20"/>
          <w:lang w:val="es-ES"/>
        </w:rPr>
        <w:t>de</w:t>
      </w:r>
      <w:r w:rsidR="00446E69" w:rsidRPr="00F803D0">
        <w:rPr>
          <w:rFonts w:asciiTheme="majorHAnsi" w:hAnsiTheme="majorHAnsi"/>
          <w:sz w:val="20"/>
          <w:szCs w:val="20"/>
          <w:lang w:val="es-ES"/>
        </w:rPr>
        <w:t xml:space="preserve"> 8 de octubre de 2015</w:t>
      </w:r>
      <w:r w:rsidR="002C687F" w:rsidRPr="00F803D0">
        <w:rPr>
          <w:rFonts w:asciiTheme="majorHAnsi" w:hAnsiTheme="majorHAnsi"/>
          <w:sz w:val="20"/>
          <w:szCs w:val="20"/>
          <w:lang w:val="es-ES"/>
        </w:rPr>
        <w:t>,</w:t>
      </w:r>
      <w:r w:rsidRPr="00F803D0">
        <w:rPr>
          <w:rFonts w:asciiTheme="majorHAnsi" w:hAnsiTheme="majorHAnsi"/>
          <w:sz w:val="20"/>
          <w:szCs w:val="20"/>
          <w:lang w:val="es-ES"/>
        </w:rPr>
        <w:t xml:space="preserve"> por lo cual </w:t>
      </w:r>
      <w:r w:rsidR="00802992" w:rsidRPr="00F803D0">
        <w:rPr>
          <w:rFonts w:asciiTheme="majorHAnsi" w:hAnsiTheme="majorHAnsi"/>
          <w:sz w:val="20"/>
          <w:szCs w:val="20"/>
          <w:lang w:val="es-ES"/>
        </w:rPr>
        <w:t xml:space="preserve">se estaría ante una </w:t>
      </w:r>
      <w:r w:rsidRPr="00F803D0">
        <w:rPr>
          <w:rFonts w:asciiTheme="majorHAnsi" w:hAnsiTheme="majorHAnsi"/>
          <w:sz w:val="20"/>
          <w:szCs w:val="20"/>
          <w:lang w:val="es-ES"/>
        </w:rPr>
        <w:t>cosa juzgada</w:t>
      </w:r>
      <w:r w:rsidR="00C91A29" w:rsidRPr="00F803D0">
        <w:rPr>
          <w:rFonts w:asciiTheme="majorHAnsi" w:hAnsiTheme="majorHAnsi"/>
          <w:sz w:val="20"/>
          <w:szCs w:val="20"/>
          <w:lang w:val="es-ES"/>
        </w:rPr>
        <w:t xml:space="preserve"> internacional</w:t>
      </w:r>
      <w:r w:rsidR="00135F50" w:rsidRPr="00F803D0">
        <w:rPr>
          <w:rFonts w:asciiTheme="majorHAnsi" w:hAnsiTheme="majorHAnsi"/>
          <w:sz w:val="20"/>
          <w:szCs w:val="20"/>
          <w:lang w:val="es-ES"/>
        </w:rPr>
        <w:t xml:space="preserve"> al constituir</w:t>
      </w:r>
      <w:r w:rsidR="00802992" w:rsidRPr="00F803D0">
        <w:rPr>
          <w:rFonts w:asciiTheme="majorHAnsi" w:hAnsiTheme="majorHAnsi"/>
          <w:sz w:val="20"/>
          <w:szCs w:val="20"/>
          <w:lang w:val="es-ES"/>
        </w:rPr>
        <w:t>se</w:t>
      </w:r>
      <w:r w:rsidR="00135F50" w:rsidRPr="00F803D0">
        <w:rPr>
          <w:rFonts w:asciiTheme="majorHAnsi" w:hAnsiTheme="majorHAnsi"/>
          <w:sz w:val="20"/>
          <w:szCs w:val="20"/>
          <w:lang w:val="es-ES"/>
        </w:rPr>
        <w:t xml:space="preserve"> sustancialmente la reproducción </w:t>
      </w:r>
      <w:r w:rsidR="00B035C2" w:rsidRPr="00F803D0">
        <w:rPr>
          <w:rFonts w:asciiTheme="majorHAnsi" w:hAnsiTheme="majorHAnsi"/>
          <w:sz w:val="20"/>
          <w:szCs w:val="20"/>
          <w:lang w:val="es-ES"/>
        </w:rPr>
        <w:t>de</w:t>
      </w:r>
      <w:r w:rsidR="00135F50" w:rsidRPr="00F803D0">
        <w:rPr>
          <w:rFonts w:asciiTheme="majorHAnsi" w:hAnsiTheme="majorHAnsi"/>
          <w:sz w:val="20"/>
          <w:szCs w:val="20"/>
          <w:lang w:val="es-ES"/>
        </w:rPr>
        <w:t xml:space="preserve"> casos </w:t>
      </w:r>
      <w:r w:rsidR="00B035C2" w:rsidRPr="00F803D0">
        <w:rPr>
          <w:rFonts w:asciiTheme="majorHAnsi" w:hAnsiTheme="majorHAnsi"/>
          <w:sz w:val="20"/>
          <w:szCs w:val="20"/>
          <w:lang w:val="es-ES"/>
        </w:rPr>
        <w:t xml:space="preserve">con las mismas </w:t>
      </w:r>
      <w:r w:rsidR="00135F50" w:rsidRPr="00F803D0">
        <w:rPr>
          <w:rFonts w:asciiTheme="majorHAnsi" w:hAnsiTheme="majorHAnsi"/>
          <w:sz w:val="20"/>
          <w:szCs w:val="20"/>
          <w:lang w:val="es-ES"/>
        </w:rPr>
        <w:t>parte</w:t>
      </w:r>
      <w:r w:rsidR="00802992" w:rsidRPr="00F803D0">
        <w:rPr>
          <w:rFonts w:asciiTheme="majorHAnsi" w:hAnsiTheme="majorHAnsi"/>
          <w:sz w:val="20"/>
          <w:szCs w:val="20"/>
          <w:lang w:val="es-ES"/>
        </w:rPr>
        <w:t>s, objeto y base legal</w:t>
      </w:r>
      <w:r w:rsidR="00446E69" w:rsidRPr="00F803D0">
        <w:rPr>
          <w:rFonts w:asciiTheme="majorHAnsi" w:hAnsiTheme="majorHAnsi"/>
          <w:sz w:val="20"/>
          <w:szCs w:val="20"/>
          <w:lang w:val="es-ES"/>
        </w:rPr>
        <w:t xml:space="preserve">. </w:t>
      </w:r>
      <w:r w:rsidR="00135F50" w:rsidRPr="00F803D0">
        <w:rPr>
          <w:rFonts w:asciiTheme="majorHAnsi" w:hAnsiTheme="majorHAnsi"/>
          <w:sz w:val="20"/>
          <w:szCs w:val="20"/>
          <w:lang w:val="es-ES"/>
        </w:rPr>
        <w:t>En el caso de</w:t>
      </w:r>
      <w:r w:rsidR="00802992" w:rsidRPr="00F803D0">
        <w:rPr>
          <w:rFonts w:asciiTheme="majorHAnsi" w:hAnsiTheme="majorHAnsi"/>
          <w:sz w:val="20"/>
          <w:szCs w:val="20"/>
          <w:lang w:val="es-ES"/>
        </w:rPr>
        <w:t>l desmembramiento de</w:t>
      </w:r>
      <w:r w:rsidR="00135F50" w:rsidRPr="00F803D0">
        <w:rPr>
          <w:rFonts w:asciiTheme="majorHAnsi" w:hAnsiTheme="majorHAnsi"/>
          <w:sz w:val="20"/>
          <w:szCs w:val="20"/>
          <w:lang w:val="es-ES"/>
        </w:rPr>
        <w:t xml:space="preserve"> Laguna Negra</w:t>
      </w:r>
      <w:r w:rsidR="00B035C2" w:rsidRPr="00F803D0">
        <w:rPr>
          <w:rFonts w:asciiTheme="majorHAnsi" w:hAnsiTheme="majorHAnsi"/>
          <w:sz w:val="20"/>
          <w:szCs w:val="20"/>
          <w:lang w:val="es-ES"/>
        </w:rPr>
        <w:t>, sostiene que</w:t>
      </w:r>
      <w:r w:rsidR="00135F50" w:rsidRPr="00F803D0">
        <w:rPr>
          <w:rFonts w:asciiTheme="majorHAnsi" w:hAnsiTheme="majorHAnsi"/>
          <w:sz w:val="20"/>
          <w:szCs w:val="20"/>
          <w:lang w:val="es-ES"/>
        </w:rPr>
        <w:t xml:space="preserve"> l</w:t>
      </w:r>
      <w:r w:rsidR="00B035C2" w:rsidRPr="00F803D0">
        <w:rPr>
          <w:rFonts w:asciiTheme="majorHAnsi" w:hAnsiTheme="majorHAnsi"/>
          <w:sz w:val="20"/>
          <w:szCs w:val="20"/>
          <w:lang w:val="es-ES"/>
        </w:rPr>
        <w:t xml:space="preserve">a parte </w:t>
      </w:r>
      <w:r w:rsidR="00135F50" w:rsidRPr="00F803D0">
        <w:rPr>
          <w:rFonts w:asciiTheme="majorHAnsi" w:hAnsiTheme="majorHAnsi"/>
          <w:sz w:val="20"/>
          <w:szCs w:val="20"/>
          <w:lang w:val="es-ES"/>
        </w:rPr>
        <w:t>peticionari</w:t>
      </w:r>
      <w:r w:rsidR="00B035C2" w:rsidRPr="00F803D0">
        <w:rPr>
          <w:rFonts w:asciiTheme="majorHAnsi" w:hAnsiTheme="majorHAnsi"/>
          <w:sz w:val="20"/>
          <w:szCs w:val="20"/>
          <w:lang w:val="es-ES"/>
        </w:rPr>
        <w:t>a</w:t>
      </w:r>
      <w:r w:rsidR="00135F50" w:rsidRPr="00F803D0">
        <w:rPr>
          <w:rFonts w:asciiTheme="majorHAnsi" w:hAnsiTheme="majorHAnsi"/>
          <w:sz w:val="20"/>
          <w:szCs w:val="20"/>
          <w:lang w:val="es-ES"/>
        </w:rPr>
        <w:t xml:space="preserve"> </w:t>
      </w:r>
      <w:r w:rsidR="00B035C2" w:rsidRPr="00F803D0">
        <w:rPr>
          <w:rFonts w:asciiTheme="majorHAnsi" w:hAnsiTheme="majorHAnsi"/>
          <w:sz w:val="20"/>
          <w:szCs w:val="20"/>
          <w:lang w:val="es-ES"/>
        </w:rPr>
        <w:t>alega</w:t>
      </w:r>
      <w:r w:rsidR="00135F50" w:rsidRPr="00F803D0">
        <w:rPr>
          <w:rFonts w:asciiTheme="majorHAnsi" w:hAnsiTheme="majorHAnsi"/>
          <w:sz w:val="20"/>
          <w:szCs w:val="20"/>
          <w:lang w:val="es-ES"/>
        </w:rPr>
        <w:t xml:space="preserve"> una supuesta vulneración por desmembramiento</w:t>
      </w:r>
      <w:r w:rsidR="00B035C2" w:rsidRPr="00F803D0">
        <w:rPr>
          <w:rFonts w:asciiTheme="majorHAnsi" w:hAnsiTheme="majorHAnsi"/>
          <w:sz w:val="20"/>
          <w:szCs w:val="20"/>
          <w:lang w:val="es-ES"/>
        </w:rPr>
        <w:t>,</w:t>
      </w:r>
      <w:r w:rsidR="00135F50" w:rsidRPr="00F803D0">
        <w:rPr>
          <w:rFonts w:asciiTheme="majorHAnsi" w:hAnsiTheme="majorHAnsi"/>
          <w:sz w:val="20"/>
          <w:szCs w:val="20"/>
          <w:lang w:val="es-ES"/>
        </w:rPr>
        <w:t xml:space="preserve"> sin </w:t>
      </w:r>
      <w:r w:rsidR="00802992" w:rsidRPr="00F803D0">
        <w:rPr>
          <w:rFonts w:asciiTheme="majorHAnsi" w:hAnsiTheme="majorHAnsi"/>
          <w:sz w:val="20"/>
          <w:szCs w:val="20"/>
          <w:lang w:val="es-ES"/>
        </w:rPr>
        <w:t xml:space="preserve">acreditar </w:t>
      </w:r>
      <w:r w:rsidR="00135F50" w:rsidRPr="00F803D0">
        <w:rPr>
          <w:rFonts w:asciiTheme="majorHAnsi" w:hAnsiTheme="majorHAnsi"/>
          <w:sz w:val="20"/>
          <w:szCs w:val="20"/>
          <w:lang w:val="es-ES"/>
        </w:rPr>
        <w:t xml:space="preserve">el agotamiento </w:t>
      </w:r>
      <w:r w:rsidR="00802992" w:rsidRPr="00F803D0">
        <w:rPr>
          <w:rFonts w:asciiTheme="majorHAnsi" w:hAnsiTheme="majorHAnsi"/>
          <w:sz w:val="20"/>
          <w:szCs w:val="20"/>
          <w:lang w:val="es-ES"/>
        </w:rPr>
        <w:t>de los recursos internos</w:t>
      </w:r>
      <w:r w:rsidR="00B035C2" w:rsidRPr="00F803D0">
        <w:rPr>
          <w:rFonts w:asciiTheme="majorHAnsi" w:hAnsiTheme="majorHAnsi"/>
          <w:sz w:val="20"/>
          <w:szCs w:val="20"/>
          <w:lang w:val="es-ES"/>
        </w:rPr>
        <w:t>;</w:t>
      </w:r>
      <w:r w:rsidR="00802992" w:rsidRPr="00F803D0">
        <w:rPr>
          <w:rFonts w:asciiTheme="majorHAnsi" w:hAnsiTheme="majorHAnsi"/>
          <w:sz w:val="20"/>
          <w:szCs w:val="20"/>
          <w:lang w:val="es-ES"/>
        </w:rPr>
        <w:t xml:space="preserve"> e insiste que </w:t>
      </w:r>
      <w:r w:rsidR="00135F50" w:rsidRPr="00F803D0">
        <w:rPr>
          <w:rFonts w:asciiTheme="majorHAnsi" w:hAnsiTheme="majorHAnsi"/>
          <w:sz w:val="20"/>
          <w:szCs w:val="20"/>
          <w:lang w:val="es-ES"/>
        </w:rPr>
        <w:t xml:space="preserve">en la sentencia de la Corte Interamericana no se pudo acreditar en ese momento las supuestas vulneraciones ni la ubicación de dicha comunidad. </w:t>
      </w:r>
    </w:p>
    <w:p w14:paraId="1F63F09D" w14:textId="5812724D" w:rsidR="00E4422E" w:rsidRPr="00F803D0" w:rsidRDefault="00E4422E" w:rsidP="00B035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3FE6F5AE" w14:textId="6AAC199B" w:rsidR="004C616A" w:rsidRPr="00F803D0" w:rsidRDefault="004C616A" w:rsidP="00730A5E">
      <w:pPr>
        <w:pStyle w:val="ListParagraph"/>
        <w:numPr>
          <w:ilvl w:val="0"/>
          <w:numId w:val="60"/>
        </w:numPr>
        <w:ind w:left="0" w:firstLine="720"/>
        <w:jc w:val="both"/>
        <w:rPr>
          <w:rFonts w:asciiTheme="majorHAnsi" w:hAnsiTheme="majorHAnsi"/>
          <w:b/>
          <w:bCs/>
          <w:sz w:val="20"/>
          <w:szCs w:val="20"/>
          <w:lang w:val="es-ES"/>
        </w:rPr>
      </w:pPr>
      <w:r w:rsidRPr="00F803D0">
        <w:rPr>
          <w:rFonts w:asciiTheme="majorHAnsi" w:hAnsiTheme="majorHAnsi"/>
          <w:b/>
          <w:bCs/>
          <w:sz w:val="20"/>
          <w:szCs w:val="20"/>
          <w:lang w:val="es-ES"/>
        </w:rPr>
        <w:t>AGOTAMIENTO DE LOS RECURSOS INTERNOS Y PLAZO DE PRESENTACIÓN</w:t>
      </w:r>
    </w:p>
    <w:p w14:paraId="74887FDF" w14:textId="77777777" w:rsidR="00730A5E" w:rsidRPr="00F803D0" w:rsidRDefault="00730A5E" w:rsidP="00730A5E">
      <w:pPr>
        <w:jc w:val="both"/>
        <w:rPr>
          <w:rFonts w:asciiTheme="majorHAnsi" w:hAnsiTheme="majorHAnsi"/>
          <w:b/>
          <w:bCs/>
          <w:sz w:val="20"/>
          <w:szCs w:val="20"/>
          <w:lang w:val="es-ES"/>
        </w:rPr>
      </w:pPr>
    </w:p>
    <w:p w14:paraId="720A55CB" w14:textId="57F84021" w:rsidR="00FE48BF" w:rsidRPr="00F803D0" w:rsidRDefault="00FE48BF" w:rsidP="00E43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F803D0">
        <w:rPr>
          <w:rFonts w:asciiTheme="majorHAnsi" w:hAnsiTheme="majorHAnsi"/>
          <w:sz w:val="20"/>
          <w:szCs w:val="20"/>
          <w:lang w:val="es-ES_tradnl"/>
        </w:rPr>
        <w:t xml:space="preserve">La Comisión </w:t>
      </w:r>
      <w:r w:rsidR="001B4C37" w:rsidRPr="00F803D0">
        <w:rPr>
          <w:rFonts w:asciiTheme="majorHAnsi" w:hAnsiTheme="majorHAnsi"/>
          <w:sz w:val="20"/>
          <w:szCs w:val="20"/>
          <w:lang w:val="es-ES_tradnl"/>
        </w:rPr>
        <w:t xml:space="preserve">Interamericana </w:t>
      </w:r>
      <w:r w:rsidRPr="00F803D0">
        <w:rPr>
          <w:rFonts w:asciiTheme="majorHAnsi" w:hAnsiTheme="majorHAnsi"/>
          <w:sz w:val="20"/>
          <w:szCs w:val="20"/>
          <w:lang w:val="es-ES_tradnl"/>
        </w:rPr>
        <w:t xml:space="preserve">observa que </w:t>
      </w:r>
      <w:r w:rsidRPr="00F803D0">
        <w:rPr>
          <w:rFonts w:asciiTheme="majorHAnsi" w:hAnsiTheme="majorHAnsi" w:cs="Calibri"/>
          <w:sz w:val="20"/>
          <w:szCs w:val="20"/>
          <w:lang w:val="es-ES"/>
        </w:rPr>
        <w:t xml:space="preserve">las presuntas víctimas son </w:t>
      </w:r>
      <w:r w:rsidR="00B035C2" w:rsidRPr="00F803D0">
        <w:rPr>
          <w:rFonts w:asciiTheme="majorHAnsi" w:hAnsiTheme="majorHAnsi" w:cs="Calibri"/>
          <w:sz w:val="20"/>
          <w:szCs w:val="20"/>
          <w:lang w:val="es-ES"/>
        </w:rPr>
        <w:t xml:space="preserve">las personas integrantes </w:t>
      </w:r>
      <w:r w:rsidRPr="00F803D0">
        <w:rPr>
          <w:rFonts w:asciiTheme="majorHAnsi" w:hAnsiTheme="majorHAnsi" w:cs="Calibri"/>
          <w:sz w:val="20"/>
          <w:szCs w:val="20"/>
          <w:lang w:val="es-ES"/>
        </w:rPr>
        <w:t>de las comunidades del Pueblo Garífuna, culturalmente diferenciado, con organización y autoridades propias, de tradici</w:t>
      </w:r>
      <w:r w:rsidR="00957FF2" w:rsidRPr="00F803D0">
        <w:rPr>
          <w:rFonts w:asciiTheme="majorHAnsi" w:hAnsiTheme="majorHAnsi" w:cs="Calibri"/>
          <w:sz w:val="20"/>
          <w:szCs w:val="20"/>
          <w:lang w:val="es-ES"/>
        </w:rPr>
        <w:t>ón oral</w:t>
      </w:r>
      <w:r w:rsidR="00B035C2" w:rsidRPr="00F803D0">
        <w:rPr>
          <w:rFonts w:asciiTheme="majorHAnsi" w:hAnsiTheme="majorHAnsi" w:cs="Calibri"/>
          <w:sz w:val="20"/>
          <w:szCs w:val="20"/>
          <w:lang w:val="es-ES"/>
        </w:rPr>
        <w:t>;</w:t>
      </w:r>
      <w:r w:rsidR="00957FF2" w:rsidRPr="00F803D0">
        <w:rPr>
          <w:rFonts w:asciiTheme="majorHAnsi" w:hAnsiTheme="majorHAnsi" w:cs="Calibri"/>
          <w:sz w:val="20"/>
          <w:szCs w:val="20"/>
          <w:lang w:val="es-ES"/>
        </w:rPr>
        <w:t xml:space="preserve"> </w:t>
      </w:r>
      <w:r w:rsidR="00B035C2" w:rsidRPr="00F803D0">
        <w:rPr>
          <w:rFonts w:asciiTheme="majorHAnsi" w:hAnsiTheme="majorHAnsi" w:cs="Calibri"/>
          <w:sz w:val="20"/>
          <w:szCs w:val="20"/>
          <w:lang w:val="es-ES"/>
        </w:rPr>
        <w:t xml:space="preserve">y </w:t>
      </w:r>
      <w:r w:rsidR="00957FF2" w:rsidRPr="00F803D0">
        <w:rPr>
          <w:rFonts w:asciiTheme="majorHAnsi" w:hAnsiTheme="majorHAnsi" w:cs="Calibri"/>
          <w:sz w:val="20"/>
          <w:szCs w:val="20"/>
          <w:lang w:val="es-ES"/>
        </w:rPr>
        <w:t xml:space="preserve">que desde hace décadas </w:t>
      </w:r>
      <w:r w:rsidRPr="00F803D0">
        <w:rPr>
          <w:rFonts w:asciiTheme="majorHAnsi" w:hAnsiTheme="majorHAnsi" w:cs="Calibri"/>
          <w:sz w:val="20"/>
          <w:szCs w:val="20"/>
          <w:lang w:val="es-ES"/>
        </w:rPr>
        <w:t xml:space="preserve">vienen realizando gestiones ante las autoridades con el objeto de que se les reconozca su territorio ancestral y se les permita el uso y disfrute de sus derechos. </w:t>
      </w:r>
      <w:r w:rsidR="00B035C2" w:rsidRPr="00F803D0">
        <w:rPr>
          <w:rFonts w:asciiTheme="majorHAnsi" w:hAnsiTheme="majorHAnsi" w:cs="Calibri"/>
          <w:sz w:val="20"/>
          <w:szCs w:val="20"/>
          <w:lang w:val="es-ES"/>
        </w:rPr>
        <w:t>La Comisión Interamericana</w:t>
      </w:r>
      <w:r w:rsidR="00894494" w:rsidRPr="00F803D0">
        <w:rPr>
          <w:rFonts w:asciiTheme="majorHAnsi" w:hAnsiTheme="majorHAnsi" w:cs="Calibri"/>
          <w:sz w:val="20"/>
          <w:szCs w:val="20"/>
          <w:lang w:val="es-ES"/>
        </w:rPr>
        <w:t xml:space="preserve"> </w:t>
      </w:r>
      <w:r w:rsidR="00B035C2" w:rsidRPr="00F803D0">
        <w:rPr>
          <w:rFonts w:asciiTheme="majorHAnsi" w:hAnsiTheme="majorHAnsi" w:cs="Calibri"/>
          <w:sz w:val="20"/>
          <w:szCs w:val="20"/>
          <w:lang w:val="es-ES"/>
        </w:rPr>
        <w:t xml:space="preserve">destaca </w:t>
      </w:r>
      <w:r w:rsidR="00894494" w:rsidRPr="00F803D0">
        <w:rPr>
          <w:rFonts w:asciiTheme="majorHAnsi" w:hAnsiTheme="majorHAnsi" w:cs="Calibri"/>
          <w:sz w:val="20"/>
          <w:szCs w:val="20"/>
          <w:lang w:val="es-ES"/>
        </w:rPr>
        <w:t xml:space="preserve">que </w:t>
      </w:r>
      <w:r w:rsidR="00B035C2" w:rsidRPr="00F803D0">
        <w:rPr>
          <w:rFonts w:asciiTheme="majorHAnsi" w:hAnsiTheme="majorHAnsi" w:cs="Calibri"/>
          <w:sz w:val="20"/>
          <w:szCs w:val="20"/>
          <w:lang w:val="es-ES"/>
        </w:rPr>
        <w:t xml:space="preserve">en </w:t>
      </w:r>
      <w:r w:rsidRPr="00F803D0">
        <w:rPr>
          <w:rFonts w:asciiTheme="majorHAnsi" w:hAnsiTheme="majorHAnsi" w:cs="Calibri"/>
          <w:sz w:val="20"/>
          <w:szCs w:val="20"/>
          <w:lang w:val="es-ES"/>
        </w:rPr>
        <w:t xml:space="preserve">el derecho </w:t>
      </w:r>
      <w:r w:rsidRPr="00F803D0">
        <w:rPr>
          <w:rFonts w:asciiTheme="majorHAnsi" w:hAnsiTheme="majorHAnsi"/>
          <w:sz w:val="20"/>
          <w:szCs w:val="20"/>
          <w:lang w:val="es-MX"/>
        </w:rPr>
        <w:t>internacional en general, y en el derecho int</w:t>
      </w:r>
      <w:r w:rsidR="00894494" w:rsidRPr="00F803D0">
        <w:rPr>
          <w:rFonts w:asciiTheme="majorHAnsi" w:hAnsiTheme="majorHAnsi"/>
          <w:sz w:val="20"/>
          <w:szCs w:val="20"/>
          <w:lang w:val="es-MX"/>
        </w:rPr>
        <w:t xml:space="preserve">eramericano específicamente, se </w:t>
      </w:r>
      <w:r w:rsidRPr="00F803D0">
        <w:rPr>
          <w:rFonts w:asciiTheme="majorHAnsi" w:hAnsiTheme="majorHAnsi"/>
          <w:sz w:val="20"/>
          <w:szCs w:val="20"/>
          <w:lang w:val="es-MX"/>
        </w:rPr>
        <w:t>requiere de protección especial para que los pueblos indígenas y las comunidades afrodescendientes puedan ejercer sus derechos plena y equitativamente con el resto de la población</w:t>
      </w:r>
      <w:r w:rsidR="00894494" w:rsidRPr="00F803D0">
        <w:rPr>
          <w:rFonts w:asciiTheme="majorHAnsi" w:hAnsiTheme="majorHAnsi"/>
          <w:sz w:val="20"/>
          <w:szCs w:val="20"/>
          <w:lang w:val="es-MX"/>
        </w:rPr>
        <w:t>.</w:t>
      </w:r>
    </w:p>
    <w:p w14:paraId="7DBD45CD" w14:textId="77777777" w:rsidR="00FE48BF" w:rsidRPr="00F803D0" w:rsidRDefault="00FE48BF" w:rsidP="00B625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
        </w:rPr>
      </w:pPr>
    </w:p>
    <w:p w14:paraId="038F7262" w14:textId="73C850CF" w:rsidR="00045828" w:rsidRPr="00F803D0" w:rsidRDefault="001B4C37" w:rsidP="00E43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F803D0">
        <w:rPr>
          <w:rFonts w:asciiTheme="majorHAnsi" w:eastAsia="NotDefSpecial" w:hAnsiTheme="majorHAnsi" w:cs="NotDefSpecial"/>
          <w:color w:val="auto"/>
          <w:sz w:val="20"/>
          <w:szCs w:val="20"/>
          <w:lang w:val="es-ES"/>
        </w:rPr>
        <w:t>El</w:t>
      </w:r>
      <w:r w:rsidR="00FE4147" w:rsidRPr="00F803D0">
        <w:rPr>
          <w:rFonts w:asciiTheme="majorHAnsi" w:hAnsiTheme="majorHAnsi"/>
          <w:sz w:val="20"/>
          <w:szCs w:val="20"/>
          <w:lang w:val="es-ES"/>
        </w:rPr>
        <w:t xml:space="preserve"> Estado </w:t>
      </w:r>
      <w:r w:rsidRPr="00F803D0">
        <w:rPr>
          <w:rFonts w:asciiTheme="majorHAnsi" w:hAnsiTheme="majorHAnsi"/>
          <w:sz w:val="20"/>
          <w:szCs w:val="20"/>
          <w:lang w:val="es-ES"/>
        </w:rPr>
        <w:t xml:space="preserve">argumenta </w:t>
      </w:r>
      <w:r w:rsidR="00FE4147" w:rsidRPr="00F803D0">
        <w:rPr>
          <w:rFonts w:asciiTheme="majorHAnsi" w:hAnsiTheme="majorHAnsi"/>
          <w:sz w:val="20"/>
          <w:szCs w:val="20"/>
          <w:lang w:val="es-ES"/>
        </w:rPr>
        <w:t>la diferencia entre los artículos impugnados a través de la acción de inconstitucionalidad y los referidos en el presente trámite</w:t>
      </w:r>
      <w:r w:rsidRPr="00F803D0">
        <w:rPr>
          <w:rFonts w:asciiTheme="majorHAnsi" w:hAnsiTheme="majorHAnsi"/>
          <w:sz w:val="20"/>
          <w:szCs w:val="20"/>
          <w:lang w:val="es-ES"/>
        </w:rPr>
        <w:t>;</w:t>
      </w:r>
      <w:r w:rsidR="00FE4147" w:rsidRPr="00F803D0">
        <w:rPr>
          <w:rFonts w:asciiTheme="majorHAnsi" w:hAnsiTheme="majorHAnsi"/>
          <w:sz w:val="20"/>
          <w:szCs w:val="20"/>
          <w:lang w:val="es-ES"/>
        </w:rPr>
        <w:t xml:space="preserve"> </w:t>
      </w:r>
      <w:r w:rsidRPr="00F803D0">
        <w:rPr>
          <w:rFonts w:asciiTheme="majorHAnsi" w:hAnsiTheme="majorHAnsi"/>
          <w:sz w:val="20"/>
          <w:szCs w:val="20"/>
          <w:lang w:val="es-ES"/>
        </w:rPr>
        <w:t>así como</w:t>
      </w:r>
      <w:r w:rsidR="00FE4147" w:rsidRPr="00F803D0">
        <w:rPr>
          <w:rFonts w:asciiTheme="majorHAnsi" w:hAnsiTheme="majorHAnsi"/>
          <w:sz w:val="20"/>
          <w:szCs w:val="20"/>
          <w:lang w:val="es-ES"/>
        </w:rPr>
        <w:t xml:space="preserve"> la idoneidad de </w:t>
      </w:r>
      <w:r w:rsidRPr="00F803D0">
        <w:rPr>
          <w:rFonts w:asciiTheme="majorHAnsi" w:hAnsiTheme="majorHAnsi"/>
          <w:sz w:val="20"/>
          <w:szCs w:val="20"/>
          <w:lang w:val="es-ES"/>
        </w:rPr>
        <w:t>dicha</w:t>
      </w:r>
      <w:r w:rsidR="00957FF2" w:rsidRPr="00F803D0">
        <w:rPr>
          <w:rFonts w:asciiTheme="majorHAnsi" w:hAnsiTheme="majorHAnsi"/>
          <w:sz w:val="20"/>
          <w:szCs w:val="20"/>
          <w:lang w:val="es-ES"/>
        </w:rPr>
        <w:t xml:space="preserve"> </w:t>
      </w:r>
      <w:r w:rsidR="00FE4147" w:rsidRPr="00F803D0">
        <w:rPr>
          <w:rFonts w:asciiTheme="majorHAnsi" w:hAnsiTheme="majorHAnsi"/>
          <w:sz w:val="20"/>
          <w:szCs w:val="20"/>
          <w:lang w:val="es-ES"/>
        </w:rPr>
        <w:t>acción</w:t>
      </w:r>
      <w:r w:rsidR="003A399D" w:rsidRPr="00F803D0">
        <w:rPr>
          <w:rFonts w:asciiTheme="majorHAnsi" w:hAnsiTheme="majorHAnsi"/>
          <w:sz w:val="20"/>
          <w:szCs w:val="20"/>
          <w:lang w:val="es-ES"/>
        </w:rPr>
        <w:t xml:space="preserve">, </w:t>
      </w:r>
      <w:r w:rsidR="00FE4147" w:rsidRPr="00F803D0">
        <w:rPr>
          <w:rFonts w:asciiTheme="majorHAnsi" w:hAnsiTheme="majorHAnsi"/>
          <w:sz w:val="20"/>
          <w:szCs w:val="20"/>
          <w:lang w:val="es-ES"/>
        </w:rPr>
        <w:t>de</w:t>
      </w:r>
      <w:r w:rsidR="00FE4147" w:rsidRPr="00F803D0">
        <w:rPr>
          <w:rFonts w:asciiTheme="majorHAnsi" w:eastAsia="Arial Unicode MS" w:hAnsiTheme="majorHAnsi" w:cs="Times New Roman"/>
          <w:color w:val="auto"/>
          <w:sz w:val="20"/>
          <w:szCs w:val="20"/>
          <w:lang w:val="es-ES" w:eastAsia="en-US"/>
        </w:rPr>
        <w:t xml:space="preserve"> </w:t>
      </w:r>
      <w:r w:rsidR="00FE4147" w:rsidRPr="00F803D0">
        <w:rPr>
          <w:rFonts w:asciiTheme="majorHAnsi" w:hAnsiTheme="majorHAnsi"/>
          <w:sz w:val="20"/>
          <w:szCs w:val="20"/>
          <w:lang w:val="es-ES"/>
        </w:rPr>
        <w:t>la jurisdicción contenciosa administrativa o</w:t>
      </w:r>
      <w:r w:rsidRPr="00F803D0">
        <w:rPr>
          <w:rFonts w:asciiTheme="majorHAnsi" w:hAnsiTheme="majorHAnsi"/>
          <w:sz w:val="20"/>
          <w:szCs w:val="20"/>
          <w:lang w:val="es-ES"/>
        </w:rPr>
        <w:t>,</w:t>
      </w:r>
      <w:r w:rsidR="00FE4147" w:rsidRPr="00F803D0">
        <w:rPr>
          <w:rFonts w:asciiTheme="majorHAnsi" w:hAnsiTheme="majorHAnsi"/>
          <w:sz w:val="20"/>
          <w:szCs w:val="20"/>
          <w:lang w:val="es-ES"/>
        </w:rPr>
        <w:t xml:space="preserve"> en su defecto, el amparo</w:t>
      </w:r>
      <w:r w:rsidR="003A399D" w:rsidRPr="00F803D0">
        <w:rPr>
          <w:rFonts w:asciiTheme="majorHAnsi" w:hAnsiTheme="majorHAnsi"/>
          <w:sz w:val="20"/>
          <w:szCs w:val="20"/>
          <w:lang w:val="es-ES"/>
        </w:rPr>
        <w:t xml:space="preserve"> como recursos idóneos disponibles</w:t>
      </w:r>
      <w:r w:rsidR="00FE4147" w:rsidRPr="00F803D0">
        <w:rPr>
          <w:rFonts w:asciiTheme="majorHAnsi" w:hAnsiTheme="majorHAnsi"/>
          <w:sz w:val="20"/>
          <w:szCs w:val="20"/>
          <w:lang w:val="es-ES"/>
        </w:rPr>
        <w:t xml:space="preserve">. </w:t>
      </w:r>
      <w:r w:rsidRPr="00F803D0">
        <w:rPr>
          <w:rFonts w:asciiTheme="majorHAnsi" w:hAnsiTheme="majorHAnsi"/>
          <w:sz w:val="20"/>
          <w:szCs w:val="20"/>
          <w:lang w:val="es-ES"/>
        </w:rPr>
        <w:t xml:space="preserve">La </w:t>
      </w:r>
      <w:r w:rsidR="00FE4147" w:rsidRPr="00F803D0">
        <w:rPr>
          <w:rFonts w:asciiTheme="majorHAnsi" w:hAnsiTheme="majorHAnsi" w:cs="Calibri"/>
          <w:sz w:val="20"/>
          <w:szCs w:val="20"/>
          <w:lang w:val="es-ES_tradnl"/>
        </w:rPr>
        <w:t>parte peticionaria</w:t>
      </w:r>
      <w:r w:rsidRPr="00F803D0">
        <w:rPr>
          <w:rFonts w:asciiTheme="majorHAnsi" w:hAnsiTheme="majorHAnsi" w:cs="Calibri"/>
          <w:sz w:val="20"/>
          <w:szCs w:val="20"/>
          <w:lang w:val="es-ES_tradnl"/>
        </w:rPr>
        <w:t>, a su vez,</w:t>
      </w:r>
      <w:r w:rsidR="00FE4147" w:rsidRPr="00F803D0">
        <w:rPr>
          <w:rFonts w:asciiTheme="majorHAnsi" w:hAnsiTheme="majorHAnsi" w:cs="Calibri"/>
          <w:sz w:val="20"/>
          <w:szCs w:val="20"/>
          <w:lang w:val="es-ES_tradnl"/>
        </w:rPr>
        <w:t xml:space="preserve"> señala la interposición del recurso de inconstitucionalidad contra varias disposiciones de la Ley de Propiedad </w:t>
      </w:r>
      <w:r w:rsidR="00FE4147" w:rsidRPr="00F803D0">
        <w:rPr>
          <w:rFonts w:asciiTheme="majorHAnsi" w:hAnsiTheme="majorHAnsi" w:cs="Calibri"/>
          <w:sz w:val="20"/>
          <w:szCs w:val="20"/>
          <w:lang w:val="es-ES"/>
        </w:rPr>
        <w:t>a fin de cuestionar su legalidad y aplicación</w:t>
      </w:r>
      <w:r w:rsidRPr="00F803D0">
        <w:rPr>
          <w:rFonts w:asciiTheme="majorHAnsi" w:hAnsiTheme="majorHAnsi" w:cs="Calibri"/>
          <w:sz w:val="20"/>
          <w:szCs w:val="20"/>
          <w:lang w:val="es-ES"/>
        </w:rPr>
        <w:t>,</w:t>
      </w:r>
      <w:r w:rsidR="00FE4147" w:rsidRPr="00F803D0">
        <w:rPr>
          <w:rFonts w:asciiTheme="majorHAnsi" w:hAnsiTheme="majorHAnsi" w:cs="Calibri"/>
          <w:sz w:val="20"/>
          <w:szCs w:val="20"/>
          <w:lang w:val="es-ES"/>
        </w:rPr>
        <w:t xml:space="preserve"> </w:t>
      </w:r>
      <w:r w:rsidR="00FE4147" w:rsidRPr="00F803D0">
        <w:rPr>
          <w:rFonts w:asciiTheme="majorHAnsi" w:hAnsiTheme="majorHAnsi" w:cs="Calibri"/>
          <w:sz w:val="20"/>
          <w:szCs w:val="20"/>
          <w:lang w:val="es-ES_tradnl"/>
        </w:rPr>
        <w:t xml:space="preserve">así como la puesta en conocimiento del Estado de las objeciones y preocupaciones de los miembros del </w:t>
      </w:r>
      <w:r w:rsidRPr="00F803D0">
        <w:rPr>
          <w:rFonts w:asciiTheme="majorHAnsi" w:hAnsiTheme="majorHAnsi" w:cs="Calibri"/>
          <w:sz w:val="20"/>
          <w:szCs w:val="20"/>
          <w:lang w:val="es-ES_tradnl"/>
        </w:rPr>
        <w:t>P</w:t>
      </w:r>
      <w:r w:rsidR="00FE4147" w:rsidRPr="00F803D0">
        <w:rPr>
          <w:rFonts w:asciiTheme="majorHAnsi" w:hAnsiTheme="majorHAnsi" w:cs="Calibri"/>
          <w:sz w:val="20"/>
          <w:szCs w:val="20"/>
          <w:lang w:val="es-ES_tradnl"/>
        </w:rPr>
        <w:t xml:space="preserve">ueblo Garífuna </w:t>
      </w:r>
      <w:r w:rsidRPr="00F803D0">
        <w:rPr>
          <w:rFonts w:asciiTheme="majorHAnsi" w:hAnsiTheme="majorHAnsi" w:cs="Calibri"/>
          <w:sz w:val="20"/>
          <w:szCs w:val="20"/>
          <w:lang w:val="es-ES_tradnl"/>
        </w:rPr>
        <w:t>con relación a</w:t>
      </w:r>
      <w:r w:rsidR="00FE4147" w:rsidRPr="00F803D0">
        <w:rPr>
          <w:rFonts w:asciiTheme="majorHAnsi" w:hAnsiTheme="majorHAnsi" w:cs="Calibri"/>
          <w:sz w:val="20"/>
          <w:szCs w:val="20"/>
          <w:lang w:val="es-ES_tradnl"/>
        </w:rPr>
        <w:t xml:space="preserve"> </w:t>
      </w:r>
      <w:r w:rsidRPr="00F803D0">
        <w:rPr>
          <w:rFonts w:asciiTheme="majorHAnsi" w:hAnsiTheme="majorHAnsi" w:cs="Calibri"/>
          <w:sz w:val="20"/>
          <w:szCs w:val="20"/>
          <w:lang w:val="es-ES_tradnl"/>
        </w:rPr>
        <w:t>dicha</w:t>
      </w:r>
      <w:r w:rsidR="00FE4147" w:rsidRPr="00F803D0">
        <w:rPr>
          <w:rFonts w:asciiTheme="majorHAnsi" w:hAnsiTheme="majorHAnsi" w:cs="Calibri"/>
          <w:sz w:val="20"/>
          <w:szCs w:val="20"/>
          <w:lang w:val="es-ES_tradnl"/>
        </w:rPr>
        <w:t xml:space="preserve"> Ley, en el marco</w:t>
      </w:r>
      <w:r w:rsidR="00FE4147" w:rsidRPr="00F803D0">
        <w:rPr>
          <w:rFonts w:asciiTheme="majorHAnsi" w:eastAsia="Arial Unicode MS" w:hAnsiTheme="majorHAnsi" w:cs="Times New Roman"/>
          <w:color w:val="auto"/>
          <w:sz w:val="20"/>
          <w:szCs w:val="20"/>
          <w:lang w:val="es-ES" w:eastAsia="en-US"/>
        </w:rPr>
        <w:t xml:space="preserve"> de la </w:t>
      </w:r>
      <w:r w:rsidR="00FE4147" w:rsidRPr="00F803D0">
        <w:rPr>
          <w:rFonts w:asciiTheme="majorHAnsi" w:hAnsiTheme="majorHAnsi" w:cs="Calibri"/>
          <w:sz w:val="20"/>
          <w:szCs w:val="20"/>
          <w:lang w:val="es-ES"/>
        </w:rPr>
        <w:t>consulta comunitaria celebrada en octubre de 2003</w:t>
      </w:r>
      <w:r w:rsidR="005D7EB6" w:rsidRPr="00F803D0">
        <w:rPr>
          <w:rStyle w:val="FootnoteReference"/>
          <w:rFonts w:asciiTheme="majorHAnsi" w:hAnsiTheme="majorHAnsi" w:cs="Calibri"/>
          <w:sz w:val="20"/>
          <w:szCs w:val="20"/>
          <w:lang w:val="es-ES"/>
        </w:rPr>
        <w:footnoteReference w:id="8"/>
      </w:r>
      <w:r w:rsidR="00FE4147" w:rsidRPr="00F803D0">
        <w:rPr>
          <w:rFonts w:asciiTheme="majorHAnsi" w:hAnsiTheme="majorHAnsi" w:cs="Calibri"/>
          <w:sz w:val="20"/>
          <w:szCs w:val="20"/>
          <w:lang w:val="es-ES_tradnl"/>
        </w:rPr>
        <w:t>.</w:t>
      </w:r>
      <w:r w:rsidR="00FD5134" w:rsidRPr="00F803D0">
        <w:rPr>
          <w:rFonts w:asciiTheme="majorHAnsi" w:hAnsiTheme="majorHAnsi" w:cs="Calibri"/>
          <w:color w:val="auto"/>
          <w:sz w:val="20"/>
          <w:szCs w:val="20"/>
          <w:lang w:val="es-ES"/>
        </w:rPr>
        <w:t xml:space="preserve"> </w:t>
      </w:r>
      <w:r w:rsidRPr="00F803D0">
        <w:rPr>
          <w:rFonts w:asciiTheme="majorHAnsi" w:hAnsiTheme="majorHAnsi" w:cs="Calibri"/>
          <w:color w:val="auto"/>
          <w:sz w:val="20"/>
          <w:szCs w:val="20"/>
          <w:lang w:val="es-ES"/>
        </w:rPr>
        <w:t>La parte</w:t>
      </w:r>
      <w:r w:rsidR="00957FF2" w:rsidRPr="00F803D0">
        <w:rPr>
          <w:rFonts w:asciiTheme="majorHAnsi" w:hAnsiTheme="majorHAnsi" w:cs="Calibri"/>
          <w:sz w:val="20"/>
          <w:szCs w:val="20"/>
          <w:lang w:val="es-ES_tradnl"/>
        </w:rPr>
        <w:t xml:space="preserve"> peticionari</w:t>
      </w:r>
      <w:r w:rsidRPr="00F803D0">
        <w:rPr>
          <w:rFonts w:asciiTheme="majorHAnsi" w:hAnsiTheme="majorHAnsi" w:cs="Calibri"/>
          <w:sz w:val="20"/>
          <w:szCs w:val="20"/>
          <w:lang w:val="es-ES_tradnl"/>
        </w:rPr>
        <w:t>a</w:t>
      </w:r>
      <w:r w:rsidR="00957FF2" w:rsidRPr="00F803D0">
        <w:rPr>
          <w:rFonts w:asciiTheme="majorHAnsi" w:hAnsiTheme="majorHAnsi" w:cs="Calibri"/>
          <w:sz w:val="20"/>
          <w:szCs w:val="20"/>
          <w:lang w:val="es-ES_tradnl"/>
        </w:rPr>
        <w:t xml:space="preserve"> sostiene la imposibilidad de agotar otras instancias para reclamar sus derechos en relación con la Ley de Propiedad y las demás afectaciones referidas. </w:t>
      </w:r>
      <w:r w:rsidR="00830825" w:rsidRPr="00F803D0">
        <w:rPr>
          <w:rFonts w:asciiTheme="majorHAnsi" w:hAnsiTheme="majorHAnsi"/>
          <w:sz w:val="20"/>
          <w:szCs w:val="20"/>
          <w:lang w:val="es-ES_tradnl"/>
        </w:rPr>
        <w:t>L</w:t>
      </w:r>
      <w:r w:rsidR="00371182" w:rsidRPr="00F803D0">
        <w:rPr>
          <w:rFonts w:asciiTheme="majorHAnsi" w:hAnsiTheme="majorHAnsi"/>
          <w:sz w:val="20"/>
          <w:szCs w:val="20"/>
          <w:lang w:val="es-ES_tradnl"/>
        </w:rPr>
        <w:t xml:space="preserve">a Comisión </w:t>
      </w:r>
      <w:r w:rsidRPr="00F803D0">
        <w:rPr>
          <w:rFonts w:asciiTheme="majorHAnsi" w:hAnsiTheme="majorHAnsi"/>
          <w:sz w:val="20"/>
          <w:szCs w:val="20"/>
          <w:lang w:val="es-ES_tradnl"/>
        </w:rPr>
        <w:t xml:space="preserve">Interamericana </w:t>
      </w:r>
      <w:r w:rsidR="00371182" w:rsidRPr="00F803D0">
        <w:rPr>
          <w:rFonts w:asciiTheme="majorHAnsi" w:hAnsiTheme="majorHAnsi"/>
          <w:sz w:val="20"/>
          <w:szCs w:val="20"/>
          <w:lang w:val="es-ES_tradnl"/>
        </w:rPr>
        <w:t>observa que los hechos denunciados en el presente caso tienen relación con la protección efectiva del de</w:t>
      </w:r>
      <w:r w:rsidR="00B71D56" w:rsidRPr="00F803D0">
        <w:rPr>
          <w:rFonts w:asciiTheme="majorHAnsi" w:hAnsiTheme="majorHAnsi"/>
          <w:sz w:val="20"/>
          <w:szCs w:val="20"/>
          <w:lang w:val="es-ES_tradnl"/>
        </w:rPr>
        <w:t xml:space="preserve">recho de propiedad colectiva del </w:t>
      </w:r>
      <w:r w:rsidRPr="00F803D0">
        <w:rPr>
          <w:rFonts w:asciiTheme="majorHAnsi" w:hAnsiTheme="majorHAnsi"/>
          <w:sz w:val="20"/>
          <w:szCs w:val="20"/>
          <w:lang w:val="es-ES_tradnl"/>
        </w:rPr>
        <w:t>P</w:t>
      </w:r>
      <w:r w:rsidR="00B71D56" w:rsidRPr="00F803D0">
        <w:rPr>
          <w:rFonts w:asciiTheme="majorHAnsi" w:hAnsiTheme="majorHAnsi"/>
          <w:sz w:val="20"/>
          <w:szCs w:val="20"/>
          <w:lang w:val="es-ES_tradnl"/>
        </w:rPr>
        <w:t>ueblo</w:t>
      </w:r>
      <w:r w:rsidR="00371182" w:rsidRPr="00F803D0">
        <w:rPr>
          <w:rFonts w:asciiTheme="majorHAnsi" w:hAnsiTheme="majorHAnsi"/>
          <w:sz w:val="20"/>
          <w:szCs w:val="20"/>
          <w:lang w:val="es-ES_tradnl"/>
        </w:rPr>
        <w:t xml:space="preserve"> Garífuna</w:t>
      </w:r>
      <w:r w:rsidR="00B71D56" w:rsidRPr="00F803D0">
        <w:rPr>
          <w:rFonts w:asciiTheme="majorHAnsi" w:hAnsiTheme="majorHAnsi"/>
          <w:sz w:val="20"/>
          <w:szCs w:val="20"/>
          <w:lang w:val="es-ES_tradnl"/>
        </w:rPr>
        <w:t xml:space="preserve"> </w:t>
      </w:r>
      <w:r w:rsidRPr="00F803D0">
        <w:rPr>
          <w:rFonts w:asciiTheme="majorHAnsi" w:hAnsiTheme="majorHAnsi"/>
          <w:sz w:val="20"/>
          <w:szCs w:val="20"/>
          <w:lang w:val="es-ES_tradnl"/>
        </w:rPr>
        <w:t xml:space="preserve">respecto a </w:t>
      </w:r>
      <w:r w:rsidR="00B71D56" w:rsidRPr="00F803D0">
        <w:rPr>
          <w:rFonts w:asciiTheme="majorHAnsi" w:hAnsiTheme="majorHAnsi"/>
          <w:sz w:val="20"/>
          <w:szCs w:val="20"/>
          <w:lang w:val="es-ES_tradnl"/>
        </w:rPr>
        <w:t>la vigencia de la Ley de Propiedad</w:t>
      </w:r>
      <w:r w:rsidRPr="00F803D0">
        <w:rPr>
          <w:rFonts w:asciiTheme="majorHAnsi" w:hAnsiTheme="majorHAnsi"/>
          <w:sz w:val="20"/>
          <w:szCs w:val="20"/>
          <w:lang w:val="es-ES_tradnl"/>
        </w:rPr>
        <w:t>;</w:t>
      </w:r>
      <w:r w:rsidR="00FE4147" w:rsidRPr="00F803D0">
        <w:rPr>
          <w:rFonts w:asciiTheme="majorHAnsi" w:hAnsiTheme="majorHAnsi"/>
          <w:sz w:val="20"/>
          <w:szCs w:val="20"/>
          <w:lang w:val="es-ES_tradnl"/>
        </w:rPr>
        <w:t xml:space="preserve"> </w:t>
      </w:r>
      <w:r w:rsidR="00FE4147" w:rsidRPr="00F803D0">
        <w:rPr>
          <w:rFonts w:asciiTheme="majorHAnsi" w:hAnsiTheme="majorHAnsi"/>
          <w:sz w:val="20"/>
          <w:szCs w:val="20"/>
          <w:lang w:val="es-ES"/>
        </w:rPr>
        <w:t xml:space="preserve">y </w:t>
      </w:r>
      <w:r w:rsidRPr="00F803D0">
        <w:rPr>
          <w:rFonts w:asciiTheme="majorHAnsi" w:hAnsiTheme="majorHAnsi"/>
          <w:sz w:val="20"/>
          <w:szCs w:val="20"/>
          <w:lang w:val="es-ES"/>
        </w:rPr>
        <w:t xml:space="preserve">que la </w:t>
      </w:r>
      <w:r w:rsidR="00FE4147" w:rsidRPr="00F803D0">
        <w:rPr>
          <w:rFonts w:asciiTheme="majorHAnsi" w:hAnsiTheme="majorHAnsi"/>
          <w:sz w:val="20"/>
          <w:szCs w:val="20"/>
          <w:lang w:val="es-ES"/>
        </w:rPr>
        <w:t>pretensión principal</w:t>
      </w:r>
      <w:r w:rsidRPr="00F803D0">
        <w:rPr>
          <w:rFonts w:asciiTheme="majorHAnsi" w:hAnsiTheme="majorHAnsi"/>
          <w:sz w:val="20"/>
          <w:szCs w:val="20"/>
          <w:lang w:val="es-ES"/>
        </w:rPr>
        <w:t xml:space="preserve"> de</w:t>
      </w:r>
      <w:r w:rsidR="00FE4147" w:rsidRPr="00F803D0">
        <w:rPr>
          <w:rFonts w:asciiTheme="majorHAnsi" w:hAnsiTheme="majorHAnsi"/>
          <w:sz w:val="20"/>
          <w:szCs w:val="20"/>
          <w:lang w:val="es-ES"/>
        </w:rPr>
        <w:t xml:space="preserve"> la parte peticionaria se refiere a la incompatibilidad de la </w:t>
      </w:r>
      <w:r w:rsidR="009D1B67" w:rsidRPr="00F803D0">
        <w:rPr>
          <w:rFonts w:asciiTheme="majorHAnsi" w:hAnsiTheme="majorHAnsi"/>
          <w:sz w:val="20"/>
          <w:szCs w:val="20"/>
          <w:lang w:val="es-ES"/>
        </w:rPr>
        <w:t xml:space="preserve">mencionada </w:t>
      </w:r>
      <w:r w:rsidR="00FE4147" w:rsidRPr="00F803D0">
        <w:rPr>
          <w:rFonts w:asciiTheme="majorHAnsi" w:hAnsiTheme="majorHAnsi"/>
          <w:sz w:val="20"/>
          <w:szCs w:val="20"/>
          <w:lang w:val="es-ES"/>
        </w:rPr>
        <w:t xml:space="preserve">Ley con el derecho a la propiedad establecido en la </w:t>
      </w:r>
      <w:r w:rsidRPr="00F803D0">
        <w:rPr>
          <w:rFonts w:asciiTheme="majorHAnsi" w:hAnsiTheme="majorHAnsi"/>
          <w:sz w:val="20"/>
          <w:szCs w:val="20"/>
          <w:lang w:val="es-ES"/>
        </w:rPr>
        <w:t xml:space="preserve">Convención Americana,  </w:t>
      </w:r>
      <w:r w:rsidR="00FE4147" w:rsidRPr="00F803D0">
        <w:rPr>
          <w:rFonts w:asciiTheme="majorHAnsi" w:hAnsiTheme="majorHAnsi"/>
          <w:sz w:val="20"/>
          <w:szCs w:val="20"/>
          <w:lang w:val="es-ES"/>
        </w:rPr>
        <w:t xml:space="preserve">y con los estándares desarrollados por el sistema interamericano </w:t>
      </w:r>
      <w:r w:rsidRPr="00F803D0">
        <w:rPr>
          <w:rFonts w:asciiTheme="majorHAnsi" w:hAnsiTheme="majorHAnsi"/>
          <w:sz w:val="20"/>
          <w:szCs w:val="20"/>
          <w:lang w:val="es-ES"/>
        </w:rPr>
        <w:t>con</w:t>
      </w:r>
      <w:r w:rsidR="00FE4147" w:rsidRPr="00F803D0">
        <w:rPr>
          <w:rFonts w:asciiTheme="majorHAnsi" w:hAnsiTheme="majorHAnsi"/>
          <w:sz w:val="20"/>
          <w:szCs w:val="20"/>
          <w:lang w:val="es-ES"/>
        </w:rPr>
        <w:t xml:space="preserve"> relación a los pueblos indígenas.</w:t>
      </w:r>
      <w:r w:rsidR="00114A69" w:rsidRPr="00F803D0">
        <w:rPr>
          <w:rFonts w:asciiTheme="majorHAnsi" w:hAnsiTheme="majorHAnsi"/>
          <w:sz w:val="20"/>
          <w:szCs w:val="20"/>
          <w:lang w:val="es-ES"/>
        </w:rPr>
        <w:t xml:space="preserve"> </w:t>
      </w:r>
    </w:p>
    <w:p w14:paraId="2A5B9F45" w14:textId="4A50F57C" w:rsidR="001B4C37" w:rsidRPr="00F803D0" w:rsidRDefault="001B4C37">
      <w:pPr>
        <w:rPr>
          <w:rFonts w:asciiTheme="majorHAnsi" w:hAnsiTheme="majorHAnsi"/>
          <w:sz w:val="20"/>
          <w:szCs w:val="20"/>
          <w:highlight w:val="yellow"/>
          <w:lang w:val="es-ES_tradnl"/>
        </w:rPr>
      </w:pPr>
    </w:p>
    <w:p w14:paraId="26A8EFD8" w14:textId="20D80704" w:rsidR="009206C5" w:rsidRPr="00F803D0" w:rsidRDefault="001B4C37" w:rsidP="004D6C2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F803D0">
        <w:rPr>
          <w:rFonts w:asciiTheme="majorHAnsi" w:hAnsiTheme="majorHAnsi" w:cs="Calibri"/>
          <w:sz w:val="20"/>
          <w:szCs w:val="20"/>
          <w:lang w:val="es-ES_tradnl"/>
        </w:rPr>
        <w:t>A</w:t>
      </w:r>
      <w:r w:rsidR="00FE4147" w:rsidRPr="00F803D0">
        <w:rPr>
          <w:rFonts w:asciiTheme="majorHAnsi" w:hAnsiTheme="majorHAnsi" w:cs="Calibri"/>
          <w:sz w:val="20"/>
          <w:szCs w:val="20"/>
          <w:lang w:val="es-ES_tradnl"/>
        </w:rPr>
        <w:t xml:space="preserve"> efectos de admisibilidad, </w:t>
      </w:r>
      <w:r w:rsidR="004D6C24" w:rsidRPr="00F803D0">
        <w:rPr>
          <w:rFonts w:asciiTheme="majorHAnsi" w:hAnsiTheme="majorHAnsi" w:cs="Calibri"/>
          <w:sz w:val="20"/>
          <w:szCs w:val="20"/>
          <w:lang w:val="es-ES_tradnl"/>
        </w:rPr>
        <w:t>en determinadas situaciones la acción de inconstitucionalidad puede constituir un recurso idóneo para proteger la situación jurídica infringida</w:t>
      </w:r>
      <w:r w:rsidR="004D6C24" w:rsidRPr="00F803D0">
        <w:rPr>
          <w:rStyle w:val="FootnoteReference"/>
          <w:rFonts w:asciiTheme="majorHAnsi" w:hAnsiTheme="majorHAnsi" w:cs="Calibri"/>
          <w:sz w:val="20"/>
          <w:szCs w:val="20"/>
          <w:lang w:val="es-ES_tradnl"/>
        </w:rPr>
        <w:footnoteReference w:id="9"/>
      </w:r>
      <w:r w:rsidR="004D6C24" w:rsidRPr="00F803D0">
        <w:rPr>
          <w:rFonts w:asciiTheme="majorHAnsi" w:hAnsiTheme="majorHAnsi" w:cs="Calibri"/>
          <w:sz w:val="20"/>
          <w:szCs w:val="20"/>
          <w:lang w:val="es-ES_tradnl"/>
        </w:rPr>
        <w:t xml:space="preserve">. </w:t>
      </w:r>
      <w:r w:rsidRPr="00F803D0">
        <w:rPr>
          <w:rFonts w:asciiTheme="majorHAnsi" w:hAnsiTheme="majorHAnsi" w:cs="Calibri"/>
          <w:sz w:val="20"/>
          <w:szCs w:val="20"/>
          <w:lang w:val="es-ES_tradnl"/>
        </w:rPr>
        <w:t>Conforme a</w:t>
      </w:r>
      <w:r w:rsidR="00674173" w:rsidRPr="00F803D0">
        <w:rPr>
          <w:rFonts w:asciiTheme="majorHAnsi" w:hAnsiTheme="majorHAnsi" w:cs="Calibri"/>
          <w:sz w:val="20"/>
          <w:szCs w:val="20"/>
          <w:lang w:val="es-ES_tradnl"/>
        </w:rPr>
        <w:t xml:space="preserve"> los documentos aportados</w:t>
      </w:r>
      <w:r w:rsidR="00521DB5" w:rsidRPr="00F803D0">
        <w:rPr>
          <w:rFonts w:asciiTheme="majorHAnsi" w:hAnsiTheme="majorHAnsi" w:cs="Calibri"/>
          <w:sz w:val="20"/>
          <w:szCs w:val="20"/>
          <w:lang w:val="es-ES_tradnl"/>
        </w:rPr>
        <w:t xml:space="preserve"> por las partes</w:t>
      </w:r>
      <w:r w:rsidR="00674173" w:rsidRPr="00F803D0">
        <w:rPr>
          <w:rFonts w:asciiTheme="majorHAnsi" w:hAnsiTheme="majorHAnsi" w:cs="Calibri"/>
          <w:sz w:val="20"/>
          <w:szCs w:val="20"/>
          <w:lang w:val="es-ES_tradnl"/>
        </w:rPr>
        <w:t xml:space="preserve">, </w:t>
      </w:r>
      <w:r w:rsidR="000A37E8" w:rsidRPr="00F803D0">
        <w:rPr>
          <w:rFonts w:asciiTheme="majorHAnsi" w:hAnsiTheme="majorHAnsi"/>
          <w:sz w:val="20"/>
          <w:szCs w:val="20"/>
          <w:lang w:val="es-ES_tradnl"/>
        </w:rPr>
        <w:t>el 28 de septiembre de 2006 se firmó un</w:t>
      </w:r>
      <w:r w:rsidR="009046A1" w:rsidRPr="00F803D0">
        <w:rPr>
          <w:rFonts w:asciiTheme="majorHAnsi" w:hAnsiTheme="majorHAnsi"/>
          <w:sz w:val="20"/>
          <w:szCs w:val="20"/>
          <w:lang w:val="es-ES_tradnl"/>
        </w:rPr>
        <w:t xml:space="preserve"> </w:t>
      </w:r>
      <w:r w:rsidR="00856068" w:rsidRPr="00F803D0">
        <w:rPr>
          <w:rFonts w:asciiTheme="majorHAnsi" w:hAnsiTheme="majorHAnsi"/>
          <w:sz w:val="20"/>
          <w:szCs w:val="20"/>
          <w:lang w:val="es-ES_tradnl"/>
        </w:rPr>
        <w:t xml:space="preserve">acta de </w:t>
      </w:r>
      <w:r w:rsidR="00674173" w:rsidRPr="00F803D0">
        <w:rPr>
          <w:rFonts w:asciiTheme="majorHAnsi" w:hAnsiTheme="majorHAnsi"/>
          <w:sz w:val="20"/>
          <w:szCs w:val="20"/>
          <w:lang w:val="es-ES_tradnl"/>
        </w:rPr>
        <w:t>entendimiento</w:t>
      </w:r>
      <w:r w:rsidR="00856068" w:rsidRPr="00F803D0">
        <w:rPr>
          <w:rFonts w:asciiTheme="majorHAnsi" w:hAnsiTheme="majorHAnsi"/>
          <w:sz w:val="20"/>
          <w:szCs w:val="20"/>
          <w:lang w:val="es-ES_tradnl"/>
        </w:rPr>
        <w:t xml:space="preserve"> </w:t>
      </w:r>
      <w:r w:rsidR="009046A1" w:rsidRPr="00F803D0">
        <w:rPr>
          <w:rFonts w:asciiTheme="majorHAnsi" w:hAnsiTheme="majorHAnsi"/>
          <w:sz w:val="20"/>
          <w:szCs w:val="20"/>
          <w:lang w:val="es-ES_tradnl"/>
        </w:rPr>
        <w:t>entre OFRANEH y autoridades con participación</w:t>
      </w:r>
      <w:r w:rsidR="00D56E71" w:rsidRPr="00F803D0">
        <w:rPr>
          <w:rFonts w:asciiTheme="majorHAnsi" w:hAnsiTheme="majorHAnsi"/>
          <w:sz w:val="20"/>
          <w:szCs w:val="20"/>
          <w:lang w:val="es-ES_tradnl"/>
        </w:rPr>
        <w:t xml:space="preserve"> </w:t>
      </w:r>
      <w:r w:rsidR="009046A1" w:rsidRPr="00F803D0">
        <w:rPr>
          <w:rFonts w:asciiTheme="majorHAnsi" w:hAnsiTheme="majorHAnsi"/>
          <w:sz w:val="20"/>
          <w:szCs w:val="20"/>
          <w:lang w:val="es-ES_tradnl"/>
        </w:rPr>
        <w:t>de representantes de distintas comunidades garífunas</w:t>
      </w:r>
      <w:r w:rsidR="009046A1" w:rsidRPr="00F803D0">
        <w:rPr>
          <w:rStyle w:val="FootnoteReference"/>
          <w:rFonts w:asciiTheme="majorHAnsi" w:hAnsiTheme="majorHAnsi"/>
          <w:sz w:val="20"/>
          <w:szCs w:val="20"/>
          <w:lang w:val="es-ES_tradnl"/>
        </w:rPr>
        <w:footnoteReference w:id="10"/>
      </w:r>
      <w:r w:rsidR="009046A1" w:rsidRPr="00F803D0">
        <w:rPr>
          <w:rFonts w:asciiTheme="majorHAnsi" w:hAnsiTheme="majorHAnsi"/>
          <w:sz w:val="20"/>
          <w:szCs w:val="20"/>
          <w:lang w:val="es-ES_tradnl"/>
        </w:rPr>
        <w:t xml:space="preserve"> </w:t>
      </w:r>
      <w:r w:rsidR="00856068" w:rsidRPr="00F803D0">
        <w:rPr>
          <w:rFonts w:asciiTheme="majorHAnsi" w:hAnsiTheme="majorHAnsi"/>
          <w:sz w:val="20"/>
          <w:szCs w:val="20"/>
          <w:lang w:val="es-ES_tradnl"/>
        </w:rPr>
        <w:t xml:space="preserve">con el objeto de </w:t>
      </w:r>
      <w:r w:rsidR="000A37E8" w:rsidRPr="00F803D0">
        <w:rPr>
          <w:rFonts w:asciiTheme="majorHAnsi" w:hAnsiTheme="majorHAnsi"/>
          <w:sz w:val="20"/>
          <w:szCs w:val="20"/>
          <w:lang w:val="es-ES_tradnl"/>
        </w:rPr>
        <w:lastRenderedPageBreak/>
        <w:t xml:space="preserve">responder </w:t>
      </w:r>
      <w:r w:rsidR="00856068" w:rsidRPr="00F803D0">
        <w:rPr>
          <w:rFonts w:asciiTheme="majorHAnsi" w:hAnsiTheme="majorHAnsi"/>
          <w:sz w:val="20"/>
          <w:szCs w:val="20"/>
          <w:lang w:val="es-ES_tradnl"/>
        </w:rPr>
        <w:t>a las solicitudes pla</w:t>
      </w:r>
      <w:r w:rsidR="009046A1" w:rsidRPr="00F803D0">
        <w:rPr>
          <w:rFonts w:asciiTheme="majorHAnsi" w:hAnsiTheme="majorHAnsi"/>
          <w:sz w:val="20"/>
          <w:szCs w:val="20"/>
          <w:lang w:val="es-ES_tradnl"/>
        </w:rPr>
        <w:t>nteadas al Presidente de la Repú</w:t>
      </w:r>
      <w:r w:rsidR="00856068" w:rsidRPr="00F803D0">
        <w:rPr>
          <w:rFonts w:asciiTheme="majorHAnsi" w:hAnsiTheme="majorHAnsi"/>
          <w:sz w:val="20"/>
          <w:szCs w:val="20"/>
          <w:lang w:val="es-ES_tradnl"/>
        </w:rPr>
        <w:t>blica por las Comunidades Garífunas de la zona norte del país</w:t>
      </w:r>
      <w:r w:rsidR="000A37E8" w:rsidRPr="00F803D0">
        <w:rPr>
          <w:rFonts w:asciiTheme="majorHAnsi" w:hAnsiTheme="majorHAnsi"/>
          <w:sz w:val="20"/>
          <w:szCs w:val="20"/>
          <w:lang w:val="es-ES_tradnl"/>
        </w:rPr>
        <w:t>,</w:t>
      </w:r>
      <w:r w:rsidR="00856068" w:rsidRPr="00F803D0">
        <w:rPr>
          <w:rFonts w:asciiTheme="majorHAnsi" w:hAnsiTheme="majorHAnsi"/>
          <w:sz w:val="20"/>
          <w:szCs w:val="20"/>
          <w:lang w:val="es-ES_tradnl"/>
        </w:rPr>
        <w:t xml:space="preserve"> que fueron priorizadas por consenso</w:t>
      </w:r>
      <w:r w:rsidR="00D56E71" w:rsidRPr="00F803D0">
        <w:rPr>
          <w:rStyle w:val="FootnoteReference"/>
          <w:rFonts w:asciiTheme="majorHAnsi" w:hAnsiTheme="majorHAnsi"/>
          <w:sz w:val="20"/>
          <w:szCs w:val="20"/>
          <w:lang w:val="es-ES_tradnl"/>
        </w:rPr>
        <w:footnoteReference w:id="11"/>
      </w:r>
      <w:r w:rsidR="003C5C6C" w:rsidRPr="00F803D0">
        <w:rPr>
          <w:rFonts w:asciiTheme="majorHAnsi" w:hAnsiTheme="majorHAnsi"/>
          <w:sz w:val="20"/>
          <w:szCs w:val="20"/>
          <w:lang w:val="es-ES_tradnl"/>
        </w:rPr>
        <w:t>. Al respecto</w:t>
      </w:r>
      <w:r w:rsidR="000A37E8" w:rsidRPr="00F803D0">
        <w:rPr>
          <w:rFonts w:asciiTheme="majorHAnsi" w:hAnsiTheme="majorHAnsi"/>
          <w:sz w:val="20"/>
          <w:szCs w:val="20"/>
          <w:lang w:val="es-ES_tradnl"/>
        </w:rPr>
        <w:t>, la CIDH</w:t>
      </w:r>
      <w:r w:rsidR="003C5C6C" w:rsidRPr="00F803D0">
        <w:rPr>
          <w:rFonts w:asciiTheme="majorHAnsi" w:hAnsiTheme="majorHAnsi"/>
          <w:sz w:val="20"/>
          <w:szCs w:val="20"/>
          <w:lang w:val="es-ES_tradnl"/>
        </w:rPr>
        <w:t xml:space="preserve"> observa que </w:t>
      </w:r>
      <w:r w:rsidR="0081253C" w:rsidRPr="00F803D0">
        <w:rPr>
          <w:rFonts w:asciiTheme="majorHAnsi" w:hAnsiTheme="majorHAnsi"/>
          <w:sz w:val="20"/>
          <w:szCs w:val="20"/>
          <w:lang w:val="es-ES_tradnl"/>
        </w:rPr>
        <w:t xml:space="preserve">el punto 9 </w:t>
      </w:r>
      <w:r w:rsidR="000A37E8" w:rsidRPr="00F803D0">
        <w:rPr>
          <w:rFonts w:asciiTheme="majorHAnsi" w:hAnsiTheme="majorHAnsi"/>
          <w:sz w:val="20"/>
          <w:szCs w:val="20"/>
          <w:lang w:val="es-ES_tradnl"/>
        </w:rPr>
        <w:t xml:space="preserve">dicho documento, </w:t>
      </w:r>
      <w:r w:rsidR="00856068" w:rsidRPr="00F803D0">
        <w:rPr>
          <w:rFonts w:asciiTheme="majorHAnsi" w:hAnsiTheme="majorHAnsi"/>
          <w:sz w:val="20"/>
          <w:szCs w:val="20"/>
          <w:lang w:val="es-ES_tradnl"/>
        </w:rPr>
        <w:t xml:space="preserve">bajo el </w:t>
      </w:r>
      <w:r w:rsidR="009046A1" w:rsidRPr="00F803D0">
        <w:rPr>
          <w:rFonts w:asciiTheme="majorHAnsi" w:hAnsiTheme="majorHAnsi"/>
          <w:sz w:val="20"/>
          <w:szCs w:val="20"/>
          <w:lang w:val="es-ES_tradnl"/>
        </w:rPr>
        <w:t xml:space="preserve">título de </w:t>
      </w:r>
      <w:r w:rsidR="000A37E8" w:rsidRPr="00F803D0">
        <w:rPr>
          <w:rFonts w:asciiTheme="majorHAnsi" w:hAnsiTheme="majorHAnsi"/>
          <w:sz w:val="20"/>
          <w:szCs w:val="20"/>
          <w:lang w:val="es-ES_tradnl"/>
        </w:rPr>
        <w:t>“</w:t>
      </w:r>
      <w:r w:rsidR="009046A1" w:rsidRPr="00F803D0">
        <w:rPr>
          <w:rFonts w:asciiTheme="majorHAnsi" w:hAnsiTheme="majorHAnsi"/>
          <w:sz w:val="20"/>
          <w:szCs w:val="20"/>
          <w:lang w:val="es-ES_tradnl"/>
        </w:rPr>
        <w:t>Caso P</w:t>
      </w:r>
      <w:r w:rsidR="00856068" w:rsidRPr="00F803D0">
        <w:rPr>
          <w:rFonts w:asciiTheme="majorHAnsi" w:hAnsiTheme="majorHAnsi"/>
          <w:sz w:val="20"/>
          <w:szCs w:val="20"/>
          <w:lang w:val="es-ES_tradnl"/>
        </w:rPr>
        <w:t xml:space="preserve">rograma </w:t>
      </w:r>
      <w:r w:rsidR="009046A1" w:rsidRPr="00F803D0">
        <w:rPr>
          <w:rFonts w:asciiTheme="majorHAnsi" w:hAnsiTheme="majorHAnsi"/>
          <w:sz w:val="20"/>
          <w:szCs w:val="20"/>
          <w:lang w:val="es-ES_tradnl"/>
        </w:rPr>
        <w:t>A</w:t>
      </w:r>
      <w:r w:rsidR="00856068" w:rsidRPr="00F803D0">
        <w:rPr>
          <w:rFonts w:asciiTheme="majorHAnsi" w:hAnsiTheme="majorHAnsi"/>
          <w:sz w:val="20"/>
          <w:szCs w:val="20"/>
          <w:lang w:val="es-ES_tradnl"/>
        </w:rPr>
        <w:t xml:space="preserve">dministración de </w:t>
      </w:r>
      <w:r w:rsidR="009046A1" w:rsidRPr="00F803D0">
        <w:rPr>
          <w:rFonts w:asciiTheme="majorHAnsi" w:hAnsiTheme="majorHAnsi"/>
          <w:sz w:val="20"/>
          <w:szCs w:val="20"/>
          <w:lang w:val="es-ES_tradnl"/>
        </w:rPr>
        <w:t>T</w:t>
      </w:r>
      <w:r w:rsidR="00856068" w:rsidRPr="00F803D0">
        <w:rPr>
          <w:rFonts w:asciiTheme="majorHAnsi" w:hAnsiTheme="majorHAnsi"/>
          <w:sz w:val="20"/>
          <w:szCs w:val="20"/>
          <w:lang w:val="es-ES_tradnl"/>
        </w:rPr>
        <w:t>ierras de Honduras (PATH)</w:t>
      </w:r>
      <w:r w:rsidR="009046A1" w:rsidRPr="00F803D0">
        <w:rPr>
          <w:rFonts w:asciiTheme="majorHAnsi" w:hAnsiTheme="majorHAnsi"/>
          <w:sz w:val="20"/>
          <w:szCs w:val="20"/>
          <w:lang w:val="es-ES_tradnl"/>
        </w:rPr>
        <w:t>”</w:t>
      </w:r>
      <w:r w:rsidR="00856068" w:rsidRPr="00F803D0">
        <w:rPr>
          <w:rFonts w:asciiTheme="majorHAnsi" w:hAnsiTheme="majorHAnsi"/>
          <w:sz w:val="20"/>
          <w:szCs w:val="20"/>
          <w:lang w:val="es-ES_tradnl"/>
        </w:rPr>
        <w:t xml:space="preserve"> plantea la derogación del </w:t>
      </w:r>
      <w:r w:rsidR="009046A1" w:rsidRPr="00F803D0">
        <w:rPr>
          <w:rFonts w:asciiTheme="majorHAnsi" w:hAnsiTheme="majorHAnsi"/>
          <w:sz w:val="20"/>
          <w:szCs w:val="20"/>
          <w:lang w:val="es-ES_tradnl"/>
        </w:rPr>
        <w:t>Capítulo</w:t>
      </w:r>
      <w:r w:rsidR="00856068" w:rsidRPr="00F803D0">
        <w:rPr>
          <w:rFonts w:asciiTheme="majorHAnsi" w:hAnsiTheme="majorHAnsi"/>
          <w:sz w:val="20"/>
          <w:szCs w:val="20"/>
          <w:lang w:val="es-ES_tradnl"/>
        </w:rPr>
        <w:t xml:space="preserve"> III de la Ley de la Propiedad al mismo tiempo que </w:t>
      </w:r>
      <w:r w:rsidR="000A37E8" w:rsidRPr="00F803D0">
        <w:rPr>
          <w:rFonts w:asciiTheme="majorHAnsi" w:hAnsiTheme="majorHAnsi"/>
          <w:sz w:val="20"/>
          <w:szCs w:val="20"/>
          <w:lang w:val="es-ES_tradnl"/>
        </w:rPr>
        <w:t xml:space="preserve">se </w:t>
      </w:r>
      <w:r w:rsidR="0081253C" w:rsidRPr="00F803D0">
        <w:rPr>
          <w:rFonts w:asciiTheme="majorHAnsi" w:hAnsiTheme="majorHAnsi"/>
          <w:sz w:val="20"/>
          <w:szCs w:val="20"/>
          <w:lang w:val="es-ES_tradnl"/>
        </w:rPr>
        <w:t>acuerda</w:t>
      </w:r>
      <w:r w:rsidR="00856068" w:rsidRPr="00F803D0">
        <w:rPr>
          <w:rFonts w:asciiTheme="majorHAnsi" w:hAnsiTheme="majorHAnsi"/>
          <w:sz w:val="20"/>
          <w:szCs w:val="20"/>
          <w:lang w:val="es-ES_tradnl"/>
        </w:rPr>
        <w:t xml:space="preserve"> </w:t>
      </w:r>
      <w:r w:rsidR="0081253C" w:rsidRPr="00F803D0">
        <w:rPr>
          <w:rFonts w:asciiTheme="majorHAnsi" w:hAnsiTheme="majorHAnsi"/>
          <w:sz w:val="20"/>
          <w:szCs w:val="20"/>
          <w:lang w:val="es-ES_tradnl"/>
        </w:rPr>
        <w:t xml:space="preserve">que tanto el Estado como OFRANEH </w:t>
      </w:r>
      <w:r w:rsidR="000A37E8" w:rsidRPr="00F803D0">
        <w:rPr>
          <w:rFonts w:asciiTheme="majorHAnsi" w:hAnsiTheme="majorHAnsi"/>
          <w:sz w:val="20"/>
          <w:szCs w:val="20"/>
          <w:lang w:val="es-ES_tradnl"/>
        </w:rPr>
        <w:t xml:space="preserve">trabajarían </w:t>
      </w:r>
      <w:r w:rsidR="00856068" w:rsidRPr="00F803D0">
        <w:rPr>
          <w:rFonts w:asciiTheme="majorHAnsi" w:hAnsiTheme="majorHAnsi"/>
          <w:sz w:val="20"/>
          <w:szCs w:val="20"/>
          <w:lang w:val="es-ES_tradnl"/>
        </w:rPr>
        <w:t xml:space="preserve">conjuntamente en las reformas. </w:t>
      </w:r>
      <w:r w:rsidR="001E73E8" w:rsidRPr="00F803D0">
        <w:rPr>
          <w:rFonts w:asciiTheme="majorHAnsi" w:hAnsiTheme="majorHAnsi"/>
          <w:sz w:val="20"/>
          <w:szCs w:val="20"/>
          <w:lang w:val="es-ES_tradnl"/>
        </w:rPr>
        <w:t>El Estado no presenta alegato</w:t>
      </w:r>
      <w:r w:rsidR="000A37E8" w:rsidRPr="00F803D0">
        <w:rPr>
          <w:rFonts w:asciiTheme="majorHAnsi" w:hAnsiTheme="majorHAnsi"/>
          <w:sz w:val="20"/>
          <w:szCs w:val="20"/>
          <w:lang w:val="es-ES_tradnl"/>
        </w:rPr>
        <w:t xml:space="preserve"> alguno sobre el particular</w:t>
      </w:r>
      <w:r w:rsidR="001E73E8" w:rsidRPr="00F803D0">
        <w:rPr>
          <w:rFonts w:asciiTheme="majorHAnsi" w:hAnsiTheme="majorHAnsi"/>
          <w:sz w:val="20"/>
          <w:szCs w:val="20"/>
          <w:lang w:val="es-ES_tradnl"/>
        </w:rPr>
        <w:t xml:space="preserve">. </w:t>
      </w:r>
    </w:p>
    <w:p w14:paraId="138277AB" w14:textId="77777777" w:rsidR="009206C5" w:rsidRPr="00F803D0" w:rsidRDefault="009206C5" w:rsidP="009206C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DDE9EA1" w14:textId="48816319" w:rsidR="004D6C24" w:rsidRPr="00F803D0" w:rsidRDefault="000A37E8" w:rsidP="009206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F803D0">
        <w:rPr>
          <w:rFonts w:asciiTheme="majorHAnsi" w:hAnsiTheme="majorHAnsi"/>
          <w:sz w:val="20"/>
          <w:szCs w:val="20"/>
          <w:lang w:val="es-ES"/>
        </w:rPr>
        <w:t xml:space="preserve">La CIDH toma nota de </w:t>
      </w:r>
      <w:r w:rsidR="000D6A51" w:rsidRPr="00F803D0">
        <w:rPr>
          <w:rFonts w:asciiTheme="majorHAnsi" w:hAnsiTheme="majorHAnsi"/>
          <w:sz w:val="20"/>
          <w:szCs w:val="20"/>
          <w:lang w:val="es-ES"/>
        </w:rPr>
        <w:t xml:space="preserve">las múltiples acciones documentadas por la </w:t>
      </w:r>
      <w:r w:rsidR="004D6C24" w:rsidRPr="00F803D0">
        <w:rPr>
          <w:rFonts w:asciiTheme="majorHAnsi" w:hAnsiTheme="majorHAnsi"/>
          <w:sz w:val="20"/>
          <w:szCs w:val="20"/>
          <w:lang w:val="es-ES"/>
        </w:rPr>
        <w:t xml:space="preserve">parte </w:t>
      </w:r>
      <w:r w:rsidR="000D6A51" w:rsidRPr="00F803D0">
        <w:rPr>
          <w:rFonts w:asciiTheme="majorHAnsi" w:hAnsiTheme="majorHAnsi"/>
          <w:sz w:val="20"/>
          <w:szCs w:val="20"/>
          <w:lang w:val="es-ES"/>
        </w:rPr>
        <w:t>peticionaria</w:t>
      </w:r>
      <w:r w:rsidRPr="00F803D0">
        <w:rPr>
          <w:rFonts w:asciiTheme="majorHAnsi" w:hAnsiTheme="majorHAnsi"/>
          <w:sz w:val="20"/>
          <w:szCs w:val="20"/>
          <w:lang w:val="es-ES"/>
        </w:rPr>
        <w:t>, del hecho que</w:t>
      </w:r>
      <w:r w:rsidR="004D6C24" w:rsidRPr="00F803D0">
        <w:rPr>
          <w:rFonts w:asciiTheme="majorHAnsi" w:hAnsiTheme="majorHAnsi"/>
          <w:sz w:val="20"/>
          <w:szCs w:val="20"/>
          <w:lang w:val="es-ES"/>
        </w:rPr>
        <w:t xml:space="preserve"> </w:t>
      </w:r>
      <w:r w:rsidRPr="00F803D0">
        <w:rPr>
          <w:rFonts w:asciiTheme="majorHAnsi" w:hAnsiTheme="majorHAnsi"/>
          <w:sz w:val="20"/>
          <w:szCs w:val="20"/>
          <w:lang w:val="es-ES_tradnl"/>
        </w:rPr>
        <w:t xml:space="preserve">se cuenta con una decisión definitiva de la más alta instancia judicial de Honduras </w:t>
      </w:r>
      <w:r w:rsidR="002D0921" w:rsidRPr="00F803D0">
        <w:rPr>
          <w:rFonts w:asciiTheme="majorHAnsi" w:hAnsiTheme="majorHAnsi"/>
          <w:sz w:val="20"/>
          <w:szCs w:val="20"/>
          <w:lang w:val="es-ES_tradnl"/>
        </w:rPr>
        <w:t>con relación a</w:t>
      </w:r>
      <w:r w:rsidR="004D6C24" w:rsidRPr="00F803D0">
        <w:rPr>
          <w:rFonts w:asciiTheme="majorHAnsi" w:hAnsiTheme="majorHAnsi"/>
          <w:sz w:val="20"/>
          <w:szCs w:val="20"/>
          <w:lang w:val="es-ES_tradnl"/>
        </w:rPr>
        <w:t xml:space="preserve"> las disposiciones legislativas impugnadas constitucionalmente </w:t>
      </w:r>
      <w:r w:rsidR="009206C5" w:rsidRPr="00F803D0">
        <w:rPr>
          <w:rFonts w:asciiTheme="majorHAnsi" w:hAnsiTheme="majorHAnsi"/>
          <w:sz w:val="20"/>
          <w:szCs w:val="20"/>
          <w:lang w:val="es-ES_tradnl"/>
        </w:rPr>
        <w:t xml:space="preserve">y los alegatos presentados ante la autoridad judicial </w:t>
      </w:r>
      <w:r w:rsidR="004D6C24" w:rsidRPr="00F803D0">
        <w:rPr>
          <w:rFonts w:asciiTheme="majorHAnsi" w:hAnsiTheme="majorHAnsi"/>
          <w:sz w:val="20"/>
          <w:szCs w:val="20"/>
          <w:lang w:val="es-ES_tradnl"/>
        </w:rPr>
        <w:t>en el presente</w:t>
      </w:r>
      <w:r w:rsidRPr="00F803D0">
        <w:rPr>
          <w:rFonts w:asciiTheme="majorHAnsi" w:hAnsiTheme="majorHAnsi"/>
          <w:sz w:val="20"/>
          <w:szCs w:val="20"/>
          <w:lang w:val="es-ES_tradnl"/>
        </w:rPr>
        <w:t xml:space="preserve"> asunto</w:t>
      </w:r>
      <w:r w:rsidR="002D0921" w:rsidRPr="00F803D0">
        <w:rPr>
          <w:rFonts w:asciiTheme="majorHAnsi" w:hAnsiTheme="majorHAnsi"/>
          <w:sz w:val="20"/>
          <w:szCs w:val="20"/>
          <w:lang w:val="es-ES_tradnl"/>
        </w:rPr>
        <w:t>.</w:t>
      </w:r>
      <w:r w:rsidRPr="00F803D0">
        <w:rPr>
          <w:rFonts w:asciiTheme="majorHAnsi" w:hAnsiTheme="majorHAnsi"/>
          <w:sz w:val="20"/>
          <w:szCs w:val="20"/>
          <w:lang w:val="es-ES_tradnl"/>
        </w:rPr>
        <w:t xml:space="preserve"> En consecuencia</w:t>
      </w:r>
      <w:r w:rsidR="000D6A51" w:rsidRPr="00F803D0">
        <w:rPr>
          <w:rFonts w:asciiTheme="majorHAnsi" w:hAnsiTheme="majorHAnsi"/>
          <w:sz w:val="20"/>
          <w:szCs w:val="20"/>
          <w:lang w:val="es-ES"/>
        </w:rPr>
        <w:t xml:space="preserve">, la Comisión </w:t>
      </w:r>
      <w:r w:rsidR="002D0921" w:rsidRPr="00F803D0">
        <w:rPr>
          <w:rFonts w:asciiTheme="majorHAnsi" w:hAnsiTheme="majorHAnsi"/>
          <w:sz w:val="20"/>
          <w:szCs w:val="20"/>
          <w:lang w:val="es-ES"/>
        </w:rPr>
        <w:t xml:space="preserve">Interamericana </w:t>
      </w:r>
      <w:r w:rsidR="000D6A51" w:rsidRPr="00F803D0">
        <w:rPr>
          <w:rFonts w:asciiTheme="majorHAnsi" w:hAnsiTheme="majorHAnsi"/>
          <w:sz w:val="20"/>
          <w:szCs w:val="20"/>
          <w:lang w:val="es-ES"/>
        </w:rPr>
        <w:t xml:space="preserve">considera </w:t>
      </w:r>
      <w:r w:rsidR="004D6C24" w:rsidRPr="00F803D0">
        <w:rPr>
          <w:rFonts w:asciiTheme="majorHAnsi" w:hAnsiTheme="majorHAnsi"/>
          <w:sz w:val="20"/>
          <w:szCs w:val="20"/>
          <w:lang w:val="es-ES"/>
        </w:rPr>
        <w:t xml:space="preserve">acreditado el propósito de </w:t>
      </w:r>
      <w:r w:rsidRPr="00F803D0">
        <w:rPr>
          <w:rFonts w:asciiTheme="majorHAnsi" w:hAnsiTheme="majorHAnsi"/>
          <w:sz w:val="20"/>
          <w:szCs w:val="20"/>
          <w:lang w:val="es-ES"/>
        </w:rPr>
        <w:t xml:space="preserve">la parte peticionaria </w:t>
      </w:r>
      <w:r w:rsidR="004D6C24" w:rsidRPr="00F803D0">
        <w:rPr>
          <w:rFonts w:asciiTheme="majorHAnsi" w:hAnsiTheme="majorHAnsi"/>
          <w:sz w:val="20"/>
          <w:szCs w:val="20"/>
          <w:lang w:val="es-ES"/>
        </w:rPr>
        <w:t xml:space="preserve">de acceder a los recursos internos que ofrece el Estado para </w:t>
      </w:r>
      <w:r w:rsidR="002D0921" w:rsidRPr="00F803D0">
        <w:rPr>
          <w:rFonts w:asciiTheme="majorHAnsi" w:hAnsiTheme="majorHAnsi"/>
          <w:sz w:val="20"/>
          <w:szCs w:val="20"/>
          <w:lang w:val="es-ES"/>
        </w:rPr>
        <w:t>preservar</w:t>
      </w:r>
      <w:r w:rsidR="004D6C24" w:rsidRPr="00F803D0">
        <w:rPr>
          <w:rFonts w:asciiTheme="majorHAnsi" w:hAnsiTheme="majorHAnsi"/>
          <w:sz w:val="20"/>
          <w:szCs w:val="20"/>
          <w:lang w:val="es-ES"/>
        </w:rPr>
        <w:t xml:space="preserve"> su territorio ancestral, pero estima que no </w:t>
      </w:r>
      <w:r w:rsidRPr="00F803D0">
        <w:rPr>
          <w:rFonts w:asciiTheme="majorHAnsi" w:hAnsiTheme="majorHAnsi"/>
          <w:sz w:val="20"/>
          <w:szCs w:val="20"/>
          <w:lang w:val="es-ES"/>
        </w:rPr>
        <w:t xml:space="preserve">se </w:t>
      </w:r>
      <w:r w:rsidR="00933830" w:rsidRPr="00F803D0">
        <w:rPr>
          <w:rFonts w:asciiTheme="majorHAnsi" w:hAnsiTheme="majorHAnsi"/>
          <w:sz w:val="20"/>
          <w:szCs w:val="20"/>
          <w:lang w:val="es-ES"/>
        </w:rPr>
        <w:t xml:space="preserve">le </w:t>
      </w:r>
      <w:r w:rsidR="004D6C24" w:rsidRPr="00F803D0">
        <w:rPr>
          <w:rFonts w:asciiTheme="majorHAnsi" w:hAnsiTheme="majorHAnsi"/>
          <w:sz w:val="20"/>
          <w:szCs w:val="20"/>
          <w:lang w:val="es-ES"/>
        </w:rPr>
        <w:t>ot</w:t>
      </w:r>
      <w:r w:rsidR="009206C5" w:rsidRPr="00F803D0">
        <w:rPr>
          <w:rFonts w:asciiTheme="majorHAnsi" w:hAnsiTheme="majorHAnsi"/>
          <w:sz w:val="20"/>
          <w:szCs w:val="20"/>
          <w:lang w:val="es-ES"/>
        </w:rPr>
        <w:t>org</w:t>
      </w:r>
      <w:r w:rsidRPr="00F803D0">
        <w:rPr>
          <w:rFonts w:asciiTheme="majorHAnsi" w:hAnsiTheme="majorHAnsi"/>
          <w:sz w:val="20"/>
          <w:szCs w:val="20"/>
          <w:lang w:val="es-ES"/>
        </w:rPr>
        <w:t>ó</w:t>
      </w:r>
      <w:r w:rsidR="009206C5" w:rsidRPr="00F803D0">
        <w:rPr>
          <w:rFonts w:asciiTheme="majorHAnsi" w:hAnsiTheme="majorHAnsi"/>
          <w:sz w:val="20"/>
          <w:szCs w:val="20"/>
          <w:lang w:val="es-ES"/>
        </w:rPr>
        <w:t xml:space="preserve"> una protección efectiva</w:t>
      </w:r>
      <w:r w:rsidR="004D6C24" w:rsidRPr="00F803D0">
        <w:rPr>
          <w:rFonts w:asciiTheme="majorHAnsi" w:hAnsiTheme="majorHAnsi"/>
          <w:sz w:val="20"/>
          <w:szCs w:val="20"/>
          <w:lang w:val="es-MX"/>
        </w:rPr>
        <w:t xml:space="preserve">, </w:t>
      </w:r>
      <w:r w:rsidRPr="00F803D0">
        <w:rPr>
          <w:rFonts w:asciiTheme="majorHAnsi" w:hAnsiTheme="majorHAnsi"/>
          <w:sz w:val="20"/>
          <w:szCs w:val="20"/>
          <w:lang w:val="es-MX"/>
        </w:rPr>
        <w:t xml:space="preserve">lo </w:t>
      </w:r>
      <w:r w:rsidR="004D6C24" w:rsidRPr="00F803D0">
        <w:rPr>
          <w:rFonts w:asciiTheme="majorHAnsi" w:hAnsiTheme="majorHAnsi"/>
          <w:sz w:val="20"/>
          <w:szCs w:val="20"/>
          <w:lang w:val="es-MX"/>
        </w:rPr>
        <w:t xml:space="preserve">que constituye una de las causales de excepción a la regla de agotamiento </w:t>
      </w:r>
      <w:r w:rsidRPr="00F803D0">
        <w:rPr>
          <w:rFonts w:asciiTheme="majorHAnsi" w:hAnsiTheme="majorHAnsi"/>
          <w:sz w:val="20"/>
          <w:szCs w:val="20"/>
          <w:lang w:val="es-MX"/>
        </w:rPr>
        <w:t>prevista en el artículo 46.2(a) de la Convención Americana</w:t>
      </w:r>
      <w:r w:rsidR="004D6C24" w:rsidRPr="00F803D0">
        <w:rPr>
          <w:rFonts w:asciiTheme="majorHAnsi" w:hAnsiTheme="majorHAnsi"/>
          <w:sz w:val="20"/>
          <w:szCs w:val="20"/>
          <w:lang w:val="es-MX"/>
        </w:rPr>
        <w:t>.</w:t>
      </w:r>
    </w:p>
    <w:p w14:paraId="60E169BA" w14:textId="77777777" w:rsidR="008874B0" w:rsidRPr="00F803D0" w:rsidRDefault="008874B0" w:rsidP="00FE48B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C357ABA" w14:textId="5A6FAA30" w:rsidR="00B27DCF" w:rsidRPr="00F803D0" w:rsidRDefault="00405D5E" w:rsidP="002D092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bookmarkStart w:id="2" w:name="_Hlk78186674"/>
      <w:r w:rsidRPr="00F803D0">
        <w:rPr>
          <w:rFonts w:asciiTheme="majorHAnsi" w:hAnsiTheme="majorHAnsi"/>
          <w:sz w:val="20"/>
          <w:szCs w:val="20"/>
          <w:lang w:val="es-ES"/>
        </w:rPr>
        <w:t>Adicionalmente</w:t>
      </w:r>
      <w:r w:rsidR="00403A8E" w:rsidRPr="00F803D0">
        <w:rPr>
          <w:rFonts w:asciiTheme="majorHAnsi" w:hAnsiTheme="majorHAnsi"/>
          <w:sz w:val="20"/>
          <w:szCs w:val="20"/>
          <w:lang w:val="es-ES"/>
        </w:rPr>
        <w:t>,</w:t>
      </w:r>
      <w:r w:rsidRPr="00F803D0">
        <w:rPr>
          <w:rFonts w:asciiTheme="majorHAnsi" w:hAnsiTheme="majorHAnsi"/>
          <w:sz w:val="20"/>
          <w:szCs w:val="20"/>
          <w:lang w:val="es-ES"/>
        </w:rPr>
        <w:t xml:space="preserve"> la Comisión </w:t>
      </w:r>
      <w:r w:rsidR="002D0921" w:rsidRPr="00F803D0">
        <w:rPr>
          <w:rFonts w:asciiTheme="majorHAnsi" w:hAnsiTheme="majorHAnsi"/>
          <w:sz w:val="20"/>
          <w:szCs w:val="20"/>
          <w:lang w:val="es-ES"/>
        </w:rPr>
        <w:t xml:space="preserve">Interamericana </w:t>
      </w:r>
      <w:r w:rsidR="00403A8E" w:rsidRPr="00F803D0">
        <w:rPr>
          <w:rFonts w:asciiTheme="majorHAnsi" w:hAnsiTheme="majorHAnsi"/>
          <w:sz w:val="20"/>
          <w:szCs w:val="20"/>
          <w:lang w:val="es-ES"/>
        </w:rPr>
        <w:t>observa que</w:t>
      </w:r>
      <w:r w:rsidR="00B625D6" w:rsidRPr="00F803D0">
        <w:rPr>
          <w:rFonts w:asciiTheme="majorHAnsi" w:hAnsiTheme="majorHAnsi"/>
          <w:sz w:val="20"/>
          <w:szCs w:val="20"/>
          <w:lang w:val="es-ES"/>
        </w:rPr>
        <w:t xml:space="preserve"> </w:t>
      </w:r>
      <w:r w:rsidR="00403A8E" w:rsidRPr="00F803D0">
        <w:rPr>
          <w:rFonts w:asciiTheme="majorHAnsi" w:hAnsiTheme="majorHAnsi"/>
          <w:sz w:val="20"/>
          <w:szCs w:val="20"/>
          <w:lang w:val="es-ES"/>
        </w:rPr>
        <w:t>la parte</w:t>
      </w:r>
      <w:r w:rsidR="00B625D6" w:rsidRPr="00F803D0">
        <w:rPr>
          <w:rFonts w:asciiTheme="majorHAnsi" w:hAnsiTheme="majorHAnsi"/>
          <w:sz w:val="20"/>
          <w:szCs w:val="20"/>
          <w:lang w:val="es-ES"/>
        </w:rPr>
        <w:t xml:space="preserve"> peticionari</w:t>
      </w:r>
      <w:r w:rsidR="00403A8E" w:rsidRPr="00F803D0">
        <w:rPr>
          <w:rFonts w:asciiTheme="majorHAnsi" w:hAnsiTheme="majorHAnsi"/>
          <w:sz w:val="20"/>
          <w:szCs w:val="20"/>
          <w:lang w:val="es-ES"/>
        </w:rPr>
        <w:t>a</w:t>
      </w:r>
      <w:r w:rsidR="00B625D6" w:rsidRPr="00F803D0">
        <w:rPr>
          <w:rFonts w:asciiTheme="majorHAnsi" w:hAnsiTheme="majorHAnsi"/>
          <w:sz w:val="20"/>
          <w:szCs w:val="20"/>
          <w:lang w:val="es-ES"/>
        </w:rPr>
        <w:t xml:space="preserve"> </w:t>
      </w:r>
      <w:r w:rsidR="00403A8E" w:rsidRPr="00F803D0">
        <w:rPr>
          <w:rFonts w:asciiTheme="majorHAnsi" w:hAnsiTheme="majorHAnsi"/>
          <w:sz w:val="20"/>
          <w:szCs w:val="20"/>
          <w:lang w:val="es-ES"/>
        </w:rPr>
        <w:t xml:space="preserve">ha presentado alegatos </w:t>
      </w:r>
      <w:r w:rsidR="00075F93" w:rsidRPr="00F803D0">
        <w:rPr>
          <w:rFonts w:asciiTheme="majorHAnsi" w:hAnsiTheme="majorHAnsi"/>
          <w:sz w:val="20"/>
          <w:szCs w:val="20"/>
          <w:lang w:val="es-ES"/>
        </w:rPr>
        <w:t xml:space="preserve">respecto a las </w:t>
      </w:r>
      <w:r w:rsidR="00CB015C" w:rsidRPr="00F803D0">
        <w:rPr>
          <w:rFonts w:asciiTheme="majorHAnsi" w:hAnsiTheme="majorHAnsi"/>
          <w:sz w:val="20"/>
          <w:szCs w:val="20"/>
          <w:lang w:val="es-ES"/>
        </w:rPr>
        <w:t xml:space="preserve">presuntas </w:t>
      </w:r>
      <w:r w:rsidR="00075F93" w:rsidRPr="00F803D0">
        <w:rPr>
          <w:rFonts w:asciiTheme="majorHAnsi" w:hAnsiTheme="majorHAnsi"/>
          <w:sz w:val="20"/>
          <w:szCs w:val="20"/>
          <w:lang w:val="es-ES"/>
        </w:rPr>
        <w:t xml:space="preserve">concesiones otorgadas </w:t>
      </w:r>
      <w:r w:rsidR="000E3268" w:rsidRPr="00F803D0">
        <w:rPr>
          <w:rFonts w:asciiTheme="majorHAnsi" w:hAnsiTheme="majorHAnsi"/>
          <w:sz w:val="20"/>
          <w:szCs w:val="20"/>
          <w:lang w:val="es-ES"/>
        </w:rPr>
        <w:t xml:space="preserve">sin consulta </w:t>
      </w:r>
      <w:r w:rsidR="00075F93" w:rsidRPr="00F803D0">
        <w:rPr>
          <w:rFonts w:asciiTheme="majorHAnsi" w:hAnsiTheme="majorHAnsi"/>
          <w:sz w:val="20"/>
          <w:szCs w:val="20"/>
          <w:lang w:val="es-ES"/>
        </w:rPr>
        <w:t xml:space="preserve">sobre </w:t>
      </w:r>
      <w:r w:rsidR="00B625D6" w:rsidRPr="00F803D0">
        <w:rPr>
          <w:rFonts w:asciiTheme="majorHAnsi" w:eastAsia="NotDefSpecial" w:hAnsiTheme="majorHAnsi" w:cs="NotDefSpecial"/>
          <w:sz w:val="20"/>
          <w:szCs w:val="20"/>
          <w:lang w:val="es-ES"/>
        </w:rPr>
        <w:t>ríos para la construcción de represas hidroeléctricas</w:t>
      </w:r>
      <w:r w:rsidR="00075F93" w:rsidRPr="00F803D0">
        <w:rPr>
          <w:rFonts w:asciiTheme="majorHAnsi" w:eastAsia="NotDefSpecial" w:hAnsiTheme="majorHAnsi" w:cs="NotDefSpecial"/>
          <w:sz w:val="20"/>
          <w:szCs w:val="20"/>
          <w:lang w:val="es-ES"/>
        </w:rPr>
        <w:t xml:space="preserve">; </w:t>
      </w:r>
      <w:r w:rsidR="000E3268" w:rsidRPr="00F803D0">
        <w:rPr>
          <w:rFonts w:asciiTheme="majorHAnsi" w:eastAsia="NotDefSpecial" w:hAnsiTheme="majorHAnsi" w:cs="NotDefSpecial"/>
          <w:sz w:val="20"/>
          <w:szCs w:val="20"/>
          <w:lang w:val="es-ES"/>
        </w:rPr>
        <w:t xml:space="preserve">a </w:t>
      </w:r>
      <w:r w:rsidR="000E3268" w:rsidRPr="00F803D0">
        <w:rPr>
          <w:rFonts w:asciiTheme="majorHAnsi" w:hAnsiTheme="majorHAnsi"/>
          <w:sz w:val="20"/>
          <w:lang w:val="es-ES"/>
        </w:rPr>
        <w:t>las vulneraciones derivadas de la aprobación y v</w:t>
      </w:r>
      <w:r w:rsidR="00B27DCF" w:rsidRPr="00F803D0">
        <w:rPr>
          <w:rFonts w:asciiTheme="majorHAnsi" w:hAnsiTheme="majorHAnsi"/>
          <w:sz w:val="20"/>
          <w:lang w:val="es-ES"/>
        </w:rPr>
        <w:t>igencia de distintas normas</w:t>
      </w:r>
      <w:r w:rsidR="000E3268" w:rsidRPr="00F803D0">
        <w:rPr>
          <w:rFonts w:asciiTheme="majorHAnsi" w:hAnsiTheme="majorHAnsi"/>
          <w:sz w:val="20"/>
          <w:lang w:val="es-ES"/>
        </w:rPr>
        <w:t xml:space="preserve"> como </w:t>
      </w:r>
      <w:r w:rsidRPr="00F803D0">
        <w:rPr>
          <w:rFonts w:asciiTheme="majorHAnsi" w:hAnsiTheme="majorHAnsi"/>
          <w:sz w:val="20"/>
          <w:szCs w:val="20"/>
          <w:lang w:val="es-ES"/>
        </w:rPr>
        <w:t xml:space="preserve">la Ley ZEDE, </w:t>
      </w:r>
      <w:r w:rsidR="00403A8E" w:rsidRPr="00F803D0">
        <w:rPr>
          <w:rFonts w:asciiTheme="majorHAnsi" w:hAnsiTheme="majorHAnsi"/>
          <w:sz w:val="20"/>
          <w:szCs w:val="20"/>
          <w:lang w:val="es-ES"/>
        </w:rPr>
        <w:t xml:space="preserve">el </w:t>
      </w:r>
      <w:r w:rsidR="00075F93" w:rsidRPr="00F803D0">
        <w:rPr>
          <w:rStyle w:val="Hyperlink"/>
          <w:rFonts w:asciiTheme="majorHAnsi" w:hAnsiTheme="majorHAnsi"/>
          <w:color w:val="auto"/>
          <w:sz w:val="20"/>
          <w:szCs w:val="20"/>
          <w:u w:val="none"/>
          <w:lang w:val="es-ES"/>
        </w:rPr>
        <w:t xml:space="preserve">Plan de Nación 2012-2022, Visión de País 2010-2038, </w:t>
      </w:r>
      <w:r w:rsidR="00075F93" w:rsidRPr="00F803D0">
        <w:rPr>
          <w:rFonts w:asciiTheme="majorHAnsi" w:hAnsiTheme="majorHAnsi"/>
          <w:color w:val="auto"/>
          <w:sz w:val="20"/>
          <w:szCs w:val="20"/>
          <w:lang w:val="es-ES"/>
        </w:rPr>
        <w:t xml:space="preserve">la </w:t>
      </w:r>
      <w:r w:rsidR="00403A8E" w:rsidRPr="00F803D0">
        <w:rPr>
          <w:rFonts w:asciiTheme="majorHAnsi" w:hAnsiTheme="majorHAnsi"/>
          <w:color w:val="auto"/>
          <w:sz w:val="20"/>
          <w:szCs w:val="20"/>
          <w:lang w:val="es-ES"/>
        </w:rPr>
        <w:t>L</w:t>
      </w:r>
      <w:r w:rsidR="00075F93" w:rsidRPr="00F803D0">
        <w:rPr>
          <w:rFonts w:asciiTheme="majorHAnsi" w:hAnsiTheme="majorHAnsi"/>
          <w:color w:val="auto"/>
          <w:sz w:val="20"/>
          <w:szCs w:val="20"/>
          <w:lang w:val="es-ES"/>
        </w:rPr>
        <w:t xml:space="preserve">ey de </w:t>
      </w:r>
      <w:r w:rsidR="00403A8E" w:rsidRPr="00F803D0">
        <w:rPr>
          <w:rFonts w:asciiTheme="majorHAnsi" w:hAnsiTheme="majorHAnsi"/>
          <w:color w:val="auto"/>
          <w:sz w:val="20"/>
          <w:szCs w:val="20"/>
          <w:lang w:val="es-ES"/>
        </w:rPr>
        <w:t>A</w:t>
      </w:r>
      <w:r w:rsidR="00075F93" w:rsidRPr="00F803D0">
        <w:rPr>
          <w:rFonts w:asciiTheme="majorHAnsi" w:hAnsiTheme="majorHAnsi"/>
          <w:color w:val="auto"/>
          <w:sz w:val="20"/>
          <w:szCs w:val="20"/>
          <w:lang w:val="es-ES"/>
        </w:rPr>
        <w:t xml:space="preserve">guas, la </w:t>
      </w:r>
      <w:r w:rsidR="00403A8E" w:rsidRPr="00F803D0">
        <w:rPr>
          <w:rFonts w:asciiTheme="majorHAnsi" w:hAnsiTheme="majorHAnsi"/>
          <w:color w:val="auto"/>
          <w:sz w:val="20"/>
          <w:szCs w:val="20"/>
          <w:lang w:val="es-ES"/>
        </w:rPr>
        <w:t>L</w:t>
      </w:r>
      <w:r w:rsidR="00075F93" w:rsidRPr="00F803D0">
        <w:rPr>
          <w:rFonts w:asciiTheme="majorHAnsi" w:hAnsiTheme="majorHAnsi"/>
          <w:color w:val="auto"/>
          <w:sz w:val="20"/>
          <w:szCs w:val="20"/>
          <w:lang w:val="es-ES"/>
        </w:rPr>
        <w:t xml:space="preserve">ey de </w:t>
      </w:r>
      <w:r w:rsidR="00403A8E" w:rsidRPr="00F803D0">
        <w:rPr>
          <w:rFonts w:asciiTheme="majorHAnsi" w:hAnsiTheme="majorHAnsi"/>
          <w:color w:val="auto"/>
          <w:sz w:val="20"/>
          <w:szCs w:val="20"/>
          <w:lang w:val="es-ES"/>
        </w:rPr>
        <w:t>P</w:t>
      </w:r>
      <w:r w:rsidR="00075F93" w:rsidRPr="00F803D0">
        <w:rPr>
          <w:rFonts w:asciiTheme="majorHAnsi" w:hAnsiTheme="majorHAnsi"/>
          <w:color w:val="auto"/>
          <w:sz w:val="20"/>
          <w:szCs w:val="20"/>
          <w:lang w:val="es-ES"/>
        </w:rPr>
        <w:t xml:space="preserve">esca, y la actual versión de </w:t>
      </w:r>
      <w:r w:rsidR="00403A8E" w:rsidRPr="00F803D0">
        <w:rPr>
          <w:rFonts w:asciiTheme="majorHAnsi" w:hAnsiTheme="majorHAnsi"/>
          <w:color w:val="auto"/>
          <w:sz w:val="20"/>
          <w:szCs w:val="20"/>
          <w:lang w:val="es-ES"/>
        </w:rPr>
        <w:t>L</w:t>
      </w:r>
      <w:r w:rsidR="00075F93" w:rsidRPr="00F803D0">
        <w:rPr>
          <w:rFonts w:asciiTheme="majorHAnsi" w:hAnsiTheme="majorHAnsi"/>
          <w:color w:val="auto"/>
          <w:sz w:val="20"/>
          <w:szCs w:val="20"/>
          <w:lang w:val="es-ES"/>
        </w:rPr>
        <w:t xml:space="preserve">ey de </w:t>
      </w:r>
      <w:r w:rsidR="00403A8E" w:rsidRPr="00F803D0">
        <w:rPr>
          <w:rFonts w:asciiTheme="majorHAnsi" w:hAnsiTheme="majorHAnsi"/>
          <w:color w:val="auto"/>
          <w:sz w:val="20"/>
          <w:szCs w:val="20"/>
          <w:lang w:val="es-ES"/>
        </w:rPr>
        <w:t>C</w:t>
      </w:r>
      <w:r w:rsidR="00075F93" w:rsidRPr="00F803D0">
        <w:rPr>
          <w:rFonts w:asciiTheme="majorHAnsi" w:hAnsiTheme="majorHAnsi"/>
          <w:color w:val="auto"/>
          <w:sz w:val="20"/>
          <w:szCs w:val="20"/>
          <w:lang w:val="es-ES"/>
        </w:rPr>
        <w:t xml:space="preserve">onsulta; </w:t>
      </w:r>
      <w:r w:rsidR="000E3268" w:rsidRPr="00F803D0">
        <w:rPr>
          <w:rFonts w:asciiTheme="majorHAnsi" w:hAnsiTheme="majorHAnsi"/>
          <w:color w:val="auto"/>
          <w:sz w:val="20"/>
          <w:szCs w:val="20"/>
          <w:lang w:val="es-ES"/>
        </w:rPr>
        <w:t>así como</w:t>
      </w:r>
      <w:r w:rsidR="00075F93" w:rsidRPr="00F803D0">
        <w:rPr>
          <w:rFonts w:asciiTheme="majorHAnsi" w:hAnsiTheme="majorHAnsi"/>
          <w:color w:val="auto"/>
          <w:sz w:val="20"/>
          <w:szCs w:val="20"/>
          <w:lang w:val="es-ES"/>
        </w:rPr>
        <w:t xml:space="preserve"> </w:t>
      </w:r>
      <w:r w:rsidR="00B27DCF" w:rsidRPr="00F803D0">
        <w:rPr>
          <w:rFonts w:asciiTheme="majorHAnsi" w:hAnsiTheme="majorHAnsi"/>
          <w:color w:val="auto"/>
          <w:sz w:val="20"/>
          <w:szCs w:val="20"/>
          <w:lang w:val="es-ES"/>
        </w:rPr>
        <w:t xml:space="preserve">a </w:t>
      </w:r>
      <w:r w:rsidR="00075F93" w:rsidRPr="00F803D0">
        <w:rPr>
          <w:rFonts w:asciiTheme="majorHAnsi" w:hAnsiTheme="majorHAnsi"/>
          <w:color w:val="auto"/>
          <w:sz w:val="20"/>
          <w:szCs w:val="20"/>
          <w:lang w:val="es-ES"/>
        </w:rPr>
        <w:t xml:space="preserve">los </w:t>
      </w:r>
      <w:r w:rsidR="00075F93" w:rsidRPr="00F803D0">
        <w:rPr>
          <w:rFonts w:asciiTheme="majorHAnsi" w:eastAsia="NotDefSpecial" w:hAnsiTheme="majorHAnsi" w:cs="NotDefSpecial"/>
          <w:color w:val="auto"/>
          <w:sz w:val="20"/>
          <w:szCs w:val="20"/>
          <w:lang w:val="es-ES"/>
        </w:rPr>
        <w:t>procesos de regularización, segregaciones e inscripciones de tierra indígena</w:t>
      </w:r>
      <w:r w:rsidRPr="00F803D0">
        <w:rPr>
          <w:rFonts w:asciiTheme="majorHAnsi" w:eastAsia="NotDefSpecial" w:hAnsiTheme="majorHAnsi" w:cs="NotDefSpecial"/>
          <w:color w:val="auto"/>
          <w:sz w:val="20"/>
          <w:szCs w:val="20"/>
          <w:lang w:val="es-ES"/>
        </w:rPr>
        <w:t xml:space="preserve"> y de títulos comunitarios. </w:t>
      </w:r>
      <w:r w:rsidR="00403A8E" w:rsidRPr="00F803D0">
        <w:rPr>
          <w:rFonts w:asciiTheme="majorHAnsi" w:eastAsia="NotDefSpecial" w:hAnsiTheme="majorHAnsi" w:cs="NotDefSpecial"/>
          <w:color w:val="auto"/>
          <w:sz w:val="20"/>
          <w:szCs w:val="20"/>
          <w:lang w:val="es-ES"/>
        </w:rPr>
        <w:t xml:space="preserve">La parte </w:t>
      </w:r>
      <w:r w:rsidRPr="00F803D0">
        <w:rPr>
          <w:rFonts w:asciiTheme="majorHAnsi" w:hAnsiTheme="majorHAnsi" w:cs="Calibri"/>
          <w:color w:val="auto"/>
          <w:sz w:val="20"/>
          <w:szCs w:val="20"/>
          <w:lang w:val="es-ES_tradnl"/>
        </w:rPr>
        <w:t>peticionari</w:t>
      </w:r>
      <w:r w:rsidR="00403A8E" w:rsidRPr="00F803D0">
        <w:rPr>
          <w:rFonts w:asciiTheme="majorHAnsi" w:hAnsiTheme="majorHAnsi" w:cs="Calibri"/>
          <w:color w:val="auto"/>
          <w:sz w:val="20"/>
          <w:szCs w:val="20"/>
          <w:lang w:val="es-ES_tradnl"/>
        </w:rPr>
        <w:t>a</w:t>
      </w:r>
      <w:r w:rsidRPr="00F803D0">
        <w:rPr>
          <w:rFonts w:asciiTheme="majorHAnsi" w:hAnsiTheme="majorHAnsi" w:cs="Calibri"/>
          <w:color w:val="auto"/>
          <w:sz w:val="20"/>
          <w:szCs w:val="20"/>
          <w:lang w:val="es-ES_tradnl"/>
        </w:rPr>
        <w:t xml:space="preserve"> argumenta </w:t>
      </w:r>
      <w:r w:rsidR="00403A8E" w:rsidRPr="00F803D0">
        <w:rPr>
          <w:rFonts w:asciiTheme="majorHAnsi" w:hAnsiTheme="majorHAnsi" w:cs="Calibri"/>
          <w:color w:val="auto"/>
          <w:sz w:val="20"/>
          <w:szCs w:val="20"/>
          <w:lang w:val="es-ES_tradnl"/>
        </w:rPr>
        <w:t xml:space="preserve">que </w:t>
      </w:r>
      <w:r w:rsidR="00A507A6" w:rsidRPr="00F803D0">
        <w:rPr>
          <w:rFonts w:asciiTheme="majorHAnsi" w:hAnsiTheme="majorHAnsi" w:cs="Calibri"/>
          <w:color w:val="auto"/>
          <w:sz w:val="20"/>
          <w:szCs w:val="20"/>
          <w:lang w:val="es-ES"/>
        </w:rPr>
        <w:t>las organizaciones indígenas</w:t>
      </w:r>
      <w:r w:rsidRPr="00F803D0">
        <w:rPr>
          <w:rFonts w:asciiTheme="majorHAnsi" w:hAnsiTheme="majorHAnsi" w:cs="Calibri"/>
          <w:color w:val="auto"/>
          <w:sz w:val="20"/>
          <w:szCs w:val="20"/>
          <w:lang w:val="es-ES_tradnl"/>
        </w:rPr>
        <w:t xml:space="preserve"> </w:t>
      </w:r>
      <w:r w:rsidR="00403A8E" w:rsidRPr="00F803D0">
        <w:rPr>
          <w:rFonts w:asciiTheme="majorHAnsi" w:hAnsiTheme="majorHAnsi" w:cs="Calibri"/>
          <w:color w:val="auto"/>
          <w:sz w:val="20"/>
          <w:szCs w:val="20"/>
          <w:lang w:val="es-ES_tradnl"/>
        </w:rPr>
        <w:t xml:space="preserve">han presentado </w:t>
      </w:r>
      <w:r w:rsidRPr="00F803D0">
        <w:rPr>
          <w:rFonts w:asciiTheme="majorHAnsi" w:hAnsiTheme="majorHAnsi" w:cs="Calibri"/>
          <w:color w:val="auto"/>
          <w:sz w:val="20"/>
          <w:szCs w:val="20"/>
          <w:lang w:val="es-ES"/>
        </w:rPr>
        <w:t>un</w:t>
      </w:r>
      <w:r w:rsidR="00403A8E" w:rsidRPr="00F803D0">
        <w:rPr>
          <w:rFonts w:asciiTheme="majorHAnsi" w:hAnsiTheme="majorHAnsi" w:cs="Calibri"/>
          <w:color w:val="auto"/>
          <w:sz w:val="20"/>
          <w:szCs w:val="20"/>
          <w:lang w:val="es-ES"/>
        </w:rPr>
        <w:t>as</w:t>
      </w:r>
      <w:r w:rsidRPr="00F803D0">
        <w:rPr>
          <w:rFonts w:asciiTheme="majorHAnsi" w:hAnsiTheme="majorHAnsi" w:cs="Calibri"/>
          <w:color w:val="auto"/>
          <w:sz w:val="20"/>
          <w:szCs w:val="20"/>
          <w:lang w:val="es-ES"/>
        </w:rPr>
        <w:t xml:space="preserve"> 100 acciones legales</w:t>
      </w:r>
      <w:r w:rsidR="002D0921" w:rsidRPr="00F803D0">
        <w:rPr>
          <w:rFonts w:asciiTheme="majorHAnsi" w:hAnsiTheme="majorHAnsi" w:cs="Calibri"/>
          <w:color w:val="auto"/>
          <w:sz w:val="20"/>
          <w:szCs w:val="20"/>
          <w:lang w:val="es-ES"/>
        </w:rPr>
        <w:t>,</w:t>
      </w:r>
      <w:r w:rsidRPr="00F803D0">
        <w:rPr>
          <w:rFonts w:asciiTheme="majorHAnsi" w:hAnsiTheme="majorHAnsi" w:cs="Calibri"/>
          <w:color w:val="auto"/>
          <w:sz w:val="20"/>
          <w:szCs w:val="20"/>
          <w:lang w:val="es-ES"/>
        </w:rPr>
        <w:t xml:space="preserve"> que han sido desestimadas bajo excepciones de derecho civil o </w:t>
      </w:r>
      <w:r w:rsidR="00403A8E" w:rsidRPr="00F803D0">
        <w:rPr>
          <w:rFonts w:asciiTheme="majorHAnsi" w:hAnsiTheme="majorHAnsi" w:cs="Calibri"/>
          <w:color w:val="auto"/>
          <w:sz w:val="20"/>
          <w:szCs w:val="20"/>
          <w:lang w:val="es-ES"/>
        </w:rPr>
        <w:t>que han sido</w:t>
      </w:r>
      <w:r w:rsidRPr="00F803D0">
        <w:rPr>
          <w:rFonts w:asciiTheme="majorHAnsi" w:hAnsiTheme="majorHAnsi" w:cs="Calibri"/>
          <w:color w:val="auto"/>
          <w:sz w:val="20"/>
          <w:szCs w:val="20"/>
          <w:lang w:val="es-ES"/>
        </w:rPr>
        <w:t xml:space="preserve"> sometidas a inamovilidad proces</w:t>
      </w:r>
      <w:r w:rsidR="00F051AB" w:rsidRPr="00F803D0">
        <w:rPr>
          <w:rFonts w:asciiTheme="majorHAnsi" w:hAnsiTheme="majorHAnsi" w:cs="Calibri"/>
          <w:color w:val="auto"/>
          <w:sz w:val="20"/>
          <w:szCs w:val="20"/>
          <w:lang w:val="es-ES"/>
        </w:rPr>
        <w:t xml:space="preserve">al. </w:t>
      </w:r>
      <w:bookmarkStart w:id="3" w:name="_Hlk78186828"/>
      <w:r w:rsidR="002D0921" w:rsidRPr="00F803D0">
        <w:rPr>
          <w:rFonts w:asciiTheme="majorHAnsi" w:hAnsiTheme="majorHAnsi" w:cs="Calibri"/>
          <w:sz w:val="20"/>
          <w:szCs w:val="20"/>
          <w:lang w:val="es-ES_tradnl"/>
        </w:rPr>
        <w:t>L</w:t>
      </w:r>
      <w:r w:rsidR="002D0921" w:rsidRPr="00F803D0">
        <w:rPr>
          <w:rFonts w:asciiTheme="majorHAnsi" w:hAnsiTheme="majorHAnsi"/>
          <w:sz w:val="20"/>
          <w:szCs w:val="20"/>
          <w:lang w:val="es-ES"/>
        </w:rPr>
        <w:t xml:space="preserve">a CIDH considera que la parte peticionaria ha acreditado </w:t>
      </w:r>
      <w:r w:rsidR="00F051AB" w:rsidRPr="00F803D0">
        <w:rPr>
          <w:rFonts w:asciiTheme="majorHAnsi" w:hAnsiTheme="majorHAnsi"/>
          <w:sz w:val="20"/>
          <w:szCs w:val="20"/>
          <w:lang w:val="es-ES"/>
        </w:rPr>
        <w:t xml:space="preserve">también en este aspecto del reclamo </w:t>
      </w:r>
      <w:r w:rsidR="002D0921" w:rsidRPr="00F803D0">
        <w:rPr>
          <w:rFonts w:asciiTheme="majorHAnsi" w:hAnsiTheme="majorHAnsi"/>
          <w:sz w:val="20"/>
          <w:szCs w:val="20"/>
          <w:lang w:val="es-ES"/>
        </w:rPr>
        <w:t xml:space="preserve">su esfuerzo por acceder a los recursos internos, </w:t>
      </w:r>
      <w:r w:rsidR="002D0921" w:rsidRPr="00F803D0">
        <w:rPr>
          <w:rFonts w:asciiTheme="majorHAnsi" w:hAnsiTheme="majorHAnsi"/>
          <w:sz w:val="20"/>
          <w:szCs w:val="20"/>
          <w:lang w:val="es-MX"/>
        </w:rPr>
        <w:t xml:space="preserve">por lo que decide igualmente aplicar </w:t>
      </w:r>
      <w:r w:rsidR="002D0921" w:rsidRPr="00F803D0">
        <w:rPr>
          <w:rFonts w:asciiTheme="majorHAnsi" w:hAnsiTheme="majorHAnsi" w:cs="Calibri"/>
          <w:sz w:val="20"/>
          <w:szCs w:val="20"/>
          <w:lang w:val="es-ES_tradnl"/>
        </w:rPr>
        <w:t>a los mencionados alegatos</w:t>
      </w:r>
      <w:r w:rsidR="002D0921" w:rsidRPr="00F803D0">
        <w:rPr>
          <w:rFonts w:asciiTheme="majorHAnsi" w:hAnsiTheme="majorHAnsi"/>
          <w:sz w:val="20"/>
          <w:szCs w:val="20"/>
          <w:lang w:val="es-MX"/>
        </w:rPr>
        <w:t xml:space="preserve"> la excepción del artículo 46.2(a) de la Convención Americana.</w:t>
      </w:r>
      <w:bookmarkEnd w:id="3"/>
    </w:p>
    <w:bookmarkEnd w:id="2"/>
    <w:p w14:paraId="04ADAD0A" w14:textId="51699A0F" w:rsidR="00B625D6" w:rsidRPr="00F803D0" w:rsidRDefault="00B625D6" w:rsidP="00B625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NotDefSpecial" w:hAnsiTheme="majorHAnsi" w:cs="NotDefSpecial"/>
          <w:sz w:val="20"/>
          <w:szCs w:val="20"/>
          <w:lang w:val="es-ES_tradnl"/>
        </w:rPr>
      </w:pPr>
    </w:p>
    <w:p w14:paraId="5A90B8C3" w14:textId="5189EC9F" w:rsidR="003634C7" w:rsidRPr="00F803D0" w:rsidRDefault="003A399D" w:rsidP="00E43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F803D0">
        <w:rPr>
          <w:rFonts w:asciiTheme="majorHAnsi" w:hAnsiTheme="majorHAnsi"/>
          <w:sz w:val="20"/>
          <w:szCs w:val="20"/>
          <w:lang w:val="es-ES"/>
        </w:rPr>
        <w:t>Con respecto al plazo de presentación,</w:t>
      </w:r>
      <w:r w:rsidR="003634C7" w:rsidRPr="00F803D0">
        <w:rPr>
          <w:rFonts w:asciiTheme="majorHAnsi" w:hAnsiTheme="majorHAnsi"/>
          <w:sz w:val="20"/>
          <w:szCs w:val="20"/>
          <w:lang w:val="es-ES"/>
        </w:rPr>
        <w:t xml:space="preserve"> la CIDH ha aplica</w:t>
      </w:r>
      <w:r w:rsidR="00403A8E" w:rsidRPr="00F803D0">
        <w:rPr>
          <w:rFonts w:asciiTheme="majorHAnsi" w:hAnsiTheme="majorHAnsi"/>
          <w:sz w:val="20"/>
          <w:szCs w:val="20"/>
          <w:lang w:val="es-ES"/>
        </w:rPr>
        <w:t>do</w:t>
      </w:r>
      <w:r w:rsidR="003634C7" w:rsidRPr="00F803D0">
        <w:rPr>
          <w:rFonts w:asciiTheme="majorHAnsi" w:hAnsiTheme="majorHAnsi"/>
          <w:sz w:val="20"/>
          <w:szCs w:val="20"/>
          <w:lang w:val="es-ES"/>
        </w:rPr>
        <w:t xml:space="preserve"> la excepción al agotamiento de los recursos interno</w:t>
      </w:r>
      <w:r w:rsidR="00B27DCF" w:rsidRPr="00F803D0">
        <w:rPr>
          <w:rFonts w:asciiTheme="majorHAnsi" w:hAnsiTheme="majorHAnsi"/>
          <w:sz w:val="20"/>
          <w:szCs w:val="20"/>
          <w:lang w:val="es-ES"/>
        </w:rPr>
        <w:t>s prevista en el artículo 46.2</w:t>
      </w:r>
      <w:r w:rsidR="00403A8E" w:rsidRPr="00F803D0">
        <w:rPr>
          <w:rFonts w:asciiTheme="majorHAnsi" w:hAnsiTheme="majorHAnsi"/>
          <w:sz w:val="20"/>
          <w:szCs w:val="20"/>
          <w:lang w:val="es-ES"/>
        </w:rPr>
        <w:t>(</w:t>
      </w:r>
      <w:r w:rsidR="00B27DCF" w:rsidRPr="00F803D0">
        <w:rPr>
          <w:rFonts w:asciiTheme="majorHAnsi" w:hAnsiTheme="majorHAnsi"/>
          <w:sz w:val="20"/>
          <w:szCs w:val="20"/>
          <w:lang w:val="es-ES"/>
        </w:rPr>
        <w:t>a</w:t>
      </w:r>
      <w:r w:rsidR="00403A8E" w:rsidRPr="00F803D0">
        <w:rPr>
          <w:rFonts w:asciiTheme="majorHAnsi" w:hAnsiTheme="majorHAnsi"/>
          <w:sz w:val="20"/>
          <w:szCs w:val="20"/>
          <w:lang w:val="es-ES"/>
        </w:rPr>
        <w:t>)</w:t>
      </w:r>
      <w:r w:rsidR="003634C7" w:rsidRPr="00F803D0">
        <w:rPr>
          <w:rFonts w:asciiTheme="majorHAnsi" w:hAnsiTheme="majorHAnsi"/>
          <w:sz w:val="20"/>
          <w:szCs w:val="20"/>
          <w:lang w:val="es-ES"/>
        </w:rPr>
        <w:t xml:space="preserve"> de la Convención Americana. La petición fue recibida el </w:t>
      </w:r>
      <w:r w:rsidR="00B55CC1" w:rsidRPr="00F803D0">
        <w:rPr>
          <w:rFonts w:asciiTheme="majorHAnsi" w:hAnsiTheme="majorHAnsi"/>
          <w:bCs/>
          <w:sz w:val="20"/>
          <w:szCs w:val="20"/>
          <w:lang w:val="es-ES"/>
        </w:rPr>
        <w:t>6 de octubre de 2011</w:t>
      </w:r>
      <w:r w:rsidR="003634C7" w:rsidRPr="00F803D0">
        <w:rPr>
          <w:rFonts w:asciiTheme="majorHAnsi" w:hAnsiTheme="majorHAnsi"/>
          <w:sz w:val="20"/>
          <w:szCs w:val="20"/>
          <w:lang w:val="es-ES"/>
        </w:rPr>
        <w:t xml:space="preserve">, y </w:t>
      </w:r>
      <w:r w:rsidR="00B55CC1" w:rsidRPr="00F803D0">
        <w:rPr>
          <w:rFonts w:asciiTheme="majorHAnsi" w:hAnsiTheme="majorHAnsi"/>
          <w:sz w:val="20"/>
          <w:szCs w:val="20"/>
          <w:lang w:val="es-ES"/>
        </w:rPr>
        <w:t>la sentencia de la acción de inconstitucionalidad fue notificada el 3 de marzo de 2011</w:t>
      </w:r>
      <w:r w:rsidR="003634C7" w:rsidRPr="00F803D0">
        <w:rPr>
          <w:rFonts w:asciiTheme="majorHAnsi" w:hAnsiTheme="majorHAnsi"/>
          <w:sz w:val="20"/>
          <w:szCs w:val="20"/>
          <w:lang w:val="es-ES"/>
        </w:rPr>
        <w:t xml:space="preserve">. </w:t>
      </w:r>
      <w:r w:rsidR="00403A8E" w:rsidRPr="00F803D0">
        <w:rPr>
          <w:rFonts w:asciiTheme="majorHAnsi" w:hAnsiTheme="majorHAnsi"/>
          <w:sz w:val="20"/>
          <w:szCs w:val="20"/>
          <w:lang w:val="es-ES"/>
        </w:rPr>
        <w:t>En</w:t>
      </w:r>
      <w:r w:rsidR="003634C7" w:rsidRPr="00F803D0">
        <w:rPr>
          <w:rFonts w:asciiTheme="majorHAnsi" w:hAnsiTheme="majorHAnsi"/>
          <w:sz w:val="20"/>
          <w:szCs w:val="20"/>
          <w:lang w:val="es-ES"/>
        </w:rPr>
        <w:t xml:space="preserve"> vista del contexto y las características del presente </w:t>
      </w:r>
      <w:r w:rsidR="00403A8E" w:rsidRPr="00F803D0">
        <w:rPr>
          <w:rFonts w:asciiTheme="majorHAnsi" w:hAnsiTheme="majorHAnsi"/>
          <w:sz w:val="20"/>
          <w:szCs w:val="20"/>
          <w:lang w:val="es-ES"/>
        </w:rPr>
        <w:t>asunto</w:t>
      </w:r>
      <w:r w:rsidR="003634C7" w:rsidRPr="00F803D0">
        <w:rPr>
          <w:rFonts w:asciiTheme="majorHAnsi" w:hAnsiTheme="majorHAnsi"/>
          <w:sz w:val="20"/>
          <w:szCs w:val="20"/>
          <w:lang w:val="es-ES"/>
        </w:rPr>
        <w:t xml:space="preserve">, la </w:t>
      </w:r>
      <w:r w:rsidR="002D0921" w:rsidRPr="00F803D0">
        <w:rPr>
          <w:rFonts w:asciiTheme="majorHAnsi" w:hAnsiTheme="majorHAnsi"/>
          <w:sz w:val="20"/>
          <w:szCs w:val="20"/>
          <w:lang w:val="es-ES"/>
        </w:rPr>
        <w:t xml:space="preserve">Comisión Interamericana </w:t>
      </w:r>
      <w:r w:rsidR="003634C7" w:rsidRPr="00F803D0">
        <w:rPr>
          <w:rFonts w:asciiTheme="majorHAnsi" w:hAnsiTheme="majorHAnsi"/>
          <w:sz w:val="20"/>
          <w:szCs w:val="20"/>
          <w:lang w:val="es-ES"/>
        </w:rPr>
        <w:t xml:space="preserve">considera que la petición fue presentada dentro de un plazo razonable y que debe darse por satisfecho el </w:t>
      </w:r>
      <w:r w:rsidR="00403A8E" w:rsidRPr="00F803D0">
        <w:rPr>
          <w:rFonts w:asciiTheme="majorHAnsi" w:hAnsiTheme="majorHAnsi"/>
          <w:sz w:val="20"/>
          <w:szCs w:val="20"/>
          <w:lang w:val="es-ES"/>
        </w:rPr>
        <w:t xml:space="preserve">correspondiente </w:t>
      </w:r>
      <w:r w:rsidR="003634C7" w:rsidRPr="00F803D0">
        <w:rPr>
          <w:rFonts w:asciiTheme="majorHAnsi" w:hAnsiTheme="majorHAnsi"/>
          <w:sz w:val="20"/>
          <w:szCs w:val="20"/>
          <w:lang w:val="es-ES"/>
        </w:rPr>
        <w:t>requisito de admisibilidad.</w:t>
      </w:r>
    </w:p>
    <w:p w14:paraId="3FDCBCDB" w14:textId="6E748A19" w:rsidR="00403A8E" w:rsidRPr="00F803D0" w:rsidRDefault="00403A8E">
      <w:pPr>
        <w:rPr>
          <w:rFonts w:asciiTheme="majorHAnsi" w:hAnsiTheme="majorHAnsi"/>
          <w:sz w:val="20"/>
          <w:szCs w:val="20"/>
          <w:lang w:val="es-ES_tradnl"/>
        </w:rPr>
      </w:pPr>
    </w:p>
    <w:p w14:paraId="34C7B201" w14:textId="624DF121" w:rsidR="009E2FA9" w:rsidRPr="00F803D0" w:rsidRDefault="009E2FA9" w:rsidP="00730A5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
        </w:rPr>
      </w:pPr>
      <w:r w:rsidRPr="00F803D0">
        <w:rPr>
          <w:rFonts w:asciiTheme="majorHAnsi" w:hAnsiTheme="majorHAnsi"/>
          <w:b/>
          <w:bCs/>
          <w:sz w:val="20"/>
          <w:szCs w:val="20"/>
          <w:lang w:val="es-ES"/>
        </w:rPr>
        <w:t>ANÁLISIS DE CARACTERIZACIÓN DE LOS HECHOS ALEGADOS</w:t>
      </w:r>
    </w:p>
    <w:p w14:paraId="1A17844E" w14:textId="0C368631" w:rsidR="009E2FA9" w:rsidRPr="00F803D0" w:rsidRDefault="009E2FA9" w:rsidP="00020137">
      <w:pPr>
        <w:pBdr>
          <w:top w:val="none" w:sz="0" w:space="0" w:color="auto"/>
          <w:left w:val="none" w:sz="0" w:space="0" w:color="auto"/>
          <w:bottom w:val="none" w:sz="0" w:space="0" w:color="auto"/>
          <w:right w:val="none" w:sz="0" w:space="0" w:color="auto"/>
          <w:between w:val="none" w:sz="0" w:space="0" w:color="auto"/>
          <w:bar w:val="none" w:sz="0" w:color="auto"/>
        </w:pBdr>
        <w:tabs>
          <w:tab w:val="left" w:pos="2580"/>
        </w:tabs>
        <w:suppressAutoHyphens/>
        <w:jc w:val="both"/>
        <w:rPr>
          <w:rFonts w:asciiTheme="majorHAnsi" w:hAnsiTheme="majorHAnsi"/>
          <w:bCs/>
          <w:sz w:val="20"/>
          <w:szCs w:val="20"/>
          <w:lang w:val="es-ES"/>
        </w:rPr>
      </w:pPr>
    </w:p>
    <w:p w14:paraId="1DA47C39" w14:textId="4DB32B78" w:rsidR="007B64BA" w:rsidRPr="00F803D0" w:rsidRDefault="007B64BA" w:rsidP="007B64B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
        </w:rPr>
      </w:pPr>
      <w:r w:rsidRPr="00F803D0">
        <w:rPr>
          <w:rFonts w:asciiTheme="majorHAnsi" w:hAnsiTheme="majorHAnsi" w:cs="Calibri"/>
          <w:sz w:val="20"/>
          <w:szCs w:val="20"/>
          <w:lang w:val="es-ES_tradnl"/>
        </w:rPr>
        <w:t xml:space="preserve">En </w:t>
      </w:r>
      <w:r w:rsidR="00403A8E" w:rsidRPr="00F803D0">
        <w:rPr>
          <w:rFonts w:asciiTheme="majorHAnsi" w:hAnsiTheme="majorHAnsi" w:cs="Calibri"/>
          <w:sz w:val="20"/>
          <w:szCs w:val="20"/>
          <w:lang w:val="es-ES_tradnl"/>
        </w:rPr>
        <w:t>cuanto</w:t>
      </w:r>
      <w:r w:rsidRPr="00F803D0">
        <w:rPr>
          <w:rFonts w:asciiTheme="majorHAnsi" w:hAnsiTheme="majorHAnsi" w:cs="Calibri"/>
          <w:sz w:val="20"/>
          <w:szCs w:val="20"/>
          <w:lang w:val="es-ES_tradnl"/>
        </w:rPr>
        <w:t xml:space="preserve"> a los alegatos de </w:t>
      </w:r>
      <w:r w:rsidR="00403A8E" w:rsidRPr="00F803D0">
        <w:rPr>
          <w:rFonts w:asciiTheme="majorHAnsi" w:hAnsiTheme="majorHAnsi" w:cs="Calibri"/>
          <w:sz w:val="20"/>
          <w:szCs w:val="20"/>
          <w:lang w:val="es-ES_tradnl"/>
        </w:rPr>
        <w:t xml:space="preserve">la parte </w:t>
      </w:r>
      <w:r w:rsidRPr="00F803D0">
        <w:rPr>
          <w:rFonts w:asciiTheme="majorHAnsi" w:hAnsiTheme="majorHAnsi" w:cs="Calibri"/>
          <w:sz w:val="20"/>
          <w:szCs w:val="20"/>
          <w:lang w:val="es-ES_tradnl"/>
        </w:rPr>
        <w:t>peticionari</w:t>
      </w:r>
      <w:r w:rsidR="00403A8E" w:rsidRPr="00F803D0">
        <w:rPr>
          <w:rFonts w:asciiTheme="majorHAnsi" w:hAnsiTheme="majorHAnsi" w:cs="Calibri"/>
          <w:sz w:val="20"/>
          <w:szCs w:val="20"/>
          <w:lang w:val="es-ES_tradnl"/>
        </w:rPr>
        <w:t>a</w:t>
      </w:r>
      <w:r w:rsidRPr="00F803D0">
        <w:rPr>
          <w:rFonts w:asciiTheme="majorHAnsi" w:hAnsiTheme="majorHAnsi" w:cs="Calibri"/>
          <w:sz w:val="20"/>
          <w:szCs w:val="20"/>
          <w:lang w:val="es-ES_tradnl"/>
        </w:rPr>
        <w:t xml:space="preserve"> </w:t>
      </w:r>
      <w:r w:rsidR="00403A8E" w:rsidRPr="00F803D0">
        <w:rPr>
          <w:rFonts w:asciiTheme="majorHAnsi" w:hAnsiTheme="majorHAnsi" w:cs="Calibri"/>
          <w:sz w:val="20"/>
          <w:szCs w:val="20"/>
          <w:lang w:val="es-ES_tradnl"/>
        </w:rPr>
        <w:t>sobre</w:t>
      </w:r>
      <w:r w:rsidRPr="00F803D0">
        <w:rPr>
          <w:rFonts w:asciiTheme="majorHAnsi" w:hAnsiTheme="majorHAnsi" w:cs="Calibri"/>
          <w:sz w:val="20"/>
          <w:szCs w:val="20"/>
          <w:lang w:val="es-ES_tradnl"/>
        </w:rPr>
        <w:t xml:space="preserve"> la violación de otros tratados internacionales, la CIDH carece de competencia </w:t>
      </w:r>
      <w:r w:rsidRPr="00F803D0">
        <w:rPr>
          <w:rFonts w:asciiTheme="majorHAnsi" w:hAnsiTheme="majorHAnsi" w:cs="Calibri"/>
          <w:i/>
          <w:sz w:val="20"/>
          <w:szCs w:val="20"/>
          <w:lang w:val="es-ES_tradnl"/>
        </w:rPr>
        <w:t>ratione materiae</w:t>
      </w:r>
      <w:r w:rsidRPr="00F803D0">
        <w:rPr>
          <w:rFonts w:asciiTheme="majorHAnsi" w:hAnsiTheme="majorHAnsi" w:cs="Calibri"/>
          <w:sz w:val="20"/>
          <w:szCs w:val="20"/>
          <w:lang w:val="es-ES_tradnl"/>
        </w:rPr>
        <w:t xml:space="preserve"> para pronunciarse sobre violaciones a los derechos contenidos en tratados fuera del </w:t>
      </w:r>
      <w:r w:rsidR="00403A8E" w:rsidRPr="00F803D0">
        <w:rPr>
          <w:rFonts w:asciiTheme="majorHAnsi" w:hAnsiTheme="majorHAnsi" w:cs="Calibri"/>
          <w:sz w:val="20"/>
          <w:szCs w:val="20"/>
          <w:lang w:val="es-ES_tradnl"/>
        </w:rPr>
        <w:t>s</w:t>
      </w:r>
      <w:r w:rsidRPr="00F803D0">
        <w:rPr>
          <w:rFonts w:asciiTheme="majorHAnsi" w:hAnsiTheme="majorHAnsi" w:cs="Calibri"/>
          <w:sz w:val="20"/>
          <w:szCs w:val="20"/>
          <w:lang w:val="es-ES_tradnl"/>
        </w:rPr>
        <w:t xml:space="preserve">istema </w:t>
      </w:r>
      <w:r w:rsidR="00403A8E" w:rsidRPr="00F803D0">
        <w:rPr>
          <w:rFonts w:asciiTheme="majorHAnsi" w:hAnsiTheme="majorHAnsi" w:cs="Calibri"/>
          <w:sz w:val="20"/>
          <w:szCs w:val="20"/>
          <w:lang w:val="es-ES_tradnl"/>
        </w:rPr>
        <w:t>i</w:t>
      </w:r>
      <w:r w:rsidRPr="00F803D0">
        <w:rPr>
          <w:rFonts w:asciiTheme="majorHAnsi" w:hAnsiTheme="majorHAnsi" w:cs="Calibri"/>
          <w:sz w:val="20"/>
          <w:szCs w:val="20"/>
          <w:lang w:val="es-ES_tradnl"/>
        </w:rPr>
        <w:t>nteramericano</w:t>
      </w:r>
      <w:r w:rsidR="00403A8E" w:rsidRPr="00F803D0">
        <w:rPr>
          <w:rFonts w:asciiTheme="majorHAnsi" w:hAnsiTheme="majorHAnsi" w:cs="Calibri"/>
          <w:sz w:val="20"/>
          <w:szCs w:val="20"/>
          <w:lang w:val="es-ES_tradnl"/>
        </w:rPr>
        <w:t>.</w:t>
      </w:r>
      <w:r w:rsidRPr="00F803D0">
        <w:rPr>
          <w:rFonts w:asciiTheme="majorHAnsi" w:hAnsiTheme="majorHAnsi" w:cs="Calibri"/>
          <w:sz w:val="20"/>
          <w:szCs w:val="20"/>
          <w:lang w:val="es-ES_tradnl"/>
        </w:rPr>
        <w:t xml:space="preserve"> </w:t>
      </w:r>
      <w:r w:rsidR="00403A8E" w:rsidRPr="00F803D0">
        <w:rPr>
          <w:rFonts w:asciiTheme="majorHAnsi" w:hAnsiTheme="majorHAnsi" w:cs="Calibri"/>
          <w:sz w:val="20"/>
          <w:szCs w:val="20"/>
          <w:lang w:val="es-ES_tradnl"/>
        </w:rPr>
        <w:t>S</w:t>
      </w:r>
      <w:r w:rsidRPr="00F803D0">
        <w:rPr>
          <w:rFonts w:asciiTheme="majorHAnsi" w:hAnsiTheme="majorHAnsi" w:cs="Calibri"/>
          <w:sz w:val="20"/>
          <w:szCs w:val="20"/>
          <w:lang w:val="es-ES_tradnl"/>
        </w:rPr>
        <w:t xml:space="preserve">in perjuicio </w:t>
      </w:r>
      <w:r w:rsidR="00403A8E" w:rsidRPr="00F803D0">
        <w:rPr>
          <w:rFonts w:asciiTheme="majorHAnsi" w:hAnsiTheme="majorHAnsi" w:cs="Calibri"/>
          <w:sz w:val="20"/>
          <w:szCs w:val="20"/>
          <w:lang w:val="es-ES_tradnl"/>
        </w:rPr>
        <w:t xml:space="preserve">de lo anterior, </w:t>
      </w:r>
      <w:r w:rsidRPr="00F803D0">
        <w:rPr>
          <w:rFonts w:asciiTheme="majorHAnsi" w:hAnsiTheme="majorHAnsi" w:cs="Calibri"/>
          <w:sz w:val="20"/>
          <w:szCs w:val="20"/>
          <w:lang w:val="es-ES_tradnl"/>
        </w:rPr>
        <w:t>pued</w:t>
      </w:r>
      <w:r w:rsidR="00403A8E" w:rsidRPr="00F803D0">
        <w:rPr>
          <w:rFonts w:asciiTheme="majorHAnsi" w:hAnsiTheme="majorHAnsi" w:cs="Calibri"/>
          <w:sz w:val="20"/>
          <w:szCs w:val="20"/>
          <w:lang w:val="es-ES_tradnl"/>
        </w:rPr>
        <w:t>e</w:t>
      </w:r>
      <w:r w:rsidRPr="00F803D0">
        <w:rPr>
          <w:rFonts w:asciiTheme="majorHAnsi" w:hAnsiTheme="majorHAnsi" w:cs="Calibri"/>
          <w:sz w:val="20"/>
          <w:szCs w:val="20"/>
          <w:lang w:val="es-ES_tradnl"/>
        </w:rPr>
        <w:t xml:space="preserve"> recurrir a los estándares establecidos en otros tratados a fin de interpretar las normas de la Convención </w:t>
      </w:r>
      <w:r w:rsidR="00403A8E" w:rsidRPr="00F803D0">
        <w:rPr>
          <w:rFonts w:asciiTheme="majorHAnsi" w:hAnsiTheme="majorHAnsi" w:cs="Calibri"/>
          <w:sz w:val="20"/>
          <w:szCs w:val="20"/>
          <w:lang w:val="es-ES_tradnl"/>
        </w:rPr>
        <w:t xml:space="preserve">Americana </w:t>
      </w:r>
      <w:r w:rsidRPr="00F803D0">
        <w:rPr>
          <w:rFonts w:asciiTheme="majorHAnsi" w:hAnsiTheme="majorHAnsi" w:cs="Calibri"/>
          <w:sz w:val="20"/>
          <w:szCs w:val="20"/>
          <w:lang w:val="es-ES_tradnl"/>
        </w:rPr>
        <w:t>en virtud de</w:t>
      </w:r>
      <w:r w:rsidR="00403A8E" w:rsidRPr="00F803D0">
        <w:rPr>
          <w:rFonts w:asciiTheme="majorHAnsi" w:hAnsiTheme="majorHAnsi" w:cs="Calibri"/>
          <w:sz w:val="20"/>
          <w:szCs w:val="20"/>
          <w:lang w:val="es-ES_tradnl"/>
        </w:rPr>
        <w:t xml:space="preserve"> su</w:t>
      </w:r>
      <w:r w:rsidRPr="00F803D0">
        <w:rPr>
          <w:rFonts w:asciiTheme="majorHAnsi" w:hAnsiTheme="majorHAnsi" w:cs="Calibri"/>
          <w:sz w:val="20"/>
          <w:szCs w:val="20"/>
          <w:lang w:val="es-ES_tradnl"/>
        </w:rPr>
        <w:t xml:space="preserve"> artículo 29</w:t>
      </w:r>
      <w:r w:rsidRPr="00F803D0">
        <w:rPr>
          <w:rStyle w:val="FootnoteReference"/>
          <w:rFonts w:asciiTheme="majorHAnsi" w:hAnsiTheme="majorHAnsi" w:cs="Calibri"/>
          <w:sz w:val="20"/>
          <w:szCs w:val="20"/>
        </w:rPr>
        <w:footnoteReference w:id="12"/>
      </w:r>
      <w:r w:rsidRPr="00F803D0">
        <w:rPr>
          <w:rFonts w:asciiTheme="majorHAnsi" w:hAnsiTheme="majorHAnsi" w:cs="Calibri"/>
          <w:sz w:val="20"/>
          <w:szCs w:val="20"/>
          <w:lang w:val="es-ES_tradnl"/>
        </w:rPr>
        <w:t>.</w:t>
      </w:r>
    </w:p>
    <w:p w14:paraId="08868DC3" w14:textId="77777777" w:rsidR="007B64BA" w:rsidRPr="00F803D0" w:rsidRDefault="007B64BA" w:rsidP="007B64B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color w:val="FF0000"/>
          <w:sz w:val="20"/>
          <w:szCs w:val="20"/>
          <w:lang w:val="es-ES"/>
        </w:rPr>
      </w:pPr>
    </w:p>
    <w:p w14:paraId="36F239C7" w14:textId="2D8E78DC" w:rsidR="00E437D3" w:rsidRPr="00F803D0" w:rsidRDefault="00020137" w:rsidP="00E43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color w:val="auto"/>
          <w:sz w:val="20"/>
          <w:szCs w:val="20"/>
          <w:lang w:val="es-ES"/>
        </w:rPr>
      </w:pPr>
      <w:r w:rsidRPr="00F803D0">
        <w:rPr>
          <w:rFonts w:asciiTheme="majorHAnsi" w:hAnsiTheme="majorHAnsi"/>
          <w:color w:val="auto"/>
          <w:sz w:val="20"/>
          <w:szCs w:val="20"/>
          <w:lang w:val="es-ES"/>
        </w:rPr>
        <w:t xml:space="preserve">La </w:t>
      </w:r>
      <w:r w:rsidR="00403A8E" w:rsidRPr="00F803D0">
        <w:rPr>
          <w:rFonts w:asciiTheme="majorHAnsi" w:hAnsiTheme="majorHAnsi"/>
          <w:color w:val="auto"/>
          <w:sz w:val="20"/>
          <w:szCs w:val="20"/>
          <w:lang w:val="es-ES"/>
        </w:rPr>
        <w:t xml:space="preserve">parte peticionaria </w:t>
      </w:r>
      <w:r w:rsidRPr="00F803D0">
        <w:rPr>
          <w:rFonts w:asciiTheme="majorHAnsi" w:hAnsiTheme="majorHAnsi"/>
          <w:color w:val="auto"/>
          <w:sz w:val="20"/>
          <w:szCs w:val="20"/>
          <w:lang w:val="es-ES"/>
        </w:rPr>
        <w:t>alega</w:t>
      </w:r>
      <w:r w:rsidR="00403A8E" w:rsidRPr="00F803D0">
        <w:rPr>
          <w:rFonts w:asciiTheme="majorHAnsi" w:hAnsiTheme="majorHAnsi"/>
          <w:color w:val="auto"/>
          <w:sz w:val="20"/>
          <w:szCs w:val="20"/>
          <w:lang w:val="es-ES"/>
        </w:rPr>
        <w:t xml:space="preserve"> la </w:t>
      </w:r>
      <w:r w:rsidR="00C24834" w:rsidRPr="00F803D0">
        <w:rPr>
          <w:rFonts w:asciiTheme="majorHAnsi" w:hAnsiTheme="majorHAnsi"/>
          <w:bCs/>
          <w:color w:val="auto"/>
          <w:sz w:val="20"/>
          <w:szCs w:val="20"/>
          <w:lang w:val="es-ES"/>
        </w:rPr>
        <w:t>inconstitucionalidad e inaplicabilidad de la Ley de Propiedad en lo concerniente a los territorios indígenas</w:t>
      </w:r>
      <w:r w:rsidR="00403A8E" w:rsidRPr="00F803D0">
        <w:rPr>
          <w:rFonts w:asciiTheme="majorHAnsi" w:hAnsiTheme="majorHAnsi"/>
          <w:bCs/>
          <w:color w:val="auto"/>
          <w:sz w:val="20"/>
          <w:szCs w:val="20"/>
          <w:lang w:val="es-ES"/>
        </w:rPr>
        <w:t xml:space="preserve">, pues considera que </w:t>
      </w:r>
      <w:r w:rsidR="00C24834" w:rsidRPr="00F803D0">
        <w:rPr>
          <w:rFonts w:asciiTheme="majorHAnsi" w:hAnsiTheme="majorHAnsi"/>
          <w:bCs/>
          <w:color w:val="auto"/>
          <w:sz w:val="20"/>
          <w:szCs w:val="20"/>
          <w:lang w:val="es-ES"/>
        </w:rPr>
        <w:t xml:space="preserve">violenta el derecho a la consulta, a la propiedad privada colectiva, </w:t>
      </w:r>
      <w:r w:rsidR="00403A8E" w:rsidRPr="00F803D0">
        <w:rPr>
          <w:rFonts w:asciiTheme="majorHAnsi" w:hAnsiTheme="majorHAnsi"/>
          <w:bCs/>
          <w:color w:val="auto"/>
          <w:sz w:val="20"/>
          <w:szCs w:val="20"/>
          <w:lang w:val="es-ES"/>
        </w:rPr>
        <w:t xml:space="preserve">así como </w:t>
      </w:r>
      <w:r w:rsidR="00C24834" w:rsidRPr="00F803D0">
        <w:rPr>
          <w:rFonts w:asciiTheme="majorHAnsi" w:hAnsiTheme="majorHAnsi"/>
          <w:bCs/>
          <w:color w:val="auto"/>
          <w:sz w:val="20"/>
          <w:szCs w:val="20"/>
          <w:lang w:val="es-ES"/>
        </w:rPr>
        <w:t xml:space="preserve">al uso y manejo de los recursos en </w:t>
      </w:r>
      <w:r w:rsidR="00403A8E" w:rsidRPr="00F803D0">
        <w:rPr>
          <w:rFonts w:asciiTheme="majorHAnsi" w:hAnsiTheme="majorHAnsi"/>
          <w:bCs/>
          <w:color w:val="auto"/>
          <w:sz w:val="20"/>
          <w:szCs w:val="20"/>
          <w:lang w:val="es-ES"/>
        </w:rPr>
        <w:t>dichos</w:t>
      </w:r>
      <w:r w:rsidR="00C24834" w:rsidRPr="00F803D0">
        <w:rPr>
          <w:rFonts w:asciiTheme="majorHAnsi" w:hAnsiTheme="majorHAnsi"/>
          <w:bCs/>
          <w:color w:val="auto"/>
          <w:sz w:val="20"/>
          <w:szCs w:val="20"/>
          <w:lang w:val="es-ES"/>
        </w:rPr>
        <w:t xml:space="preserve"> territorios</w:t>
      </w:r>
      <w:r w:rsidRPr="00F803D0">
        <w:rPr>
          <w:rFonts w:asciiTheme="majorHAnsi" w:hAnsiTheme="majorHAnsi"/>
          <w:bCs/>
          <w:color w:val="auto"/>
          <w:sz w:val="20"/>
          <w:szCs w:val="20"/>
          <w:lang w:val="es-ES"/>
        </w:rPr>
        <w:t xml:space="preserve">. </w:t>
      </w:r>
      <w:r w:rsidR="00D24D67" w:rsidRPr="00F803D0">
        <w:rPr>
          <w:rFonts w:asciiTheme="majorHAnsi" w:hAnsiTheme="majorHAnsi"/>
          <w:bCs/>
          <w:color w:val="auto"/>
          <w:sz w:val="20"/>
          <w:szCs w:val="20"/>
          <w:lang w:val="es-ES"/>
        </w:rPr>
        <w:t>T</w:t>
      </w:r>
      <w:r w:rsidRPr="00F803D0">
        <w:rPr>
          <w:rFonts w:asciiTheme="majorHAnsi" w:hAnsiTheme="majorHAnsi"/>
          <w:color w:val="auto"/>
          <w:sz w:val="20"/>
          <w:szCs w:val="20"/>
          <w:lang w:val="es-ES"/>
        </w:rPr>
        <w:t>ras examinar los elementos de hecho y de derecho expuestos por las partes</w:t>
      </w:r>
      <w:r w:rsidR="00D24D67" w:rsidRPr="00F803D0">
        <w:rPr>
          <w:rFonts w:asciiTheme="majorHAnsi" w:hAnsiTheme="majorHAnsi"/>
          <w:color w:val="auto"/>
          <w:sz w:val="20"/>
          <w:szCs w:val="20"/>
          <w:lang w:val="es-ES"/>
        </w:rPr>
        <w:t>,</w:t>
      </w:r>
      <w:r w:rsidRPr="00F803D0">
        <w:rPr>
          <w:rFonts w:asciiTheme="majorHAnsi" w:hAnsiTheme="majorHAnsi"/>
          <w:color w:val="auto"/>
          <w:sz w:val="20"/>
          <w:szCs w:val="20"/>
          <w:lang w:val="es-ES"/>
        </w:rPr>
        <w:t xml:space="preserve"> la Comisión </w:t>
      </w:r>
      <w:r w:rsidR="00D24D67" w:rsidRPr="00F803D0">
        <w:rPr>
          <w:rFonts w:asciiTheme="majorHAnsi" w:hAnsiTheme="majorHAnsi"/>
          <w:color w:val="auto"/>
          <w:sz w:val="20"/>
          <w:szCs w:val="20"/>
          <w:lang w:val="es-ES"/>
        </w:rPr>
        <w:t xml:space="preserve">Interamericana </w:t>
      </w:r>
      <w:r w:rsidRPr="00F803D0">
        <w:rPr>
          <w:rFonts w:asciiTheme="majorHAnsi" w:hAnsiTheme="majorHAnsi"/>
          <w:color w:val="auto"/>
          <w:sz w:val="20"/>
          <w:szCs w:val="20"/>
          <w:lang w:val="es-ES"/>
        </w:rPr>
        <w:t xml:space="preserve">estima que </w:t>
      </w:r>
      <w:r w:rsidR="00D24D67" w:rsidRPr="00F803D0">
        <w:rPr>
          <w:rFonts w:asciiTheme="majorHAnsi" w:hAnsiTheme="majorHAnsi"/>
          <w:color w:val="auto"/>
          <w:sz w:val="20"/>
          <w:szCs w:val="20"/>
          <w:lang w:val="es-ES"/>
        </w:rPr>
        <w:t xml:space="preserve">los alegatos </w:t>
      </w:r>
      <w:r w:rsidRPr="00F803D0">
        <w:rPr>
          <w:rFonts w:asciiTheme="majorHAnsi" w:hAnsiTheme="majorHAnsi"/>
          <w:color w:val="auto"/>
          <w:sz w:val="20"/>
          <w:szCs w:val="20"/>
          <w:lang w:val="es-ES"/>
        </w:rPr>
        <w:t>de la parte peticionaria no resultan manifiestamente infundad</w:t>
      </w:r>
      <w:r w:rsidR="00D24D67" w:rsidRPr="00F803D0">
        <w:rPr>
          <w:rFonts w:asciiTheme="majorHAnsi" w:hAnsiTheme="majorHAnsi"/>
          <w:color w:val="auto"/>
          <w:sz w:val="20"/>
          <w:szCs w:val="20"/>
          <w:lang w:val="es-ES"/>
        </w:rPr>
        <w:t>o</w:t>
      </w:r>
      <w:r w:rsidRPr="00F803D0">
        <w:rPr>
          <w:rFonts w:asciiTheme="majorHAnsi" w:hAnsiTheme="majorHAnsi"/>
          <w:color w:val="auto"/>
          <w:sz w:val="20"/>
          <w:szCs w:val="20"/>
          <w:lang w:val="es-ES"/>
        </w:rPr>
        <w:t>s y requieren un estudio de fondo pues los hechos alegados, de corroborarse como ciertos</w:t>
      </w:r>
      <w:r w:rsidR="00D24D67" w:rsidRPr="00F803D0">
        <w:rPr>
          <w:rFonts w:asciiTheme="majorHAnsi" w:hAnsiTheme="majorHAnsi"/>
          <w:color w:val="auto"/>
          <w:sz w:val="20"/>
          <w:szCs w:val="20"/>
          <w:lang w:val="es-ES"/>
        </w:rPr>
        <w:t>,</w:t>
      </w:r>
      <w:r w:rsidRPr="00F803D0">
        <w:rPr>
          <w:rFonts w:asciiTheme="majorHAnsi" w:hAnsiTheme="majorHAnsi"/>
          <w:color w:val="auto"/>
          <w:sz w:val="20"/>
          <w:szCs w:val="20"/>
          <w:lang w:val="es-ES"/>
        </w:rPr>
        <w:t xml:space="preserve"> podrían c</w:t>
      </w:r>
      <w:r w:rsidR="00D24D67" w:rsidRPr="00F803D0">
        <w:rPr>
          <w:rFonts w:asciiTheme="majorHAnsi" w:hAnsiTheme="majorHAnsi"/>
          <w:color w:val="auto"/>
          <w:sz w:val="20"/>
          <w:szCs w:val="20"/>
          <w:lang w:val="es-ES"/>
        </w:rPr>
        <w:t>onstituir</w:t>
      </w:r>
      <w:r w:rsidRPr="00F803D0">
        <w:rPr>
          <w:rFonts w:asciiTheme="majorHAnsi" w:hAnsiTheme="majorHAnsi"/>
          <w:color w:val="auto"/>
          <w:sz w:val="20"/>
          <w:szCs w:val="20"/>
          <w:lang w:val="es-ES"/>
        </w:rPr>
        <w:t xml:space="preserve"> violaciones </w:t>
      </w:r>
      <w:r w:rsidR="00D24D67" w:rsidRPr="00F803D0">
        <w:rPr>
          <w:rFonts w:asciiTheme="majorHAnsi" w:hAnsiTheme="majorHAnsi"/>
          <w:color w:val="auto"/>
          <w:sz w:val="20"/>
          <w:szCs w:val="20"/>
          <w:lang w:val="es-ES"/>
        </w:rPr>
        <w:t>de los derechos reconocidos en</w:t>
      </w:r>
      <w:r w:rsidRPr="00F803D0">
        <w:rPr>
          <w:rFonts w:asciiTheme="majorHAnsi" w:hAnsiTheme="majorHAnsi"/>
          <w:color w:val="auto"/>
          <w:sz w:val="20"/>
          <w:szCs w:val="20"/>
          <w:lang w:val="es-ES"/>
        </w:rPr>
        <w:t xml:space="preserve"> los artículos</w:t>
      </w:r>
      <w:r w:rsidRPr="00F803D0">
        <w:rPr>
          <w:rFonts w:asciiTheme="majorHAnsi" w:hAnsiTheme="majorHAnsi"/>
          <w:bCs/>
          <w:color w:val="auto"/>
          <w:sz w:val="20"/>
          <w:szCs w:val="20"/>
          <w:lang w:val="es-ES"/>
        </w:rPr>
        <w:t xml:space="preserve"> 21 (derecho a la propiedad)</w:t>
      </w:r>
      <w:r w:rsidR="00E437D3" w:rsidRPr="00F803D0">
        <w:rPr>
          <w:rFonts w:asciiTheme="majorHAnsi" w:hAnsiTheme="majorHAnsi"/>
          <w:bCs/>
          <w:color w:val="auto"/>
          <w:sz w:val="20"/>
          <w:szCs w:val="20"/>
          <w:lang w:val="es-ES"/>
        </w:rPr>
        <w:t xml:space="preserve"> y 25 (protección judicial) de la Convención Americana en relación con el artículo 1.1 y 2 de dicho tratado, respecto de los mi</w:t>
      </w:r>
      <w:r w:rsidR="00A507A6" w:rsidRPr="00F803D0">
        <w:rPr>
          <w:rFonts w:asciiTheme="majorHAnsi" w:hAnsiTheme="majorHAnsi"/>
          <w:bCs/>
          <w:color w:val="auto"/>
          <w:sz w:val="20"/>
          <w:szCs w:val="20"/>
          <w:lang w:val="es-ES"/>
        </w:rPr>
        <w:t xml:space="preserve">embros de las comunidades del </w:t>
      </w:r>
      <w:r w:rsidR="00D24D67" w:rsidRPr="00F803D0">
        <w:rPr>
          <w:rFonts w:asciiTheme="majorHAnsi" w:hAnsiTheme="majorHAnsi"/>
          <w:bCs/>
          <w:color w:val="auto"/>
          <w:sz w:val="20"/>
          <w:szCs w:val="20"/>
          <w:lang w:val="es-ES"/>
        </w:rPr>
        <w:t>Pueblo</w:t>
      </w:r>
      <w:r w:rsidR="00A507A6" w:rsidRPr="00F803D0">
        <w:rPr>
          <w:rFonts w:asciiTheme="majorHAnsi" w:hAnsiTheme="majorHAnsi"/>
          <w:bCs/>
          <w:color w:val="auto"/>
          <w:sz w:val="20"/>
          <w:szCs w:val="20"/>
          <w:lang w:val="es-ES"/>
        </w:rPr>
        <w:t xml:space="preserve"> Garífuna</w:t>
      </w:r>
      <w:r w:rsidR="00E437D3" w:rsidRPr="00F803D0">
        <w:rPr>
          <w:rFonts w:asciiTheme="majorHAnsi" w:hAnsiTheme="majorHAnsi"/>
          <w:bCs/>
          <w:color w:val="auto"/>
          <w:sz w:val="20"/>
          <w:szCs w:val="20"/>
          <w:lang w:val="es-ES"/>
        </w:rPr>
        <w:t>.</w:t>
      </w:r>
    </w:p>
    <w:p w14:paraId="2CEF88E0" w14:textId="77777777" w:rsidR="00E437D3" w:rsidRPr="00F803D0" w:rsidRDefault="00E437D3" w:rsidP="009E2FA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56CD7B65" w14:textId="3D42301F" w:rsidR="00A714C1" w:rsidRPr="00F803D0" w:rsidRDefault="00A714C1" w:rsidP="00E43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r w:rsidRPr="00F803D0">
        <w:rPr>
          <w:rFonts w:asciiTheme="majorHAnsi" w:hAnsiTheme="majorHAnsi" w:cs="Calibri"/>
          <w:sz w:val="20"/>
          <w:szCs w:val="20"/>
          <w:lang w:val="es-ES_tradnl"/>
        </w:rPr>
        <w:t xml:space="preserve">Por último, respecto al alegato del Estado </w:t>
      </w:r>
      <w:r w:rsidR="00D24D67" w:rsidRPr="00F803D0">
        <w:rPr>
          <w:rFonts w:asciiTheme="majorHAnsi" w:hAnsiTheme="majorHAnsi" w:cs="Calibri"/>
          <w:sz w:val="20"/>
          <w:szCs w:val="20"/>
          <w:lang w:val="es-ES_tradnl"/>
        </w:rPr>
        <w:t xml:space="preserve">sobre la llamada “fórmula </w:t>
      </w:r>
      <w:r w:rsidRPr="00F803D0">
        <w:rPr>
          <w:rFonts w:asciiTheme="majorHAnsi" w:hAnsiTheme="majorHAnsi" w:cs="Calibri"/>
          <w:sz w:val="20"/>
          <w:szCs w:val="20"/>
          <w:lang w:val="es-ES_tradnl"/>
        </w:rPr>
        <w:t xml:space="preserve">de </w:t>
      </w:r>
      <w:r w:rsidR="00D24D67" w:rsidRPr="00F803D0">
        <w:rPr>
          <w:rFonts w:asciiTheme="majorHAnsi" w:hAnsiTheme="majorHAnsi" w:cs="Calibri"/>
          <w:sz w:val="20"/>
          <w:szCs w:val="20"/>
          <w:lang w:val="es-ES_tradnl"/>
        </w:rPr>
        <w:t xml:space="preserve">la </w:t>
      </w:r>
      <w:r w:rsidRPr="00F803D0">
        <w:rPr>
          <w:rFonts w:asciiTheme="majorHAnsi" w:hAnsiTheme="majorHAnsi" w:cs="Calibri"/>
          <w:sz w:val="20"/>
          <w:szCs w:val="20"/>
          <w:lang w:val="es-ES_tradnl"/>
        </w:rPr>
        <w:t>cuarta instancia</w:t>
      </w:r>
      <w:r w:rsidR="00D24D67" w:rsidRPr="00F803D0">
        <w:rPr>
          <w:rFonts w:asciiTheme="majorHAnsi" w:hAnsiTheme="majorHAnsi" w:cs="Calibri"/>
          <w:sz w:val="20"/>
          <w:szCs w:val="20"/>
          <w:lang w:val="es-ES_tradnl"/>
        </w:rPr>
        <w:t>”</w:t>
      </w:r>
      <w:r w:rsidRPr="00F803D0">
        <w:rPr>
          <w:rFonts w:asciiTheme="majorHAnsi" w:hAnsiTheme="majorHAnsi" w:cs="Calibri"/>
          <w:sz w:val="20"/>
          <w:szCs w:val="20"/>
          <w:lang w:val="es-ES_tradnl"/>
        </w:rPr>
        <w:t>, la C</w:t>
      </w:r>
      <w:r w:rsidR="00D24D67" w:rsidRPr="00F803D0">
        <w:rPr>
          <w:rFonts w:asciiTheme="majorHAnsi" w:hAnsiTheme="majorHAnsi" w:cs="Calibri"/>
          <w:sz w:val="20"/>
          <w:szCs w:val="20"/>
          <w:lang w:val="es-ES_tradnl"/>
        </w:rPr>
        <w:t>IDH</w:t>
      </w:r>
      <w:r w:rsidRPr="00F803D0">
        <w:rPr>
          <w:rFonts w:asciiTheme="majorHAnsi" w:hAnsiTheme="majorHAnsi" w:cs="Calibri"/>
          <w:sz w:val="20"/>
          <w:szCs w:val="20"/>
          <w:lang w:val="es-ES_tradnl"/>
        </w:rPr>
        <w:t xml:space="preserve"> </w:t>
      </w:r>
      <w:r w:rsidR="00D24D67" w:rsidRPr="00F803D0">
        <w:rPr>
          <w:rFonts w:asciiTheme="majorHAnsi" w:hAnsiTheme="majorHAnsi" w:cs="Calibri"/>
          <w:sz w:val="20"/>
          <w:szCs w:val="20"/>
          <w:lang w:val="es-ES_tradnl"/>
        </w:rPr>
        <w:t xml:space="preserve">señala </w:t>
      </w:r>
      <w:r w:rsidRPr="00F803D0">
        <w:rPr>
          <w:rFonts w:asciiTheme="majorHAnsi" w:hAnsiTheme="majorHAnsi" w:cs="Calibri"/>
          <w:sz w:val="20"/>
          <w:szCs w:val="20"/>
          <w:lang w:val="es-ES_tradnl"/>
        </w:rPr>
        <w:t>que al admitir esta petición no pretende suplantar la competencia de las auto</w:t>
      </w:r>
      <w:r w:rsidR="00C24834" w:rsidRPr="00F803D0">
        <w:rPr>
          <w:rFonts w:asciiTheme="majorHAnsi" w:hAnsiTheme="majorHAnsi" w:cs="Calibri"/>
          <w:sz w:val="20"/>
          <w:szCs w:val="20"/>
          <w:lang w:val="es-ES_tradnl"/>
        </w:rPr>
        <w:t xml:space="preserve">ridades judiciales </w:t>
      </w:r>
      <w:r w:rsidR="00D24D67" w:rsidRPr="00F803D0">
        <w:rPr>
          <w:rFonts w:asciiTheme="majorHAnsi" w:hAnsiTheme="majorHAnsi" w:cs="Calibri"/>
          <w:sz w:val="20"/>
          <w:szCs w:val="20"/>
          <w:lang w:val="es-ES_tradnl"/>
        </w:rPr>
        <w:t xml:space="preserve">nacionales, </w:t>
      </w:r>
      <w:r w:rsidR="00C24834" w:rsidRPr="00F803D0">
        <w:rPr>
          <w:rFonts w:asciiTheme="majorHAnsi" w:hAnsiTheme="majorHAnsi" w:cs="Calibri"/>
          <w:sz w:val="20"/>
          <w:szCs w:val="20"/>
          <w:lang w:val="es-ES_tradnl"/>
        </w:rPr>
        <w:t>s</w:t>
      </w:r>
      <w:r w:rsidRPr="00F803D0">
        <w:rPr>
          <w:rFonts w:asciiTheme="majorHAnsi" w:hAnsiTheme="majorHAnsi" w:cs="Calibri"/>
          <w:sz w:val="20"/>
          <w:szCs w:val="20"/>
          <w:lang w:val="es-ES_tradnl"/>
        </w:rPr>
        <w:t xml:space="preserve">ino que analizará en la etapa de fondo si los procesos judiciales internos cumplieron con las garantías del debido proceso y protección judicial, y </w:t>
      </w:r>
      <w:r w:rsidR="00D24D67" w:rsidRPr="00F803D0">
        <w:rPr>
          <w:rFonts w:asciiTheme="majorHAnsi" w:hAnsiTheme="majorHAnsi" w:cs="Calibri"/>
          <w:sz w:val="20"/>
          <w:szCs w:val="20"/>
          <w:lang w:val="es-ES_tradnl"/>
        </w:rPr>
        <w:t xml:space="preserve">si aquel </w:t>
      </w:r>
      <w:r w:rsidRPr="00F803D0">
        <w:rPr>
          <w:rFonts w:asciiTheme="majorHAnsi" w:hAnsiTheme="majorHAnsi" w:cs="Calibri"/>
          <w:sz w:val="20"/>
          <w:szCs w:val="20"/>
          <w:lang w:val="es-ES_tradnl"/>
        </w:rPr>
        <w:t>ofreció las debidas garantías de acceso a la justicia para las presuntas víctimas en los términos de la Convención Americana.</w:t>
      </w:r>
    </w:p>
    <w:p w14:paraId="060E270F" w14:textId="77777777" w:rsidR="00B55CC1" w:rsidRPr="00F803D0" w:rsidRDefault="00B55CC1" w:rsidP="009E2FA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_tradnl"/>
        </w:rPr>
      </w:pPr>
    </w:p>
    <w:p w14:paraId="29BB41F5" w14:textId="74E31D6A" w:rsidR="003239B8" w:rsidRPr="00F803D0" w:rsidRDefault="003239B8" w:rsidP="00730A5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
        </w:rPr>
      </w:pPr>
      <w:r w:rsidRPr="00F803D0">
        <w:rPr>
          <w:rFonts w:asciiTheme="majorHAnsi" w:hAnsiTheme="majorHAnsi"/>
          <w:b/>
          <w:bCs/>
          <w:sz w:val="20"/>
          <w:szCs w:val="20"/>
          <w:lang w:val="es-ES"/>
        </w:rPr>
        <w:t>DECISIÓN</w:t>
      </w:r>
    </w:p>
    <w:p w14:paraId="47EC675D" w14:textId="77777777" w:rsidR="00730A5E" w:rsidRPr="00F803D0" w:rsidRDefault="00730A5E" w:rsidP="00730A5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
        </w:rPr>
      </w:pPr>
    </w:p>
    <w:p w14:paraId="570DA61C" w14:textId="3D4D9376" w:rsidR="000419AD" w:rsidRPr="00867EAD" w:rsidRDefault="008874B0" w:rsidP="00730A5E">
      <w:pPr>
        <w:pStyle w:val="ListParagraph"/>
        <w:numPr>
          <w:ilvl w:val="0"/>
          <w:numId w:val="56"/>
        </w:numPr>
        <w:jc w:val="both"/>
        <w:rPr>
          <w:rFonts w:asciiTheme="majorHAnsi" w:eastAsia="Arial Unicode MS" w:hAnsiTheme="majorHAnsi" w:cs="Times New Roman"/>
          <w:color w:val="auto"/>
          <w:sz w:val="20"/>
          <w:szCs w:val="20"/>
          <w:lang w:val="es-ES" w:eastAsia="en-US"/>
        </w:rPr>
      </w:pPr>
      <w:r w:rsidRPr="00867EAD">
        <w:rPr>
          <w:rFonts w:asciiTheme="majorHAnsi" w:hAnsiTheme="majorHAnsi"/>
          <w:sz w:val="20"/>
          <w:szCs w:val="20"/>
          <w:lang w:val="es-ES"/>
        </w:rPr>
        <w:t xml:space="preserve">Declarar admisible la presente petición en relación con los </w:t>
      </w:r>
      <w:r w:rsidRPr="00867EAD">
        <w:rPr>
          <w:rFonts w:asciiTheme="majorHAnsi" w:hAnsiTheme="majorHAnsi"/>
          <w:bCs/>
          <w:sz w:val="20"/>
          <w:szCs w:val="20"/>
          <w:lang w:val="es-ES"/>
        </w:rPr>
        <w:t xml:space="preserve">artículos 21 y 25 de la Convención Americana en concordancia con </w:t>
      </w:r>
      <w:r w:rsidR="00D24D67" w:rsidRPr="00867EAD">
        <w:rPr>
          <w:rFonts w:asciiTheme="majorHAnsi" w:hAnsiTheme="majorHAnsi"/>
          <w:bCs/>
          <w:sz w:val="20"/>
          <w:szCs w:val="20"/>
          <w:lang w:val="es-ES"/>
        </w:rPr>
        <w:t>sus</w:t>
      </w:r>
      <w:r w:rsidRPr="00867EAD">
        <w:rPr>
          <w:rFonts w:asciiTheme="majorHAnsi" w:hAnsiTheme="majorHAnsi"/>
          <w:bCs/>
          <w:sz w:val="20"/>
          <w:szCs w:val="20"/>
          <w:lang w:val="es-ES"/>
        </w:rPr>
        <w:t xml:space="preserve"> artículos 1.1. y 2</w:t>
      </w:r>
      <w:r w:rsidR="00D24D67" w:rsidRPr="00867EAD">
        <w:rPr>
          <w:rFonts w:asciiTheme="majorHAnsi" w:hAnsiTheme="majorHAnsi"/>
          <w:bCs/>
          <w:sz w:val="20"/>
          <w:szCs w:val="20"/>
          <w:lang w:val="es-ES"/>
        </w:rPr>
        <w:t>.</w:t>
      </w:r>
    </w:p>
    <w:p w14:paraId="5C49FD15" w14:textId="45A4EF37" w:rsidR="00730A5E" w:rsidRPr="00867EAD" w:rsidRDefault="00730A5E" w:rsidP="00730A5E">
      <w:pPr>
        <w:jc w:val="both"/>
        <w:rPr>
          <w:rFonts w:asciiTheme="majorHAnsi" w:hAnsiTheme="majorHAnsi"/>
          <w:sz w:val="20"/>
          <w:szCs w:val="20"/>
          <w:lang w:val="es-ES"/>
        </w:rPr>
      </w:pPr>
    </w:p>
    <w:p w14:paraId="7CD4DFBD" w14:textId="70BC580D" w:rsidR="003239B8" w:rsidRPr="00867EAD" w:rsidRDefault="004A6A54" w:rsidP="00730A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67EAD">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048AF066" w14:textId="77777777" w:rsidR="007C4672" w:rsidRPr="00867EAD" w:rsidRDefault="007C4672" w:rsidP="007C46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EF4DFF5" w14:textId="15B58E7B" w:rsidR="007C4672" w:rsidRPr="00867EAD" w:rsidRDefault="007C4672" w:rsidP="007C4672">
      <w:pPr>
        <w:ind w:firstLine="720"/>
        <w:jc w:val="both"/>
        <w:rPr>
          <w:rFonts w:asciiTheme="majorHAnsi" w:hAnsiTheme="majorHAnsi" w:cs="Arial"/>
          <w:noProof/>
          <w:spacing w:val="-2"/>
          <w:sz w:val="20"/>
          <w:szCs w:val="20"/>
          <w:lang w:val="es-CL"/>
        </w:rPr>
      </w:pPr>
      <w:r w:rsidRPr="00867EAD">
        <w:rPr>
          <w:rFonts w:asciiTheme="majorHAnsi" w:hAnsiTheme="majorHAnsi" w:cs="Arial"/>
          <w:noProof/>
          <w:spacing w:val="-2"/>
          <w:sz w:val="20"/>
          <w:szCs w:val="20"/>
          <w:lang w:val="es-CL"/>
        </w:rPr>
        <w:t>Aprobado por la Comisión Interamericana de Derechos Humanos  a los 7 días del mes de septiembre de 2021.  (Firmado): Antonia Urrejola, Presidenta; Esmeralda E. Arosemena Bernal de Troitiño, Joel Hernández  y Stuardo Ralón Orellana, Miembros de la Comisión.</w:t>
      </w:r>
      <w:r w:rsidRPr="00867EAD">
        <w:rPr>
          <w:rFonts w:asciiTheme="majorHAnsi" w:hAnsiTheme="majorHAnsi" w:cs="Arial"/>
          <w:noProof/>
          <w:sz w:val="20"/>
          <w:szCs w:val="20"/>
          <w:lang w:val="es-CL"/>
        </w:rPr>
        <w:t xml:space="preserve"> </w:t>
      </w:r>
    </w:p>
    <w:sectPr w:rsidR="007C4672" w:rsidRPr="00867EA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B7D2" w14:textId="77777777" w:rsidR="0039680A" w:rsidRDefault="0039680A">
      <w:r>
        <w:separator/>
      </w:r>
    </w:p>
  </w:endnote>
  <w:endnote w:type="continuationSeparator" w:id="0">
    <w:p w14:paraId="50AACDAD" w14:textId="77777777" w:rsidR="0039680A" w:rsidRDefault="0039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NotDefSpecial">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F2C2789" w:rsidR="000511EE" w:rsidRPr="00934A2C" w:rsidRDefault="000511E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D5134">
          <w:rPr>
            <w:noProof/>
            <w:sz w:val="16"/>
            <w:szCs w:val="22"/>
          </w:rPr>
          <w:t>6</w:t>
        </w:r>
        <w:r w:rsidRPr="00934A2C">
          <w:rPr>
            <w:noProof/>
            <w:sz w:val="16"/>
            <w:szCs w:val="22"/>
          </w:rPr>
          <w:fldChar w:fldCharType="end"/>
        </w:r>
      </w:p>
    </w:sdtContent>
  </w:sdt>
  <w:p w14:paraId="68530E6A" w14:textId="77777777" w:rsidR="000511EE" w:rsidRDefault="00051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0511EE" w:rsidRPr="00934A2C" w:rsidRDefault="000511EE">
    <w:pPr>
      <w:pStyle w:val="Footer"/>
      <w:jc w:val="center"/>
      <w:rPr>
        <w:sz w:val="16"/>
        <w:szCs w:val="22"/>
      </w:rPr>
    </w:pPr>
  </w:p>
  <w:p w14:paraId="49059CE3" w14:textId="77777777" w:rsidR="000511EE" w:rsidRDefault="0005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0EE2" w14:textId="77777777" w:rsidR="0039680A" w:rsidRPr="000F35ED" w:rsidRDefault="0039680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894E4C" w14:textId="77777777" w:rsidR="0039680A" w:rsidRPr="000F35ED" w:rsidRDefault="0039680A" w:rsidP="000F35ED">
      <w:pPr>
        <w:rPr>
          <w:rFonts w:asciiTheme="majorHAnsi" w:hAnsiTheme="majorHAnsi"/>
          <w:sz w:val="16"/>
          <w:szCs w:val="16"/>
        </w:rPr>
      </w:pPr>
      <w:r w:rsidRPr="000F35ED">
        <w:rPr>
          <w:rFonts w:asciiTheme="majorHAnsi" w:hAnsiTheme="majorHAnsi"/>
          <w:sz w:val="16"/>
          <w:szCs w:val="16"/>
        </w:rPr>
        <w:separator/>
      </w:r>
    </w:p>
    <w:p w14:paraId="758DBB3B" w14:textId="77777777" w:rsidR="0039680A" w:rsidRPr="000F35ED" w:rsidRDefault="0039680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5B99CED" w14:textId="77777777" w:rsidR="0039680A" w:rsidRPr="000F35ED" w:rsidRDefault="0039680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3D2F5FA7" w:rsidR="000511EE" w:rsidRPr="003473EB" w:rsidRDefault="000511EE" w:rsidP="007C4672">
      <w:pPr>
        <w:pStyle w:val="FootnoteText"/>
        <w:ind w:firstLine="720"/>
        <w:jc w:val="both"/>
        <w:rPr>
          <w:rFonts w:ascii="Cambria" w:hAnsi="Cambria"/>
          <w:sz w:val="16"/>
          <w:szCs w:val="16"/>
          <w:lang w:val="es-ES"/>
        </w:rPr>
      </w:pPr>
      <w:r w:rsidRPr="003473EB">
        <w:rPr>
          <w:rStyle w:val="FootnoteReference"/>
          <w:rFonts w:ascii="Cambria" w:hAnsi="Cambria"/>
          <w:sz w:val="16"/>
          <w:szCs w:val="16"/>
        </w:rPr>
        <w:footnoteRef/>
      </w:r>
      <w:r w:rsidRPr="003473EB">
        <w:rPr>
          <w:rFonts w:ascii="Cambria" w:hAnsi="Cambria"/>
          <w:sz w:val="16"/>
          <w:szCs w:val="16"/>
          <w:lang w:val="es-ES"/>
        </w:rPr>
        <w:t xml:space="preserve"> En adelante “la Convención Americana” o “la Convención”.</w:t>
      </w:r>
    </w:p>
  </w:footnote>
  <w:footnote w:id="3">
    <w:p w14:paraId="456B470C" w14:textId="5EEFF432" w:rsidR="000511EE" w:rsidRPr="003473EB" w:rsidRDefault="000511EE" w:rsidP="007C4672">
      <w:pPr>
        <w:pStyle w:val="FootnoteText"/>
        <w:ind w:firstLine="720"/>
        <w:jc w:val="both"/>
        <w:rPr>
          <w:rFonts w:ascii="Cambria" w:hAnsi="Cambria"/>
          <w:sz w:val="16"/>
          <w:szCs w:val="16"/>
          <w:lang w:val="es-ES"/>
        </w:rPr>
      </w:pPr>
      <w:r w:rsidRPr="003473EB">
        <w:rPr>
          <w:rStyle w:val="FootnoteReference"/>
          <w:rFonts w:ascii="Cambria" w:hAnsi="Cambria"/>
          <w:sz w:val="16"/>
          <w:szCs w:val="16"/>
        </w:rPr>
        <w:footnoteRef/>
      </w:r>
      <w:r w:rsidRPr="003473EB">
        <w:rPr>
          <w:rFonts w:ascii="Cambria" w:hAnsi="Cambria"/>
          <w:sz w:val="16"/>
          <w:szCs w:val="16"/>
          <w:lang w:val="es-ES"/>
        </w:rPr>
        <w:t xml:space="preserve"> </w:t>
      </w:r>
      <w:r w:rsidR="003473EB" w:rsidRPr="003473EB">
        <w:rPr>
          <w:rFonts w:ascii="Cambria" w:hAnsi="Cambria"/>
          <w:sz w:val="16"/>
          <w:szCs w:val="16"/>
          <w:lang w:val="es-ES"/>
        </w:rPr>
        <w:t xml:space="preserve">La </w:t>
      </w:r>
      <w:r w:rsidRPr="003473EB">
        <w:rPr>
          <w:rFonts w:ascii="Cambria" w:hAnsi="Cambria"/>
          <w:sz w:val="16"/>
          <w:szCs w:val="16"/>
          <w:lang w:val="es-ES"/>
        </w:rPr>
        <w:t xml:space="preserve">Convención de Viena sobre el Derecho de los Tratados, el </w:t>
      </w:r>
      <w:r w:rsidR="003473EB" w:rsidRPr="003473EB">
        <w:rPr>
          <w:rFonts w:ascii="Cambria" w:hAnsi="Cambria"/>
          <w:sz w:val="16"/>
          <w:szCs w:val="16"/>
          <w:lang w:val="es-ES"/>
        </w:rPr>
        <w:t>C</w:t>
      </w:r>
      <w:r w:rsidRPr="003473EB">
        <w:rPr>
          <w:rFonts w:ascii="Cambria" w:hAnsi="Cambria"/>
          <w:sz w:val="16"/>
          <w:szCs w:val="16"/>
          <w:lang w:val="es-ES"/>
        </w:rPr>
        <w:t xml:space="preserve">onvenio </w:t>
      </w:r>
      <w:r w:rsidR="003473EB" w:rsidRPr="003473EB">
        <w:rPr>
          <w:rFonts w:ascii="Cambria" w:hAnsi="Cambria"/>
          <w:sz w:val="16"/>
          <w:szCs w:val="16"/>
          <w:lang w:val="es-ES"/>
        </w:rPr>
        <w:t>No. 169 de la O</w:t>
      </w:r>
      <w:r w:rsidR="00664809">
        <w:rPr>
          <w:rFonts w:ascii="Cambria" w:hAnsi="Cambria"/>
          <w:sz w:val="16"/>
          <w:szCs w:val="16"/>
          <w:lang w:val="es-ES"/>
        </w:rPr>
        <w:t xml:space="preserve">rganización Internacional del Trabajo </w:t>
      </w:r>
      <w:r w:rsidR="003473EB" w:rsidRPr="003473EB">
        <w:rPr>
          <w:rFonts w:ascii="Cambria" w:hAnsi="Cambria"/>
          <w:sz w:val="16"/>
          <w:szCs w:val="16"/>
          <w:lang w:val="es-ES"/>
        </w:rPr>
        <w:t xml:space="preserve">y </w:t>
      </w:r>
      <w:r w:rsidRPr="003473EB">
        <w:rPr>
          <w:rFonts w:ascii="Cambria" w:hAnsi="Cambria"/>
          <w:sz w:val="16"/>
          <w:szCs w:val="16"/>
          <w:lang w:val="es-ES"/>
        </w:rPr>
        <w:t xml:space="preserve">la Declaración de las Naciones Unidas sobre los </w:t>
      </w:r>
      <w:r w:rsidR="00664809">
        <w:rPr>
          <w:rFonts w:ascii="Cambria" w:hAnsi="Cambria"/>
          <w:sz w:val="16"/>
          <w:szCs w:val="16"/>
          <w:lang w:val="es-ES"/>
        </w:rPr>
        <w:t>D</w:t>
      </w:r>
      <w:r w:rsidRPr="003473EB">
        <w:rPr>
          <w:rFonts w:ascii="Cambria" w:hAnsi="Cambria"/>
          <w:sz w:val="16"/>
          <w:szCs w:val="16"/>
          <w:lang w:val="es-ES"/>
        </w:rPr>
        <w:t xml:space="preserve">erechos de los </w:t>
      </w:r>
      <w:r w:rsidR="003473EB" w:rsidRPr="003473EB">
        <w:rPr>
          <w:rFonts w:ascii="Cambria" w:hAnsi="Cambria"/>
          <w:sz w:val="16"/>
          <w:szCs w:val="16"/>
          <w:lang w:val="es-ES"/>
        </w:rPr>
        <w:t>P</w:t>
      </w:r>
      <w:r w:rsidRPr="003473EB">
        <w:rPr>
          <w:rFonts w:ascii="Cambria" w:hAnsi="Cambria"/>
          <w:sz w:val="16"/>
          <w:szCs w:val="16"/>
          <w:lang w:val="es-ES"/>
        </w:rPr>
        <w:t xml:space="preserve">ueblos </w:t>
      </w:r>
      <w:r w:rsidR="003473EB" w:rsidRPr="003473EB">
        <w:rPr>
          <w:rFonts w:ascii="Cambria" w:hAnsi="Cambria"/>
          <w:sz w:val="16"/>
          <w:szCs w:val="16"/>
          <w:lang w:val="es-ES"/>
        </w:rPr>
        <w:t>Indígena</w:t>
      </w:r>
      <w:r w:rsidR="00664809">
        <w:rPr>
          <w:rFonts w:ascii="Cambria" w:hAnsi="Cambria"/>
          <w:sz w:val="16"/>
          <w:szCs w:val="16"/>
          <w:lang w:val="es-ES"/>
        </w:rPr>
        <w:t>s</w:t>
      </w:r>
      <w:r w:rsidR="003473EB" w:rsidRPr="003473EB">
        <w:rPr>
          <w:rFonts w:ascii="Cambria" w:hAnsi="Cambria"/>
          <w:sz w:val="16"/>
          <w:szCs w:val="16"/>
          <w:lang w:val="es-ES"/>
        </w:rPr>
        <w:t>.</w:t>
      </w:r>
    </w:p>
  </w:footnote>
  <w:footnote w:id="4">
    <w:p w14:paraId="79F07139" w14:textId="77777777" w:rsidR="000511EE" w:rsidRPr="00DD061E" w:rsidRDefault="000511EE" w:rsidP="007C4672">
      <w:pPr>
        <w:pStyle w:val="FootnoteText"/>
        <w:ind w:firstLine="720"/>
        <w:jc w:val="both"/>
        <w:rPr>
          <w:rFonts w:ascii="Cambria" w:hAnsi="Cambria"/>
          <w:sz w:val="16"/>
          <w:szCs w:val="16"/>
          <w:lang w:val="es-ES"/>
        </w:rPr>
      </w:pPr>
      <w:r w:rsidRPr="003473EB">
        <w:rPr>
          <w:rStyle w:val="FootnoteReference"/>
          <w:rFonts w:ascii="Cambria" w:hAnsi="Cambria"/>
          <w:sz w:val="16"/>
          <w:szCs w:val="16"/>
        </w:rPr>
        <w:footnoteRef/>
      </w:r>
      <w:r w:rsidRPr="003473EB">
        <w:rPr>
          <w:rFonts w:ascii="Cambria" w:hAnsi="Cambria"/>
          <w:sz w:val="16"/>
          <w:szCs w:val="16"/>
          <w:lang w:val="es-ES"/>
        </w:rPr>
        <w:t xml:space="preserve"> Las observaciones de cada parte fueron debidamente trasladadas a la parte contraria.</w:t>
      </w:r>
    </w:p>
  </w:footnote>
  <w:footnote w:id="5">
    <w:p w14:paraId="59AE2335" w14:textId="2313F41E" w:rsidR="00DE276C" w:rsidRPr="00DE276C" w:rsidRDefault="00DE276C" w:rsidP="007C4672">
      <w:pPr>
        <w:pStyle w:val="FootnoteText"/>
        <w:ind w:firstLine="720"/>
        <w:jc w:val="both"/>
        <w:rPr>
          <w:rFonts w:ascii="Cambria" w:hAnsi="Cambria"/>
          <w:sz w:val="16"/>
          <w:szCs w:val="16"/>
          <w:lang w:val="es-ES"/>
        </w:rPr>
      </w:pPr>
      <w:r w:rsidRPr="00E8310D">
        <w:rPr>
          <w:rStyle w:val="FootnoteReference"/>
          <w:rFonts w:ascii="Cambria" w:hAnsi="Cambria"/>
          <w:sz w:val="16"/>
          <w:szCs w:val="16"/>
        </w:rPr>
        <w:footnoteRef/>
      </w:r>
      <w:r w:rsidRPr="00E8310D">
        <w:rPr>
          <w:rFonts w:ascii="Cambria" w:hAnsi="Cambria"/>
          <w:sz w:val="16"/>
          <w:szCs w:val="16"/>
          <w:lang w:val="es-ES"/>
        </w:rPr>
        <w:t xml:space="preserve"> </w:t>
      </w:r>
      <w:bookmarkStart w:id="1" w:name="_Hlk77253370"/>
      <w:r w:rsidR="001C444A">
        <w:rPr>
          <w:rFonts w:ascii="Cambria" w:hAnsi="Cambria"/>
          <w:sz w:val="16"/>
          <w:szCs w:val="16"/>
          <w:lang w:val="es-ES"/>
        </w:rPr>
        <w:t>La</w:t>
      </w:r>
      <w:r w:rsidR="00664809" w:rsidRPr="001C444A">
        <w:rPr>
          <w:rFonts w:ascii="Cambria" w:hAnsi="Cambria"/>
          <w:sz w:val="16"/>
          <w:szCs w:val="16"/>
          <w:lang w:val="es-ES"/>
        </w:rPr>
        <w:t xml:space="preserve"> parte peticionaria</w:t>
      </w:r>
      <w:r w:rsidRPr="001C444A">
        <w:rPr>
          <w:rFonts w:ascii="Cambria" w:hAnsi="Cambria"/>
          <w:sz w:val="16"/>
          <w:szCs w:val="16"/>
          <w:lang w:val="es-ES"/>
        </w:rPr>
        <w:t xml:space="preserve"> señala que el proceso de regularización “aunque no se define claramente en la ley, se entiende como un procedimiento administrativo tendiente a consolidar derechos reales, por ende de naturaleza civil, sobre bienes inmuebles, con el fin de ser inscritos en domino pleno en el Registro que al efecto lleva el Instituto de la Propiedad, sin limitación o distinción alguna en cuanto a sujetos , individual o colectivamente, y con limitaciones estrictas en cuanto a la posesión y tenencia material se refiere”.</w:t>
      </w:r>
      <w:r>
        <w:rPr>
          <w:rFonts w:ascii="Cambria" w:hAnsi="Cambria"/>
          <w:sz w:val="16"/>
          <w:szCs w:val="16"/>
          <w:lang w:val="es-ES"/>
        </w:rPr>
        <w:t xml:space="preserve"> </w:t>
      </w:r>
    </w:p>
    <w:bookmarkEnd w:id="1"/>
  </w:footnote>
  <w:footnote w:id="6">
    <w:p w14:paraId="1AC2BD74" w14:textId="5911AE72" w:rsidR="00DD3590" w:rsidRPr="00DD3590" w:rsidRDefault="00DD3590" w:rsidP="007C4672">
      <w:pPr>
        <w:pStyle w:val="FootnoteText"/>
        <w:ind w:firstLine="720"/>
        <w:rPr>
          <w:rFonts w:ascii="Cambria" w:hAnsi="Cambria"/>
          <w:lang w:val="es-ES"/>
        </w:rPr>
      </w:pPr>
      <w:r w:rsidRPr="00DD3590">
        <w:rPr>
          <w:rStyle w:val="FootnoteReference"/>
          <w:rFonts w:ascii="Cambria" w:hAnsi="Cambria"/>
          <w:sz w:val="16"/>
        </w:rPr>
        <w:footnoteRef/>
      </w:r>
      <w:r w:rsidRPr="00DD3590">
        <w:rPr>
          <w:rFonts w:ascii="Cambria" w:hAnsi="Cambria"/>
          <w:sz w:val="16"/>
          <w:lang w:val="es-ES"/>
        </w:rPr>
        <w:t xml:space="preserve"> En este respecto los peticionarios hacen alusión al caso de la Comunidad </w:t>
      </w:r>
      <w:r w:rsidR="00F8570C">
        <w:rPr>
          <w:rFonts w:ascii="Cambria" w:hAnsi="Cambria"/>
          <w:sz w:val="16"/>
          <w:lang w:val="es-ES"/>
        </w:rPr>
        <w:t>G</w:t>
      </w:r>
      <w:r w:rsidRPr="00DD3590">
        <w:rPr>
          <w:rFonts w:ascii="Cambria" w:hAnsi="Cambria"/>
          <w:sz w:val="16"/>
          <w:lang w:val="es-ES"/>
        </w:rPr>
        <w:t xml:space="preserve">arífuna de Punta Piedras. </w:t>
      </w:r>
    </w:p>
  </w:footnote>
  <w:footnote w:id="7">
    <w:p w14:paraId="5533070E" w14:textId="456A26EC" w:rsidR="0003299A" w:rsidRPr="0003299A" w:rsidRDefault="0003299A" w:rsidP="007C4672">
      <w:pPr>
        <w:pStyle w:val="FootnoteText"/>
        <w:ind w:firstLine="720"/>
        <w:jc w:val="both"/>
        <w:rPr>
          <w:rFonts w:ascii="Cambria" w:hAnsi="Cambria"/>
          <w:sz w:val="16"/>
          <w:lang w:val="es-ES"/>
        </w:rPr>
      </w:pPr>
      <w:r w:rsidRPr="0003299A">
        <w:rPr>
          <w:rStyle w:val="FootnoteReference"/>
          <w:rFonts w:ascii="Cambria" w:hAnsi="Cambria"/>
          <w:sz w:val="16"/>
        </w:rPr>
        <w:footnoteRef/>
      </w:r>
      <w:r w:rsidRPr="0003299A">
        <w:rPr>
          <w:rFonts w:ascii="Cambria" w:hAnsi="Cambria"/>
          <w:sz w:val="16"/>
          <w:lang w:val="es-ES"/>
        </w:rPr>
        <w:t xml:space="preserve"> Igualmente señalan que </w:t>
      </w:r>
      <w:r w:rsidR="00F8570C">
        <w:rPr>
          <w:rFonts w:ascii="Cambria" w:hAnsi="Cambria"/>
          <w:sz w:val="16"/>
          <w:lang w:val="es-ES"/>
        </w:rPr>
        <w:t>se encontrarían en riesgo</w:t>
      </w:r>
      <w:r w:rsidR="00F8570C" w:rsidRPr="0003299A">
        <w:rPr>
          <w:rFonts w:ascii="Cambria" w:hAnsi="Cambria"/>
          <w:sz w:val="16"/>
          <w:lang w:val="es-ES"/>
        </w:rPr>
        <w:t xml:space="preserve"> </w:t>
      </w:r>
      <w:r w:rsidRPr="0003299A">
        <w:rPr>
          <w:rFonts w:ascii="Cambria" w:hAnsi="Cambria"/>
          <w:sz w:val="16"/>
          <w:lang w:val="es-ES"/>
        </w:rPr>
        <w:t xml:space="preserve">la mitad de </w:t>
      </w:r>
      <w:r w:rsidR="00F8570C">
        <w:rPr>
          <w:rFonts w:ascii="Cambria" w:hAnsi="Cambria"/>
          <w:sz w:val="16"/>
          <w:lang w:val="es-ES"/>
        </w:rPr>
        <w:t xml:space="preserve">los integrantes </w:t>
      </w:r>
      <w:r w:rsidRPr="0003299A">
        <w:rPr>
          <w:rFonts w:ascii="Cambria" w:hAnsi="Cambria"/>
          <w:sz w:val="16"/>
          <w:lang w:val="es-ES"/>
        </w:rPr>
        <w:t>del pueblo garífuna de Honduras de los territorios de Guadalupe, San Antonio, Santa Fe, Limón, Punta Piedra, Cusuna, Ciriboya, Iriona, San José de la Punta, Sangrelaya, Cocalito, San Isidro de Tocamacho, San Pedro de Tocamacho, Coyoles, Batalla, Pueblo Nuevo, Buena Vista, la Fe y Plaplaya</w:t>
      </w:r>
      <w:r>
        <w:rPr>
          <w:rFonts w:ascii="Cambria" w:hAnsi="Cambria"/>
          <w:sz w:val="16"/>
          <w:lang w:val="es-ES"/>
        </w:rPr>
        <w:t xml:space="preserve">. </w:t>
      </w:r>
    </w:p>
  </w:footnote>
  <w:footnote w:id="8">
    <w:p w14:paraId="2D6ABA6A" w14:textId="5AC36943" w:rsidR="005D7EB6" w:rsidRPr="005D7EB6" w:rsidRDefault="005D7EB6" w:rsidP="007C4672">
      <w:pPr>
        <w:ind w:firstLine="720"/>
        <w:jc w:val="both"/>
        <w:rPr>
          <w:rFonts w:ascii="Cambria" w:hAnsi="Cambria"/>
          <w:sz w:val="16"/>
          <w:szCs w:val="16"/>
          <w:lang w:val="es-ES"/>
        </w:rPr>
      </w:pPr>
      <w:r w:rsidRPr="00894494">
        <w:rPr>
          <w:rStyle w:val="FootnoteReference"/>
          <w:rFonts w:ascii="Cambria" w:hAnsi="Cambria"/>
          <w:sz w:val="16"/>
          <w:szCs w:val="16"/>
        </w:rPr>
        <w:footnoteRef/>
      </w:r>
      <w:r w:rsidRPr="00894494">
        <w:rPr>
          <w:rFonts w:ascii="Cambria" w:hAnsi="Cambria"/>
          <w:sz w:val="16"/>
          <w:szCs w:val="16"/>
          <w:lang w:val="es-ES"/>
        </w:rPr>
        <w:t xml:space="preserve"> CIDH. Situación de derechos humanos en Honduras. </w:t>
      </w:r>
      <w:r w:rsidRPr="00CF7A7C">
        <w:rPr>
          <w:rFonts w:ascii="Cambria" w:hAnsi="Cambria"/>
          <w:sz w:val="16"/>
          <w:szCs w:val="16"/>
          <w:lang w:val="pt-BR"/>
        </w:rPr>
        <w:t xml:space="preserve">OEA/Ser.L/V/II. Doc. 42/15. </w:t>
      </w:r>
      <w:r w:rsidRPr="00894494">
        <w:rPr>
          <w:rFonts w:ascii="Cambria" w:hAnsi="Cambria"/>
          <w:sz w:val="16"/>
          <w:szCs w:val="16"/>
          <w:lang w:val="es-ES"/>
        </w:rPr>
        <w:t>31 diciembre 2015, párr. 420; CIDH. Informe No. 76</w:t>
      </w:r>
      <w:r w:rsidRPr="005D7EB6">
        <w:rPr>
          <w:rFonts w:ascii="Cambria" w:hAnsi="Cambria"/>
          <w:sz w:val="16"/>
          <w:szCs w:val="16"/>
          <w:lang w:val="es-ES"/>
        </w:rPr>
        <w:t>/12</w:t>
      </w:r>
      <w:r>
        <w:rPr>
          <w:rFonts w:ascii="Cambria" w:hAnsi="Cambria"/>
          <w:sz w:val="16"/>
          <w:szCs w:val="16"/>
          <w:lang w:val="es-ES"/>
        </w:rPr>
        <w:t>. Caso 12.548.</w:t>
      </w:r>
      <w:r w:rsidRPr="005D7EB6">
        <w:rPr>
          <w:rFonts w:ascii="Cambria" w:hAnsi="Cambria"/>
          <w:sz w:val="16"/>
          <w:szCs w:val="16"/>
          <w:lang w:val="es-ES"/>
        </w:rPr>
        <w:t xml:space="preserve"> </w:t>
      </w:r>
      <w:r w:rsidR="001C01F5">
        <w:rPr>
          <w:rFonts w:ascii="Cambria" w:hAnsi="Cambria"/>
          <w:sz w:val="16"/>
          <w:szCs w:val="16"/>
          <w:lang w:val="es-ES"/>
        </w:rPr>
        <w:t>Fondo</w:t>
      </w:r>
      <w:r>
        <w:rPr>
          <w:rFonts w:ascii="Cambria" w:hAnsi="Cambria"/>
          <w:sz w:val="16"/>
          <w:szCs w:val="16"/>
          <w:lang w:val="es-ES"/>
        </w:rPr>
        <w:t xml:space="preserve">. </w:t>
      </w:r>
      <w:r w:rsidRPr="005D7EB6">
        <w:rPr>
          <w:rFonts w:ascii="Cambria" w:hAnsi="Cambria"/>
          <w:sz w:val="16"/>
          <w:szCs w:val="16"/>
          <w:lang w:val="es-ES"/>
        </w:rPr>
        <w:t xml:space="preserve">Comunidad Garífuna Triunfo de la Cruz y </w:t>
      </w:r>
      <w:r>
        <w:rPr>
          <w:rFonts w:ascii="Cambria" w:hAnsi="Cambria"/>
          <w:sz w:val="16"/>
          <w:szCs w:val="16"/>
          <w:lang w:val="es-ES"/>
        </w:rPr>
        <w:t xml:space="preserve">sus miembros. </w:t>
      </w:r>
      <w:r w:rsidRPr="005D7EB6">
        <w:rPr>
          <w:rFonts w:ascii="Cambria" w:hAnsi="Cambria"/>
          <w:sz w:val="16"/>
          <w:szCs w:val="16"/>
          <w:lang w:val="es-ES"/>
        </w:rPr>
        <w:t>Honduras</w:t>
      </w:r>
      <w:r>
        <w:rPr>
          <w:rFonts w:ascii="Cambria" w:hAnsi="Cambria"/>
          <w:sz w:val="16"/>
          <w:szCs w:val="16"/>
          <w:lang w:val="es-ES"/>
        </w:rPr>
        <w:t xml:space="preserve">. </w:t>
      </w:r>
      <w:r w:rsidRPr="005D7EB6">
        <w:rPr>
          <w:rFonts w:ascii="Cambria" w:hAnsi="Cambria"/>
          <w:sz w:val="16"/>
          <w:szCs w:val="16"/>
          <w:lang w:val="es-ES"/>
        </w:rPr>
        <w:t>7 de noviembre de 2012, párr. 190;</w:t>
      </w:r>
      <w:r>
        <w:rPr>
          <w:rFonts w:ascii="Cambria" w:hAnsi="Cambria"/>
          <w:sz w:val="16"/>
          <w:szCs w:val="16"/>
          <w:lang w:val="es-ES"/>
        </w:rPr>
        <w:t xml:space="preserve"> y </w:t>
      </w:r>
      <w:r w:rsidRPr="005D7EB6">
        <w:rPr>
          <w:rFonts w:ascii="Cambria" w:hAnsi="Cambria"/>
          <w:bCs/>
          <w:sz w:val="16"/>
          <w:szCs w:val="16"/>
          <w:lang w:val="es-ES"/>
        </w:rPr>
        <w:t xml:space="preserve">CIDH. Informe No. 63/10. </w:t>
      </w:r>
      <w:r w:rsidRPr="005D7EB6">
        <w:rPr>
          <w:rFonts w:ascii="Cambria" w:hAnsi="Cambria"/>
          <w:sz w:val="16"/>
          <w:szCs w:val="16"/>
          <w:lang w:val="es-ES"/>
        </w:rPr>
        <w:t>Petición 1119-03. Admisibilidad. Comunidad Garífuna Punta Piedra y sus miembros. Honduras. 24 de marzo de 2010, párr. 39</w:t>
      </w:r>
      <w:r>
        <w:rPr>
          <w:rFonts w:ascii="Cambria" w:hAnsi="Cambria"/>
          <w:sz w:val="16"/>
          <w:szCs w:val="16"/>
          <w:lang w:val="es-ES"/>
        </w:rPr>
        <w:t>.</w:t>
      </w:r>
    </w:p>
  </w:footnote>
  <w:footnote w:id="9">
    <w:p w14:paraId="52F3443D" w14:textId="77777777" w:rsidR="004D6C24" w:rsidRPr="00334695" w:rsidRDefault="004D6C24" w:rsidP="007C4672">
      <w:pPr>
        <w:pStyle w:val="FootnoteText"/>
        <w:ind w:firstLine="720"/>
        <w:jc w:val="both"/>
        <w:rPr>
          <w:lang w:val="es-ES"/>
        </w:rPr>
      </w:pPr>
      <w:r w:rsidRPr="00D56E71">
        <w:rPr>
          <w:rStyle w:val="FootnoteReference"/>
          <w:rFonts w:ascii="Cambria" w:hAnsi="Cambria"/>
          <w:sz w:val="16"/>
          <w:szCs w:val="16"/>
        </w:rPr>
        <w:footnoteRef/>
      </w:r>
      <w:r w:rsidRPr="00D56E71">
        <w:rPr>
          <w:rFonts w:ascii="Cambria" w:hAnsi="Cambria"/>
          <w:sz w:val="16"/>
          <w:szCs w:val="16"/>
          <w:lang w:val="es-ES"/>
        </w:rPr>
        <w:t xml:space="preserve"> CIDH</w:t>
      </w:r>
      <w:r w:rsidRPr="001420F5">
        <w:rPr>
          <w:rFonts w:ascii="Cambria" w:hAnsi="Cambria"/>
          <w:sz w:val="16"/>
          <w:szCs w:val="16"/>
          <w:lang w:val="es-ES"/>
        </w:rPr>
        <w:t xml:space="preserve">, Informe No. 51/18, Petición 1779-12. Admisibilidad. Pueblos Indígenas Maya Kaqchikuel de Sumpango y otros. Guatemala. 5 de mayo de 2018, párrs. 13, 14 y 16; y CIDH, Informe No. 47/18, Petición 975-07. </w:t>
      </w:r>
      <w:r w:rsidRPr="001420F5">
        <w:rPr>
          <w:rFonts w:ascii="Cambria" w:hAnsi="Cambria"/>
          <w:sz w:val="16"/>
          <w:szCs w:val="16"/>
          <w:lang w:val="es-ES_tradnl"/>
        </w:rPr>
        <w:t xml:space="preserve">Admisibilidad. Jasper McDonald Hamilton. Costa Rica. </w:t>
      </w:r>
      <w:r w:rsidRPr="001420F5">
        <w:rPr>
          <w:rFonts w:ascii="Cambria" w:hAnsi="Cambria"/>
          <w:sz w:val="16"/>
          <w:szCs w:val="16"/>
          <w:lang w:val="es-ES"/>
        </w:rPr>
        <w:t>4 de mayo de 2018, párr. 12</w:t>
      </w:r>
      <w:r>
        <w:rPr>
          <w:rFonts w:ascii="Cambria" w:hAnsi="Cambria"/>
          <w:sz w:val="16"/>
          <w:szCs w:val="16"/>
          <w:lang w:val="es-ES"/>
        </w:rPr>
        <w:t>.</w:t>
      </w:r>
    </w:p>
  </w:footnote>
  <w:footnote w:id="10">
    <w:p w14:paraId="054DEC75" w14:textId="774D0A5A" w:rsidR="009046A1" w:rsidRPr="00D56E71" w:rsidRDefault="009046A1" w:rsidP="007C4672">
      <w:pPr>
        <w:pStyle w:val="FootnoteText"/>
        <w:ind w:firstLine="720"/>
        <w:jc w:val="both"/>
        <w:rPr>
          <w:rFonts w:ascii="Cambria" w:hAnsi="Cambria" w:cs="Arial"/>
          <w:sz w:val="16"/>
          <w:szCs w:val="16"/>
          <w:lang w:val="es-ES" w:eastAsia="ja-JP"/>
        </w:rPr>
      </w:pPr>
      <w:r w:rsidRPr="005D7EB6">
        <w:rPr>
          <w:rStyle w:val="FootnoteReference"/>
          <w:rFonts w:ascii="Cambria" w:hAnsi="Cambria"/>
          <w:sz w:val="16"/>
          <w:szCs w:val="16"/>
        </w:rPr>
        <w:footnoteRef/>
      </w:r>
      <w:r w:rsidRPr="005D7EB6">
        <w:rPr>
          <w:rFonts w:ascii="Cambria" w:hAnsi="Cambria"/>
          <w:sz w:val="16"/>
          <w:szCs w:val="16"/>
          <w:lang w:val="es-ES"/>
        </w:rPr>
        <w:t xml:space="preserve"> </w:t>
      </w:r>
      <w:r w:rsidR="00D56E71">
        <w:rPr>
          <w:rFonts w:ascii="Cambria" w:hAnsi="Cambria"/>
          <w:sz w:val="16"/>
          <w:szCs w:val="16"/>
          <w:lang w:val="es-ES"/>
        </w:rPr>
        <w:t xml:space="preserve">Como la comunidad </w:t>
      </w:r>
      <w:r w:rsidRPr="005D7EB6">
        <w:rPr>
          <w:rFonts w:ascii="Cambria" w:hAnsi="Cambria"/>
          <w:sz w:val="16"/>
          <w:szCs w:val="16"/>
          <w:lang w:val="es-ES"/>
        </w:rPr>
        <w:t xml:space="preserve">Masca, </w:t>
      </w:r>
      <w:r w:rsidR="00403A8E" w:rsidRPr="005D7EB6">
        <w:rPr>
          <w:rFonts w:ascii="Cambria" w:hAnsi="Cambria"/>
          <w:sz w:val="16"/>
          <w:szCs w:val="16"/>
          <w:lang w:val="es-ES"/>
        </w:rPr>
        <w:t>Travesía</w:t>
      </w:r>
      <w:r w:rsidRPr="005D7EB6">
        <w:rPr>
          <w:rFonts w:ascii="Cambria" w:hAnsi="Cambria"/>
          <w:sz w:val="16"/>
          <w:szCs w:val="16"/>
          <w:lang w:val="es-ES"/>
        </w:rPr>
        <w:t>, Bajamar,</w:t>
      </w:r>
      <w:r w:rsidRPr="009D1B67">
        <w:rPr>
          <w:rFonts w:ascii="Cambria" w:hAnsi="Cambria"/>
          <w:sz w:val="16"/>
          <w:lang w:val="es-ES"/>
        </w:rPr>
        <w:t xml:space="preserve"> San Juan, Triunfo de la Cruz, La Rosita, Sambo Creck, Cayos Chachauate, Punta Piedra, Cusuna, Ciriboya, San José de la Punta, Pueblo Nuevo, San Isidro, Tocamacho, San Pedro de Tocamacho, Coralito, Iriona Viejo, Sangrelaya, Batalla, </w:t>
      </w:r>
      <w:r w:rsidRPr="00D56E71">
        <w:rPr>
          <w:rFonts w:ascii="Cambria" w:hAnsi="Cambria"/>
          <w:sz w:val="16"/>
          <w:szCs w:val="16"/>
          <w:lang w:val="es-ES"/>
        </w:rPr>
        <w:t xml:space="preserve">Coyooles, La Fe, Buena Vista y Plaplaya. </w:t>
      </w:r>
    </w:p>
  </w:footnote>
  <w:footnote w:id="11">
    <w:p w14:paraId="125870E3" w14:textId="1F924576" w:rsidR="00D56E71" w:rsidRPr="00032C88" w:rsidRDefault="00D56E71" w:rsidP="007C4672">
      <w:pPr>
        <w:pStyle w:val="FootnoteText"/>
        <w:ind w:firstLine="720"/>
        <w:jc w:val="both"/>
        <w:rPr>
          <w:rFonts w:ascii="Cambria" w:hAnsi="Cambria"/>
          <w:sz w:val="16"/>
          <w:szCs w:val="16"/>
          <w:lang w:val="es-ES"/>
        </w:rPr>
      </w:pPr>
      <w:r w:rsidRPr="00D56E71">
        <w:rPr>
          <w:rStyle w:val="FootnoteReference"/>
          <w:rFonts w:ascii="Cambria" w:hAnsi="Cambria"/>
          <w:sz w:val="16"/>
          <w:szCs w:val="16"/>
        </w:rPr>
        <w:footnoteRef/>
      </w:r>
      <w:r w:rsidRPr="00032C88">
        <w:rPr>
          <w:rFonts w:ascii="Cambria" w:hAnsi="Cambria"/>
          <w:sz w:val="16"/>
          <w:szCs w:val="16"/>
          <w:lang w:val="es-ES"/>
        </w:rPr>
        <w:t xml:space="preserve"> </w:t>
      </w:r>
      <w:r w:rsidR="00032C88" w:rsidRPr="00032C88">
        <w:rPr>
          <w:rFonts w:ascii="Cambria" w:hAnsi="Cambria"/>
          <w:sz w:val="16"/>
          <w:szCs w:val="16"/>
          <w:lang w:val="es-ES"/>
        </w:rPr>
        <w:t xml:space="preserve">El documento expresa la presencia y participación de autoridades del Estado </w:t>
      </w:r>
      <w:r w:rsidR="00032C88">
        <w:rPr>
          <w:rFonts w:ascii="Cambria" w:hAnsi="Cambria"/>
          <w:sz w:val="16"/>
          <w:szCs w:val="16"/>
          <w:lang w:val="es-ES"/>
        </w:rPr>
        <w:t xml:space="preserve">como Secretaria de Estado en los Despachos de Recursos Naturales y Ambientes, Secretario de Estado en los Despachos de Relaciones Exteriores, Secretario de Fondo Hondureño de Inversión Social, Secretario de Estado en los despachos de Turismo, Sub Secretario de Estado Gobernación y Justicia, Sub Secretario de Estado en los Despachos de Seguridad Pública, Director del Instituto Nacional Agrario, Director del Programa de Administración de Tierras Hondureñas, </w:t>
      </w:r>
      <w:r w:rsidR="003C5C6C">
        <w:rPr>
          <w:rFonts w:ascii="Cambria" w:hAnsi="Cambria"/>
          <w:sz w:val="16"/>
          <w:szCs w:val="16"/>
          <w:lang w:val="es-ES"/>
        </w:rPr>
        <w:t xml:space="preserve">Gerente de la </w:t>
      </w:r>
      <w:r w:rsidR="00403A8E">
        <w:rPr>
          <w:rFonts w:ascii="Cambria" w:hAnsi="Cambria"/>
          <w:sz w:val="16"/>
          <w:szCs w:val="16"/>
          <w:lang w:val="es-ES"/>
        </w:rPr>
        <w:t>Corporación</w:t>
      </w:r>
      <w:r w:rsidR="003C5C6C">
        <w:rPr>
          <w:rFonts w:ascii="Cambria" w:hAnsi="Cambria"/>
          <w:sz w:val="16"/>
          <w:szCs w:val="16"/>
          <w:lang w:val="es-ES"/>
        </w:rPr>
        <w:t xml:space="preserve"> Hondureña de Desarrollo Forestal, Asistente de la Presidencia en Asuntos Sociales, Sub Procurador General de la República, Directora de Fiscales del Ministerio Público, Fiscal de las Etnias del Ministerio Público.</w:t>
      </w:r>
    </w:p>
  </w:footnote>
  <w:footnote w:id="12">
    <w:p w14:paraId="4A3E5DD1" w14:textId="77777777" w:rsidR="007B64BA" w:rsidRPr="006132CC" w:rsidRDefault="007B64BA" w:rsidP="007C4672">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26/17</w:t>
      </w:r>
      <w:r>
        <w:rPr>
          <w:rFonts w:ascii="Cambria" w:hAnsi="Cambria"/>
          <w:sz w:val="16"/>
          <w:szCs w:val="16"/>
          <w:lang w:val="es-ES"/>
        </w:rPr>
        <w:t>, Petición 1208-08</w:t>
      </w:r>
      <w:r w:rsidRPr="006132CC">
        <w:rPr>
          <w:rFonts w:ascii="Cambria" w:hAnsi="Cambria"/>
          <w:sz w:val="16"/>
          <w:szCs w:val="16"/>
          <w:lang w:val="es-ES"/>
        </w:rPr>
        <w:t xml:space="preserve">. Admisibilidad. William Olaya Moreno y familia. Colombia. 18 de marzo de 2017, párr.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511EE" w:rsidRDefault="000511EE" w:rsidP="00455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511EE" w:rsidRDefault="00051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0511EE" w:rsidRDefault="000511EE"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511EE" w:rsidRPr="00EC7D62" w:rsidRDefault="0039680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E64"/>
    <w:multiLevelType w:val="hybridMultilevel"/>
    <w:tmpl w:val="2FB0DAD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1C60C2"/>
    <w:lvl w:ilvl="0" w:tplc="6ECE556A">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04779"/>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75E1CAE"/>
    <w:multiLevelType w:val="hybridMultilevel"/>
    <w:tmpl w:val="A264401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5A127D"/>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2A00196"/>
    <w:multiLevelType w:val="hybridMultilevel"/>
    <w:tmpl w:val="3A8EA4D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9E6288"/>
    <w:multiLevelType w:val="hybridMultilevel"/>
    <w:tmpl w:val="A3407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2644B"/>
    <w:multiLevelType w:val="hybridMultilevel"/>
    <w:tmpl w:val="451CB2CE"/>
    <w:lvl w:ilvl="0" w:tplc="3D680B0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352E06"/>
    <w:multiLevelType w:val="hybridMultilevel"/>
    <w:tmpl w:val="23FC071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7BCF6BA"/>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3963300"/>
    <w:multiLevelType w:val="hybridMultilevel"/>
    <w:tmpl w:val="5B68FD3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60"/>
  </w:num>
  <w:num w:numId="4">
    <w:abstractNumId w:val="25"/>
  </w:num>
  <w:num w:numId="5">
    <w:abstractNumId w:val="54"/>
  </w:num>
  <w:num w:numId="6">
    <w:abstractNumId w:val="31"/>
  </w:num>
  <w:num w:numId="7">
    <w:abstractNumId w:val="9"/>
  </w:num>
  <w:num w:numId="8">
    <w:abstractNumId w:val="21"/>
  </w:num>
  <w:num w:numId="9">
    <w:abstractNumId w:val="48"/>
  </w:num>
  <w:num w:numId="10">
    <w:abstractNumId w:val="1"/>
  </w:num>
  <w:num w:numId="11">
    <w:abstractNumId w:val="43"/>
  </w:num>
  <w:num w:numId="12">
    <w:abstractNumId w:val="44"/>
  </w:num>
  <w:num w:numId="13">
    <w:abstractNumId w:val="50"/>
  </w:num>
  <w:num w:numId="14">
    <w:abstractNumId w:val="2"/>
  </w:num>
  <w:num w:numId="15">
    <w:abstractNumId w:val="3"/>
  </w:num>
  <w:num w:numId="16">
    <w:abstractNumId w:val="10"/>
  </w:num>
  <w:num w:numId="17">
    <w:abstractNumId w:val="11"/>
  </w:num>
  <w:num w:numId="18">
    <w:abstractNumId w:val="13"/>
  </w:num>
  <w:num w:numId="19">
    <w:abstractNumId w:val="14"/>
  </w:num>
  <w:num w:numId="20">
    <w:abstractNumId w:val="15"/>
  </w:num>
  <w:num w:numId="21">
    <w:abstractNumId w:val="16"/>
  </w:num>
  <w:num w:numId="22">
    <w:abstractNumId w:val="17"/>
  </w:num>
  <w:num w:numId="23">
    <w:abstractNumId w:val="19"/>
  </w:num>
  <w:num w:numId="24">
    <w:abstractNumId w:val="20"/>
  </w:num>
  <w:num w:numId="25">
    <w:abstractNumId w:val="22"/>
  </w:num>
  <w:num w:numId="26">
    <w:abstractNumId w:val="23"/>
  </w:num>
  <w:num w:numId="27">
    <w:abstractNumId w:val="27"/>
  </w:num>
  <w:num w:numId="28">
    <w:abstractNumId w:val="28"/>
  </w:num>
  <w:num w:numId="29">
    <w:abstractNumId w:val="29"/>
  </w:num>
  <w:num w:numId="30">
    <w:abstractNumId w:val="30"/>
  </w:num>
  <w:num w:numId="31">
    <w:abstractNumId w:val="32"/>
  </w:num>
  <w:num w:numId="32">
    <w:abstractNumId w:val="34"/>
  </w:num>
  <w:num w:numId="33">
    <w:abstractNumId w:val="36"/>
  </w:num>
  <w:num w:numId="34">
    <w:abstractNumId w:val="37"/>
  </w:num>
  <w:num w:numId="35">
    <w:abstractNumId w:val="38"/>
  </w:num>
  <w:num w:numId="36">
    <w:abstractNumId w:val="39"/>
  </w:num>
  <w:num w:numId="37">
    <w:abstractNumId w:val="41"/>
  </w:num>
  <w:num w:numId="38">
    <w:abstractNumId w:val="42"/>
  </w:num>
  <w:num w:numId="39">
    <w:abstractNumId w:val="45"/>
  </w:num>
  <w:num w:numId="40">
    <w:abstractNumId w:val="46"/>
  </w:num>
  <w:num w:numId="41">
    <w:abstractNumId w:val="52"/>
  </w:num>
  <w:num w:numId="42">
    <w:abstractNumId w:val="55"/>
  </w:num>
  <w:num w:numId="43">
    <w:abstractNumId w:val="56"/>
  </w:num>
  <w:num w:numId="44">
    <w:abstractNumId w:val="58"/>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4"/>
  </w:num>
  <w:num w:numId="52">
    <w:abstractNumId w:val="47"/>
  </w:num>
  <w:num w:numId="53">
    <w:abstractNumId w:val="57"/>
  </w:num>
  <w:num w:numId="54">
    <w:abstractNumId w:val="51"/>
  </w:num>
  <w:num w:numId="55">
    <w:abstractNumId w:val="5"/>
  </w:num>
  <w:num w:numId="56">
    <w:abstractNumId w:val="49"/>
  </w:num>
  <w:num w:numId="57">
    <w:abstractNumId w:val="6"/>
  </w:num>
  <w:num w:numId="58">
    <w:abstractNumId w:val="12"/>
  </w:num>
  <w:num w:numId="59">
    <w:abstractNumId w:val="26"/>
  </w:num>
  <w:num w:numId="60">
    <w:abstractNumId w:val="33"/>
  </w:num>
  <w:num w:numId="61">
    <w:abstractNumId w:val="8"/>
  </w:num>
  <w:num w:numId="62">
    <w:abstractNumId w:val="53"/>
  </w:num>
  <w:num w:numId="63">
    <w:abstractNumId w:val="18"/>
  </w:num>
  <w:num w:numId="64">
    <w:abstractNumId w:val="40"/>
  </w:num>
  <w:num w:numId="65">
    <w:abstractNumId w:val="40"/>
    <w:lvlOverride w:ilvl="0">
      <w:startOverride w:val="1"/>
    </w:lvlOverride>
  </w:num>
  <w:num w:numId="66">
    <w:abstractNumId w:val="0"/>
  </w:num>
  <w:num w:numId="6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B49"/>
    <w:rsid w:val="00000CDA"/>
    <w:rsid w:val="000065D0"/>
    <w:rsid w:val="00006B74"/>
    <w:rsid w:val="00006E1F"/>
    <w:rsid w:val="000070D7"/>
    <w:rsid w:val="000104F5"/>
    <w:rsid w:val="00015701"/>
    <w:rsid w:val="0001788C"/>
    <w:rsid w:val="00020137"/>
    <w:rsid w:val="0002186F"/>
    <w:rsid w:val="0002362C"/>
    <w:rsid w:val="0003299A"/>
    <w:rsid w:val="00032C88"/>
    <w:rsid w:val="00033215"/>
    <w:rsid w:val="000337EF"/>
    <w:rsid w:val="00040C3A"/>
    <w:rsid w:val="000419AD"/>
    <w:rsid w:val="00045828"/>
    <w:rsid w:val="000511EE"/>
    <w:rsid w:val="0006152C"/>
    <w:rsid w:val="000716C5"/>
    <w:rsid w:val="000740B7"/>
    <w:rsid w:val="00075E23"/>
    <w:rsid w:val="00075F93"/>
    <w:rsid w:val="000851F2"/>
    <w:rsid w:val="000853EE"/>
    <w:rsid w:val="0009006E"/>
    <w:rsid w:val="00092897"/>
    <w:rsid w:val="0009344A"/>
    <w:rsid w:val="00096EA1"/>
    <w:rsid w:val="000A3254"/>
    <w:rsid w:val="000A37E8"/>
    <w:rsid w:val="000A392E"/>
    <w:rsid w:val="000A575F"/>
    <w:rsid w:val="000B0579"/>
    <w:rsid w:val="000C1C69"/>
    <w:rsid w:val="000C51A3"/>
    <w:rsid w:val="000D10DB"/>
    <w:rsid w:val="000D2CC6"/>
    <w:rsid w:val="000D65CC"/>
    <w:rsid w:val="000D6A51"/>
    <w:rsid w:val="000E2789"/>
    <w:rsid w:val="000E3268"/>
    <w:rsid w:val="000E5EB5"/>
    <w:rsid w:val="000E65AC"/>
    <w:rsid w:val="000E6898"/>
    <w:rsid w:val="000F2982"/>
    <w:rsid w:val="000F35ED"/>
    <w:rsid w:val="000F7D01"/>
    <w:rsid w:val="00107131"/>
    <w:rsid w:val="0010736F"/>
    <w:rsid w:val="00111A8A"/>
    <w:rsid w:val="00113F73"/>
    <w:rsid w:val="00114A69"/>
    <w:rsid w:val="00117F69"/>
    <w:rsid w:val="00121CC2"/>
    <w:rsid w:val="00131D8B"/>
    <w:rsid w:val="00133EE5"/>
    <w:rsid w:val="00135F50"/>
    <w:rsid w:val="00136E3D"/>
    <w:rsid w:val="001420F5"/>
    <w:rsid w:val="00143EFE"/>
    <w:rsid w:val="001475B6"/>
    <w:rsid w:val="001479C0"/>
    <w:rsid w:val="001526E3"/>
    <w:rsid w:val="00152D9B"/>
    <w:rsid w:val="0015330B"/>
    <w:rsid w:val="00167A34"/>
    <w:rsid w:val="00175756"/>
    <w:rsid w:val="00177EEF"/>
    <w:rsid w:val="00191A2A"/>
    <w:rsid w:val="00192CF4"/>
    <w:rsid w:val="0019476D"/>
    <w:rsid w:val="001954CF"/>
    <w:rsid w:val="0019664E"/>
    <w:rsid w:val="001A7870"/>
    <w:rsid w:val="001B1C0E"/>
    <w:rsid w:val="001B3A00"/>
    <w:rsid w:val="001B4C37"/>
    <w:rsid w:val="001B5356"/>
    <w:rsid w:val="001C01F5"/>
    <w:rsid w:val="001C1B41"/>
    <w:rsid w:val="001C444A"/>
    <w:rsid w:val="001D65EF"/>
    <w:rsid w:val="001D7FA0"/>
    <w:rsid w:val="001E49E7"/>
    <w:rsid w:val="001E7373"/>
    <w:rsid w:val="001E73E8"/>
    <w:rsid w:val="001F097F"/>
    <w:rsid w:val="001F271B"/>
    <w:rsid w:val="001F2BD4"/>
    <w:rsid w:val="001F7201"/>
    <w:rsid w:val="001F7B0D"/>
    <w:rsid w:val="00204931"/>
    <w:rsid w:val="00207474"/>
    <w:rsid w:val="00223A29"/>
    <w:rsid w:val="002250A3"/>
    <w:rsid w:val="0022515C"/>
    <w:rsid w:val="00231294"/>
    <w:rsid w:val="00235217"/>
    <w:rsid w:val="00235EBA"/>
    <w:rsid w:val="0024396B"/>
    <w:rsid w:val="00246D1F"/>
    <w:rsid w:val="002470BA"/>
    <w:rsid w:val="00247403"/>
    <w:rsid w:val="00247542"/>
    <w:rsid w:val="00266B61"/>
    <w:rsid w:val="0026712A"/>
    <w:rsid w:val="002704DB"/>
    <w:rsid w:val="00276236"/>
    <w:rsid w:val="00277BDA"/>
    <w:rsid w:val="0028340E"/>
    <w:rsid w:val="00286A73"/>
    <w:rsid w:val="0029103C"/>
    <w:rsid w:val="0029575A"/>
    <w:rsid w:val="002A0AAE"/>
    <w:rsid w:val="002A5820"/>
    <w:rsid w:val="002B3529"/>
    <w:rsid w:val="002B5C3D"/>
    <w:rsid w:val="002C3350"/>
    <w:rsid w:val="002C39E7"/>
    <w:rsid w:val="002C3B99"/>
    <w:rsid w:val="002C59F6"/>
    <w:rsid w:val="002C687F"/>
    <w:rsid w:val="002D023C"/>
    <w:rsid w:val="002D0921"/>
    <w:rsid w:val="002D2B26"/>
    <w:rsid w:val="002D35D1"/>
    <w:rsid w:val="002D6155"/>
    <w:rsid w:val="002D7EA2"/>
    <w:rsid w:val="002E187C"/>
    <w:rsid w:val="002E7512"/>
    <w:rsid w:val="00302733"/>
    <w:rsid w:val="00306532"/>
    <w:rsid w:val="003100D9"/>
    <w:rsid w:val="00310EB9"/>
    <w:rsid w:val="003121D5"/>
    <w:rsid w:val="00314078"/>
    <w:rsid w:val="0031535D"/>
    <w:rsid w:val="003239B8"/>
    <w:rsid w:val="0032497F"/>
    <w:rsid w:val="0033169F"/>
    <w:rsid w:val="00334695"/>
    <w:rsid w:val="00334A7D"/>
    <w:rsid w:val="0033773C"/>
    <w:rsid w:val="0034224A"/>
    <w:rsid w:val="00343438"/>
    <w:rsid w:val="00344977"/>
    <w:rsid w:val="00346C95"/>
    <w:rsid w:val="003473EB"/>
    <w:rsid w:val="00351155"/>
    <w:rsid w:val="00356185"/>
    <w:rsid w:val="00360380"/>
    <w:rsid w:val="003634C7"/>
    <w:rsid w:val="00367784"/>
    <w:rsid w:val="00371182"/>
    <w:rsid w:val="0037431E"/>
    <w:rsid w:val="0037519E"/>
    <w:rsid w:val="00386C6C"/>
    <w:rsid w:val="00386CF0"/>
    <w:rsid w:val="00386EE6"/>
    <w:rsid w:val="0039680A"/>
    <w:rsid w:val="003A399D"/>
    <w:rsid w:val="003A6337"/>
    <w:rsid w:val="003B31AD"/>
    <w:rsid w:val="003B4FF6"/>
    <w:rsid w:val="003B70FB"/>
    <w:rsid w:val="003C5C6C"/>
    <w:rsid w:val="003C676B"/>
    <w:rsid w:val="003D0A55"/>
    <w:rsid w:val="003D2A3D"/>
    <w:rsid w:val="003D3BC2"/>
    <w:rsid w:val="003D5A9C"/>
    <w:rsid w:val="003E6CA1"/>
    <w:rsid w:val="00403A8E"/>
    <w:rsid w:val="00404B71"/>
    <w:rsid w:val="00405D5E"/>
    <w:rsid w:val="004065A8"/>
    <w:rsid w:val="004165C2"/>
    <w:rsid w:val="0041701D"/>
    <w:rsid w:val="004304AD"/>
    <w:rsid w:val="00441ECB"/>
    <w:rsid w:val="0044344E"/>
    <w:rsid w:val="00445193"/>
    <w:rsid w:val="00446578"/>
    <w:rsid w:val="00446E69"/>
    <w:rsid w:val="00447CCF"/>
    <w:rsid w:val="00451B13"/>
    <w:rsid w:val="00455D80"/>
    <w:rsid w:val="004565BA"/>
    <w:rsid w:val="004566EC"/>
    <w:rsid w:val="00462C1B"/>
    <w:rsid w:val="00467B7E"/>
    <w:rsid w:val="00473BB4"/>
    <w:rsid w:val="00474EFC"/>
    <w:rsid w:val="004750D0"/>
    <w:rsid w:val="00476211"/>
    <w:rsid w:val="00477592"/>
    <w:rsid w:val="00484FEA"/>
    <w:rsid w:val="00486F1C"/>
    <w:rsid w:val="0049419D"/>
    <w:rsid w:val="004A59CC"/>
    <w:rsid w:val="004A6A54"/>
    <w:rsid w:val="004B156F"/>
    <w:rsid w:val="004B2B08"/>
    <w:rsid w:val="004B38A8"/>
    <w:rsid w:val="004C1ED1"/>
    <w:rsid w:val="004C20D2"/>
    <w:rsid w:val="004C2312"/>
    <w:rsid w:val="004C4B62"/>
    <w:rsid w:val="004C54C9"/>
    <w:rsid w:val="004C616A"/>
    <w:rsid w:val="004D1852"/>
    <w:rsid w:val="004D4ABA"/>
    <w:rsid w:val="004D5280"/>
    <w:rsid w:val="004D5F62"/>
    <w:rsid w:val="004D6025"/>
    <w:rsid w:val="004D6C24"/>
    <w:rsid w:val="004E19B1"/>
    <w:rsid w:val="004E2649"/>
    <w:rsid w:val="004E6573"/>
    <w:rsid w:val="004F2307"/>
    <w:rsid w:val="00501399"/>
    <w:rsid w:val="00501652"/>
    <w:rsid w:val="005016E2"/>
    <w:rsid w:val="00504AA4"/>
    <w:rsid w:val="0050633D"/>
    <w:rsid w:val="00507BC4"/>
    <w:rsid w:val="005128E4"/>
    <w:rsid w:val="005133DB"/>
    <w:rsid w:val="00521DB5"/>
    <w:rsid w:val="005235FE"/>
    <w:rsid w:val="005242EF"/>
    <w:rsid w:val="00525560"/>
    <w:rsid w:val="0052581C"/>
    <w:rsid w:val="005415E6"/>
    <w:rsid w:val="00544216"/>
    <w:rsid w:val="00544B94"/>
    <w:rsid w:val="00544C49"/>
    <w:rsid w:val="005516A1"/>
    <w:rsid w:val="00551EC6"/>
    <w:rsid w:val="0055211F"/>
    <w:rsid w:val="005620A5"/>
    <w:rsid w:val="00563557"/>
    <w:rsid w:val="00566332"/>
    <w:rsid w:val="00567F23"/>
    <w:rsid w:val="0057402A"/>
    <w:rsid w:val="00574030"/>
    <w:rsid w:val="00574CB7"/>
    <w:rsid w:val="005771D0"/>
    <w:rsid w:val="0058237D"/>
    <w:rsid w:val="0058450A"/>
    <w:rsid w:val="0058483F"/>
    <w:rsid w:val="00587ED7"/>
    <w:rsid w:val="0059191A"/>
    <w:rsid w:val="005921FF"/>
    <w:rsid w:val="0059255D"/>
    <w:rsid w:val="00592DD6"/>
    <w:rsid w:val="005A0A58"/>
    <w:rsid w:val="005A0CC3"/>
    <w:rsid w:val="005A23A7"/>
    <w:rsid w:val="005A24ED"/>
    <w:rsid w:val="005A6D0E"/>
    <w:rsid w:val="005B37CC"/>
    <w:rsid w:val="005B52B0"/>
    <w:rsid w:val="005B6806"/>
    <w:rsid w:val="005B6859"/>
    <w:rsid w:val="005B6D22"/>
    <w:rsid w:val="005C261A"/>
    <w:rsid w:val="005C4225"/>
    <w:rsid w:val="005C78B1"/>
    <w:rsid w:val="005C7989"/>
    <w:rsid w:val="005D01B2"/>
    <w:rsid w:val="005D29F3"/>
    <w:rsid w:val="005D7EB6"/>
    <w:rsid w:val="005E0B65"/>
    <w:rsid w:val="005E11B2"/>
    <w:rsid w:val="005E2C09"/>
    <w:rsid w:val="005E5156"/>
    <w:rsid w:val="005E538D"/>
    <w:rsid w:val="005F0640"/>
    <w:rsid w:val="005F0DAD"/>
    <w:rsid w:val="005F0F33"/>
    <w:rsid w:val="005F2EE9"/>
    <w:rsid w:val="005F5AC1"/>
    <w:rsid w:val="00600DEB"/>
    <w:rsid w:val="006277DE"/>
    <w:rsid w:val="00627C9F"/>
    <w:rsid w:val="006311E9"/>
    <w:rsid w:val="00632354"/>
    <w:rsid w:val="00642810"/>
    <w:rsid w:val="00647510"/>
    <w:rsid w:val="00647756"/>
    <w:rsid w:val="00647BC3"/>
    <w:rsid w:val="006509DA"/>
    <w:rsid w:val="00652333"/>
    <w:rsid w:val="00661256"/>
    <w:rsid w:val="0066241E"/>
    <w:rsid w:val="00664809"/>
    <w:rsid w:val="00667F90"/>
    <w:rsid w:val="00671DF1"/>
    <w:rsid w:val="00674173"/>
    <w:rsid w:val="0068009E"/>
    <w:rsid w:val="006819E9"/>
    <w:rsid w:val="00686471"/>
    <w:rsid w:val="006911AE"/>
    <w:rsid w:val="00691BBE"/>
    <w:rsid w:val="00692219"/>
    <w:rsid w:val="006A17D2"/>
    <w:rsid w:val="006A73E6"/>
    <w:rsid w:val="006B2D5C"/>
    <w:rsid w:val="006C4EB1"/>
    <w:rsid w:val="006D005C"/>
    <w:rsid w:val="006D5864"/>
    <w:rsid w:val="006D5C7F"/>
    <w:rsid w:val="006E0166"/>
    <w:rsid w:val="006E3BDE"/>
    <w:rsid w:val="006E7B34"/>
    <w:rsid w:val="006F302E"/>
    <w:rsid w:val="006F748D"/>
    <w:rsid w:val="00704D2A"/>
    <w:rsid w:val="0070697F"/>
    <w:rsid w:val="007160CB"/>
    <w:rsid w:val="00717B32"/>
    <w:rsid w:val="0072199C"/>
    <w:rsid w:val="00722C9F"/>
    <w:rsid w:val="00724A67"/>
    <w:rsid w:val="007253B8"/>
    <w:rsid w:val="007272A4"/>
    <w:rsid w:val="00730A5E"/>
    <w:rsid w:val="00732EF4"/>
    <w:rsid w:val="0073598C"/>
    <w:rsid w:val="0073741F"/>
    <w:rsid w:val="00737843"/>
    <w:rsid w:val="00754428"/>
    <w:rsid w:val="007577A0"/>
    <w:rsid w:val="0076643F"/>
    <w:rsid w:val="00767603"/>
    <w:rsid w:val="00777F63"/>
    <w:rsid w:val="00780391"/>
    <w:rsid w:val="007835C6"/>
    <w:rsid w:val="007852B5"/>
    <w:rsid w:val="00790249"/>
    <w:rsid w:val="007908AC"/>
    <w:rsid w:val="00797457"/>
    <w:rsid w:val="007A3071"/>
    <w:rsid w:val="007A5817"/>
    <w:rsid w:val="007B05C4"/>
    <w:rsid w:val="007B60E9"/>
    <w:rsid w:val="007B64BA"/>
    <w:rsid w:val="007B6CC3"/>
    <w:rsid w:val="007C0F1C"/>
    <w:rsid w:val="007C14C5"/>
    <w:rsid w:val="007C3334"/>
    <w:rsid w:val="007C402A"/>
    <w:rsid w:val="007C4672"/>
    <w:rsid w:val="007D12C4"/>
    <w:rsid w:val="007D2B98"/>
    <w:rsid w:val="007D7C02"/>
    <w:rsid w:val="007E21BC"/>
    <w:rsid w:val="007E58FE"/>
    <w:rsid w:val="007E7C82"/>
    <w:rsid w:val="007F588D"/>
    <w:rsid w:val="00802748"/>
    <w:rsid w:val="00802992"/>
    <w:rsid w:val="00803F1C"/>
    <w:rsid w:val="0080600E"/>
    <w:rsid w:val="00807B8B"/>
    <w:rsid w:val="0081253C"/>
    <w:rsid w:val="00817612"/>
    <w:rsid w:val="00820BF3"/>
    <w:rsid w:val="00821418"/>
    <w:rsid w:val="00830825"/>
    <w:rsid w:val="008338A4"/>
    <w:rsid w:val="00834D49"/>
    <w:rsid w:val="00837C45"/>
    <w:rsid w:val="008411F0"/>
    <w:rsid w:val="00844730"/>
    <w:rsid w:val="008457C2"/>
    <w:rsid w:val="00846E31"/>
    <w:rsid w:val="00850050"/>
    <w:rsid w:val="00856068"/>
    <w:rsid w:val="00857A82"/>
    <w:rsid w:val="008671A7"/>
    <w:rsid w:val="00867EAD"/>
    <w:rsid w:val="00871526"/>
    <w:rsid w:val="00873836"/>
    <w:rsid w:val="008809CF"/>
    <w:rsid w:val="00885737"/>
    <w:rsid w:val="008874B0"/>
    <w:rsid w:val="00890650"/>
    <w:rsid w:val="008928D9"/>
    <w:rsid w:val="00894494"/>
    <w:rsid w:val="00897E12"/>
    <w:rsid w:val="008A0F81"/>
    <w:rsid w:val="008A4308"/>
    <w:rsid w:val="008A7E0F"/>
    <w:rsid w:val="008B12F5"/>
    <w:rsid w:val="008B145E"/>
    <w:rsid w:val="008B5932"/>
    <w:rsid w:val="008C11AC"/>
    <w:rsid w:val="008C1FB3"/>
    <w:rsid w:val="008C5751"/>
    <w:rsid w:val="008C7F16"/>
    <w:rsid w:val="008D768D"/>
    <w:rsid w:val="008E328A"/>
    <w:rsid w:val="008E3759"/>
    <w:rsid w:val="008E3BFE"/>
    <w:rsid w:val="008E76A8"/>
    <w:rsid w:val="008E7900"/>
    <w:rsid w:val="008F1912"/>
    <w:rsid w:val="00900F46"/>
    <w:rsid w:val="0090270B"/>
    <w:rsid w:val="009041DC"/>
    <w:rsid w:val="009046A1"/>
    <w:rsid w:val="00912694"/>
    <w:rsid w:val="00914A2C"/>
    <w:rsid w:val="00917B5A"/>
    <w:rsid w:val="009206C5"/>
    <w:rsid w:val="00920A58"/>
    <w:rsid w:val="00920A8C"/>
    <w:rsid w:val="00920C61"/>
    <w:rsid w:val="00933830"/>
    <w:rsid w:val="00934A2C"/>
    <w:rsid w:val="00935F06"/>
    <w:rsid w:val="00937B3A"/>
    <w:rsid w:val="009548BE"/>
    <w:rsid w:val="00954B82"/>
    <w:rsid w:val="00957FF2"/>
    <w:rsid w:val="009605CA"/>
    <w:rsid w:val="00962436"/>
    <w:rsid w:val="00966074"/>
    <w:rsid w:val="0096706E"/>
    <w:rsid w:val="00974491"/>
    <w:rsid w:val="00975A4D"/>
    <w:rsid w:val="00975C4E"/>
    <w:rsid w:val="00981FBA"/>
    <w:rsid w:val="00994007"/>
    <w:rsid w:val="009946FC"/>
    <w:rsid w:val="00995B8B"/>
    <w:rsid w:val="00997BC5"/>
    <w:rsid w:val="009A076A"/>
    <w:rsid w:val="009A4F41"/>
    <w:rsid w:val="009A51B5"/>
    <w:rsid w:val="009A51F3"/>
    <w:rsid w:val="009B381B"/>
    <w:rsid w:val="009C2FC5"/>
    <w:rsid w:val="009D1753"/>
    <w:rsid w:val="009D1B67"/>
    <w:rsid w:val="009D478F"/>
    <w:rsid w:val="009D5A6E"/>
    <w:rsid w:val="009D6502"/>
    <w:rsid w:val="009D7611"/>
    <w:rsid w:val="009D78A5"/>
    <w:rsid w:val="009E0B61"/>
    <w:rsid w:val="009E1EE9"/>
    <w:rsid w:val="009E2FA9"/>
    <w:rsid w:val="009E53DE"/>
    <w:rsid w:val="009E736B"/>
    <w:rsid w:val="009E7C00"/>
    <w:rsid w:val="00A03095"/>
    <w:rsid w:val="00A04AB4"/>
    <w:rsid w:val="00A0691C"/>
    <w:rsid w:val="00A06C0B"/>
    <w:rsid w:val="00A11E44"/>
    <w:rsid w:val="00A22397"/>
    <w:rsid w:val="00A25681"/>
    <w:rsid w:val="00A27069"/>
    <w:rsid w:val="00A31344"/>
    <w:rsid w:val="00A328B3"/>
    <w:rsid w:val="00A36B0B"/>
    <w:rsid w:val="00A507A6"/>
    <w:rsid w:val="00A50FCF"/>
    <w:rsid w:val="00A528D1"/>
    <w:rsid w:val="00A54195"/>
    <w:rsid w:val="00A56C36"/>
    <w:rsid w:val="00A610CD"/>
    <w:rsid w:val="00A625E0"/>
    <w:rsid w:val="00A64DE8"/>
    <w:rsid w:val="00A714C1"/>
    <w:rsid w:val="00A72C6F"/>
    <w:rsid w:val="00A74947"/>
    <w:rsid w:val="00A758AA"/>
    <w:rsid w:val="00A76BBF"/>
    <w:rsid w:val="00A9718C"/>
    <w:rsid w:val="00AA09A2"/>
    <w:rsid w:val="00AA339A"/>
    <w:rsid w:val="00AA6C1B"/>
    <w:rsid w:val="00AA7996"/>
    <w:rsid w:val="00AA7C33"/>
    <w:rsid w:val="00AC00CC"/>
    <w:rsid w:val="00AC19CB"/>
    <w:rsid w:val="00AC7248"/>
    <w:rsid w:val="00AD1886"/>
    <w:rsid w:val="00AE5271"/>
    <w:rsid w:val="00AE5488"/>
    <w:rsid w:val="00AE6F91"/>
    <w:rsid w:val="00AF444B"/>
    <w:rsid w:val="00AF5571"/>
    <w:rsid w:val="00B035C2"/>
    <w:rsid w:val="00B0415E"/>
    <w:rsid w:val="00B06B4E"/>
    <w:rsid w:val="00B07341"/>
    <w:rsid w:val="00B10928"/>
    <w:rsid w:val="00B1251A"/>
    <w:rsid w:val="00B15876"/>
    <w:rsid w:val="00B15EA6"/>
    <w:rsid w:val="00B202B5"/>
    <w:rsid w:val="00B2378C"/>
    <w:rsid w:val="00B25A06"/>
    <w:rsid w:val="00B27DCF"/>
    <w:rsid w:val="00B30539"/>
    <w:rsid w:val="00B314DB"/>
    <w:rsid w:val="00B361F2"/>
    <w:rsid w:val="00B3718B"/>
    <w:rsid w:val="00B4632A"/>
    <w:rsid w:val="00B5067D"/>
    <w:rsid w:val="00B530F1"/>
    <w:rsid w:val="00B543B6"/>
    <w:rsid w:val="00B55CC1"/>
    <w:rsid w:val="00B625D6"/>
    <w:rsid w:val="00B71D56"/>
    <w:rsid w:val="00B736AF"/>
    <w:rsid w:val="00B76F05"/>
    <w:rsid w:val="00B815EB"/>
    <w:rsid w:val="00B83BEC"/>
    <w:rsid w:val="00B8763E"/>
    <w:rsid w:val="00B94502"/>
    <w:rsid w:val="00B9487E"/>
    <w:rsid w:val="00B97946"/>
    <w:rsid w:val="00BA276C"/>
    <w:rsid w:val="00BA514F"/>
    <w:rsid w:val="00BA5544"/>
    <w:rsid w:val="00BB2A5B"/>
    <w:rsid w:val="00BB306F"/>
    <w:rsid w:val="00BB34D5"/>
    <w:rsid w:val="00BB3FBD"/>
    <w:rsid w:val="00BC0216"/>
    <w:rsid w:val="00BC2426"/>
    <w:rsid w:val="00BC6CD0"/>
    <w:rsid w:val="00BC7355"/>
    <w:rsid w:val="00BD4B89"/>
    <w:rsid w:val="00BD5922"/>
    <w:rsid w:val="00BD76D9"/>
    <w:rsid w:val="00BF02CB"/>
    <w:rsid w:val="00BF0E56"/>
    <w:rsid w:val="00BF191C"/>
    <w:rsid w:val="00BF514A"/>
    <w:rsid w:val="00BF6FD8"/>
    <w:rsid w:val="00BF775D"/>
    <w:rsid w:val="00C0256F"/>
    <w:rsid w:val="00C02F5C"/>
    <w:rsid w:val="00C03680"/>
    <w:rsid w:val="00C054DF"/>
    <w:rsid w:val="00C10AFC"/>
    <w:rsid w:val="00C12318"/>
    <w:rsid w:val="00C20979"/>
    <w:rsid w:val="00C2108C"/>
    <w:rsid w:val="00C21562"/>
    <w:rsid w:val="00C21762"/>
    <w:rsid w:val="00C21FEF"/>
    <w:rsid w:val="00C24543"/>
    <w:rsid w:val="00C24834"/>
    <w:rsid w:val="00C256A2"/>
    <w:rsid w:val="00C35A26"/>
    <w:rsid w:val="00C415AD"/>
    <w:rsid w:val="00C425F0"/>
    <w:rsid w:val="00C500B5"/>
    <w:rsid w:val="00C51515"/>
    <w:rsid w:val="00C53910"/>
    <w:rsid w:val="00C550C2"/>
    <w:rsid w:val="00C55B85"/>
    <w:rsid w:val="00C5660B"/>
    <w:rsid w:val="00C56854"/>
    <w:rsid w:val="00C5788A"/>
    <w:rsid w:val="00C6223E"/>
    <w:rsid w:val="00C66B72"/>
    <w:rsid w:val="00C66BAC"/>
    <w:rsid w:val="00C82182"/>
    <w:rsid w:val="00C87AC4"/>
    <w:rsid w:val="00C91A29"/>
    <w:rsid w:val="00C92610"/>
    <w:rsid w:val="00C9567A"/>
    <w:rsid w:val="00CA05FD"/>
    <w:rsid w:val="00CA48A3"/>
    <w:rsid w:val="00CB015C"/>
    <w:rsid w:val="00CB212D"/>
    <w:rsid w:val="00CB2660"/>
    <w:rsid w:val="00CC431D"/>
    <w:rsid w:val="00CC55A8"/>
    <w:rsid w:val="00CC5E90"/>
    <w:rsid w:val="00CC7460"/>
    <w:rsid w:val="00CD046C"/>
    <w:rsid w:val="00CE076C"/>
    <w:rsid w:val="00CE5199"/>
    <w:rsid w:val="00CE66D5"/>
    <w:rsid w:val="00CE7047"/>
    <w:rsid w:val="00CF35B6"/>
    <w:rsid w:val="00CF637A"/>
    <w:rsid w:val="00CF6BD1"/>
    <w:rsid w:val="00CF7A7C"/>
    <w:rsid w:val="00D00FF1"/>
    <w:rsid w:val="00D02B1E"/>
    <w:rsid w:val="00D03B52"/>
    <w:rsid w:val="00D059DE"/>
    <w:rsid w:val="00D05ABD"/>
    <w:rsid w:val="00D077BB"/>
    <w:rsid w:val="00D07EA9"/>
    <w:rsid w:val="00D112F5"/>
    <w:rsid w:val="00D13FCE"/>
    <w:rsid w:val="00D20598"/>
    <w:rsid w:val="00D238BD"/>
    <w:rsid w:val="00D24D67"/>
    <w:rsid w:val="00D306D1"/>
    <w:rsid w:val="00D30800"/>
    <w:rsid w:val="00D34786"/>
    <w:rsid w:val="00D3787A"/>
    <w:rsid w:val="00D37BFC"/>
    <w:rsid w:val="00D42822"/>
    <w:rsid w:val="00D47A8E"/>
    <w:rsid w:val="00D51140"/>
    <w:rsid w:val="00D51C9F"/>
    <w:rsid w:val="00D52D14"/>
    <w:rsid w:val="00D55256"/>
    <w:rsid w:val="00D56E71"/>
    <w:rsid w:val="00D60445"/>
    <w:rsid w:val="00D642F6"/>
    <w:rsid w:val="00D712D3"/>
    <w:rsid w:val="00D71422"/>
    <w:rsid w:val="00D72DC6"/>
    <w:rsid w:val="00D73F5E"/>
    <w:rsid w:val="00D7558D"/>
    <w:rsid w:val="00D77503"/>
    <w:rsid w:val="00D81D92"/>
    <w:rsid w:val="00D876F9"/>
    <w:rsid w:val="00D877B6"/>
    <w:rsid w:val="00DA3219"/>
    <w:rsid w:val="00DA7B5F"/>
    <w:rsid w:val="00DC11E7"/>
    <w:rsid w:val="00DC42DE"/>
    <w:rsid w:val="00DC7023"/>
    <w:rsid w:val="00DC769A"/>
    <w:rsid w:val="00DD061E"/>
    <w:rsid w:val="00DD3590"/>
    <w:rsid w:val="00DD3D86"/>
    <w:rsid w:val="00DE12F0"/>
    <w:rsid w:val="00DE276C"/>
    <w:rsid w:val="00DE3E69"/>
    <w:rsid w:val="00DF1EC4"/>
    <w:rsid w:val="00DF3801"/>
    <w:rsid w:val="00E01943"/>
    <w:rsid w:val="00E0340B"/>
    <w:rsid w:val="00E04A90"/>
    <w:rsid w:val="00E0551F"/>
    <w:rsid w:val="00E1018B"/>
    <w:rsid w:val="00E12087"/>
    <w:rsid w:val="00E219C7"/>
    <w:rsid w:val="00E22EE0"/>
    <w:rsid w:val="00E26CCA"/>
    <w:rsid w:val="00E4118C"/>
    <w:rsid w:val="00E41484"/>
    <w:rsid w:val="00E43010"/>
    <w:rsid w:val="00E43157"/>
    <w:rsid w:val="00E437D3"/>
    <w:rsid w:val="00E4422E"/>
    <w:rsid w:val="00E461CE"/>
    <w:rsid w:val="00E63333"/>
    <w:rsid w:val="00E720CA"/>
    <w:rsid w:val="00E82AA9"/>
    <w:rsid w:val="00E8310D"/>
    <w:rsid w:val="00E84EB5"/>
    <w:rsid w:val="00E8555B"/>
    <w:rsid w:val="00E85662"/>
    <w:rsid w:val="00E8770D"/>
    <w:rsid w:val="00E8789F"/>
    <w:rsid w:val="00E9268E"/>
    <w:rsid w:val="00E95C15"/>
    <w:rsid w:val="00E95F04"/>
    <w:rsid w:val="00E97B71"/>
    <w:rsid w:val="00EA3D34"/>
    <w:rsid w:val="00EB27DA"/>
    <w:rsid w:val="00EB454D"/>
    <w:rsid w:val="00EC72AB"/>
    <w:rsid w:val="00ED2F03"/>
    <w:rsid w:val="00ED549D"/>
    <w:rsid w:val="00ED76BE"/>
    <w:rsid w:val="00ED7F05"/>
    <w:rsid w:val="00EE00E9"/>
    <w:rsid w:val="00EE014D"/>
    <w:rsid w:val="00EE5518"/>
    <w:rsid w:val="00EE605A"/>
    <w:rsid w:val="00EE7895"/>
    <w:rsid w:val="00EF35AB"/>
    <w:rsid w:val="00EF4C44"/>
    <w:rsid w:val="00EF4E24"/>
    <w:rsid w:val="00EF619B"/>
    <w:rsid w:val="00F00B55"/>
    <w:rsid w:val="00F02AD1"/>
    <w:rsid w:val="00F04591"/>
    <w:rsid w:val="00F051AB"/>
    <w:rsid w:val="00F06354"/>
    <w:rsid w:val="00F13F89"/>
    <w:rsid w:val="00F21B32"/>
    <w:rsid w:val="00F220FC"/>
    <w:rsid w:val="00F253CC"/>
    <w:rsid w:val="00F332EF"/>
    <w:rsid w:val="00F35CFE"/>
    <w:rsid w:val="00F37106"/>
    <w:rsid w:val="00F42039"/>
    <w:rsid w:val="00F43CE0"/>
    <w:rsid w:val="00F44EA6"/>
    <w:rsid w:val="00F519CF"/>
    <w:rsid w:val="00F56BA5"/>
    <w:rsid w:val="00F57485"/>
    <w:rsid w:val="00F60E22"/>
    <w:rsid w:val="00F619A2"/>
    <w:rsid w:val="00F62E44"/>
    <w:rsid w:val="00F63B39"/>
    <w:rsid w:val="00F777B4"/>
    <w:rsid w:val="00F803D0"/>
    <w:rsid w:val="00F81395"/>
    <w:rsid w:val="00F81887"/>
    <w:rsid w:val="00F81BB8"/>
    <w:rsid w:val="00F8570C"/>
    <w:rsid w:val="00F8788C"/>
    <w:rsid w:val="00F917D1"/>
    <w:rsid w:val="00F9342C"/>
    <w:rsid w:val="00F9653B"/>
    <w:rsid w:val="00FA56EA"/>
    <w:rsid w:val="00FA621D"/>
    <w:rsid w:val="00FB4956"/>
    <w:rsid w:val="00FB62CF"/>
    <w:rsid w:val="00FC0F4A"/>
    <w:rsid w:val="00FC3330"/>
    <w:rsid w:val="00FC7F44"/>
    <w:rsid w:val="00FD3C3B"/>
    <w:rsid w:val="00FD3F83"/>
    <w:rsid w:val="00FD5134"/>
    <w:rsid w:val="00FE07DD"/>
    <w:rsid w:val="00FE4147"/>
    <w:rsid w:val="00FE48BF"/>
    <w:rsid w:val="00FE6B45"/>
    <w:rsid w:val="00FF0D1B"/>
    <w:rsid w:val="00FF3AA5"/>
    <w:rsid w:val="00FF55F3"/>
    <w:rsid w:val="00FF5851"/>
    <w:rsid w:val="00FF7B79"/>
    <w:rsid w:val="00FF7EA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2470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2470BA"/>
    <w:pPr>
      <w:keepNext w:val="0"/>
      <w:keepLines w:val="0"/>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Cs w:val="0"/>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5Char">
    <w:name w:val="Heading 5 Char"/>
    <w:basedOn w:val="DefaultParagraphFont"/>
    <w:link w:val="Heading5"/>
    <w:uiPriority w:val="9"/>
    <w:rsid w:val="002470B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470BA"/>
    <w:rPr>
      <w:rFonts w:asciiTheme="majorHAnsi" w:eastAsiaTheme="majorEastAsia" w:hAnsiTheme="majorHAnsi" w:cstheme="majorBidi"/>
      <w:b/>
      <w:bCs/>
      <w:i/>
      <w:iCs/>
      <w:color w:val="4F81BD" w:themeColor="accent1"/>
      <w:sz w:val="24"/>
      <w:szCs w:val="24"/>
      <w:lang w:val="en-US" w:eastAsia="en-US"/>
    </w:rPr>
  </w:style>
  <w:style w:type="paragraph" w:styleId="NormalWeb">
    <w:name w:val="Normal (Web)"/>
    <w:basedOn w:val="Normal"/>
    <w:uiPriority w:val="99"/>
    <w:semiHidden/>
    <w:unhideWhenUsed/>
    <w:rsid w:val="0019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47587136">
      <w:bodyDiv w:val="1"/>
      <w:marLeft w:val="0"/>
      <w:marRight w:val="0"/>
      <w:marTop w:val="0"/>
      <w:marBottom w:val="0"/>
      <w:divBdr>
        <w:top w:val="none" w:sz="0" w:space="0" w:color="auto"/>
        <w:left w:val="none" w:sz="0" w:space="0" w:color="auto"/>
        <w:bottom w:val="none" w:sz="0" w:space="0" w:color="auto"/>
        <w:right w:val="none" w:sz="0" w:space="0" w:color="auto"/>
      </w:divBdr>
    </w:div>
    <w:div w:id="9917874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03812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NotDefSpecial">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0EC"/>
    <w:rsid w:val="00022325"/>
    <w:rsid w:val="00043587"/>
    <w:rsid w:val="00073529"/>
    <w:rsid w:val="00083D45"/>
    <w:rsid w:val="00183B6F"/>
    <w:rsid w:val="00200821"/>
    <w:rsid w:val="00394049"/>
    <w:rsid w:val="00420AC5"/>
    <w:rsid w:val="0046499D"/>
    <w:rsid w:val="004F2DF8"/>
    <w:rsid w:val="00592852"/>
    <w:rsid w:val="005A5184"/>
    <w:rsid w:val="006E2B51"/>
    <w:rsid w:val="00806C5E"/>
    <w:rsid w:val="008E7F6E"/>
    <w:rsid w:val="00942213"/>
    <w:rsid w:val="0097453C"/>
    <w:rsid w:val="009A261B"/>
    <w:rsid w:val="00A11A9B"/>
    <w:rsid w:val="00AA0F36"/>
    <w:rsid w:val="00AC15A4"/>
    <w:rsid w:val="00AF6788"/>
    <w:rsid w:val="00B0336C"/>
    <w:rsid w:val="00B64148"/>
    <w:rsid w:val="00C11833"/>
    <w:rsid w:val="00C56634"/>
    <w:rsid w:val="00D46351"/>
    <w:rsid w:val="00D74958"/>
    <w:rsid w:val="00E02792"/>
    <w:rsid w:val="00E73090"/>
    <w:rsid w:val="00E77140"/>
    <w:rsid w:val="00E907ED"/>
    <w:rsid w:val="00EA5E58"/>
    <w:rsid w:val="00EC5ECB"/>
    <w:rsid w:val="00F00D2F"/>
    <w:rsid w:val="00F128DF"/>
    <w:rsid w:val="00F7438E"/>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5003-93AC-4742-908D-BFE28218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3397</Words>
  <Characters>18007</Characters>
  <Application>Microsoft Office Word</Application>
  <DocSecurity>0</DocSecurity>
  <Lines>305</Lines>
  <Paragraphs>84</Paragraphs>
  <ScaleCrop>false</ScaleCrop>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197/21</dc:title>
  <dc:creator/>
  <cp:lastModifiedBy/>
  <cp:revision>1</cp:revision>
  <dcterms:created xsi:type="dcterms:W3CDTF">2021-09-22T13:28:00Z</dcterms:created>
  <dcterms:modified xsi:type="dcterms:W3CDTF">2021-09-22T13:28:00Z</dcterms:modified>
</cp:coreProperties>
</file>