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A799DE">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813D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10C644">
              <v:shapetype id="_x0000_t202" coordsize="21600,21600" o:spt="202" path="m,l,21600r21600,l21600,xe" w14:anchorId="5946E9EA">
                <v:stroke joinstyle="miter"/>
                <v:path gradientshapeok="t" o:connecttype="rect"/>
              </v:shapetype>
              <v:shape id="Text Box 11"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v:textbox>
                  <w:txbxContent>
                    <w:p w:rsidR="0081486B" w:rsidP="000673D0" w:rsidRDefault="0081486B" w14:paraId="3D8553D8" w14:textId="77777777">
                      <w:r>
                        <w:rPr>
                          <w:noProof/>
                        </w:rPr>
                        <w:drawing>
                          <wp:inline distT="0" distB="0" distL="0" distR="0" wp14:anchorId="0E92FD98" wp14:editId="1F282641">
                            <wp:extent cx="2647666" cy="509676"/>
                            <wp:effectExtent l="0" t="0" r="635" b="5080"/>
                            <wp:docPr id="941647706"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28C08" w14:textId="03254BFF"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FB06FE">
                              <w:rPr>
                                <w:rFonts w:ascii="Cambria" w:hAnsi="Cambria" w:cs="Arial"/>
                                <w:b/>
                                <w:bCs/>
                                <w:color w:val="0D0D0D"/>
                                <w:sz w:val="36"/>
                                <w:szCs w:val="22"/>
                                <w:lang w:val="es-ES_tradnl"/>
                              </w:rPr>
                              <w:t>436</w:t>
                            </w:r>
                            <w:r w:rsidRPr="00365E52">
                              <w:rPr>
                                <w:rFonts w:ascii="Cambria" w:hAnsi="Cambria" w:cs="Arial"/>
                                <w:b/>
                                <w:bCs/>
                                <w:color w:val="0D0D0D"/>
                                <w:sz w:val="36"/>
                                <w:szCs w:val="22"/>
                                <w:lang w:val="es-ES_tradnl"/>
                              </w:rPr>
                              <w:t>/2</w:t>
                            </w:r>
                            <w:r>
                              <w:rPr>
                                <w:rFonts w:ascii="Cambria" w:hAnsi="Cambria" w:cs="Arial"/>
                                <w:b/>
                                <w:bCs/>
                                <w:color w:val="0D0D0D"/>
                                <w:sz w:val="36"/>
                                <w:szCs w:val="22"/>
                                <w:lang w:val="es-ES_tradnl"/>
                              </w:rPr>
                              <w:t>1</w:t>
                            </w:r>
                          </w:p>
                          <w:p w14:paraId="53D2C78D"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1516-14</w:t>
                            </w:r>
                          </w:p>
                          <w:p w14:paraId="583E5259"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14:paraId="69EA1046"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14:paraId="537F3581"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PA" w:eastAsia="es-ES"/>
                              </w:rPr>
                              <w:t>BESSY XIOMARA TREJO FIGUEROA Y OTROS</w:t>
                            </w:r>
                          </w:p>
                          <w:p w14:paraId="52347B2A"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HONDURAS</w:t>
                            </w:r>
                          </w:p>
                          <w:p w14:paraId="6D9AEAC1" w14:textId="77777777" w:rsidR="0081486B" w:rsidRPr="00AE5488" w:rsidRDefault="0081486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42A74D">
              <v:shape id="Text Box 5"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w14:anchorId="6683F5A4">
                <v:textbox>
                  <w:txbxContent>
                    <w:p w:rsidRPr="00365E52" w:rsidR="005710B2" w:rsidP="005710B2" w:rsidRDefault="005710B2" w14:paraId="65D318BA" w14:textId="03254BFF">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FB06FE">
                        <w:rPr>
                          <w:rFonts w:ascii="Cambria" w:hAnsi="Cambria" w:cs="Arial"/>
                          <w:b/>
                          <w:bCs/>
                          <w:color w:val="0D0D0D"/>
                          <w:sz w:val="36"/>
                          <w:szCs w:val="22"/>
                          <w:lang w:val="es-ES_tradnl"/>
                        </w:rPr>
                        <w:t>436</w:t>
                      </w:r>
                      <w:r w:rsidRPr="00365E52">
                        <w:rPr>
                          <w:rFonts w:ascii="Cambria" w:hAnsi="Cambria" w:cs="Arial"/>
                          <w:b/>
                          <w:bCs/>
                          <w:color w:val="0D0D0D"/>
                          <w:sz w:val="36"/>
                          <w:szCs w:val="22"/>
                          <w:lang w:val="es-ES_tradnl"/>
                        </w:rPr>
                        <w:t>/2</w:t>
                      </w:r>
                      <w:r>
                        <w:rPr>
                          <w:rFonts w:ascii="Cambria" w:hAnsi="Cambria" w:cs="Arial"/>
                          <w:b/>
                          <w:bCs/>
                          <w:color w:val="0D0D0D"/>
                          <w:sz w:val="36"/>
                          <w:szCs w:val="22"/>
                          <w:lang w:val="es-ES_tradnl"/>
                        </w:rPr>
                        <w:t>1</w:t>
                      </w:r>
                    </w:p>
                    <w:p w:rsidRPr="00365E52" w:rsidR="005710B2" w:rsidP="005710B2" w:rsidRDefault="005710B2" w14:paraId="4DF6E2F7" w14:textId="77777777">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1516-14</w:t>
                      </w:r>
                    </w:p>
                    <w:p w:rsidRPr="00365E52" w:rsidR="005710B2" w:rsidP="005710B2" w:rsidRDefault="005710B2" w14:paraId="1EE6B8D9" w14:textId="77777777">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rsidRPr="00365E52" w:rsidR="005710B2" w:rsidP="005710B2" w:rsidRDefault="005710B2" w14:paraId="672A6659" w14:textId="77777777">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s="Arial"/>
                          <w:color w:val="0D0D0D"/>
                          <w:szCs w:val="22"/>
                          <w:lang w:val="es-ES_tradnl"/>
                        </w:rPr>
                      </w:pPr>
                    </w:p>
                    <w:p w:rsidRPr="00365E52" w:rsidR="005710B2" w:rsidP="005710B2" w:rsidRDefault="005710B2" w14:paraId="18D9E5D7" w14:textId="77777777">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s="Arial"/>
                          <w:color w:val="0D0D0D"/>
                          <w:lang w:val="es-ES_tradnl"/>
                        </w:rPr>
                      </w:pPr>
                      <w:r>
                        <w:rPr>
                          <w:rFonts w:ascii="Cambria" w:hAnsi="Cambria" w:cs="Arial"/>
                          <w:lang w:val="es-PA" w:eastAsia="es-ES"/>
                        </w:rPr>
                        <w:t>BESSY XIOMARA TREJO FIGUEROA Y OTROS</w:t>
                      </w:r>
                    </w:p>
                    <w:p w:rsidRPr="00365E52" w:rsidR="005710B2" w:rsidP="005710B2" w:rsidRDefault="005710B2" w14:paraId="2C2E1C49" w14:textId="77777777">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s="Arial"/>
                          <w:color w:val="0D0D0D"/>
                          <w:szCs w:val="22"/>
                          <w:lang w:val="es-ES"/>
                        </w:rPr>
                      </w:pPr>
                      <w:r>
                        <w:rPr>
                          <w:rFonts w:ascii="Cambria" w:hAnsi="Cambria" w:cs="Arial"/>
                          <w:color w:val="0D0D0D"/>
                          <w:szCs w:val="22"/>
                          <w:lang w:val="es-ES_tradnl"/>
                        </w:rPr>
                        <w:t>HONDURAS</w:t>
                      </w:r>
                    </w:p>
                    <w:p w:rsidRPr="00AE5488" w:rsidR="0081486B" w:rsidP="000673D0" w:rsidRDefault="0081486B" w14:paraId="0A37501D" w14:textId="77777777">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5C64F5E4" w:rsidR="0081486B" w:rsidRPr="000A6D83" w:rsidRDefault="0081486B" w:rsidP="000673D0">
                            <w:pPr>
                              <w:spacing w:line="276" w:lineRule="auto"/>
                              <w:jc w:val="right"/>
                              <w:rPr>
                                <w:rFonts w:asciiTheme="minorHAnsi" w:hAnsiTheme="minorHAnsi"/>
                                <w:color w:val="FFFFFF" w:themeColor="background1"/>
                                <w:sz w:val="22"/>
                                <w:lang w:val="es-419"/>
                              </w:rPr>
                            </w:pPr>
                            <w:r w:rsidRPr="000A6D83">
                              <w:rPr>
                                <w:rFonts w:asciiTheme="minorHAnsi" w:hAnsiTheme="minorHAnsi"/>
                                <w:color w:val="FFFFFF" w:themeColor="background1"/>
                                <w:sz w:val="22"/>
                                <w:lang w:val="es-419"/>
                              </w:rPr>
                              <w:t>OEA/</w:t>
                            </w:r>
                            <w:proofErr w:type="spellStart"/>
                            <w:r w:rsidRPr="000A6D83">
                              <w:rPr>
                                <w:rFonts w:asciiTheme="minorHAnsi" w:hAnsiTheme="minorHAnsi"/>
                                <w:color w:val="FFFFFF" w:themeColor="background1"/>
                                <w:sz w:val="22"/>
                                <w:lang w:val="es-419"/>
                              </w:rPr>
                              <w:t>Ser.L</w:t>
                            </w:r>
                            <w:proofErr w:type="spellEnd"/>
                            <w:r w:rsidRPr="000A6D83">
                              <w:rPr>
                                <w:rFonts w:asciiTheme="minorHAnsi" w:hAnsiTheme="minorHAnsi"/>
                                <w:color w:val="FFFFFF" w:themeColor="background1"/>
                                <w:sz w:val="22"/>
                                <w:lang w:val="es-419"/>
                              </w:rPr>
                              <w:t>/V/II</w:t>
                            </w:r>
                          </w:p>
                          <w:p w14:paraId="3449BBFC" w14:textId="6A408663" w:rsidR="0081486B" w:rsidRPr="000A6D83" w:rsidRDefault="0081486B" w:rsidP="000673D0">
                            <w:pPr>
                              <w:spacing w:line="276" w:lineRule="auto"/>
                              <w:jc w:val="right"/>
                              <w:rPr>
                                <w:rFonts w:asciiTheme="minorHAnsi" w:hAnsiTheme="minorHAnsi"/>
                                <w:color w:val="FFFFFF" w:themeColor="background1"/>
                                <w:sz w:val="22"/>
                                <w:lang w:val="es-419"/>
                              </w:rPr>
                            </w:pPr>
                            <w:r w:rsidRPr="000A6D83">
                              <w:rPr>
                                <w:rFonts w:asciiTheme="minorHAnsi" w:hAnsiTheme="minorHAnsi"/>
                                <w:color w:val="FFFFFF" w:themeColor="background1"/>
                                <w:sz w:val="22"/>
                                <w:lang w:val="es-419"/>
                              </w:rPr>
                              <w:t xml:space="preserve">Doc. </w:t>
                            </w:r>
                            <w:r w:rsidR="00FB06FE" w:rsidRPr="000A6D83">
                              <w:rPr>
                                <w:rFonts w:asciiTheme="minorHAnsi" w:hAnsiTheme="minorHAnsi"/>
                                <w:color w:val="FFFFFF" w:themeColor="background1"/>
                                <w:sz w:val="22"/>
                                <w:lang w:val="es-419"/>
                              </w:rPr>
                              <w:t>448</w:t>
                            </w:r>
                          </w:p>
                          <w:p w14:paraId="0BBD91A2" w14:textId="6F4798C7" w:rsidR="0081486B" w:rsidRPr="00C25ADB" w:rsidRDefault="00FB06FE"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81486B" w:rsidRPr="00C25ADB">
                              <w:rPr>
                                <w:rFonts w:asciiTheme="minorHAnsi" w:hAnsiTheme="minorHAnsi"/>
                                <w:color w:val="FFFFFF" w:themeColor="background1"/>
                                <w:sz w:val="22"/>
                                <w:lang w:val="es-PA"/>
                              </w:rPr>
                              <w:t xml:space="preserve"> </w:t>
                            </w:r>
                            <w:proofErr w:type="gramStart"/>
                            <w:r>
                              <w:rPr>
                                <w:rFonts w:asciiTheme="minorHAnsi" w:hAnsiTheme="minorHAnsi"/>
                                <w:color w:val="FFFFFF" w:themeColor="background1"/>
                                <w:sz w:val="22"/>
                                <w:lang w:val="es-PA"/>
                              </w:rPr>
                              <w:t>diciembre</w:t>
                            </w:r>
                            <w:r w:rsidR="0081486B" w:rsidRPr="00C25ADB">
                              <w:rPr>
                                <w:rFonts w:asciiTheme="minorHAnsi" w:hAnsiTheme="minorHAnsi"/>
                                <w:color w:val="FFFFFF" w:themeColor="background1"/>
                                <w:sz w:val="22"/>
                                <w:lang w:val="es-PA"/>
                              </w:rPr>
                              <w:t xml:space="preserve">  202</w:t>
                            </w:r>
                            <w:r w:rsidR="00C52847">
                              <w:rPr>
                                <w:rFonts w:asciiTheme="minorHAnsi" w:hAnsiTheme="minorHAnsi"/>
                                <w:color w:val="FFFFFF" w:themeColor="background1"/>
                                <w:sz w:val="22"/>
                                <w:lang w:val="es-PA"/>
                              </w:rPr>
                              <w:t>1</w:t>
                            </w:r>
                            <w:proofErr w:type="gramEnd"/>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BA5AFF">
              <v:shape id="Text Box 8"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w14:anchorId="3F9E3426">
                <v:textbox>
                  <w:txbxContent>
                    <w:p w:rsidRPr="000A6D83" w:rsidR="0081486B" w:rsidP="000673D0" w:rsidRDefault="0081486B" w14:paraId="01BA6123" w14:textId="5C64F5E4">
                      <w:pPr>
                        <w:spacing w:line="276" w:lineRule="auto"/>
                        <w:jc w:val="right"/>
                        <w:rPr>
                          <w:rFonts w:asciiTheme="minorHAnsi" w:hAnsiTheme="minorHAnsi"/>
                          <w:color w:val="FFFFFF" w:themeColor="background1"/>
                          <w:sz w:val="22"/>
                          <w:lang w:val="es-419"/>
                        </w:rPr>
                      </w:pPr>
                      <w:r w:rsidRPr="000A6D83">
                        <w:rPr>
                          <w:rFonts w:asciiTheme="minorHAnsi" w:hAnsiTheme="minorHAnsi"/>
                          <w:color w:val="FFFFFF" w:themeColor="background1"/>
                          <w:sz w:val="22"/>
                          <w:lang w:val="es-419"/>
                        </w:rPr>
                        <w:t>OEA/</w:t>
                      </w:r>
                      <w:proofErr w:type="spellStart"/>
                      <w:r w:rsidRPr="000A6D83">
                        <w:rPr>
                          <w:rFonts w:asciiTheme="minorHAnsi" w:hAnsiTheme="minorHAnsi"/>
                          <w:color w:val="FFFFFF" w:themeColor="background1"/>
                          <w:sz w:val="22"/>
                          <w:lang w:val="es-419"/>
                        </w:rPr>
                        <w:t>Ser.L</w:t>
                      </w:r>
                      <w:proofErr w:type="spellEnd"/>
                      <w:r w:rsidRPr="000A6D83">
                        <w:rPr>
                          <w:rFonts w:asciiTheme="minorHAnsi" w:hAnsiTheme="minorHAnsi"/>
                          <w:color w:val="FFFFFF" w:themeColor="background1"/>
                          <w:sz w:val="22"/>
                          <w:lang w:val="es-419"/>
                        </w:rPr>
                        <w:t>/V/II</w:t>
                      </w:r>
                    </w:p>
                    <w:p w:rsidRPr="000A6D83" w:rsidR="0081486B" w:rsidP="000673D0" w:rsidRDefault="0081486B" w14:paraId="66DF6228" w14:textId="6A408663">
                      <w:pPr>
                        <w:spacing w:line="276" w:lineRule="auto"/>
                        <w:jc w:val="right"/>
                        <w:rPr>
                          <w:rFonts w:asciiTheme="minorHAnsi" w:hAnsiTheme="minorHAnsi"/>
                          <w:color w:val="FFFFFF" w:themeColor="background1"/>
                          <w:sz w:val="22"/>
                          <w:lang w:val="es-419"/>
                        </w:rPr>
                      </w:pPr>
                      <w:r w:rsidRPr="000A6D83">
                        <w:rPr>
                          <w:rFonts w:asciiTheme="minorHAnsi" w:hAnsiTheme="minorHAnsi"/>
                          <w:color w:val="FFFFFF" w:themeColor="background1"/>
                          <w:sz w:val="22"/>
                          <w:lang w:val="es-419"/>
                        </w:rPr>
                        <w:t xml:space="preserve">Doc. </w:t>
                      </w:r>
                      <w:r w:rsidRPr="000A6D83" w:rsidR="00FB06FE">
                        <w:rPr>
                          <w:rFonts w:asciiTheme="minorHAnsi" w:hAnsiTheme="minorHAnsi"/>
                          <w:color w:val="FFFFFF" w:themeColor="background1"/>
                          <w:sz w:val="22"/>
                          <w:lang w:val="es-419"/>
                        </w:rPr>
                        <w:t>448</w:t>
                      </w:r>
                    </w:p>
                    <w:p w:rsidRPr="00C25ADB" w:rsidR="0081486B" w:rsidP="000673D0" w:rsidRDefault="00FB06FE" w14:paraId="0760B12F" w14:textId="6F4798C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Pr="00C25ADB" w:rsidR="0081486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diciembre</w:t>
                      </w:r>
                      <w:r w:rsidRPr="00C25ADB" w:rsidR="0081486B">
                        <w:rPr>
                          <w:rFonts w:asciiTheme="minorHAnsi" w:hAnsiTheme="minorHAnsi"/>
                          <w:color w:val="FFFFFF" w:themeColor="background1"/>
                          <w:sz w:val="22"/>
                          <w:lang w:val="es-PA"/>
                        </w:rPr>
                        <w:t xml:space="preserve">  202</w:t>
                      </w:r>
                      <w:r w:rsidR="00C52847">
                        <w:rPr>
                          <w:rFonts w:asciiTheme="minorHAnsi" w:hAnsiTheme="minorHAnsi"/>
                          <w:color w:val="FFFFFF" w:themeColor="background1"/>
                          <w:sz w:val="22"/>
                          <w:lang w:val="es-PA"/>
                        </w:rPr>
                        <w:t>1</w:t>
                      </w:r>
                    </w:p>
                    <w:p w:rsidRPr="00C25ADB" w:rsidR="0081486B" w:rsidP="000673D0" w:rsidRDefault="0081486B" w14:paraId="3A0E510E" w14:textId="7777777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1846F7B0" w:rsidR="0081486B" w:rsidRPr="00890650" w:rsidRDefault="0081486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B06FE">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FB06FE">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B06FE">
                              <w:rPr>
                                <w:rFonts w:asciiTheme="majorHAnsi" w:hAnsiTheme="majorHAnsi"/>
                                <w:color w:val="0D0D0D" w:themeColor="text1" w:themeTint="F2"/>
                                <w:sz w:val="18"/>
                                <w:szCs w:val="22"/>
                                <w:lang w:val="es-ES"/>
                              </w:rPr>
                              <w:t>1.</w:t>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586508">
              <v:shape id="Text Box 7"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w14:anchorId="3C1C2A41">
                <v:textbox>
                  <w:txbxContent>
                    <w:p w:rsidRPr="00890650" w:rsidR="0081486B" w:rsidP="000673D0" w:rsidRDefault="0081486B" w14:paraId="6AA4726E" w14:textId="1846F7B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B06FE">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FB06FE">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B06FE">
                        <w:rPr>
                          <w:rFonts w:asciiTheme="majorHAnsi" w:hAnsiTheme="majorHAnsi"/>
                          <w:color w:val="0D0D0D" w:themeColor="text1" w:themeTint="F2"/>
                          <w:sz w:val="18"/>
                          <w:szCs w:val="22"/>
                          <w:lang w:val="es-ES"/>
                        </w:rPr>
                        <w:t>1.</w:t>
                      </w:r>
                    </w:p>
                    <w:p w:rsidRPr="007A5817" w:rsidR="0081486B" w:rsidP="000673D0" w:rsidRDefault="0081486B" w14:paraId="5DAB6C7B" w14:textId="77777777">
                      <w:pPr>
                        <w:tabs>
                          <w:tab w:val="center" w:pos="5400"/>
                        </w:tabs>
                        <w:suppressAutoHyphens/>
                        <w:spacing w:before="60"/>
                        <w:rPr>
                          <w:rFonts w:cs="Univers" w:asciiTheme="minorHAnsi" w:hAnsiTheme="minorHAnsi"/>
                          <w:color w:val="0D0D0D" w:themeColor="text1" w:themeTint="F2"/>
                          <w:sz w:val="20"/>
                          <w:szCs w:val="20"/>
                          <w:lang w:val="es-ES"/>
                        </w:rPr>
                      </w:pPr>
                    </w:p>
                    <w:p w:rsidRPr="00167A34" w:rsidR="0081486B" w:rsidP="000673D0" w:rsidRDefault="0081486B" w14:paraId="02EB378F" w14:textId="77777777">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58B54" w14:textId="78802B75"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FB06FE" w:rsidRPr="000A6D83">
                              <w:rPr>
                                <w:rFonts w:ascii="Cambria" w:hAnsi="Cambria"/>
                                <w:color w:val="595959"/>
                                <w:sz w:val="18"/>
                                <w:szCs w:val="18"/>
                                <w:lang w:val="pt-BR"/>
                              </w:rPr>
                              <w:t>436</w:t>
                            </w:r>
                            <w:r w:rsidRPr="000A6D83">
                              <w:rPr>
                                <w:rFonts w:ascii="Cambria" w:hAnsi="Cambria"/>
                                <w:color w:val="595959"/>
                                <w:sz w:val="18"/>
                                <w:szCs w:val="18"/>
                                <w:lang w:val="pt-BR"/>
                              </w:rPr>
                              <w:t xml:space="preserve">/21.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w:t>
                            </w:r>
                            <w:r>
                              <w:rPr>
                                <w:rFonts w:ascii="Cambria" w:hAnsi="Cambria"/>
                                <w:color w:val="595959"/>
                                <w:sz w:val="18"/>
                                <w:szCs w:val="18"/>
                                <w:lang w:val="es-ES"/>
                              </w:rPr>
                              <w:t>1516-14</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r>
                              <w:rPr>
                                <w:rFonts w:ascii="Cambria" w:hAnsi="Cambria"/>
                                <w:color w:val="595959"/>
                                <w:sz w:val="18"/>
                                <w:szCs w:val="18"/>
                                <w:lang w:val="es-ES_tradnl"/>
                              </w:rPr>
                              <w:t>Bessy Xiomara Trejo Figueroa y Otros</w:t>
                            </w:r>
                            <w:r w:rsidRPr="00365E52">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3B5843">
                              <w:rPr>
                                <w:rFonts w:ascii="Cambria" w:hAnsi="Cambria"/>
                                <w:color w:val="595959"/>
                                <w:sz w:val="18"/>
                                <w:szCs w:val="18"/>
                                <w:lang w:val="es-ES"/>
                              </w:rPr>
                              <w:t>19 de diciembre de 2021.</w:t>
                            </w:r>
                            <w:r w:rsidRPr="00365E52">
                              <w:rPr>
                                <w:rFonts w:ascii="Cambria" w:hAnsi="Cambria"/>
                                <w:color w:val="595959"/>
                                <w:sz w:val="18"/>
                                <w:szCs w:val="18"/>
                                <w:lang w:val="es-ES"/>
                              </w:rPr>
                              <w:t xml:space="preserve"> </w:t>
                            </w:r>
                          </w:p>
                          <w:p w14:paraId="0CF2B52A" w14:textId="7CB5A41B" w:rsidR="0081486B" w:rsidRPr="007B05C4" w:rsidRDefault="0081486B" w:rsidP="000673D0">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21F5A3">
              <v:shape id="Text Box 10"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w14:anchorId="1DE21F94">
                <v:textbox>
                  <w:txbxContent>
                    <w:p w:rsidRPr="00365E52" w:rsidR="005710B2" w:rsidP="005710B2" w:rsidRDefault="005710B2" w14:paraId="025534E9" w14:textId="78802B75">
                      <w:pPr>
                        <w:pBdr>
                          <w:top w:val="none" w:color="auto" w:sz="0" w:space="0"/>
                          <w:left w:val="none" w:color="auto" w:sz="0" w:space="0"/>
                          <w:bottom w:val="none" w:color="auto" w:sz="0" w:space="0"/>
                          <w:right w:val="none" w:color="auto" w:sz="0" w:space="0"/>
                          <w:bar w:val="none" w:color="auto" w:sz="0"/>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Pr="000A6D83" w:rsidR="00FB06FE">
                        <w:rPr>
                          <w:rFonts w:ascii="Cambria" w:hAnsi="Cambria"/>
                          <w:color w:val="595959"/>
                          <w:sz w:val="18"/>
                          <w:szCs w:val="18"/>
                          <w:lang w:val="pt-BR"/>
                        </w:rPr>
                        <w:t>436</w:t>
                      </w:r>
                      <w:r w:rsidRPr="000A6D83">
                        <w:rPr>
                          <w:rFonts w:ascii="Cambria" w:hAnsi="Cambria"/>
                          <w:color w:val="595959"/>
                          <w:sz w:val="18"/>
                          <w:szCs w:val="18"/>
                          <w:lang w:val="pt-BR"/>
                        </w:rPr>
                        <w:t xml:space="preserve">/21.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w:t>
                      </w:r>
                      <w:r>
                        <w:rPr>
                          <w:rFonts w:ascii="Cambria" w:hAnsi="Cambria"/>
                          <w:color w:val="595959"/>
                          <w:sz w:val="18"/>
                          <w:szCs w:val="18"/>
                          <w:lang w:val="es-ES"/>
                        </w:rPr>
                        <w:t>1516-14</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r>
                        <w:rPr>
                          <w:rFonts w:ascii="Cambria" w:hAnsi="Cambria"/>
                          <w:color w:val="595959"/>
                          <w:sz w:val="18"/>
                          <w:szCs w:val="18"/>
                          <w:lang w:val="es-ES_tradnl"/>
                        </w:rPr>
                        <w:t>Bessy Xiomara Trejo Figueroa y Otros</w:t>
                      </w:r>
                      <w:r w:rsidRPr="00365E52">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3B5843">
                        <w:rPr>
                          <w:rFonts w:ascii="Cambria" w:hAnsi="Cambria"/>
                          <w:color w:val="595959"/>
                          <w:sz w:val="18"/>
                          <w:szCs w:val="18"/>
                          <w:lang w:val="es-ES"/>
                        </w:rPr>
                        <w:t>19 de diciembre de 2021.</w:t>
                      </w:r>
                      <w:r w:rsidRPr="00365E52">
                        <w:rPr>
                          <w:rFonts w:ascii="Cambria" w:hAnsi="Cambria"/>
                          <w:color w:val="595959"/>
                          <w:sz w:val="18"/>
                          <w:szCs w:val="18"/>
                          <w:lang w:val="es-ES"/>
                        </w:rPr>
                        <w:t xml:space="preserve"> </w:t>
                      </w:r>
                    </w:p>
                    <w:p w:rsidRPr="007B05C4" w:rsidR="0081486B" w:rsidP="000673D0" w:rsidRDefault="0081486B" w14:paraId="6A05A809" w14:textId="7CB5A41B">
                      <w:pPr>
                        <w:spacing w:line="276" w:lineRule="auto"/>
                        <w:rPr>
                          <w:rFonts w:asciiTheme="majorHAnsi" w:hAnsiTheme="majorHAnsi"/>
                          <w:color w:val="595959" w:themeColor="text1" w:themeTint="A6"/>
                          <w:sz w:val="18"/>
                          <w:szCs w:val="18"/>
                          <w:lang w:val="es-ES"/>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2EFC69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5FEEC8D3" w:rsidR="0081486B" w:rsidRPr="00D72DC6" w:rsidRDefault="003B5843" w:rsidP="000673D0">
                            <w:pPr>
                              <w:rPr>
                                <w:color w:val="FFFFFF" w:themeColor="background1"/>
                                <w14:textFill>
                                  <w14:noFill/>
                                </w14:textFill>
                              </w:rPr>
                            </w:pPr>
                            <w:r>
                              <w:rPr>
                                <w:noProof/>
                                <w:color w:val="FFFFFF" w:themeColor="background1"/>
                              </w:rPr>
                              <w:drawing>
                                <wp:inline distT="0" distB="0" distL="0" distR="0" wp14:anchorId="669B3060" wp14:editId="27F53734">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92EACF">
              <v:shape id="Text Box 9"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w14:anchorId="2BF9F72E">
                <v:textbox>
                  <w:txbxContent>
                    <w:p w:rsidRPr="00D72DC6" w:rsidR="0081486B" w:rsidP="000673D0" w:rsidRDefault="003B5843" w14:paraId="5A39BBE3" w14:textId="5FEEC8D3">
                      <w:pPr>
                        <w:rPr>
                          <w:color w:val="FFFFFF" w:themeColor="background1"/>
                          <w14:textFill>
                            <w14:noFill/>
                          </w14:textFill>
                        </w:rPr>
                      </w:pPr>
                      <w:r>
                        <w:rPr>
                          <w:noProof/>
                          <w:color w:val="FFFFFF" w:themeColor="background1"/>
                        </w:rPr>
                        <w:drawing>
                          <wp:inline distT="0" distB="0" distL="0" distR="0" wp14:anchorId="63D76E09" wp14:editId="27F53734">
                            <wp:extent cx="1824355" cy="469265"/>
                            <wp:effectExtent l="0" t="0" r="4445" b="6985"/>
                            <wp:docPr id="944595158"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4F6E95">
              <v:shape id="Text Box 4"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w14:anchorId="39E975DD">
                <v:textbox>
                  <w:txbxContent>
                    <w:p w:rsidRPr="004B7EB6" w:rsidR="0081486B" w:rsidP="000673D0" w:rsidRDefault="0081486B"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C52847" w:rsidRDefault="000673D0" w:rsidP="000673D0">
      <w:pPr>
        <w:spacing w:after="240"/>
        <w:ind w:firstLine="720"/>
        <w:jc w:val="both"/>
        <w:rPr>
          <w:rFonts w:asciiTheme="majorHAnsi" w:hAnsiTheme="majorHAnsi"/>
          <w:b/>
          <w:bCs/>
          <w:sz w:val="20"/>
          <w:szCs w:val="20"/>
          <w:lang w:val="es-ES"/>
        </w:rPr>
      </w:pPr>
      <w:r w:rsidRPr="00C52847">
        <w:rPr>
          <w:rFonts w:asciiTheme="majorHAnsi" w:hAnsiTheme="majorHAnsi"/>
          <w:b/>
          <w:bCs/>
          <w:sz w:val="20"/>
          <w:szCs w:val="20"/>
          <w:lang w:val="es-ES"/>
        </w:rPr>
        <w:lastRenderedPageBreak/>
        <w:t>I.</w:t>
      </w:r>
      <w:r w:rsidRPr="00C5284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C52847"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C52847" w:rsidRDefault="000673D0" w:rsidP="00B46185">
            <w:pPr>
              <w:jc w:val="center"/>
              <w:rPr>
                <w:rFonts w:asciiTheme="majorHAnsi" w:hAnsiTheme="majorHAnsi"/>
                <w:b/>
                <w:bCs/>
                <w:color w:val="FFFFFF" w:themeColor="background1"/>
                <w:sz w:val="20"/>
                <w:szCs w:val="20"/>
              </w:rPr>
            </w:pPr>
            <w:r w:rsidRPr="00C52847">
              <w:rPr>
                <w:rFonts w:asciiTheme="majorHAnsi" w:hAnsiTheme="majorHAnsi"/>
                <w:b/>
                <w:bCs/>
                <w:color w:val="FFFFFF" w:themeColor="background1"/>
                <w:sz w:val="20"/>
                <w:szCs w:val="20"/>
              </w:rPr>
              <w:t>Parte peticionaria:</w:t>
            </w:r>
          </w:p>
        </w:tc>
        <w:tc>
          <w:tcPr>
            <w:tcW w:w="5760" w:type="dxa"/>
            <w:vAlign w:val="center"/>
          </w:tcPr>
          <w:p w14:paraId="5A4F615E" w14:textId="2DAA2E6C" w:rsidR="000673D0" w:rsidRPr="00C52847" w:rsidRDefault="005710B2" w:rsidP="00B46185">
            <w:pPr>
              <w:jc w:val="both"/>
              <w:rPr>
                <w:rFonts w:asciiTheme="majorHAnsi" w:hAnsiTheme="majorHAnsi"/>
                <w:bCs/>
                <w:sz w:val="20"/>
                <w:szCs w:val="20"/>
                <w:lang w:val="es-PA"/>
              </w:rPr>
            </w:pPr>
            <w:r w:rsidRPr="00C52847">
              <w:rPr>
                <w:rFonts w:asciiTheme="majorHAnsi" w:hAnsiTheme="majorHAnsi"/>
                <w:bCs/>
                <w:sz w:val="20"/>
                <w:szCs w:val="20"/>
                <w:lang w:val="es-PA"/>
              </w:rPr>
              <w:t>Anabelly Suyapa Medina Moncada</w:t>
            </w:r>
          </w:p>
        </w:tc>
      </w:tr>
      <w:tr w:rsidR="000673D0" w:rsidRPr="00177E48"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C52847" w:rsidRDefault="00296143"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C52847">
                  <w:rPr>
                    <w:rFonts w:asciiTheme="majorHAnsi" w:hAnsiTheme="majorHAnsi"/>
                    <w:b/>
                    <w:bCs/>
                    <w:color w:val="FFFFFF" w:themeColor="background1"/>
                    <w:sz w:val="20"/>
                    <w:szCs w:val="20"/>
                  </w:rPr>
                  <w:t>Presunta víctima</w:t>
                </w:r>
              </w:sdtContent>
            </w:sdt>
            <w:r w:rsidR="000673D0" w:rsidRPr="00C52847">
              <w:rPr>
                <w:rFonts w:asciiTheme="majorHAnsi" w:hAnsiTheme="majorHAnsi"/>
                <w:b/>
                <w:bCs/>
                <w:color w:val="FFFFFF" w:themeColor="background1"/>
                <w:sz w:val="20"/>
                <w:szCs w:val="20"/>
              </w:rPr>
              <w:t>:</w:t>
            </w:r>
          </w:p>
        </w:tc>
        <w:tc>
          <w:tcPr>
            <w:tcW w:w="5760" w:type="dxa"/>
            <w:vAlign w:val="center"/>
          </w:tcPr>
          <w:p w14:paraId="23FE9BA4" w14:textId="3A5F7A11" w:rsidR="000673D0" w:rsidRPr="00C52847" w:rsidRDefault="005710B2" w:rsidP="00B46622">
            <w:pPr>
              <w:jc w:val="both"/>
              <w:rPr>
                <w:rFonts w:asciiTheme="majorHAnsi" w:hAnsiTheme="majorHAnsi"/>
                <w:bCs/>
                <w:sz w:val="20"/>
                <w:szCs w:val="20"/>
                <w:lang w:val="es-ES"/>
              </w:rPr>
            </w:pPr>
            <w:r w:rsidRPr="00C52847">
              <w:rPr>
                <w:rFonts w:asciiTheme="majorHAnsi" w:hAnsiTheme="majorHAnsi"/>
                <w:bCs/>
                <w:sz w:val="20"/>
                <w:szCs w:val="20"/>
                <w:lang w:val="es-ES"/>
              </w:rPr>
              <w:t>Bessy Xiomara Trejo Figueroa y otr</w:t>
            </w:r>
            <w:r w:rsidR="00C52847" w:rsidRPr="00C52847">
              <w:rPr>
                <w:rFonts w:asciiTheme="majorHAnsi" w:hAnsiTheme="majorHAnsi"/>
                <w:bCs/>
                <w:sz w:val="20"/>
                <w:szCs w:val="20"/>
                <w:lang w:val="es-ES"/>
              </w:rPr>
              <w:t>os</w:t>
            </w:r>
            <w:r w:rsidR="00C52847" w:rsidRPr="00C52847">
              <w:rPr>
                <w:rStyle w:val="FootnoteReference"/>
                <w:rFonts w:asciiTheme="majorHAnsi" w:hAnsiTheme="majorHAnsi"/>
                <w:bCs/>
                <w:sz w:val="20"/>
                <w:szCs w:val="20"/>
                <w:lang w:val="es-ES"/>
              </w:rPr>
              <w:footnoteReference w:id="2"/>
            </w:r>
          </w:p>
        </w:tc>
      </w:tr>
      <w:tr w:rsidR="000673D0" w:rsidRPr="00C5284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C52847" w:rsidRDefault="000673D0" w:rsidP="00B46185">
            <w:pPr>
              <w:jc w:val="center"/>
              <w:rPr>
                <w:rFonts w:asciiTheme="majorHAnsi" w:hAnsiTheme="majorHAnsi"/>
                <w:b/>
                <w:bCs/>
                <w:color w:val="FFFFFF" w:themeColor="background1"/>
                <w:sz w:val="20"/>
                <w:szCs w:val="20"/>
              </w:rPr>
            </w:pPr>
            <w:r w:rsidRPr="00C52847">
              <w:rPr>
                <w:rFonts w:asciiTheme="majorHAnsi" w:hAnsiTheme="majorHAnsi"/>
                <w:b/>
                <w:bCs/>
                <w:color w:val="FFFFFF" w:themeColor="background1"/>
                <w:sz w:val="20"/>
                <w:szCs w:val="20"/>
              </w:rPr>
              <w:t xml:space="preserve">Estado </w:t>
            </w:r>
            <w:proofErr w:type="spellStart"/>
            <w:r w:rsidRPr="00C52847">
              <w:rPr>
                <w:rFonts w:asciiTheme="majorHAnsi" w:hAnsiTheme="majorHAnsi"/>
                <w:b/>
                <w:bCs/>
                <w:color w:val="FFFFFF" w:themeColor="background1"/>
                <w:sz w:val="20"/>
                <w:szCs w:val="20"/>
              </w:rPr>
              <w:t>denunciado</w:t>
            </w:r>
            <w:proofErr w:type="spellEnd"/>
            <w:r w:rsidRPr="00C52847">
              <w:rPr>
                <w:rFonts w:asciiTheme="majorHAnsi" w:hAnsiTheme="majorHAnsi"/>
                <w:b/>
                <w:bCs/>
                <w:color w:val="FFFFFF" w:themeColor="background1"/>
                <w:sz w:val="20"/>
                <w:szCs w:val="20"/>
              </w:rPr>
              <w:t>:</w:t>
            </w:r>
          </w:p>
        </w:tc>
        <w:tc>
          <w:tcPr>
            <w:tcW w:w="5760" w:type="dxa"/>
            <w:vAlign w:val="center"/>
          </w:tcPr>
          <w:p w14:paraId="057DC689" w14:textId="0167B3C9" w:rsidR="000673D0" w:rsidRPr="00C52847" w:rsidRDefault="005710B2" w:rsidP="00B46185">
            <w:pPr>
              <w:jc w:val="both"/>
              <w:rPr>
                <w:rFonts w:asciiTheme="majorHAnsi" w:hAnsiTheme="majorHAnsi"/>
                <w:bCs/>
                <w:sz w:val="20"/>
                <w:szCs w:val="20"/>
              </w:rPr>
            </w:pPr>
            <w:r w:rsidRPr="00C52847">
              <w:rPr>
                <w:rFonts w:asciiTheme="majorHAnsi" w:hAnsiTheme="majorHAnsi"/>
                <w:bCs/>
                <w:sz w:val="20"/>
                <w:szCs w:val="20"/>
              </w:rPr>
              <w:t>Honduras</w:t>
            </w:r>
          </w:p>
        </w:tc>
      </w:tr>
      <w:tr w:rsidR="000673D0" w:rsidRPr="00177E48"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C52847" w:rsidRDefault="000673D0" w:rsidP="00B46185">
            <w:pPr>
              <w:jc w:val="center"/>
              <w:rPr>
                <w:rFonts w:asciiTheme="majorHAnsi" w:hAnsiTheme="majorHAnsi"/>
                <w:b/>
                <w:bCs/>
                <w:color w:val="FFFFFF" w:themeColor="background1"/>
                <w:sz w:val="20"/>
                <w:szCs w:val="20"/>
              </w:rPr>
            </w:pPr>
            <w:r w:rsidRPr="00C52847">
              <w:rPr>
                <w:rFonts w:asciiTheme="majorHAnsi" w:hAnsiTheme="majorHAnsi"/>
                <w:b/>
                <w:bCs/>
                <w:color w:val="FFFFFF" w:themeColor="background1"/>
                <w:sz w:val="20"/>
                <w:szCs w:val="20"/>
              </w:rPr>
              <w:t>Derechos invocados:</w:t>
            </w:r>
          </w:p>
        </w:tc>
        <w:tc>
          <w:tcPr>
            <w:tcW w:w="5760" w:type="dxa"/>
            <w:vAlign w:val="center"/>
          </w:tcPr>
          <w:p w14:paraId="4E238173" w14:textId="107B07AE" w:rsidR="000673D0" w:rsidRPr="00F34CA6" w:rsidRDefault="00F308F1" w:rsidP="0053201A">
            <w:pPr>
              <w:jc w:val="both"/>
              <w:rPr>
                <w:rFonts w:asciiTheme="majorHAnsi" w:hAnsiTheme="majorHAnsi"/>
                <w:bCs/>
                <w:sz w:val="19"/>
                <w:szCs w:val="19"/>
                <w:lang w:val="es-PA"/>
              </w:rPr>
            </w:pPr>
            <w:r w:rsidRPr="00F34CA6">
              <w:rPr>
                <w:rFonts w:asciiTheme="majorHAnsi" w:hAnsiTheme="majorHAnsi"/>
                <w:bCs/>
                <w:sz w:val="19"/>
                <w:szCs w:val="19"/>
                <w:lang w:val="es-PA"/>
              </w:rPr>
              <w:t xml:space="preserve">Artículos </w:t>
            </w:r>
            <w:r w:rsidR="009C100E" w:rsidRPr="00F34CA6">
              <w:rPr>
                <w:rFonts w:asciiTheme="majorHAnsi" w:hAnsiTheme="majorHAnsi"/>
                <w:bCs/>
                <w:sz w:val="19"/>
                <w:szCs w:val="19"/>
                <w:lang w:val="es-PA"/>
              </w:rPr>
              <w:t>8 (garantías judiciales), 24 (igualdad ante la ley), 25 (protección judicial) y 26 (derechos económicos, sociales y culturales) de la Convención Americana sobre Derechos Humanos</w:t>
            </w:r>
            <w:r w:rsidR="009C100E" w:rsidRPr="00F34CA6">
              <w:rPr>
                <w:rStyle w:val="FootnoteReference"/>
                <w:rFonts w:asciiTheme="majorHAnsi" w:hAnsiTheme="majorHAnsi"/>
                <w:bCs/>
                <w:sz w:val="19"/>
                <w:szCs w:val="19"/>
                <w:lang w:val="es-PA"/>
              </w:rPr>
              <w:footnoteReference w:id="3"/>
            </w:r>
            <w:r w:rsidR="00E30ED1" w:rsidRPr="00F34CA6">
              <w:rPr>
                <w:rFonts w:asciiTheme="majorHAnsi" w:hAnsiTheme="majorHAnsi"/>
                <w:bCs/>
                <w:sz w:val="19"/>
                <w:szCs w:val="19"/>
                <w:lang w:val="es-PA"/>
              </w:rPr>
              <w:t>;</w:t>
            </w:r>
            <w:r w:rsidR="003602F2" w:rsidRPr="00F34CA6">
              <w:rPr>
                <w:rFonts w:asciiTheme="majorHAnsi" w:hAnsiTheme="majorHAnsi"/>
                <w:bCs/>
                <w:sz w:val="19"/>
                <w:szCs w:val="19"/>
                <w:lang w:val="es-PA"/>
              </w:rPr>
              <w:t xml:space="preserve"> Artículos II (igualdad ante la ley), XIV (trabajo y justa retribución), XVIII (justicia), XXII (asociación) y XXIV (petición) de la Declaración Americana de Derechos y Deberes del Hombre</w:t>
            </w:r>
            <w:r w:rsidR="000839D6" w:rsidRPr="00F34CA6">
              <w:rPr>
                <w:rFonts w:asciiTheme="majorHAnsi" w:hAnsiTheme="majorHAnsi"/>
                <w:bCs/>
                <w:sz w:val="19"/>
                <w:szCs w:val="19"/>
                <w:lang w:val="es-PA"/>
              </w:rPr>
              <w:t>;</w:t>
            </w:r>
            <w:r w:rsidR="003602F2" w:rsidRPr="00F34CA6">
              <w:rPr>
                <w:rStyle w:val="FootnoteReference"/>
                <w:rFonts w:asciiTheme="majorHAnsi" w:hAnsiTheme="majorHAnsi"/>
                <w:bCs/>
                <w:sz w:val="19"/>
                <w:szCs w:val="19"/>
                <w:lang w:val="es-PA"/>
              </w:rPr>
              <w:footnoteReference w:id="4"/>
            </w:r>
            <w:r w:rsidR="000839D6" w:rsidRPr="00F34CA6">
              <w:rPr>
                <w:rFonts w:asciiTheme="majorHAnsi" w:hAnsiTheme="majorHAnsi"/>
                <w:bCs/>
                <w:sz w:val="19"/>
                <w:szCs w:val="19"/>
                <w:lang w:val="es-PA"/>
              </w:rPr>
              <w:t xml:space="preserve"> y artículos 2, 3, 4 y 7 del Protocolo Adicional a la Convención Americana </w:t>
            </w:r>
            <w:r w:rsidR="00E30ED1" w:rsidRPr="00F34CA6">
              <w:rPr>
                <w:rFonts w:asciiTheme="majorHAnsi" w:hAnsiTheme="majorHAnsi"/>
                <w:bCs/>
                <w:sz w:val="19"/>
                <w:szCs w:val="19"/>
                <w:lang w:val="es-PA"/>
              </w:rPr>
              <w:t>s</w:t>
            </w:r>
            <w:r w:rsidR="000839D6" w:rsidRPr="00F34CA6">
              <w:rPr>
                <w:rFonts w:asciiTheme="majorHAnsi" w:hAnsiTheme="majorHAnsi"/>
                <w:bCs/>
                <w:sz w:val="19"/>
                <w:szCs w:val="19"/>
                <w:lang w:val="es-PA"/>
              </w:rPr>
              <w:t>obre Derechos Humanos en materia de Derechos Económicos, Sociales y Culturales</w:t>
            </w:r>
            <w:r w:rsidR="00C52847" w:rsidRPr="00F34CA6">
              <w:rPr>
                <w:rFonts w:asciiTheme="majorHAnsi" w:hAnsiTheme="majorHAnsi"/>
                <w:bCs/>
                <w:sz w:val="19"/>
                <w:szCs w:val="19"/>
                <w:lang w:val="es-PA"/>
              </w:rPr>
              <w:t xml:space="preserve"> (Protocolo de San Salvador)</w:t>
            </w:r>
          </w:p>
        </w:tc>
      </w:tr>
    </w:tbl>
    <w:p w14:paraId="3D195461" w14:textId="77777777" w:rsidR="000673D0" w:rsidRPr="00C52847" w:rsidRDefault="000673D0" w:rsidP="000673D0">
      <w:pPr>
        <w:spacing w:before="240" w:after="240"/>
        <w:ind w:firstLine="720"/>
        <w:jc w:val="both"/>
        <w:rPr>
          <w:rFonts w:asciiTheme="majorHAnsi" w:hAnsiTheme="majorHAnsi"/>
          <w:b/>
          <w:bCs/>
          <w:sz w:val="20"/>
          <w:szCs w:val="20"/>
          <w:lang w:val="es-ES"/>
        </w:rPr>
      </w:pPr>
      <w:r w:rsidRPr="00C52847">
        <w:rPr>
          <w:rFonts w:asciiTheme="majorHAnsi" w:hAnsiTheme="majorHAnsi"/>
          <w:b/>
          <w:bCs/>
          <w:sz w:val="20"/>
          <w:szCs w:val="20"/>
          <w:lang w:val="es-ES"/>
        </w:rPr>
        <w:t>II.</w:t>
      </w:r>
      <w:r w:rsidRPr="00C52847">
        <w:rPr>
          <w:rFonts w:asciiTheme="majorHAnsi" w:hAnsiTheme="majorHAnsi"/>
          <w:b/>
          <w:bCs/>
          <w:sz w:val="20"/>
          <w:szCs w:val="20"/>
          <w:lang w:val="es-ES"/>
        </w:rPr>
        <w:tab/>
        <w:t>TRÁMITE ANTE LA CIDH</w:t>
      </w:r>
      <w:r w:rsidRPr="00C52847">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C5284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C52847" w:rsidRDefault="000673D0" w:rsidP="00B46185">
            <w:pPr>
              <w:jc w:val="center"/>
              <w:rPr>
                <w:rFonts w:asciiTheme="majorHAnsi" w:hAnsiTheme="majorHAnsi"/>
                <w:b/>
                <w:bCs/>
                <w:color w:val="FFFFFF" w:themeColor="background1"/>
                <w:sz w:val="20"/>
                <w:szCs w:val="20"/>
                <w:lang w:val="es-ES"/>
              </w:rPr>
            </w:pPr>
            <w:r w:rsidRPr="00C52847">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52B4C3E3" w:rsidR="000673D0" w:rsidRPr="00C52847" w:rsidRDefault="009C100E" w:rsidP="006C3525">
            <w:pPr>
              <w:jc w:val="both"/>
              <w:rPr>
                <w:rFonts w:asciiTheme="majorHAnsi" w:hAnsiTheme="majorHAnsi"/>
                <w:bCs/>
                <w:sz w:val="20"/>
                <w:szCs w:val="20"/>
                <w:lang w:val="es-ES"/>
              </w:rPr>
            </w:pPr>
            <w:r w:rsidRPr="00C52847">
              <w:rPr>
                <w:rFonts w:asciiTheme="majorHAnsi" w:hAnsiTheme="majorHAnsi"/>
                <w:bCs/>
                <w:sz w:val="20"/>
                <w:szCs w:val="20"/>
                <w:lang w:val="es-ES"/>
              </w:rPr>
              <w:t>31 de octubre de 2014</w:t>
            </w:r>
          </w:p>
        </w:tc>
      </w:tr>
      <w:tr w:rsidR="00B46622" w:rsidRPr="00177E48" w14:paraId="14985B88" w14:textId="77777777" w:rsidTr="0053201A">
        <w:trPr>
          <w:trHeight w:val="300"/>
        </w:trPr>
        <w:tc>
          <w:tcPr>
            <w:tcW w:w="3600" w:type="dxa"/>
            <w:tcBorders>
              <w:top w:val="single" w:sz="6" w:space="0" w:color="auto"/>
              <w:bottom w:val="single" w:sz="6" w:space="0" w:color="auto"/>
            </w:tcBorders>
            <w:shd w:val="clear" w:color="auto" w:fill="386294"/>
            <w:vAlign w:val="center"/>
          </w:tcPr>
          <w:p w14:paraId="40A01D1D" w14:textId="263AE6BD" w:rsidR="00B46622" w:rsidRPr="00C52847" w:rsidRDefault="00B46622" w:rsidP="00B46185">
            <w:pPr>
              <w:jc w:val="center"/>
              <w:rPr>
                <w:rFonts w:asciiTheme="majorHAnsi" w:hAnsiTheme="majorHAnsi"/>
                <w:b/>
                <w:bCs/>
                <w:color w:val="FFFFFF" w:themeColor="background1"/>
                <w:sz w:val="20"/>
                <w:szCs w:val="20"/>
                <w:lang w:val="es-ES"/>
              </w:rPr>
            </w:pPr>
            <w:r w:rsidRPr="00C52847">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5989C005" w14:textId="5AE24A6B" w:rsidR="00B46622" w:rsidRPr="00C52847" w:rsidRDefault="009C100E" w:rsidP="006C3525">
            <w:pPr>
              <w:jc w:val="both"/>
              <w:rPr>
                <w:rFonts w:asciiTheme="majorHAnsi" w:hAnsiTheme="majorHAnsi"/>
                <w:bCs/>
                <w:sz w:val="20"/>
                <w:szCs w:val="20"/>
                <w:lang w:val="es-ES"/>
              </w:rPr>
            </w:pPr>
            <w:r w:rsidRPr="00C52847">
              <w:rPr>
                <w:rFonts w:asciiTheme="majorHAnsi" w:hAnsiTheme="majorHAnsi"/>
                <w:bCs/>
                <w:sz w:val="20"/>
                <w:szCs w:val="20"/>
                <w:lang w:val="es-ES"/>
              </w:rPr>
              <w:t>25 de febrero de 2015; 18 de febrero</w:t>
            </w:r>
            <w:r w:rsidR="001E79BA" w:rsidRPr="00C52847">
              <w:rPr>
                <w:rFonts w:asciiTheme="majorHAnsi" w:hAnsiTheme="majorHAnsi"/>
                <w:bCs/>
                <w:sz w:val="20"/>
                <w:szCs w:val="20"/>
                <w:lang w:val="es-ES"/>
              </w:rPr>
              <w:t xml:space="preserve"> y 13 de junio</w:t>
            </w:r>
            <w:r w:rsidRPr="00C52847">
              <w:rPr>
                <w:rFonts w:asciiTheme="majorHAnsi" w:hAnsiTheme="majorHAnsi"/>
                <w:bCs/>
                <w:sz w:val="20"/>
                <w:szCs w:val="20"/>
                <w:lang w:val="es-ES"/>
              </w:rPr>
              <w:t xml:space="preserve"> de 2016</w:t>
            </w:r>
            <w:r w:rsidR="001E79BA" w:rsidRPr="00C52847">
              <w:rPr>
                <w:rFonts w:asciiTheme="majorHAnsi" w:hAnsiTheme="majorHAnsi"/>
                <w:bCs/>
                <w:sz w:val="20"/>
                <w:szCs w:val="20"/>
                <w:lang w:val="es-ES"/>
              </w:rPr>
              <w:t xml:space="preserve"> y 10 de octubre de 2017</w:t>
            </w:r>
          </w:p>
        </w:tc>
      </w:tr>
      <w:tr w:rsidR="000673D0" w:rsidRPr="00C5284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C52847" w:rsidRDefault="000673D0" w:rsidP="00B46185">
            <w:pPr>
              <w:jc w:val="center"/>
              <w:rPr>
                <w:rFonts w:asciiTheme="majorHAnsi" w:hAnsiTheme="majorHAnsi"/>
                <w:b/>
                <w:bCs/>
                <w:color w:val="FFFFFF" w:themeColor="background1"/>
                <w:sz w:val="20"/>
                <w:szCs w:val="20"/>
                <w:lang w:val="es-ES"/>
              </w:rPr>
            </w:pPr>
            <w:r w:rsidRPr="00C52847">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6D819526" w:rsidR="000673D0" w:rsidRPr="00C52847" w:rsidRDefault="001E79BA" w:rsidP="006C3525">
            <w:pPr>
              <w:jc w:val="both"/>
              <w:rPr>
                <w:rFonts w:asciiTheme="majorHAnsi" w:hAnsiTheme="majorHAnsi"/>
                <w:bCs/>
                <w:sz w:val="20"/>
                <w:szCs w:val="20"/>
                <w:lang w:val="es-ES"/>
              </w:rPr>
            </w:pPr>
            <w:r w:rsidRPr="00C52847">
              <w:rPr>
                <w:rFonts w:asciiTheme="majorHAnsi" w:hAnsiTheme="majorHAnsi"/>
                <w:bCs/>
                <w:sz w:val="20"/>
                <w:szCs w:val="20"/>
                <w:lang w:val="es-ES"/>
              </w:rPr>
              <w:t>22 de julio de 2019</w:t>
            </w:r>
          </w:p>
        </w:tc>
      </w:tr>
      <w:tr w:rsidR="000673D0" w:rsidRPr="00C5284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C52847" w:rsidRDefault="000673D0" w:rsidP="00B46185">
            <w:pPr>
              <w:jc w:val="center"/>
              <w:rPr>
                <w:rFonts w:asciiTheme="majorHAnsi" w:hAnsiTheme="majorHAnsi"/>
                <w:b/>
                <w:bCs/>
                <w:color w:val="FFFFFF" w:themeColor="background1"/>
                <w:sz w:val="20"/>
                <w:szCs w:val="20"/>
                <w:lang w:val="es-ES"/>
              </w:rPr>
            </w:pPr>
            <w:r w:rsidRPr="00C52847">
              <w:rPr>
                <w:rFonts w:asciiTheme="majorHAnsi" w:hAnsiTheme="majorHAnsi"/>
                <w:b/>
                <w:color w:val="FFFFFF" w:themeColor="background1"/>
                <w:sz w:val="20"/>
                <w:szCs w:val="20"/>
                <w:lang w:val="es-ES"/>
              </w:rPr>
              <w:t>Primera respuesta del Estado:</w:t>
            </w:r>
          </w:p>
        </w:tc>
        <w:tc>
          <w:tcPr>
            <w:tcW w:w="5760" w:type="dxa"/>
            <w:vAlign w:val="center"/>
          </w:tcPr>
          <w:p w14:paraId="62EA084B" w14:textId="1153DB3C" w:rsidR="000673D0" w:rsidRPr="00C52847" w:rsidRDefault="001E79BA" w:rsidP="006C3525">
            <w:pPr>
              <w:jc w:val="both"/>
              <w:rPr>
                <w:rFonts w:asciiTheme="majorHAnsi" w:hAnsiTheme="majorHAnsi"/>
                <w:bCs/>
                <w:sz w:val="20"/>
                <w:szCs w:val="20"/>
                <w:lang w:val="es-ES"/>
              </w:rPr>
            </w:pPr>
            <w:r w:rsidRPr="00C52847">
              <w:rPr>
                <w:rFonts w:asciiTheme="majorHAnsi" w:hAnsiTheme="majorHAnsi"/>
                <w:bCs/>
                <w:sz w:val="20"/>
                <w:szCs w:val="20"/>
                <w:lang w:val="es-ES"/>
              </w:rPr>
              <w:t>23 de octubre de 2019</w:t>
            </w:r>
          </w:p>
        </w:tc>
      </w:tr>
      <w:tr w:rsidR="0096697B" w:rsidRPr="00177E48" w14:paraId="5B03CD16" w14:textId="77777777" w:rsidTr="00E30ED1">
        <w:trPr>
          <w:trHeight w:val="444"/>
        </w:trPr>
        <w:tc>
          <w:tcPr>
            <w:tcW w:w="3600" w:type="dxa"/>
            <w:tcBorders>
              <w:top w:val="single" w:sz="6" w:space="0" w:color="auto"/>
              <w:bottom w:val="single" w:sz="6" w:space="0" w:color="auto"/>
            </w:tcBorders>
            <w:shd w:val="clear" w:color="auto" w:fill="386294"/>
            <w:vAlign w:val="center"/>
          </w:tcPr>
          <w:p w14:paraId="61819B75" w14:textId="749FEB2C" w:rsidR="0096697B" w:rsidRPr="00C52847" w:rsidRDefault="0096697B" w:rsidP="00B46185">
            <w:pPr>
              <w:jc w:val="center"/>
              <w:rPr>
                <w:rFonts w:asciiTheme="majorHAnsi" w:hAnsiTheme="majorHAnsi"/>
                <w:b/>
                <w:color w:val="FFFFFF" w:themeColor="background1"/>
                <w:sz w:val="20"/>
                <w:szCs w:val="20"/>
                <w:lang w:val="es-ES"/>
              </w:rPr>
            </w:pPr>
            <w:r w:rsidRPr="00C52847">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435B23E" w14:textId="64E32138" w:rsidR="0096697B" w:rsidRPr="00C52847" w:rsidRDefault="005A332A" w:rsidP="006C3525">
            <w:pPr>
              <w:jc w:val="both"/>
              <w:rPr>
                <w:rFonts w:asciiTheme="majorHAnsi" w:hAnsiTheme="majorHAnsi"/>
                <w:bCs/>
                <w:sz w:val="20"/>
                <w:szCs w:val="20"/>
                <w:lang w:val="es-ES"/>
              </w:rPr>
            </w:pPr>
            <w:r w:rsidRPr="00C52847">
              <w:rPr>
                <w:rFonts w:asciiTheme="majorHAnsi" w:hAnsiTheme="majorHAnsi"/>
                <w:bCs/>
                <w:sz w:val="20"/>
                <w:szCs w:val="20"/>
                <w:lang w:val="es-ES"/>
              </w:rPr>
              <w:t xml:space="preserve">14 de diciembre de </w:t>
            </w:r>
            <w:proofErr w:type="gramStart"/>
            <w:r w:rsidRPr="00C52847">
              <w:rPr>
                <w:rFonts w:asciiTheme="majorHAnsi" w:hAnsiTheme="majorHAnsi"/>
                <w:bCs/>
                <w:sz w:val="20"/>
                <w:szCs w:val="20"/>
                <w:lang w:val="es-ES"/>
              </w:rPr>
              <w:t>2020</w:t>
            </w:r>
            <w:r w:rsidR="0030535D" w:rsidRPr="00C52847">
              <w:rPr>
                <w:rFonts w:asciiTheme="majorHAnsi" w:hAnsiTheme="majorHAnsi"/>
                <w:bCs/>
                <w:sz w:val="20"/>
                <w:szCs w:val="20"/>
                <w:lang w:val="es-ES"/>
              </w:rPr>
              <w:t xml:space="preserve"> </w:t>
            </w:r>
            <w:r w:rsidR="00C972A4">
              <w:rPr>
                <w:rFonts w:asciiTheme="majorHAnsi" w:hAnsiTheme="majorHAnsi"/>
                <w:bCs/>
                <w:sz w:val="20"/>
                <w:szCs w:val="20"/>
                <w:lang w:val="es-ES"/>
              </w:rPr>
              <w:t xml:space="preserve"> y</w:t>
            </w:r>
            <w:proofErr w:type="gramEnd"/>
            <w:r w:rsidR="00C972A4">
              <w:rPr>
                <w:rFonts w:asciiTheme="majorHAnsi" w:hAnsiTheme="majorHAnsi"/>
                <w:bCs/>
                <w:sz w:val="20"/>
                <w:szCs w:val="20"/>
                <w:lang w:val="es-ES"/>
              </w:rPr>
              <w:t xml:space="preserve"> 18 de octubre de 2021</w:t>
            </w:r>
          </w:p>
        </w:tc>
      </w:tr>
      <w:tr w:rsidR="001E79BA" w:rsidRPr="00177E48" w14:paraId="296B8F93" w14:textId="77777777" w:rsidTr="00E30ED1">
        <w:trPr>
          <w:trHeight w:val="444"/>
        </w:trPr>
        <w:tc>
          <w:tcPr>
            <w:tcW w:w="3600" w:type="dxa"/>
            <w:tcBorders>
              <w:top w:val="single" w:sz="6" w:space="0" w:color="auto"/>
              <w:bottom w:val="single" w:sz="6" w:space="0" w:color="auto"/>
            </w:tcBorders>
            <w:shd w:val="clear" w:color="auto" w:fill="386294"/>
            <w:vAlign w:val="center"/>
          </w:tcPr>
          <w:p w14:paraId="4E4458BD" w14:textId="1566AF3E" w:rsidR="001E79BA" w:rsidRPr="00C52847" w:rsidRDefault="001E79BA" w:rsidP="00B46185">
            <w:pPr>
              <w:jc w:val="center"/>
              <w:rPr>
                <w:rFonts w:asciiTheme="majorHAnsi" w:hAnsiTheme="majorHAnsi"/>
                <w:b/>
                <w:bCs/>
                <w:color w:val="FFFFFF" w:themeColor="background1"/>
                <w:sz w:val="20"/>
                <w:szCs w:val="20"/>
                <w:lang w:val="es-ES"/>
              </w:rPr>
            </w:pPr>
            <w:r w:rsidRPr="00C52847">
              <w:rPr>
                <w:rFonts w:asciiTheme="majorHAnsi" w:hAnsiTheme="majorHAnsi"/>
                <w:b/>
                <w:bCs/>
                <w:color w:val="FFFFFF" w:themeColor="background1"/>
                <w:sz w:val="20"/>
                <w:szCs w:val="20"/>
                <w:lang w:val="es-ES"/>
              </w:rPr>
              <w:t>Observaciones adicionales del Estado</w:t>
            </w:r>
          </w:p>
        </w:tc>
        <w:tc>
          <w:tcPr>
            <w:tcW w:w="5760" w:type="dxa"/>
            <w:vAlign w:val="center"/>
          </w:tcPr>
          <w:p w14:paraId="2F0D39B5" w14:textId="555B1BBA" w:rsidR="001E79BA" w:rsidRPr="00C52847" w:rsidRDefault="001E79BA" w:rsidP="006C3525">
            <w:pPr>
              <w:jc w:val="both"/>
              <w:rPr>
                <w:rFonts w:asciiTheme="majorHAnsi" w:hAnsiTheme="majorHAnsi"/>
                <w:bCs/>
                <w:sz w:val="20"/>
                <w:szCs w:val="20"/>
                <w:lang w:val="es-ES"/>
              </w:rPr>
            </w:pPr>
            <w:r w:rsidRPr="00C52847">
              <w:rPr>
                <w:rFonts w:asciiTheme="majorHAnsi" w:hAnsiTheme="majorHAnsi"/>
                <w:bCs/>
                <w:sz w:val="20"/>
                <w:szCs w:val="20"/>
                <w:lang w:val="es-ES"/>
              </w:rPr>
              <w:t>5 de noviembre de 2019</w:t>
            </w:r>
            <w:r w:rsidR="005A332A" w:rsidRPr="00C52847">
              <w:rPr>
                <w:rFonts w:asciiTheme="majorHAnsi" w:hAnsiTheme="majorHAnsi"/>
                <w:bCs/>
                <w:sz w:val="20"/>
                <w:szCs w:val="20"/>
                <w:lang w:val="es-ES"/>
              </w:rPr>
              <w:t xml:space="preserve"> y 26 de marzo de 2021</w:t>
            </w:r>
          </w:p>
        </w:tc>
      </w:tr>
    </w:tbl>
    <w:p w14:paraId="738616C2" w14:textId="77777777" w:rsidR="000673D0" w:rsidRPr="00C52847" w:rsidRDefault="000673D0" w:rsidP="000673D0">
      <w:pPr>
        <w:spacing w:before="240" w:after="240"/>
        <w:ind w:firstLine="720"/>
        <w:jc w:val="both"/>
        <w:rPr>
          <w:rFonts w:asciiTheme="majorHAnsi" w:hAnsiTheme="majorHAnsi"/>
          <w:b/>
          <w:bCs/>
          <w:sz w:val="20"/>
          <w:szCs w:val="20"/>
          <w:lang w:val="es-ES"/>
        </w:rPr>
      </w:pPr>
      <w:r w:rsidRPr="00C52847">
        <w:rPr>
          <w:rFonts w:asciiTheme="majorHAnsi" w:hAnsiTheme="majorHAnsi"/>
          <w:b/>
          <w:bCs/>
          <w:sz w:val="20"/>
          <w:szCs w:val="20"/>
          <w:lang w:val="es-ES"/>
        </w:rPr>
        <w:t xml:space="preserve">III. </w:t>
      </w:r>
      <w:r w:rsidRPr="00C52847">
        <w:rPr>
          <w:rFonts w:asciiTheme="majorHAnsi" w:hAnsiTheme="majorHAnsi"/>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C52847" w14:paraId="3225DD29" w14:textId="77777777" w:rsidTr="00C52847">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C52847" w:rsidRDefault="000673D0" w:rsidP="00B46185">
            <w:pPr>
              <w:jc w:val="center"/>
              <w:rPr>
                <w:rFonts w:asciiTheme="majorHAnsi" w:hAnsiTheme="majorHAnsi"/>
                <w:b/>
                <w:bCs/>
                <w:i/>
                <w:color w:val="FFFFFF" w:themeColor="background1"/>
                <w:sz w:val="20"/>
                <w:szCs w:val="20"/>
              </w:rPr>
            </w:pPr>
            <w:r w:rsidRPr="00C52847">
              <w:rPr>
                <w:rFonts w:asciiTheme="majorHAnsi" w:hAnsiTheme="majorHAnsi"/>
                <w:b/>
                <w:bCs/>
                <w:color w:val="FFFFFF" w:themeColor="background1"/>
                <w:sz w:val="20"/>
                <w:szCs w:val="20"/>
              </w:rPr>
              <w:t>Competencia</w:t>
            </w:r>
            <w:r w:rsidRPr="00C52847">
              <w:rPr>
                <w:rFonts w:asciiTheme="majorHAnsi" w:hAnsiTheme="majorHAnsi"/>
                <w:b/>
                <w:bCs/>
                <w:i/>
                <w:color w:val="FFFFFF" w:themeColor="background1"/>
                <w:sz w:val="20"/>
                <w:szCs w:val="20"/>
              </w:rPr>
              <w:t xml:space="preserve"> Ratione personae:</w:t>
            </w:r>
          </w:p>
        </w:tc>
        <w:tc>
          <w:tcPr>
            <w:tcW w:w="5776" w:type="dxa"/>
            <w:vAlign w:val="center"/>
          </w:tcPr>
          <w:p w14:paraId="55AEE8CD" w14:textId="77777777" w:rsidR="000673D0" w:rsidRPr="00C52847" w:rsidRDefault="000673D0" w:rsidP="00B46185">
            <w:pPr>
              <w:rPr>
                <w:rFonts w:asciiTheme="majorHAnsi" w:hAnsiTheme="majorHAnsi"/>
                <w:bCs/>
                <w:sz w:val="20"/>
                <w:szCs w:val="20"/>
              </w:rPr>
            </w:pPr>
            <w:r w:rsidRPr="00C52847">
              <w:rPr>
                <w:rFonts w:asciiTheme="majorHAnsi" w:hAnsiTheme="majorHAnsi"/>
                <w:bCs/>
                <w:sz w:val="20"/>
                <w:szCs w:val="20"/>
              </w:rPr>
              <w:t>Sí</w:t>
            </w:r>
          </w:p>
        </w:tc>
      </w:tr>
      <w:tr w:rsidR="000673D0" w:rsidRPr="00C52847" w14:paraId="10BCE6F2" w14:textId="77777777" w:rsidTr="00C52847">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C52847" w:rsidRDefault="000673D0" w:rsidP="00B46185">
            <w:pPr>
              <w:jc w:val="center"/>
              <w:rPr>
                <w:rFonts w:asciiTheme="majorHAnsi" w:hAnsiTheme="majorHAnsi"/>
                <w:b/>
                <w:bCs/>
                <w:color w:val="FFFFFF" w:themeColor="background1"/>
                <w:sz w:val="20"/>
                <w:szCs w:val="20"/>
              </w:rPr>
            </w:pPr>
            <w:r w:rsidRPr="00C52847">
              <w:rPr>
                <w:rFonts w:asciiTheme="majorHAnsi" w:hAnsiTheme="majorHAnsi"/>
                <w:b/>
                <w:bCs/>
                <w:color w:val="FFFFFF" w:themeColor="background1"/>
                <w:sz w:val="20"/>
                <w:szCs w:val="20"/>
              </w:rPr>
              <w:t>Competencia</w:t>
            </w:r>
            <w:r w:rsidRPr="00C52847">
              <w:rPr>
                <w:rFonts w:asciiTheme="majorHAnsi" w:hAnsiTheme="majorHAnsi"/>
                <w:b/>
                <w:bCs/>
                <w:i/>
                <w:color w:val="FFFFFF" w:themeColor="background1"/>
                <w:sz w:val="20"/>
                <w:szCs w:val="20"/>
              </w:rPr>
              <w:t xml:space="preserve"> Ratione loci</w:t>
            </w:r>
            <w:r w:rsidRPr="00C52847">
              <w:rPr>
                <w:rFonts w:asciiTheme="majorHAnsi" w:hAnsiTheme="majorHAnsi"/>
                <w:b/>
                <w:bCs/>
                <w:color w:val="FFFFFF" w:themeColor="background1"/>
                <w:sz w:val="20"/>
                <w:szCs w:val="20"/>
              </w:rPr>
              <w:t>:</w:t>
            </w:r>
          </w:p>
        </w:tc>
        <w:tc>
          <w:tcPr>
            <w:tcW w:w="5776" w:type="dxa"/>
            <w:vAlign w:val="center"/>
          </w:tcPr>
          <w:p w14:paraId="77DDBD87" w14:textId="77777777" w:rsidR="000673D0" w:rsidRPr="00C52847" w:rsidRDefault="000673D0" w:rsidP="00B46185">
            <w:pPr>
              <w:rPr>
                <w:rFonts w:asciiTheme="majorHAnsi" w:hAnsiTheme="majorHAnsi"/>
                <w:bCs/>
                <w:sz w:val="20"/>
                <w:szCs w:val="20"/>
              </w:rPr>
            </w:pPr>
            <w:r w:rsidRPr="00C52847">
              <w:rPr>
                <w:rFonts w:asciiTheme="majorHAnsi" w:hAnsiTheme="majorHAnsi"/>
                <w:bCs/>
                <w:sz w:val="20"/>
                <w:szCs w:val="20"/>
              </w:rPr>
              <w:t>Sí</w:t>
            </w:r>
          </w:p>
        </w:tc>
      </w:tr>
      <w:tr w:rsidR="000673D0" w:rsidRPr="00C52847" w14:paraId="351D9A06" w14:textId="77777777" w:rsidTr="00C52847">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C52847" w:rsidRDefault="000673D0" w:rsidP="00B46185">
            <w:pPr>
              <w:jc w:val="center"/>
              <w:rPr>
                <w:rFonts w:asciiTheme="majorHAnsi" w:hAnsiTheme="majorHAnsi"/>
                <w:b/>
                <w:bCs/>
                <w:color w:val="FFFFFF" w:themeColor="background1"/>
                <w:sz w:val="20"/>
                <w:szCs w:val="20"/>
              </w:rPr>
            </w:pPr>
            <w:r w:rsidRPr="00C52847">
              <w:rPr>
                <w:rFonts w:asciiTheme="majorHAnsi" w:hAnsiTheme="majorHAnsi"/>
                <w:b/>
                <w:bCs/>
                <w:color w:val="FFFFFF" w:themeColor="background1"/>
                <w:sz w:val="20"/>
                <w:szCs w:val="20"/>
              </w:rPr>
              <w:t>Competencia</w:t>
            </w:r>
            <w:r w:rsidRPr="00C52847">
              <w:rPr>
                <w:rFonts w:asciiTheme="majorHAnsi" w:hAnsiTheme="majorHAnsi"/>
                <w:b/>
                <w:bCs/>
                <w:i/>
                <w:color w:val="FFFFFF" w:themeColor="background1"/>
                <w:sz w:val="20"/>
                <w:szCs w:val="20"/>
              </w:rPr>
              <w:t xml:space="preserve"> Ratione temporis</w:t>
            </w:r>
            <w:r w:rsidRPr="00C52847">
              <w:rPr>
                <w:rFonts w:asciiTheme="majorHAnsi" w:hAnsiTheme="majorHAnsi"/>
                <w:b/>
                <w:bCs/>
                <w:color w:val="FFFFFF" w:themeColor="background1"/>
                <w:sz w:val="20"/>
                <w:szCs w:val="20"/>
              </w:rPr>
              <w:t>:</w:t>
            </w:r>
          </w:p>
        </w:tc>
        <w:tc>
          <w:tcPr>
            <w:tcW w:w="5776" w:type="dxa"/>
            <w:vAlign w:val="center"/>
          </w:tcPr>
          <w:p w14:paraId="76910945" w14:textId="7047B25C" w:rsidR="000673D0" w:rsidRPr="00C52847" w:rsidRDefault="000673D0" w:rsidP="00CF41C4">
            <w:pPr>
              <w:rPr>
                <w:rFonts w:asciiTheme="majorHAnsi" w:hAnsiTheme="majorHAnsi"/>
                <w:bCs/>
                <w:sz w:val="20"/>
                <w:szCs w:val="20"/>
                <w:lang w:val="es-PA"/>
              </w:rPr>
            </w:pPr>
            <w:r w:rsidRPr="00C52847">
              <w:rPr>
                <w:rFonts w:asciiTheme="majorHAnsi" w:hAnsiTheme="majorHAnsi"/>
                <w:bCs/>
                <w:sz w:val="20"/>
                <w:szCs w:val="20"/>
                <w:lang w:val="es-PA"/>
              </w:rPr>
              <w:t>Sí</w:t>
            </w:r>
            <w:r w:rsidR="009C6CB7" w:rsidRPr="00C52847">
              <w:rPr>
                <w:rFonts w:asciiTheme="majorHAnsi" w:hAnsiTheme="majorHAnsi"/>
                <w:bCs/>
                <w:sz w:val="20"/>
                <w:szCs w:val="20"/>
                <w:lang w:val="es-PA"/>
              </w:rPr>
              <w:t xml:space="preserve">, </w:t>
            </w:r>
            <w:r w:rsidR="009C6CB7" w:rsidRPr="00C52847">
              <w:rPr>
                <w:rFonts w:asciiTheme="majorHAnsi" w:hAnsiTheme="majorHAnsi"/>
                <w:sz w:val="20"/>
                <w:szCs w:val="20"/>
                <w:lang w:val="es-PA"/>
              </w:rPr>
              <w:t>Convención Americana</w:t>
            </w:r>
            <w:r w:rsidR="0030535D" w:rsidRPr="00C52847">
              <w:rPr>
                <w:rFonts w:asciiTheme="majorHAnsi" w:hAnsiTheme="majorHAnsi"/>
                <w:sz w:val="20"/>
                <w:szCs w:val="20"/>
                <w:lang w:val="es-PA"/>
              </w:rPr>
              <w:t xml:space="preserve"> </w:t>
            </w:r>
          </w:p>
        </w:tc>
      </w:tr>
      <w:tr w:rsidR="000673D0" w:rsidRPr="00177E48" w14:paraId="160B34C2" w14:textId="77777777" w:rsidTr="00C52847">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C52847" w:rsidRDefault="000673D0" w:rsidP="00B46185">
            <w:pPr>
              <w:jc w:val="center"/>
              <w:rPr>
                <w:rFonts w:asciiTheme="majorHAnsi" w:hAnsiTheme="majorHAnsi"/>
                <w:b/>
                <w:bCs/>
                <w:color w:val="FFFFFF" w:themeColor="background1"/>
                <w:sz w:val="20"/>
                <w:szCs w:val="20"/>
              </w:rPr>
            </w:pPr>
            <w:r w:rsidRPr="00C52847">
              <w:rPr>
                <w:rFonts w:asciiTheme="majorHAnsi" w:hAnsiTheme="majorHAnsi"/>
                <w:b/>
                <w:bCs/>
                <w:color w:val="FFFFFF" w:themeColor="background1"/>
                <w:sz w:val="20"/>
                <w:szCs w:val="20"/>
              </w:rPr>
              <w:t>Competencia</w:t>
            </w:r>
            <w:r w:rsidRPr="00C52847">
              <w:rPr>
                <w:rFonts w:asciiTheme="majorHAnsi" w:hAnsiTheme="majorHAnsi"/>
                <w:b/>
                <w:bCs/>
                <w:i/>
                <w:color w:val="FFFFFF" w:themeColor="background1"/>
                <w:sz w:val="20"/>
                <w:szCs w:val="20"/>
              </w:rPr>
              <w:t xml:space="preserve"> Ratione materiae</w:t>
            </w:r>
            <w:r w:rsidRPr="00C52847">
              <w:rPr>
                <w:rFonts w:asciiTheme="majorHAnsi" w:hAnsiTheme="majorHAnsi"/>
                <w:b/>
                <w:bCs/>
                <w:color w:val="FFFFFF" w:themeColor="background1"/>
                <w:sz w:val="20"/>
                <w:szCs w:val="20"/>
              </w:rPr>
              <w:t>:</w:t>
            </w:r>
          </w:p>
        </w:tc>
        <w:tc>
          <w:tcPr>
            <w:tcW w:w="5776" w:type="dxa"/>
            <w:vAlign w:val="center"/>
          </w:tcPr>
          <w:p w14:paraId="6AB0A733" w14:textId="3E0D9741" w:rsidR="000673D0" w:rsidRPr="00C52847" w:rsidRDefault="000673D0" w:rsidP="008C4023">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C52847">
              <w:rPr>
                <w:rFonts w:asciiTheme="majorHAnsi" w:hAnsiTheme="majorHAnsi"/>
                <w:bCs/>
                <w:sz w:val="20"/>
                <w:szCs w:val="20"/>
                <w:lang w:val="es-ES"/>
              </w:rPr>
              <w:t xml:space="preserve">Sí, Convención Americana </w:t>
            </w:r>
            <w:r w:rsidR="0030535D" w:rsidRPr="00C52847">
              <w:rPr>
                <w:rFonts w:asciiTheme="majorHAnsi" w:hAnsiTheme="majorHAnsi"/>
                <w:bCs/>
                <w:sz w:val="20"/>
                <w:szCs w:val="20"/>
                <w:lang w:val="es-ES"/>
              </w:rPr>
              <w:t>(</w:t>
            </w:r>
            <w:r w:rsidR="008C4023" w:rsidRPr="00C52847">
              <w:rPr>
                <w:rFonts w:asciiTheme="majorHAnsi" w:hAnsiTheme="majorHAnsi"/>
                <w:bCs/>
                <w:sz w:val="20"/>
                <w:szCs w:val="20"/>
                <w:lang w:val="es-ES"/>
              </w:rPr>
              <w:t>depósito del instrumento realizado el 8 de septiembre de 1977</w:t>
            </w:r>
            <w:r w:rsidR="0030535D" w:rsidRPr="00C52847">
              <w:rPr>
                <w:rFonts w:asciiTheme="majorHAnsi" w:hAnsiTheme="majorHAnsi"/>
                <w:bCs/>
                <w:sz w:val="20"/>
                <w:szCs w:val="20"/>
                <w:lang w:val="es-ES"/>
              </w:rPr>
              <w:t>)</w:t>
            </w:r>
          </w:p>
        </w:tc>
      </w:tr>
    </w:tbl>
    <w:p w14:paraId="46F3B92A" w14:textId="369696BD" w:rsidR="000673D0" w:rsidRPr="00C52847" w:rsidRDefault="000673D0" w:rsidP="000673D0">
      <w:pPr>
        <w:spacing w:before="240" w:after="240"/>
        <w:ind w:firstLine="720"/>
        <w:jc w:val="both"/>
        <w:rPr>
          <w:rFonts w:asciiTheme="majorHAnsi" w:hAnsiTheme="majorHAnsi"/>
          <w:b/>
          <w:bCs/>
          <w:sz w:val="20"/>
          <w:szCs w:val="20"/>
          <w:lang w:val="es-ES"/>
        </w:rPr>
      </w:pPr>
      <w:r w:rsidRPr="00C52847">
        <w:rPr>
          <w:rFonts w:asciiTheme="majorHAnsi" w:hAnsiTheme="majorHAnsi"/>
          <w:b/>
          <w:bCs/>
          <w:sz w:val="20"/>
          <w:szCs w:val="20"/>
          <w:lang w:val="es-ES"/>
        </w:rPr>
        <w:t xml:space="preserve">IV. </w:t>
      </w:r>
      <w:r w:rsidRPr="00C52847">
        <w:rPr>
          <w:rFonts w:asciiTheme="majorHAnsi" w:hAnsiTheme="majorHAnsi"/>
          <w:b/>
          <w:bCs/>
          <w:sz w:val="20"/>
          <w:szCs w:val="20"/>
          <w:lang w:val="es-ES"/>
        </w:rPr>
        <w:tab/>
        <w:t>DUPLICACIÓN</w:t>
      </w:r>
      <w:r w:rsidRPr="00C52847">
        <w:rPr>
          <w:rFonts w:asciiTheme="majorHAnsi" w:hAnsiTheme="majorHAnsi"/>
          <w:b/>
          <w:bCs/>
          <w:color w:val="FFFFFF" w:themeColor="background1"/>
          <w:sz w:val="20"/>
          <w:szCs w:val="20"/>
          <w:lang w:val="es-ES"/>
        </w:rPr>
        <w:t xml:space="preserve"> </w:t>
      </w:r>
      <w:r w:rsidRPr="00C52847">
        <w:rPr>
          <w:rFonts w:asciiTheme="majorHAnsi" w:hAnsiTheme="majorHAnsi"/>
          <w:b/>
          <w:bCs/>
          <w:sz w:val="20"/>
          <w:szCs w:val="20"/>
          <w:lang w:val="es-ES"/>
        </w:rPr>
        <w:t>DE PROCEDIMIENTOS Y COSA JUZGADA</w:t>
      </w:r>
      <w:r w:rsidR="002E4781" w:rsidRPr="00C52847">
        <w:rPr>
          <w:rFonts w:asciiTheme="majorHAnsi" w:hAnsiTheme="majorHAnsi"/>
          <w:b/>
          <w:bCs/>
          <w:i/>
          <w:sz w:val="20"/>
          <w:szCs w:val="20"/>
          <w:lang w:val="es-ES"/>
        </w:rPr>
        <w:t xml:space="preserve"> </w:t>
      </w:r>
      <w:r w:rsidR="00CF41C4" w:rsidRPr="00C52847">
        <w:rPr>
          <w:rFonts w:asciiTheme="majorHAnsi" w:hAnsiTheme="majorHAnsi"/>
          <w:b/>
          <w:bCs/>
          <w:sz w:val="20"/>
          <w:szCs w:val="20"/>
          <w:lang w:val="es-ES"/>
        </w:rPr>
        <w:t xml:space="preserve">INTERNACIONAL, </w:t>
      </w:r>
      <w:r w:rsidRPr="00C52847">
        <w:rPr>
          <w:rFonts w:asciiTheme="majorHAnsi" w:hAnsiTheme="majorHAnsi"/>
          <w:b/>
          <w:bCs/>
          <w:sz w:val="20"/>
          <w:szCs w:val="20"/>
          <w:lang w:val="es-ES"/>
        </w:rPr>
        <w:t xml:space="preserve">CARACTERIZACIÓN, </w:t>
      </w:r>
      <w:r w:rsidRPr="00C52847">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0673D0" w:rsidRPr="00C52847" w14:paraId="3755C687" w14:textId="77777777" w:rsidTr="00C52847">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C52847" w:rsidRDefault="000673D0" w:rsidP="00B46185">
            <w:pPr>
              <w:jc w:val="center"/>
              <w:rPr>
                <w:rFonts w:asciiTheme="majorHAnsi" w:hAnsiTheme="majorHAnsi"/>
                <w:b/>
                <w:bCs/>
                <w:color w:val="FFFFFF" w:themeColor="background1"/>
                <w:sz w:val="20"/>
                <w:szCs w:val="20"/>
                <w:lang w:val="es-ES"/>
              </w:rPr>
            </w:pPr>
            <w:r w:rsidRPr="00C52847">
              <w:rPr>
                <w:rFonts w:asciiTheme="majorHAnsi" w:hAnsiTheme="majorHAnsi"/>
                <w:b/>
                <w:bCs/>
                <w:color w:val="FFFFFF" w:themeColor="background1"/>
                <w:sz w:val="20"/>
                <w:szCs w:val="20"/>
                <w:lang w:val="es-ES"/>
              </w:rPr>
              <w:t>Duplicación de procedimientos y cosa juzgada internacional:</w:t>
            </w:r>
          </w:p>
        </w:tc>
        <w:tc>
          <w:tcPr>
            <w:tcW w:w="5773" w:type="dxa"/>
            <w:vAlign w:val="center"/>
          </w:tcPr>
          <w:p w14:paraId="72801941" w14:textId="77777777" w:rsidR="000673D0" w:rsidRPr="00C52847" w:rsidRDefault="000673D0" w:rsidP="00B46185">
            <w:pPr>
              <w:jc w:val="both"/>
              <w:rPr>
                <w:rFonts w:asciiTheme="majorHAnsi" w:hAnsiTheme="majorHAnsi"/>
                <w:bCs/>
                <w:sz w:val="20"/>
                <w:szCs w:val="20"/>
                <w:lang w:val="es-ES"/>
              </w:rPr>
            </w:pPr>
            <w:r w:rsidRPr="00C52847">
              <w:rPr>
                <w:rFonts w:asciiTheme="majorHAnsi" w:hAnsiTheme="majorHAnsi"/>
                <w:bCs/>
                <w:sz w:val="20"/>
                <w:szCs w:val="20"/>
                <w:lang w:val="es-ES"/>
              </w:rPr>
              <w:t>No</w:t>
            </w:r>
          </w:p>
        </w:tc>
      </w:tr>
      <w:tr w:rsidR="000673D0" w:rsidRPr="00177E48" w14:paraId="5733AA78" w14:textId="77777777" w:rsidTr="00C52847">
        <w:trPr>
          <w:cantSplit/>
        </w:trPr>
        <w:tc>
          <w:tcPr>
            <w:tcW w:w="3564" w:type="dxa"/>
            <w:tcBorders>
              <w:top w:val="single" w:sz="4" w:space="0" w:color="auto"/>
              <w:bottom w:val="single" w:sz="6" w:space="0" w:color="auto"/>
            </w:tcBorders>
            <w:shd w:val="clear" w:color="auto" w:fill="386294"/>
            <w:vAlign w:val="center"/>
          </w:tcPr>
          <w:p w14:paraId="70AE02E1" w14:textId="77777777" w:rsidR="000673D0" w:rsidRPr="00C52847" w:rsidRDefault="000673D0" w:rsidP="00B46185">
            <w:pPr>
              <w:jc w:val="center"/>
              <w:rPr>
                <w:rFonts w:asciiTheme="majorHAnsi" w:hAnsiTheme="majorHAnsi"/>
                <w:b/>
                <w:bCs/>
                <w:i/>
                <w:color w:val="FFFFFF" w:themeColor="background1"/>
                <w:sz w:val="20"/>
                <w:szCs w:val="20"/>
              </w:rPr>
            </w:pPr>
            <w:r w:rsidRPr="00C52847">
              <w:rPr>
                <w:rFonts w:asciiTheme="majorHAnsi" w:hAnsiTheme="majorHAnsi"/>
                <w:b/>
                <w:bCs/>
                <w:color w:val="FFFFFF" w:themeColor="background1"/>
                <w:sz w:val="20"/>
                <w:szCs w:val="20"/>
              </w:rPr>
              <w:t>Derechos declarados admisibles</w:t>
            </w:r>
            <w:r w:rsidRPr="00C52847">
              <w:rPr>
                <w:rFonts w:asciiTheme="majorHAnsi" w:hAnsiTheme="majorHAnsi"/>
                <w:b/>
                <w:bCs/>
                <w:i/>
                <w:color w:val="FFFFFF" w:themeColor="background1"/>
                <w:sz w:val="20"/>
                <w:szCs w:val="20"/>
              </w:rPr>
              <w:t>:</w:t>
            </w:r>
          </w:p>
        </w:tc>
        <w:tc>
          <w:tcPr>
            <w:tcW w:w="5773" w:type="dxa"/>
            <w:vAlign w:val="center"/>
          </w:tcPr>
          <w:p w14:paraId="5EB169C6" w14:textId="4B6BD171" w:rsidR="000673D0" w:rsidRPr="00C52847" w:rsidRDefault="0073270B" w:rsidP="00B46622">
            <w:pPr>
              <w:jc w:val="both"/>
              <w:rPr>
                <w:rFonts w:asciiTheme="majorHAnsi" w:hAnsiTheme="majorHAnsi"/>
                <w:bCs/>
                <w:sz w:val="20"/>
                <w:szCs w:val="20"/>
                <w:lang w:val="es-PA" w:eastAsia="es-ES"/>
              </w:rPr>
            </w:pPr>
            <w:r w:rsidRPr="00C52847">
              <w:rPr>
                <w:rFonts w:asciiTheme="majorHAnsi" w:hAnsiTheme="majorHAnsi"/>
                <w:bCs/>
                <w:sz w:val="20"/>
                <w:szCs w:val="20"/>
                <w:lang w:val="es-PA"/>
              </w:rPr>
              <w:t>Artículos 8 (garantías judiciales), 24 (igualdad ante la ley), 25 (protección judicial) y 26 (derechos económicos, sociales y culturales) de la Convención American</w:t>
            </w:r>
            <w:r w:rsidR="00E30ED1">
              <w:rPr>
                <w:rFonts w:asciiTheme="majorHAnsi" w:hAnsiTheme="majorHAnsi"/>
                <w:bCs/>
                <w:sz w:val="20"/>
                <w:szCs w:val="20"/>
                <w:lang w:val="es-ES" w:eastAsia="es-ES"/>
              </w:rPr>
              <w:t>,</w:t>
            </w:r>
            <w:r w:rsidR="008C4023" w:rsidRPr="00C52847">
              <w:rPr>
                <w:rFonts w:asciiTheme="majorHAnsi" w:hAnsiTheme="majorHAnsi"/>
                <w:bCs/>
                <w:sz w:val="20"/>
                <w:szCs w:val="20"/>
                <w:lang w:val="es-ES" w:eastAsia="es-ES"/>
              </w:rPr>
              <w:t xml:space="preserve"> en relación con su artículo 1.1 (obligación de respetar los derechos</w:t>
            </w:r>
            <w:r w:rsidR="00526B20" w:rsidRPr="00C52847">
              <w:rPr>
                <w:rFonts w:asciiTheme="majorHAnsi" w:hAnsiTheme="majorHAnsi"/>
                <w:bCs/>
                <w:sz w:val="20"/>
                <w:szCs w:val="20"/>
                <w:lang w:val="es-ES" w:eastAsia="es-ES"/>
              </w:rPr>
              <w:t>)</w:t>
            </w:r>
          </w:p>
        </w:tc>
      </w:tr>
      <w:tr w:rsidR="000673D0" w:rsidRPr="00C52847" w14:paraId="56C738B6" w14:textId="77777777" w:rsidTr="00C52847">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C52847" w:rsidRDefault="000673D0" w:rsidP="00B46185">
            <w:pPr>
              <w:jc w:val="center"/>
              <w:rPr>
                <w:rFonts w:asciiTheme="majorHAnsi" w:hAnsiTheme="majorHAnsi"/>
                <w:b/>
                <w:bCs/>
                <w:color w:val="FFFFFF" w:themeColor="background1"/>
                <w:sz w:val="20"/>
                <w:szCs w:val="20"/>
                <w:lang w:val="es-ES"/>
              </w:rPr>
            </w:pPr>
            <w:r w:rsidRPr="00C52847">
              <w:rPr>
                <w:rFonts w:asciiTheme="majorHAnsi" w:hAnsiTheme="majorHAnsi"/>
                <w:b/>
                <w:bCs/>
                <w:color w:val="FFFFFF" w:themeColor="background1"/>
                <w:sz w:val="20"/>
                <w:szCs w:val="20"/>
                <w:lang w:val="es-ES"/>
              </w:rPr>
              <w:t>Agotamiento de recursos internos o procedencia de una excepción:</w:t>
            </w:r>
          </w:p>
        </w:tc>
        <w:tc>
          <w:tcPr>
            <w:tcW w:w="5773" w:type="dxa"/>
            <w:vAlign w:val="center"/>
          </w:tcPr>
          <w:p w14:paraId="7B5A6AFC" w14:textId="472DEA3A" w:rsidR="000673D0" w:rsidRPr="00C52847" w:rsidRDefault="008C4023" w:rsidP="00B46622">
            <w:pPr>
              <w:rPr>
                <w:rFonts w:asciiTheme="majorHAnsi" w:hAnsiTheme="majorHAnsi"/>
                <w:bCs/>
                <w:sz w:val="20"/>
                <w:szCs w:val="20"/>
                <w:lang w:val="es-ES"/>
              </w:rPr>
            </w:pPr>
            <w:r w:rsidRPr="00C52847">
              <w:rPr>
                <w:rFonts w:asciiTheme="majorHAnsi" w:hAnsiTheme="majorHAnsi"/>
                <w:bCs/>
                <w:sz w:val="20"/>
                <w:szCs w:val="20"/>
                <w:lang w:val="es-ES"/>
              </w:rPr>
              <w:t xml:space="preserve">Sí, 7 de octubre de 2014 </w:t>
            </w:r>
          </w:p>
        </w:tc>
      </w:tr>
      <w:tr w:rsidR="000673D0" w:rsidRPr="00C52847" w14:paraId="64377EF5" w14:textId="77777777" w:rsidTr="00C52847">
        <w:trPr>
          <w:cantSplit/>
        </w:trPr>
        <w:tc>
          <w:tcPr>
            <w:tcW w:w="3564" w:type="dxa"/>
            <w:tcBorders>
              <w:top w:val="single" w:sz="6" w:space="0" w:color="auto"/>
              <w:bottom w:val="single" w:sz="6" w:space="0" w:color="auto"/>
            </w:tcBorders>
            <w:shd w:val="clear" w:color="auto" w:fill="386294"/>
            <w:vAlign w:val="center"/>
          </w:tcPr>
          <w:p w14:paraId="33D77F00" w14:textId="77777777" w:rsidR="000673D0" w:rsidRPr="00C52847" w:rsidRDefault="000673D0" w:rsidP="00B46185">
            <w:pPr>
              <w:jc w:val="center"/>
              <w:rPr>
                <w:rFonts w:asciiTheme="majorHAnsi" w:hAnsiTheme="majorHAnsi"/>
                <w:b/>
                <w:bCs/>
                <w:color w:val="FFFFFF" w:themeColor="background1"/>
                <w:sz w:val="20"/>
                <w:szCs w:val="20"/>
              </w:rPr>
            </w:pPr>
            <w:r w:rsidRPr="00C52847">
              <w:rPr>
                <w:rFonts w:asciiTheme="majorHAnsi" w:hAnsiTheme="majorHAnsi"/>
                <w:b/>
                <w:bCs/>
                <w:color w:val="FFFFFF" w:themeColor="background1"/>
                <w:sz w:val="20"/>
                <w:szCs w:val="20"/>
                <w:lang w:val="es-PA"/>
              </w:rPr>
              <w:t>Presentación dentro de plaz</w:t>
            </w:r>
            <w:r w:rsidRPr="00C52847">
              <w:rPr>
                <w:rFonts w:asciiTheme="majorHAnsi" w:hAnsiTheme="majorHAnsi"/>
                <w:b/>
                <w:bCs/>
                <w:color w:val="FFFFFF" w:themeColor="background1"/>
                <w:sz w:val="20"/>
                <w:szCs w:val="20"/>
              </w:rPr>
              <w:t>o:</w:t>
            </w:r>
          </w:p>
        </w:tc>
        <w:tc>
          <w:tcPr>
            <w:tcW w:w="5773" w:type="dxa"/>
            <w:vAlign w:val="center"/>
          </w:tcPr>
          <w:p w14:paraId="6D2FF784" w14:textId="275E6677" w:rsidR="000673D0" w:rsidRPr="00C52847" w:rsidRDefault="008C4023" w:rsidP="00B46622">
            <w:pPr>
              <w:rPr>
                <w:rFonts w:asciiTheme="majorHAnsi" w:hAnsiTheme="majorHAnsi"/>
                <w:bCs/>
                <w:sz w:val="20"/>
                <w:szCs w:val="20"/>
                <w:lang w:val="es-PA"/>
              </w:rPr>
            </w:pPr>
            <w:r w:rsidRPr="00C52847">
              <w:rPr>
                <w:rFonts w:asciiTheme="majorHAnsi" w:hAnsiTheme="majorHAnsi"/>
                <w:bCs/>
                <w:sz w:val="20"/>
                <w:szCs w:val="20"/>
                <w:lang w:val="es-PA"/>
              </w:rPr>
              <w:t>Sí</w:t>
            </w:r>
          </w:p>
        </w:tc>
      </w:tr>
    </w:tbl>
    <w:p w14:paraId="18E6423B" w14:textId="77777777" w:rsidR="003239B8" w:rsidRPr="00FF7F88" w:rsidRDefault="00223A29" w:rsidP="003239B8">
      <w:pPr>
        <w:spacing w:before="240" w:after="240"/>
        <w:ind w:firstLine="720"/>
        <w:jc w:val="both"/>
        <w:rPr>
          <w:rFonts w:asciiTheme="majorHAnsi" w:hAnsiTheme="majorHAnsi"/>
          <w:b/>
          <w:sz w:val="20"/>
          <w:szCs w:val="20"/>
          <w:lang w:val="es-ES_tradnl"/>
        </w:rPr>
      </w:pPr>
      <w:r w:rsidRPr="00FF7F88">
        <w:rPr>
          <w:rFonts w:asciiTheme="majorHAnsi" w:hAnsiTheme="majorHAnsi"/>
          <w:b/>
          <w:sz w:val="20"/>
          <w:szCs w:val="20"/>
          <w:lang w:val="es-ES_tradnl"/>
        </w:rPr>
        <w:lastRenderedPageBreak/>
        <w:t xml:space="preserve">V. </w:t>
      </w:r>
      <w:r w:rsidRPr="00FF7F88">
        <w:rPr>
          <w:rFonts w:asciiTheme="majorHAnsi" w:hAnsiTheme="majorHAnsi"/>
          <w:b/>
          <w:sz w:val="20"/>
          <w:szCs w:val="20"/>
          <w:lang w:val="es-ES_tradnl"/>
        </w:rPr>
        <w:tab/>
      </w:r>
      <w:r w:rsidR="003239B8" w:rsidRPr="00FF7F88">
        <w:rPr>
          <w:rFonts w:asciiTheme="majorHAnsi" w:hAnsiTheme="majorHAnsi"/>
          <w:b/>
          <w:sz w:val="20"/>
          <w:szCs w:val="20"/>
          <w:lang w:val="es-ES_tradnl"/>
        </w:rPr>
        <w:t xml:space="preserve">HECHOS ALEGADOS </w:t>
      </w:r>
    </w:p>
    <w:p w14:paraId="39361A03" w14:textId="511318DE" w:rsidR="00875563" w:rsidRPr="00FF7F88" w:rsidRDefault="00F61DC8"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b/>
          <w:bCs/>
          <w:lang w:val="es-ES_tradnl" w:eastAsia="es-ES"/>
        </w:rPr>
      </w:pPr>
      <w:r w:rsidRPr="00FF7F88">
        <w:rPr>
          <w:rFonts w:ascii="Cambria" w:hAnsi="Cambria"/>
          <w:bCs/>
          <w:sz w:val="20"/>
          <w:szCs w:val="20"/>
          <w:lang w:val="es-ES_tradnl"/>
        </w:rPr>
        <w:t>La</w:t>
      </w:r>
      <w:r w:rsidR="0017571B" w:rsidRPr="00FF7F88">
        <w:rPr>
          <w:rFonts w:ascii="Cambria" w:hAnsi="Cambria"/>
          <w:bCs/>
          <w:sz w:val="20"/>
          <w:szCs w:val="20"/>
          <w:lang w:val="es-ES_tradnl"/>
        </w:rPr>
        <w:t xml:space="preserve"> peticionaria</w:t>
      </w:r>
      <w:r w:rsidRPr="00FF7F88">
        <w:rPr>
          <w:rFonts w:ascii="Cambria" w:hAnsi="Cambria"/>
          <w:bCs/>
          <w:sz w:val="20"/>
          <w:szCs w:val="20"/>
          <w:lang w:val="es-ES_tradnl"/>
        </w:rPr>
        <w:t xml:space="preserve"> </w:t>
      </w:r>
      <w:r w:rsidR="0017571B" w:rsidRPr="00FF7F88">
        <w:rPr>
          <w:rFonts w:ascii="Cambria" w:hAnsi="Cambria"/>
          <w:bCs/>
          <w:sz w:val="20"/>
          <w:szCs w:val="20"/>
          <w:lang w:val="es-ES_tradnl"/>
        </w:rPr>
        <w:t xml:space="preserve">denuncia </w:t>
      </w:r>
      <w:r w:rsidRPr="00FF7F88">
        <w:rPr>
          <w:rFonts w:ascii="Cambria" w:hAnsi="Cambria"/>
          <w:bCs/>
          <w:sz w:val="20"/>
          <w:szCs w:val="20"/>
          <w:lang w:val="es-ES_tradnl"/>
        </w:rPr>
        <w:t>que las</w:t>
      </w:r>
      <w:r w:rsidR="00F64209" w:rsidRPr="00FF7F88">
        <w:rPr>
          <w:rFonts w:ascii="Cambria" w:hAnsi="Cambria"/>
          <w:bCs/>
          <w:sz w:val="20"/>
          <w:szCs w:val="20"/>
          <w:lang w:val="es-ES_tradnl"/>
        </w:rPr>
        <w:t xml:space="preserve"> presuntas víctimas </w:t>
      </w:r>
      <w:r w:rsidRPr="00FF7F88">
        <w:rPr>
          <w:rFonts w:ascii="Cambria" w:hAnsi="Cambria"/>
          <w:bCs/>
          <w:sz w:val="20"/>
          <w:szCs w:val="20"/>
          <w:lang w:val="es-ES_tradnl"/>
        </w:rPr>
        <w:t>fueron favorecidas por una sentencia que</w:t>
      </w:r>
      <w:r w:rsidR="003D3B18" w:rsidRPr="00FF7F88">
        <w:rPr>
          <w:rFonts w:ascii="Cambria" w:hAnsi="Cambria"/>
          <w:bCs/>
          <w:sz w:val="20"/>
          <w:szCs w:val="20"/>
          <w:lang w:val="es-ES_tradnl"/>
        </w:rPr>
        <w:t xml:space="preserve"> no fue cumplida y fue finalmente dejada </w:t>
      </w:r>
      <w:r w:rsidR="005F58D7" w:rsidRPr="00FF7F88">
        <w:rPr>
          <w:rFonts w:ascii="Cambria" w:hAnsi="Cambria"/>
          <w:bCs/>
          <w:sz w:val="20"/>
          <w:szCs w:val="20"/>
          <w:lang w:val="es-ES_tradnl"/>
        </w:rPr>
        <w:t xml:space="preserve">sin efectos mediante </w:t>
      </w:r>
      <w:r w:rsidR="004A4336" w:rsidRPr="00FF7F88">
        <w:rPr>
          <w:rFonts w:ascii="Cambria" w:hAnsi="Cambria"/>
          <w:bCs/>
          <w:sz w:val="20"/>
          <w:szCs w:val="20"/>
          <w:lang w:val="es-ES_tradnl"/>
        </w:rPr>
        <w:t>otra</w:t>
      </w:r>
      <w:r w:rsidR="005F58D7" w:rsidRPr="00FF7F88">
        <w:rPr>
          <w:rFonts w:ascii="Cambria" w:hAnsi="Cambria"/>
          <w:bCs/>
          <w:sz w:val="20"/>
          <w:szCs w:val="20"/>
          <w:lang w:val="es-ES_tradnl"/>
        </w:rPr>
        <w:t xml:space="preserve"> decisión judicial</w:t>
      </w:r>
      <w:r w:rsidR="004A4336" w:rsidRPr="00FF7F88">
        <w:rPr>
          <w:rFonts w:ascii="Cambria" w:hAnsi="Cambria"/>
          <w:bCs/>
          <w:sz w:val="20"/>
          <w:szCs w:val="20"/>
          <w:lang w:val="es-ES_tradnl"/>
        </w:rPr>
        <w:t>.</w:t>
      </w:r>
      <w:r w:rsidR="005F58D7" w:rsidRPr="00FF7F88">
        <w:rPr>
          <w:rFonts w:ascii="Cambria" w:hAnsi="Cambria"/>
          <w:bCs/>
          <w:sz w:val="20"/>
          <w:szCs w:val="20"/>
          <w:lang w:val="es-ES_tradnl"/>
        </w:rPr>
        <w:t xml:space="preserve"> </w:t>
      </w:r>
      <w:r w:rsidR="004A4336" w:rsidRPr="00FF7F88">
        <w:rPr>
          <w:rFonts w:ascii="Cambria" w:hAnsi="Cambria"/>
          <w:bCs/>
          <w:sz w:val="20"/>
          <w:szCs w:val="20"/>
          <w:lang w:val="es-ES_tradnl"/>
        </w:rPr>
        <w:t>A</w:t>
      </w:r>
      <w:r w:rsidR="005F58D7" w:rsidRPr="00FF7F88">
        <w:rPr>
          <w:rFonts w:ascii="Cambria" w:hAnsi="Cambria"/>
          <w:bCs/>
          <w:sz w:val="20"/>
          <w:szCs w:val="20"/>
          <w:lang w:val="es-ES_tradnl"/>
        </w:rPr>
        <w:t>lega que al emitir es</w:t>
      </w:r>
      <w:r w:rsidR="004A4336" w:rsidRPr="00FF7F88">
        <w:rPr>
          <w:rFonts w:ascii="Cambria" w:hAnsi="Cambria"/>
          <w:bCs/>
          <w:sz w:val="20"/>
          <w:szCs w:val="20"/>
          <w:lang w:val="es-ES_tradnl"/>
        </w:rPr>
        <w:t>t</w:t>
      </w:r>
      <w:r w:rsidR="005F58D7" w:rsidRPr="00FF7F88">
        <w:rPr>
          <w:rFonts w:ascii="Cambria" w:hAnsi="Cambria"/>
          <w:bCs/>
          <w:sz w:val="20"/>
          <w:szCs w:val="20"/>
          <w:lang w:val="es-ES_tradnl"/>
        </w:rPr>
        <w:t>a decisión el tribunal excedió sus competencias y los fines de la fase de ejecución para alterar lo que ya había sido resuelto en firme. También aduce que el tribunal actuó arbitrariamente</w:t>
      </w:r>
      <w:r w:rsidR="004A4336" w:rsidRPr="00FF7F88">
        <w:rPr>
          <w:rFonts w:ascii="Cambria" w:hAnsi="Cambria"/>
          <w:bCs/>
          <w:sz w:val="20"/>
          <w:szCs w:val="20"/>
          <w:lang w:val="es-ES_tradnl"/>
        </w:rPr>
        <w:t>,</w:t>
      </w:r>
      <w:r w:rsidR="005F58D7" w:rsidRPr="00FF7F88">
        <w:rPr>
          <w:rFonts w:ascii="Cambria" w:hAnsi="Cambria"/>
          <w:bCs/>
          <w:sz w:val="20"/>
          <w:szCs w:val="20"/>
          <w:lang w:val="es-ES_tradnl"/>
        </w:rPr>
        <w:t xml:space="preserve"> pues basó su decisió</w:t>
      </w:r>
      <w:r w:rsidR="00E178FE" w:rsidRPr="00FF7F88">
        <w:rPr>
          <w:rFonts w:ascii="Cambria" w:hAnsi="Cambria"/>
          <w:bCs/>
          <w:sz w:val="20"/>
          <w:szCs w:val="20"/>
          <w:lang w:val="es-ES_tradnl"/>
        </w:rPr>
        <w:t>n en la declaratoria de inconstitucionalidad de una norma que no había sido aplicada en la sentencia cuya ejecución se solicitaba.</w:t>
      </w:r>
    </w:p>
    <w:p w14:paraId="005CB975" w14:textId="77777777" w:rsidR="004A0019" w:rsidRPr="00FF7F88" w:rsidRDefault="00E178FE"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b/>
          <w:bCs/>
          <w:lang w:val="es-ES_tradnl" w:eastAsia="es-ES"/>
        </w:rPr>
      </w:pPr>
      <w:r w:rsidRPr="00FF7F88">
        <w:rPr>
          <w:rFonts w:ascii="Cambria" w:hAnsi="Cambria"/>
          <w:bCs/>
          <w:sz w:val="20"/>
          <w:szCs w:val="20"/>
          <w:lang w:val="es-ES_tradnl"/>
        </w:rPr>
        <w:t xml:space="preserve">La peticionaria </w:t>
      </w:r>
      <w:r w:rsidR="00B83F5C" w:rsidRPr="00FF7F88">
        <w:rPr>
          <w:rFonts w:ascii="Cambria" w:hAnsi="Cambria"/>
          <w:bCs/>
          <w:sz w:val="20"/>
          <w:szCs w:val="20"/>
          <w:lang w:val="es-ES_tradnl"/>
        </w:rPr>
        <w:t>narra</w:t>
      </w:r>
      <w:r w:rsidRPr="00FF7F88">
        <w:rPr>
          <w:rFonts w:ascii="Cambria" w:hAnsi="Cambria"/>
          <w:bCs/>
          <w:sz w:val="20"/>
          <w:szCs w:val="20"/>
          <w:lang w:val="es-ES_tradnl"/>
        </w:rPr>
        <w:t xml:space="preserve"> que las presuntas víctimas, profesionales de las ciencias agrícolas</w:t>
      </w:r>
      <w:r w:rsidR="00B83F5C" w:rsidRPr="00FF7F88">
        <w:rPr>
          <w:rFonts w:ascii="Cambria" w:hAnsi="Cambria"/>
          <w:bCs/>
          <w:sz w:val="20"/>
          <w:szCs w:val="20"/>
          <w:lang w:val="es-ES_tradnl"/>
        </w:rPr>
        <w:t>,</w:t>
      </w:r>
      <w:r w:rsidRPr="00FF7F88">
        <w:rPr>
          <w:rFonts w:ascii="Cambria" w:hAnsi="Cambria"/>
          <w:bCs/>
          <w:sz w:val="20"/>
          <w:szCs w:val="20"/>
          <w:lang w:val="es-ES_tradnl"/>
        </w:rPr>
        <w:t xml:space="preserve"> presentaron una demanda contra el Estado ante el Juzgado de lo Contencioso Administrativo de Tegucigalpa. </w:t>
      </w:r>
      <w:r w:rsidR="004A0019" w:rsidRPr="00FF7F88">
        <w:rPr>
          <w:rFonts w:ascii="Cambria" w:hAnsi="Cambria"/>
          <w:bCs/>
          <w:sz w:val="20"/>
          <w:szCs w:val="20"/>
          <w:lang w:val="es-ES_tradnl"/>
        </w:rPr>
        <w:t>Esta</w:t>
      </w:r>
      <w:r w:rsidRPr="00FF7F88">
        <w:rPr>
          <w:rFonts w:ascii="Cambria" w:hAnsi="Cambria"/>
          <w:bCs/>
          <w:sz w:val="20"/>
          <w:szCs w:val="20"/>
          <w:lang w:val="es-ES_tradnl"/>
        </w:rPr>
        <w:t xml:space="preserve"> demanda </w:t>
      </w:r>
      <w:r w:rsidR="004A0019" w:rsidRPr="00FF7F88">
        <w:rPr>
          <w:rFonts w:ascii="Cambria" w:hAnsi="Cambria"/>
          <w:bCs/>
          <w:sz w:val="20"/>
          <w:szCs w:val="20"/>
          <w:lang w:val="es-ES_tradnl"/>
        </w:rPr>
        <w:t>se refería</w:t>
      </w:r>
      <w:r w:rsidRPr="00FF7F88">
        <w:rPr>
          <w:rFonts w:ascii="Cambria" w:hAnsi="Cambria"/>
          <w:bCs/>
          <w:sz w:val="20"/>
          <w:szCs w:val="20"/>
          <w:lang w:val="es-ES_tradnl"/>
        </w:rPr>
        <w:t xml:space="preserve"> actuaciones de la Secretaría de Estado en los Despachos de Agricultura y Ganadería y solicitaba</w:t>
      </w:r>
      <w:r w:rsidR="004A0019" w:rsidRPr="00FF7F88">
        <w:rPr>
          <w:rFonts w:ascii="Cambria" w:hAnsi="Cambria"/>
          <w:bCs/>
          <w:sz w:val="20"/>
          <w:szCs w:val="20"/>
          <w:lang w:val="es-ES_tradnl"/>
        </w:rPr>
        <w:t>:</w:t>
      </w:r>
      <w:r w:rsidRPr="00FF7F88">
        <w:rPr>
          <w:rFonts w:ascii="Cambria" w:hAnsi="Cambria"/>
          <w:bCs/>
          <w:sz w:val="20"/>
          <w:szCs w:val="20"/>
          <w:lang w:val="es-ES_tradnl"/>
        </w:rPr>
        <w:t xml:space="preserve"> </w:t>
      </w:r>
      <w:r w:rsidR="004A0019" w:rsidRPr="00FF7F88">
        <w:rPr>
          <w:rFonts w:asciiTheme="majorHAnsi" w:hAnsiTheme="majorHAnsi"/>
          <w:sz w:val="20"/>
          <w:szCs w:val="20"/>
          <w:lang w:val="es-ES_tradnl" w:eastAsia="es-ES"/>
        </w:rPr>
        <w:t>a</w:t>
      </w:r>
      <w:r w:rsidR="00875563" w:rsidRPr="00FF7F88">
        <w:rPr>
          <w:rFonts w:asciiTheme="majorHAnsi" w:hAnsiTheme="majorHAnsi"/>
          <w:sz w:val="20"/>
          <w:szCs w:val="20"/>
          <w:lang w:val="es-ES_tradnl" w:eastAsia="es-ES"/>
        </w:rPr>
        <w:t>) la aplicación del</w:t>
      </w:r>
      <w:r w:rsidRPr="00FF7F88">
        <w:rPr>
          <w:rFonts w:asciiTheme="majorHAnsi" w:hAnsiTheme="majorHAnsi"/>
          <w:sz w:val="20"/>
          <w:szCs w:val="20"/>
          <w:lang w:val="es-ES_tradnl" w:eastAsia="es-ES"/>
        </w:rPr>
        <w:t xml:space="preserve"> </w:t>
      </w:r>
      <w:r w:rsidR="004A0019" w:rsidRPr="00FF7F88">
        <w:rPr>
          <w:rFonts w:asciiTheme="majorHAnsi" w:hAnsiTheme="majorHAnsi"/>
          <w:sz w:val="20"/>
          <w:szCs w:val="20"/>
          <w:lang w:val="es-ES_tradnl" w:eastAsia="es-ES"/>
        </w:rPr>
        <w:t>a</w:t>
      </w:r>
      <w:r w:rsidR="00875563" w:rsidRPr="00FF7F88">
        <w:rPr>
          <w:rFonts w:asciiTheme="majorHAnsi" w:hAnsiTheme="majorHAnsi"/>
          <w:sz w:val="20"/>
          <w:szCs w:val="20"/>
          <w:lang w:val="es-ES_tradnl" w:eastAsia="es-ES"/>
        </w:rPr>
        <w:t xml:space="preserve">rancel de </w:t>
      </w:r>
      <w:r w:rsidR="004A0019" w:rsidRPr="00FF7F88">
        <w:rPr>
          <w:rFonts w:asciiTheme="majorHAnsi" w:hAnsiTheme="majorHAnsi"/>
          <w:sz w:val="20"/>
          <w:szCs w:val="20"/>
          <w:lang w:val="es-ES_tradnl" w:eastAsia="es-ES"/>
        </w:rPr>
        <w:t>p</w:t>
      </w:r>
      <w:r w:rsidR="00875563" w:rsidRPr="00FF7F88">
        <w:rPr>
          <w:rFonts w:asciiTheme="majorHAnsi" w:hAnsiTheme="majorHAnsi"/>
          <w:sz w:val="20"/>
          <w:szCs w:val="20"/>
          <w:lang w:val="es-ES_tradnl" w:eastAsia="es-ES"/>
        </w:rPr>
        <w:t xml:space="preserve">rofesionales de las </w:t>
      </w:r>
      <w:r w:rsidR="004A0019" w:rsidRPr="00FF7F88">
        <w:rPr>
          <w:rFonts w:asciiTheme="majorHAnsi" w:hAnsiTheme="majorHAnsi"/>
          <w:sz w:val="20"/>
          <w:szCs w:val="20"/>
          <w:lang w:val="es-ES_tradnl" w:eastAsia="es-ES"/>
        </w:rPr>
        <w:t>c</w:t>
      </w:r>
      <w:r w:rsidR="00875563" w:rsidRPr="00FF7F88">
        <w:rPr>
          <w:rFonts w:asciiTheme="majorHAnsi" w:hAnsiTheme="majorHAnsi"/>
          <w:sz w:val="20"/>
          <w:szCs w:val="20"/>
          <w:lang w:val="es-ES_tradnl" w:eastAsia="es-ES"/>
        </w:rPr>
        <w:t xml:space="preserve">iencias </w:t>
      </w:r>
      <w:r w:rsidR="004A0019" w:rsidRPr="00FF7F88">
        <w:rPr>
          <w:rFonts w:asciiTheme="majorHAnsi" w:hAnsiTheme="majorHAnsi"/>
          <w:sz w:val="20"/>
          <w:szCs w:val="20"/>
          <w:lang w:val="es-ES_tradnl" w:eastAsia="es-ES"/>
        </w:rPr>
        <w:t>a</w:t>
      </w:r>
      <w:r w:rsidR="00875563" w:rsidRPr="00FF7F88">
        <w:rPr>
          <w:rFonts w:asciiTheme="majorHAnsi" w:hAnsiTheme="majorHAnsi"/>
          <w:sz w:val="20"/>
          <w:szCs w:val="20"/>
          <w:lang w:val="es-ES_tradnl" w:eastAsia="es-ES"/>
        </w:rPr>
        <w:t>g</w:t>
      </w:r>
      <w:r w:rsidR="000F5B4F" w:rsidRPr="00FF7F88">
        <w:rPr>
          <w:rFonts w:asciiTheme="majorHAnsi" w:hAnsiTheme="majorHAnsi"/>
          <w:sz w:val="20"/>
          <w:szCs w:val="20"/>
          <w:lang w:val="es-ES_tradnl" w:eastAsia="es-ES"/>
        </w:rPr>
        <w:t>rí</w:t>
      </w:r>
      <w:r w:rsidR="00875563" w:rsidRPr="00FF7F88">
        <w:rPr>
          <w:rFonts w:asciiTheme="majorHAnsi" w:hAnsiTheme="majorHAnsi"/>
          <w:sz w:val="20"/>
          <w:szCs w:val="20"/>
          <w:lang w:val="es-ES_tradnl" w:eastAsia="es-ES"/>
        </w:rPr>
        <w:t>colas</w:t>
      </w:r>
      <w:r w:rsidR="004A0019" w:rsidRPr="00FF7F88">
        <w:rPr>
          <w:rFonts w:asciiTheme="majorHAnsi" w:hAnsiTheme="majorHAnsi"/>
          <w:sz w:val="20"/>
          <w:szCs w:val="20"/>
          <w:lang w:val="es-ES_tradnl" w:eastAsia="es-ES"/>
        </w:rPr>
        <w:t>;</w:t>
      </w:r>
      <w:r w:rsidR="00875563" w:rsidRPr="00FF7F88">
        <w:rPr>
          <w:rFonts w:asciiTheme="majorHAnsi" w:hAnsiTheme="majorHAnsi"/>
          <w:sz w:val="20"/>
          <w:szCs w:val="20"/>
          <w:lang w:val="es-ES_tradnl" w:eastAsia="es-ES"/>
        </w:rPr>
        <w:t xml:space="preserve"> </w:t>
      </w:r>
      <w:r w:rsidR="004A0019" w:rsidRPr="00FF7F88">
        <w:rPr>
          <w:rFonts w:asciiTheme="majorHAnsi" w:hAnsiTheme="majorHAnsi"/>
          <w:sz w:val="20"/>
          <w:szCs w:val="20"/>
          <w:lang w:val="es-ES_tradnl" w:eastAsia="es-ES"/>
        </w:rPr>
        <w:t>b</w:t>
      </w:r>
      <w:r w:rsidR="00875563" w:rsidRPr="00FF7F88">
        <w:rPr>
          <w:rFonts w:asciiTheme="majorHAnsi" w:hAnsiTheme="majorHAnsi"/>
          <w:sz w:val="20"/>
          <w:szCs w:val="20"/>
          <w:lang w:val="es-ES_tradnl" w:eastAsia="es-ES"/>
        </w:rPr>
        <w:t xml:space="preserve">) </w:t>
      </w:r>
      <w:r w:rsidR="004A0019" w:rsidRPr="00FF7F88">
        <w:rPr>
          <w:rFonts w:asciiTheme="majorHAnsi" w:hAnsiTheme="majorHAnsi"/>
          <w:sz w:val="20"/>
          <w:szCs w:val="20"/>
          <w:lang w:val="es-ES_tradnl" w:eastAsia="es-ES"/>
        </w:rPr>
        <w:t xml:space="preserve">el </w:t>
      </w:r>
      <w:r w:rsidR="00875563" w:rsidRPr="00FF7F88">
        <w:rPr>
          <w:rFonts w:asciiTheme="majorHAnsi" w:hAnsiTheme="majorHAnsi"/>
          <w:sz w:val="20"/>
          <w:szCs w:val="20"/>
          <w:lang w:val="es-ES_tradnl" w:eastAsia="es-ES"/>
        </w:rPr>
        <w:t>pago</w:t>
      </w:r>
      <w:r w:rsidRPr="00FF7F88">
        <w:rPr>
          <w:rFonts w:asciiTheme="majorHAnsi" w:hAnsiTheme="majorHAnsi"/>
          <w:sz w:val="20"/>
          <w:szCs w:val="20"/>
          <w:lang w:val="es-ES_tradnl" w:eastAsia="es-ES"/>
        </w:rPr>
        <w:t xml:space="preserve"> </w:t>
      </w:r>
      <w:r w:rsidR="00875563" w:rsidRPr="00FF7F88">
        <w:rPr>
          <w:rFonts w:asciiTheme="majorHAnsi" w:hAnsiTheme="majorHAnsi"/>
          <w:sz w:val="20"/>
          <w:szCs w:val="20"/>
          <w:lang w:val="es-ES_tradnl" w:eastAsia="es-ES"/>
        </w:rPr>
        <w:t>de salarios conforme a dicho arancel aplicando el salario</w:t>
      </w:r>
      <w:r w:rsidRPr="00FF7F88">
        <w:rPr>
          <w:rFonts w:asciiTheme="majorHAnsi" w:hAnsiTheme="majorHAnsi"/>
          <w:sz w:val="20"/>
          <w:szCs w:val="20"/>
          <w:lang w:val="es-ES_tradnl" w:eastAsia="es-ES"/>
        </w:rPr>
        <w:t xml:space="preserve"> </w:t>
      </w:r>
      <w:r w:rsidR="00875563" w:rsidRPr="00FF7F88">
        <w:rPr>
          <w:rFonts w:asciiTheme="majorHAnsi" w:hAnsiTheme="majorHAnsi"/>
          <w:sz w:val="20"/>
          <w:szCs w:val="20"/>
          <w:lang w:val="es-ES_tradnl" w:eastAsia="es-ES"/>
        </w:rPr>
        <w:t>m</w:t>
      </w:r>
      <w:r w:rsidR="00CD2D37" w:rsidRPr="00FF7F88">
        <w:rPr>
          <w:rFonts w:asciiTheme="majorHAnsi" w:hAnsiTheme="majorHAnsi"/>
          <w:sz w:val="20"/>
          <w:szCs w:val="20"/>
          <w:lang w:val="es-ES_tradnl" w:eastAsia="es-ES"/>
        </w:rPr>
        <w:t>í</w:t>
      </w:r>
      <w:r w:rsidR="00875563" w:rsidRPr="00FF7F88">
        <w:rPr>
          <w:rFonts w:asciiTheme="majorHAnsi" w:hAnsiTheme="majorHAnsi"/>
          <w:sz w:val="20"/>
          <w:szCs w:val="20"/>
          <w:lang w:val="es-ES_tradnl" w:eastAsia="es-ES"/>
        </w:rPr>
        <w:t>nimo vigente</w:t>
      </w:r>
      <w:r w:rsidR="004A0019" w:rsidRPr="00FF7F88">
        <w:rPr>
          <w:rFonts w:asciiTheme="majorHAnsi" w:hAnsiTheme="majorHAnsi"/>
          <w:sz w:val="20"/>
          <w:szCs w:val="20"/>
          <w:lang w:val="es-ES_tradnl" w:eastAsia="es-ES"/>
        </w:rPr>
        <w:t>;</w:t>
      </w:r>
      <w:r w:rsidR="00875563" w:rsidRPr="00FF7F88">
        <w:rPr>
          <w:rFonts w:asciiTheme="majorHAnsi" w:hAnsiTheme="majorHAnsi"/>
          <w:sz w:val="20"/>
          <w:szCs w:val="20"/>
          <w:lang w:val="es-ES_tradnl" w:eastAsia="es-ES"/>
        </w:rPr>
        <w:t xml:space="preserve"> </w:t>
      </w:r>
      <w:r w:rsidR="004A0019" w:rsidRPr="00FF7F88">
        <w:rPr>
          <w:rFonts w:asciiTheme="majorHAnsi" w:hAnsiTheme="majorHAnsi"/>
          <w:sz w:val="20"/>
          <w:szCs w:val="20"/>
          <w:lang w:val="es-ES_tradnl" w:eastAsia="es-ES"/>
        </w:rPr>
        <w:t>c</w:t>
      </w:r>
      <w:r w:rsidR="00875563" w:rsidRPr="00FF7F88">
        <w:rPr>
          <w:rFonts w:asciiTheme="majorHAnsi" w:hAnsiTheme="majorHAnsi"/>
          <w:sz w:val="20"/>
          <w:szCs w:val="20"/>
          <w:lang w:val="es-ES_tradnl" w:eastAsia="es-ES"/>
        </w:rPr>
        <w:t xml:space="preserve">) </w:t>
      </w:r>
      <w:r w:rsidR="004A0019" w:rsidRPr="00FF7F88">
        <w:rPr>
          <w:rFonts w:asciiTheme="majorHAnsi" w:hAnsiTheme="majorHAnsi"/>
          <w:sz w:val="20"/>
          <w:szCs w:val="20"/>
          <w:lang w:val="es-ES_tradnl" w:eastAsia="es-ES"/>
        </w:rPr>
        <w:t xml:space="preserve">el </w:t>
      </w:r>
      <w:r w:rsidR="00875563" w:rsidRPr="00FF7F88">
        <w:rPr>
          <w:rFonts w:asciiTheme="majorHAnsi" w:hAnsiTheme="majorHAnsi"/>
          <w:sz w:val="20"/>
          <w:szCs w:val="20"/>
          <w:lang w:val="es-ES_tradnl" w:eastAsia="es-ES"/>
        </w:rPr>
        <w:t>pago retroactivo de los ajustes</w:t>
      </w:r>
      <w:r w:rsidRPr="00FF7F88">
        <w:rPr>
          <w:rFonts w:asciiTheme="majorHAnsi" w:hAnsiTheme="majorHAnsi"/>
          <w:sz w:val="20"/>
          <w:szCs w:val="20"/>
          <w:lang w:val="es-ES_tradnl" w:eastAsia="es-ES"/>
        </w:rPr>
        <w:t xml:space="preserve"> </w:t>
      </w:r>
      <w:r w:rsidR="00875563" w:rsidRPr="00FF7F88">
        <w:rPr>
          <w:rFonts w:asciiTheme="majorHAnsi" w:hAnsiTheme="majorHAnsi"/>
          <w:sz w:val="20"/>
          <w:szCs w:val="20"/>
          <w:lang w:val="es-ES_tradnl" w:eastAsia="es-ES"/>
        </w:rPr>
        <w:t>salariales a partir de la vigencia del arancel aplicando el</w:t>
      </w:r>
      <w:r w:rsidRPr="00FF7F88">
        <w:rPr>
          <w:rFonts w:asciiTheme="majorHAnsi" w:hAnsiTheme="majorHAnsi"/>
          <w:sz w:val="20"/>
          <w:szCs w:val="20"/>
          <w:lang w:val="es-ES_tradnl" w:eastAsia="es-ES"/>
        </w:rPr>
        <w:t xml:space="preserve"> </w:t>
      </w:r>
      <w:r w:rsidR="00875563" w:rsidRPr="00FF7F88">
        <w:rPr>
          <w:rFonts w:asciiTheme="majorHAnsi" w:hAnsiTheme="majorHAnsi"/>
          <w:sz w:val="20"/>
          <w:szCs w:val="20"/>
          <w:lang w:val="es-ES_tradnl" w:eastAsia="es-ES"/>
        </w:rPr>
        <w:t>salario m</w:t>
      </w:r>
      <w:r w:rsidR="00CD2D37" w:rsidRPr="00FF7F88">
        <w:rPr>
          <w:rFonts w:asciiTheme="majorHAnsi" w:hAnsiTheme="majorHAnsi"/>
          <w:sz w:val="20"/>
          <w:szCs w:val="20"/>
          <w:lang w:val="es-ES_tradnl" w:eastAsia="es-ES"/>
        </w:rPr>
        <w:t>í</w:t>
      </w:r>
      <w:r w:rsidR="00875563" w:rsidRPr="00FF7F88">
        <w:rPr>
          <w:rFonts w:asciiTheme="majorHAnsi" w:hAnsiTheme="majorHAnsi"/>
          <w:sz w:val="20"/>
          <w:szCs w:val="20"/>
          <w:lang w:val="es-ES_tradnl" w:eastAsia="es-ES"/>
        </w:rPr>
        <w:t>nimo vigente</w:t>
      </w:r>
      <w:r w:rsidR="004A0019" w:rsidRPr="00FF7F88">
        <w:rPr>
          <w:rFonts w:asciiTheme="majorHAnsi" w:hAnsiTheme="majorHAnsi"/>
          <w:sz w:val="20"/>
          <w:szCs w:val="20"/>
          <w:lang w:val="es-ES_tradnl" w:eastAsia="es-ES"/>
        </w:rPr>
        <w:t>; y</w:t>
      </w:r>
      <w:r w:rsidR="00875563" w:rsidRPr="00FF7F88">
        <w:rPr>
          <w:rFonts w:asciiTheme="majorHAnsi" w:hAnsiTheme="majorHAnsi"/>
          <w:sz w:val="20"/>
          <w:szCs w:val="20"/>
          <w:lang w:val="es-ES_tradnl" w:eastAsia="es-ES"/>
        </w:rPr>
        <w:t xml:space="preserve"> </w:t>
      </w:r>
      <w:r w:rsidR="004A0019" w:rsidRPr="00FF7F88">
        <w:rPr>
          <w:rFonts w:asciiTheme="majorHAnsi" w:hAnsiTheme="majorHAnsi"/>
          <w:sz w:val="20"/>
          <w:szCs w:val="20"/>
          <w:lang w:val="es-ES_tradnl" w:eastAsia="es-ES"/>
        </w:rPr>
        <w:t>d</w:t>
      </w:r>
      <w:r w:rsidR="00875563" w:rsidRPr="00FF7F88">
        <w:rPr>
          <w:rFonts w:asciiTheme="majorHAnsi" w:hAnsiTheme="majorHAnsi"/>
          <w:sz w:val="20"/>
          <w:szCs w:val="20"/>
          <w:lang w:val="es-ES_tradnl" w:eastAsia="es-ES"/>
        </w:rPr>
        <w:t xml:space="preserve">) </w:t>
      </w:r>
      <w:r w:rsidR="004A0019" w:rsidRPr="00FF7F88">
        <w:rPr>
          <w:rFonts w:asciiTheme="majorHAnsi" w:hAnsiTheme="majorHAnsi"/>
          <w:sz w:val="20"/>
          <w:szCs w:val="20"/>
          <w:lang w:val="es-ES_tradnl" w:eastAsia="es-ES"/>
        </w:rPr>
        <w:t xml:space="preserve">el </w:t>
      </w:r>
      <w:r w:rsidR="00875563" w:rsidRPr="00FF7F88">
        <w:rPr>
          <w:rFonts w:asciiTheme="majorHAnsi" w:hAnsiTheme="majorHAnsi"/>
          <w:sz w:val="20"/>
          <w:szCs w:val="20"/>
          <w:lang w:val="es-ES_tradnl" w:eastAsia="es-ES"/>
        </w:rPr>
        <w:t xml:space="preserve">pago de intereses a </w:t>
      </w:r>
      <w:r w:rsidR="004A0019" w:rsidRPr="00FF7F88">
        <w:rPr>
          <w:rFonts w:asciiTheme="majorHAnsi" w:hAnsiTheme="majorHAnsi"/>
          <w:sz w:val="20"/>
          <w:szCs w:val="20"/>
          <w:lang w:val="es-ES_tradnl" w:eastAsia="es-ES"/>
        </w:rPr>
        <w:t>título</w:t>
      </w:r>
      <w:r w:rsidR="00875563" w:rsidRPr="00FF7F88">
        <w:rPr>
          <w:rFonts w:asciiTheme="majorHAnsi" w:hAnsiTheme="majorHAnsi"/>
          <w:sz w:val="20"/>
          <w:szCs w:val="20"/>
          <w:lang w:val="es-ES_tradnl" w:eastAsia="es-ES"/>
        </w:rPr>
        <w:t xml:space="preserve"> de daños y perjuicios. </w:t>
      </w:r>
    </w:p>
    <w:p w14:paraId="79CF5306" w14:textId="170FB22D" w:rsidR="00E178FE" w:rsidRPr="00FF7F88" w:rsidRDefault="004A0019"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b/>
          <w:bCs/>
          <w:lang w:val="es-ES_tradnl" w:eastAsia="es-ES"/>
        </w:rPr>
      </w:pPr>
      <w:r w:rsidRPr="00FF7F88">
        <w:rPr>
          <w:rFonts w:asciiTheme="majorHAnsi" w:hAnsiTheme="majorHAnsi"/>
          <w:sz w:val="20"/>
          <w:szCs w:val="20"/>
          <w:lang w:val="es-ES_tradnl" w:eastAsia="es-ES"/>
        </w:rPr>
        <w:t>Así, e</w:t>
      </w:r>
      <w:r w:rsidR="00875563" w:rsidRPr="00FF7F88">
        <w:rPr>
          <w:rFonts w:asciiTheme="majorHAnsi" w:hAnsiTheme="majorHAnsi"/>
          <w:sz w:val="20"/>
          <w:szCs w:val="20"/>
          <w:lang w:val="es-ES_tradnl" w:eastAsia="es-ES"/>
        </w:rPr>
        <w:t>l 10 de diciembre de 2008 se emitió sentencia</w:t>
      </w:r>
      <w:r w:rsidRPr="00FF7F88">
        <w:rPr>
          <w:rFonts w:asciiTheme="majorHAnsi" w:hAnsiTheme="majorHAnsi"/>
          <w:sz w:val="20"/>
          <w:szCs w:val="20"/>
          <w:lang w:val="es-ES_tradnl" w:eastAsia="es-ES"/>
        </w:rPr>
        <w:t xml:space="preserve"> de primera instancia</w:t>
      </w:r>
      <w:r w:rsidR="00875563" w:rsidRPr="00FF7F88">
        <w:rPr>
          <w:rFonts w:asciiTheme="majorHAnsi" w:hAnsiTheme="majorHAnsi"/>
          <w:sz w:val="20"/>
          <w:szCs w:val="20"/>
          <w:lang w:val="es-ES_tradnl" w:eastAsia="es-ES"/>
        </w:rPr>
        <w:t xml:space="preserve"> favorable a las presuntas víctimas. Esta sentencia fue confirmada el 27 de julio de 2009 por la Corte de Apelaciones de lo Contencioso Administrativo</w:t>
      </w:r>
      <w:r w:rsidRPr="00FF7F88">
        <w:rPr>
          <w:rFonts w:asciiTheme="majorHAnsi" w:hAnsiTheme="majorHAnsi"/>
          <w:sz w:val="20"/>
          <w:szCs w:val="20"/>
          <w:lang w:val="es-ES_tradnl" w:eastAsia="es-ES"/>
        </w:rPr>
        <w:t>;</w:t>
      </w:r>
      <w:r w:rsidR="00875563" w:rsidRPr="00FF7F88">
        <w:rPr>
          <w:rFonts w:asciiTheme="majorHAnsi" w:hAnsiTheme="majorHAnsi"/>
          <w:sz w:val="20"/>
          <w:szCs w:val="20"/>
          <w:lang w:val="es-ES_tradnl" w:eastAsia="es-ES"/>
        </w:rPr>
        <w:t xml:space="preserve"> y posteriormente por la Corte Suprema de Justicia el 18 de febrero de 2011. Según sostiene</w:t>
      </w:r>
      <w:r w:rsidR="00976DD4" w:rsidRPr="00FF7F88">
        <w:rPr>
          <w:rFonts w:asciiTheme="majorHAnsi" w:hAnsiTheme="majorHAnsi"/>
          <w:sz w:val="20"/>
          <w:szCs w:val="20"/>
          <w:lang w:val="es-ES_tradnl" w:eastAsia="es-ES"/>
        </w:rPr>
        <w:t xml:space="preserve"> la peticionaria</w:t>
      </w:r>
      <w:r w:rsidR="00875563" w:rsidRPr="00FF7F88">
        <w:rPr>
          <w:rFonts w:asciiTheme="majorHAnsi" w:hAnsiTheme="majorHAnsi"/>
          <w:sz w:val="20"/>
          <w:szCs w:val="20"/>
          <w:lang w:val="es-ES_tradnl" w:eastAsia="es-ES"/>
        </w:rPr>
        <w:t xml:space="preserve">, con la confirmación de la Corte Suprema la sentencia en cuestión quedó en firme y </w:t>
      </w:r>
      <w:r w:rsidR="00797805" w:rsidRPr="00FF7F88">
        <w:rPr>
          <w:rFonts w:asciiTheme="majorHAnsi" w:hAnsiTheme="majorHAnsi"/>
          <w:sz w:val="20"/>
          <w:szCs w:val="20"/>
          <w:lang w:val="es-ES_tradnl" w:eastAsia="es-ES"/>
        </w:rPr>
        <w:t xml:space="preserve">con </w:t>
      </w:r>
      <w:r w:rsidR="00976DD4" w:rsidRPr="00FF7F88">
        <w:rPr>
          <w:rFonts w:asciiTheme="majorHAnsi" w:hAnsiTheme="majorHAnsi"/>
          <w:sz w:val="20"/>
          <w:szCs w:val="20"/>
          <w:lang w:val="es-ES_tradnl" w:eastAsia="es-ES"/>
        </w:rPr>
        <w:t>carácter</w:t>
      </w:r>
      <w:r w:rsidR="00797805" w:rsidRPr="00FF7F88">
        <w:rPr>
          <w:rFonts w:asciiTheme="majorHAnsi" w:hAnsiTheme="majorHAnsi"/>
          <w:sz w:val="20"/>
          <w:szCs w:val="20"/>
          <w:lang w:val="es-ES_tradnl" w:eastAsia="es-ES"/>
        </w:rPr>
        <w:t xml:space="preserve"> de cosa juzgada; otorgándose a la Secretaría de Agricultura y Ganadería </w:t>
      </w:r>
      <w:r w:rsidR="00976DD4" w:rsidRPr="00FF7F88">
        <w:rPr>
          <w:rFonts w:asciiTheme="majorHAnsi" w:hAnsiTheme="majorHAnsi"/>
          <w:sz w:val="20"/>
          <w:szCs w:val="20"/>
          <w:lang w:val="es-ES_tradnl" w:eastAsia="es-ES"/>
        </w:rPr>
        <w:t>cinco</w:t>
      </w:r>
      <w:r w:rsidR="00797805" w:rsidRPr="00FF7F88">
        <w:rPr>
          <w:rFonts w:asciiTheme="majorHAnsi" w:hAnsiTheme="majorHAnsi"/>
          <w:sz w:val="20"/>
          <w:szCs w:val="20"/>
          <w:lang w:val="es-ES_tradnl" w:eastAsia="es-ES"/>
        </w:rPr>
        <w:t xml:space="preserve"> días hábiles para </w:t>
      </w:r>
      <w:r w:rsidR="00976DD4" w:rsidRPr="00FF7F88">
        <w:rPr>
          <w:rFonts w:asciiTheme="majorHAnsi" w:hAnsiTheme="majorHAnsi"/>
          <w:sz w:val="20"/>
          <w:szCs w:val="20"/>
          <w:lang w:val="es-ES_tradnl" w:eastAsia="es-ES"/>
        </w:rPr>
        <w:t>cumplirla</w:t>
      </w:r>
      <w:r w:rsidR="00797805" w:rsidRPr="00FF7F88">
        <w:rPr>
          <w:rFonts w:asciiTheme="majorHAnsi" w:hAnsiTheme="majorHAnsi"/>
          <w:sz w:val="20"/>
          <w:szCs w:val="20"/>
          <w:lang w:val="es-ES_tradnl" w:eastAsia="es-ES"/>
        </w:rPr>
        <w:t xml:space="preserve">. </w:t>
      </w:r>
      <w:r w:rsidR="00C069EF" w:rsidRPr="00FF7F88">
        <w:rPr>
          <w:rFonts w:asciiTheme="majorHAnsi" w:hAnsiTheme="majorHAnsi"/>
          <w:sz w:val="20"/>
          <w:szCs w:val="20"/>
          <w:lang w:val="es-ES_tradnl" w:eastAsia="es-ES"/>
        </w:rPr>
        <w:t>Sin embargo, l</w:t>
      </w:r>
      <w:r w:rsidR="00797805" w:rsidRPr="00FF7F88">
        <w:rPr>
          <w:rFonts w:asciiTheme="majorHAnsi" w:hAnsiTheme="majorHAnsi"/>
          <w:sz w:val="20"/>
          <w:szCs w:val="20"/>
          <w:lang w:val="es-ES_tradnl" w:eastAsia="es-ES"/>
        </w:rPr>
        <w:t xml:space="preserve">a </w:t>
      </w:r>
      <w:r w:rsidR="00C069EF" w:rsidRPr="00FF7F88">
        <w:rPr>
          <w:rFonts w:asciiTheme="majorHAnsi" w:hAnsiTheme="majorHAnsi"/>
          <w:sz w:val="20"/>
          <w:szCs w:val="20"/>
          <w:lang w:val="es-ES_tradnl" w:eastAsia="es-ES"/>
        </w:rPr>
        <w:t>s</w:t>
      </w:r>
      <w:r w:rsidR="00797805" w:rsidRPr="00FF7F88">
        <w:rPr>
          <w:rFonts w:asciiTheme="majorHAnsi" w:hAnsiTheme="majorHAnsi"/>
          <w:sz w:val="20"/>
          <w:szCs w:val="20"/>
          <w:lang w:val="es-ES_tradnl" w:eastAsia="es-ES"/>
        </w:rPr>
        <w:t>ecretaría no cumpliría con lo ordenado</w:t>
      </w:r>
      <w:r w:rsidR="00C069EF" w:rsidRPr="00FF7F88">
        <w:rPr>
          <w:rFonts w:asciiTheme="majorHAnsi" w:hAnsiTheme="majorHAnsi"/>
          <w:sz w:val="20"/>
          <w:szCs w:val="20"/>
          <w:lang w:val="es-ES_tradnl" w:eastAsia="es-ES"/>
        </w:rPr>
        <w:t>,</w:t>
      </w:r>
      <w:r w:rsidR="00797805" w:rsidRPr="00FF7F88">
        <w:rPr>
          <w:rFonts w:asciiTheme="majorHAnsi" w:hAnsiTheme="majorHAnsi"/>
          <w:sz w:val="20"/>
          <w:szCs w:val="20"/>
          <w:lang w:val="es-ES_tradnl" w:eastAsia="es-ES"/>
        </w:rPr>
        <w:t xml:space="preserve"> por lo que las presuntas víctimas </w:t>
      </w:r>
      <w:r w:rsidR="00C069EF" w:rsidRPr="00FF7F88">
        <w:rPr>
          <w:rFonts w:asciiTheme="majorHAnsi" w:hAnsiTheme="majorHAnsi"/>
          <w:sz w:val="20"/>
          <w:szCs w:val="20"/>
          <w:lang w:val="es-ES_tradnl" w:eastAsia="es-ES"/>
        </w:rPr>
        <w:t>solicitaron</w:t>
      </w:r>
      <w:r w:rsidR="00797805" w:rsidRPr="00FF7F88">
        <w:rPr>
          <w:rFonts w:asciiTheme="majorHAnsi" w:hAnsiTheme="majorHAnsi"/>
          <w:sz w:val="20"/>
          <w:szCs w:val="20"/>
          <w:lang w:val="es-ES_tradnl" w:eastAsia="es-ES"/>
        </w:rPr>
        <w:t xml:space="preserve"> la ejecución de la sentencia ante el juzgado a cargo.</w:t>
      </w:r>
    </w:p>
    <w:p w14:paraId="41B688E6" w14:textId="637B99AC" w:rsidR="00797805" w:rsidRPr="00FF7F88" w:rsidRDefault="00797805"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 xml:space="preserve">Según continúa el relato, </w:t>
      </w:r>
      <w:r w:rsidR="002A0B04" w:rsidRPr="00FF7F88">
        <w:rPr>
          <w:rFonts w:asciiTheme="majorHAnsi" w:hAnsiTheme="majorHAnsi"/>
          <w:sz w:val="20"/>
          <w:szCs w:val="20"/>
          <w:lang w:val="es-ES_tradnl" w:eastAsia="es-ES"/>
        </w:rPr>
        <w:t xml:space="preserve">el Juzgado de Letras de lo Contencioso Administrativo de Tegucigalpa </w:t>
      </w:r>
      <w:r w:rsidR="004336A3" w:rsidRPr="00FF7F88">
        <w:rPr>
          <w:rFonts w:asciiTheme="majorHAnsi" w:hAnsiTheme="majorHAnsi"/>
          <w:sz w:val="20"/>
          <w:szCs w:val="20"/>
          <w:lang w:val="es-ES_tradnl" w:eastAsia="es-ES"/>
        </w:rPr>
        <w:t xml:space="preserve">ordenó la liquidación parcial de la sentencia mediante auto del 30 de mayo de 2012. Este auto fue luego confirmado por la Corte de Apelaciones de lo Contencioso Administrativo el 23 de agosto de 2012. Sin embargo, la </w:t>
      </w:r>
      <w:r w:rsidR="00C069EF" w:rsidRPr="00FF7F88">
        <w:rPr>
          <w:rFonts w:asciiTheme="majorHAnsi" w:hAnsiTheme="majorHAnsi"/>
          <w:sz w:val="20"/>
          <w:szCs w:val="20"/>
          <w:lang w:val="es-ES_tradnl" w:eastAsia="es-ES"/>
        </w:rPr>
        <w:t>s</w:t>
      </w:r>
      <w:r w:rsidR="004336A3" w:rsidRPr="00FF7F88">
        <w:rPr>
          <w:rFonts w:asciiTheme="majorHAnsi" w:hAnsiTheme="majorHAnsi"/>
          <w:sz w:val="20"/>
          <w:szCs w:val="20"/>
          <w:lang w:val="es-ES_tradnl" w:eastAsia="es-ES"/>
        </w:rPr>
        <w:t>ecretaría demandada impugnaría el auto que ordenó la ejecución mediante un recurso de amparo</w:t>
      </w:r>
      <w:r w:rsidR="001F6158" w:rsidRPr="00FF7F88">
        <w:rPr>
          <w:rFonts w:asciiTheme="majorHAnsi" w:hAnsiTheme="majorHAnsi"/>
          <w:sz w:val="20"/>
          <w:szCs w:val="20"/>
          <w:lang w:val="es-ES_tradnl" w:eastAsia="es-ES"/>
        </w:rPr>
        <w:t>, el cual fue admitido a trámite el 5 de diciembre de 2012</w:t>
      </w:r>
      <w:r w:rsidR="00582905" w:rsidRPr="00FF7F88">
        <w:rPr>
          <w:rFonts w:asciiTheme="majorHAnsi" w:hAnsiTheme="majorHAnsi"/>
          <w:sz w:val="20"/>
          <w:szCs w:val="20"/>
          <w:lang w:val="es-ES_tradnl" w:eastAsia="es-ES"/>
        </w:rPr>
        <w:t xml:space="preserve"> por la Sala Constitucional de la Corte Suprema de Justicia</w:t>
      </w:r>
      <w:r w:rsidR="00C069EF" w:rsidRPr="00FF7F88">
        <w:rPr>
          <w:rFonts w:asciiTheme="majorHAnsi" w:hAnsiTheme="majorHAnsi"/>
          <w:sz w:val="20"/>
          <w:szCs w:val="20"/>
          <w:lang w:val="es-ES_tradnl" w:eastAsia="es-ES"/>
        </w:rPr>
        <w:t>;</w:t>
      </w:r>
      <w:r w:rsidR="00582905" w:rsidRPr="00FF7F88">
        <w:rPr>
          <w:rFonts w:asciiTheme="majorHAnsi" w:hAnsiTheme="majorHAnsi"/>
          <w:sz w:val="20"/>
          <w:szCs w:val="20"/>
          <w:lang w:val="es-ES_tradnl" w:eastAsia="es-ES"/>
        </w:rPr>
        <w:t xml:space="preserve"> </w:t>
      </w:r>
      <w:r w:rsidR="00C069EF" w:rsidRPr="00FF7F88">
        <w:rPr>
          <w:rFonts w:asciiTheme="majorHAnsi" w:hAnsiTheme="majorHAnsi"/>
          <w:sz w:val="20"/>
          <w:szCs w:val="20"/>
          <w:lang w:val="es-ES_tradnl" w:eastAsia="es-ES"/>
        </w:rPr>
        <w:t>la cual finalmente</w:t>
      </w:r>
      <w:r w:rsidR="001F6158" w:rsidRPr="00FF7F88">
        <w:rPr>
          <w:rFonts w:asciiTheme="majorHAnsi" w:hAnsiTheme="majorHAnsi"/>
          <w:sz w:val="20"/>
          <w:szCs w:val="20"/>
          <w:lang w:val="es-ES_tradnl" w:eastAsia="es-ES"/>
        </w:rPr>
        <w:t xml:space="preserve"> </w:t>
      </w:r>
      <w:r w:rsidR="00582905" w:rsidRPr="00FF7F88">
        <w:rPr>
          <w:rFonts w:asciiTheme="majorHAnsi" w:hAnsiTheme="majorHAnsi"/>
          <w:sz w:val="20"/>
          <w:szCs w:val="20"/>
          <w:lang w:val="es-ES_tradnl" w:eastAsia="es-ES"/>
        </w:rPr>
        <w:t>concedió</w:t>
      </w:r>
      <w:r w:rsidR="001F6158" w:rsidRPr="00FF7F88">
        <w:rPr>
          <w:rFonts w:asciiTheme="majorHAnsi" w:hAnsiTheme="majorHAnsi"/>
          <w:sz w:val="20"/>
          <w:szCs w:val="20"/>
          <w:lang w:val="es-ES_tradnl" w:eastAsia="es-ES"/>
        </w:rPr>
        <w:t xml:space="preserve"> la suspensión del acto reclamado.</w:t>
      </w:r>
      <w:r w:rsidR="00582905" w:rsidRPr="00FF7F88">
        <w:rPr>
          <w:rFonts w:asciiTheme="majorHAnsi" w:hAnsiTheme="majorHAnsi"/>
          <w:sz w:val="20"/>
          <w:szCs w:val="20"/>
          <w:lang w:val="es-ES_tradnl" w:eastAsia="es-ES"/>
        </w:rPr>
        <w:t xml:space="preserve"> La ejecución de la sentencia permaneció suspendida cerca de dos años sin que se resolviera la acción de amparo, lo que se denuncia como un retardo injustificado que causó perjuicio a las presuntas víctimas. </w:t>
      </w:r>
      <w:r w:rsidR="004E2DCD" w:rsidRPr="00FF7F88">
        <w:rPr>
          <w:rFonts w:asciiTheme="majorHAnsi" w:hAnsiTheme="majorHAnsi"/>
          <w:sz w:val="20"/>
          <w:szCs w:val="20"/>
          <w:lang w:val="es-ES_tradnl" w:eastAsia="es-ES"/>
        </w:rPr>
        <w:t xml:space="preserve">Dada </w:t>
      </w:r>
      <w:r w:rsidR="00C069EF" w:rsidRPr="00FF7F88">
        <w:rPr>
          <w:rFonts w:asciiTheme="majorHAnsi" w:hAnsiTheme="majorHAnsi"/>
          <w:sz w:val="20"/>
          <w:szCs w:val="20"/>
          <w:lang w:val="es-ES_tradnl" w:eastAsia="es-ES"/>
        </w:rPr>
        <w:t>esta</w:t>
      </w:r>
      <w:r w:rsidR="004E2DCD" w:rsidRPr="00FF7F88">
        <w:rPr>
          <w:rFonts w:asciiTheme="majorHAnsi" w:hAnsiTheme="majorHAnsi"/>
          <w:sz w:val="20"/>
          <w:szCs w:val="20"/>
          <w:lang w:val="es-ES_tradnl" w:eastAsia="es-ES"/>
        </w:rPr>
        <w:t xml:space="preserve"> situación de retardo injustificado, la peticionaria solicitó a la </w:t>
      </w:r>
      <w:r w:rsidR="00C069EF" w:rsidRPr="00FF7F88">
        <w:rPr>
          <w:rFonts w:asciiTheme="majorHAnsi" w:hAnsiTheme="majorHAnsi"/>
          <w:sz w:val="20"/>
          <w:szCs w:val="20"/>
          <w:lang w:val="es-ES_tradnl" w:eastAsia="es-ES"/>
        </w:rPr>
        <w:t>s</w:t>
      </w:r>
      <w:r w:rsidR="004E2DCD" w:rsidRPr="00FF7F88">
        <w:rPr>
          <w:rFonts w:asciiTheme="majorHAnsi" w:hAnsiTheme="majorHAnsi"/>
          <w:sz w:val="20"/>
          <w:szCs w:val="20"/>
          <w:lang w:val="es-ES_tradnl" w:eastAsia="es-ES"/>
        </w:rPr>
        <w:t xml:space="preserve">ala copias certificadas del expediente a fin de presentar una denuncia ante el Sistema Interamericano. El 7 de octubre de 2014, un día después de esa solicitud, la </w:t>
      </w:r>
      <w:r w:rsidR="00C069EF" w:rsidRPr="00FF7F88">
        <w:rPr>
          <w:rFonts w:asciiTheme="majorHAnsi" w:hAnsiTheme="majorHAnsi"/>
          <w:sz w:val="20"/>
          <w:szCs w:val="20"/>
          <w:lang w:val="es-ES_tradnl" w:eastAsia="es-ES"/>
        </w:rPr>
        <w:t>s</w:t>
      </w:r>
      <w:r w:rsidR="004E2DCD" w:rsidRPr="00FF7F88">
        <w:rPr>
          <w:rFonts w:asciiTheme="majorHAnsi" w:hAnsiTheme="majorHAnsi"/>
          <w:sz w:val="20"/>
          <w:szCs w:val="20"/>
          <w:lang w:val="es-ES_tradnl" w:eastAsia="es-ES"/>
        </w:rPr>
        <w:t xml:space="preserve">ala decidió otorgar el amparo </w:t>
      </w:r>
      <w:r w:rsidR="007938BA" w:rsidRPr="00FF7F88">
        <w:rPr>
          <w:rFonts w:asciiTheme="majorHAnsi" w:hAnsiTheme="majorHAnsi"/>
          <w:sz w:val="20"/>
          <w:szCs w:val="20"/>
          <w:lang w:val="es-ES_tradnl" w:eastAsia="es-ES"/>
        </w:rPr>
        <w:t>haciendo imposible la ejecución de la sentencia que había sido favorable a las presuntas víctimas</w:t>
      </w:r>
      <w:r w:rsidR="00D109EE" w:rsidRPr="00FF7F88">
        <w:rPr>
          <w:rFonts w:asciiTheme="majorHAnsi" w:hAnsiTheme="majorHAnsi"/>
          <w:sz w:val="20"/>
          <w:szCs w:val="20"/>
          <w:lang w:val="es-ES_tradnl" w:eastAsia="es-ES"/>
        </w:rPr>
        <w:t xml:space="preserve"> y dejando agotados los recursos internos.</w:t>
      </w:r>
      <w:r w:rsidR="00D109EE" w:rsidRPr="00FF7F88">
        <w:rPr>
          <w:rFonts w:asciiTheme="majorHAnsi" w:hAnsiTheme="majorHAnsi"/>
          <w:sz w:val="20"/>
          <w:szCs w:val="20"/>
          <w:lang w:val="es-ES_tradnl" w:eastAsia="es-ES"/>
        </w:rPr>
        <w:tab/>
      </w:r>
    </w:p>
    <w:p w14:paraId="598CBED7" w14:textId="23A6ECD1" w:rsidR="007938BA" w:rsidRPr="00FF7F88" w:rsidRDefault="007938BA"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 xml:space="preserve">La </w:t>
      </w:r>
      <w:r w:rsidR="00C069EF" w:rsidRPr="00FF7F88">
        <w:rPr>
          <w:rFonts w:asciiTheme="majorHAnsi" w:hAnsiTheme="majorHAnsi"/>
          <w:sz w:val="20"/>
          <w:szCs w:val="20"/>
          <w:lang w:val="es-ES_tradnl" w:eastAsia="es-ES"/>
        </w:rPr>
        <w:t xml:space="preserve">Sala Constitucional de la Corte Suprema de Justicia </w:t>
      </w:r>
      <w:r w:rsidRPr="00FF7F88">
        <w:rPr>
          <w:rFonts w:asciiTheme="majorHAnsi" w:hAnsiTheme="majorHAnsi"/>
          <w:sz w:val="20"/>
          <w:szCs w:val="20"/>
          <w:lang w:val="es-ES_tradnl" w:eastAsia="es-ES"/>
        </w:rPr>
        <w:t xml:space="preserve">fundamentó el otorgamiento del amparo en </w:t>
      </w:r>
      <w:r w:rsidR="003B6BC3" w:rsidRPr="00FF7F88">
        <w:rPr>
          <w:rFonts w:asciiTheme="majorHAnsi" w:hAnsiTheme="majorHAnsi"/>
          <w:sz w:val="20"/>
          <w:szCs w:val="20"/>
          <w:lang w:val="es-ES_tradnl" w:eastAsia="es-ES"/>
        </w:rPr>
        <w:t xml:space="preserve">que en 2006 se había emitido una sentencia mediante la cual se declaró inconstitucional el Decreto Legislativo 78-2001 </w:t>
      </w:r>
      <w:r w:rsidR="00567D15" w:rsidRPr="00FF7F88">
        <w:rPr>
          <w:rFonts w:asciiTheme="majorHAnsi" w:hAnsiTheme="majorHAnsi"/>
          <w:sz w:val="20"/>
          <w:szCs w:val="20"/>
          <w:lang w:val="es-ES_tradnl" w:eastAsia="es-ES"/>
        </w:rPr>
        <w:t>por el cual el</w:t>
      </w:r>
      <w:r w:rsidR="003B6BC3" w:rsidRPr="00FF7F88">
        <w:rPr>
          <w:rFonts w:asciiTheme="majorHAnsi" w:hAnsiTheme="majorHAnsi"/>
          <w:sz w:val="20"/>
          <w:szCs w:val="20"/>
          <w:lang w:val="es-ES_tradnl" w:eastAsia="es-ES"/>
        </w:rPr>
        <w:t xml:space="preserve"> Congreso había conferido rango de ley al Arancel de los Profesionales de las Ciencias Agrícolas sin seguir los </w:t>
      </w:r>
      <w:r w:rsidR="00567D15" w:rsidRPr="00FF7F88">
        <w:rPr>
          <w:rFonts w:asciiTheme="majorHAnsi" w:hAnsiTheme="majorHAnsi"/>
          <w:sz w:val="20"/>
          <w:szCs w:val="20"/>
          <w:lang w:val="es-ES_tradnl" w:eastAsia="es-ES"/>
        </w:rPr>
        <w:t xml:space="preserve">procedimientos constitucionalmente previstos para la formación de leyes. Esta sentencia no fue publicada en </w:t>
      </w:r>
      <w:r w:rsidR="00C069EF" w:rsidRPr="00FF7F88">
        <w:rPr>
          <w:rFonts w:asciiTheme="majorHAnsi" w:hAnsiTheme="majorHAnsi"/>
          <w:sz w:val="20"/>
          <w:szCs w:val="20"/>
          <w:lang w:val="es-ES_tradnl" w:eastAsia="es-ES"/>
        </w:rPr>
        <w:t>la G</w:t>
      </w:r>
      <w:r w:rsidR="00567D15" w:rsidRPr="00FF7F88">
        <w:rPr>
          <w:rFonts w:asciiTheme="majorHAnsi" w:hAnsiTheme="majorHAnsi"/>
          <w:sz w:val="20"/>
          <w:szCs w:val="20"/>
          <w:lang w:val="es-ES_tradnl" w:eastAsia="es-ES"/>
        </w:rPr>
        <w:t xml:space="preserve">aceta </w:t>
      </w:r>
      <w:r w:rsidR="00C069EF" w:rsidRPr="00FF7F88">
        <w:rPr>
          <w:rFonts w:asciiTheme="majorHAnsi" w:hAnsiTheme="majorHAnsi"/>
          <w:sz w:val="20"/>
          <w:szCs w:val="20"/>
          <w:lang w:val="es-ES_tradnl" w:eastAsia="es-ES"/>
        </w:rPr>
        <w:t>O</w:t>
      </w:r>
      <w:r w:rsidR="00567D15" w:rsidRPr="00FF7F88">
        <w:rPr>
          <w:rFonts w:asciiTheme="majorHAnsi" w:hAnsiTheme="majorHAnsi"/>
          <w:sz w:val="20"/>
          <w:szCs w:val="20"/>
          <w:lang w:val="es-ES_tradnl" w:eastAsia="es-ES"/>
        </w:rPr>
        <w:t>ficial sino hasta 2009, después de emitido el fallo de primera instancia a favor de las presuntas víctimas. Sin embargo</w:t>
      </w:r>
      <w:r w:rsidR="00227594" w:rsidRPr="00FF7F88">
        <w:rPr>
          <w:rFonts w:asciiTheme="majorHAnsi" w:hAnsiTheme="majorHAnsi"/>
          <w:sz w:val="20"/>
          <w:szCs w:val="20"/>
          <w:lang w:val="es-ES_tradnl" w:eastAsia="es-ES"/>
        </w:rPr>
        <w:t>, las sentencias que confirmaron el fallo en apelación y casación fueron posteriores a la publicación del fallo de inconstitucionalidad</w:t>
      </w:r>
      <w:r w:rsidR="00C069EF" w:rsidRPr="00FF7F88">
        <w:rPr>
          <w:rFonts w:asciiTheme="majorHAnsi" w:hAnsiTheme="majorHAnsi"/>
          <w:sz w:val="20"/>
          <w:szCs w:val="20"/>
          <w:lang w:val="es-ES_tradnl" w:eastAsia="es-ES"/>
        </w:rPr>
        <w:t>;</w:t>
      </w:r>
      <w:r w:rsidR="00227594" w:rsidRPr="00FF7F88">
        <w:rPr>
          <w:rFonts w:asciiTheme="majorHAnsi" w:hAnsiTheme="majorHAnsi"/>
          <w:sz w:val="20"/>
          <w:szCs w:val="20"/>
          <w:lang w:val="es-ES_tradnl" w:eastAsia="es-ES"/>
        </w:rPr>
        <w:t xml:space="preserve"> </w:t>
      </w:r>
      <w:r w:rsidR="00C069EF" w:rsidRPr="00FF7F88">
        <w:rPr>
          <w:rFonts w:asciiTheme="majorHAnsi" w:hAnsiTheme="majorHAnsi"/>
          <w:sz w:val="20"/>
          <w:szCs w:val="20"/>
          <w:lang w:val="es-ES_tradnl" w:eastAsia="es-ES"/>
        </w:rPr>
        <w:t>p</w:t>
      </w:r>
      <w:r w:rsidR="00227594" w:rsidRPr="00FF7F88">
        <w:rPr>
          <w:rFonts w:asciiTheme="majorHAnsi" w:hAnsiTheme="majorHAnsi"/>
          <w:sz w:val="20"/>
          <w:szCs w:val="20"/>
          <w:lang w:val="es-ES_tradnl" w:eastAsia="es-ES"/>
        </w:rPr>
        <w:t xml:space="preserve">or ende, la Corte consideró que los tribunales que las emitieron </w:t>
      </w:r>
      <w:r w:rsidR="00223517" w:rsidRPr="00FF7F88">
        <w:rPr>
          <w:rFonts w:asciiTheme="majorHAnsi" w:hAnsiTheme="majorHAnsi"/>
          <w:sz w:val="20"/>
          <w:szCs w:val="20"/>
          <w:lang w:val="es-ES_tradnl" w:eastAsia="es-ES"/>
        </w:rPr>
        <w:t xml:space="preserve">actuaron injustamente </w:t>
      </w:r>
      <w:r w:rsidR="007B5D63" w:rsidRPr="00FF7F88">
        <w:rPr>
          <w:rFonts w:asciiTheme="majorHAnsi" w:hAnsiTheme="majorHAnsi"/>
          <w:sz w:val="20"/>
          <w:szCs w:val="20"/>
          <w:lang w:val="es-ES_tradnl" w:eastAsia="es-ES"/>
        </w:rPr>
        <w:t>en perjuicio del Estado</w:t>
      </w:r>
      <w:r w:rsidR="00223517" w:rsidRPr="00FF7F88">
        <w:rPr>
          <w:rFonts w:asciiTheme="majorHAnsi" w:hAnsiTheme="majorHAnsi"/>
          <w:sz w:val="20"/>
          <w:szCs w:val="20"/>
          <w:lang w:val="es-ES_tradnl" w:eastAsia="es-ES"/>
        </w:rPr>
        <w:t xml:space="preserve"> al omitir los efectos </w:t>
      </w:r>
      <w:r w:rsidR="00223517" w:rsidRPr="00FF7F88">
        <w:rPr>
          <w:rFonts w:asciiTheme="majorHAnsi" w:hAnsiTheme="majorHAnsi"/>
          <w:i/>
          <w:iCs/>
          <w:sz w:val="20"/>
          <w:szCs w:val="20"/>
          <w:lang w:val="es-ES_tradnl" w:eastAsia="es-ES"/>
        </w:rPr>
        <w:t xml:space="preserve">erga omnes </w:t>
      </w:r>
      <w:r w:rsidR="00223517" w:rsidRPr="00FF7F88">
        <w:rPr>
          <w:rFonts w:asciiTheme="majorHAnsi" w:hAnsiTheme="majorHAnsi"/>
          <w:sz w:val="20"/>
          <w:szCs w:val="20"/>
          <w:lang w:val="es-ES_tradnl" w:eastAsia="es-ES"/>
        </w:rPr>
        <w:t>de la declaratoria de inconstitucionalidad y fallar a favor de las presuntas víctimas en base a una norma que había sido expulsada del ordenamiento jurídico de Hondura</w:t>
      </w:r>
      <w:r w:rsidR="007B5D63" w:rsidRPr="00FF7F88">
        <w:rPr>
          <w:rFonts w:asciiTheme="majorHAnsi" w:hAnsiTheme="majorHAnsi"/>
          <w:sz w:val="20"/>
          <w:szCs w:val="20"/>
          <w:lang w:val="es-ES_tradnl" w:eastAsia="es-ES"/>
        </w:rPr>
        <w:t>s</w:t>
      </w:r>
      <w:r w:rsidR="00223517" w:rsidRPr="00FF7F88">
        <w:rPr>
          <w:rFonts w:asciiTheme="majorHAnsi" w:hAnsiTheme="majorHAnsi"/>
          <w:sz w:val="20"/>
          <w:szCs w:val="20"/>
          <w:lang w:val="es-ES_tradnl" w:eastAsia="es-ES"/>
        </w:rPr>
        <w:t xml:space="preserve"> como lo era el Arancel de los Profesionales de las Ciencias Agrícolas. La </w:t>
      </w:r>
      <w:r w:rsidR="00C069EF" w:rsidRPr="00FF7F88">
        <w:rPr>
          <w:rFonts w:asciiTheme="majorHAnsi" w:hAnsiTheme="majorHAnsi"/>
          <w:sz w:val="20"/>
          <w:szCs w:val="20"/>
          <w:lang w:val="es-ES_tradnl" w:eastAsia="es-ES"/>
        </w:rPr>
        <w:t xml:space="preserve">Sala Constitucional de la Corte Suprema de Justicia </w:t>
      </w:r>
      <w:r w:rsidR="00223517" w:rsidRPr="00FF7F88">
        <w:rPr>
          <w:rFonts w:asciiTheme="majorHAnsi" w:hAnsiTheme="majorHAnsi"/>
          <w:sz w:val="20"/>
          <w:szCs w:val="20"/>
          <w:lang w:val="es-ES_tradnl" w:eastAsia="es-ES"/>
        </w:rPr>
        <w:t xml:space="preserve">además señaló que, si bien los fallos cuya ejecución se solicitaba se encontraban firmes, el procedimiento de ejecución no lo estaba por haber sido recurrido mediante amparo. Por esas razones, la </w:t>
      </w:r>
      <w:r w:rsidR="00C069EF" w:rsidRPr="00FF7F88">
        <w:rPr>
          <w:rFonts w:asciiTheme="majorHAnsi" w:hAnsiTheme="majorHAnsi"/>
          <w:sz w:val="20"/>
          <w:szCs w:val="20"/>
          <w:lang w:val="es-ES_tradnl" w:eastAsia="es-ES"/>
        </w:rPr>
        <w:t>sala</w:t>
      </w:r>
      <w:r w:rsidR="00223517" w:rsidRPr="00FF7F88">
        <w:rPr>
          <w:rFonts w:asciiTheme="majorHAnsi" w:hAnsiTheme="majorHAnsi"/>
          <w:sz w:val="20"/>
          <w:szCs w:val="20"/>
          <w:lang w:val="es-ES_tradnl" w:eastAsia="es-ES"/>
        </w:rPr>
        <w:t xml:space="preserve"> </w:t>
      </w:r>
      <w:r w:rsidR="007B5D63" w:rsidRPr="00FF7F88">
        <w:rPr>
          <w:rFonts w:asciiTheme="majorHAnsi" w:hAnsiTheme="majorHAnsi"/>
          <w:sz w:val="20"/>
          <w:szCs w:val="20"/>
          <w:lang w:val="es-ES_tradnl" w:eastAsia="es-ES"/>
        </w:rPr>
        <w:t>consideró que era su deber dictaminar la inaplicabilidad de la sentencia de ejecución,</w:t>
      </w:r>
      <w:r w:rsidR="00AB290C" w:rsidRPr="00FF7F88">
        <w:rPr>
          <w:rFonts w:asciiTheme="majorHAnsi" w:hAnsiTheme="majorHAnsi"/>
          <w:sz w:val="20"/>
          <w:szCs w:val="20"/>
          <w:lang w:val="es-ES_tradnl" w:eastAsia="es-ES"/>
        </w:rPr>
        <w:t xml:space="preserve"> </w:t>
      </w:r>
      <w:r w:rsidR="007B5D63" w:rsidRPr="00FF7F88">
        <w:rPr>
          <w:rFonts w:asciiTheme="majorHAnsi" w:hAnsiTheme="majorHAnsi"/>
          <w:sz w:val="20"/>
          <w:szCs w:val="20"/>
          <w:lang w:val="es-ES_tradnl" w:eastAsia="es-ES"/>
        </w:rPr>
        <w:t xml:space="preserve">por ser imposible hacer efectivo un fallo de condena obtenido en forma injusta. </w:t>
      </w:r>
    </w:p>
    <w:p w14:paraId="428A3FC4" w14:textId="405AC073" w:rsidR="00FD55A3" w:rsidRPr="00FF7F88" w:rsidRDefault="00AB290C"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La peticionaria considera que al conceder el amparo la Sala Constitucional no resolvió el recurso de amparo presentado contra la orden de ejecución</w:t>
      </w:r>
      <w:r w:rsidR="0043372B" w:rsidRPr="00FF7F88">
        <w:rPr>
          <w:rFonts w:asciiTheme="majorHAnsi" w:hAnsiTheme="majorHAnsi"/>
          <w:sz w:val="20"/>
          <w:szCs w:val="20"/>
          <w:lang w:val="es-ES_tradnl" w:eastAsia="es-ES"/>
        </w:rPr>
        <w:t>,</w:t>
      </w:r>
      <w:r w:rsidRPr="00FF7F88">
        <w:rPr>
          <w:rFonts w:asciiTheme="majorHAnsi" w:hAnsiTheme="majorHAnsi"/>
          <w:sz w:val="20"/>
          <w:szCs w:val="20"/>
          <w:lang w:val="es-ES_tradnl" w:eastAsia="es-ES"/>
        </w:rPr>
        <w:t xml:space="preserve"> sino que</w:t>
      </w:r>
      <w:r w:rsidR="0043372B" w:rsidRPr="00FF7F88">
        <w:rPr>
          <w:rFonts w:asciiTheme="majorHAnsi" w:hAnsiTheme="majorHAnsi"/>
          <w:sz w:val="20"/>
          <w:szCs w:val="20"/>
          <w:lang w:val="es-ES_tradnl" w:eastAsia="es-ES"/>
        </w:rPr>
        <w:t>,</w:t>
      </w:r>
      <w:r w:rsidRPr="00FF7F88">
        <w:rPr>
          <w:rFonts w:asciiTheme="majorHAnsi" w:hAnsiTheme="majorHAnsi"/>
          <w:sz w:val="20"/>
          <w:szCs w:val="20"/>
          <w:lang w:val="es-ES_tradnl" w:eastAsia="es-ES"/>
        </w:rPr>
        <w:t xml:space="preserve"> excediéndose de sus facultades</w:t>
      </w:r>
      <w:r w:rsidR="00E96BB2" w:rsidRPr="00FF7F88">
        <w:rPr>
          <w:rFonts w:asciiTheme="majorHAnsi" w:hAnsiTheme="majorHAnsi"/>
          <w:sz w:val="20"/>
          <w:szCs w:val="20"/>
          <w:lang w:val="es-ES_tradnl" w:eastAsia="es-ES"/>
        </w:rPr>
        <w:t xml:space="preserve"> se avocó a conocer de un juicio fenecido en violación </w:t>
      </w:r>
      <w:r w:rsidR="0043372B" w:rsidRPr="00FF7F88">
        <w:rPr>
          <w:rFonts w:asciiTheme="majorHAnsi" w:hAnsiTheme="majorHAnsi"/>
          <w:sz w:val="20"/>
          <w:szCs w:val="20"/>
          <w:lang w:val="es-ES_tradnl" w:eastAsia="es-ES"/>
        </w:rPr>
        <w:t>de</w:t>
      </w:r>
      <w:r w:rsidR="00E96BB2" w:rsidRPr="00FF7F88">
        <w:rPr>
          <w:rFonts w:asciiTheme="majorHAnsi" w:hAnsiTheme="majorHAnsi"/>
          <w:sz w:val="20"/>
          <w:szCs w:val="20"/>
          <w:lang w:val="es-ES_tradnl" w:eastAsia="es-ES"/>
        </w:rPr>
        <w:t xml:space="preserve"> la cosa juzgada. También se argumenta que la decisión fue </w:t>
      </w:r>
      <w:r w:rsidR="00E96BB2" w:rsidRPr="00FF7F88">
        <w:rPr>
          <w:rFonts w:asciiTheme="majorHAnsi" w:hAnsiTheme="majorHAnsi"/>
          <w:sz w:val="20"/>
          <w:szCs w:val="20"/>
          <w:lang w:val="es-ES_tradnl" w:eastAsia="es-ES"/>
        </w:rPr>
        <w:lastRenderedPageBreak/>
        <w:t>arbitraria</w:t>
      </w:r>
      <w:r w:rsidR="004A4C8B" w:rsidRPr="00FF7F88">
        <w:rPr>
          <w:rFonts w:asciiTheme="majorHAnsi" w:hAnsiTheme="majorHAnsi"/>
          <w:sz w:val="20"/>
          <w:szCs w:val="20"/>
          <w:lang w:val="es-ES_tradnl" w:eastAsia="es-ES"/>
        </w:rPr>
        <w:t>,</w:t>
      </w:r>
      <w:r w:rsidR="00E96BB2" w:rsidRPr="00FF7F88">
        <w:rPr>
          <w:rFonts w:asciiTheme="majorHAnsi" w:hAnsiTheme="majorHAnsi"/>
          <w:sz w:val="20"/>
          <w:szCs w:val="20"/>
          <w:lang w:val="es-ES_tradnl" w:eastAsia="es-ES"/>
        </w:rPr>
        <w:t xml:space="preserve"> pues el fallo de 2006 en que se sustentó el otorgamiento del amparo solo declaró la inconstitucionalidad del Decreto Legislativo 78-2001 en la parte que confirió rango de </w:t>
      </w:r>
      <w:r w:rsidR="00EA02C8" w:rsidRPr="00FF7F88">
        <w:rPr>
          <w:rFonts w:asciiTheme="majorHAnsi" w:hAnsiTheme="majorHAnsi"/>
          <w:sz w:val="20"/>
          <w:szCs w:val="20"/>
          <w:lang w:val="es-ES_tradnl" w:eastAsia="es-ES"/>
        </w:rPr>
        <w:t>L</w:t>
      </w:r>
      <w:r w:rsidR="00E96BB2" w:rsidRPr="00FF7F88">
        <w:rPr>
          <w:rFonts w:asciiTheme="majorHAnsi" w:hAnsiTheme="majorHAnsi"/>
          <w:sz w:val="20"/>
          <w:szCs w:val="20"/>
          <w:lang w:val="es-ES_tradnl" w:eastAsia="es-ES"/>
        </w:rPr>
        <w:t xml:space="preserve">ey al Arancel de los Profesionales de las Ciencias Agrícolas; pero no la inconstitucionalidad del </w:t>
      </w:r>
      <w:r w:rsidR="00DF6D54" w:rsidRPr="00FF7F88">
        <w:rPr>
          <w:rFonts w:asciiTheme="majorHAnsi" w:hAnsiTheme="majorHAnsi"/>
          <w:sz w:val="20"/>
          <w:szCs w:val="20"/>
          <w:lang w:val="es-ES_tradnl" w:eastAsia="es-ES"/>
        </w:rPr>
        <w:t>a</w:t>
      </w:r>
      <w:r w:rsidR="00E96BB2" w:rsidRPr="00FF7F88">
        <w:rPr>
          <w:rFonts w:asciiTheme="majorHAnsi" w:hAnsiTheme="majorHAnsi"/>
          <w:sz w:val="20"/>
          <w:szCs w:val="20"/>
          <w:lang w:val="es-ES_tradnl" w:eastAsia="es-ES"/>
        </w:rPr>
        <w:t>rancel en sí. La parte peticionaria resalta que ni</w:t>
      </w:r>
      <w:r w:rsidR="00A9529E" w:rsidRPr="00FF7F88">
        <w:rPr>
          <w:rFonts w:asciiTheme="majorHAnsi" w:hAnsiTheme="majorHAnsi"/>
          <w:sz w:val="20"/>
          <w:szCs w:val="20"/>
          <w:lang w:val="es-ES_tradnl" w:eastAsia="es-ES"/>
        </w:rPr>
        <w:t xml:space="preserve"> la demanda presentada por las presuntas víctimas</w:t>
      </w:r>
      <w:r w:rsidR="00E96BB2" w:rsidRPr="00FF7F88">
        <w:rPr>
          <w:rFonts w:asciiTheme="majorHAnsi" w:hAnsiTheme="majorHAnsi"/>
          <w:sz w:val="20"/>
          <w:szCs w:val="20"/>
          <w:lang w:val="es-ES_tradnl" w:eastAsia="es-ES"/>
        </w:rPr>
        <w:t xml:space="preserve"> </w:t>
      </w:r>
      <w:r w:rsidR="00A9529E" w:rsidRPr="00FF7F88">
        <w:rPr>
          <w:rFonts w:asciiTheme="majorHAnsi" w:hAnsiTheme="majorHAnsi"/>
          <w:sz w:val="20"/>
          <w:szCs w:val="20"/>
          <w:lang w:val="es-ES_tradnl" w:eastAsia="es-ES"/>
        </w:rPr>
        <w:t xml:space="preserve">ni </w:t>
      </w:r>
      <w:r w:rsidR="00E96BB2" w:rsidRPr="00FF7F88">
        <w:rPr>
          <w:rFonts w:asciiTheme="majorHAnsi" w:hAnsiTheme="majorHAnsi"/>
          <w:sz w:val="20"/>
          <w:szCs w:val="20"/>
          <w:lang w:val="es-ES_tradnl" w:eastAsia="es-ES"/>
        </w:rPr>
        <w:t xml:space="preserve">ninguno de los fallos emitidos </w:t>
      </w:r>
      <w:r w:rsidR="00A9529E" w:rsidRPr="00FF7F88">
        <w:rPr>
          <w:rFonts w:asciiTheme="majorHAnsi" w:hAnsiTheme="majorHAnsi"/>
          <w:sz w:val="20"/>
          <w:szCs w:val="20"/>
          <w:lang w:val="es-ES_tradnl" w:eastAsia="es-ES"/>
        </w:rPr>
        <w:t xml:space="preserve">a su favor </w:t>
      </w:r>
      <w:r w:rsidR="00E96BB2" w:rsidRPr="00FF7F88">
        <w:rPr>
          <w:rFonts w:asciiTheme="majorHAnsi" w:hAnsiTheme="majorHAnsi"/>
          <w:sz w:val="20"/>
          <w:szCs w:val="20"/>
          <w:lang w:val="es-ES_tradnl" w:eastAsia="es-ES"/>
        </w:rPr>
        <w:t>se fundamentó en el Decreto 78-200</w:t>
      </w:r>
      <w:r w:rsidR="00A9529E" w:rsidRPr="00FF7F88">
        <w:rPr>
          <w:rFonts w:asciiTheme="majorHAnsi" w:hAnsiTheme="majorHAnsi"/>
          <w:sz w:val="20"/>
          <w:szCs w:val="20"/>
          <w:lang w:val="es-ES_tradnl" w:eastAsia="es-ES"/>
        </w:rPr>
        <w:t>1. Así</w:t>
      </w:r>
      <w:r w:rsidR="00EA02C8" w:rsidRPr="00FF7F88">
        <w:rPr>
          <w:rFonts w:asciiTheme="majorHAnsi" w:hAnsiTheme="majorHAnsi"/>
          <w:sz w:val="20"/>
          <w:szCs w:val="20"/>
          <w:lang w:val="es-ES_tradnl" w:eastAsia="es-ES"/>
        </w:rPr>
        <w:t>,</w:t>
      </w:r>
      <w:r w:rsidR="00A9529E" w:rsidRPr="00FF7F88">
        <w:rPr>
          <w:rFonts w:asciiTheme="majorHAnsi" w:hAnsiTheme="majorHAnsi"/>
          <w:sz w:val="20"/>
          <w:szCs w:val="20"/>
          <w:lang w:val="es-ES_tradnl" w:eastAsia="es-ES"/>
        </w:rPr>
        <w:t xml:space="preserve"> la sentencia de primera instancia que luego fue confirmada en apelación y casación no </w:t>
      </w:r>
      <w:r w:rsidR="00EA02C8" w:rsidRPr="00FF7F88">
        <w:rPr>
          <w:rFonts w:asciiTheme="majorHAnsi" w:hAnsiTheme="majorHAnsi"/>
          <w:sz w:val="20"/>
          <w:szCs w:val="20"/>
          <w:lang w:val="es-ES_tradnl" w:eastAsia="es-ES"/>
        </w:rPr>
        <w:t>se refirió</w:t>
      </w:r>
      <w:r w:rsidR="00A9529E" w:rsidRPr="00FF7F88">
        <w:rPr>
          <w:rFonts w:asciiTheme="majorHAnsi" w:hAnsiTheme="majorHAnsi"/>
          <w:sz w:val="20"/>
          <w:szCs w:val="20"/>
          <w:lang w:val="es-ES_tradnl" w:eastAsia="es-ES"/>
        </w:rPr>
        <w:t xml:space="preserve"> al Decreto 78-2001</w:t>
      </w:r>
      <w:r w:rsidR="00EA02C8" w:rsidRPr="00FF7F88">
        <w:rPr>
          <w:rFonts w:asciiTheme="majorHAnsi" w:hAnsiTheme="majorHAnsi"/>
          <w:sz w:val="20"/>
          <w:szCs w:val="20"/>
          <w:lang w:val="es-ES_tradnl" w:eastAsia="es-ES"/>
        </w:rPr>
        <w:t>,</w:t>
      </w:r>
      <w:r w:rsidR="00A9529E" w:rsidRPr="00FF7F88">
        <w:rPr>
          <w:rFonts w:asciiTheme="majorHAnsi" w:hAnsiTheme="majorHAnsi"/>
          <w:sz w:val="20"/>
          <w:szCs w:val="20"/>
          <w:lang w:val="es-ES_tradnl" w:eastAsia="es-ES"/>
        </w:rPr>
        <w:t xml:space="preserve"> o a que el arancel tuviera fuerza de ley</w:t>
      </w:r>
      <w:r w:rsidR="00EA02C8" w:rsidRPr="00FF7F88">
        <w:rPr>
          <w:rFonts w:asciiTheme="majorHAnsi" w:hAnsiTheme="majorHAnsi"/>
          <w:sz w:val="20"/>
          <w:szCs w:val="20"/>
          <w:lang w:val="es-ES_tradnl" w:eastAsia="es-ES"/>
        </w:rPr>
        <w:t>,</w:t>
      </w:r>
      <w:r w:rsidR="00A9529E" w:rsidRPr="00FF7F88">
        <w:rPr>
          <w:rFonts w:asciiTheme="majorHAnsi" w:hAnsiTheme="majorHAnsi"/>
          <w:sz w:val="20"/>
          <w:szCs w:val="20"/>
          <w:lang w:val="es-ES_tradnl" w:eastAsia="es-ES"/>
        </w:rPr>
        <w:t xml:space="preserve"> sino que indicó:</w:t>
      </w:r>
      <w:r w:rsidR="0092677E" w:rsidRPr="00FF7F88">
        <w:rPr>
          <w:rFonts w:asciiTheme="majorHAnsi" w:hAnsiTheme="majorHAnsi"/>
          <w:sz w:val="20"/>
          <w:szCs w:val="20"/>
          <w:lang w:val="es-ES_tradnl" w:eastAsia="es-ES"/>
        </w:rPr>
        <w:t xml:space="preserve"> </w:t>
      </w:r>
      <w:r w:rsidR="00FD55A3" w:rsidRPr="00FF7F88">
        <w:rPr>
          <w:rFonts w:asciiTheme="majorHAnsi" w:hAnsiTheme="majorHAnsi"/>
          <w:sz w:val="20"/>
          <w:szCs w:val="20"/>
          <w:lang w:val="es-ES_tradnl" w:eastAsia="es-ES"/>
        </w:rPr>
        <w:t>“</w:t>
      </w:r>
      <w:r w:rsidR="0092677E" w:rsidRPr="00FF7F88">
        <w:rPr>
          <w:rFonts w:asciiTheme="majorHAnsi" w:hAnsiTheme="majorHAnsi"/>
          <w:i/>
          <w:iCs/>
          <w:sz w:val="20"/>
          <w:szCs w:val="20"/>
          <w:lang w:val="es-ES_tradnl" w:eastAsia="es-ES"/>
        </w:rPr>
        <w:t>las disposiciones contenidas en</w:t>
      </w:r>
      <w:r w:rsidR="00FD55A3" w:rsidRPr="00FF7F88">
        <w:rPr>
          <w:rFonts w:asciiTheme="majorHAnsi" w:hAnsiTheme="majorHAnsi"/>
          <w:i/>
          <w:iCs/>
          <w:sz w:val="20"/>
          <w:szCs w:val="20"/>
          <w:lang w:val="es-ES_tradnl" w:eastAsia="es-ES"/>
        </w:rPr>
        <w:t xml:space="preserve"> </w:t>
      </w:r>
      <w:r w:rsidR="0092677E" w:rsidRPr="00FF7F88">
        <w:rPr>
          <w:rFonts w:asciiTheme="majorHAnsi" w:hAnsiTheme="majorHAnsi"/>
          <w:i/>
          <w:iCs/>
          <w:sz w:val="20"/>
          <w:szCs w:val="20"/>
          <w:lang w:val="es-ES_tradnl" w:eastAsia="es-ES"/>
        </w:rPr>
        <w:t xml:space="preserve">el </w:t>
      </w:r>
      <w:r w:rsidR="00DF6D54" w:rsidRPr="00FF7F88">
        <w:rPr>
          <w:rFonts w:asciiTheme="majorHAnsi" w:hAnsiTheme="majorHAnsi"/>
          <w:i/>
          <w:iCs/>
          <w:sz w:val="20"/>
          <w:szCs w:val="20"/>
          <w:lang w:val="es-ES_tradnl" w:eastAsia="es-ES"/>
        </w:rPr>
        <w:t>a</w:t>
      </w:r>
      <w:r w:rsidR="00FD55A3" w:rsidRPr="00FF7F88">
        <w:rPr>
          <w:rFonts w:asciiTheme="majorHAnsi" w:hAnsiTheme="majorHAnsi"/>
          <w:i/>
          <w:iCs/>
          <w:sz w:val="20"/>
          <w:szCs w:val="20"/>
          <w:lang w:val="es-ES_tradnl" w:eastAsia="es-ES"/>
        </w:rPr>
        <w:t xml:space="preserve">rancel de Honorarios para los profesionales en Ciencias Agrícolas Colegiados en el CINAH y COLPROCAH, que establecen derechos y obligaciones, si bien no ostentan la categoría de ley propiamente dicha pues no provienen del </w:t>
      </w:r>
      <w:r w:rsidR="008353DE" w:rsidRPr="00FF7F88">
        <w:rPr>
          <w:rFonts w:asciiTheme="majorHAnsi" w:hAnsiTheme="majorHAnsi"/>
          <w:i/>
          <w:iCs/>
          <w:sz w:val="20"/>
          <w:szCs w:val="20"/>
          <w:lang w:val="es-ES_tradnl" w:eastAsia="es-ES"/>
        </w:rPr>
        <w:t>C</w:t>
      </w:r>
      <w:r w:rsidR="00FD55A3" w:rsidRPr="00FF7F88">
        <w:rPr>
          <w:rFonts w:asciiTheme="majorHAnsi" w:hAnsiTheme="majorHAnsi"/>
          <w:i/>
          <w:iCs/>
          <w:sz w:val="20"/>
          <w:szCs w:val="20"/>
          <w:lang w:val="es-ES_tradnl" w:eastAsia="es-ES"/>
        </w:rPr>
        <w:t xml:space="preserve">ongreso </w:t>
      </w:r>
      <w:r w:rsidR="008353DE" w:rsidRPr="00FF7F88">
        <w:rPr>
          <w:rFonts w:asciiTheme="majorHAnsi" w:hAnsiTheme="majorHAnsi"/>
          <w:i/>
          <w:iCs/>
          <w:sz w:val="20"/>
          <w:szCs w:val="20"/>
          <w:lang w:val="es-ES_tradnl" w:eastAsia="es-ES"/>
        </w:rPr>
        <w:t>N</w:t>
      </w:r>
      <w:r w:rsidR="00FD55A3" w:rsidRPr="00FF7F88">
        <w:rPr>
          <w:rFonts w:asciiTheme="majorHAnsi" w:hAnsiTheme="majorHAnsi"/>
          <w:i/>
          <w:iCs/>
          <w:sz w:val="20"/>
          <w:szCs w:val="20"/>
          <w:lang w:val="es-ES_tradnl" w:eastAsia="es-ES"/>
        </w:rPr>
        <w:t>acional, sí constituyen actos generales de la administración pública</w:t>
      </w:r>
      <w:r w:rsidR="00EC4A46" w:rsidRPr="00FF7F88">
        <w:rPr>
          <w:rFonts w:asciiTheme="majorHAnsi" w:hAnsiTheme="majorHAnsi"/>
          <w:i/>
          <w:iCs/>
          <w:sz w:val="20"/>
          <w:szCs w:val="20"/>
          <w:lang w:val="es-ES_tradnl" w:eastAsia="es-ES"/>
        </w:rPr>
        <w:t>, y</w:t>
      </w:r>
      <w:r w:rsidR="00FD55A3" w:rsidRPr="00FF7F88">
        <w:rPr>
          <w:rFonts w:asciiTheme="majorHAnsi" w:hAnsiTheme="majorHAnsi"/>
          <w:i/>
          <w:iCs/>
          <w:sz w:val="20"/>
          <w:szCs w:val="20"/>
          <w:lang w:val="es-ES_tradnl" w:eastAsia="es-ES"/>
        </w:rPr>
        <w:t xml:space="preserve"> en tal sentido de obligatori</w:t>
      </w:r>
      <w:r w:rsidR="00EC4A46" w:rsidRPr="00FF7F88">
        <w:rPr>
          <w:rFonts w:asciiTheme="majorHAnsi" w:hAnsiTheme="majorHAnsi"/>
          <w:i/>
          <w:iCs/>
          <w:sz w:val="20"/>
          <w:szCs w:val="20"/>
          <w:lang w:val="es-ES_tradnl" w:eastAsia="es-ES"/>
        </w:rPr>
        <w:t>o</w:t>
      </w:r>
      <w:r w:rsidR="00FD55A3" w:rsidRPr="00FF7F88">
        <w:rPr>
          <w:rFonts w:asciiTheme="majorHAnsi" w:hAnsiTheme="majorHAnsi"/>
          <w:i/>
          <w:iCs/>
          <w:sz w:val="20"/>
          <w:szCs w:val="20"/>
          <w:lang w:val="es-ES_tradnl" w:eastAsia="es-ES"/>
        </w:rPr>
        <w:t xml:space="preserve"> observancia</w:t>
      </w:r>
      <w:r w:rsidR="00EC4A46" w:rsidRPr="00FF7F88">
        <w:rPr>
          <w:rFonts w:asciiTheme="majorHAnsi" w:hAnsiTheme="majorHAnsi"/>
          <w:i/>
          <w:iCs/>
          <w:sz w:val="20"/>
          <w:szCs w:val="20"/>
          <w:lang w:val="es-ES_tradnl" w:eastAsia="es-ES"/>
        </w:rPr>
        <w:t xml:space="preserve"> y</w:t>
      </w:r>
      <w:r w:rsidR="00FD55A3" w:rsidRPr="00FF7F88">
        <w:rPr>
          <w:rFonts w:asciiTheme="majorHAnsi" w:hAnsiTheme="majorHAnsi"/>
          <w:i/>
          <w:iCs/>
          <w:sz w:val="20"/>
          <w:szCs w:val="20"/>
          <w:lang w:val="es-ES_tradnl" w:eastAsia="es-ES"/>
        </w:rPr>
        <w:t xml:space="preserve"> cumplimiento tanto por los mismos profesionales de tales ciencias agrícolas, como por las partes que de ellos se beneficien de sus servicios</w:t>
      </w:r>
      <w:r w:rsidR="00FD55A3" w:rsidRPr="00FF7F88">
        <w:rPr>
          <w:rFonts w:asciiTheme="majorHAnsi" w:hAnsiTheme="majorHAnsi"/>
          <w:sz w:val="20"/>
          <w:szCs w:val="20"/>
          <w:lang w:val="es-ES_tradnl" w:eastAsia="es-ES"/>
        </w:rPr>
        <w:t xml:space="preserve">”. </w:t>
      </w:r>
    </w:p>
    <w:p w14:paraId="66C782E8" w14:textId="77777777" w:rsidR="00DF1BD0" w:rsidRPr="00FF7F88" w:rsidRDefault="00FD55A3"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 xml:space="preserve">Agrega la peticionaria que el </w:t>
      </w:r>
      <w:r w:rsidR="00AC77FF" w:rsidRPr="00FF7F88">
        <w:rPr>
          <w:rFonts w:asciiTheme="majorHAnsi" w:hAnsiTheme="majorHAnsi"/>
          <w:sz w:val="20"/>
          <w:szCs w:val="20"/>
          <w:lang w:val="es-ES_tradnl" w:eastAsia="es-ES"/>
        </w:rPr>
        <w:t>a</w:t>
      </w:r>
      <w:r w:rsidRPr="00FF7F88">
        <w:rPr>
          <w:rFonts w:asciiTheme="majorHAnsi" w:hAnsiTheme="majorHAnsi"/>
          <w:sz w:val="20"/>
          <w:szCs w:val="20"/>
          <w:lang w:val="es-ES_tradnl" w:eastAsia="es-ES"/>
        </w:rPr>
        <w:t>rancel en cuestión nunca ha sido declarado ni demandado de inconstitucional</w:t>
      </w:r>
      <w:r w:rsidR="00F821A9" w:rsidRPr="00FF7F88">
        <w:rPr>
          <w:rFonts w:asciiTheme="majorHAnsi" w:hAnsiTheme="majorHAnsi"/>
          <w:sz w:val="20"/>
          <w:szCs w:val="20"/>
          <w:lang w:val="es-ES_tradnl" w:eastAsia="es-ES"/>
        </w:rPr>
        <w:t>. Por el contrario, la propia sentencia de 2006 invocada por la Sala Constitucional para justificar el otorgamiento del amparo aclaró que no podía decretar la inconstitucionalidad del arancel indicando que: “</w:t>
      </w:r>
      <w:r w:rsidR="00F821A9" w:rsidRPr="00FF7F88">
        <w:rPr>
          <w:rFonts w:asciiTheme="majorHAnsi" w:hAnsiTheme="majorHAnsi"/>
          <w:i/>
          <w:iCs/>
          <w:sz w:val="20"/>
          <w:szCs w:val="20"/>
          <w:lang w:val="es-ES_tradnl" w:eastAsia="es-ES"/>
        </w:rPr>
        <w:t>El Decreto Legislativo Cuestionado (No. 78-2001), no contiene régimen salarial alguno, ni tampoco entr</w:t>
      </w:r>
      <w:r w:rsidR="00DF1BD0" w:rsidRPr="00FF7F88">
        <w:rPr>
          <w:rFonts w:asciiTheme="majorHAnsi" w:hAnsiTheme="majorHAnsi"/>
          <w:i/>
          <w:iCs/>
          <w:sz w:val="20"/>
          <w:szCs w:val="20"/>
          <w:lang w:val="es-ES_tradnl" w:eastAsia="es-ES"/>
        </w:rPr>
        <w:t>a</w:t>
      </w:r>
      <w:r w:rsidR="00F821A9" w:rsidRPr="00FF7F88">
        <w:rPr>
          <w:rFonts w:asciiTheme="majorHAnsi" w:hAnsiTheme="majorHAnsi"/>
          <w:i/>
          <w:iCs/>
          <w:sz w:val="20"/>
          <w:szCs w:val="20"/>
          <w:lang w:val="es-ES_tradnl" w:eastAsia="es-ES"/>
        </w:rPr>
        <w:t xml:space="preserve"> a regular la cuantía o monto de prestaciones económicas de ninguna especie</w:t>
      </w:r>
      <w:r w:rsidR="00DF1BD0" w:rsidRPr="00FF7F88">
        <w:rPr>
          <w:rFonts w:asciiTheme="majorHAnsi" w:hAnsiTheme="majorHAnsi"/>
          <w:i/>
          <w:iCs/>
          <w:sz w:val="20"/>
          <w:szCs w:val="20"/>
          <w:lang w:val="es-ES_tradnl" w:eastAsia="es-ES"/>
        </w:rPr>
        <w:t>;</w:t>
      </w:r>
      <w:r w:rsidR="00F821A9" w:rsidRPr="00FF7F88">
        <w:rPr>
          <w:rFonts w:asciiTheme="majorHAnsi" w:hAnsiTheme="majorHAnsi"/>
          <w:i/>
          <w:iCs/>
          <w:sz w:val="20"/>
          <w:szCs w:val="20"/>
          <w:lang w:val="es-ES_tradnl" w:eastAsia="es-ES"/>
        </w:rPr>
        <w:t xml:space="preserve"> </w:t>
      </w:r>
      <w:r w:rsidR="00DF1BD0" w:rsidRPr="00FF7F88">
        <w:rPr>
          <w:rFonts w:asciiTheme="majorHAnsi" w:hAnsiTheme="majorHAnsi"/>
          <w:i/>
          <w:iCs/>
          <w:sz w:val="20"/>
          <w:szCs w:val="20"/>
          <w:lang w:val="es-ES_tradnl" w:eastAsia="es-ES"/>
        </w:rPr>
        <w:t xml:space="preserve">[…] </w:t>
      </w:r>
      <w:r w:rsidR="00F821A9" w:rsidRPr="00FF7F88">
        <w:rPr>
          <w:rFonts w:asciiTheme="majorHAnsi" w:hAnsiTheme="majorHAnsi"/>
          <w:i/>
          <w:iCs/>
          <w:sz w:val="20"/>
          <w:szCs w:val="20"/>
          <w:lang w:val="es-ES_tradnl" w:eastAsia="es-ES"/>
        </w:rPr>
        <w:t xml:space="preserve">pero como éste último cuerpo normativo no tiene rango de ley, y por ende no puede ser objeto del recurso de inconstitucionalidad, la </w:t>
      </w:r>
      <w:r w:rsidR="009E2015" w:rsidRPr="00FF7F88">
        <w:rPr>
          <w:rFonts w:asciiTheme="majorHAnsi" w:hAnsiTheme="majorHAnsi"/>
          <w:i/>
          <w:iCs/>
          <w:sz w:val="20"/>
          <w:szCs w:val="20"/>
          <w:lang w:val="es-ES_tradnl" w:eastAsia="es-ES"/>
        </w:rPr>
        <w:t>S</w:t>
      </w:r>
      <w:r w:rsidR="00F821A9" w:rsidRPr="00FF7F88">
        <w:rPr>
          <w:rFonts w:asciiTheme="majorHAnsi" w:hAnsiTheme="majorHAnsi"/>
          <w:i/>
          <w:iCs/>
          <w:sz w:val="20"/>
          <w:szCs w:val="20"/>
          <w:lang w:val="es-ES_tradnl" w:eastAsia="es-ES"/>
        </w:rPr>
        <w:t>ala no puede entrar en consideraciones de fondo sobre su conformidad o no con la Constitución, o con lo que disponen las disposiciones contenidas en leyes de carácter secundario</w:t>
      </w:r>
      <w:r w:rsidR="00F821A9" w:rsidRPr="00FF7F88">
        <w:rPr>
          <w:rFonts w:asciiTheme="majorHAnsi" w:hAnsiTheme="majorHAnsi"/>
          <w:sz w:val="20"/>
          <w:szCs w:val="20"/>
          <w:lang w:val="es-ES_tradnl" w:eastAsia="es-ES"/>
        </w:rPr>
        <w:t xml:space="preserve">". </w:t>
      </w:r>
    </w:p>
    <w:p w14:paraId="7E30CE04" w14:textId="64EC987B" w:rsidR="00AB290C" w:rsidRPr="00FF7F88" w:rsidRDefault="00F821A9"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Por lo tanto, sostiene</w:t>
      </w:r>
      <w:r w:rsidR="00DF1BD0" w:rsidRPr="00FF7F88">
        <w:rPr>
          <w:rFonts w:asciiTheme="majorHAnsi" w:hAnsiTheme="majorHAnsi"/>
          <w:sz w:val="20"/>
          <w:szCs w:val="20"/>
          <w:lang w:val="es-ES_tradnl" w:eastAsia="es-ES"/>
        </w:rPr>
        <w:t xml:space="preserve"> la peticionaria,</w:t>
      </w:r>
      <w:r w:rsidRPr="00FF7F88">
        <w:rPr>
          <w:rFonts w:asciiTheme="majorHAnsi" w:hAnsiTheme="majorHAnsi"/>
          <w:sz w:val="20"/>
          <w:szCs w:val="20"/>
          <w:lang w:val="es-ES_tradnl" w:eastAsia="es-ES"/>
        </w:rPr>
        <w:t xml:space="preserve"> la Sala Constitucional actuó con dolo al dejar inaplicable un fallo con grado de cosa juzgad</w:t>
      </w:r>
      <w:r w:rsidR="008353DE" w:rsidRPr="00FF7F88">
        <w:rPr>
          <w:rFonts w:asciiTheme="majorHAnsi" w:hAnsiTheme="majorHAnsi"/>
          <w:sz w:val="20"/>
          <w:szCs w:val="20"/>
          <w:lang w:val="es-ES_tradnl" w:eastAsia="es-ES"/>
        </w:rPr>
        <w:t>a en base a una supuesta inconstitucionalidad del arancel,</w:t>
      </w:r>
      <w:r w:rsidR="009E2015" w:rsidRPr="00FF7F88">
        <w:rPr>
          <w:rFonts w:asciiTheme="majorHAnsi" w:hAnsiTheme="majorHAnsi"/>
          <w:sz w:val="20"/>
          <w:szCs w:val="20"/>
          <w:lang w:val="es-ES_tradnl" w:eastAsia="es-ES"/>
        </w:rPr>
        <w:t xml:space="preserve"> con sustento en una sentencia que en realidad rehusó declarar esa inconstitucionalidad. También alega que </w:t>
      </w:r>
      <w:r w:rsidR="006B5F23" w:rsidRPr="00FF7F88">
        <w:rPr>
          <w:rFonts w:asciiTheme="majorHAnsi" w:hAnsiTheme="majorHAnsi"/>
          <w:sz w:val="20"/>
          <w:szCs w:val="20"/>
          <w:lang w:val="es-ES_tradnl" w:eastAsia="es-ES"/>
        </w:rPr>
        <w:t xml:space="preserve">la </w:t>
      </w:r>
      <w:r w:rsidR="00DF1BD0" w:rsidRPr="00FF7F88">
        <w:rPr>
          <w:rFonts w:asciiTheme="majorHAnsi" w:hAnsiTheme="majorHAnsi"/>
          <w:sz w:val="20"/>
          <w:szCs w:val="20"/>
          <w:lang w:val="es-ES_tradnl" w:eastAsia="es-ES"/>
        </w:rPr>
        <w:t>s</w:t>
      </w:r>
      <w:r w:rsidR="006B5F23" w:rsidRPr="00FF7F88">
        <w:rPr>
          <w:rFonts w:asciiTheme="majorHAnsi" w:hAnsiTheme="majorHAnsi"/>
          <w:sz w:val="20"/>
          <w:szCs w:val="20"/>
          <w:lang w:val="es-ES_tradnl" w:eastAsia="es-ES"/>
        </w:rPr>
        <w:t xml:space="preserve">ala convirtió </w:t>
      </w:r>
      <w:r w:rsidR="009E2015" w:rsidRPr="00FF7F88">
        <w:rPr>
          <w:rFonts w:asciiTheme="majorHAnsi" w:hAnsiTheme="majorHAnsi"/>
          <w:sz w:val="20"/>
          <w:szCs w:val="20"/>
          <w:lang w:val="es-ES_tradnl" w:eastAsia="es-ES"/>
        </w:rPr>
        <w:t>lo que era un recurso de amparo en una falsa declaratoria de inconstitucionalidad</w:t>
      </w:r>
      <w:r w:rsidR="006B5F23" w:rsidRPr="00FF7F88">
        <w:rPr>
          <w:rFonts w:asciiTheme="majorHAnsi" w:hAnsiTheme="majorHAnsi"/>
          <w:sz w:val="20"/>
          <w:szCs w:val="20"/>
          <w:lang w:val="es-ES_tradnl" w:eastAsia="es-ES"/>
        </w:rPr>
        <w:t>, excediendo sus facultades, incurriendo en delito y abuso de autoridad, vulnerando</w:t>
      </w:r>
      <w:r w:rsidR="009E2015" w:rsidRPr="00FF7F88">
        <w:rPr>
          <w:rFonts w:asciiTheme="majorHAnsi" w:hAnsiTheme="majorHAnsi"/>
          <w:sz w:val="20"/>
          <w:szCs w:val="20"/>
          <w:lang w:val="es-ES_tradnl" w:eastAsia="es-ES"/>
        </w:rPr>
        <w:t xml:space="preserve"> </w:t>
      </w:r>
      <w:r w:rsidR="006B5F23" w:rsidRPr="00FF7F88">
        <w:rPr>
          <w:rFonts w:asciiTheme="majorHAnsi" w:hAnsiTheme="majorHAnsi"/>
          <w:sz w:val="20"/>
          <w:szCs w:val="20"/>
          <w:lang w:val="es-ES_tradnl" w:eastAsia="es-ES"/>
        </w:rPr>
        <w:t>e</w:t>
      </w:r>
      <w:r w:rsidR="009E2015" w:rsidRPr="00FF7F88">
        <w:rPr>
          <w:rFonts w:asciiTheme="majorHAnsi" w:hAnsiTheme="majorHAnsi"/>
          <w:sz w:val="20"/>
          <w:szCs w:val="20"/>
          <w:lang w:val="es-ES_tradnl" w:eastAsia="es-ES"/>
        </w:rPr>
        <w:t xml:space="preserve">l debido proceso y </w:t>
      </w:r>
      <w:r w:rsidR="006B5F23" w:rsidRPr="00FF7F88">
        <w:rPr>
          <w:rFonts w:asciiTheme="majorHAnsi" w:hAnsiTheme="majorHAnsi"/>
          <w:sz w:val="20"/>
          <w:szCs w:val="20"/>
          <w:lang w:val="es-ES_tradnl" w:eastAsia="es-ES"/>
        </w:rPr>
        <w:t>e</w:t>
      </w:r>
      <w:r w:rsidR="009E2015" w:rsidRPr="00FF7F88">
        <w:rPr>
          <w:rFonts w:asciiTheme="majorHAnsi" w:hAnsiTheme="majorHAnsi"/>
          <w:sz w:val="20"/>
          <w:szCs w:val="20"/>
          <w:lang w:val="es-ES_tradnl" w:eastAsia="es-ES"/>
        </w:rPr>
        <w:t>l principio de legalidad</w:t>
      </w:r>
      <w:r w:rsidR="00442AD6" w:rsidRPr="00FF7F88">
        <w:rPr>
          <w:rFonts w:asciiTheme="majorHAnsi" w:hAnsiTheme="majorHAnsi"/>
          <w:sz w:val="20"/>
          <w:szCs w:val="20"/>
          <w:lang w:val="es-ES_tradnl" w:eastAsia="es-ES"/>
        </w:rPr>
        <w:t>;</w:t>
      </w:r>
      <w:r w:rsidR="006B5F23" w:rsidRPr="00FF7F88">
        <w:rPr>
          <w:rFonts w:asciiTheme="majorHAnsi" w:hAnsiTheme="majorHAnsi"/>
          <w:sz w:val="20"/>
          <w:szCs w:val="20"/>
          <w:lang w:val="es-ES_tradnl" w:eastAsia="es-ES"/>
        </w:rPr>
        <w:t xml:space="preserve"> </w:t>
      </w:r>
      <w:r w:rsidR="009E2015" w:rsidRPr="00FF7F88">
        <w:rPr>
          <w:rFonts w:asciiTheme="majorHAnsi" w:hAnsiTheme="majorHAnsi"/>
          <w:sz w:val="20"/>
          <w:szCs w:val="20"/>
          <w:lang w:val="es-ES_tradnl" w:eastAsia="es-ES"/>
        </w:rPr>
        <w:t>y coloc</w:t>
      </w:r>
      <w:r w:rsidR="006B5F23" w:rsidRPr="00FF7F88">
        <w:rPr>
          <w:rFonts w:asciiTheme="majorHAnsi" w:hAnsiTheme="majorHAnsi"/>
          <w:sz w:val="20"/>
          <w:szCs w:val="20"/>
          <w:lang w:val="es-ES_tradnl" w:eastAsia="es-ES"/>
        </w:rPr>
        <w:t xml:space="preserve">ando </w:t>
      </w:r>
      <w:r w:rsidR="009E2015" w:rsidRPr="00FF7F88">
        <w:rPr>
          <w:rFonts w:asciiTheme="majorHAnsi" w:hAnsiTheme="majorHAnsi"/>
          <w:sz w:val="20"/>
          <w:szCs w:val="20"/>
          <w:lang w:val="es-ES_tradnl" w:eastAsia="es-ES"/>
        </w:rPr>
        <w:t xml:space="preserve">a las presuntas víctimas en un estado de indefensión e inseguridad jurídica. </w:t>
      </w:r>
    </w:p>
    <w:p w14:paraId="44C7CEE9" w14:textId="28A58552" w:rsidR="005D296B" w:rsidRPr="00FF7F88" w:rsidRDefault="003602F2" w:rsidP="007C2A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 xml:space="preserve">El Estado, por su parte, </w:t>
      </w:r>
      <w:r w:rsidR="007C2A44" w:rsidRPr="00FF7F88">
        <w:rPr>
          <w:rFonts w:asciiTheme="majorHAnsi" w:hAnsiTheme="majorHAnsi"/>
          <w:sz w:val="20"/>
          <w:szCs w:val="20"/>
          <w:lang w:val="es-ES_tradnl" w:eastAsia="es-ES"/>
        </w:rPr>
        <w:t>alega que</w:t>
      </w:r>
      <w:r w:rsidR="00184B0A" w:rsidRPr="00FF7F88">
        <w:rPr>
          <w:rFonts w:asciiTheme="majorHAnsi" w:hAnsiTheme="majorHAnsi"/>
          <w:sz w:val="20"/>
          <w:szCs w:val="20"/>
          <w:lang w:val="es-ES_tradnl" w:eastAsia="es-ES"/>
        </w:rPr>
        <w:t xml:space="preserve"> la petición pretende que la Comisión viole su naturaleza complementaria y c</w:t>
      </w:r>
      <w:r w:rsidR="005D296B" w:rsidRPr="00FF7F88">
        <w:rPr>
          <w:rFonts w:asciiTheme="majorHAnsi" w:hAnsiTheme="majorHAnsi"/>
          <w:sz w:val="20"/>
          <w:szCs w:val="20"/>
          <w:lang w:val="es-ES_tradnl" w:eastAsia="es-ES"/>
        </w:rPr>
        <w:t>oa</w:t>
      </w:r>
      <w:r w:rsidR="00184B0A" w:rsidRPr="00FF7F88">
        <w:rPr>
          <w:rFonts w:asciiTheme="majorHAnsi" w:hAnsiTheme="majorHAnsi"/>
          <w:sz w:val="20"/>
          <w:szCs w:val="20"/>
          <w:lang w:val="es-ES_tradnl" w:eastAsia="es-ES"/>
        </w:rPr>
        <w:t>dyuvante para ejercer una revisión de las sentenciones o decisiones de control legal adoptadas por los tribunales doméstic</w:t>
      </w:r>
      <w:r w:rsidR="00005C7E" w:rsidRPr="00FF7F88">
        <w:rPr>
          <w:rFonts w:asciiTheme="majorHAnsi" w:hAnsiTheme="majorHAnsi"/>
          <w:sz w:val="20"/>
          <w:szCs w:val="20"/>
          <w:lang w:val="es-ES_tradnl" w:eastAsia="es-ES"/>
        </w:rPr>
        <w:t>o</w:t>
      </w:r>
      <w:r w:rsidR="00184B0A" w:rsidRPr="00FF7F88">
        <w:rPr>
          <w:rFonts w:asciiTheme="majorHAnsi" w:hAnsiTheme="majorHAnsi"/>
          <w:sz w:val="20"/>
          <w:szCs w:val="20"/>
          <w:lang w:val="es-ES_tradnl" w:eastAsia="es-ES"/>
        </w:rPr>
        <w:t xml:space="preserve">s. </w:t>
      </w:r>
      <w:r w:rsidR="00005C7E" w:rsidRPr="00FF7F88">
        <w:rPr>
          <w:rFonts w:asciiTheme="majorHAnsi" w:hAnsiTheme="majorHAnsi"/>
          <w:sz w:val="20"/>
          <w:szCs w:val="20"/>
          <w:lang w:val="es-ES_tradnl" w:eastAsia="es-ES"/>
        </w:rPr>
        <w:t>En el entendimiento del Estado, el objeto de la petición es que la Comisión dirima un desacuerdo entre las partes respecto al alcance del derecho interno y la aplicación de este en sentencias de inconstitucionalidad y amparo emitidas por la Corte Suprema de Justicia en ejercicios de sus competencias</w:t>
      </w:r>
      <w:r w:rsidR="00487FA2" w:rsidRPr="00FF7F88">
        <w:rPr>
          <w:rFonts w:asciiTheme="majorHAnsi" w:hAnsiTheme="majorHAnsi"/>
          <w:sz w:val="20"/>
          <w:szCs w:val="20"/>
          <w:lang w:val="es-ES_tradnl" w:eastAsia="es-ES"/>
        </w:rPr>
        <w:t xml:space="preserve">. </w:t>
      </w:r>
      <w:r w:rsidR="00D8419C" w:rsidRPr="00FF7F88">
        <w:rPr>
          <w:rFonts w:asciiTheme="majorHAnsi" w:hAnsiTheme="majorHAnsi"/>
          <w:sz w:val="20"/>
          <w:szCs w:val="20"/>
          <w:lang w:val="es-ES_tradnl" w:eastAsia="es-ES"/>
        </w:rPr>
        <w:t xml:space="preserve">El Estado resalta que de la propia petición se desprende que las presuntas víctimas tuvieron acceso a los tribunales, siendo escuchadas por y teniendo oportunidad de presentar pruebas ante estos; por lo que la petición se fundamenta únicamente en el hecho de que las resoluciones de la Sala de lo Constitucional no les hayan favorecido, lo que no constituye vulneración de derecho humano alguno. También señala que </w:t>
      </w:r>
      <w:r w:rsidR="0002624D" w:rsidRPr="00FF7F88">
        <w:rPr>
          <w:rFonts w:asciiTheme="majorHAnsi" w:hAnsiTheme="majorHAnsi"/>
          <w:sz w:val="20"/>
          <w:szCs w:val="20"/>
          <w:lang w:val="es-ES_tradnl" w:eastAsia="es-ES"/>
        </w:rPr>
        <w:t xml:space="preserve">los procesos relacionados con las presuntas víctimas fueron resueltos dentro de plazo razonable </w:t>
      </w:r>
      <w:r w:rsidR="00487FA2" w:rsidRPr="00FF7F88">
        <w:rPr>
          <w:rFonts w:asciiTheme="majorHAnsi" w:hAnsiTheme="majorHAnsi"/>
          <w:sz w:val="20"/>
          <w:szCs w:val="20"/>
          <w:lang w:val="es-ES_tradnl" w:eastAsia="es-ES"/>
        </w:rPr>
        <w:t>con relación a</w:t>
      </w:r>
      <w:r w:rsidR="0002624D" w:rsidRPr="00FF7F88">
        <w:rPr>
          <w:rFonts w:asciiTheme="majorHAnsi" w:hAnsiTheme="majorHAnsi"/>
          <w:sz w:val="20"/>
          <w:szCs w:val="20"/>
          <w:lang w:val="es-ES_tradnl" w:eastAsia="es-ES"/>
        </w:rPr>
        <w:t xml:space="preserve"> la complejidad del asunto, la actividad procesal de las partes y </w:t>
      </w:r>
      <w:r w:rsidR="005D296B" w:rsidRPr="00FF7F88">
        <w:rPr>
          <w:rFonts w:asciiTheme="majorHAnsi" w:hAnsiTheme="majorHAnsi"/>
          <w:sz w:val="20"/>
          <w:szCs w:val="20"/>
          <w:lang w:val="es-ES_tradnl" w:eastAsia="es-ES"/>
        </w:rPr>
        <w:t>la ausencia de acreditación de una situación especial de gravedad o urgencia.</w:t>
      </w:r>
      <w:r w:rsidR="0002624D" w:rsidRPr="00FF7F88">
        <w:rPr>
          <w:rFonts w:asciiTheme="majorHAnsi" w:hAnsiTheme="majorHAnsi"/>
          <w:sz w:val="20"/>
          <w:szCs w:val="20"/>
          <w:lang w:val="es-ES_tradnl" w:eastAsia="es-ES"/>
        </w:rPr>
        <w:t xml:space="preserve"> En adición, dest</w:t>
      </w:r>
      <w:r w:rsidR="005D296B" w:rsidRPr="00FF7F88">
        <w:rPr>
          <w:rFonts w:asciiTheme="majorHAnsi" w:hAnsiTheme="majorHAnsi"/>
          <w:sz w:val="20"/>
          <w:szCs w:val="20"/>
          <w:lang w:val="es-ES_tradnl" w:eastAsia="es-ES"/>
        </w:rPr>
        <w:t xml:space="preserve">aca que la imparcialidad de la Sala de lo Constitucional nunca fue controvertida pues no se presentaron recusaciones en el desarrollo del proceso. </w:t>
      </w:r>
    </w:p>
    <w:p w14:paraId="51CBAE3D" w14:textId="620DA6FB" w:rsidR="006B5F23" w:rsidRPr="00FF7F88" w:rsidRDefault="005D296B"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El Estado sostiene que, aunque la peticionaria pretende desvincular el Decreto 78-2001 del Arancel de Profesionales de las Ciencias Agrícolas, lo cierto es que las presuntas víctimas demandaron el pago de honorarios conforme a un arancel que se elevó a rango de ley y se le d</w:t>
      </w:r>
      <w:r w:rsidR="005F11D6" w:rsidRPr="00FF7F88">
        <w:rPr>
          <w:rFonts w:asciiTheme="majorHAnsi" w:hAnsiTheme="majorHAnsi"/>
          <w:sz w:val="20"/>
          <w:szCs w:val="20"/>
          <w:lang w:val="es-ES_tradnl" w:eastAsia="es-ES"/>
        </w:rPr>
        <w:t xml:space="preserve">io </w:t>
      </w:r>
      <w:r w:rsidRPr="00FF7F88">
        <w:rPr>
          <w:rFonts w:asciiTheme="majorHAnsi" w:hAnsiTheme="majorHAnsi"/>
          <w:sz w:val="20"/>
          <w:szCs w:val="20"/>
          <w:lang w:val="es-ES_tradnl" w:eastAsia="es-ES"/>
        </w:rPr>
        <w:t>el carácter de obligatorio</w:t>
      </w:r>
      <w:r w:rsidR="00487FA2" w:rsidRPr="00FF7F88">
        <w:rPr>
          <w:rFonts w:asciiTheme="majorHAnsi" w:hAnsiTheme="majorHAnsi"/>
          <w:sz w:val="20"/>
          <w:szCs w:val="20"/>
          <w:lang w:val="es-ES_tradnl" w:eastAsia="es-ES"/>
        </w:rPr>
        <w:t>,</w:t>
      </w:r>
      <w:r w:rsidRPr="00FF7F88">
        <w:rPr>
          <w:rFonts w:asciiTheme="majorHAnsi" w:hAnsiTheme="majorHAnsi"/>
          <w:sz w:val="20"/>
          <w:szCs w:val="20"/>
          <w:lang w:val="es-ES_tradnl" w:eastAsia="es-ES"/>
        </w:rPr>
        <w:t xml:space="preserve"> prescindiendo de</w:t>
      </w:r>
      <w:r w:rsidR="00985EF2" w:rsidRPr="00FF7F88">
        <w:rPr>
          <w:rFonts w:asciiTheme="majorHAnsi" w:hAnsiTheme="majorHAnsi"/>
          <w:sz w:val="20"/>
          <w:szCs w:val="20"/>
          <w:lang w:val="es-ES_tradnl" w:eastAsia="es-ES"/>
        </w:rPr>
        <w:t xml:space="preserve"> </w:t>
      </w:r>
      <w:r w:rsidRPr="00FF7F88">
        <w:rPr>
          <w:rFonts w:asciiTheme="majorHAnsi" w:hAnsiTheme="majorHAnsi"/>
          <w:sz w:val="20"/>
          <w:szCs w:val="20"/>
          <w:lang w:val="es-ES_tradnl" w:eastAsia="es-ES"/>
        </w:rPr>
        <w:t xml:space="preserve">los procedimientos constitucionales. </w:t>
      </w:r>
      <w:r w:rsidR="00487FA2" w:rsidRPr="00FF7F88">
        <w:rPr>
          <w:rFonts w:asciiTheme="majorHAnsi" w:hAnsiTheme="majorHAnsi"/>
          <w:sz w:val="20"/>
          <w:szCs w:val="20"/>
          <w:lang w:val="es-ES_tradnl" w:eastAsia="es-ES"/>
        </w:rPr>
        <w:t>E</w:t>
      </w:r>
      <w:r w:rsidRPr="00FF7F88">
        <w:rPr>
          <w:rFonts w:asciiTheme="majorHAnsi" w:hAnsiTheme="majorHAnsi"/>
          <w:sz w:val="20"/>
          <w:szCs w:val="20"/>
          <w:lang w:val="es-ES_tradnl" w:eastAsia="es-ES"/>
        </w:rPr>
        <w:t>xplica</w:t>
      </w:r>
      <w:r w:rsidR="00985EF2" w:rsidRPr="00FF7F88">
        <w:rPr>
          <w:rFonts w:asciiTheme="majorHAnsi" w:hAnsiTheme="majorHAnsi"/>
          <w:sz w:val="20"/>
          <w:szCs w:val="20"/>
          <w:lang w:val="es-ES_tradnl" w:eastAsia="es-ES"/>
        </w:rPr>
        <w:t xml:space="preserve"> </w:t>
      </w:r>
      <w:r w:rsidR="00487FA2" w:rsidRPr="00FF7F88">
        <w:rPr>
          <w:rFonts w:asciiTheme="majorHAnsi" w:hAnsiTheme="majorHAnsi"/>
          <w:sz w:val="20"/>
          <w:szCs w:val="20"/>
          <w:lang w:val="es-ES_tradnl" w:eastAsia="es-ES"/>
        </w:rPr>
        <w:t xml:space="preserve">Honduras </w:t>
      </w:r>
      <w:r w:rsidR="00985EF2" w:rsidRPr="00FF7F88">
        <w:rPr>
          <w:rFonts w:asciiTheme="majorHAnsi" w:hAnsiTheme="majorHAnsi"/>
          <w:sz w:val="20"/>
          <w:szCs w:val="20"/>
          <w:lang w:val="es-ES_tradnl" w:eastAsia="es-ES"/>
        </w:rPr>
        <w:t xml:space="preserve">que en su sentencia del 28 de marzo de 2006 la Sala de lo Constitucional determinó que el referido arancel no podía ser considerado ley, en virtud de haber sido aprobado por las Asambleas de los Colegios Profesionales, a quienes la Constitución no les atribuía la función de legislar; </w:t>
      </w:r>
      <w:r w:rsidR="005F11D6" w:rsidRPr="00FF7F88">
        <w:rPr>
          <w:rFonts w:asciiTheme="majorHAnsi" w:hAnsiTheme="majorHAnsi"/>
          <w:sz w:val="20"/>
          <w:szCs w:val="20"/>
          <w:lang w:val="es-ES_tradnl" w:eastAsia="es-ES"/>
        </w:rPr>
        <w:t xml:space="preserve">así como </w:t>
      </w:r>
      <w:r w:rsidR="00985EF2" w:rsidRPr="00FF7F88">
        <w:rPr>
          <w:rFonts w:asciiTheme="majorHAnsi" w:hAnsiTheme="majorHAnsi"/>
          <w:sz w:val="20"/>
          <w:szCs w:val="20"/>
          <w:lang w:val="es-ES_tradnl" w:eastAsia="es-ES"/>
        </w:rPr>
        <w:t xml:space="preserve"> que la interpretación realizada por el Congreso en Decreto 78-2001 tampoco tenía fuerza de ley</w:t>
      </w:r>
      <w:r w:rsidR="00487FA2" w:rsidRPr="00FF7F88">
        <w:rPr>
          <w:rFonts w:asciiTheme="majorHAnsi" w:hAnsiTheme="majorHAnsi"/>
          <w:sz w:val="20"/>
          <w:szCs w:val="20"/>
          <w:lang w:val="es-ES_tradnl" w:eastAsia="es-ES"/>
        </w:rPr>
        <w:t>,</w:t>
      </w:r>
      <w:r w:rsidR="00985EF2" w:rsidRPr="00FF7F88">
        <w:rPr>
          <w:rFonts w:asciiTheme="majorHAnsi" w:hAnsiTheme="majorHAnsi"/>
          <w:sz w:val="20"/>
          <w:szCs w:val="20"/>
          <w:lang w:val="es-ES_tradnl" w:eastAsia="es-ES"/>
        </w:rPr>
        <w:t xml:space="preserve"> puesto que su discusión y aprobación no fue realizada por el legislador de conformidad a los procedimientos constitucionales para la formación </w:t>
      </w:r>
      <w:r w:rsidR="00367099" w:rsidRPr="00FF7F88">
        <w:rPr>
          <w:rFonts w:asciiTheme="majorHAnsi" w:hAnsiTheme="majorHAnsi"/>
          <w:sz w:val="20"/>
          <w:szCs w:val="20"/>
          <w:lang w:val="es-ES_tradnl" w:eastAsia="es-ES"/>
        </w:rPr>
        <w:t>d</w:t>
      </w:r>
      <w:r w:rsidR="00985EF2" w:rsidRPr="00FF7F88">
        <w:rPr>
          <w:rFonts w:asciiTheme="majorHAnsi" w:hAnsiTheme="majorHAnsi"/>
          <w:sz w:val="20"/>
          <w:szCs w:val="20"/>
          <w:lang w:val="es-ES_tradnl" w:eastAsia="es-ES"/>
        </w:rPr>
        <w:t>e la ley</w:t>
      </w:r>
      <w:r w:rsidR="005F11D6" w:rsidRPr="00FF7F88">
        <w:rPr>
          <w:rFonts w:asciiTheme="majorHAnsi" w:hAnsiTheme="majorHAnsi"/>
          <w:sz w:val="20"/>
          <w:szCs w:val="20"/>
          <w:lang w:val="es-ES_tradnl" w:eastAsia="es-ES"/>
        </w:rPr>
        <w:t>.</w:t>
      </w:r>
      <w:r w:rsidR="00FF0C08" w:rsidRPr="00FF7F88">
        <w:rPr>
          <w:rFonts w:asciiTheme="majorHAnsi" w:hAnsiTheme="majorHAnsi"/>
          <w:sz w:val="20"/>
          <w:szCs w:val="20"/>
          <w:lang w:val="es-ES_tradnl" w:eastAsia="es-ES"/>
        </w:rPr>
        <w:t xml:space="preserve"> Esta posición sería reiterada por la Sala de lo Constitucional en una sentencia del 19 de abril de 2006.</w:t>
      </w:r>
      <w:r w:rsidR="005F11D6" w:rsidRPr="00FF7F88">
        <w:rPr>
          <w:rFonts w:asciiTheme="majorHAnsi" w:hAnsiTheme="majorHAnsi"/>
          <w:sz w:val="20"/>
          <w:szCs w:val="20"/>
          <w:lang w:val="es-ES_tradnl" w:eastAsia="es-ES"/>
        </w:rPr>
        <w:t xml:space="preserve"> </w:t>
      </w:r>
      <w:r w:rsidR="00FF0C08" w:rsidRPr="00FF7F88">
        <w:rPr>
          <w:rFonts w:asciiTheme="majorHAnsi" w:hAnsiTheme="majorHAnsi"/>
          <w:sz w:val="20"/>
          <w:szCs w:val="20"/>
          <w:lang w:val="es-ES_tradnl" w:eastAsia="es-ES"/>
        </w:rPr>
        <w:t xml:space="preserve">Ambas sentencias fueron anteriores a aquellas emitidas en favor de las presuntas víctimas. </w:t>
      </w:r>
      <w:r w:rsidR="00F77393" w:rsidRPr="00FF7F88">
        <w:rPr>
          <w:rFonts w:asciiTheme="majorHAnsi" w:hAnsiTheme="majorHAnsi"/>
          <w:sz w:val="20"/>
          <w:szCs w:val="20"/>
          <w:lang w:val="es-ES_tradnl" w:eastAsia="es-ES"/>
        </w:rPr>
        <w:t xml:space="preserve">En consecuencia, la Secretaría de Agricultura y Ganadería recurrió en amparo para impedir la ejecución </w:t>
      </w:r>
      <w:r w:rsidR="000902A5" w:rsidRPr="00FF7F88">
        <w:rPr>
          <w:rFonts w:asciiTheme="majorHAnsi" w:hAnsiTheme="majorHAnsi"/>
          <w:sz w:val="20"/>
          <w:szCs w:val="20"/>
          <w:lang w:val="es-ES_tradnl" w:eastAsia="es-ES"/>
        </w:rPr>
        <w:t>de un fallo basado</w:t>
      </w:r>
      <w:r w:rsidR="00FF0C08" w:rsidRPr="00FF7F88">
        <w:rPr>
          <w:rFonts w:asciiTheme="majorHAnsi" w:hAnsiTheme="majorHAnsi"/>
          <w:sz w:val="20"/>
          <w:szCs w:val="20"/>
          <w:lang w:val="es-ES_tradnl" w:eastAsia="es-ES"/>
        </w:rPr>
        <w:t xml:space="preserve"> en disposiciones normativas que habían sido </w:t>
      </w:r>
      <w:r w:rsidR="00FF0C08" w:rsidRPr="00FF7F88">
        <w:rPr>
          <w:rFonts w:asciiTheme="majorHAnsi" w:hAnsiTheme="majorHAnsi"/>
          <w:sz w:val="20"/>
          <w:szCs w:val="20"/>
          <w:lang w:val="es-ES_tradnl" w:eastAsia="es-ES"/>
        </w:rPr>
        <w:lastRenderedPageBreak/>
        <w:t>expulsadas del ordenamiento jurídico de forma previa a su emisión; concediéndose al amparo en reconocimiento de que la ejecución del fallo constitu</w:t>
      </w:r>
      <w:r w:rsidR="000902A5" w:rsidRPr="00FF7F88">
        <w:rPr>
          <w:rFonts w:asciiTheme="majorHAnsi" w:hAnsiTheme="majorHAnsi"/>
          <w:sz w:val="20"/>
          <w:szCs w:val="20"/>
          <w:lang w:val="es-ES_tradnl" w:eastAsia="es-ES"/>
        </w:rPr>
        <w:t>iría</w:t>
      </w:r>
      <w:r w:rsidR="00FF0C08" w:rsidRPr="00FF7F88">
        <w:rPr>
          <w:rFonts w:asciiTheme="majorHAnsi" w:hAnsiTheme="majorHAnsi"/>
          <w:sz w:val="20"/>
          <w:szCs w:val="20"/>
          <w:lang w:val="es-ES_tradnl" w:eastAsia="es-ES"/>
        </w:rPr>
        <w:t xml:space="preserve"> una injusticia.</w:t>
      </w:r>
    </w:p>
    <w:p w14:paraId="496D69A5" w14:textId="653DFE3F" w:rsidR="000902A5" w:rsidRPr="00FF7F88" w:rsidRDefault="00696B18"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Señala</w:t>
      </w:r>
      <w:r w:rsidR="000902A5" w:rsidRPr="00FF7F88">
        <w:rPr>
          <w:rFonts w:asciiTheme="majorHAnsi" w:hAnsiTheme="majorHAnsi"/>
          <w:sz w:val="20"/>
          <w:szCs w:val="20"/>
          <w:lang w:val="es-ES_tradnl" w:eastAsia="es-ES"/>
        </w:rPr>
        <w:t xml:space="preserve"> además del Estado que la propia peticionaria reconoce que el arancel no tenía fuerza de ley</w:t>
      </w:r>
      <w:r w:rsidR="00487FA2" w:rsidRPr="00FF7F88">
        <w:rPr>
          <w:rFonts w:asciiTheme="majorHAnsi" w:hAnsiTheme="majorHAnsi"/>
          <w:sz w:val="20"/>
          <w:szCs w:val="20"/>
          <w:lang w:val="es-ES_tradnl" w:eastAsia="es-ES"/>
        </w:rPr>
        <w:t>;</w:t>
      </w:r>
      <w:r w:rsidR="000902A5" w:rsidRPr="00FF7F88">
        <w:rPr>
          <w:rFonts w:asciiTheme="majorHAnsi" w:hAnsiTheme="majorHAnsi"/>
          <w:sz w:val="20"/>
          <w:szCs w:val="20"/>
          <w:lang w:val="es-ES_tradnl" w:eastAsia="es-ES"/>
        </w:rPr>
        <w:t xml:space="preserve"> y que la jurisprudencia de la Corte Interamericana ha determinado que una ley solo tiene fuerza normativa cuando es emitida por el Poder Legislativo en apego a los procedimientos constitucionales para la formación de las leyes. Por ende, la pretendida aplicación de un arancel adoptado en contra de lo dispuesto por el derecho internacional y el constitucional era contraria al Estado de Derecho. Argumenta también que haber concedido la ejecución hubiese generado una situación de inseguridad jurídica para cualquier persona que contratara servicios de profesionales de la agronomía. Esto, por razón de que amparar el derecho a las presuntas víctimas y desconocérselos en el futuro a otras hubiese generado una situación de discriminación. </w:t>
      </w:r>
      <w:r w:rsidRPr="00FF7F88">
        <w:rPr>
          <w:rFonts w:asciiTheme="majorHAnsi" w:hAnsiTheme="majorHAnsi"/>
          <w:sz w:val="20"/>
          <w:szCs w:val="20"/>
          <w:lang w:val="es-ES_tradnl" w:eastAsia="es-ES"/>
        </w:rPr>
        <w:t>El Estado</w:t>
      </w:r>
      <w:r w:rsidR="000902A5" w:rsidRPr="00FF7F88">
        <w:rPr>
          <w:rFonts w:asciiTheme="majorHAnsi" w:hAnsiTheme="majorHAnsi"/>
          <w:sz w:val="20"/>
          <w:szCs w:val="20"/>
          <w:lang w:val="es-ES_tradnl" w:eastAsia="es-ES"/>
        </w:rPr>
        <w:t xml:space="preserve"> </w:t>
      </w:r>
      <w:r w:rsidRPr="00FF7F88">
        <w:rPr>
          <w:rFonts w:asciiTheme="majorHAnsi" w:hAnsiTheme="majorHAnsi"/>
          <w:sz w:val="20"/>
          <w:szCs w:val="20"/>
          <w:lang w:val="es-ES_tradnl" w:eastAsia="es-ES"/>
        </w:rPr>
        <w:t>añade</w:t>
      </w:r>
      <w:r w:rsidR="000902A5" w:rsidRPr="00FF7F88">
        <w:rPr>
          <w:rFonts w:asciiTheme="majorHAnsi" w:hAnsiTheme="majorHAnsi"/>
          <w:sz w:val="20"/>
          <w:szCs w:val="20"/>
          <w:lang w:val="es-ES_tradnl" w:eastAsia="es-ES"/>
        </w:rPr>
        <w:t xml:space="preserve"> que la peticionaria no ha explicado </w:t>
      </w:r>
      <w:r w:rsidRPr="00FF7F88">
        <w:rPr>
          <w:rFonts w:asciiTheme="majorHAnsi" w:hAnsiTheme="majorHAnsi"/>
          <w:sz w:val="20"/>
          <w:szCs w:val="20"/>
          <w:lang w:val="es-ES_tradnl" w:eastAsia="es-ES"/>
        </w:rPr>
        <w:t>la forma en que</w:t>
      </w:r>
      <w:r w:rsidR="000902A5" w:rsidRPr="00FF7F88">
        <w:rPr>
          <w:rFonts w:asciiTheme="majorHAnsi" w:hAnsiTheme="majorHAnsi"/>
          <w:sz w:val="20"/>
          <w:szCs w:val="20"/>
          <w:lang w:val="es-ES_tradnl" w:eastAsia="es-ES"/>
        </w:rPr>
        <w:t xml:space="preserve"> las actuaciones de los órganos jurisdiccionales </w:t>
      </w:r>
      <w:r w:rsidRPr="00FF7F88">
        <w:rPr>
          <w:rFonts w:asciiTheme="majorHAnsi" w:hAnsiTheme="majorHAnsi"/>
          <w:sz w:val="20"/>
          <w:szCs w:val="20"/>
          <w:lang w:val="es-ES_tradnl" w:eastAsia="es-ES"/>
        </w:rPr>
        <w:t>constituirían una</w:t>
      </w:r>
      <w:r w:rsidR="000902A5" w:rsidRPr="00FF7F88">
        <w:rPr>
          <w:rFonts w:asciiTheme="majorHAnsi" w:hAnsiTheme="majorHAnsi"/>
          <w:sz w:val="20"/>
          <w:szCs w:val="20"/>
          <w:lang w:val="es-ES_tradnl" w:eastAsia="es-ES"/>
        </w:rPr>
        <w:t xml:space="preserve"> violación del derecho de las presuntas víctimas a la igualdad ante la ley. </w:t>
      </w:r>
      <w:r w:rsidRPr="00FF7F88">
        <w:rPr>
          <w:rFonts w:asciiTheme="majorHAnsi" w:hAnsiTheme="majorHAnsi"/>
          <w:sz w:val="20"/>
          <w:szCs w:val="20"/>
          <w:lang w:val="es-ES_tradnl" w:eastAsia="es-ES"/>
        </w:rPr>
        <w:t xml:space="preserve">Adicionalmente, el Estado destaca que los montos reclamados por las presuntas víctimas exceden el 90% del presupuesto general del órgano estatal que debería asumir la responsabilidad; por lo que reconocer la pretensión de estas equivaldría a la desaparición de ese órgano con la consecuencia de que un número significativo de personas pierdan sus empleos.  </w:t>
      </w:r>
    </w:p>
    <w:p w14:paraId="26BE37C9" w14:textId="5FD53B31" w:rsidR="00FD55A3" w:rsidRPr="00FF7F88" w:rsidRDefault="00696B18"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b/>
          <w:bCs/>
          <w:sz w:val="20"/>
          <w:szCs w:val="20"/>
          <w:lang w:val="es-ES_tradnl" w:eastAsia="es-ES"/>
        </w:rPr>
      </w:pPr>
      <w:r w:rsidRPr="00FF7F88">
        <w:rPr>
          <w:rFonts w:asciiTheme="majorHAnsi" w:hAnsiTheme="majorHAnsi"/>
          <w:sz w:val="20"/>
          <w:szCs w:val="20"/>
          <w:lang w:val="es-ES_tradnl" w:eastAsia="es-ES"/>
        </w:rPr>
        <w:t xml:space="preserve">El Estado también indica que la parte peticionaria se ha limitado a señalar que la petición cumple con los requisitos del artículo 46 de la Convención Americana sin acreditar tal supuesto. </w:t>
      </w:r>
      <w:r w:rsidR="00607051" w:rsidRPr="00FF7F88">
        <w:rPr>
          <w:rFonts w:asciiTheme="majorHAnsi" w:hAnsiTheme="majorHAnsi"/>
          <w:sz w:val="20"/>
          <w:szCs w:val="20"/>
          <w:lang w:val="es-ES_tradnl" w:eastAsia="es-ES"/>
        </w:rPr>
        <w:t xml:space="preserve">Así explica que la petición fue presentada estando pendiente la resolución del recurso amparo que había sido interpuesto por las autoridades del Estado sin que se configurara una situación de retardo injustificado ni ninguna otra que eximiera a las presuntas víctimas del agotamiento de los recursos internos. </w:t>
      </w:r>
    </w:p>
    <w:p w14:paraId="6F4D4171" w14:textId="0A30C225" w:rsidR="003239B8" w:rsidRPr="00FF7F88" w:rsidRDefault="003239B8" w:rsidP="00487F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FF7F88">
        <w:rPr>
          <w:rFonts w:asciiTheme="majorHAnsi" w:eastAsia="Cambria" w:hAnsiTheme="majorHAnsi" w:cs="Cambria"/>
          <w:b/>
          <w:bCs/>
          <w:color w:val="000000"/>
          <w:sz w:val="20"/>
          <w:szCs w:val="20"/>
          <w:u w:color="000000"/>
          <w:lang w:val="es-ES_tradnl" w:eastAsia="es-ES"/>
        </w:rPr>
        <w:t>VI.</w:t>
      </w:r>
      <w:r w:rsidRPr="00FF7F88">
        <w:rPr>
          <w:rFonts w:asciiTheme="majorHAnsi" w:eastAsia="Cambria" w:hAnsiTheme="majorHAnsi" w:cs="Cambria"/>
          <w:b/>
          <w:bCs/>
          <w:color w:val="000000"/>
          <w:sz w:val="20"/>
          <w:szCs w:val="20"/>
          <w:u w:color="000000"/>
          <w:lang w:val="es-ES_tradnl" w:eastAsia="es-ES"/>
        </w:rPr>
        <w:tab/>
      </w:r>
      <w:r w:rsidR="004A6A54" w:rsidRPr="00FF7F88">
        <w:rPr>
          <w:rFonts w:asciiTheme="majorHAnsi" w:hAnsiTheme="majorHAnsi"/>
          <w:b/>
          <w:bCs/>
          <w:sz w:val="20"/>
          <w:szCs w:val="20"/>
          <w:lang w:val="es-ES_tradnl"/>
        </w:rPr>
        <w:t xml:space="preserve">ANÁLISIS DE </w:t>
      </w:r>
      <w:r w:rsidR="00C21FEF" w:rsidRPr="00FF7F88">
        <w:rPr>
          <w:rFonts w:asciiTheme="majorHAnsi" w:hAnsiTheme="majorHAnsi"/>
          <w:b/>
          <w:sz w:val="20"/>
          <w:szCs w:val="20"/>
          <w:lang w:val="es-ES_tradnl"/>
        </w:rPr>
        <w:t>AGOTAMIENTO DE LOS RECURSOS INTERNOS Y PLAZO DE PRESENTACIÓN</w:t>
      </w:r>
      <w:r w:rsidR="00C21FEF" w:rsidRPr="00FF7F88">
        <w:rPr>
          <w:rFonts w:asciiTheme="majorHAnsi" w:eastAsia="Cambria" w:hAnsiTheme="majorHAnsi" w:cs="Cambria"/>
          <w:b/>
          <w:bCs/>
          <w:color w:val="000000"/>
          <w:sz w:val="20"/>
          <w:szCs w:val="20"/>
          <w:u w:color="000000"/>
          <w:lang w:val="es-ES_tradnl" w:eastAsia="es-ES"/>
        </w:rPr>
        <w:t xml:space="preserve"> </w:t>
      </w:r>
    </w:p>
    <w:p w14:paraId="72E2976A" w14:textId="72E2AAE8" w:rsidR="009D1750" w:rsidRPr="00FF7F88" w:rsidRDefault="007E75F4"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FF7F88">
        <w:rPr>
          <w:rFonts w:ascii="Cambria" w:hAnsi="Cambria"/>
          <w:sz w:val="20"/>
          <w:szCs w:val="20"/>
          <w:lang w:val="es-ES_tradnl"/>
        </w:rPr>
        <w:t xml:space="preserve">La Comisión observa que </w:t>
      </w:r>
      <w:r w:rsidR="00696B18" w:rsidRPr="00FF7F88">
        <w:rPr>
          <w:rFonts w:ascii="Cambria" w:hAnsi="Cambria"/>
          <w:sz w:val="20"/>
          <w:szCs w:val="20"/>
          <w:lang w:val="es-ES_tradnl"/>
        </w:rPr>
        <w:t>la parte peticionari</w:t>
      </w:r>
      <w:r w:rsidR="00607051" w:rsidRPr="00FF7F88">
        <w:rPr>
          <w:rFonts w:ascii="Cambria" w:hAnsi="Cambria"/>
          <w:sz w:val="20"/>
          <w:szCs w:val="20"/>
          <w:lang w:val="es-ES_tradnl"/>
        </w:rPr>
        <w:t>a ha indicado que los recursos internos quedaron agotados con la decisión de la Sala de lo Constitucional de la Corte Suprema de Justicia que otorgó amparo a favor del Estado. A su vez, el Estado ha argumentado que las presuntas víctimas no han acreditado el cumplimiento de los requisitos del artículo 46 de la Convención Americana.</w:t>
      </w:r>
    </w:p>
    <w:p w14:paraId="7CC3862E" w14:textId="22997176" w:rsidR="00607051" w:rsidRPr="00FF7F88" w:rsidRDefault="000974AE"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FF7F88">
        <w:rPr>
          <w:rFonts w:asciiTheme="majorHAnsi" w:hAnsiTheme="majorHAnsi"/>
          <w:sz w:val="20"/>
          <w:szCs w:val="20"/>
          <w:lang w:val="es-ES_tradnl"/>
        </w:rPr>
        <w:t>Según el criterio sostenido de la Comisión, “</w:t>
      </w:r>
      <w:r w:rsidRPr="00FF7F88">
        <w:rPr>
          <w:rFonts w:ascii="Cambria" w:hAnsi="Cambria" w:cs="Calibri"/>
          <w:i/>
          <w:iCs/>
          <w:sz w:val="20"/>
          <w:szCs w:val="20"/>
          <w:lang w:val="es-ES_tradnl"/>
        </w:rPr>
        <w:t xml:space="preserve">toda vez que un Estado alega la falta de agotamiento de los recursos internos por parte de los peticionarios, tiene la carga de identificar cuáles serían </w:t>
      </w:r>
      <w:proofErr w:type="gramStart"/>
      <w:r w:rsidRPr="00FF7F88">
        <w:rPr>
          <w:rFonts w:ascii="Cambria" w:hAnsi="Cambria" w:cs="Calibri"/>
          <w:i/>
          <w:iCs/>
          <w:sz w:val="20"/>
          <w:szCs w:val="20"/>
          <w:lang w:val="es-ES_tradnl"/>
        </w:rPr>
        <w:t>los recursos a agotarse</w:t>
      </w:r>
      <w:proofErr w:type="gramEnd"/>
      <w:r w:rsidRPr="00FF7F88">
        <w:rPr>
          <w:rFonts w:ascii="Cambria" w:hAnsi="Cambria" w:cs="Calibri"/>
          <w:i/>
          <w:iCs/>
          <w:sz w:val="20"/>
          <w:szCs w:val="20"/>
          <w:lang w:val="es-ES_tradnl"/>
        </w:rPr>
        <w:t xml:space="preserve"> y demostrar que los recursos que no han sido agotados resultan ‘adecuados’ para subsanar la violación alegada</w:t>
      </w:r>
      <w:r w:rsidRPr="00FF7F88">
        <w:rPr>
          <w:rFonts w:ascii="Cambria" w:hAnsi="Cambria" w:cs="Calibri"/>
          <w:sz w:val="20"/>
          <w:szCs w:val="20"/>
          <w:lang w:val="es-ES_tradnl"/>
        </w:rPr>
        <w:t xml:space="preserve">” </w:t>
      </w:r>
      <w:r w:rsidRPr="00FF7F88">
        <w:rPr>
          <w:rStyle w:val="FootnoteReference"/>
          <w:rFonts w:ascii="Cambria" w:hAnsi="Cambria" w:cs="Calibri"/>
          <w:sz w:val="20"/>
          <w:szCs w:val="20"/>
          <w:lang w:val="es-ES_tradnl"/>
        </w:rPr>
        <w:footnoteReference w:id="6"/>
      </w:r>
      <w:r w:rsidRPr="00FF7F88">
        <w:rPr>
          <w:rFonts w:ascii="Cambria" w:hAnsi="Cambria" w:cs="Calibri"/>
          <w:sz w:val="20"/>
          <w:szCs w:val="20"/>
          <w:lang w:val="es-ES_tradnl"/>
        </w:rPr>
        <w:t xml:space="preserve">. En el presente caso, si bien el Estado ha alegado que la parte peticionaria no ha acreditado el agotamiento de los recursos internos, no ha indicado cuales serían los recursos adecuados que no habrían sido agotados por las presuntas víctimas. </w:t>
      </w:r>
      <w:r w:rsidR="00801C73" w:rsidRPr="00FF7F88">
        <w:rPr>
          <w:rFonts w:ascii="Cambria" w:hAnsi="Cambria" w:cs="Calibri"/>
          <w:sz w:val="20"/>
          <w:szCs w:val="20"/>
          <w:lang w:val="es-ES_tradnl"/>
        </w:rPr>
        <w:t>El Estado tampoco ha señalado ni surge del expediente que</w:t>
      </w:r>
      <w:r w:rsidRPr="00FF7F88">
        <w:rPr>
          <w:rFonts w:ascii="Cambria" w:hAnsi="Cambria" w:cs="Calibri"/>
          <w:sz w:val="20"/>
          <w:szCs w:val="20"/>
          <w:lang w:val="es-ES_tradnl"/>
        </w:rPr>
        <w:t xml:space="preserve">, luego </w:t>
      </w:r>
      <w:r w:rsidR="00801C73" w:rsidRPr="00FF7F88">
        <w:rPr>
          <w:rFonts w:ascii="Cambria" w:hAnsi="Cambria" w:cs="Calibri"/>
          <w:sz w:val="20"/>
          <w:szCs w:val="20"/>
          <w:lang w:val="es-ES_tradnl"/>
        </w:rPr>
        <w:t>de que la Sala de lo Constitucional otorgara amparo a favor del Estado</w:t>
      </w:r>
      <w:r w:rsidRPr="00FF7F88">
        <w:rPr>
          <w:rFonts w:ascii="Cambria" w:hAnsi="Cambria" w:cs="Calibri"/>
          <w:sz w:val="20"/>
          <w:szCs w:val="20"/>
          <w:lang w:val="es-ES_tradnl"/>
        </w:rPr>
        <w:t xml:space="preserve">, existiesen recursos adicionales que </w:t>
      </w:r>
      <w:r w:rsidR="00801C73" w:rsidRPr="00FF7F88">
        <w:rPr>
          <w:rFonts w:ascii="Cambria" w:hAnsi="Cambria" w:cs="Calibri"/>
          <w:sz w:val="20"/>
          <w:szCs w:val="20"/>
          <w:lang w:val="es-ES_tradnl"/>
        </w:rPr>
        <w:t>fuesen idóneos</w:t>
      </w:r>
      <w:r w:rsidRPr="00FF7F88">
        <w:rPr>
          <w:rFonts w:ascii="Cambria" w:hAnsi="Cambria" w:cs="Calibri"/>
          <w:sz w:val="20"/>
          <w:szCs w:val="20"/>
          <w:lang w:val="es-ES_tradnl"/>
        </w:rPr>
        <w:t xml:space="preserve"> para que las reclamaciones de las presuntas víctimas fueran atendidas a nivel doméstic</w:t>
      </w:r>
      <w:r w:rsidR="00801C73" w:rsidRPr="00FF7F88">
        <w:rPr>
          <w:rFonts w:ascii="Cambria" w:hAnsi="Cambria" w:cs="Calibri"/>
          <w:sz w:val="20"/>
          <w:szCs w:val="20"/>
          <w:lang w:val="es-ES_tradnl"/>
        </w:rPr>
        <w:t xml:space="preserve">o. Por estas razones la Comisión concluye que con respecto a la presente petición los requisitos del artículo 46.1(a) de la Convención Americana se vieron cumplidos con la decisión de la Sala de lo Constitucional mediante la cual se determinó definitivamente la imposibilidad de ejecutar la sentencia que había sido emitida a favor de las presuntas víctimas. Dado que esa decisión se emitió el 7 de octubre de 2014 y la petición fue presentada el 31 de octubre de 2014, la Comisión también concluye </w:t>
      </w:r>
      <w:r w:rsidR="001E45CD" w:rsidRPr="00FF7F88">
        <w:rPr>
          <w:rFonts w:ascii="Cambria" w:hAnsi="Cambria" w:cs="Calibri"/>
          <w:sz w:val="20"/>
          <w:szCs w:val="20"/>
          <w:lang w:val="es-ES_tradnl"/>
        </w:rPr>
        <w:t xml:space="preserve">que la petición cumple con los requisitos del artículo 46.1(b) de la Convención Americana. </w:t>
      </w:r>
    </w:p>
    <w:p w14:paraId="724B62B9" w14:textId="7616CD3F" w:rsidR="001E45CD" w:rsidRPr="00FF7F88" w:rsidRDefault="001E45CD"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FF7F88">
        <w:rPr>
          <w:rFonts w:asciiTheme="majorHAnsi" w:hAnsiTheme="majorHAnsi"/>
          <w:sz w:val="20"/>
          <w:szCs w:val="20"/>
          <w:lang w:val="es-ES_tradnl"/>
        </w:rPr>
        <w:t xml:space="preserve">Con respecto a la circunstancia de que la petición fue presentada antes de que (según lo alegado) la decisión definitiva hubiese sido notificada a las presuntas víctimas, la Comisión reitera su posición constante </w:t>
      </w:r>
      <w:r w:rsidRPr="00FF7F88">
        <w:rPr>
          <w:rFonts w:ascii="Cambria" w:hAnsi="Cambria" w:cs="Calibri"/>
          <w:sz w:val="20"/>
          <w:szCs w:val="20"/>
          <w:lang w:val="es-ES_tradnl"/>
        </w:rPr>
        <w:t>según la cual la situación que debe tenerse en cuenta para establecer si se han agotado los recursos de la jurisdicción interna es aquella existente al momento de decidir sobre la admisibilidad.</w:t>
      </w:r>
    </w:p>
    <w:p w14:paraId="4FFBE378" w14:textId="538CAD7E" w:rsidR="003239B8" w:rsidRPr="00FF7F88" w:rsidRDefault="003239B8" w:rsidP="003822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FF7F88">
        <w:rPr>
          <w:rFonts w:asciiTheme="majorHAnsi" w:hAnsiTheme="majorHAnsi"/>
          <w:b/>
          <w:bCs/>
          <w:sz w:val="20"/>
          <w:szCs w:val="20"/>
          <w:lang w:val="es-ES_tradnl"/>
        </w:rPr>
        <w:lastRenderedPageBreak/>
        <w:t>VII.</w:t>
      </w:r>
      <w:r w:rsidRPr="00FF7F88">
        <w:rPr>
          <w:rFonts w:asciiTheme="majorHAnsi" w:hAnsiTheme="majorHAnsi"/>
          <w:b/>
          <w:bCs/>
          <w:sz w:val="20"/>
          <w:szCs w:val="20"/>
          <w:lang w:val="es-ES_tradnl"/>
        </w:rPr>
        <w:tab/>
      </w:r>
      <w:r w:rsidR="004A6A54" w:rsidRPr="00FF7F88">
        <w:rPr>
          <w:rFonts w:asciiTheme="majorHAnsi" w:hAnsiTheme="majorHAnsi"/>
          <w:b/>
          <w:bCs/>
          <w:sz w:val="20"/>
          <w:szCs w:val="20"/>
          <w:lang w:val="es-ES_tradnl"/>
        </w:rPr>
        <w:t xml:space="preserve">ANÁLISIS DE </w:t>
      </w:r>
      <w:r w:rsidR="00C21FEF" w:rsidRPr="00FF7F88">
        <w:rPr>
          <w:rFonts w:asciiTheme="majorHAnsi" w:hAnsiTheme="majorHAnsi"/>
          <w:b/>
          <w:bCs/>
          <w:sz w:val="20"/>
          <w:szCs w:val="20"/>
          <w:lang w:val="es-ES_tradnl"/>
        </w:rPr>
        <w:t>CARACTERIZACIÓN DE LOS HECHOS ALEGADOS</w:t>
      </w:r>
    </w:p>
    <w:p w14:paraId="0E7953CA" w14:textId="1277E406" w:rsidR="00D75EB9" w:rsidRPr="00FF7F88" w:rsidRDefault="001E45CD" w:rsidP="00C15D8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7F88">
        <w:rPr>
          <w:rFonts w:asciiTheme="majorHAnsi" w:hAnsiTheme="majorHAnsi"/>
          <w:sz w:val="20"/>
          <w:szCs w:val="20"/>
          <w:lang w:val="es-ES_tradnl"/>
        </w:rPr>
        <w:t>La presente petición incluye alegaciones respecto a que las presuntas víctimas obtuvieron un fallo favorable con grado de cosa juzgad</w:t>
      </w:r>
      <w:r w:rsidR="00D75EB9" w:rsidRPr="00FF7F88">
        <w:rPr>
          <w:rFonts w:asciiTheme="majorHAnsi" w:hAnsiTheme="majorHAnsi"/>
          <w:sz w:val="20"/>
          <w:szCs w:val="20"/>
          <w:lang w:val="es-ES_tradnl"/>
        </w:rPr>
        <w:t xml:space="preserve">a </w:t>
      </w:r>
      <w:r w:rsidR="0073270B" w:rsidRPr="00FF7F88">
        <w:rPr>
          <w:rFonts w:asciiTheme="majorHAnsi" w:hAnsiTheme="majorHAnsi"/>
          <w:sz w:val="20"/>
          <w:szCs w:val="20"/>
          <w:lang w:val="es-ES_tradnl"/>
        </w:rPr>
        <w:t>que</w:t>
      </w:r>
      <w:r w:rsidR="00D75EB9" w:rsidRPr="00FF7F88">
        <w:rPr>
          <w:rFonts w:asciiTheme="majorHAnsi" w:hAnsiTheme="majorHAnsi"/>
          <w:sz w:val="20"/>
          <w:szCs w:val="20"/>
          <w:lang w:val="es-ES_tradnl"/>
        </w:rPr>
        <w:t xml:space="preserve"> se fundamentó en un arancel profesional. El fallo no habría sido cumplido por lo que las presuntas víctimas demandaron su ejecución ante las autoridades competentes. La ejecución habría sido denegada definitivamente en base a que, previo a la emisión del fallo cuya ejecución se reclamaba, se habría declarado judicialmente la inconstitucionalidad de un decreto mediante el cual el Congreso pretendió dar fuerza de ley al referido arancel sin seguir los procedimientos constitucionalmente previstos para la formación de leyes. Se alega que denegar la ejecución en base a esa declaratoria de inconstitucionalidad fue arbitrario</w:t>
      </w:r>
      <w:r w:rsidR="0073270B" w:rsidRPr="00FF7F88">
        <w:rPr>
          <w:rFonts w:asciiTheme="majorHAnsi" w:hAnsiTheme="majorHAnsi"/>
          <w:sz w:val="20"/>
          <w:szCs w:val="20"/>
          <w:lang w:val="es-ES_tradnl"/>
        </w:rPr>
        <w:t>,</w:t>
      </w:r>
      <w:r w:rsidR="00D75EB9" w:rsidRPr="00FF7F88">
        <w:rPr>
          <w:rFonts w:asciiTheme="majorHAnsi" w:hAnsiTheme="majorHAnsi"/>
          <w:sz w:val="20"/>
          <w:szCs w:val="20"/>
          <w:lang w:val="es-ES_tradnl"/>
        </w:rPr>
        <w:t xml:space="preserve"> pues </w:t>
      </w:r>
      <w:r w:rsidR="00443FF8" w:rsidRPr="00FF7F88">
        <w:rPr>
          <w:rFonts w:asciiTheme="majorHAnsi" w:hAnsiTheme="majorHAnsi"/>
          <w:sz w:val="20"/>
          <w:szCs w:val="20"/>
          <w:lang w:val="es-ES_tradnl"/>
        </w:rPr>
        <w:t>el fallo que se pretendía ejecutar no se había fundado en el decreto declarado inconstitucional sino en el arancel que no lo había sido, y tampoco se había fundado en que el arancel tuviera fuerza de ley sino en que este, pese a no tenerl</w:t>
      </w:r>
      <w:r w:rsidR="00EC4A46" w:rsidRPr="00FF7F88">
        <w:rPr>
          <w:rFonts w:asciiTheme="majorHAnsi" w:hAnsiTheme="majorHAnsi"/>
          <w:sz w:val="20"/>
          <w:szCs w:val="20"/>
          <w:lang w:val="es-ES_tradnl"/>
        </w:rPr>
        <w:t>a</w:t>
      </w:r>
      <w:r w:rsidR="00443FF8" w:rsidRPr="00FF7F88">
        <w:rPr>
          <w:rFonts w:asciiTheme="majorHAnsi" w:hAnsiTheme="majorHAnsi"/>
          <w:sz w:val="20"/>
          <w:szCs w:val="20"/>
          <w:lang w:val="es-ES_tradnl"/>
        </w:rPr>
        <w:t>, era de obligatorio cumplimiento.</w:t>
      </w:r>
    </w:p>
    <w:p w14:paraId="19D57061" w14:textId="56D61E8B" w:rsidR="00546E07" w:rsidRPr="00FF7F88" w:rsidRDefault="00C73AC2" w:rsidP="00546E0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7F88">
        <w:rPr>
          <w:rFonts w:asciiTheme="majorHAnsi" w:hAnsiTheme="majorHAnsi"/>
          <w:sz w:val="20"/>
          <w:szCs w:val="20"/>
          <w:lang w:val="es-ES_tradnl"/>
        </w:rPr>
        <w:t xml:space="preserve">En </w:t>
      </w:r>
      <w:r w:rsidR="005016F4" w:rsidRPr="00FF7F88">
        <w:rPr>
          <w:rFonts w:asciiTheme="majorHAnsi" w:hAnsiTheme="majorHAnsi"/>
          <w:sz w:val="20"/>
          <w:szCs w:val="20"/>
          <w:lang w:val="es-ES_tradnl"/>
        </w:rPr>
        <w:t>este sentido,</w:t>
      </w:r>
      <w:r w:rsidRPr="00FF7F88">
        <w:rPr>
          <w:rFonts w:asciiTheme="majorHAnsi" w:hAnsiTheme="majorHAnsi"/>
          <w:sz w:val="20"/>
          <w:szCs w:val="20"/>
          <w:lang w:val="es-ES_tradnl"/>
        </w:rPr>
        <w:t xml:space="preserve"> </w:t>
      </w:r>
      <w:r w:rsidR="005016F4" w:rsidRPr="00FF7F88">
        <w:rPr>
          <w:rFonts w:asciiTheme="majorHAnsi" w:hAnsiTheme="majorHAnsi"/>
          <w:sz w:val="20"/>
          <w:szCs w:val="20"/>
          <w:lang w:val="es-ES_tradnl"/>
        </w:rPr>
        <w:t xml:space="preserve">y a la luz del derecho a la protección judicial, ampliamente desarrollado en el Sistema Interamericano, </w:t>
      </w:r>
      <w:r w:rsidRPr="00FF7F88">
        <w:rPr>
          <w:rFonts w:asciiTheme="majorHAnsi" w:hAnsiTheme="majorHAnsi"/>
          <w:sz w:val="20"/>
          <w:szCs w:val="20"/>
          <w:lang w:val="es-ES_tradnl"/>
        </w:rPr>
        <w:t xml:space="preserve">la Comisión </w:t>
      </w:r>
      <w:r w:rsidR="005016F4" w:rsidRPr="00FF7F88">
        <w:rPr>
          <w:rFonts w:asciiTheme="majorHAnsi" w:hAnsiTheme="majorHAnsi"/>
          <w:sz w:val="20"/>
          <w:szCs w:val="20"/>
          <w:lang w:val="es-ES_tradnl"/>
        </w:rPr>
        <w:t xml:space="preserve">considera que la disputa planteada en el presente caso requiere de un análisis de fondo por parte de la CIDH. Los reclamos de los peticionarios no parecen ser manifiestamente infundados, </w:t>
      </w:r>
      <w:r w:rsidR="005016F4" w:rsidRPr="00FF7F88">
        <w:rPr>
          <w:rFonts w:asciiTheme="majorHAnsi" w:hAnsiTheme="majorHAnsi"/>
          <w:i/>
          <w:iCs/>
          <w:sz w:val="20"/>
          <w:szCs w:val="20"/>
          <w:lang w:val="es-ES_tradnl"/>
        </w:rPr>
        <w:t>prima facie</w:t>
      </w:r>
      <w:r w:rsidR="005016F4" w:rsidRPr="00FF7F88">
        <w:rPr>
          <w:rFonts w:asciiTheme="majorHAnsi" w:hAnsiTheme="majorHAnsi"/>
          <w:sz w:val="20"/>
          <w:szCs w:val="20"/>
          <w:lang w:val="es-ES_tradnl"/>
        </w:rPr>
        <w:t xml:space="preserve">, y de probarse, podrían constituir violaciones a los derechos de las presuntas víctimas. </w:t>
      </w:r>
      <w:r w:rsidR="0073270B" w:rsidRPr="00FF7F88">
        <w:rPr>
          <w:sz w:val="20"/>
          <w:szCs w:val="20"/>
          <w:lang w:val="es-ES_tradnl"/>
        </w:rPr>
        <w:t>Concretamente</w:t>
      </w:r>
      <w:r w:rsidR="005016F4" w:rsidRPr="00FF7F88">
        <w:rPr>
          <w:sz w:val="20"/>
          <w:szCs w:val="20"/>
          <w:lang w:val="es-ES_tradnl"/>
        </w:rPr>
        <w:t xml:space="preserve"> a los derechos establecidos en los </w:t>
      </w:r>
      <w:r w:rsidR="00526B20" w:rsidRPr="00FF7F88">
        <w:rPr>
          <w:sz w:val="20"/>
          <w:szCs w:val="20"/>
          <w:lang w:val="es-ES_tradnl"/>
        </w:rPr>
        <w:t xml:space="preserve">artículos </w:t>
      </w:r>
      <w:r w:rsidR="00526B20" w:rsidRPr="00FF7F88">
        <w:rPr>
          <w:bCs/>
          <w:sz w:val="20"/>
          <w:szCs w:val="20"/>
          <w:lang w:val="es-ES_tradnl"/>
        </w:rPr>
        <w:t>8 (garantías judiciales)</w:t>
      </w:r>
      <w:r w:rsidR="005016F4" w:rsidRPr="00FF7F88">
        <w:rPr>
          <w:bCs/>
          <w:sz w:val="20"/>
          <w:szCs w:val="20"/>
          <w:lang w:val="es-ES_tradnl"/>
        </w:rPr>
        <w:t>, 24 (</w:t>
      </w:r>
      <w:r w:rsidR="0073270B" w:rsidRPr="00FF7F88">
        <w:rPr>
          <w:bCs/>
          <w:sz w:val="20"/>
          <w:szCs w:val="20"/>
          <w:lang w:val="es-ES_tradnl"/>
        </w:rPr>
        <w:t>igualdad ante la ley</w:t>
      </w:r>
      <w:r w:rsidR="006D10A2" w:rsidRPr="00FF7F88">
        <w:rPr>
          <w:bCs/>
          <w:sz w:val="20"/>
          <w:szCs w:val="20"/>
          <w:lang w:val="es-ES_tradnl"/>
        </w:rPr>
        <w:t>), 25</w:t>
      </w:r>
      <w:r w:rsidR="00526B20" w:rsidRPr="00FF7F88">
        <w:rPr>
          <w:bCs/>
          <w:sz w:val="20"/>
          <w:szCs w:val="20"/>
          <w:lang w:val="es-ES_tradnl"/>
        </w:rPr>
        <w:t xml:space="preserve"> (protección judicial)</w:t>
      </w:r>
      <w:r w:rsidR="0073270B" w:rsidRPr="00FF7F88">
        <w:rPr>
          <w:bCs/>
          <w:sz w:val="20"/>
          <w:szCs w:val="20"/>
          <w:lang w:val="es-ES_tradnl"/>
        </w:rPr>
        <w:t xml:space="preserve"> y 26 (derechos económicos, sociales y culturales)</w:t>
      </w:r>
      <w:r w:rsidR="00526B20" w:rsidRPr="00FF7F88">
        <w:rPr>
          <w:bCs/>
          <w:sz w:val="20"/>
          <w:szCs w:val="20"/>
          <w:lang w:val="es-ES_tradnl"/>
        </w:rPr>
        <w:t xml:space="preserve"> de la Convención Americana</w:t>
      </w:r>
      <w:r w:rsidR="0073270B" w:rsidRPr="00FF7F88">
        <w:rPr>
          <w:bCs/>
          <w:sz w:val="20"/>
          <w:szCs w:val="20"/>
          <w:lang w:val="es-ES_tradnl"/>
        </w:rPr>
        <w:t>,</w:t>
      </w:r>
      <w:r w:rsidR="00526B20" w:rsidRPr="00FF7F88">
        <w:rPr>
          <w:bCs/>
          <w:sz w:val="20"/>
          <w:szCs w:val="20"/>
          <w:lang w:val="es-ES_tradnl"/>
        </w:rPr>
        <w:t xml:space="preserve"> en relación con </w:t>
      </w:r>
      <w:r w:rsidR="0073270B" w:rsidRPr="00FF7F88">
        <w:rPr>
          <w:bCs/>
          <w:sz w:val="20"/>
          <w:szCs w:val="20"/>
          <w:lang w:val="es-ES_tradnl"/>
        </w:rPr>
        <w:t>su</w:t>
      </w:r>
      <w:r w:rsidR="00526B20" w:rsidRPr="00FF7F88">
        <w:rPr>
          <w:bCs/>
          <w:sz w:val="20"/>
          <w:szCs w:val="20"/>
          <w:lang w:val="es-ES_tradnl"/>
        </w:rPr>
        <w:t xml:space="preserve"> artículo 1.1 (obligación de respetar los derechos)</w:t>
      </w:r>
      <w:r w:rsidR="0073270B" w:rsidRPr="00FF7F88">
        <w:rPr>
          <w:bCs/>
          <w:sz w:val="20"/>
          <w:szCs w:val="20"/>
          <w:lang w:val="es-ES_tradnl"/>
        </w:rPr>
        <w:t>.</w:t>
      </w:r>
      <w:r w:rsidR="00526B20" w:rsidRPr="00FF7F88">
        <w:rPr>
          <w:bCs/>
          <w:sz w:val="20"/>
          <w:szCs w:val="20"/>
          <w:lang w:val="es-ES_tradnl"/>
        </w:rPr>
        <w:t xml:space="preserve"> </w:t>
      </w:r>
      <w:r w:rsidR="00526B20" w:rsidRPr="00FF7F88">
        <w:rPr>
          <w:rFonts w:asciiTheme="majorHAnsi" w:hAnsiTheme="majorHAnsi"/>
          <w:sz w:val="20"/>
          <w:szCs w:val="20"/>
          <w:lang w:val="es-ES_tradnl"/>
        </w:rPr>
        <w:t xml:space="preserve">Respecto a las alegadas violaciones a </w:t>
      </w:r>
      <w:r w:rsidR="006D10A2" w:rsidRPr="00FF7F88">
        <w:rPr>
          <w:rFonts w:asciiTheme="majorHAnsi" w:hAnsiTheme="majorHAnsi"/>
          <w:sz w:val="20"/>
          <w:szCs w:val="20"/>
          <w:lang w:val="es-ES_tradnl"/>
        </w:rPr>
        <w:t>diversos artículos</w:t>
      </w:r>
      <w:r w:rsidR="00526B20" w:rsidRPr="00FF7F88">
        <w:rPr>
          <w:rFonts w:asciiTheme="majorHAnsi" w:hAnsiTheme="majorHAnsi"/>
          <w:bCs/>
          <w:sz w:val="20"/>
          <w:szCs w:val="20"/>
          <w:lang w:val="es-ES_tradnl"/>
        </w:rPr>
        <w:t xml:space="preserve"> de la Declaración Americana,</w:t>
      </w:r>
      <w:r w:rsidR="00546E07" w:rsidRPr="00FF7F88">
        <w:rPr>
          <w:bCs/>
          <w:sz w:val="20"/>
          <w:szCs w:val="20"/>
          <w:lang w:val="es-ES_tradnl"/>
        </w:rPr>
        <w:t xml:space="preserve"> la Comisión Interamericana ya ha determinado que </w:t>
      </w:r>
      <w:r w:rsidR="00546E07" w:rsidRPr="00FF7F88">
        <w:rPr>
          <w:rFonts w:cs="Calibri"/>
          <w:sz w:val="20"/>
          <w:szCs w:val="20"/>
          <w:lang w:val="es-ES_tradnl"/>
        </w:rPr>
        <w:t>una vez que la Convención Americana entra en vigor en relación con un Estado, ésta pasa a ser la fuente primaria de derecho aplicable</w:t>
      </w:r>
      <w:r w:rsidR="006D10A2" w:rsidRPr="00FF7F88">
        <w:rPr>
          <w:rFonts w:cs="Calibri"/>
          <w:sz w:val="20"/>
          <w:szCs w:val="20"/>
          <w:lang w:val="es-ES_tradnl"/>
        </w:rPr>
        <w:t xml:space="preserve">. </w:t>
      </w:r>
    </w:p>
    <w:p w14:paraId="70080867" w14:textId="66E78BEA" w:rsidR="00546E07" w:rsidRPr="00FF7F88" w:rsidRDefault="00546E07" w:rsidP="00C15D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r w:rsidRPr="00FF7F88">
        <w:rPr>
          <w:rFonts w:asciiTheme="majorHAnsi" w:hAnsiTheme="majorHAnsi"/>
          <w:sz w:val="20"/>
          <w:szCs w:val="20"/>
          <w:lang w:val="es-ES_tradnl"/>
        </w:rPr>
        <w:t xml:space="preserve">En lo referente a las alegadas violaciones a los artículos </w:t>
      </w:r>
      <w:r w:rsidRPr="00FF7F88">
        <w:rPr>
          <w:rFonts w:asciiTheme="majorHAnsi" w:hAnsiTheme="majorHAnsi"/>
          <w:bCs/>
          <w:sz w:val="20"/>
          <w:szCs w:val="20"/>
          <w:lang w:val="es-ES_tradnl"/>
        </w:rPr>
        <w:t xml:space="preserve">2, 3, 4 y 7 del Protocolo de San Salvador, la Comisión </w:t>
      </w:r>
      <w:r w:rsidRPr="00FF7F88">
        <w:rPr>
          <w:rFonts w:ascii="Cambria" w:hAnsi="Cambria" w:cs="Calibri"/>
          <w:sz w:val="20"/>
          <w:szCs w:val="20"/>
          <w:lang w:val="es-ES_tradnl"/>
        </w:rPr>
        <w:t>nota que la competencia que se le otorga en los términos del artículo 19.6 de dicho tratado para establecer violaciones en el contexto de un caso individual se limita a los artículos 8.1.a y 13 del mismo. Respecto a los demás artículos, de conformidad con el artículo 29 de la Convención Americana, la Comisión los puede tomar en cuenta para interpretar y aplicar la Convención Americana y otros instrumentos aplicables.</w:t>
      </w:r>
    </w:p>
    <w:p w14:paraId="5BEF8A4B" w14:textId="77777777" w:rsidR="00546E07" w:rsidRPr="00FF7F88" w:rsidRDefault="00546E07" w:rsidP="00546E0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p>
    <w:p w14:paraId="7429A171" w14:textId="2D35F927" w:rsidR="00526B20" w:rsidRPr="00FF7F88" w:rsidRDefault="00546E07" w:rsidP="00B658D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FF7F88">
        <w:rPr>
          <w:rFonts w:cs="Calibri"/>
          <w:sz w:val="20"/>
          <w:szCs w:val="20"/>
          <w:lang w:val="es-ES_tradnl"/>
        </w:rPr>
        <w:t>Con respecto a los alegatos del Estado referidos a la llamada “fórmula de la cuarta instancia”</w:t>
      </w:r>
      <w:r w:rsidRPr="00FF7F88">
        <w:rPr>
          <w:sz w:val="20"/>
          <w:szCs w:val="20"/>
          <w:lang w:val="es-ES_tradnl"/>
        </w:rPr>
        <w:t xml:space="preserve">, la Comisión Interamericana reitera que es competente dentro de su mandato para declarar admisible una petición cuando se refiere a procesos internos que podrían ser violatorios de derechos garantizados por la Convención Americana. Es decir que, de acuerdo con las normas convencionales citadas, y en concordancia con el artículo 34 de su Reglamento, el análisis de admisibilidad se centra en la verificación de elementos de hecho que, de ser ciertos, podrían constituir </w:t>
      </w:r>
      <w:r w:rsidRPr="00FF7F88">
        <w:rPr>
          <w:i/>
          <w:iCs/>
          <w:sz w:val="20"/>
          <w:szCs w:val="20"/>
          <w:lang w:val="es-ES_tradnl"/>
        </w:rPr>
        <w:t>prima facie</w:t>
      </w:r>
      <w:r w:rsidRPr="00FF7F88">
        <w:rPr>
          <w:sz w:val="20"/>
          <w:szCs w:val="20"/>
          <w:lang w:val="es-ES_tradnl"/>
        </w:rPr>
        <w:t xml:space="preserve"> violaciones de la Convención Americana</w:t>
      </w:r>
      <w:r w:rsidRPr="00FF7F88">
        <w:rPr>
          <w:rStyle w:val="FootnoteReference"/>
          <w:rFonts w:cs="Calibri"/>
          <w:sz w:val="20"/>
          <w:szCs w:val="20"/>
          <w:lang w:val="es-ES_tradnl"/>
        </w:rPr>
        <w:footnoteReference w:id="7"/>
      </w:r>
      <w:r w:rsidR="008E515F" w:rsidRPr="00FF7F88">
        <w:rPr>
          <w:sz w:val="20"/>
          <w:szCs w:val="20"/>
          <w:lang w:val="es-ES_tradnl"/>
        </w:rPr>
        <w:t>.</w:t>
      </w:r>
    </w:p>
    <w:p w14:paraId="0AA41986" w14:textId="77777777" w:rsidR="00B658D5" w:rsidRPr="00FF7F88" w:rsidRDefault="00B658D5" w:rsidP="00B658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29BB41F5" w14:textId="31E747AD" w:rsidR="003239B8" w:rsidRPr="00FF7F88"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FF7F88">
        <w:rPr>
          <w:rFonts w:asciiTheme="majorHAnsi" w:hAnsiTheme="majorHAnsi"/>
          <w:b/>
          <w:bCs/>
          <w:sz w:val="20"/>
          <w:szCs w:val="20"/>
          <w:lang w:val="es-ES_tradnl"/>
        </w:rPr>
        <w:t xml:space="preserve">VIII. </w:t>
      </w:r>
      <w:r w:rsidRPr="00FF7F88">
        <w:rPr>
          <w:rFonts w:asciiTheme="majorHAnsi" w:hAnsiTheme="majorHAnsi"/>
          <w:b/>
          <w:bCs/>
          <w:sz w:val="20"/>
          <w:szCs w:val="20"/>
          <w:lang w:val="es-ES_tradnl"/>
        </w:rPr>
        <w:tab/>
        <w:t>DECISIÓN</w:t>
      </w:r>
    </w:p>
    <w:p w14:paraId="13433B7D" w14:textId="2F344522" w:rsidR="00D70731" w:rsidRPr="00FF7F88" w:rsidRDefault="003239B8" w:rsidP="00C15D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FF7F88">
        <w:rPr>
          <w:rFonts w:asciiTheme="majorHAnsi" w:hAnsiTheme="majorHAnsi"/>
          <w:sz w:val="20"/>
          <w:szCs w:val="20"/>
          <w:lang w:val="es-ES_tradnl"/>
        </w:rPr>
        <w:t xml:space="preserve">Declarar </w:t>
      </w:r>
      <w:r w:rsidR="008E515F" w:rsidRPr="00FF7F88">
        <w:rPr>
          <w:rFonts w:asciiTheme="majorHAnsi" w:hAnsiTheme="majorHAnsi"/>
          <w:sz w:val="20"/>
          <w:szCs w:val="20"/>
          <w:lang w:val="es-ES_tradnl"/>
        </w:rPr>
        <w:t>admisible la presente petición en relación con los artículos 8</w:t>
      </w:r>
      <w:r w:rsidR="00B658D5" w:rsidRPr="00FF7F88">
        <w:rPr>
          <w:rFonts w:asciiTheme="majorHAnsi" w:hAnsiTheme="majorHAnsi"/>
          <w:sz w:val="20"/>
          <w:szCs w:val="20"/>
          <w:lang w:val="es-ES_tradnl"/>
        </w:rPr>
        <w:t>, 24,</w:t>
      </w:r>
      <w:r w:rsidR="008E515F" w:rsidRPr="00FF7F88">
        <w:rPr>
          <w:rFonts w:asciiTheme="majorHAnsi" w:hAnsiTheme="majorHAnsi"/>
          <w:sz w:val="20"/>
          <w:szCs w:val="20"/>
          <w:lang w:val="es-ES_tradnl"/>
        </w:rPr>
        <w:t xml:space="preserve"> 25 </w:t>
      </w:r>
      <w:r w:rsidR="00B658D5" w:rsidRPr="00FF7F88">
        <w:rPr>
          <w:rFonts w:asciiTheme="majorHAnsi" w:hAnsiTheme="majorHAnsi"/>
          <w:sz w:val="20"/>
          <w:szCs w:val="20"/>
          <w:lang w:val="es-ES_tradnl"/>
        </w:rPr>
        <w:t xml:space="preserve">y 26 </w:t>
      </w:r>
      <w:r w:rsidR="008E515F" w:rsidRPr="00FF7F88">
        <w:rPr>
          <w:rFonts w:asciiTheme="majorHAnsi" w:hAnsiTheme="majorHAnsi"/>
          <w:sz w:val="20"/>
          <w:szCs w:val="20"/>
          <w:lang w:val="es-ES_tradnl"/>
        </w:rPr>
        <w:t>de la Convención Americana</w:t>
      </w:r>
      <w:r w:rsidR="00B658D5" w:rsidRPr="00FF7F88">
        <w:rPr>
          <w:rFonts w:asciiTheme="majorHAnsi" w:hAnsiTheme="majorHAnsi"/>
          <w:sz w:val="20"/>
          <w:szCs w:val="20"/>
          <w:lang w:val="es-ES_tradnl"/>
        </w:rPr>
        <w:t>,</w:t>
      </w:r>
      <w:r w:rsidR="008E515F" w:rsidRPr="00FF7F88">
        <w:rPr>
          <w:rFonts w:asciiTheme="majorHAnsi" w:hAnsiTheme="majorHAnsi"/>
          <w:sz w:val="20"/>
          <w:szCs w:val="20"/>
          <w:lang w:val="es-ES_tradnl"/>
        </w:rPr>
        <w:t xml:space="preserve"> en </w:t>
      </w:r>
      <w:r w:rsidR="00FB06FE">
        <w:rPr>
          <w:rFonts w:asciiTheme="majorHAnsi" w:hAnsiTheme="majorHAnsi"/>
          <w:sz w:val="20"/>
          <w:szCs w:val="20"/>
          <w:lang w:val="es-ES_tradnl"/>
        </w:rPr>
        <w:t>concordancia</w:t>
      </w:r>
      <w:r w:rsidR="008E515F" w:rsidRPr="00FF7F88">
        <w:rPr>
          <w:rFonts w:asciiTheme="majorHAnsi" w:hAnsiTheme="majorHAnsi"/>
          <w:sz w:val="20"/>
          <w:szCs w:val="20"/>
          <w:lang w:val="es-ES_tradnl"/>
        </w:rPr>
        <w:t xml:space="preserve"> con su artículo 1.1</w:t>
      </w:r>
      <w:r w:rsidR="00B658D5" w:rsidRPr="00FF7F88">
        <w:rPr>
          <w:rFonts w:asciiTheme="majorHAnsi" w:hAnsiTheme="majorHAnsi"/>
          <w:sz w:val="20"/>
          <w:szCs w:val="20"/>
          <w:lang w:val="es-ES_tradnl"/>
        </w:rPr>
        <w:t>;</w:t>
      </w:r>
      <w:r w:rsidR="00F34CA6">
        <w:rPr>
          <w:rFonts w:asciiTheme="majorHAnsi" w:hAnsiTheme="majorHAnsi"/>
          <w:sz w:val="20"/>
          <w:szCs w:val="20"/>
          <w:lang w:val="es-ES_tradnl"/>
        </w:rPr>
        <w:t xml:space="preserve"> y</w:t>
      </w:r>
    </w:p>
    <w:p w14:paraId="450E655D" w14:textId="7F85FFA1" w:rsidR="000532DA" w:rsidRDefault="004A6A54"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7F88">
        <w:rPr>
          <w:rFonts w:asciiTheme="majorHAnsi" w:hAnsiTheme="majorHAnsi"/>
          <w:sz w:val="20"/>
          <w:szCs w:val="20"/>
          <w:lang w:val="es-ES_tradnl"/>
        </w:rPr>
        <w:t>Notificar a las partes la prese</w:t>
      </w:r>
      <w:r w:rsidR="00605860" w:rsidRPr="00FF7F88">
        <w:rPr>
          <w:rFonts w:asciiTheme="majorHAnsi" w:hAnsiTheme="majorHAnsi"/>
          <w:sz w:val="20"/>
          <w:szCs w:val="20"/>
          <w:lang w:val="es-ES_tradnl"/>
        </w:rPr>
        <w:t>nte decisión</w:t>
      </w:r>
      <w:r w:rsidRPr="00FF7F88">
        <w:rPr>
          <w:rFonts w:asciiTheme="majorHAnsi" w:hAnsiTheme="majorHAnsi"/>
          <w:sz w:val="20"/>
          <w:szCs w:val="20"/>
          <w:lang w:val="es-ES_tradnl"/>
        </w:rPr>
        <w:t>;</w:t>
      </w:r>
      <w:r w:rsidR="008E515F" w:rsidRPr="00FF7F88">
        <w:rPr>
          <w:rFonts w:asciiTheme="majorHAnsi" w:hAnsiTheme="majorHAnsi"/>
          <w:sz w:val="20"/>
          <w:szCs w:val="20"/>
          <w:lang w:val="es-ES_tradnl"/>
        </w:rPr>
        <w:t xml:space="preserve"> proceder con el análisis de fondo</w:t>
      </w:r>
      <w:r w:rsidRPr="00FF7F88">
        <w:rPr>
          <w:rFonts w:asciiTheme="majorHAnsi" w:hAnsiTheme="majorHAnsi"/>
          <w:sz w:val="20"/>
          <w:szCs w:val="20"/>
          <w:lang w:val="es-ES_tradnl"/>
        </w:rPr>
        <w:t xml:space="preserve"> y publicar esta decisión e incluirla en su Informe Anual a la Asamblea General de la Organización de los Estados Americanos.</w:t>
      </w:r>
    </w:p>
    <w:p w14:paraId="3ABE5A82" w14:textId="55C3A475" w:rsidR="00CE23D1" w:rsidRDefault="00FB06FE" w:rsidP="6750902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noProof/>
          <w:sz w:val="20"/>
          <w:szCs w:val="20"/>
          <w:lang w:val="es-CL"/>
        </w:rPr>
      </w:pPr>
      <w:bookmarkStart w:id="1" w:name="_Hlk95209781"/>
      <w:bookmarkStart w:id="2" w:name="_Hlk89320357"/>
      <w:r w:rsidRPr="67509021">
        <w:rPr>
          <w:rFonts w:asciiTheme="majorHAnsi" w:hAnsiTheme="majorHAnsi" w:cs="Arial"/>
          <w:noProof/>
          <w:spacing w:val="-2"/>
          <w:sz w:val="20"/>
          <w:szCs w:val="20"/>
          <w:lang w:val="es-CL"/>
        </w:rPr>
        <w:t xml:space="preserve">Aprobado por la Comisión Interamericana de Derechos Humanos  a los 14 días del mes de diciembre de 2021.  (Firmado): </w:t>
      </w:r>
      <w:r w:rsidR="00AC6C63" w:rsidRPr="67509021">
        <w:rPr>
          <w:rFonts w:asciiTheme="majorHAnsi" w:hAnsiTheme="majorHAnsi" w:cs="Arial"/>
          <w:noProof/>
          <w:spacing w:val="-2"/>
          <w:sz w:val="20"/>
          <w:szCs w:val="20"/>
          <w:lang w:val="es-CL"/>
        </w:rPr>
        <w:t>Antonia Urrejola, Presidenta; Esmeralda E. Arosemena Bernal de Troitiño, Joel Hernández</w:t>
      </w:r>
      <w:r w:rsidR="009B434F" w:rsidRPr="67509021">
        <w:rPr>
          <w:rFonts w:asciiTheme="majorHAnsi" w:hAnsiTheme="majorHAnsi" w:cs="Arial"/>
          <w:noProof/>
          <w:spacing w:val="-2"/>
          <w:sz w:val="20"/>
          <w:szCs w:val="20"/>
          <w:lang w:val="es-CL"/>
        </w:rPr>
        <w:t xml:space="preserve"> y</w:t>
      </w:r>
      <w:r w:rsidR="00AC6C63" w:rsidRPr="67509021">
        <w:rPr>
          <w:rFonts w:asciiTheme="majorHAnsi" w:hAnsiTheme="majorHAnsi" w:cs="Arial"/>
          <w:noProof/>
          <w:spacing w:val="-2"/>
          <w:sz w:val="20"/>
          <w:szCs w:val="20"/>
          <w:lang w:val="es-CL"/>
        </w:rPr>
        <w:t xml:space="preserve"> Stuardo Ralón Orellana</w:t>
      </w:r>
      <w:r w:rsidR="009B434F" w:rsidRPr="67509021">
        <w:rPr>
          <w:rFonts w:asciiTheme="majorHAnsi" w:hAnsiTheme="majorHAnsi" w:cs="Arial"/>
          <w:noProof/>
          <w:spacing w:val="-2"/>
          <w:sz w:val="20"/>
          <w:szCs w:val="20"/>
          <w:lang w:val="es-CL"/>
        </w:rPr>
        <w:t>,</w:t>
      </w:r>
      <w:r w:rsidRPr="67509021">
        <w:rPr>
          <w:rFonts w:asciiTheme="majorHAnsi" w:hAnsiTheme="majorHAnsi" w:cs="Arial"/>
          <w:noProof/>
          <w:spacing w:val="-2"/>
          <w:sz w:val="20"/>
          <w:szCs w:val="20"/>
          <w:lang w:val="es-CL"/>
        </w:rPr>
        <w:t xml:space="preserve"> Miembros de la Comisión.</w:t>
      </w:r>
      <w:r w:rsidRPr="67509021">
        <w:rPr>
          <w:rFonts w:asciiTheme="majorHAnsi" w:hAnsiTheme="majorHAnsi" w:cs="Arial"/>
          <w:noProof/>
          <w:sz w:val="20"/>
          <w:szCs w:val="20"/>
          <w:lang w:val="es-CL"/>
        </w:rPr>
        <w:t xml:space="preserve"> </w:t>
      </w:r>
      <w:bookmarkEnd w:id="1"/>
      <w:bookmarkEnd w:id="2"/>
    </w:p>
    <w:sectPr w:rsidR="00CE23D1" w:rsidSect="00934A2C">
      <w:headerReference w:type="even" r:id="rId18"/>
      <w:headerReference w:type="default" r:id="rId19"/>
      <w:footerReference w:type="default" r:id="rId20"/>
      <w:footerReference w:type="first" r:id="rId2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FDBC" w14:textId="77777777" w:rsidR="00296143" w:rsidRDefault="00296143">
      <w:r>
        <w:separator/>
      </w:r>
    </w:p>
  </w:endnote>
  <w:endnote w:type="continuationSeparator" w:id="0">
    <w:p w14:paraId="52C68C5E" w14:textId="77777777" w:rsidR="00296143" w:rsidRDefault="0029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81486B" w:rsidRDefault="0081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81486B" w:rsidRPr="00934A2C" w:rsidRDefault="0081486B">
    <w:pPr>
      <w:pStyle w:val="Footer"/>
      <w:jc w:val="center"/>
      <w:rPr>
        <w:sz w:val="16"/>
        <w:szCs w:val="22"/>
      </w:rPr>
    </w:pPr>
  </w:p>
  <w:p w14:paraId="4EA5439C" w14:textId="77777777" w:rsidR="0081486B" w:rsidRDefault="0081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682BB05"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00A2">
          <w:rPr>
            <w:noProof/>
            <w:sz w:val="16"/>
            <w:szCs w:val="22"/>
          </w:rPr>
          <w:t>4</w:t>
        </w:r>
        <w:r w:rsidRPr="00934A2C">
          <w:rPr>
            <w:noProof/>
            <w:sz w:val="16"/>
            <w:szCs w:val="22"/>
          </w:rPr>
          <w:fldChar w:fldCharType="end"/>
        </w:r>
      </w:p>
    </w:sdtContent>
  </w:sdt>
  <w:p w14:paraId="68530E6A" w14:textId="77777777" w:rsidR="0081486B" w:rsidRDefault="00814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81486B" w:rsidRPr="00934A2C" w:rsidRDefault="0081486B">
    <w:pPr>
      <w:pStyle w:val="Footer"/>
      <w:jc w:val="center"/>
      <w:rPr>
        <w:sz w:val="16"/>
        <w:szCs w:val="22"/>
      </w:rPr>
    </w:pPr>
  </w:p>
  <w:p w14:paraId="49059CE3" w14:textId="77777777" w:rsidR="0081486B" w:rsidRDefault="0081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0B04" w14:textId="77777777" w:rsidR="00296143" w:rsidRPr="000F35ED" w:rsidRDefault="0029614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F596ED" w14:textId="77777777" w:rsidR="00296143" w:rsidRPr="000F35ED" w:rsidRDefault="00296143" w:rsidP="000F35ED">
      <w:pPr>
        <w:rPr>
          <w:rFonts w:asciiTheme="majorHAnsi" w:hAnsiTheme="majorHAnsi"/>
          <w:sz w:val="16"/>
          <w:szCs w:val="16"/>
        </w:rPr>
      </w:pPr>
      <w:r w:rsidRPr="000F35ED">
        <w:rPr>
          <w:rFonts w:asciiTheme="majorHAnsi" w:hAnsiTheme="majorHAnsi"/>
          <w:sz w:val="16"/>
          <w:szCs w:val="16"/>
        </w:rPr>
        <w:separator/>
      </w:r>
    </w:p>
    <w:p w14:paraId="4FABB220" w14:textId="77777777" w:rsidR="00296143" w:rsidRPr="000F35ED" w:rsidRDefault="0029614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FB99D53" w14:textId="77777777" w:rsidR="00296143" w:rsidRPr="000F35ED" w:rsidRDefault="0029614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BDAB431" w14:textId="34641517" w:rsidR="00C52847" w:rsidRPr="00C52847" w:rsidRDefault="00C52847" w:rsidP="00E30ED1">
      <w:pPr>
        <w:pStyle w:val="FootnoteText"/>
        <w:ind w:firstLine="720"/>
        <w:jc w:val="both"/>
        <w:rPr>
          <w:rFonts w:asciiTheme="majorHAnsi" w:hAnsiTheme="majorHAnsi"/>
          <w:sz w:val="16"/>
          <w:szCs w:val="16"/>
          <w:lang w:val="es-US"/>
        </w:rPr>
      </w:pPr>
      <w:r w:rsidRPr="00C52847">
        <w:rPr>
          <w:rStyle w:val="FootnoteReference"/>
          <w:rFonts w:asciiTheme="majorHAnsi" w:hAnsiTheme="majorHAnsi"/>
          <w:sz w:val="16"/>
          <w:szCs w:val="16"/>
        </w:rPr>
        <w:footnoteRef/>
      </w:r>
      <w:r w:rsidRPr="00C52847">
        <w:rPr>
          <w:rFonts w:asciiTheme="majorHAnsi" w:hAnsiTheme="majorHAnsi"/>
          <w:sz w:val="16"/>
          <w:szCs w:val="16"/>
          <w:lang w:val="es-US"/>
        </w:rPr>
        <w:t xml:space="preserve"> Lista de Presuntas víctimas: Bessy Xiomara Trejo Figueroa, Juan Antonio Ortiz Rodríguez, Mario Renieri Ochoa </w:t>
      </w:r>
      <w:r w:rsidR="00FF7F88" w:rsidRPr="00C52847">
        <w:rPr>
          <w:rFonts w:asciiTheme="majorHAnsi" w:hAnsiTheme="majorHAnsi"/>
          <w:sz w:val="16"/>
          <w:szCs w:val="16"/>
          <w:lang w:val="es-US"/>
        </w:rPr>
        <w:t>Mallorquín</w:t>
      </w:r>
      <w:r w:rsidRPr="00C52847">
        <w:rPr>
          <w:rFonts w:asciiTheme="majorHAnsi" w:hAnsiTheme="majorHAnsi"/>
          <w:sz w:val="16"/>
          <w:szCs w:val="16"/>
          <w:lang w:val="es-US"/>
        </w:rPr>
        <w:t>, Roberto Guity López, Héctor Fernando Montoya, Alfredo Guifarro, Miguel Claudio Banegas Riera, Carlos Albero Almendárez Ordóñez, Sandra Isabel Elvir Sánchez, Enrique Nicolás Blanco Vallejo, Fabián Isaías Galo Galo, José Javier Menjívar Sevilla, Marco César Rivera Aguilar, Mario Rafael Rodríguez Flores, Alejandro Francisco López Urquía, Carlos Alberto Sarmiento Guillén, Yolandina Lambur Valle, Roger Iván Rodríguez López y Miguel Ángel Medina Rivera</w:t>
      </w:r>
      <w:r w:rsidR="00B83F5C">
        <w:rPr>
          <w:rFonts w:asciiTheme="majorHAnsi" w:hAnsiTheme="majorHAnsi"/>
          <w:sz w:val="16"/>
          <w:szCs w:val="16"/>
          <w:lang w:val="es-US"/>
        </w:rPr>
        <w:t>.</w:t>
      </w:r>
    </w:p>
  </w:footnote>
  <w:footnote w:id="3">
    <w:p w14:paraId="7C6EC183" w14:textId="4C7B07A1" w:rsidR="009C100E" w:rsidRPr="008E515F" w:rsidRDefault="009C100E" w:rsidP="00E30ED1">
      <w:pPr>
        <w:pStyle w:val="FootnoteText"/>
        <w:ind w:firstLine="720"/>
        <w:jc w:val="both"/>
        <w:rPr>
          <w:rFonts w:asciiTheme="majorHAnsi" w:hAnsiTheme="majorHAnsi"/>
          <w:sz w:val="16"/>
          <w:szCs w:val="16"/>
          <w:lang w:val="es-PA"/>
        </w:rPr>
      </w:pPr>
      <w:r w:rsidRPr="008E515F">
        <w:rPr>
          <w:rStyle w:val="FootnoteReference"/>
          <w:rFonts w:asciiTheme="majorHAnsi" w:hAnsiTheme="majorHAnsi"/>
          <w:sz w:val="16"/>
          <w:szCs w:val="16"/>
        </w:rPr>
        <w:footnoteRef/>
      </w:r>
      <w:r w:rsidRPr="008E515F">
        <w:rPr>
          <w:rFonts w:asciiTheme="majorHAnsi" w:hAnsiTheme="majorHAnsi"/>
          <w:sz w:val="16"/>
          <w:szCs w:val="16"/>
          <w:lang w:val="es-PA"/>
        </w:rPr>
        <w:t xml:space="preserve"> En adelante “la Convención Americana”</w:t>
      </w:r>
      <w:r w:rsidR="000839D6" w:rsidRPr="008E515F">
        <w:rPr>
          <w:rFonts w:asciiTheme="majorHAnsi" w:hAnsiTheme="majorHAnsi"/>
          <w:sz w:val="16"/>
          <w:szCs w:val="16"/>
          <w:lang w:val="es-PA"/>
        </w:rPr>
        <w:t>.</w:t>
      </w:r>
    </w:p>
  </w:footnote>
  <w:footnote w:id="4">
    <w:p w14:paraId="1D2027D6" w14:textId="26E0936A" w:rsidR="003602F2" w:rsidRPr="008E515F" w:rsidRDefault="003602F2" w:rsidP="00E30ED1">
      <w:pPr>
        <w:pStyle w:val="FootnoteText"/>
        <w:ind w:firstLine="720"/>
        <w:jc w:val="both"/>
        <w:rPr>
          <w:rFonts w:asciiTheme="majorHAnsi" w:hAnsiTheme="majorHAnsi"/>
          <w:sz w:val="16"/>
          <w:szCs w:val="16"/>
          <w:lang w:val="es-PA"/>
        </w:rPr>
      </w:pPr>
      <w:r w:rsidRPr="008E515F">
        <w:rPr>
          <w:rStyle w:val="FootnoteReference"/>
          <w:rFonts w:asciiTheme="majorHAnsi" w:hAnsiTheme="majorHAnsi"/>
          <w:sz w:val="16"/>
          <w:szCs w:val="16"/>
        </w:rPr>
        <w:footnoteRef/>
      </w:r>
      <w:r w:rsidRPr="008E515F">
        <w:rPr>
          <w:rFonts w:asciiTheme="majorHAnsi" w:hAnsiTheme="majorHAnsi"/>
          <w:sz w:val="16"/>
          <w:szCs w:val="16"/>
          <w:lang w:val="es-PA"/>
        </w:rPr>
        <w:t xml:space="preserve"> En adelante “la Declaración Americana”</w:t>
      </w:r>
      <w:r w:rsidR="000839D6" w:rsidRPr="008E515F">
        <w:rPr>
          <w:rFonts w:asciiTheme="majorHAnsi" w:hAnsiTheme="majorHAnsi"/>
          <w:sz w:val="16"/>
          <w:szCs w:val="16"/>
          <w:lang w:val="es-PA"/>
        </w:rPr>
        <w:t>.</w:t>
      </w:r>
    </w:p>
  </w:footnote>
  <w:footnote w:id="5">
    <w:p w14:paraId="08CD6656" w14:textId="77777777" w:rsidR="0081486B" w:rsidRPr="00D074A4" w:rsidRDefault="0081486B" w:rsidP="00E30ED1">
      <w:pPr>
        <w:pStyle w:val="FootnoteText"/>
        <w:ind w:firstLine="720"/>
        <w:jc w:val="both"/>
        <w:rPr>
          <w:rFonts w:asciiTheme="majorHAnsi" w:hAnsiTheme="majorHAnsi"/>
          <w:sz w:val="16"/>
          <w:szCs w:val="16"/>
          <w:lang w:val="es-ES"/>
        </w:rPr>
      </w:pPr>
      <w:r w:rsidRPr="008E515F">
        <w:rPr>
          <w:rStyle w:val="FootnoteReference"/>
          <w:rFonts w:asciiTheme="majorHAnsi" w:hAnsiTheme="majorHAnsi"/>
          <w:sz w:val="16"/>
          <w:szCs w:val="16"/>
        </w:rPr>
        <w:footnoteRef/>
      </w:r>
      <w:r w:rsidRPr="008E515F">
        <w:rPr>
          <w:rFonts w:asciiTheme="majorHAnsi" w:hAnsiTheme="majorHAnsi"/>
          <w:sz w:val="16"/>
          <w:szCs w:val="16"/>
          <w:lang w:val="es-ES"/>
        </w:rPr>
        <w:t xml:space="preserve"> Las observaciones de cada parte fueron debidamente trasladadas a la parte contraria.</w:t>
      </w:r>
    </w:p>
  </w:footnote>
  <w:footnote w:id="6">
    <w:p w14:paraId="0A55907D" w14:textId="77777777" w:rsidR="000974AE" w:rsidRPr="006132CC" w:rsidRDefault="000974AE" w:rsidP="00E30ED1">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 w:id="7">
    <w:p w14:paraId="1AA14EC9" w14:textId="77777777" w:rsidR="00546E07" w:rsidRPr="00C5191D" w:rsidRDefault="00546E07" w:rsidP="00E30ED1">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81486B" w:rsidRDefault="0081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81486B" w:rsidRPr="00EC7D62" w:rsidRDefault="00296143"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1486B" w:rsidRDefault="0081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1486B" w:rsidRPr="00EC7D62" w:rsidRDefault="00296143"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2DA4A4A"/>
    <w:lvl w:ilvl="0" w:tplc="61126604">
      <w:start w:val="1"/>
      <w:numFmt w:val="decimal"/>
      <w:lvlText w:val="%1."/>
      <w:lvlJc w:val="left"/>
      <w:pPr>
        <w:tabs>
          <w:tab w:val="num" w:pos="720"/>
        </w:tabs>
        <w:ind w:left="0" w:firstLine="720"/>
      </w:pPr>
      <w:rPr>
        <w:rFonts w:asciiTheme="majorHAnsi" w:hAnsiTheme="majorHAnsi"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0A456E"/>
    <w:multiLevelType w:val="hybridMultilevel"/>
    <w:tmpl w:val="604C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45453068">
    <w:abstractNumId w:val="3"/>
  </w:num>
  <w:num w:numId="2" w16cid:durableId="1711883098">
    <w:abstractNumId w:val="5"/>
  </w:num>
  <w:num w:numId="3" w16cid:durableId="92871402">
    <w:abstractNumId w:val="51"/>
  </w:num>
  <w:num w:numId="4" w16cid:durableId="803233354">
    <w:abstractNumId w:val="21"/>
  </w:num>
  <w:num w:numId="5" w16cid:durableId="709036274">
    <w:abstractNumId w:val="45"/>
  </w:num>
  <w:num w:numId="6" w16cid:durableId="979067929">
    <w:abstractNumId w:val="26"/>
  </w:num>
  <w:num w:numId="7" w16cid:durableId="1148595324">
    <w:abstractNumId w:val="6"/>
  </w:num>
  <w:num w:numId="8" w16cid:durableId="162085484">
    <w:abstractNumId w:val="17"/>
  </w:num>
  <w:num w:numId="9" w16cid:durableId="1893728669">
    <w:abstractNumId w:val="40"/>
  </w:num>
  <w:num w:numId="10" w16cid:durableId="1782602503">
    <w:abstractNumId w:val="0"/>
  </w:num>
  <w:num w:numId="11" w16cid:durableId="209850680">
    <w:abstractNumId w:val="35"/>
  </w:num>
  <w:num w:numId="12" w16cid:durableId="1728913589">
    <w:abstractNumId w:val="36"/>
  </w:num>
  <w:num w:numId="13" w16cid:durableId="1749956317">
    <w:abstractNumId w:val="42"/>
  </w:num>
  <w:num w:numId="14" w16cid:durableId="570506411">
    <w:abstractNumId w:val="1"/>
  </w:num>
  <w:num w:numId="15" w16cid:durableId="1793550423">
    <w:abstractNumId w:val="2"/>
  </w:num>
  <w:num w:numId="16" w16cid:durableId="852375893">
    <w:abstractNumId w:val="7"/>
  </w:num>
  <w:num w:numId="17" w16cid:durableId="1106000926">
    <w:abstractNumId w:val="9"/>
  </w:num>
  <w:num w:numId="18" w16cid:durableId="224923090">
    <w:abstractNumId w:val="10"/>
  </w:num>
  <w:num w:numId="19" w16cid:durableId="464126016">
    <w:abstractNumId w:val="11"/>
  </w:num>
  <w:num w:numId="20" w16cid:durableId="307249948">
    <w:abstractNumId w:val="12"/>
  </w:num>
  <w:num w:numId="21" w16cid:durableId="268900531">
    <w:abstractNumId w:val="13"/>
  </w:num>
  <w:num w:numId="22" w16cid:durableId="860780613">
    <w:abstractNumId w:val="14"/>
  </w:num>
  <w:num w:numId="23" w16cid:durableId="869613334">
    <w:abstractNumId w:val="15"/>
  </w:num>
  <w:num w:numId="24" w16cid:durableId="431244760">
    <w:abstractNumId w:val="16"/>
  </w:num>
  <w:num w:numId="25" w16cid:durableId="2032760857">
    <w:abstractNumId w:val="18"/>
  </w:num>
  <w:num w:numId="26" w16cid:durableId="44185048">
    <w:abstractNumId w:val="19"/>
  </w:num>
  <w:num w:numId="27" w16cid:durableId="185488219">
    <w:abstractNumId w:val="22"/>
  </w:num>
  <w:num w:numId="28" w16cid:durableId="2071727320">
    <w:abstractNumId w:val="23"/>
  </w:num>
  <w:num w:numId="29" w16cid:durableId="1749107940">
    <w:abstractNumId w:val="24"/>
  </w:num>
  <w:num w:numId="30" w16cid:durableId="16274667">
    <w:abstractNumId w:val="25"/>
  </w:num>
  <w:num w:numId="31" w16cid:durableId="591594413">
    <w:abstractNumId w:val="27"/>
  </w:num>
  <w:num w:numId="32" w16cid:durableId="2049643548">
    <w:abstractNumId w:val="28"/>
  </w:num>
  <w:num w:numId="33" w16cid:durableId="60956237">
    <w:abstractNumId w:val="29"/>
  </w:num>
  <w:num w:numId="34" w16cid:durableId="1388601188">
    <w:abstractNumId w:val="30"/>
  </w:num>
  <w:num w:numId="35" w16cid:durableId="1727023298">
    <w:abstractNumId w:val="31"/>
  </w:num>
  <w:num w:numId="36" w16cid:durableId="750539312">
    <w:abstractNumId w:val="32"/>
  </w:num>
  <w:num w:numId="37" w16cid:durableId="1326741798">
    <w:abstractNumId w:val="33"/>
  </w:num>
  <w:num w:numId="38" w16cid:durableId="1915628012">
    <w:abstractNumId w:val="34"/>
  </w:num>
  <w:num w:numId="39" w16cid:durableId="87891502">
    <w:abstractNumId w:val="37"/>
  </w:num>
  <w:num w:numId="40" w16cid:durableId="2131123115">
    <w:abstractNumId w:val="38"/>
  </w:num>
  <w:num w:numId="41" w16cid:durableId="188612750">
    <w:abstractNumId w:val="44"/>
  </w:num>
  <w:num w:numId="42" w16cid:durableId="274793168">
    <w:abstractNumId w:val="46"/>
  </w:num>
  <w:num w:numId="43" w16cid:durableId="554658273">
    <w:abstractNumId w:val="47"/>
  </w:num>
  <w:num w:numId="44" w16cid:durableId="491455653">
    <w:abstractNumId w:val="49"/>
  </w:num>
  <w:num w:numId="45" w16cid:durableId="992875751">
    <w:abstractNumId w:val="50"/>
  </w:num>
  <w:num w:numId="46" w16cid:durableId="1955018887">
    <w:abstractNumId w:val="52"/>
  </w:num>
  <w:num w:numId="47" w16cid:durableId="2001806734">
    <w:abstractNumId w:val="53"/>
  </w:num>
  <w:num w:numId="48" w16cid:durableId="1053888406">
    <w:abstractNumId w:val="54"/>
  </w:num>
  <w:num w:numId="49" w16cid:durableId="1241208171">
    <w:abstractNumId w:val="55"/>
  </w:num>
  <w:num w:numId="50" w16cid:durableId="818110045">
    <w:abstractNumId w:val="56"/>
  </w:num>
  <w:num w:numId="51" w16cid:durableId="785732225">
    <w:abstractNumId w:val="20"/>
  </w:num>
  <w:num w:numId="52" w16cid:durableId="1439105647">
    <w:abstractNumId w:val="39"/>
  </w:num>
  <w:num w:numId="53" w16cid:durableId="71389943">
    <w:abstractNumId w:val="48"/>
  </w:num>
  <w:num w:numId="54" w16cid:durableId="1181045718">
    <w:abstractNumId w:val="43"/>
  </w:num>
  <w:num w:numId="55" w16cid:durableId="30229356">
    <w:abstractNumId w:val="4"/>
  </w:num>
  <w:num w:numId="56" w16cid:durableId="901477454">
    <w:abstractNumId w:val="41"/>
  </w:num>
  <w:num w:numId="57" w16cid:durableId="125790687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5C7E"/>
    <w:rsid w:val="00006E1F"/>
    <w:rsid w:val="000070D7"/>
    <w:rsid w:val="000112E0"/>
    <w:rsid w:val="00014313"/>
    <w:rsid w:val="0001788C"/>
    <w:rsid w:val="00024488"/>
    <w:rsid w:val="0002624D"/>
    <w:rsid w:val="00027415"/>
    <w:rsid w:val="000337EF"/>
    <w:rsid w:val="00040C3A"/>
    <w:rsid w:val="000419AD"/>
    <w:rsid w:val="000433C9"/>
    <w:rsid w:val="00045A01"/>
    <w:rsid w:val="000532DA"/>
    <w:rsid w:val="000673D0"/>
    <w:rsid w:val="000716C5"/>
    <w:rsid w:val="00075E23"/>
    <w:rsid w:val="000839D6"/>
    <w:rsid w:val="000902A5"/>
    <w:rsid w:val="00091C07"/>
    <w:rsid w:val="0009344A"/>
    <w:rsid w:val="000974AE"/>
    <w:rsid w:val="000A392E"/>
    <w:rsid w:val="000A4746"/>
    <w:rsid w:val="000A52FC"/>
    <w:rsid w:val="000A575F"/>
    <w:rsid w:val="000A6D83"/>
    <w:rsid w:val="000B6028"/>
    <w:rsid w:val="000D05CB"/>
    <w:rsid w:val="000D10DB"/>
    <w:rsid w:val="000D3651"/>
    <w:rsid w:val="000E2985"/>
    <w:rsid w:val="000E5EB5"/>
    <w:rsid w:val="000F02EC"/>
    <w:rsid w:val="000F35ED"/>
    <w:rsid w:val="000F5B4F"/>
    <w:rsid w:val="00107131"/>
    <w:rsid w:val="0010736F"/>
    <w:rsid w:val="00111CFB"/>
    <w:rsid w:val="00113F73"/>
    <w:rsid w:val="00121CC2"/>
    <w:rsid w:val="00131425"/>
    <w:rsid w:val="0013183A"/>
    <w:rsid w:val="00133EE5"/>
    <w:rsid w:val="00136EC3"/>
    <w:rsid w:val="0016756F"/>
    <w:rsid w:val="00167A34"/>
    <w:rsid w:val="00174378"/>
    <w:rsid w:val="00175057"/>
    <w:rsid w:val="0017571B"/>
    <w:rsid w:val="00177E48"/>
    <w:rsid w:val="00184B0A"/>
    <w:rsid w:val="001A22A2"/>
    <w:rsid w:val="001A7870"/>
    <w:rsid w:val="001B3A00"/>
    <w:rsid w:val="001C1B41"/>
    <w:rsid w:val="001C5A65"/>
    <w:rsid w:val="001D35BB"/>
    <w:rsid w:val="001D3954"/>
    <w:rsid w:val="001D65EF"/>
    <w:rsid w:val="001E2632"/>
    <w:rsid w:val="001E45CD"/>
    <w:rsid w:val="001E49E7"/>
    <w:rsid w:val="001E79BA"/>
    <w:rsid w:val="001F25BA"/>
    <w:rsid w:val="001F6158"/>
    <w:rsid w:val="001F7201"/>
    <w:rsid w:val="00211AE7"/>
    <w:rsid w:val="0021279D"/>
    <w:rsid w:val="00215A57"/>
    <w:rsid w:val="00216A1D"/>
    <w:rsid w:val="0022072D"/>
    <w:rsid w:val="00223517"/>
    <w:rsid w:val="00223A29"/>
    <w:rsid w:val="002250A3"/>
    <w:rsid w:val="00227594"/>
    <w:rsid w:val="00233517"/>
    <w:rsid w:val="00235217"/>
    <w:rsid w:val="0024546E"/>
    <w:rsid w:val="00246D1F"/>
    <w:rsid w:val="00247403"/>
    <w:rsid w:val="00247542"/>
    <w:rsid w:val="00251109"/>
    <w:rsid w:val="0025568F"/>
    <w:rsid w:val="00263DE2"/>
    <w:rsid w:val="00263F6F"/>
    <w:rsid w:val="00266530"/>
    <w:rsid w:val="00266B61"/>
    <w:rsid w:val="0026712A"/>
    <w:rsid w:val="002704DB"/>
    <w:rsid w:val="002712A4"/>
    <w:rsid w:val="002836F3"/>
    <w:rsid w:val="00284308"/>
    <w:rsid w:val="00296143"/>
    <w:rsid w:val="002A0AAE"/>
    <w:rsid w:val="002A0B04"/>
    <w:rsid w:val="002A5820"/>
    <w:rsid w:val="002A6627"/>
    <w:rsid w:val="002B0A51"/>
    <w:rsid w:val="002B0B90"/>
    <w:rsid w:val="002C3B2B"/>
    <w:rsid w:val="002C4F0D"/>
    <w:rsid w:val="002C6A45"/>
    <w:rsid w:val="002D1AB4"/>
    <w:rsid w:val="002D2B26"/>
    <w:rsid w:val="002D7EA2"/>
    <w:rsid w:val="002E187C"/>
    <w:rsid w:val="002E4781"/>
    <w:rsid w:val="002F0351"/>
    <w:rsid w:val="002F3179"/>
    <w:rsid w:val="002F612D"/>
    <w:rsid w:val="00302733"/>
    <w:rsid w:val="0030535D"/>
    <w:rsid w:val="00314078"/>
    <w:rsid w:val="003142DE"/>
    <w:rsid w:val="0031535D"/>
    <w:rsid w:val="003239B8"/>
    <w:rsid w:val="0033169F"/>
    <w:rsid w:val="00344977"/>
    <w:rsid w:val="00346C95"/>
    <w:rsid w:val="00356185"/>
    <w:rsid w:val="003602F2"/>
    <w:rsid w:val="00360380"/>
    <w:rsid w:val="00366053"/>
    <w:rsid w:val="00367099"/>
    <w:rsid w:val="003730B1"/>
    <w:rsid w:val="0037519E"/>
    <w:rsid w:val="00375317"/>
    <w:rsid w:val="00377E2B"/>
    <w:rsid w:val="0038223E"/>
    <w:rsid w:val="0038524B"/>
    <w:rsid w:val="00386CF0"/>
    <w:rsid w:val="00390590"/>
    <w:rsid w:val="003A3E87"/>
    <w:rsid w:val="003B5843"/>
    <w:rsid w:val="003B6BC3"/>
    <w:rsid w:val="003B70FB"/>
    <w:rsid w:val="003C676B"/>
    <w:rsid w:val="003D3B18"/>
    <w:rsid w:val="003D3BC2"/>
    <w:rsid w:val="003E04BE"/>
    <w:rsid w:val="003E6CA1"/>
    <w:rsid w:val="00402393"/>
    <w:rsid w:val="004065A8"/>
    <w:rsid w:val="00406675"/>
    <w:rsid w:val="00411591"/>
    <w:rsid w:val="004165C2"/>
    <w:rsid w:val="0042475A"/>
    <w:rsid w:val="004273CC"/>
    <w:rsid w:val="00427495"/>
    <w:rsid w:val="004319B7"/>
    <w:rsid w:val="004336A3"/>
    <w:rsid w:val="0043372B"/>
    <w:rsid w:val="004347D7"/>
    <w:rsid w:val="00440191"/>
    <w:rsid w:val="00441ECB"/>
    <w:rsid w:val="00442AD6"/>
    <w:rsid w:val="00443FF8"/>
    <w:rsid w:val="00445193"/>
    <w:rsid w:val="00447353"/>
    <w:rsid w:val="00452DAC"/>
    <w:rsid w:val="00454F0A"/>
    <w:rsid w:val="00462C1B"/>
    <w:rsid w:val="00467B7E"/>
    <w:rsid w:val="00473BB4"/>
    <w:rsid w:val="00477592"/>
    <w:rsid w:val="0048136A"/>
    <w:rsid w:val="0048440B"/>
    <w:rsid w:val="00484848"/>
    <w:rsid w:val="00486F1C"/>
    <w:rsid w:val="00487FA2"/>
    <w:rsid w:val="0049356F"/>
    <w:rsid w:val="0049419D"/>
    <w:rsid w:val="00494CCE"/>
    <w:rsid w:val="004A0019"/>
    <w:rsid w:val="004A4336"/>
    <w:rsid w:val="004A4B9C"/>
    <w:rsid w:val="004A4C8B"/>
    <w:rsid w:val="004A6A54"/>
    <w:rsid w:val="004C0E8D"/>
    <w:rsid w:val="004C1EDB"/>
    <w:rsid w:val="004C20D2"/>
    <w:rsid w:val="004C2312"/>
    <w:rsid w:val="004C4B62"/>
    <w:rsid w:val="004C54C9"/>
    <w:rsid w:val="004D4ABA"/>
    <w:rsid w:val="004D6025"/>
    <w:rsid w:val="004D70F9"/>
    <w:rsid w:val="004E2649"/>
    <w:rsid w:val="004E2DCD"/>
    <w:rsid w:val="004F626F"/>
    <w:rsid w:val="00501399"/>
    <w:rsid w:val="005016F4"/>
    <w:rsid w:val="0050633D"/>
    <w:rsid w:val="00507BC4"/>
    <w:rsid w:val="00511602"/>
    <w:rsid w:val="005128E4"/>
    <w:rsid w:val="005133DB"/>
    <w:rsid w:val="00514504"/>
    <w:rsid w:val="00520E16"/>
    <w:rsid w:val="005224F5"/>
    <w:rsid w:val="005246D3"/>
    <w:rsid w:val="005253C4"/>
    <w:rsid w:val="00525560"/>
    <w:rsid w:val="00526B20"/>
    <w:rsid w:val="00530A97"/>
    <w:rsid w:val="0053201A"/>
    <w:rsid w:val="00533A62"/>
    <w:rsid w:val="0053487B"/>
    <w:rsid w:val="00544C49"/>
    <w:rsid w:val="00546D4B"/>
    <w:rsid w:val="00546E07"/>
    <w:rsid w:val="005516A1"/>
    <w:rsid w:val="0055189F"/>
    <w:rsid w:val="005559EF"/>
    <w:rsid w:val="005609ED"/>
    <w:rsid w:val="00563557"/>
    <w:rsid w:val="00567D15"/>
    <w:rsid w:val="005710B2"/>
    <w:rsid w:val="0057402A"/>
    <w:rsid w:val="005749F1"/>
    <w:rsid w:val="005771D0"/>
    <w:rsid w:val="00582905"/>
    <w:rsid w:val="00585A16"/>
    <w:rsid w:val="0059191A"/>
    <w:rsid w:val="005921FF"/>
    <w:rsid w:val="005A24ED"/>
    <w:rsid w:val="005A332A"/>
    <w:rsid w:val="005A6D0E"/>
    <w:rsid w:val="005B52B0"/>
    <w:rsid w:val="005B6806"/>
    <w:rsid w:val="005C4225"/>
    <w:rsid w:val="005D13C5"/>
    <w:rsid w:val="005D296B"/>
    <w:rsid w:val="005D6FF2"/>
    <w:rsid w:val="005E3E07"/>
    <w:rsid w:val="005E5F78"/>
    <w:rsid w:val="005F0DAD"/>
    <w:rsid w:val="005F0F33"/>
    <w:rsid w:val="005F11D6"/>
    <w:rsid w:val="005F58D7"/>
    <w:rsid w:val="00600DEB"/>
    <w:rsid w:val="00601040"/>
    <w:rsid w:val="00605860"/>
    <w:rsid w:val="00607051"/>
    <w:rsid w:val="00610410"/>
    <w:rsid w:val="00611856"/>
    <w:rsid w:val="00623843"/>
    <w:rsid w:val="00627C9F"/>
    <w:rsid w:val="006311E9"/>
    <w:rsid w:val="00632354"/>
    <w:rsid w:val="00635421"/>
    <w:rsid w:val="00642810"/>
    <w:rsid w:val="006433B8"/>
    <w:rsid w:val="00652333"/>
    <w:rsid w:val="00666C5B"/>
    <w:rsid w:val="00675B2C"/>
    <w:rsid w:val="0068009E"/>
    <w:rsid w:val="006856C8"/>
    <w:rsid w:val="00691772"/>
    <w:rsid w:val="00691776"/>
    <w:rsid w:val="00692219"/>
    <w:rsid w:val="00692FA0"/>
    <w:rsid w:val="0069536F"/>
    <w:rsid w:val="00696B18"/>
    <w:rsid w:val="00697E08"/>
    <w:rsid w:val="006A17D2"/>
    <w:rsid w:val="006A53B4"/>
    <w:rsid w:val="006A73E6"/>
    <w:rsid w:val="006B2D5C"/>
    <w:rsid w:val="006B5F23"/>
    <w:rsid w:val="006B79EA"/>
    <w:rsid w:val="006C3525"/>
    <w:rsid w:val="006C4EB1"/>
    <w:rsid w:val="006D10A2"/>
    <w:rsid w:val="006D14F3"/>
    <w:rsid w:val="006D46DB"/>
    <w:rsid w:val="006E0166"/>
    <w:rsid w:val="006E2FFB"/>
    <w:rsid w:val="006E3931"/>
    <w:rsid w:val="006E7B34"/>
    <w:rsid w:val="006F398B"/>
    <w:rsid w:val="006F3A59"/>
    <w:rsid w:val="0070697F"/>
    <w:rsid w:val="0072199C"/>
    <w:rsid w:val="00722C9F"/>
    <w:rsid w:val="007253B8"/>
    <w:rsid w:val="0073270B"/>
    <w:rsid w:val="0073741F"/>
    <w:rsid w:val="00743AFE"/>
    <w:rsid w:val="0076643F"/>
    <w:rsid w:val="007701BF"/>
    <w:rsid w:val="007754E5"/>
    <w:rsid w:val="00777F63"/>
    <w:rsid w:val="0078377F"/>
    <w:rsid w:val="00785D5C"/>
    <w:rsid w:val="0079129C"/>
    <w:rsid w:val="007938BA"/>
    <w:rsid w:val="00793F54"/>
    <w:rsid w:val="00797805"/>
    <w:rsid w:val="007A5817"/>
    <w:rsid w:val="007B05C4"/>
    <w:rsid w:val="007B5D63"/>
    <w:rsid w:val="007B60E9"/>
    <w:rsid w:val="007B6CC3"/>
    <w:rsid w:val="007B71E2"/>
    <w:rsid w:val="007B767B"/>
    <w:rsid w:val="007B76D3"/>
    <w:rsid w:val="007C2A44"/>
    <w:rsid w:val="007C3334"/>
    <w:rsid w:val="007C4159"/>
    <w:rsid w:val="007D2B98"/>
    <w:rsid w:val="007D328D"/>
    <w:rsid w:val="007E1D45"/>
    <w:rsid w:val="007E21BC"/>
    <w:rsid w:val="007E75F4"/>
    <w:rsid w:val="007E7C82"/>
    <w:rsid w:val="007F2AA1"/>
    <w:rsid w:val="007F3777"/>
    <w:rsid w:val="007F588D"/>
    <w:rsid w:val="007F58A4"/>
    <w:rsid w:val="00801C73"/>
    <w:rsid w:val="00803423"/>
    <w:rsid w:val="00803A03"/>
    <w:rsid w:val="00803AE2"/>
    <w:rsid w:val="00803C12"/>
    <w:rsid w:val="00803DC6"/>
    <w:rsid w:val="00803F1C"/>
    <w:rsid w:val="0080600E"/>
    <w:rsid w:val="00811520"/>
    <w:rsid w:val="00814688"/>
    <w:rsid w:val="0081486B"/>
    <w:rsid w:val="00817612"/>
    <w:rsid w:val="00831D07"/>
    <w:rsid w:val="008338A4"/>
    <w:rsid w:val="00834D49"/>
    <w:rsid w:val="008353DE"/>
    <w:rsid w:val="00837C45"/>
    <w:rsid w:val="00840B5C"/>
    <w:rsid w:val="00844730"/>
    <w:rsid w:val="008457C2"/>
    <w:rsid w:val="00857A82"/>
    <w:rsid w:val="00866703"/>
    <w:rsid w:val="00866A35"/>
    <w:rsid w:val="00870856"/>
    <w:rsid w:val="00873836"/>
    <w:rsid w:val="00874720"/>
    <w:rsid w:val="00875563"/>
    <w:rsid w:val="00883F95"/>
    <w:rsid w:val="00885737"/>
    <w:rsid w:val="00885993"/>
    <w:rsid w:val="00890650"/>
    <w:rsid w:val="00896D7E"/>
    <w:rsid w:val="008979A6"/>
    <w:rsid w:val="00897E12"/>
    <w:rsid w:val="008A0AB8"/>
    <w:rsid w:val="008A0CEB"/>
    <w:rsid w:val="008A7E0F"/>
    <w:rsid w:val="008B12F5"/>
    <w:rsid w:val="008C4023"/>
    <w:rsid w:val="008C423D"/>
    <w:rsid w:val="008C5E2D"/>
    <w:rsid w:val="008D114A"/>
    <w:rsid w:val="008D61BA"/>
    <w:rsid w:val="008D768D"/>
    <w:rsid w:val="008E1315"/>
    <w:rsid w:val="008E227C"/>
    <w:rsid w:val="008E3759"/>
    <w:rsid w:val="008E3BFE"/>
    <w:rsid w:val="008E4F1C"/>
    <w:rsid w:val="008E515F"/>
    <w:rsid w:val="008E580E"/>
    <w:rsid w:val="008F1912"/>
    <w:rsid w:val="0090270B"/>
    <w:rsid w:val="00904013"/>
    <w:rsid w:val="009041DC"/>
    <w:rsid w:val="00904827"/>
    <w:rsid w:val="00904C8E"/>
    <w:rsid w:val="0091491E"/>
    <w:rsid w:val="00917B5A"/>
    <w:rsid w:val="00920A58"/>
    <w:rsid w:val="00920A8C"/>
    <w:rsid w:val="00922E6C"/>
    <w:rsid w:val="00923C52"/>
    <w:rsid w:val="0092677E"/>
    <w:rsid w:val="00934A2C"/>
    <w:rsid w:val="00935362"/>
    <w:rsid w:val="0094529B"/>
    <w:rsid w:val="009462C8"/>
    <w:rsid w:val="00960B12"/>
    <w:rsid w:val="009666E2"/>
    <w:rsid w:val="0096697B"/>
    <w:rsid w:val="0096706E"/>
    <w:rsid w:val="009725F4"/>
    <w:rsid w:val="00973FAC"/>
    <w:rsid w:val="00974491"/>
    <w:rsid w:val="00975C4E"/>
    <w:rsid w:val="00976DD4"/>
    <w:rsid w:val="00976FB8"/>
    <w:rsid w:val="00981386"/>
    <w:rsid w:val="00981FBA"/>
    <w:rsid w:val="00985EF2"/>
    <w:rsid w:val="00990498"/>
    <w:rsid w:val="00997BC5"/>
    <w:rsid w:val="009A4F41"/>
    <w:rsid w:val="009A5FF0"/>
    <w:rsid w:val="009B381B"/>
    <w:rsid w:val="009B434F"/>
    <w:rsid w:val="009B6B6B"/>
    <w:rsid w:val="009C100E"/>
    <w:rsid w:val="009C527B"/>
    <w:rsid w:val="009C6CB7"/>
    <w:rsid w:val="009D1750"/>
    <w:rsid w:val="009D1753"/>
    <w:rsid w:val="009D7611"/>
    <w:rsid w:val="009E0B61"/>
    <w:rsid w:val="009E2015"/>
    <w:rsid w:val="009E41D6"/>
    <w:rsid w:val="009E4EC3"/>
    <w:rsid w:val="009E53DE"/>
    <w:rsid w:val="009F314C"/>
    <w:rsid w:val="00A11212"/>
    <w:rsid w:val="00A11E44"/>
    <w:rsid w:val="00A20002"/>
    <w:rsid w:val="00A30100"/>
    <w:rsid w:val="00A322E4"/>
    <w:rsid w:val="00A328B3"/>
    <w:rsid w:val="00A3454F"/>
    <w:rsid w:val="00A50FCF"/>
    <w:rsid w:val="00A528D1"/>
    <w:rsid w:val="00A60826"/>
    <w:rsid w:val="00A610CD"/>
    <w:rsid w:val="00A65011"/>
    <w:rsid w:val="00A758AA"/>
    <w:rsid w:val="00A77712"/>
    <w:rsid w:val="00A800A2"/>
    <w:rsid w:val="00A850E6"/>
    <w:rsid w:val="00A861CD"/>
    <w:rsid w:val="00A865AF"/>
    <w:rsid w:val="00A93C5B"/>
    <w:rsid w:val="00A9529E"/>
    <w:rsid w:val="00AA09A2"/>
    <w:rsid w:val="00AA7996"/>
    <w:rsid w:val="00AB290C"/>
    <w:rsid w:val="00AB2DCE"/>
    <w:rsid w:val="00AC19CB"/>
    <w:rsid w:val="00AC244D"/>
    <w:rsid w:val="00AC6C63"/>
    <w:rsid w:val="00AC75CA"/>
    <w:rsid w:val="00AC77FF"/>
    <w:rsid w:val="00AD489F"/>
    <w:rsid w:val="00AE0953"/>
    <w:rsid w:val="00AE5488"/>
    <w:rsid w:val="00AE6F91"/>
    <w:rsid w:val="00AF5571"/>
    <w:rsid w:val="00AF5D74"/>
    <w:rsid w:val="00B00B8E"/>
    <w:rsid w:val="00B07341"/>
    <w:rsid w:val="00B261A9"/>
    <w:rsid w:val="00B26F20"/>
    <w:rsid w:val="00B30539"/>
    <w:rsid w:val="00B3144D"/>
    <w:rsid w:val="00B314DB"/>
    <w:rsid w:val="00B318C1"/>
    <w:rsid w:val="00B33154"/>
    <w:rsid w:val="00B361F2"/>
    <w:rsid w:val="00B3718B"/>
    <w:rsid w:val="00B3745F"/>
    <w:rsid w:val="00B45E23"/>
    <w:rsid w:val="00B46185"/>
    <w:rsid w:val="00B4632A"/>
    <w:rsid w:val="00B46622"/>
    <w:rsid w:val="00B530F1"/>
    <w:rsid w:val="00B56C46"/>
    <w:rsid w:val="00B634F5"/>
    <w:rsid w:val="00B6353D"/>
    <w:rsid w:val="00B63C5D"/>
    <w:rsid w:val="00B650D3"/>
    <w:rsid w:val="00B658D5"/>
    <w:rsid w:val="00B67717"/>
    <w:rsid w:val="00B72A9A"/>
    <w:rsid w:val="00B767C7"/>
    <w:rsid w:val="00B82109"/>
    <w:rsid w:val="00B83336"/>
    <w:rsid w:val="00B83F5C"/>
    <w:rsid w:val="00B86627"/>
    <w:rsid w:val="00BA0CBA"/>
    <w:rsid w:val="00BA276C"/>
    <w:rsid w:val="00BA5484"/>
    <w:rsid w:val="00BB265C"/>
    <w:rsid w:val="00BB306F"/>
    <w:rsid w:val="00BB79D4"/>
    <w:rsid w:val="00BD0DFC"/>
    <w:rsid w:val="00BD4B89"/>
    <w:rsid w:val="00BD5922"/>
    <w:rsid w:val="00BD5FD2"/>
    <w:rsid w:val="00BE646F"/>
    <w:rsid w:val="00BF02CB"/>
    <w:rsid w:val="00BF1898"/>
    <w:rsid w:val="00BF6FD8"/>
    <w:rsid w:val="00C03680"/>
    <w:rsid w:val="00C054DF"/>
    <w:rsid w:val="00C069EF"/>
    <w:rsid w:val="00C14BD4"/>
    <w:rsid w:val="00C15D89"/>
    <w:rsid w:val="00C21762"/>
    <w:rsid w:val="00C21FEF"/>
    <w:rsid w:val="00C23BA4"/>
    <w:rsid w:val="00C24543"/>
    <w:rsid w:val="00C256A2"/>
    <w:rsid w:val="00C25ADB"/>
    <w:rsid w:val="00C2623F"/>
    <w:rsid w:val="00C26B08"/>
    <w:rsid w:val="00C35B5F"/>
    <w:rsid w:val="00C46D46"/>
    <w:rsid w:val="00C51515"/>
    <w:rsid w:val="00C52847"/>
    <w:rsid w:val="00C549EF"/>
    <w:rsid w:val="00C5660B"/>
    <w:rsid w:val="00C6279E"/>
    <w:rsid w:val="00C66B72"/>
    <w:rsid w:val="00C70198"/>
    <w:rsid w:val="00C72A01"/>
    <w:rsid w:val="00C73AC2"/>
    <w:rsid w:val="00C7464E"/>
    <w:rsid w:val="00C74737"/>
    <w:rsid w:val="00C8540B"/>
    <w:rsid w:val="00C87AC4"/>
    <w:rsid w:val="00C9491D"/>
    <w:rsid w:val="00C9567A"/>
    <w:rsid w:val="00C972A4"/>
    <w:rsid w:val="00CA499E"/>
    <w:rsid w:val="00CB212D"/>
    <w:rsid w:val="00CB2660"/>
    <w:rsid w:val="00CC5E90"/>
    <w:rsid w:val="00CD046C"/>
    <w:rsid w:val="00CD2D37"/>
    <w:rsid w:val="00CE076C"/>
    <w:rsid w:val="00CE23D1"/>
    <w:rsid w:val="00CE5199"/>
    <w:rsid w:val="00CE5D0E"/>
    <w:rsid w:val="00CE66D5"/>
    <w:rsid w:val="00CF41C4"/>
    <w:rsid w:val="00CF637A"/>
    <w:rsid w:val="00D059DE"/>
    <w:rsid w:val="00D05ABD"/>
    <w:rsid w:val="00D06F66"/>
    <w:rsid w:val="00D074A4"/>
    <w:rsid w:val="00D109EE"/>
    <w:rsid w:val="00D120F6"/>
    <w:rsid w:val="00D126F3"/>
    <w:rsid w:val="00D13FCE"/>
    <w:rsid w:val="00D1541A"/>
    <w:rsid w:val="00D2102D"/>
    <w:rsid w:val="00D25849"/>
    <w:rsid w:val="00D306D1"/>
    <w:rsid w:val="00D30800"/>
    <w:rsid w:val="00D34786"/>
    <w:rsid w:val="00D37BFC"/>
    <w:rsid w:val="00D47A8E"/>
    <w:rsid w:val="00D5000B"/>
    <w:rsid w:val="00D52D14"/>
    <w:rsid w:val="00D535A0"/>
    <w:rsid w:val="00D57DAD"/>
    <w:rsid w:val="00D70731"/>
    <w:rsid w:val="00D712D3"/>
    <w:rsid w:val="00D71422"/>
    <w:rsid w:val="00D72DC6"/>
    <w:rsid w:val="00D7558D"/>
    <w:rsid w:val="00D75EB9"/>
    <w:rsid w:val="00D81D92"/>
    <w:rsid w:val="00D8419C"/>
    <w:rsid w:val="00D848AC"/>
    <w:rsid w:val="00D876F9"/>
    <w:rsid w:val="00D93608"/>
    <w:rsid w:val="00D96054"/>
    <w:rsid w:val="00D97D59"/>
    <w:rsid w:val="00DA13A2"/>
    <w:rsid w:val="00DA23D4"/>
    <w:rsid w:val="00DA2628"/>
    <w:rsid w:val="00DA7B5F"/>
    <w:rsid w:val="00DC11E7"/>
    <w:rsid w:val="00DC24E3"/>
    <w:rsid w:val="00DC7023"/>
    <w:rsid w:val="00DC769A"/>
    <w:rsid w:val="00DD3D86"/>
    <w:rsid w:val="00DD4AD2"/>
    <w:rsid w:val="00DE0342"/>
    <w:rsid w:val="00DF1BD0"/>
    <w:rsid w:val="00DF1EC4"/>
    <w:rsid w:val="00DF3C24"/>
    <w:rsid w:val="00DF6D54"/>
    <w:rsid w:val="00E0340B"/>
    <w:rsid w:val="00E04A90"/>
    <w:rsid w:val="00E0551F"/>
    <w:rsid w:val="00E16BE5"/>
    <w:rsid w:val="00E178FE"/>
    <w:rsid w:val="00E219C7"/>
    <w:rsid w:val="00E30ED1"/>
    <w:rsid w:val="00E4118C"/>
    <w:rsid w:val="00E43157"/>
    <w:rsid w:val="00E449A2"/>
    <w:rsid w:val="00E461CE"/>
    <w:rsid w:val="00E56F4F"/>
    <w:rsid w:val="00E573E4"/>
    <w:rsid w:val="00E614FE"/>
    <w:rsid w:val="00E638D2"/>
    <w:rsid w:val="00E67981"/>
    <w:rsid w:val="00E71C69"/>
    <w:rsid w:val="00E720CA"/>
    <w:rsid w:val="00E84EB5"/>
    <w:rsid w:val="00E85662"/>
    <w:rsid w:val="00E8789F"/>
    <w:rsid w:val="00E96BB2"/>
    <w:rsid w:val="00E97B71"/>
    <w:rsid w:val="00EA02C8"/>
    <w:rsid w:val="00EA3D34"/>
    <w:rsid w:val="00EB2FE4"/>
    <w:rsid w:val="00EB39D6"/>
    <w:rsid w:val="00EB454D"/>
    <w:rsid w:val="00EC26F1"/>
    <w:rsid w:val="00EC4A46"/>
    <w:rsid w:val="00ED4955"/>
    <w:rsid w:val="00ED549D"/>
    <w:rsid w:val="00ED76BE"/>
    <w:rsid w:val="00EE00E9"/>
    <w:rsid w:val="00EE247F"/>
    <w:rsid w:val="00EE57EB"/>
    <w:rsid w:val="00EF04D5"/>
    <w:rsid w:val="00EF1AAA"/>
    <w:rsid w:val="00EF1BA6"/>
    <w:rsid w:val="00EF1E3A"/>
    <w:rsid w:val="00EF4225"/>
    <w:rsid w:val="00EF4A26"/>
    <w:rsid w:val="00EF619B"/>
    <w:rsid w:val="00F00B55"/>
    <w:rsid w:val="00F02AD1"/>
    <w:rsid w:val="00F115A5"/>
    <w:rsid w:val="00F253CC"/>
    <w:rsid w:val="00F261EE"/>
    <w:rsid w:val="00F308F1"/>
    <w:rsid w:val="00F3260F"/>
    <w:rsid w:val="00F34CA6"/>
    <w:rsid w:val="00F37106"/>
    <w:rsid w:val="00F43D1D"/>
    <w:rsid w:val="00F44E25"/>
    <w:rsid w:val="00F519CF"/>
    <w:rsid w:val="00F56BA5"/>
    <w:rsid w:val="00F57827"/>
    <w:rsid w:val="00F60E22"/>
    <w:rsid w:val="00F61DC8"/>
    <w:rsid w:val="00F64209"/>
    <w:rsid w:val="00F65FC7"/>
    <w:rsid w:val="00F77393"/>
    <w:rsid w:val="00F81395"/>
    <w:rsid w:val="00F81BB8"/>
    <w:rsid w:val="00F821A9"/>
    <w:rsid w:val="00F87019"/>
    <w:rsid w:val="00F90C64"/>
    <w:rsid w:val="00F90FF7"/>
    <w:rsid w:val="00F917D1"/>
    <w:rsid w:val="00F94965"/>
    <w:rsid w:val="00F9653B"/>
    <w:rsid w:val="00FA0C29"/>
    <w:rsid w:val="00FB06FE"/>
    <w:rsid w:val="00FB62CF"/>
    <w:rsid w:val="00FC0324"/>
    <w:rsid w:val="00FC2DC4"/>
    <w:rsid w:val="00FD3C3B"/>
    <w:rsid w:val="00FD4A52"/>
    <w:rsid w:val="00FD55A3"/>
    <w:rsid w:val="00FD5A9B"/>
    <w:rsid w:val="00FE07DD"/>
    <w:rsid w:val="00FE1F28"/>
    <w:rsid w:val="00FE6B45"/>
    <w:rsid w:val="00FF0C08"/>
    <w:rsid w:val="00FF55F3"/>
    <w:rsid w:val="00FF5851"/>
    <w:rsid w:val="00FF7B79"/>
    <w:rsid w:val="00FF7F88"/>
    <w:rsid w:val="675090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9" Type="http://schemas.openxmlformats.org/officeDocument/2006/relationships/header" Target="header4.xml"/><Relationship Id="rId4"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920A5"/>
    <w:rsid w:val="002C52A7"/>
    <w:rsid w:val="00347520"/>
    <w:rsid w:val="00394049"/>
    <w:rsid w:val="00446B74"/>
    <w:rsid w:val="004679A0"/>
    <w:rsid w:val="004B5BBB"/>
    <w:rsid w:val="004D5E9B"/>
    <w:rsid w:val="004F2DF8"/>
    <w:rsid w:val="00555DD5"/>
    <w:rsid w:val="005D50A0"/>
    <w:rsid w:val="00666399"/>
    <w:rsid w:val="0069641B"/>
    <w:rsid w:val="006F24A1"/>
    <w:rsid w:val="0072474E"/>
    <w:rsid w:val="007728DF"/>
    <w:rsid w:val="007B051A"/>
    <w:rsid w:val="00833FB5"/>
    <w:rsid w:val="00857B5B"/>
    <w:rsid w:val="009A261B"/>
    <w:rsid w:val="00A35AE8"/>
    <w:rsid w:val="00AA2E17"/>
    <w:rsid w:val="00AC15A4"/>
    <w:rsid w:val="00B0336C"/>
    <w:rsid w:val="00B17E31"/>
    <w:rsid w:val="00BE185B"/>
    <w:rsid w:val="00C35B5F"/>
    <w:rsid w:val="00D241E9"/>
    <w:rsid w:val="00D7750D"/>
    <w:rsid w:val="00E72817"/>
    <w:rsid w:val="00F00D2F"/>
    <w:rsid w:val="00F128DF"/>
    <w:rsid w:val="00F9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F61E-C258-431C-8FC9-C1D16EA3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436/21</dc:title>
  <dc:creator/>
  <cp:lastModifiedBy/>
  <cp:revision>1</cp:revision>
  <dcterms:created xsi:type="dcterms:W3CDTF">2022-05-02T16:31:00Z</dcterms:created>
  <dcterms:modified xsi:type="dcterms:W3CDTF">2022-05-02T16:32:00Z</dcterms:modified>
</cp:coreProperties>
</file>