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341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86870B" wp14:editId="37F7567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CD1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BCBFD1" wp14:editId="32176B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CBFD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0C975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9B42E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E620B4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6A21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943DC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2126F0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8395B4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B70359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C507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CCC9D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6700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88944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ADBF4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7D240C" wp14:editId="26DCB27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7DFDB" w14:textId="2A3667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254B1">
                              <w:rPr>
                                <w:rFonts w:asciiTheme="majorHAnsi" w:hAnsiTheme="majorHAnsi" w:cs="Arial"/>
                                <w:b/>
                                <w:bCs/>
                                <w:color w:val="0D0D0D" w:themeColor="text1" w:themeTint="F2"/>
                                <w:sz w:val="36"/>
                                <w:szCs w:val="22"/>
                                <w:lang w:val="es-ES_tradnl"/>
                              </w:rPr>
                              <w:t>205/</w:t>
                            </w:r>
                            <w:r w:rsidR="00077573">
                              <w:rPr>
                                <w:rFonts w:asciiTheme="majorHAnsi" w:hAnsiTheme="majorHAnsi" w:cs="Arial"/>
                                <w:b/>
                                <w:bCs/>
                                <w:color w:val="0D0D0D" w:themeColor="text1" w:themeTint="F2"/>
                                <w:sz w:val="36"/>
                                <w:szCs w:val="22"/>
                                <w:lang w:val="es-ES_tradnl"/>
                              </w:rPr>
                              <w:t>21</w:t>
                            </w:r>
                          </w:p>
                          <w:p w14:paraId="7713A9C0" w14:textId="1C121FB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A44022">
                              <w:rPr>
                                <w:rFonts w:asciiTheme="majorHAnsi" w:hAnsiTheme="majorHAnsi" w:cs="Arial"/>
                                <w:b/>
                                <w:color w:val="0D0D0D" w:themeColor="text1" w:themeTint="F2"/>
                                <w:sz w:val="36"/>
                                <w:szCs w:val="22"/>
                                <w:lang w:val="es-ES_tradnl"/>
                              </w:rPr>
                              <w:t>J</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5371D3B" w14:textId="4AB7D605" w:rsidR="005B52B0" w:rsidRPr="0010736F" w:rsidRDefault="00A440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FAUSTINO GARCIA </w:t>
                            </w:r>
                            <w:r w:rsidR="00B577DF">
                              <w:rPr>
                                <w:rFonts w:asciiTheme="majorHAnsi" w:hAnsiTheme="majorHAnsi" w:cs="Arial"/>
                                <w:color w:val="0D0D0D" w:themeColor="text1" w:themeTint="F2"/>
                                <w:szCs w:val="22"/>
                                <w:lang w:val="es-ES_tradnl"/>
                              </w:rPr>
                              <w:t xml:space="preserve">CÁRDENAS </w:t>
                            </w:r>
                            <w:r>
                              <w:rPr>
                                <w:rFonts w:asciiTheme="majorHAnsi" w:hAnsiTheme="majorHAnsi" w:cs="Arial"/>
                                <w:color w:val="0D0D0D" w:themeColor="text1" w:themeTint="F2"/>
                                <w:szCs w:val="22"/>
                                <w:lang w:val="es-ES_tradnl"/>
                              </w:rPr>
                              <w:t>Y OTRO</w:t>
                            </w:r>
                          </w:p>
                          <w:bookmarkEnd w:id="0"/>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240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6B7DFDB" w14:textId="2A3667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254B1">
                        <w:rPr>
                          <w:rFonts w:asciiTheme="majorHAnsi" w:hAnsiTheme="majorHAnsi" w:cs="Arial"/>
                          <w:b/>
                          <w:bCs/>
                          <w:color w:val="0D0D0D" w:themeColor="text1" w:themeTint="F2"/>
                          <w:sz w:val="36"/>
                          <w:szCs w:val="22"/>
                          <w:lang w:val="es-ES_tradnl"/>
                        </w:rPr>
                        <w:t>205/</w:t>
                      </w:r>
                      <w:r w:rsidR="00077573">
                        <w:rPr>
                          <w:rFonts w:asciiTheme="majorHAnsi" w:hAnsiTheme="majorHAnsi" w:cs="Arial"/>
                          <w:b/>
                          <w:bCs/>
                          <w:color w:val="0D0D0D" w:themeColor="text1" w:themeTint="F2"/>
                          <w:sz w:val="36"/>
                          <w:szCs w:val="22"/>
                          <w:lang w:val="es-ES_tradnl"/>
                        </w:rPr>
                        <w:t>21</w:t>
                      </w:r>
                    </w:p>
                    <w:p w14:paraId="7713A9C0" w14:textId="1C121FB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A44022">
                        <w:rPr>
                          <w:rFonts w:asciiTheme="majorHAnsi" w:hAnsiTheme="majorHAnsi" w:cs="Arial"/>
                          <w:b/>
                          <w:color w:val="0D0D0D" w:themeColor="text1" w:themeTint="F2"/>
                          <w:sz w:val="36"/>
                          <w:szCs w:val="22"/>
                          <w:lang w:val="es-ES_tradnl"/>
                        </w:rPr>
                        <w:t>J</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371D3B" w14:textId="4AB7D605" w:rsidR="005B52B0" w:rsidRPr="0010736F" w:rsidRDefault="00A440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FAUSTINO GARCIA </w:t>
                      </w:r>
                      <w:r w:rsidR="00B577DF">
                        <w:rPr>
                          <w:rFonts w:asciiTheme="majorHAnsi" w:hAnsiTheme="majorHAnsi" w:cs="Arial"/>
                          <w:color w:val="0D0D0D" w:themeColor="text1" w:themeTint="F2"/>
                          <w:szCs w:val="22"/>
                          <w:lang w:val="es-ES_tradnl"/>
                        </w:rPr>
                        <w:t xml:space="preserve">CÁRDENAS </w:t>
                      </w:r>
                      <w:r>
                        <w:rPr>
                          <w:rFonts w:asciiTheme="majorHAnsi" w:hAnsiTheme="majorHAnsi" w:cs="Arial"/>
                          <w:color w:val="0D0D0D" w:themeColor="text1" w:themeTint="F2"/>
                          <w:szCs w:val="22"/>
                          <w:lang w:val="es-ES_tradnl"/>
                        </w:rPr>
                        <w:t>Y OTRO</w:t>
                      </w:r>
                    </w:p>
                    <w:bookmarkEnd w:id="1"/>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B7F584" wp14:editId="5B52CB2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0515778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254B1">
                              <w:rPr>
                                <w:rFonts w:asciiTheme="minorHAnsi" w:hAnsiTheme="minorHAnsi"/>
                                <w:color w:val="FFFFFF" w:themeColor="background1"/>
                                <w:sz w:val="22"/>
                                <w:lang w:val="pt-BR"/>
                              </w:rPr>
                              <w:t>213</w:t>
                            </w:r>
                          </w:p>
                          <w:p w14:paraId="6041EB41" w14:textId="05F436D4" w:rsidR="00627C9F" w:rsidRPr="003E7EB5" w:rsidRDefault="004254B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4</w:t>
                            </w:r>
                            <w:r w:rsidR="00627C9F" w:rsidRPr="003E7EB5">
                              <w:rPr>
                                <w:rFonts w:asciiTheme="minorHAnsi" w:hAnsiTheme="minorHAnsi"/>
                                <w:color w:val="FFFFFF" w:themeColor="background1"/>
                                <w:sz w:val="22"/>
                                <w:lang w:val="es-CO"/>
                              </w:rPr>
                              <w:t xml:space="preserve"> </w:t>
                            </w:r>
                            <w:r w:rsidR="00825B74">
                              <w:rPr>
                                <w:rFonts w:asciiTheme="minorHAnsi" w:hAnsiTheme="minorHAnsi"/>
                                <w:color w:val="FFFFFF" w:themeColor="background1"/>
                                <w:sz w:val="22"/>
                                <w:lang w:val="es-CO"/>
                              </w:rPr>
                              <w:t>septiembre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21</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F58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0515778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254B1">
                        <w:rPr>
                          <w:rFonts w:asciiTheme="minorHAnsi" w:hAnsiTheme="minorHAnsi"/>
                          <w:color w:val="FFFFFF" w:themeColor="background1"/>
                          <w:sz w:val="22"/>
                          <w:lang w:val="pt-BR"/>
                        </w:rPr>
                        <w:t>213</w:t>
                      </w:r>
                    </w:p>
                    <w:p w14:paraId="6041EB41" w14:textId="05F436D4" w:rsidR="00627C9F" w:rsidRPr="003E7EB5" w:rsidRDefault="004254B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4</w:t>
                      </w:r>
                      <w:r w:rsidR="00627C9F" w:rsidRPr="003E7EB5">
                        <w:rPr>
                          <w:rFonts w:asciiTheme="minorHAnsi" w:hAnsiTheme="minorHAnsi"/>
                          <w:color w:val="FFFFFF" w:themeColor="background1"/>
                          <w:sz w:val="22"/>
                          <w:lang w:val="es-CO"/>
                        </w:rPr>
                        <w:t xml:space="preserve"> </w:t>
                      </w:r>
                      <w:r w:rsidR="00825B74">
                        <w:rPr>
                          <w:rFonts w:asciiTheme="minorHAnsi" w:hAnsiTheme="minorHAnsi"/>
                          <w:color w:val="FFFFFF" w:themeColor="background1"/>
                          <w:sz w:val="22"/>
                          <w:lang w:val="es-CO"/>
                        </w:rPr>
                        <w:t>septiembre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21</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72903C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7359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4577F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A17A7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81CDD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C3747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5904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0D9C1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298A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AD656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518F26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18DB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9A2BA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DC4E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BA82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34B6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4018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EF44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15DA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661D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51A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4CC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C83C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C6B3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D77E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1E10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7B64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CC7D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F6F43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4971DD" wp14:editId="26A1F0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87EB5" w14:textId="13F69936"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4254B1">
                              <w:rPr>
                                <w:rFonts w:asciiTheme="majorHAnsi" w:hAnsiTheme="majorHAnsi"/>
                                <w:color w:val="0D0D0D" w:themeColor="text1" w:themeTint="F2"/>
                                <w:sz w:val="18"/>
                                <w:szCs w:val="20"/>
                                <w:lang w:val="es-ES"/>
                              </w:rPr>
                              <w:t>4</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 xml:space="preserve">de </w:t>
                            </w:r>
                            <w:r w:rsidR="004254B1">
                              <w:rPr>
                                <w:rFonts w:asciiTheme="majorHAnsi" w:hAnsiTheme="majorHAnsi"/>
                                <w:color w:val="0D0D0D" w:themeColor="text1" w:themeTint="F2"/>
                                <w:sz w:val="18"/>
                                <w:szCs w:val="20"/>
                                <w:lang w:val="es-ES"/>
                              </w:rPr>
                              <w:t>septiembre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21</w:t>
                            </w:r>
                            <w:r w:rsidR="005D6890">
                              <w:rPr>
                                <w:rFonts w:asciiTheme="majorHAnsi" w:hAnsiTheme="majorHAnsi"/>
                                <w:color w:val="0D0D0D" w:themeColor="text1" w:themeTint="F2"/>
                                <w:sz w:val="18"/>
                                <w:szCs w:val="20"/>
                                <w:lang w:val="es-ES"/>
                              </w:rPr>
                              <w:t xml:space="preserve">. </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71D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E387EB5" w14:textId="13F69936"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4254B1">
                        <w:rPr>
                          <w:rFonts w:asciiTheme="majorHAnsi" w:hAnsiTheme="majorHAnsi"/>
                          <w:color w:val="0D0D0D" w:themeColor="text1" w:themeTint="F2"/>
                          <w:sz w:val="18"/>
                          <w:szCs w:val="20"/>
                          <w:lang w:val="es-ES"/>
                        </w:rPr>
                        <w:t>4</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 xml:space="preserve">de </w:t>
                      </w:r>
                      <w:r w:rsidR="004254B1">
                        <w:rPr>
                          <w:rFonts w:asciiTheme="majorHAnsi" w:hAnsiTheme="majorHAnsi"/>
                          <w:color w:val="0D0D0D" w:themeColor="text1" w:themeTint="F2"/>
                          <w:sz w:val="18"/>
                          <w:szCs w:val="20"/>
                          <w:lang w:val="es-ES"/>
                        </w:rPr>
                        <w:t>septiembre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21</w:t>
                      </w:r>
                      <w:r w:rsidR="005D6890">
                        <w:rPr>
                          <w:rFonts w:asciiTheme="majorHAnsi" w:hAnsiTheme="majorHAnsi"/>
                          <w:color w:val="0D0D0D" w:themeColor="text1" w:themeTint="F2"/>
                          <w:sz w:val="18"/>
                          <w:szCs w:val="20"/>
                          <w:lang w:val="es-ES"/>
                        </w:rPr>
                        <w:t xml:space="preserve">. </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80380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5BFF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7037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14E5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B550C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83B2A4" wp14:editId="3068F7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B1363" w14:textId="0BAF04DD" w:rsidR="00113F73" w:rsidRPr="00A44022" w:rsidRDefault="00113F73" w:rsidP="00113F73">
                            <w:pPr>
                              <w:spacing w:line="276" w:lineRule="auto"/>
                              <w:rPr>
                                <w:rFonts w:asciiTheme="majorHAnsi" w:hAnsiTheme="majorHAnsi"/>
                                <w:color w:val="595959" w:themeColor="text1" w:themeTint="A6"/>
                                <w:sz w:val="18"/>
                                <w:szCs w:val="18"/>
                                <w:lang w:val="es-ES"/>
                              </w:rPr>
                            </w:pPr>
                            <w:r w:rsidRPr="005D6890">
                              <w:rPr>
                                <w:rFonts w:asciiTheme="majorHAnsi" w:hAnsiTheme="majorHAnsi"/>
                                <w:b/>
                                <w:color w:val="595959" w:themeColor="text1" w:themeTint="A6"/>
                                <w:sz w:val="18"/>
                                <w:szCs w:val="18"/>
                                <w:lang w:val="es-419"/>
                              </w:rPr>
                              <w:t>Citar como:</w:t>
                            </w:r>
                            <w:r w:rsidRPr="005D6890">
                              <w:rPr>
                                <w:rFonts w:asciiTheme="majorHAnsi" w:hAnsiTheme="majorHAnsi"/>
                                <w:color w:val="595959" w:themeColor="text1" w:themeTint="A6"/>
                                <w:sz w:val="18"/>
                                <w:szCs w:val="18"/>
                                <w:lang w:val="es-419"/>
                              </w:rPr>
                              <w:t xml:space="preserve"> CIDH, Informe No. </w:t>
                            </w:r>
                            <w:r w:rsidR="004254B1" w:rsidRPr="005D6890">
                              <w:rPr>
                                <w:rFonts w:asciiTheme="majorHAnsi" w:hAnsiTheme="majorHAnsi"/>
                                <w:color w:val="595959" w:themeColor="text1" w:themeTint="A6"/>
                                <w:sz w:val="18"/>
                                <w:szCs w:val="18"/>
                                <w:lang w:val="es-419"/>
                              </w:rPr>
                              <w:t>205</w:t>
                            </w:r>
                            <w:r w:rsidR="00A44022" w:rsidRPr="005D6890">
                              <w:rPr>
                                <w:rFonts w:asciiTheme="majorHAnsi" w:hAnsiTheme="majorHAnsi"/>
                                <w:color w:val="595959" w:themeColor="text1" w:themeTint="A6"/>
                                <w:sz w:val="18"/>
                                <w:szCs w:val="18"/>
                                <w:lang w:val="es-419"/>
                              </w:rPr>
                              <w:t>/21,</w:t>
                            </w:r>
                            <w:r w:rsidRPr="005D6890">
                              <w:rPr>
                                <w:rFonts w:asciiTheme="majorHAnsi" w:hAnsiTheme="majorHAnsi"/>
                                <w:color w:val="595959" w:themeColor="text1" w:themeTint="A6"/>
                                <w:sz w:val="18"/>
                                <w:szCs w:val="18"/>
                                <w:lang w:val="es-419"/>
                              </w:rPr>
                              <w:t xml:space="preserve"> Caso </w:t>
                            </w:r>
                            <w:r w:rsidR="00A44022" w:rsidRPr="005D6890">
                              <w:rPr>
                                <w:rFonts w:asciiTheme="majorHAnsi" w:hAnsiTheme="majorHAnsi"/>
                                <w:color w:val="595959" w:themeColor="text1" w:themeTint="A6"/>
                                <w:sz w:val="18"/>
                                <w:szCs w:val="18"/>
                                <w:lang w:val="es-419"/>
                              </w:rPr>
                              <w:t>12</w:t>
                            </w:r>
                            <w:r w:rsidR="00B577DF" w:rsidRPr="005D6890">
                              <w:rPr>
                                <w:rFonts w:asciiTheme="majorHAnsi" w:hAnsiTheme="majorHAnsi"/>
                                <w:color w:val="595959" w:themeColor="text1" w:themeTint="A6"/>
                                <w:sz w:val="18"/>
                                <w:szCs w:val="18"/>
                                <w:lang w:val="es-419"/>
                              </w:rPr>
                              <w:t>.</w:t>
                            </w:r>
                            <w:r w:rsidR="00A44022" w:rsidRPr="005D6890">
                              <w:rPr>
                                <w:rFonts w:asciiTheme="majorHAnsi" w:hAnsiTheme="majorHAnsi"/>
                                <w:color w:val="595959" w:themeColor="text1" w:themeTint="A6"/>
                                <w:sz w:val="18"/>
                                <w:szCs w:val="18"/>
                                <w:lang w:val="es-419"/>
                              </w:rPr>
                              <w:t>961</w:t>
                            </w:r>
                            <w:r w:rsidR="00505712" w:rsidRPr="005D6890">
                              <w:rPr>
                                <w:rFonts w:asciiTheme="majorHAnsi" w:hAnsiTheme="majorHAnsi"/>
                                <w:color w:val="595959" w:themeColor="text1" w:themeTint="A6"/>
                                <w:sz w:val="18"/>
                                <w:szCs w:val="18"/>
                                <w:lang w:val="es-419"/>
                              </w:rPr>
                              <w:t xml:space="preserve"> </w:t>
                            </w:r>
                            <w:r w:rsidR="00A44022" w:rsidRPr="005D6890">
                              <w:rPr>
                                <w:rFonts w:asciiTheme="majorHAnsi" w:hAnsiTheme="majorHAnsi"/>
                                <w:color w:val="595959" w:themeColor="text1" w:themeTint="A6"/>
                                <w:sz w:val="18"/>
                                <w:szCs w:val="18"/>
                                <w:lang w:val="es-419"/>
                              </w:rPr>
                              <w:t>J</w:t>
                            </w:r>
                            <w:r w:rsidRPr="005D6890">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Solución Amistosa</w:t>
                            </w:r>
                            <w:r w:rsidR="00A44022">
                              <w:rPr>
                                <w:rFonts w:asciiTheme="majorHAnsi" w:hAnsiTheme="majorHAnsi"/>
                                <w:color w:val="595959" w:themeColor="text1" w:themeTint="A6"/>
                                <w:sz w:val="18"/>
                                <w:szCs w:val="18"/>
                                <w:lang w:val="es-ES_tradnl"/>
                              </w:rPr>
                              <w:t xml:space="preserve">. Faustino Garcia </w:t>
                            </w:r>
                            <w:r w:rsidR="00C8291A">
                              <w:rPr>
                                <w:rFonts w:asciiTheme="majorHAnsi" w:hAnsiTheme="majorHAnsi"/>
                                <w:color w:val="595959" w:themeColor="text1" w:themeTint="A6"/>
                                <w:sz w:val="18"/>
                                <w:szCs w:val="18"/>
                                <w:lang w:val="es-ES_tradnl"/>
                              </w:rPr>
                              <w:t>Cárdenas</w:t>
                            </w:r>
                            <w:r w:rsidR="00A44022">
                              <w:rPr>
                                <w:rFonts w:asciiTheme="majorHAnsi" w:hAnsiTheme="majorHAnsi"/>
                                <w:color w:val="595959" w:themeColor="text1" w:themeTint="A6"/>
                                <w:sz w:val="18"/>
                                <w:szCs w:val="18"/>
                                <w:lang w:val="es-ES_tradnl"/>
                              </w:rPr>
                              <w:t xml:space="preserve"> y Otro.</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4254B1">
                              <w:rPr>
                                <w:rFonts w:asciiTheme="majorHAnsi" w:hAnsiTheme="majorHAnsi"/>
                                <w:color w:val="595959" w:themeColor="text1" w:themeTint="A6"/>
                                <w:sz w:val="18"/>
                                <w:szCs w:val="18"/>
                                <w:lang w:val="es-ES_tradnl"/>
                              </w:rPr>
                              <w:t>4</w:t>
                            </w:r>
                            <w:r w:rsidR="00A44022">
                              <w:rPr>
                                <w:rFonts w:asciiTheme="majorHAnsi" w:hAnsiTheme="majorHAnsi"/>
                                <w:color w:val="595959" w:themeColor="text1" w:themeTint="A6"/>
                                <w:sz w:val="18"/>
                                <w:szCs w:val="18"/>
                                <w:lang w:val="es-ES"/>
                              </w:rPr>
                              <w:t xml:space="preserve"> de</w:t>
                            </w:r>
                            <w:r w:rsidR="004254B1">
                              <w:rPr>
                                <w:rFonts w:asciiTheme="majorHAnsi" w:hAnsiTheme="majorHAnsi"/>
                                <w:color w:val="595959" w:themeColor="text1" w:themeTint="A6"/>
                                <w:sz w:val="18"/>
                                <w:szCs w:val="18"/>
                                <w:lang w:val="es-ES"/>
                              </w:rPr>
                              <w:t xml:space="preserve"> septiembre</w:t>
                            </w:r>
                            <w:r w:rsidR="00A44022">
                              <w:rPr>
                                <w:rFonts w:asciiTheme="majorHAnsi" w:hAnsiTheme="majorHAnsi"/>
                                <w:color w:val="595959" w:themeColor="text1" w:themeTint="A6"/>
                                <w:sz w:val="18"/>
                                <w:szCs w:val="18"/>
                                <w:lang w:val="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B2A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F0B1363" w14:textId="0BAF04DD" w:rsidR="00113F73" w:rsidRPr="00A44022" w:rsidRDefault="00113F73" w:rsidP="00113F73">
                      <w:pPr>
                        <w:spacing w:line="276" w:lineRule="auto"/>
                        <w:rPr>
                          <w:rFonts w:asciiTheme="majorHAnsi" w:hAnsiTheme="majorHAnsi"/>
                          <w:color w:val="595959" w:themeColor="text1" w:themeTint="A6"/>
                          <w:sz w:val="18"/>
                          <w:szCs w:val="18"/>
                          <w:lang w:val="es-ES"/>
                        </w:rPr>
                      </w:pPr>
                      <w:r w:rsidRPr="005D6890">
                        <w:rPr>
                          <w:rFonts w:asciiTheme="majorHAnsi" w:hAnsiTheme="majorHAnsi"/>
                          <w:b/>
                          <w:color w:val="595959" w:themeColor="text1" w:themeTint="A6"/>
                          <w:sz w:val="18"/>
                          <w:szCs w:val="18"/>
                          <w:lang w:val="es-419"/>
                        </w:rPr>
                        <w:t>Citar como:</w:t>
                      </w:r>
                      <w:r w:rsidRPr="005D6890">
                        <w:rPr>
                          <w:rFonts w:asciiTheme="majorHAnsi" w:hAnsiTheme="majorHAnsi"/>
                          <w:color w:val="595959" w:themeColor="text1" w:themeTint="A6"/>
                          <w:sz w:val="18"/>
                          <w:szCs w:val="18"/>
                          <w:lang w:val="es-419"/>
                        </w:rPr>
                        <w:t xml:space="preserve"> CIDH, Informe No. </w:t>
                      </w:r>
                      <w:r w:rsidR="004254B1" w:rsidRPr="005D6890">
                        <w:rPr>
                          <w:rFonts w:asciiTheme="majorHAnsi" w:hAnsiTheme="majorHAnsi"/>
                          <w:color w:val="595959" w:themeColor="text1" w:themeTint="A6"/>
                          <w:sz w:val="18"/>
                          <w:szCs w:val="18"/>
                          <w:lang w:val="es-419"/>
                        </w:rPr>
                        <w:t>205</w:t>
                      </w:r>
                      <w:r w:rsidR="00A44022" w:rsidRPr="005D6890">
                        <w:rPr>
                          <w:rFonts w:asciiTheme="majorHAnsi" w:hAnsiTheme="majorHAnsi"/>
                          <w:color w:val="595959" w:themeColor="text1" w:themeTint="A6"/>
                          <w:sz w:val="18"/>
                          <w:szCs w:val="18"/>
                          <w:lang w:val="es-419"/>
                        </w:rPr>
                        <w:t>/21,</w:t>
                      </w:r>
                      <w:r w:rsidRPr="005D6890">
                        <w:rPr>
                          <w:rFonts w:asciiTheme="majorHAnsi" w:hAnsiTheme="majorHAnsi"/>
                          <w:color w:val="595959" w:themeColor="text1" w:themeTint="A6"/>
                          <w:sz w:val="18"/>
                          <w:szCs w:val="18"/>
                          <w:lang w:val="es-419"/>
                        </w:rPr>
                        <w:t xml:space="preserve"> Caso </w:t>
                      </w:r>
                      <w:r w:rsidR="00A44022" w:rsidRPr="005D6890">
                        <w:rPr>
                          <w:rFonts w:asciiTheme="majorHAnsi" w:hAnsiTheme="majorHAnsi"/>
                          <w:color w:val="595959" w:themeColor="text1" w:themeTint="A6"/>
                          <w:sz w:val="18"/>
                          <w:szCs w:val="18"/>
                          <w:lang w:val="es-419"/>
                        </w:rPr>
                        <w:t>12</w:t>
                      </w:r>
                      <w:r w:rsidR="00B577DF" w:rsidRPr="005D6890">
                        <w:rPr>
                          <w:rFonts w:asciiTheme="majorHAnsi" w:hAnsiTheme="majorHAnsi"/>
                          <w:color w:val="595959" w:themeColor="text1" w:themeTint="A6"/>
                          <w:sz w:val="18"/>
                          <w:szCs w:val="18"/>
                          <w:lang w:val="es-419"/>
                        </w:rPr>
                        <w:t>.</w:t>
                      </w:r>
                      <w:r w:rsidR="00A44022" w:rsidRPr="005D6890">
                        <w:rPr>
                          <w:rFonts w:asciiTheme="majorHAnsi" w:hAnsiTheme="majorHAnsi"/>
                          <w:color w:val="595959" w:themeColor="text1" w:themeTint="A6"/>
                          <w:sz w:val="18"/>
                          <w:szCs w:val="18"/>
                          <w:lang w:val="es-419"/>
                        </w:rPr>
                        <w:t>961</w:t>
                      </w:r>
                      <w:r w:rsidR="00505712" w:rsidRPr="005D6890">
                        <w:rPr>
                          <w:rFonts w:asciiTheme="majorHAnsi" w:hAnsiTheme="majorHAnsi"/>
                          <w:color w:val="595959" w:themeColor="text1" w:themeTint="A6"/>
                          <w:sz w:val="18"/>
                          <w:szCs w:val="18"/>
                          <w:lang w:val="es-419"/>
                        </w:rPr>
                        <w:t xml:space="preserve"> </w:t>
                      </w:r>
                      <w:r w:rsidR="00A44022" w:rsidRPr="005D6890">
                        <w:rPr>
                          <w:rFonts w:asciiTheme="majorHAnsi" w:hAnsiTheme="majorHAnsi"/>
                          <w:color w:val="595959" w:themeColor="text1" w:themeTint="A6"/>
                          <w:sz w:val="18"/>
                          <w:szCs w:val="18"/>
                          <w:lang w:val="es-419"/>
                        </w:rPr>
                        <w:t>J</w:t>
                      </w:r>
                      <w:r w:rsidRPr="005D6890">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Solución Amistosa</w:t>
                      </w:r>
                      <w:r w:rsidR="00A44022">
                        <w:rPr>
                          <w:rFonts w:asciiTheme="majorHAnsi" w:hAnsiTheme="majorHAnsi"/>
                          <w:color w:val="595959" w:themeColor="text1" w:themeTint="A6"/>
                          <w:sz w:val="18"/>
                          <w:szCs w:val="18"/>
                          <w:lang w:val="es-ES_tradnl"/>
                        </w:rPr>
                        <w:t xml:space="preserve">. Faustino Garcia </w:t>
                      </w:r>
                      <w:r w:rsidR="00C8291A">
                        <w:rPr>
                          <w:rFonts w:asciiTheme="majorHAnsi" w:hAnsiTheme="majorHAnsi"/>
                          <w:color w:val="595959" w:themeColor="text1" w:themeTint="A6"/>
                          <w:sz w:val="18"/>
                          <w:szCs w:val="18"/>
                          <w:lang w:val="es-ES_tradnl"/>
                        </w:rPr>
                        <w:t>Cárdenas</w:t>
                      </w:r>
                      <w:r w:rsidR="00A44022">
                        <w:rPr>
                          <w:rFonts w:asciiTheme="majorHAnsi" w:hAnsiTheme="majorHAnsi"/>
                          <w:color w:val="595959" w:themeColor="text1" w:themeTint="A6"/>
                          <w:sz w:val="18"/>
                          <w:szCs w:val="18"/>
                          <w:lang w:val="es-ES_tradnl"/>
                        </w:rPr>
                        <w:t xml:space="preserve"> y Otro.</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4254B1">
                        <w:rPr>
                          <w:rFonts w:asciiTheme="majorHAnsi" w:hAnsiTheme="majorHAnsi"/>
                          <w:color w:val="595959" w:themeColor="text1" w:themeTint="A6"/>
                          <w:sz w:val="18"/>
                          <w:szCs w:val="18"/>
                          <w:lang w:val="es-ES_tradnl"/>
                        </w:rPr>
                        <w:t>4</w:t>
                      </w:r>
                      <w:r w:rsidR="00A44022">
                        <w:rPr>
                          <w:rFonts w:asciiTheme="majorHAnsi" w:hAnsiTheme="majorHAnsi"/>
                          <w:color w:val="595959" w:themeColor="text1" w:themeTint="A6"/>
                          <w:sz w:val="18"/>
                          <w:szCs w:val="18"/>
                          <w:lang w:val="es-ES"/>
                        </w:rPr>
                        <w:t xml:space="preserve"> de</w:t>
                      </w:r>
                      <w:r w:rsidR="004254B1">
                        <w:rPr>
                          <w:rFonts w:asciiTheme="majorHAnsi" w:hAnsiTheme="majorHAnsi"/>
                          <w:color w:val="595959" w:themeColor="text1" w:themeTint="A6"/>
                          <w:sz w:val="18"/>
                          <w:szCs w:val="18"/>
                          <w:lang w:val="es-ES"/>
                        </w:rPr>
                        <w:t xml:space="preserve"> septiembre</w:t>
                      </w:r>
                      <w:r w:rsidR="00A44022">
                        <w:rPr>
                          <w:rFonts w:asciiTheme="majorHAnsi" w:hAnsiTheme="majorHAnsi"/>
                          <w:color w:val="595959" w:themeColor="text1" w:themeTint="A6"/>
                          <w:sz w:val="18"/>
                          <w:szCs w:val="18"/>
                          <w:lang w:val="es-ES"/>
                        </w:rPr>
                        <w:t xml:space="preserve"> de 2021.</w:t>
                      </w:r>
                    </w:p>
                  </w:txbxContent>
                </v:textbox>
              </v:shape>
            </w:pict>
          </mc:Fallback>
        </mc:AlternateContent>
      </w:r>
    </w:p>
    <w:p w14:paraId="0BE947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7444F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5F44C3F" wp14:editId="481D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4C3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9EC2EC" wp14:editId="25A89CF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C2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A8661C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0617239" w14:textId="6DFDC36F"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4254B1">
        <w:rPr>
          <w:rFonts w:asciiTheme="majorHAnsi" w:hAnsiTheme="majorHAnsi"/>
          <w:b/>
          <w:sz w:val="18"/>
          <w:szCs w:val="20"/>
          <w:lang w:val="es-ES_tradnl"/>
        </w:rPr>
        <w:t>205</w:t>
      </w:r>
      <w:r w:rsidRPr="00722C9F">
        <w:rPr>
          <w:rFonts w:asciiTheme="majorHAnsi" w:hAnsiTheme="majorHAnsi"/>
          <w:b/>
          <w:sz w:val="18"/>
          <w:szCs w:val="20"/>
          <w:lang w:val="es-ES_tradnl"/>
        </w:rPr>
        <w:t>/</w:t>
      </w:r>
      <w:r w:rsidR="00A44022">
        <w:rPr>
          <w:rFonts w:asciiTheme="majorHAnsi" w:hAnsiTheme="majorHAnsi"/>
          <w:b/>
          <w:sz w:val="18"/>
          <w:szCs w:val="20"/>
          <w:lang w:val="es-ES_tradnl"/>
        </w:rPr>
        <w:t>21</w:t>
      </w:r>
    </w:p>
    <w:p w14:paraId="0567BC44" w14:textId="7E5873FE" w:rsidR="00722C9F" w:rsidRPr="004254B1" w:rsidRDefault="00722C9F" w:rsidP="00722C9F">
      <w:pPr>
        <w:tabs>
          <w:tab w:val="center" w:pos="5400"/>
        </w:tabs>
        <w:suppressAutoHyphens/>
        <w:spacing w:line="276" w:lineRule="auto"/>
        <w:jc w:val="center"/>
        <w:rPr>
          <w:rFonts w:asciiTheme="majorHAnsi" w:hAnsiTheme="majorHAnsi"/>
          <w:b/>
          <w:sz w:val="18"/>
          <w:szCs w:val="20"/>
          <w:lang w:val="es-ES_tradnl"/>
        </w:rPr>
      </w:pPr>
      <w:r w:rsidRPr="004254B1">
        <w:rPr>
          <w:rFonts w:asciiTheme="majorHAnsi" w:hAnsiTheme="majorHAnsi"/>
          <w:b/>
          <w:sz w:val="18"/>
          <w:szCs w:val="20"/>
          <w:lang w:val="es-ES_tradnl"/>
        </w:rPr>
        <w:t xml:space="preserve">CASO </w:t>
      </w:r>
      <w:r w:rsidR="00A44022" w:rsidRPr="004254B1">
        <w:rPr>
          <w:rFonts w:asciiTheme="majorHAnsi" w:hAnsiTheme="majorHAnsi"/>
          <w:b/>
          <w:sz w:val="18"/>
          <w:szCs w:val="20"/>
          <w:lang w:val="es-ES_tradnl"/>
        </w:rPr>
        <w:t>12.691</w:t>
      </w:r>
      <w:r w:rsidR="004D4D26" w:rsidRPr="004254B1">
        <w:rPr>
          <w:rFonts w:asciiTheme="majorHAnsi" w:hAnsiTheme="majorHAnsi"/>
          <w:b/>
          <w:sz w:val="18"/>
          <w:szCs w:val="20"/>
          <w:lang w:val="es-ES_tradnl"/>
        </w:rPr>
        <w:t xml:space="preserve"> </w:t>
      </w:r>
      <w:r w:rsidR="00A44022" w:rsidRPr="004254B1">
        <w:rPr>
          <w:rFonts w:asciiTheme="majorHAnsi" w:hAnsiTheme="majorHAnsi"/>
          <w:b/>
          <w:sz w:val="18"/>
          <w:szCs w:val="20"/>
          <w:lang w:val="es-ES_tradnl"/>
        </w:rPr>
        <w:t>J</w:t>
      </w:r>
    </w:p>
    <w:p w14:paraId="333932F0" w14:textId="19F63B86" w:rsidR="00722C9F" w:rsidRPr="004254B1" w:rsidRDefault="00722C9F" w:rsidP="00A44022">
      <w:pPr>
        <w:tabs>
          <w:tab w:val="center" w:pos="5400"/>
        </w:tabs>
        <w:suppressAutoHyphens/>
        <w:spacing w:line="276" w:lineRule="auto"/>
        <w:jc w:val="center"/>
        <w:rPr>
          <w:rFonts w:asciiTheme="majorHAnsi" w:hAnsiTheme="majorHAnsi"/>
          <w:sz w:val="18"/>
          <w:szCs w:val="20"/>
          <w:lang w:val="es-ES_tradnl"/>
        </w:rPr>
      </w:pPr>
      <w:r w:rsidRPr="004254B1">
        <w:rPr>
          <w:rFonts w:asciiTheme="majorHAnsi" w:hAnsiTheme="majorHAnsi"/>
          <w:sz w:val="18"/>
          <w:szCs w:val="20"/>
          <w:lang w:val="es-ES_tradnl"/>
        </w:rPr>
        <w:t xml:space="preserve">INFORME DE SOLUCIÓN AMISTOSA </w:t>
      </w:r>
    </w:p>
    <w:p w14:paraId="3463DCE8" w14:textId="2B73B78E" w:rsidR="00722C9F" w:rsidRPr="00722C9F" w:rsidRDefault="00A44022" w:rsidP="00722C9F">
      <w:pPr>
        <w:tabs>
          <w:tab w:val="center" w:pos="5400"/>
        </w:tabs>
        <w:suppressAutoHyphens/>
        <w:spacing w:line="276" w:lineRule="auto"/>
        <w:jc w:val="center"/>
        <w:rPr>
          <w:rFonts w:asciiTheme="majorHAnsi" w:hAnsiTheme="majorHAnsi"/>
          <w:sz w:val="18"/>
          <w:szCs w:val="20"/>
          <w:lang w:val="es-ES_tradnl"/>
        </w:rPr>
      </w:pPr>
      <w:r w:rsidRPr="004254B1">
        <w:rPr>
          <w:rFonts w:asciiTheme="majorHAnsi" w:hAnsiTheme="majorHAnsi"/>
          <w:sz w:val="18"/>
          <w:szCs w:val="20"/>
          <w:lang w:val="es-ES_tradnl"/>
        </w:rPr>
        <w:t xml:space="preserve">FAUSTINO GARCIA </w:t>
      </w:r>
      <w:r w:rsidR="00B577DF" w:rsidRPr="004254B1">
        <w:rPr>
          <w:rFonts w:asciiTheme="majorHAnsi" w:hAnsiTheme="majorHAnsi"/>
          <w:sz w:val="18"/>
          <w:szCs w:val="20"/>
          <w:lang w:val="es-ES_tradnl"/>
        </w:rPr>
        <w:t>C</w:t>
      </w:r>
      <w:r w:rsidR="00B577DF">
        <w:rPr>
          <w:rFonts w:asciiTheme="majorHAnsi" w:hAnsiTheme="majorHAnsi"/>
          <w:sz w:val="18"/>
          <w:szCs w:val="20"/>
          <w:lang w:val="es-ES_tradnl"/>
        </w:rPr>
        <w:t>Á</w:t>
      </w:r>
      <w:r w:rsidR="00B577DF" w:rsidRPr="004254B1">
        <w:rPr>
          <w:rFonts w:asciiTheme="majorHAnsi" w:hAnsiTheme="majorHAnsi"/>
          <w:sz w:val="18"/>
          <w:szCs w:val="20"/>
          <w:lang w:val="es-ES_tradnl"/>
        </w:rPr>
        <w:t xml:space="preserve">RDENAS </w:t>
      </w:r>
      <w:r w:rsidRPr="004254B1">
        <w:rPr>
          <w:rFonts w:asciiTheme="majorHAnsi" w:hAnsiTheme="majorHAnsi"/>
          <w:sz w:val="18"/>
          <w:szCs w:val="20"/>
          <w:lang w:val="es-ES_tradnl"/>
        </w:rPr>
        <w:t>Y OTRO</w:t>
      </w:r>
    </w:p>
    <w:p w14:paraId="761E8133" w14:textId="177C0D27" w:rsidR="0070697F" w:rsidRDefault="00A4402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HONDURAS</w:t>
      </w:r>
    </w:p>
    <w:p w14:paraId="0B4F8854" w14:textId="34669397" w:rsidR="00722C9F" w:rsidRDefault="004254B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4</w:t>
      </w:r>
      <w:r w:rsidR="00A44022">
        <w:rPr>
          <w:rFonts w:asciiTheme="majorHAnsi" w:hAnsiTheme="majorHAnsi"/>
          <w:sz w:val="18"/>
          <w:szCs w:val="20"/>
          <w:lang w:val="es-ES_tradnl"/>
        </w:rPr>
        <w:t xml:space="preserve"> DE </w:t>
      </w:r>
      <w:r>
        <w:rPr>
          <w:rFonts w:asciiTheme="majorHAnsi" w:hAnsiTheme="majorHAnsi"/>
          <w:sz w:val="18"/>
          <w:szCs w:val="20"/>
          <w:lang w:val="es-ES_tradnl"/>
        </w:rPr>
        <w:t>SEPTIEMBRE</w:t>
      </w:r>
      <w:r w:rsidR="00A44022">
        <w:rPr>
          <w:rFonts w:asciiTheme="majorHAnsi" w:hAnsiTheme="majorHAnsi"/>
          <w:sz w:val="18"/>
          <w:szCs w:val="20"/>
          <w:lang w:val="es-ES_tradnl"/>
        </w:rPr>
        <w:t xml:space="preserve"> DE 2021</w:t>
      </w:r>
    </w:p>
    <w:p w14:paraId="052DA94E" w14:textId="274FB255"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37793840" w14:textId="77777777" w:rsidR="005D6890" w:rsidRDefault="005D6890" w:rsidP="00722C9F">
      <w:pPr>
        <w:tabs>
          <w:tab w:val="center" w:pos="5400"/>
        </w:tabs>
        <w:suppressAutoHyphens/>
        <w:spacing w:line="276" w:lineRule="auto"/>
        <w:jc w:val="center"/>
        <w:rPr>
          <w:rFonts w:asciiTheme="majorHAnsi" w:hAnsiTheme="majorHAnsi"/>
          <w:sz w:val="18"/>
          <w:szCs w:val="20"/>
          <w:lang w:val="es-ES_tradnl"/>
        </w:rPr>
      </w:pPr>
    </w:p>
    <w:p w14:paraId="43C4BDF2"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174A9">
        <w:rPr>
          <w:rFonts w:cstheme="minorHAnsi"/>
          <w:b/>
          <w:color w:val="000000" w:themeColor="text1"/>
          <w:sz w:val="20"/>
          <w:szCs w:val="20"/>
          <w:lang w:val="es-CO"/>
        </w:rPr>
        <w:t>RESUMEN Y ASPECTOS PROCESALES RELEVANTES DEL PROCESO DE SOLUCIÓN AMISTOSA</w:t>
      </w:r>
    </w:p>
    <w:p w14:paraId="6DB7D7FC" w14:textId="77777777" w:rsidR="003E7EB5" w:rsidRPr="00C174A9" w:rsidRDefault="003E7EB5" w:rsidP="003E7EB5">
      <w:pPr>
        <w:ind w:firstLine="720"/>
        <w:jc w:val="both"/>
        <w:rPr>
          <w:rFonts w:ascii="Cambria" w:eastAsia="MS Mincho" w:hAnsi="Cambria" w:cstheme="minorHAnsi"/>
          <w:color w:val="000000" w:themeColor="text1"/>
          <w:sz w:val="20"/>
          <w:szCs w:val="20"/>
          <w:lang w:val="es-CO"/>
        </w:rPr>
      </w:pPr>
    </w:p>
    <w:p w14:paraId="4A680D1B" w14:textId="3E210E05"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Pr>
          <w:rFonts w:ascii="Cambria" w:eastAsia="Times New Roman" w:hAnsi="Cambria" w:cstheme="minorHAnsi"/>
          <w:color w:val="000000" w:themeColor="text1"/>
          <w:sz w:val="20"/>
          <w:szCs w:val="20"/>
          <w:lang w:val="es-CO"/>
        </w:rPr>
        <w:t>Entre los años 2003 y 2005</w:t>
      </w:r>
      <w:r w:rsidRPr="00D24955">
        <w:rPr>
          <w:rFonts w:asciiTheme="majorHAnsi" w:hAnsiTheme="majorHAnsi"/>
          <w:sz w:val="20"/>
          <w:szCs w:val="20"/>
          <w:lang w:val="es-CO"/>
        </w:rPr>
        <w:t>,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adelante las “presuntas víctimas”). En estas peticiones, se alegó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El 20 de octubre de 2006 la Comisión decidió acumular las peticiones 22-04; 217-05 y 1092- 05, a la petición inicial 775-03.</w:t>
      </w:r>
    </w:p>
    <w:p w14:paraId="1523B893"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Cambria"/>
          <w:color w:val="000000"/>
          <w:sz w:val="20"/>
          <w:szCs w:val="20"/>
          <w:lang w:val="es-CO" w:eastAsia="es-ES"/>
        </w:rPr>
      </w:pPr>
    </w:p>
    <w:p w14:paraId="609BB8C4" w14:textId="2D9B6CF2"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D24955">
        <w:rPr>
          <w:rFonts w:asciiTheme="majorHAnsi" w:eastAsia="Times New Roman" w:hAnsiTheme="majorHAnsi"/>
          <w:sz w:val="20"/>
          <w:szCs w:val="20"/>
          <w:bdr w:val="none" w:sz="0" w:space="0" w:color="auto"/>
          <w:lang w:val="es-CO"/>
        </w:rPr>
        <w:t>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alegaron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14:paraId="3EAF3D81"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s="Cambria"/>
          <w:color w:val="000000"/>
          <w:sz w:val="20"/>
          <w:szCs w:val="20"/>
          <w:lang w:val="es-CO" w:eastAsia="es-ES"/>
        </w:rPr>
      </w:pPr>
    </w:p>
    <w:p w14:paraId="0C4DCA95" w14:textId="572E0A64"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t xml:space="preserve">El 21 de julio de 2014, la CIDH emitió el Informe de Admisibilidad No. 57/14 sobre el caso 12.961 Juan González y otros, relacionado con las peticiones anteriormente mencionadas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 Asimismo, decidió declarar inadmisible los alegatos referidos a la presunta violación de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de acuerdo al cómputo de la CIDH, la sentencia había sido notificada más de seis meses antes de la presentación de la petición ante la CIDH, incumpliendo así el requisito previsto en el artículo 46.1b) de la CADH. </w:t>
      </w:r>
    </w:p>
    <w:p w14:paraId="1C517FE3"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CO"/>
        </w:rPr>
      </w:pPr>
    </w:p>
    <w:p w14:paraId="5299A308" w14:textId="075273EB"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4254B1">
        <w:rPr>
          <w:rFonts w:asciiTheme="majorHAnsi" w:hAnsiTheme="majorHAnsi"/>
          <w:sz w:val="20"/>
          <w:szCs w:val="20"/>
          <w:lang w:val="es-CO"/>
        </w:rPr>
        <w:t xml:space="preserve">En el Informe de Admisibilidad No. 57/14, se dio cuenta de que el 11 de diciembre de 2006, los peticionarios informaron a la Comisión que se nombraría como </w:t>
      </w:r>
      <w:proofErr w:type="spellStart"/>
      <w:r w:rsidRPr="004254B1">
        <w:rPr>
          <w:rFonts w:asciiTheme="majorHAnsi" w:hAnsiTheme="majorHAnsi"/>
          <w:sz w:val="20"/>
          <w:szCs w:val="20"/>
          <w:lang w:val="es-CO"/>
        </w:rPr>
        <w:t>co-peticionario</w:t>
      </w:r>
      <w:proofErr w:type="spellEnd"/>
      <w:r w:rsidRPr="004254B1">
        <w:rPr>
          <w:rFonts w:asciiTheme="majorHAnsi" w:hAnsiTheme="majorHAnsi"/>
          <w:sz w:val="20"/>
          <w:szCs w:val="20"/>
          <w:lang w:val="es-CO"/>
        </w:rPr>
        <w:t xml:space="preserve"> al </w:t>
      </w:r>
      <w:r w:rsidR="006C3214" w:rsidRPr="004254B1">
        <w:rPr>
          <w:rFonts w:asciiTheme="majorHAnsi" w:hAnsiTheme="majorHAnsi"/>
          <w:sz w:val="20"/>
          <w:szCs w:val="20"/>
          <w:lang w:val="es-CO"/>
        </w:rPr>
        <w:t xml:space="preserve">Comité para la Defensa de los Derechos Humanos en Honduras (en adelante “CODEH”) </w:t>
      </w:r>
      <w:r w:rsidRPr="004254B1">
        <w:rPr>
          <w:rFonts w:asciiTheme="majorHAnsi" w:hAnsiTheme="majorHAnsi"/>
          <w:sz w:val="20"/>
          <w:szCs w:val="20"/>
          <w:lang w:val="es-CO"/>
        </w:rPr>
        <w:t xml:space="preserve">y que el 21 de mayo de 2007, Gladis Matamoros, peticionaria original de la petición P-217-05, indicó a la Comisión que se retiraría como peticionaria y dejaría en su lugar al </w:t>
      </w:r>
      <w:r w:rsidR="006C3214" w:rsidRPr="004254B1">
        <w:rPr>
          <w:rFonts w:asciiTheme="majorHAnsi" w:hAnsiTheme="majorHAnsi"/>
          <w:sz w:val="20"/>
          <w:szCs w:val="20"/>
          <w:lang w:val="es-CO"/>
        </w:rPr>
        <w:t>CODEH</w:t>
      </w:r>
      <w:r w:rsidRPr="004254B1">
        <w:rPr>
          <w:rFonts w:asciiTheme="majorHAnsi" w:hAnsiTheme="majorHAnsi"/>
          <w:sz w:val="20"/>
          <w:szCs w:val="20"/>
          <w:lang w:val="es-CO"/>
        </w:rPr>
        <w:t>. Posteriormente, la señora Gladis</w:t>
      </w:r>
      <w:r w:rsidRPr="00D24955">
        <w:rPr>
          <w:rFonts w:asciiTheme="majorHAnsi" w:hAnsiTheme="majorHAnsi"/>
          <w:sz w:val="20"/>
          <w:szCs w:val="20"/>
          <w:lang w:val="es-CO"/>
        </w:rPr>
        <w:t xml:space="preserve"> Matamoros decidió retomar su participación como peticionaria en el caso 12.961 Juan González y Otros. </w:t>
      </w:r>
    </w:p>
    <w:p w14:paraId="6CCB7153" w14:textId="77777777" w:rsidR="00CF0CBE" w:rsidRDefault="00CF0CBE" w:rsidP="00CF0CBE">
      <w:pPr>
        <w:pStyle w:val="ListParagraph"/>
        <w:rPr>
          <w:rFonts w:asciiTheme="majorHAnsi" w:hAnsiTheme="majorHAnsi"/>
          <w:sz w:val="20"/>
          <w:szCs w:val="20"/>
          <w:lang w:val="es-CO"/>
        </w:rPr>
      </w:pPr>
    </w:p>
    <w:p w14:paraId="2266B454" w14:textId="6936B72F"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t xml:space="preserve">El 29 de abril de 2018, la CIDH aprobó una enmienda al párrafo 40 del Informe de Admisibilidad No. 57/14 y declaró admisible la petición con respecto a las 42 personas que habían sido declaradas inadmisibles inicialmente en el informe 57/14. </w:t>
      </w:r>
    </w:p>
    <w:p w14:paraId="731E878C"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38D77906" w14:textId="20551C34" w:rsidR="00CF0CBE" w:rsidRPr="004254B1"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frame="1"/>
          <w:lang w:val="es-CO"/>
        </w:rPr>
        <w:t xml:space="preserve">En noviembre de 2014, las partes iniciaron el proceso de negociación de una solución amistosa y sostuvieron una reunión de trabajo con la facilitación de la Comisión el 5 de septiembre de 2017, en el marco del 164 período de sesiones de la CIDH. Asimismo, el 5 de diciembre de 2018, las partes sostuvieron otra reunión de trabajo con la facilitación de la Comisión, durante el período de sesiones </w:t>
      </w:r>
      <w:r w:rsidR="002E1304" w:rsidRPr="00D24955">
        <w:rPr>
          <w:rFonts w:asciiTheme="majorHAnsi" w:eastAsia="Times New Roman" w:hAnsiTheme="majorHAnsi"/>
          <w:sz w:val="20"/>
          <w:szCs w:val="20"/>
          <w:bdr w:val="none" w:sz="0" w:space="0" w:color="auto" w:frame="1"/>
          <w:lang w:val="es-CO"/>
        </w:rPr>
        <w:t xml:space="preserve">170 </w:t>
      </w:r>
      <w:r w:rsidRPr="00D24955">
        <w:rPr>
          <w:rFonts w:asciiTheme="majorHAnsi" w:eastAsia="Times New Roman" w:hAnsiTheme="majorHAnsi"/>
          <w:sz w:val="20"/>
          <w:szCs w:val="20"/>
          <w:bdr w:val="none" w:sz="0" w:space="0" w:color="auto" w:frame="1"/>
          <w:lang w:val="es-CO"/>
        </w:rPr>
        <w:t xml:space="preserve">de la CIDH. Dichas negociaciones se materializaron en la firma de un acuerdo de solución amistosa (en adelante “ASA” o “acuerdo”) </w:t>
      </w:r>
      <w:r w:rsidRPr="004254B1">
        <w:rPr>
          <w:rFonts w:asciiTheme="majorHAnsi" w:eastAsia="Times New Roman" w:hAnsiTheme="majorHAnsi"/>
          <w:sz w:val="20"/>
          <w:szCs w:val="20"/>
          <w:bdr w:val="none" w:sz="0" w:space="0" w:color="auto" w:frame="1"/>
          <w:lang w:val="es-CO"/>
        </w:rPr>
        <w:t xml:space="preserve">el </w:t>
      </w:r>
      <w:r w:rsidR="00825B74" w:rsidRPr="004254B1">
        <w:rPr>
          <w:rFonts w:asciiTheme="majorHAnsi" w:eastAsia="Times New Roman" w:hAnsiTheme="majorHAnsi"/>
          <w:sz w:val="20"/>
          <w:szCs w:val="20"/>
          <w:bdr w:val="none" w:sz="0" w:space="0" w:color="auto" w:frame="1"/>
          <w:lang w:val="es-CO"/>
        </w:rPr>
        <w:t>29 de junio de 2021</w:t>
      </w:r>
      <w:r w:rsidRPr="004254B1">
        <w:rPr>
          <w:rStyle w:val="FootnoteReference"/>
          <w:rFonts w:asciiTheme="majorHAnsi" w:eastAsia="Times New Roman" w:hAnsiTheme="majorHAnsi"/>
          <w:sz w:val="20"/>
          <w:szCs w:val="20"/>
          <w:bdr w:val="none" w:sz="0" w:space="0" w:color="auto" w:frame="1"/>
          <w:lang w:val="es-CO"/>
        </w:rPr>
        <w:footnoteReference w:id="2"/>
      </w:r>
      <w:r w:rsidRPr="004254B1">
        <w:rPr>
          <w:rFonts w:asciiTheme="majorHAnsi" w:eastAsia="Times New Roman" w:hAnsiTheme="majorHAnsi"/>
          <w:sz w:val="20"/>
          <w:szCs w:val="20"/>
          <w:bdr w:val="none" w:sz="0" w:space="0" w:color="auto" w:frame="1"/>
          <w:lang w:val="es-CO"/>
        </w:rPr>
        <w:t xml:space="preserve">. </w:t>
      </w:r>
    </w:p>
    <w:p w14:paraId="28528E2B" w14:textId="77777777" w:rsidR="00CF0CBE" w:rsidRPr="004254B1"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27468662" w14:textId="1AC82B06" w:rsidR="00CF0CBE" w:rsidRPr="004254B1" w:rsidRDefault="00BA4D91"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2" w:name="_Hlk80786230"/>
      <w:r w:rsidRPr="004254B1">
        <w:rPr>
          <w:rFonts w:asciiTheme="majorHAnsi" w:eastAsia="Times New Roman" w:hAnsiTheme="majorHAnsi"/>
          <w:sz w:val="20"/>
          <w:szCs w:val="20"/>
          <w:bdr w:val="none" w:sz="0" w:space="0" w:color="auto"/>
          <w:lang w:val="es-CO"/>
        </w:rPr>
        <w:t>E</w:t>
      </w:r>
      <w:r w:rsidR="00F1279E" w:rsidRPr="004254B1">
        <w:rPr>
          <w:rFonts w:asciiTheme="majorHAnsi" w:eastAsia="Times New Roman" w:hAnsiTheme="majorHAnsi"/>
          <w:sz w:val="20"/>
          <w:szCs w:val="20"/>
          <w:bdr w:val="none" w:sz="0" w:space="0" w:color="auto"/>
          <w:lang w:val="es-CO"/>
        </w:rPr>
        <w:t>l</w:t>
      </w:r>
      <w:r w:rsidRPr="004254B1">
        <w:rPr>
          <w:rFonts w:asciiTheme="majorHAnsi" w:eastAsia="Times New Roman" w:hAnsiTheme="majorHAnsi"/>
          <w:sz w:val="20"/>
          <w:szCs w:val="20"/>
          <w:bdr w:val="none" w:sz="0" w:space="0" w:color="auto"/>
          <w:lang w:val="es-CO"/>
        </w:rPr>
        <w:t xml:space="preserve"> 30 de julio de 2021, el Estado remitió a la Comisión los medios de verificación del cumplimiento de lo acordado y solicitó la correspondiente homologación del acuerdo</w:t>
      </w:r>
      <w:r w:rsidR="00CF0CBE" w:rsidRPr="004254B1">
        <w:rPr>
          <w:rFonts w:asciiTheme="majorHAnsi" w:eastAsia="Times New Roman" w:hAnsiTheme="majorHAnsi"/>
          <w:sz w:val="20"/>
          <w:szCs w:val="20"/>
          <w:bdr w:val="none" w:sz="0" w:space="0" w:color="auto"/>
          <w:lang w:val="es-CO"/>
        </w:rPr>
        <w:t>.</w:t>
      </w:r>
      <w:r w:rsidRPr="004254B1">
        <w:rPr>
          <w:rFonts w:asciiTheme="majorHAnsi" w:eastAsia="Times New Roman" w:hAnsiTheme="majorHAnsi"/>
          <w:sz w:val="20"/>
          <w:szCs w:val="20"/>
          <w:bdr w:val="none" w:sz="0" w:space="0" w:color="auto"/>
          <w:lang w:val="es-CO"/>
        </w:rPr>
        <w:t xml:space="preserve"> Dicha comunicación fue puesta en conocimiento de la parte peticionaria. </w:t>
      </w:r>
      <w:r w:rsidR="00CF0CBE" w:rsidRPr="004254B1">
        <w:rPr>
          <w:rFonts w:asciiTheme="majorHAnsi" w:eastAsia="Times New Roman" w:hAnsiTheme="majorHAnsi"/>
          <w:sz w:val="20"/>
          <w:szCs w:val="20"/>
          <w:bdr w:val="none" w:sz="0" w:space="0" w:color="auto"/>
          <w:lang w:val="es-CO"/>
        </w:rPr>
        <w:t xml:space="preserve"> </w:t>
      </w:r>
    </w:p>
    <w:p w14:paraId="4C64BC10" w14:textId="77777777" w:rsidR="00CF0CBE" w:rsidRPr="004254B1"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666F8A36" w14:textId="748D1FF7" w:rsidR="00CF0CBE" w:rsidRPr="004254B1"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4254B1">
        <w:rPr>
          <w:rFonts w:asciiTheme="majorHAnsi" w:eastAsia="Times New Roman" w:hAnsiTheme="majorHAnsi"/>
          <w:sz w:val="20"/>
          <w:szCs w:val="20"/>
          <w:bdr w:val="none" w:sz="0" w:space="0" w:color="auto"/>
          <w:lang w:val="es-CO"/>
        </w:rPr>
        <w:t xml:space="preserve">El </w:t>
      </w:r>
      <w:r w:rsidR="00EB110D" w:rsidRPr="004254B1">
        <w:rPr>
          <w:rFonts w:asciiTheme="majorHAnsi" w:eastAsia="Times New Roman" w:hAnsiTheme="majorHAnsi"/>
          <w:sz w:val="20"/>
          <w:szCs w:val="20"/>
          <w:bdr w:val="none" w:sz="0" w:space="0" w:color="auto"/>
          <w:lang w:val="es-CO"/>
        </w:rPr>
        <w:t>31 de agosto</w:t>
      </w:r>
      <w:r w:rsidR="00BA4D91" w:rsidRPr="004254B1">
        <w:rPr>
          <w:rFonts w:asciiTheme="majorHAnsi" w:eastAsia="Times New Roman" w:hAnsiTheme="majorHAnsi"/>
          <w:sz w:val="20"/>
          <w:szCs w:val="20"/>
          <w:bdr w:val="none" w:sz="0" w:space="0" w:color="auto"/>
          <w:lang w:val="es-CO"/>
        </w:rPr>
        <w:t xml:space="preserve"> de 2021</w:t>
      </w:r>
      <w:r w:rsidRPr="004254B1">
        <w:rPr>
          <w:rFonts w:asciiTheme="majorHAnsi" w:eastAsia="Times New Roman" w:hAnsiTheme="majorHAnsi"/>
          <w:sz w:val="20"/>
          <w:szCs w:val="20"/>
          <w:bdr w:val="none" w:sz="0" w:space="0" w:color="auto"/>
          <w:lang w:val="es-CO"/>
        </w:rPr>
        <w:t>, l</w:t>
      </w:r>
      <w:r w:rsidR="002E7AAE" w:rsidRPr="004254B1">
        <w:rPr>
          <w:rFonts w:asciiTheme="majorHAnsi" w:eastAsia="Times New Roman" w:hAnsiTheme="majorHAnsi"/>
          <w:sz w:val="20"/>
          <w:szCs w:val="20"/>
          <w:bdr w:val="none" w:sz="0" w:space="0" w:color="auto"/>
          <w:lang w:val="es-CO"/>
        </w:rPr>
        <w:t>a</w:t>
      </w:r>
      <w:r w:rsidRPr="004254B1">
        <w:rPr>
          <w:rFonts w:asciiTheme="majorHAnsi" w:eastAsia="Times New Roman" w:hAnsiTheme="majorHAnsi"/>
          <w:sz w:val="20"/>
          <w:szCs w:val="20"/>
          <w:bdr w:val="none" w:sz="0" w:space="0" w:color="auto"/>
          <w:lang w:val="es-CO"/>
        </w:rPr>
        <w:t xml:space="preserve"> Comisión comunicó a las partes el desglose del caso 12.961</w:t>
      </w:r>
      <w:r w:rsidR="00BA4D91" w:rsidRPr="004254B1">
        <w:rPr>
          <w:rFonts w:asciiTheme="majorHAnsi" w:eastAsia="Times New Roman" w:hAnsiTheme="majorHAnsi"/>
          <w:sz w:val="20"/>
          <w:szCs w:val="20"/>
          <w:bdr w:val="none" w:sz="0" w:space="0" w:color="auto"/>
          <w:lang w:val="es-CO"/>
        </w:rPr>
        <w:t xml:space="preserve"> J, Faustino García Cárdenas y Otro, para avanzar con la homologación del acuerdo</w:t>
      </w:r>
      <w:r w:rsidRPr="004254B1">
        <w:rPr>
          <w:rFonts w:asciiTheme="majorHAnsi" w:eastAsia="Times New Roman" w:hAnsiTheme="majorHAnsi"/>
          <w:sz w:val="20"/>
          <w:szCs w:val="20"/>
          <w:bdr w:val="none" w:sz="0" w:space="0" w:color="auto"/>
          <w:lang w:val="es-CO"/>
        </w:rPr>
        <w:t xml:space="preserve">. </w:t>
      </w:r>
    </w:p>
    <w:bookmarkEnd w:id="2"/>
    <w:p w14:paraId="56E3D8C6" w14:textId="77777777" w:rsidR="00CF0CBE" w:rsidRPr="004254B1"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4B1E3A43" w14:textId="1CC0C7E3" w:rsidR="003E7EB5" w:rsidRP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254B1">
        <w:rPr>
          <w:rFonts w:asciiTheme="majorHAnsi" w:eastAsia="Times New Roman"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C11B47" w:rsidRPr="004254B1">
        <w:rPr>
          <w:rFonts w:asciiTheme="majorHAnsi" w:eastAsia="Times New Roman" w:hAnsiTheme="majorHAnsi"/>
          <w:sz w:val="20"/>
          <w:szCs w:val="20"/>
          <w:lang w:val="es-CO"/>
        </w:rPr>
        <w:t xml:space="preserve">29 </w:t>
      </w:r>
      <w:r w:rsidRPr="004254B1">
        <w:rPr>
          <w:rFonts w:asciiTheme="majorHAnsi" w:eastAsia="Times New Roman" w:hAnsiTheme="majorHAnsi"/>
          <w:sz w:val="20"/>
          <w:szCs w:val="20"/>
          <w:lang w:val="es-CO"/>
        </w:rPr>
        <w:t>de junio de 20</w:t>
      </w:r>
      <w:r w:rsidR="002E64BB" w:rsidRPr="004254B1">
        <w:rPr>
          <w:rFonts w:asciiTheme="majorHAnsi" w:eastAsia="Times New Roman" w:hAnsiTheme="majorHAnsi"/>
          <w:sz w:val="20"/>
          <w:szCs w:val="20"/>
          <w:lang w:val="es-CO"/>
        </w:rPr>
        <w:t>21</w:t>
      </w:r>
      <w:r w:rsidRPr="00D24955">
        <w:rPr>
          <w:rFonts w:asciiTheme="majorHAnsi" w:eastAsia="Times New Roman" w:hAnsiTheme="majorHAnsi"/>
          <w:sz w:val="20"/>
          <w:szCs w:val="20"/>
          <w:lang w:val="es-CO"/>
        </w:rPr>
        <w:t xml:space="preserve"> por los peticionarios y representantes del Estado hondureño. Asimismo, se aprueba el acuerdo suscrito entre las partes y se acuerda la publicación del presente informe en el Informe Anual de la CIDH a la Asamblea General de la Organización de los Estados Americanos. </w:t>
      </w:r>
    </w:p>
    <w:p w14:paraId="61ADF401" w14:textId="77777777" w:rsidR="003E7EB5" w:rsidRPr="00C174A9"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6976B822"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C174A9">
        <w:rPr>
          <w:rFonts w:eastAsia="MS Mincho" w:cstheme="minorHAnsi"/>
          <w:b/>
          <w:color w:val="000000" w:themeColor="text1"/>
          <w:sz w:val="20"/>
          <w:szCs w:val="20"/>
          <w:lang w:val="es-CO"/>
        </w:rPr>
        <w:t xml:space="preserve">LOS HECHOS ALEGADOS </w:t>
      </w:r>
    </w:p>
    <w:p w14:paraId="0A82CE2A" w14:textId="77777777" w:rsidR="003E7EB5" w:rsidRPr="00C174A9"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72A9488F" w14:textId="05D6FFBB"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D24955">
        <w:rPr>
          <w:rFonts w:asciiTheme="majorHAnsi" w:eastAsia="Times New Roman" w:hAnsiTheme="majorHAnsi"/>
          <w:sz w:val="20"/>
          <w:szCs w:val="20"/>
          <w:bdr w:val="none" w:sz="0" w:space="0" w:color="auto" w:frame="1"/>
          <w:lang w:val="es-CO"/>
        </w:rPr>
        <w:t xml:space="preserve">Los peticionarios alegaron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w:t>
      </w:r>
      <w:r w:rsidRPr="00D24955">
        <w:rPr>
          <w:rFonts w:asciiTheme="majorHAnsi" w:eastAsia="Times New Roman" w:hAnsiTheme="majorHAnsi"/>
          <w:i/>
          <w:sz w:val="20"/>
          <w:szCs w:val="20"/>
          <w:bdr w:val="none" w:sz="0" w:space="0" w:color="auto" w:frame="1"/>
          <w:lang w:val="es-CO"/>
        </w:rPr>
        <w:t>a “que sin consideraciones de ninguna naturaleza pudiera despedir al personal de la policía”</w:t>
      </w:r>
      <w:r w:rsidRPr="00D24955">
        <w:rPr>
          <w:rFonts w:asciiTheme="majorHAnsi" w:eastAsia="Times New Roman" w:hAnsiTheme="majorHAnsi"/>
          <w:sz w:val="20"/>
          <w:szCs w:val="20"/>
          <w:bdr w:val="none" w:sz="0" w:space="0" w:color="auto" w:frame="1"/>
          <w:lang w:val="es-CO"/>
        </w:rPr>
        <w:t>. Al respecto, los peticionarios manifestaron que a pesar de que la depuración 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14:paraId="241D500C" w14:textId="77777777" w:rsidR="00CF0CBE" w:rsidRPr="00CF0CBE"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CO"/>
        </w:rPr>
      </w:pPr>
    </w:p>
    <w:p w14:paraId="572BE49E" w14:textId="054E58A4" w:rsidR="003E7EB5" w:rsidRPr="00BA4D91" w:rsidRDefault="00CF0CBE"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D24955">
        <w:rPr>
          <w:rFonts w:asciiTheme="majorHAnsi" w:eastAsia="Times New Roman" w:hAnsiTheme="majorHAnsi"/>
          <w:sz w:val="20"/>
          <w:szCs w:val="20"/>
          <w:bdr w:val="none" w:sz="0" w:space="0" w:color="auto" w:frame="1"/>
          <w:lang w:val="es-CO"/>
        </w:rPr>
        <w:t xml:space="preserve">Los peticionarios también alegaron que Honduras habría conculcado el derecho contenido en el artículo 24 (igualdad ante la ley), </w:t>
      </w:r>
      <w:proofErr w:type="gramStart"/>
      <w:r w:rsidRPr="00D24955">
        <w:rPr>
          <w:rFonts w:asciiTheme="majorHAnsi" w:eastAsia="Times New Roman" w:hAnsiTheme="majorHAnsi"/>
          <w:sz w:val="20"/>
          <w:szCs w:val="20"/>
          <w:bdr w:val="none" w:sz="0" w:space="0" w:color="auto" w:frame="1"/>
          <w:lang w:val="es-CO"/>
        </w:rPr>
        <w:t>en razón de</w:t>
      </w:r>
      <w:proofErr w:type="gramEnd"/>
      <w:r w:rsidRPr="00D24955">
        <w:rPr>
          <w:rFonts w:asciiTheme="majorHAnsi" w:eastAsia="Times New Roman" w:hAnsiTheme="majorHAnsi"/>
          <w:sz w:val="20"/>
          <w:szCs w:val="20"/>
          <w:bdr w:val="none" w:sz="0" w:space="0" w:color="auto" w:frame="1"/>
          <w:lang w:val="es-CO"/>
        </w:rPr>
        <w:t xml:space="preserve"> que se les habría aplicado un decreto que era exclusivo y perjudicial para sus intereses, y que nunca se habría aplicado a otra categoría de trabajadores públicos. Asimismo, señalaron que Honduras habría violado el artículo 11 (protección de la honra y de la dignidad) de la Convención Americana, ya que a consecuencia del despido basado en un “decreto de depuración de gente corrupta”, las presuntas víctimas habrían sido “objeto de escarnio popular”, lo que habría afectado su prestigio dentro y fuera de la institución, y habría impedido que la mayoría lograra obtener empleo. Adicionalmente, los peticionarios alegaron las violaciones a los artículos 1, 2, 5, 10 y 17 de la CADH.</w:t>
      </w:r>
    </w:p>
    <w:p w14:paraId="29AB2C8C" w14:textId="77777777" w:rsidR="00BA4D91" w:rsidRPr="00CF0CBE" w:rsidRDefault="00BA4D91" w:rsidP="00BA4D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40702F89" w14:textId="6746E3EC" w:rsidR="00CF0CBE" w:rsidRPr="003401CC" w:rsidRDefault="00CF0CBE" w:rsidP="003401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630"/>
        <w:jc w:val="both"/>
        <w:rPr>
          <w:rFonts w:asciiTheme="majorHAnsi" w:eastAsia="Times New Roman" w:hAnsiTheme="majorHAnsi"/>
          <w:sz w:val="20"/>
          <w:szCs w:val="20"/>
          <w:lang w:val="es-CO"/>
        </w:rPr>
      </w:pPr>
      <w:r w:rsidRPr="003401CC">
        <w:rPr>
          <w:rFonts w:asciiTheme="majorHAnsi" w:eastAsia="Times New Roman" w:hAnsiTheme="majorHAnsi"/>
          <w:sz w:val="20"/>
          <w:szCs w:val="20"/>
          <w:lang w:val="es-CO"/>
        </w:rPr>
        <w:t xml:space="preserve">Por otra parte, los peticionarios señalaron que, mediante resoluciones de 13 de marzo de 2003, la Corte Suprema de Justicia de Honduras declaró la inconstitucionalidad e inaplicabilidad del decreto 58-2001. Al respecto, manifestaron que a pesar de que el artículo 316(2) de la Constitución hondureña estipula que, al declararse la inconstitucionalidad de la ley, ésta será de efectos generales y de aplicación inmediata, la Corte Suprema resolvió que esta sentencia no tenía efectos retroactivos y que, por ello, no se estaría aplicando la declaración de inconstitucionalidad a favor de las presuntas víctimas. Según los peticionarios, al haberse </w:t>
      </w:r>
      <w:r w:rsidRPr="003401CC">
        <w:rPr>
          <w:rFonts w:asciiTheme="majorHAnsi" w:eastAsia="Times New Roman" w:hAnsiTheme="majorHAnsi"/>
          <w:sz w:val="20"/>
          <w:szCs w:val="20"/>
          <w:lang w:val="es-CO"/>
        </w:rPr>
        <w:lastRenderedPageBreak/>
        <w:t>declarado la inconstitucionalidad del referido decreto, tendría que haberse aplicado también en beneficio de todas las personas que se vieron afectadas por el mismo.</w:t>
      </w:r>
    </w:p>
    <w:p w14:paraId="59E1114D" w14:textId="77777777" w:rsidR="003E7EB5" w:rsidRPr="00C174A9" w:rsidRDefault="003E7EB5" w:rsidP="00BA4D91">
      <w:pPr>
        <w:jc w:val="both"/>
        <w:rPr>
          <w:rFonts w:ascii="Cambria" w:hAnsi="Cambria" w:cstheme="minorHAnsi"/>
          <w:color w:val="000000" w:themeColor="text1"/>
          <w:sz w:val="20"/>
          <w:szCs w:val="20"/>
          <w:lang w:val="es-CO"/>
        </w:rPr>
      </w:pPr>
    </w:p>
    <w:p w14:paraId="2A61AE43" w14:textId="79D2A4A8" w:rsidR="003E7EB5"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174A9">
        <w:rPr>
          <w:rFonts w:ascii="Cambria" w:eastAsia="MS Mincho" w:hAnsi="Cambria" w:cstheme="minorHAnsi"/>
          <w:b/>
          <w:color w:val="000000" w:themeColor="text1"/>
          <w:sz w:val="20"/>
          <w:szCs w:val="20"/>
          <w:lang w:val="es-CO"/>
        </w:rPr>
        <w:t>SOLUCIÓN AMISTOSA</w:t>
      </w:r>
    </w:p>
    <w:p w14:paraId="2103BE2A" w14:textId="27A311EC" w:rsidR="00CF0CBE"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b/>
          <w:color w:val="000000" w:themeColor="text1"/>
          <w:sz w:val="20"/>
          <w:szCs w:val="20"/>
          <w:lang w:val="es-CO"/>
        </w:rPr>
      </w:pPr>
    </w:p>
    <w:p w14:paraId="35F35B35" w14:textId="72BFE42A" w:rsidR="00CF0CBE" w:rsidRPr="004254B1"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4254B1">
        <w:rPr>
          <w:rFonts w:asciiTheme="majorHAnsi" w:eastAsia="Times New Roman" w:hAnsiTheme="majorHAnsi"/>
          <w:sz w:val="20"/>
          <w:szCs w:val="20"/>
          <w:lang w:val="es-CO"/>
        </w:rPr>
        <w:t xml:space="preserve">El </w:t>
      </w:r>
      <w:r w:rsidR="005222B8" w:rsidRPr="004254B1">
        <w:rPr>
          <w:rFonts w:asciiTheme="majorHAnsi" w:eastAsia="Times New Roman" w:hAnsiTheme="majorHAnsi"/>
          <w:sz w:val="20"/>
          <w:szCs w:val="20"/>
          <w:lang w:val="es-CO"/>
        </w:rPr>
        <w:t>29</w:t>
      </w:r>
      <w:r w:rsidRPr="004254B1">
        <w:rPr>
          <w:rFonts w:asciiTheme="majorHAnsi" w:eastAsia="Times New Roman" w:hAnsiTheme="majorHAnsi"/>
          <w:sz w:val="20"/>
          <w:szCs w:val="20"/>
          <w:lang w:val="es-CO"/>
        </w:rPr>
        <w:t xml:space="preserve"> de junio de 20</w:t>
      </w:r>
      <w:r w:rsidR="005222B8" w:rsidRPr="004254B1">
        <w:rPr>
          <w:rFonts w:asciiTheme="majorHAnsi" w:eastAsia="Times New Roman" w:hAnsiTheme="majorHAnsi"/>
          <w:sz w:val="20"/>
          <w:szCs w:val="20"/>
          <w:lang w:val="es-CO"/>
        </w:rPr>
        <w:t>21</w:t>
      </w:r>
      <w:r w:rsidRPr="004254B1">
        <w:rPr>
          <w:rFonts w:asciiTheme="majorHAnsi" w:eastAsia="Times New Roman" w:hAnsiTheme="majorHAnsi"/>
          <w:sz w:val="20"/>
          <w:szCs w:val="20"/>
          <w:lang w:val="es-CO"/>
        </w:rPr>
        <w:t>, se llegó a un acuerdo de solución amistosa entre el Estado, representado por la Procuradora General de la República, Lidia Estela Cardona Padilla, y los peticionarios, Hugo Ramón Maldonado</w:t>
      </w:r>
      <w:r w:rsidR="00ED7D7C" w:rsidRPr="004254B1">
        <w:rPr>
          <w:rFonts w:asciiTheme="majorHAnsi" w:eastAsia="Times New Roman" w:hAnsiTheme="majorHAnsi"/>
          <w:sz w:val="20"/>
          <w:szCs w:val="20"/>
          <w:lang w:val="es-CO"/>
        </w:rPr>
        <w:t xml:space="preserve"> </w:t>
      </w:r>
      <w:r w:rsidRPr="004254B1">
        <w:rPr>
          <w:rFonts w:asciiTheme="majorHAnsi" w:eastAsia="Times New Roman" w:hAnsiTheme="majorHAnsi"/>
          <w:sz w:val="20"/>
          <w:szCs w:val="20"/>
          <w:lang w:val="es-CO"/>
        </w:rPr>
        <w:t xml:space="preserve">y Gladys Ondina Matamoros. El acuerdo de solución amistosa se suscribió en beneficio de </w:t>
      </w:r>
      <w:r w:rsidR="00ED7D7C" w:rsidRPr="004254B1">
        <w:rPr>
          <w:rFonts w:asciiTheme="majorHAnsi" w:eastAsia="Times New Roman" w:hAnsiTheme="majorHAnsi"/>
          <w:sz w:val="20"/>
          <w:szCs w:val="20"/>
          <w:lang w:val="es-CO"/>
        </w:rPr>
        <w:t>dos</w:t>
      </w:r>
      <w:r w:rsidRPr="004254B1">
        <w:rPr>
          <w:rFonts w:asciiTheme="majorHAnsi" w:eastAsia="Times New Roman" w:hAnsiTheme="majorHAnsi"/>
          <w:sz w:val="20"/>
          <w:szCs w:val="20"/>
          <w:lang w:val="es-CO"/>
        </w:rPr>
        <w:t xml:space="preserve"> personas</w:t>
      </w:r>
      <w:r w:rsidR="00BA4D91" w:rsidRPr="004254B1">
        <w:rPr>
          <w:rFonts w:asciiTheme="majorHAnsi" w:eastAsia="Times New Roman" w:hAnsiTheme="majorHAnsi"/>
          <w:sz w:val="20"/>
          <w:szCs w:val="20"/>
          <w:lang w:val="es-CO"/>
        </w:rPr>
        <w:t xml:space="preserve"> y </w:t>
      </w:r>
      <w:r w:rsidRPr="004254B1">
        <w:rPr>
          <w:rFonts w:asciiTheme="majorHAnsi" w:eastAsia="Times New Roman" w:hAnsiTheme="majorHAnsi"/>
          <w:sz w:val="20"/>
          <w:szCs w:val="20"/>
          <w:lang w:val="es-CO"/>
        </w:rPr>
        <w:t>establece lo siguiente:</w:t>
      </w:r>
    </w:p>
    <w:p w14:paraId="0066FA6A" w14:textId="77777777" w:rsidR="003E7EB5" w:rsidRPr="004254B1" w:rsidRDefault="003E7EB5" w:rsidP="003E7EB5">
      <w:pPr>
        <w:pStyle w:val="ListParagraph"/>
        <w:ind w:left="0" w:firstLine="720"/>
        <w:jc w:val="both"/>
        <w:rPr>
          <w:rFonts w:eastAsia="Times New Roman" w:cstheme="minorHAnsi"/>
          <w:color w:val="000000" w:themeColor="text1"/>
          <w:sz w:val="20"/>
          <w:szCs w:val="20"/>
          <w:bdr w:val="none" w:sz="0" w:space="0" w:color="auto" w:frame="1"/>
          <w:lang w:val="es-CO"/>
        </w:rPr>
      </w:pPr>
    </w:p>
    <w:p w14:paraId="729CBD76" w14:textId="77777777" w:rsidR="00F87783" w:rsidRPr="004254B1" w:rsidRDefault="00F87783" w:rsidP="00BA4D91">
      <w:pPr>
        <w:widowControl w:val="0"/>
        <w:ind w:left="720" w:right="720"/>
        <w:jc w:val="center"/>
        <w:outlineLvl w:val="0"/>
        <w:rPr>
          <w:rFonts w:asciiTheme="majorHAnsi" w:eastAsia="Times New Roman" w:hAnsiTheme="majorHAnsi"/>
          <w:b/>
          <w:sz w:val="20"/>
          <w:szCs w:val="20"/>
          <w:lang w:val="es-ES"/>
        </w:rPr>
      </w:pPr>
      <w:bookmarkStart w:id="3" w:name="_Hlk80784336"/>
      <w:r w:rsidRPr="004254B1">
        <w:rPr>
          <w:rFonts w:asciiTheme="majorHAnsi" w:eastAsia="Times New Roman" w:hAnsiTheme="majorHAnsi"/>
          <w:b/>
          <w:sz w:val="20"/>
          <w:szCs w:val="20"/>
          <w:lang w:val="es-ES"/>
        </w:rPr>
        <w:t>ACUERDO</w:t>
      </w:r>
      <w:r w:rsidRPr="004254B1">
        <w:rPr>
          <w:rFonts w:asciiTheme="majorHAnsi" w:eastAsia="Times New Roman" w:hAnsiTheme="majorHAnsi"/>
          <w:b/>
          <w:spacing w:val="9"/>
          <w:sz w:val="20"/>
          <w:szCs w:val="20"/>
          <w:lang w:val="es-ES"/>
        </w:rPr>
        <w:t xml:space="preserve"> </w:t>
      </w:r>
      <w:r w:rsidRPr="004254B1">
        <w:rPr>
          <w:rFonts w:asciiTheme="majorHAnsi" w:eastAsia="Times New Roman" w:hAnsiTheme="majorHAnsi"/>
          <w:b/>
          <w:sz w:val="20"/>
          <w:szCs w:val="20"/>
          <w:lang w:val="es-ES"/>
        </w:rPr>
        <w:t>DE</w:t>
      </w:r>
      <w:r w:rsidRPr="004254B1">
        <w:rPr>
          <w:rFonts w:asciiTheme="majorHAnsi" w:eastAsia="Times New Roman" w:hAnsiTheme="majorHAnsi"/>
          <w:b/>
          <w:spacing w:val="-12"/>
          <w:sz w:val="20"/>
          <w:szCs w:val="20"/>
          <w:lang w:val="es-ES"/>
        </w:rPr>
        <w:t xml:space="preserve"> </w:t>
      </w:r>
      <w:r w:rsidRPr="004254B1">
        <w:rPr>
          <w:rFonts w:asciiTheme="majorHAnsi" w:eastAsia="Times New Roman" w:hAnsiTheme="majorHAnsi"/>
          <w:b/>
          <w:sz w:val="20"/>
          <w:szCs w:val="20"/>
          <w:lang w:val="es-ES"/>
        </w:rPr>
        <w:t>SOLUCIÓN</w:t>
      </w:r>
      <w:r w:rsidRPr="004254B1">
        <w:rPr>
          <w:rFonts w:asciiTheme="majorHAnsi" w:eastAsia="Times New Roman" w:hAnsiTheme="majorHAnsi"/>
          <w:b/>
          <w:spacing w:val="-2"/>
          <w:sz w:val="20"/>
          <w:szCs w:val="20"/>
          <w:lang w:val="es-ES"/>
        </w:rPr>
        <w:t xml:space="preserve"> </w:t>
      </w:r>
      <w:r w:rsidRPr="004254B1">
        <w:rPr>
          <w:rFonts w:asciiTheme="majorHAnsi" w:eastAsia="Times New Roman" w:hAnsiTheme="majorHAnsi"/>
          <w:b/>
          <w:sz w:val="20"/>
          <w:szCs w:val="20"/>
          <w:lang w:val="es-ES"/>
        </w:rPr>
        <w:t>AMISTOSA</w:t>
      </w:r>
    </w:p>
    <w:p w14:paraId="7DD20562" w14:textId="26C19D3A" w:rsidR="00661460" w:rsidRPr="004254B1" w:rsidRDefault="00F87783" w:rsidP="00BA4D91">
      <w:pPr>
        <w:widowControl w:val="0"/>
        <w:ind w:left="720" w:right="720" w:firstLine="720"/>
        <w:jc w:val="center"/>
        <w:rPr>
          <w:rFonts w:asciiTheme="majorHAnsi" w:eastAsia="Calibri" w:hAnsiTheme="majorHAnsi"/>
          <w:b/>
          <w:sz w:val="20"/>
          <w:szCs w:val="20"/>
          <w:lang w:val="es-ES"/>
        </w:rPr>
      </w:pPr>
      <w:r w:rsidRPr="004254B1">
        <w:rPr>
          <w:rFonts w:asciiTheme="majorHAnsi" w:eastAsia="Calibri" w:hAnsiTheme="majorHAnsi"/>
          <w:b/>
          <w:sz w:val="20"/>
          <w:szCs w:val="20"/>
          <w:lang w:val="es-ES"/>
        </w:rPr>
        <w:t>CASO</w:t>
      </w:r>
      <w:r w:rsidRPr="004254B1">
        <w:rPr>
          <w:rFonts w:asciiTheme="majorHAnsi" w:eastAsia="Calibri" w:hAnsiTheme="majorHAnsi"/>
          <w:b/>
          <w:spacing w:val="4"/>
          <w:sz w:val="20"/>
          <w:szCs w:val="20"/>
          <w:lang w:val="es-ES"/>
        </w:rPr>
        <w:t xml:space="preserve"> </w:t>
      </w:r>
      <w:r w:rsidRPr="004254B1">
        <w:rPr>
          <w:rFonts w:asciiTheme="majorHAnsi" w:eastAsia="Calibri" w:hAnsiTheme="majorHAnsi"/>
          <w:b/>
          <w:sz w:val="20"/>
          <w:szCs w:val="20"/>
          <w:lang w:val="es-ES"/>
        </w:rPr>
        <w:t>CIDH</w:t>
      </w:r>
      <w:r w:rsidRPr="004254B1">
        <w:rPr>
          <w:rFonts w:asciiTheme="majorHAnsi" w:eastAsia="Calibri" w:hAnsiTheme="majorHAnsi"/>
          <w:b/>
          <w:spacing w:val="11"/>
          <w:sz w:val="20"/>
          <w:szCs w:val="20"/>
          <w:lang w:val="es-ES"/>
        </w:rPr>
        <w:t xml:space="preserve"> </w:t>
      </w:r>
      <w:r w:rsidRPr="004254B1">
        <w:rPr>
          <w:rFonts w:asciiTheme="majorHAnsi" w:eastAsia="Calibri" w:hAnsiTheme="majorHAnsi"/>
          <w:b/>
          <w:spacing w:val="-36"/>
          <w:sz w:val="20"/>
          <w:szCs w:val="20"/>
          <w:lang w:val="es-ES"/>
        </w:rPr>
        <w:t>1</w:t>
      </w:r>
      <w:r w:rsidRPr="004254B1">
        <w:rPr>
          <w:rFonts w:asciiTheme="majorHAnsi" w:eastAsia="Calibri" w:hAnsiTheme="majorHAnsi"/>
          <w:b/>
          <w:sz w:val="20"/>
          <w:szCs w:val="20"/>
          <w:lang w:val="es-ES"/>
        </w:rPr>
        <w:t>2.961 Juan González y otros vs Honduras y sus correspondientes</w:t>
      </w:r>
    </w:p>
    <w:p w14:paraId="021D493D" w14:textId="261B5516" w:rsidR="00F87783" w:rsidRPr="004254B1" w:rsidRDefault="00F87783" w:rsidP="00BA4D91">
      <w:pPr>
        <w:widowControl w:val="0"/>
        <w:ind w:left="720" w:right="720" w:firstLine="720"/>
        <w:jc w:val="center"/>
        <w:rPr>
          <w:rFonts w:asciiTheme="majorHAnsi" w:eastAsia="Calibri" w:hAnsiTheme="majorHAnsi"/>
          <w:b/>
          <w:sz w:val="20"/>
          <w:szCs w:val="20"/>
          <w:lang w:val="es-ES"/>
        </w:rPr>
      </w:pPr>
      <w:r w:rsidRPr="004254B1">
        <w:rPr>
          <w:rFonts w:asciiTheme="majorHAnsi" w:eastAsia="Calibri" w:hAnsiTheme="majorHAnsi"/>
          <w:b/>
          <w:sz w:val="20"/>
          <w:szCs w:val="20"/>
          <w:lang w:val="es-ES"/>
        </w:rPr>
        <w:t>desglosados.</w:t>
      </w:r>
      <w:r w:rsidR="00883EAF" w:rsidRPr="004254B1">
        <w:rPr>
          <w:rStyle w:val="FootnoteReference"/>
          <w:rFonts w:asciiTheme="majorHAnsi" w:eastAsia="Calibri" w:hAnsiTheme="majorHAnsi"/>
          <w:b/>
          <w:sz w:val="20"/>
          <w:szCs w:val="20"/>
          <w:lang w:val="es-ES"/>
        </w:rPr>
        <w:footnoteReference w:id="3"/>
      </w:r>
    </w:p>
    <w:p w14:paraId="388F55E5" w14:textId="77777777" w:rsidR="00F87783" w:rsidRPr="004254B1" w:rsidRDefault="00F87783" w:rsidP="00BA4D91">
      <w:pPr>
        <w:widowControl w:val="0"/>
        <w:ind w:left="720" w:right="720"/>
        <w:jc w:val="both"/>
        <w:rPr>
          <w:rFonts w:asciiTheme="majorHAnsi" w:eastAsia="Times New Roman" w:hAnsiTheme="majorHAnsi"/>
          <w:sz w:val="20"/>
          <w:szCs w:val="20"/>
          <w:lang w:val="es-ES"/>
        </w:rPr>
      </w:pPr>
    </w:p>
    <w:p w14:paraId="6DDEF687" w14:textId="77777777" w:rsidR="00F87783" w:rsidRPr="004254B1" w:rsidRDefault="00F87783" w:rsidP="00BA4D91">
      <w:pPr>
        <w:widowControl w:val="0"/>
        <w:tabs>
          <w:tab w:val="left" w:pos="2694"/>
        </w:tabs>
        <w:ind w:left="720" w:right="720"/>
        <w:jc w:val="both"/>
        <w:rPr>
          <w:rFonts w:asciiTheme="majorHAnsi" w:eastAsia="Times New Roman" w:hAnsiTheme="majorHAnsi"/>
          <w:b/>
          <w:sz w:val="20"/>
          <w:szCs w:val="20"/>
          <w:lang w:val="es-ES"/>
        </w:rPr>
      </w:pPr>
      <w:bookmarkStart w:id="4" w:name="_Hlk80786358"/>
      <w:r w:rsidRPr="004254B1">
        <w:rPr>
          <w:rFonts w:asciiTheme="majorHAnsi" w:eastAsia="Times New Roman" w:hAnsiTheme="majorHAnsi"/>
          <w:bCs/>
          <w:sz w:val="20"/>
          <w:szCs w:val="20"/>
          <w:lang w:val="es-ES"/>
        </w:rPr>
        <w:t>ACUERDO</w:t>
      </w:r>
      <w:r w:rsidRPr="004254B1">
        <w:rPr>
          <w:rFonts w:asciiTheme="majorHAnsi" w:eastAsia="Times New Roman" w:hAnsiTheme="majorHAnsi"/>
          <w:bCs/>
          <w:spacing w:val="-12"/>
          <w:sz w:val="20"/>
          <w:szCs w:val="20"/>
          <w:lang w:val="es-ES"/>
        </w:rPr>
        <w:t xml:space="preserve"> </w:t>
      </w:r>
      <w:r w:rsidRPr="004254B1">
        <w:rPr>
          <w:rFonts w:asciiTheme="majorHAnsi" w:eastAsia="Times New Roman" w:hAnsiTheme="majorHAnsi"/>
          <w:bCs/>
          <w:sz w:val="20"/>
          <w:szCs w:val="20"/>
          <w:lang w:val="es-ES"/>
        </w:rPr>
        <w:t>DE</w:t>
      </w:r>
      <w:r w:rsidRPr="004254B1">
        <w:rPr>
          <w:rFonts w:asciiTheme="majorHAnsi" w:eastAsia="Times New Roman" w:hAnsiTheme="majorHAnsi"/>
          <w:bCs/>
          <w:spacing w:val="-15"/>
          <w:sz w:val="20"/>
          <w:szCs w:val="20"/>
          <w:lang w:val="es-ES"/>
        </w:rPr>
        <w:t xml:space="preserve"> </w:t>
      </w:r>
      <w:r w:rsidRPr="004254B1">
        <w:rPr>
          <w:rFonts w:asciiTheme="majorHAnsi" w:eastAsia="Times New Roman" w:hAnsiTheme="majorHAnsi"/>
          <w:bCs/>
          <w:sz w:val="20"/>
          <w:szCs w:val="20"/>
          <w:lang w:val="es-ES"/>
        </w:rPr>
        <w:t>SOLUCIÓN</w:t>
      </w:r>
      <w:r w:rsidRPr="004254B1">
        <w:rPr>
          <w:rFonts w:asciiTheme="majorHAnsi" w:eastAsia="Times New Roman" w:hAnsiTheme="majorHAnsi"/>
          <w:bCs/>
          <w:spacing w:val="-19"/>
          <w:sz w:val="20"/>
          <w:szCs w:val="20"/>
          <w:lang w:val="es-ES"/>
        </w:rPr>
        <w:t xml:space="preserve"> </w:t>
      </w:r>
      <w:r w:rsidRPr="004254B1">
        <w:rPr>
          <w:rFonts w:asciiTheme="majorHAnsi" w:eastAsia="Times New Roman" w:hAnsiTheme="majorHAnsi"/>
          <w:bCs/>
          <w:sz w:val="20"/>
          <w:szCs w:val="20"/>
          <w:lang w:val="es-ES"/>
        </w:rPr>
        <w:t>AMISTOSA</w:t>
      </w:r>
      <w:r w:rsidRPr="004254B1">
        <w:rPr>
          <w:rFonts w:asciiTheme="majorHAnsi" w:eastAsia="Times New Roman" w:hAnsiTheme="majorHAnsi"/>
          <w:bCs/>
          <w:spacing w:val="-12"/>
          <w:sz w:val="20"/>
          <w:szCs w:val="20"/>
          <w:lang w:val="es-ES"/>
        </w:rPr>
        <w:t xml:space="preserve"> </w:t>
      </w:r>
      <w:r w:rsidRPr="004254B1">
        <w:rPr>
          <w:rFonts w:asciiTheme="majorHAnsi" w:eastAsia="Times New Roman" w:hAnsiTheme="majorHAnsi"/>
          <w:bCs/>
          <w:sz w:val="20"/>
          <w:szCs w:val="20"/>
          <w:lang w:val="es-ES"/>
        </w:rPr>
        <w:t>DEL</w:t>
      </w:r>
      <w:r w:rsidRPr="004254B1">
        <w:rPr>
          <w:rFonts w:asciiTheme="majorHAnsi" w:eastAsia="Times New Roman" w:hAnsiTheme="majorHAnsi"/>
          <w:bCs/>
          <w:spacing w:val="-19"/>
          <w:sz w:val="20"/>
          <w:szCs w:val="20"/>
          <w:lang w:val="es-ES"/>
        </w:rPr>
        <w:t xml:space="preserve"> </w:t>
      </w:r>
      <w:r w:rsidRPr="004254B1">
        <w:rPr>
          <w:rFonts w:asciiTheme="majorHAnsi" w:eastAsia="Times New Roman" w:hAnsiTheme="majorHAnsi"/>
          <w:bCs/>
          <w:sz w:val="20"/>
          <w:szCs w:val="20"/>
          <w:lang w:val="es-ES"/>
        </w:rPr>
        <w:t>CASO</w:t>
      </w:r>
      <w:r w:rsidRPr="004254B1">
        <w:rPr>
          <w:rFonts w:asciiTheme="majorHAnsi" w:eastAsia="Times New Roman" w:hAnsiTheme="majorHAnsi"/>
          <w:bCs/>
          <w:spacing w:val="-17"/>
          <w:sz w:val="20"/>
          <w:szCs w:val="20"/>
          <w:lang w:val="es-ES"/>
        </w:rPr>
        <w:t xml:space="preserve"> </w:t>
      </w:r>
      <w:r w:rsidRPr="004254B1">
        <w:rPr>
          <w:rFonts w:asciiTheme="majorHAnsi" w:eastAsia="Times New Roman" w:hAnsiTheme="majorHAnsi"/>
          <w:bCs/>
          <w:sz w:val="20"/>
          <w:szCs w:val="20"/>
          <w:lang w:val="es-ES"/>
        </w:rPr>
        <w:t>CIDH</w:t>
      </w:r>
      <w:r w:rsidRPr="004254B1">
        <w:rPr>
          <w:rFonts w:asciiTheme="majorHAnsi" w:eastAsia="Times New Roman" w:hAnsiTheme="majorHAnsi"/>
          <w:bCs/>
          <w:spacing w:val="-19"/>
          <w:sz w:val="20"/>
          <w:szCs w:val="20"/>
          <w:lang w:val="es-ES"/>
        </w:rPr>
        <w:t xml:space="preserve"> </w:t>
      </w:r>
      <w:r w:rsidRPr="004254B1">
        <w:rPr>
          <w:rFonts w:asciiTheme="majorHAnsi" w:eastAsia="Times New Roman" w:hAnsiTheme="majorHAnsi"/>
          <w:bCs/>
          <w:spacing w:val="-45"/>
          <w:sz w:val="20"/>
          <w:szCs w:val="20"/>
          <w:lang w:val="es-ES"/>
        </w:rPr>
        <w:t>12</w:t>
      </w:r>
      <w:r w:rsidRPr="004254B1">
        <w:rPr>
          <w:rFonts w:asciiTheme="majorHAnsi" w:eastAsia="Times New Roman" w:hAnsiTheme="majorHAnsi"/>
          <w:bCs/>
          <w:sz w:val="20"/>
          <w:szCs w:val="20"/>
          <w:lang w:val="es-ES"/>
        </w:rPr>
        <w:t>..961 referente a Juan González y otros,</w:t>
      </w:r>
      <w:r w:rsidRPr="004254B1">
        <w:rPr>
          <w:rFonts w:asciiTheme="majorHAnsi" w:eastAsia="Times New Roman" w:hAnsiTheme="majorHAnsi"/>
          <w:sz w:val="20"/>
          <w:szCs w:val="20"/>
          <w:lang w:val="es-ES"/>
        </w:rPr>
        <w:t xml:space="preserve">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w:t>
      </w:r>
      <w:r w:rsidRPr="004254B1">
        <w:rPr>
          <w:rFonts w:asciiTheme="majorHAnsi" w:eastAsia="Times New Roman" w:hAnsiTheme="majorHAnsi"/>
          <w:color w:val="FF0000"/>
          <w:sz w:val="20"/>
          <w:szCs w:val="20"/>
          <w:lang w:val="es-ES"/>
        </w:rPr>
        <w:t xml:space="preserve"> </w:t>
      </w:r>
      <w:r w:rsidRPr="004254B1">
        <w:rPr>
          <w:rFonts w:asciiTheme="majorHAnsi" w:eastAsia="Times New Roman" w:hAnsiTheme="majorHAnsi"/>
          <w:sz w:val="20"/>
          <w:szCs w:val="20"/>
          <w:lang w:val="es-ES"/>
        </w:rPr>
        <w:t>Hugo Ramón Maldonado (CODEH),</w:t>
      </w:r>
      <w:r w:rsidRPr="004254B1">
        <w:rPr>
          <w:rFonts w:asciiTheme="majorHAnsi" w:eastAsia="Times New Roman" w:hAnsiTheme="majorHAnsi"/>
          <w:b/>
          <w:sz w:val="20"/>
          <w:szCs w:val="20"/>
          <w:lang w:val="es-ES"/>
        </w:rPr>
        <w:t xml:space="preserve"> y </w:t>
      </w:r>
      <w:r w:rsidRPr="004254B1">
        <w:rPr>
          <w:rFonts w:asciiTheme="majorHAnsi" w:eastAsia="Times New Roman" w:hAnsiTheme="majorHAnsi"/>
          <w:sz w:val="20"/>
          <w:szCs w:val="20"/>
          <w:lang w:val="es-ES"/>
        </w:rPr>
        <w:t>Gladys Ondina Matamoros;</w:t>
      </w:r>
      <w:r w:rsidRPr="004254B1">
        <w:rPr>
          <w:rFonts w:asciiTheme="majorHAnsi" w:eastAsia="Times New Roman" w:hAnsiTheme="majorHAnsi"/>
          <w:b/>
          <w:sz w:val="20"/>
          <w:szCs w:val="20"/>
          <w:lang w:val="es-ES"/>
        </w:rPr>
        <w:t xml:space="preserve"> </w:t>
      </w:r>
      <w:r w:rsidRPr="004254B1">
        <w:rPr>
          <w:rFonts w:asciiTheme="majorHAnsi" w:eastAsia="Times New Roman" w:hAnsiTheme="majorHAnsi"/>
          <w:sz w:val="20"/>
          <w:szCs w:val="20"/>
          <w:lang w:val="es-ES"/>
        </w:rPr>
        <w:t>quienes actúan en representación de los peticionarios y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5C862E64" w14:textId="77777777" w:rsidR="00A83573" w:rsidRPr="004254B1" w:rsidRDefault="00A83573" w:rsidP="00A83573">
      <w:pPr>
        <w:widowControl w:val="0"/>
        <w:ind w:right="720"/>
        <w:jc w:val="both"/>
        <w:rPr>
          <w:rFonts w:asciiTheme="majorHAnsi" w:eastAsia="Times New Roman" w:hAnsiTheme="majorHAnsi"/>
          <w:sz w:val="20"/>
          <w:szCs w:val="20"/>
          <w:lang w:val="es-ES"/>
        </w:rPr>
      </w:pPr>
    </w:p>
    <w:p w14:paraId="4A50A8FB" w14:textId="70A7481B" w:rsidR="00F87783" w:rsidRPr="004254B1" w:rsidRDefault="00F87783" w:rsidP="00A83573">
      <w:pPr>
        <w:widowControl w:val="0"/>
        <w:ind w:right="720" w:firstLine="720"/>
        <w:jc w:val="both"/>
        <w:rPr>
          <w:rFonts w:asciiTheme="majorHAnsi" w:eastAsia="Times New Roman" w:hAnsiTheme="majorHAnsi"/>
          <w:b/>
          <w:sz w:val="20"/>
          <w:szCs w:val="20"/>
          <w:lang w:val="es-ES"/>
        </w:rPr>
      </w:pPr>
      <w:r w:rsidRPr="004254B1">
        <w:rPr>
          <w:rFonts w:asciiTheme="majorHAnsi" w:eastAsia="Times New Roman" w:hAnsiTheme="majorHAnsi"/>
          <w:b/>
          <w:spacing w:val="-3"/>
          <w:sz w:val="20"/>
          <w:szCs w:val="20"/>
          <w:lang w:val="es-ES"/>
        </w:rPr>
        <w:t>PRIMERO:</w:t>
      </w:r>
      <w:r w:rsidRPr="004254B1">
        <w:rPr>
          <w:rFonts w:asciiTheme="majorHAnsi" w:eastAsia="Times New Roman" w:hAnsiTheme="majorHAnsi"/>
          <w:b/>
          <w:spacing w:val="-22"/>
          <w:sz w:val="20"/>
          <w:szCs w:val="20"/>
          <w:lang w:val="es-ES"/>
        </w:rPr>
        <w:t xml:space="preserve"> </w:t>
      </w:r>
      <w:r w:rsidRPr="004254B1">
        <w:rPr>
          <w:rFonts w:asciiTheme="majorHAnsi" w:eastAsia="Times New Roman" w:hAnsiTheme="majorHAnsi"/>
          <w:b/>
          <w:sz w:val="20"/>
          <w:szCs w:val="20"/>
          <w:lang w:val="es-ES"/>
        </w:rPr>
        <w:t>ANTECEDENTES</w:t>
      </w:r>
    </w:p>
    <w:p w14:paraId="333418C7" w14:textId="77777777" w:rsidR="00A83573" w:rsidRPr="004254B1" w:rsidRDefault="00A83573" w:rsidP="00BA4D91">
      <w:pPr>
        <w:widowControl w:val="0"/>
        <w:ind w:left="720" w:right="720" w:firstLine="720"/>
        <w:jc w:val="both"/>
        <w:rPr>
          <w:rFonts w:asciiTheme="majorHAnsi" w:eastAsia="Times New Roman" w:hAnsiTheme="majorHAnsi"/>
          <w:b/>
          <w:sz w:val="20"/>
          <w:szCs w:val="20"/>
          <w:u w:val="single"/>
          <w:lang w:val="es-ES"/>
        </w:rPr>
      </w:pPr>
    </w:p>
    <w:p w14:paraId="136F89BE" w14:textId="7F3BB381"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La Comisión Interamericana de Derechos Humanos (CIDH), en el informe de admisibilidad 57/14 de fecha 21 de julio del año 2014, en su parte dispositiva: "</w:t>
      </w:r>
      <w:r w:rsidRPr="004254B1">
        <w:rPr>
          <w:rFonts w:asciiTheme="majorHAnsi" w:eastAsia="Times New Roman" w:hAnsiTheme="majorHAnsi"/>
          <w:i/>
          <w:sz w:val="20"/>
          <w:szCs w:val="20"/>
          <w:lang w:val="es-ES"/>
        </w:rPr>
        <w:t>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w:t>
      </w:r>
      <w:r w:rsidRPr="004254B1">
        <w:rPr>
          <w:rFonts w:asciiTheme="majorHAnsi" w:eastAsia="Times New Roman" w:hAnsiTheme="majorHAnsi"/>
          <w:sz w:val="20"/>
          <w:szCs w:val="20"/>
          <w:lang w:val="es-ES"/>
        </w:rPr>
        <w:t xml:space="preserve">” </w:t>
      </w:r>
    </w:p>
    <w:p w14:paraId="3903E85C" w14:textId="77777777" w:rsidR="00F87783" w:rsidRPr="004254B1" w:rsidRDefault="00F87783" w:rsidP="00BA4D91">
      <w:pPr>
        <w:widowControl w:val="0"/>
        <w:tabs>
          <w:tab w:val="left" w:pos="8505"/>
        </w:tabs>
        <w:ind w:left="720" w:right="720"/>
        <w:jc w:val="both"/>
        <w:rPr>
          <w:rFonts w:asciiTheme="majorHAnsi" w:eastAsia="Calibri" w:hAnsiTheme="majorHAnsi"/>
          <w:sz w:val="20"/>
          <w:szCs w:val="20"/>
          <w:lang w:val="es-ES"/>
        </w:rPr>
      </w:pPr>
    </w:p>
    <w:p w14:paraId="65F5DCF3" w14:textId="77777777" w:rsidR="00F87783" w:rsidRPr="004254B1" w:rsidRDefault="00F87783" w:rsidP="00BA4D91">
      <w:pPr>
        <w:widowControl w:val="0"/>
        <w:tabs>
          <w:tab w:val="left" w:pos="8505"/>
        </w:tabs>
        <w:ind w:left="720" w:right="720"/>
        <w:jc w:val="both"/>
        <w:rPr>
          <w:rFonts w:asciiTheme="majorHAnsi" w:eastAsia="Calibri" w:hAnsiTheme="majorHAnsi"/>
          <w:sz w:val="20"/>
          <w:szCs w:val="20"/>
          <w:lang w:val="es-ES"/>
        </w:rPr>
      </w:pPr>
      <w:r w:rsidRPr="004254B1">
        <w:rPr>
          <w:rFonts w:asciiTheme="majorHAnsi" w:eastAsia="Calibri" w:hAnsiTheme="majorHAnsi"/>
          <w:sz w:val="20"/>
          <w:szCs w:val="20"/>
          <w:lang w:val="es-ES"/>
        </w:rPr>
        <w:t xml:space="preserve">Mediante comunicación del 24 de mayo de 2018 la CIDH notifica al Estado de Honduras la versión rectificada del Informe de Admisibilidad 57/14 con base a la enmienda aprobada por 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w:t>
      </w:r>
    </w:p>
    <w:p w14:paraId="242A33B7" w14:textId="77777777" w:rsidR="00F87783" w:rsidRPr="004254B1" w:rsidRDefault="00F87783" w:rsidP="00BA4D91">
      <w:pPr>
        <w:widowControl w:val="0"/>
        <w:ind w:left="720" w:right="720"/>
        <w:jc w:val="both"/>
        <w:rPr>
          <w:rFonts w:asciiTheme="majorHAnsi" w:eastAsia="Times New Roman" w:hAnsiTheme="majorHAnsi"/>
          <w:b/>
          <w:sz w:val="20"/>
          <w:szCs w:val="20"/>
          <w:u w:val="single"/>
          <w:lang w:val="es-ES"/>
        </w:rPr>
      </w:pPr>
    </w:p>
    <w:p w14:paraId="020EBA5E" w14:textId="22AE9277" w:rsidR="00F87783" w:rsidRPr="004254B1" w:rsidRDefault="00F87783" w:rsidP="00A83573">
      <w:pPr>
        <w:widowControl w:val="0"/>
        <w:ind w:right="720" w:firstLine="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SEGUNDO: GENERALIDADES</w:t>
      </w:r>
    </w:p>
    <w:p w14:paraId="1E35946F" w14:textId="77777777" w:rsidR="00A83573" w:rsidRPr="004254B1" w:rsidRDefault="00A83573" w:rsidP="00A83573">
      <w:pPr>
        <w:widowControl w:val="0"/>
        <w:ind w:right="720" w:firstLine="720"/>
        <w:jc w:val="both"/>
        <w:rPr>
          <w:rFonts w:asciiTheme="majorHAnsi" w:eastAsia="Times New Roman" w:hAnsiTheme="majorHAnsi"/>
          <w:b/>
          <w:sz w:val="20"/>
          <w:szCs w:val="20"/>
          <w:u w:val="single"/>
          <w:lang w:val="es-ES"/>
        </w:rPr>
      </w:pPr>
    </w:p>
    <w:p w14:paraId="0A10552F" w14:textId="77777777" w:rsidR="00F87783" w:rsidRPr="004254B1" w:rsidRDefault="00F87783" w:rsidP="00BA4D91">
      <w:pPr>
        <w:widowControl w:val="0"/>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Como consecuencia de la voluntad expresada por las partes para alcanzar una solución amistosa en el caso que nos ocupa, el Estado se compromete a dar cumplimiento al presente acuerdo de conformidad con los siguientes parámetros:</w:t>
      </w:r>
    </w:p>
    <w:p w14:paraId="2FA0A5EC" w14:textId="77777777" w:rsidR="00F87783" w:rsidRPr="004254B1" w:rsidRDefault="00F87783" w:rsidP="00BA4D91">
      <w:pPr>
        <w:widowControl w:val="0"/>
        <w:ind w:left="720" w:right="720"/>
        <w:jc w:val="both"/>
        <w:rPr>
          <w:rFonts w:asciiTheme="majorHAnsi" w:eastAsia="Times New Roman" w:hAnsiTheme="majorHAnsi"/>
          <w:sz w:val="20"/>
          <w:szCs w:val="20"/>
          <w:lang w:val="es-ES"/>
        </w:rPr>
      </w:pPr>
    </w:p>
    <w:p w14:paraId="410A21E5" w14:textId="77777777" w:rsidR="00F87783" w:rsidRPr="004254B1" w:rsidRDefault="00F87783" w:rsidP="00A8357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20" w:right="720" w:firstLine="0"/>
        <w:jc w:val="both"/>
        <w:rPr>
          <w:rFonts w:asciiTheme="majorHAnsi" w:eastAsia="Times New Roman" w:hAnsiTheme="majorHAnsi"/>
          <w:sz w:val="20"/>
          <w:szCs w:val="20"/>
          <w:lang w:val="es-ES"/>
        </w:rPr>
      </w:pPr>
      <w:r w:rsidRPr="004254B1">
        <w:rPr>
          <w:rFonts w:asciiTheme="majorHAnsi" w:eastAsia="Times New Roman" w:hAnsiTheme="majorHAnsi"/>
          <w:sz w:val="20"/>
          <w:szCs w:val="20"/>
          <w:u w:val="single"/>
          <w:lang w:val="es-ES"/>
        </w:rPr>
        <w:t>El alcance</w:t>
      </w:r>
      <w:r w:rsidRPr="004254B1">
        <w:rPr>
          <w:rFonts w:asciiTheme="majorHAnsi" w:eastAsia="Times New Roman" w:hAnsiTheme="majorHAnsi"/>
          <w:sz w:val="20"/>
          <w:szCs w:val="20"/>
          <w:lang w:val="es-ES"/>
        </w:rPr>
        <w:t xml:space="preserve">: Se refiere específicamente a las consecuencias jurídicas que para los peticionarios ocasionó la emisión del Decreto 58-2001 publicado en el Diario Oficial La Gaceta N° 29,504 del 15 de julio de 2001, que posteriormente fue declarado inconstitucional por la </w:t>
      </w:r>
      <w:r w:rsidRPr="004254B1">
        <w:rPr>
          <w:rFonts w:asciiTheme="majorHAnsi" w:eastAsia="Times New Roman" w:hAnsiTheme="majorHAnsi"/>
          <w:sz w:val="20"/>
          <w:szCs w:val="20"/>
          <w:lang w:val="es-ES"/>
        </w:rPr>
        <w:lastRenderedPageBreak/>
        <w:t>Corte Suprema de Justicia del Estado hondureño, mediante sentencia de fecha 13 de marzo de 2003 y publicada en el Diario Oficial La Gaceta 30,166 de fecha 19 de agosto de 2003.</w:t>
      </w:r>
    </w:p>
    <w:p w14:paraId="3CC3309C" w14:textId="77777777" w:rsidR="00F87783" w:rsidRPr="004254B1" w:rsidRDefault="00F87783" w:rsidP="00A83573">
      <w:pPr>
        <w:widowControl w:val="0"/>
        <w:tabs>
          <w:tab w:val="left" w:pos="721"/>
        </w:tabs>
        <w:ind w:left="720" w:right="720"/>
        <w:jc w:val="both"/>
        <w:rPr>
          <w:rFonts w:asciiTheme="majorHAnsi" w:eastAsia="Times New Roman" w:hAnsiTheme="majorHAnsi"/>
          <w:sz w:val="20"/>
          <w:szCs w:val="20"/>
          <w:lang w:val="es-ES"/>
        </w:rPr>
      </w:pPr>
    </w:p>
    <w:p w14:paraId="272CADBC" w14:textId="77777777" w:rsidR="00F87783" w:rsidRPr="004254B1" w:rsidRDefault="00F87783" w:rsidP="00A8357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ES"/>
        </w:rPr>
      </w:pPr>
      <w:r w:rsidRPr="004254B1">
        <w:rPr>
          <w:rFonts w:asciiTheme="majorHAnsi" w:eastAsia="Times New Roman" w:hAnsiTheme="majorHAnsi"/>
          <w:sz w:val="20"/>
          <w:szCs w:val="20"/>
          <w:u w:val="single"/>
          <w:lang w:val="es-ES"/>
        </w:rPr>
        <w:t>La naturaleza</w:t>
      </w:r>
      <w:r w:rsidRPr="004254B1">
        <w:rPr>
          <w:rFonts w:asciiTheme="majorHAnsi" w:eastAsia="Times New Roman" w:hAnsiTheme="majorHAnsi"/>
          <w:sz w:val="20"/>
          <w:szCs w:val="20"/>
          <w:lang w:val="es-ES"/>
        </w:rPr>
        <w:t>: Solucionar por la vía amistosa en cuanto corresponde al peticionario acogido al presente acuerdo (1 expolicía), mediante indemnización y sin que ello suponga reconocimiento alguno por parte del Estado, ni de los hechos ni del derecho invocado en el marco del proceso en trámite ante la Comisión Interamericana de Derechos Humanos.</w:t>
      </w:r>
    </w:p>
    <w:p w14:paraId="7811CFB3" w14:textId="77777777" w:rsidR="00F87783" w:rsidRPr="004254B1" w:rsidRDefault="00F87783" w:rsidP="00A83573">
      <w:pPr>
        <w:widowControl w:val="0"/>
        <w:ind w:left="720" w:right="720"/>
        <w:rPr>
          <w:rFonts w:asciiTheme="majorHAnsi" w:eastAsia="Calibri" w:hAnsiTheme="majorHAnsi"/>
          <w:sz w:val="20"/>
          <w:szCs w:val="20"/>
          <w:lang w:val="es-ES"/>
        </w:rPr>
      </w:pPr>
    </w:p>
    <w:p w14:paraId="5E59EE07" w14:textId="77777777" w:rsidR="00F87783" w:rsidRPr="004254B1" w:rsidRDefault="00F87783" w:rsidP="00A8357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ES"/>
        </w:rPr>
      </w:pPr>
      <w:r w:rsidRPr="004254B1">
        <w:rPr>
          <w:rFonts w:asciiTheme="majorHAnsi" w:eastAsia="Times New Roman" w:hAnsiTheme="majorHAnsi"/>
          <w:sz w:val="20"/>
          <w:szCs w:val="20"/>
          <w:u w:val="single"/>
          <w:lang w:val="es-ES"/>
        </w:rPr>
        <w:t>La modalidad</w:t>
      </w:r>
      <w:r w:rsidRPr="004254B1">
        <w:rPr>
          <w:rFonts w:asciiTheme="majorHAnsi" w:eastAsia="Times New Roman" w:hAnsiTheme="majorHAnsi"/>
          <w:sz w:val="20"/>
          <w:szCs w:val="20"/>
          <w:lang w:val="es-ES"/>
        </w:rPr>
        <w:t>: Arreglo de carácter amistoso regulado por los artículos 48, numeral 1 inciso f) y 49 de la Convención Americana sobre Derechos Humanos y artículo 40 de su Reglamento.</w:t>
      </w:r>
    </w:p>
    <w:p w14:paraId="3B0D60E1" w14:textId="77777777" w:rsidR="00F87783" w:rsidRPr="004254B1" w:rsidRDefault="00F87783" w:rsidP="00A83573">
      <w:pPr>
        <w:pStyle w:val="ListParagraph"/>
        <w:ind w:right="720"/>
        <w:jc w:val="both"/>
        <w:rPr>
          <w:rFonts w:asciiTheme="majorHAnsi" w:eastAsia="Times New Roman" w:hAnsiTheme="majorHAnsi" w:cs="Times New Roman"/>
          <w:color w:val="FF0000"/>
          <w:sz w:val="20"/>
          <w:szCs w:val="20"/>
          <w:lang w:val="es-ES"/>
        </w:rPr>
      </w:pPr>
    </w:p>
    <w:p w14:paraId="0B4A6584" w14:textId="77777777" w:rsidR="00F87783" w:rsidRPr="004254B1" w:rsidRDefault="00F87783" w:rsidP="00A8357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imes New Roman" w:hAnsiTheme="majorHAnsi" w:cs="Times New Roman"/>
          <w:color w:val="FF0000"/>
          <w:sz w:val="20"/>
          <w:szCs w:val="20"/>
          <w:lang w:val="es-ES"/>
        </w:rPr>
      </w:pPr>
      <w:r w:rsidRPr="004254B1">
        <w:rPr>
          <w:rFonts w:asciiTheme="majorHAnsi" w:eastAsia="Times New Roman" w:hAnsiTheme="majorHAnsi" w:cs="Times New Roman"/>
          <w:sz w:val="20"/>
          <w:szCs w:val="20"/>
          <w:u w:val="single"/>
          <w:lang w:val="es-ES"/>
        </w:rPr>
        <w:t>La determinación de los beneficiarios</w:t>
      </w:r>
      <w:r w:rsidRPr="004254B1">
        <w:rPr>
          <w:rFonts w:asciiTheme="majorHAnsi" w:eastAsia="Times New Roman" w:hAnsiTheme="majorHAnsi" w:cs="Times New Roman"/>
          <w:sz w:val="20"/>
          <w:szCs w:val="20"/>
          <w:lang w:val="es-ES"/>
        </w:rPr>
        <w:t>: Por acuerdo expreso entre las partes a los beneficiarios del presente acuerdo son:</w:t>
      </w:r>
    </w:p>
    <w:p w14:paraId="40254142" w14:textId="77777777" w:rsidR="00F87783" w:rsidRPr="004254B1" w:rsidRDefault="00F87783" w:rsidP="00A83573">
      <w:pPr>
        <w:pStyle w:val="ListParagraph"/>
        <w:ind w:right="720"/>
        <w:rPr>
          <w:rFonts w:asciiTheme="majorHAnsi" w:eastAsia="Times New Roman" w:hAnsiTheme="majorHAnsi" w:cs="Times New Roman"/>
          <w:color w:val="FF0000"/>
          <w:sz w:val="20"/>
          <w:szCs w:val="20"/>
          <w:vertAlign w:val="superscript"/>
          <w:lang w:val="es-ES"/>
        </w:rPr>
      </w:pPr>
    </w:p>
    <w:tbl>
      <w:tblPr>
        <w:tblStyle w:val="TableGrid"/>
        <w:tblW w:w="7465" w:type="dxa"/>
        <w:jc w:val="center"/>
        <w:tblLayout w:type="fixed"/>
        <w:tblLook w:val="04A0" w:firstRow="1" w:lastRow="0" w:firstColumn="1" w:lastColumn="0" w:noHBand="0" w:noVBand="1"/>
      </w:tblPr>
      <w:tblGrid>
        <w:gridCol w:w="1953"/>
        <w:gridCol w:w="2722"/>
        <w:gridCol w:w="2790"/>
      </w:tblGrid>
      <w:tr w:rsidR="00F87783" w:rsidRPr="004254B1" w14:paraId="3AFA96F4" w14:textId="77777777" w:rsidTr="005D6890">
        <w:trPr>
          <w:jc w:val="center"/>
        </w:trPr>
        <w:tc>
          <w:tcPr>
            <w:tcW w:w="1953" w:type="dxa"/>
          </w:tcPr>
          <w:p w14:paraId="704565AD" w14:textId="77777777" w:rsidR="00F87783" w:rsidRPr="004254B1" w:rsidRDefault="00F87783" w:rsidP="00BA4D91">
            <w:pPr>
              <w:ind w:left="720" w:right="720"/>
              <w:jc w:val="center"/>
              <w:rPr>
                <w:rFonts w:asciiTheme="majorHAnsi" w:hAnsiTheme="majorHAnsi" w:cs="Times New Roman"/>
                <w:b/>
                <w:sz w:val="20"/>
                <w:szCs w:val="20"/>
              </w:rPr>
            </w:pPr>
            <w:r w:rsidRPr="004254B1">
              <w:rPr>
                <w:rFonts w:asciiTheme="majorHAnsi" w:hAnsiTheme="majorHAnsi" w:cs="Times New Roman"/>
                <w:b/>
                <w:sz w:val="20"/>
                <w:szCs w:val="20"/>
              </w:rPr>
              <w:t>No.</w:t>
            </w:r>
          </w:p>
        </w:tc>
        <w:tc>
          <w:tcPr>
            <w:tcW w:w="2722" w:type="dxa"/>
            <w:tcBorders>
              <w:bottom w:val="single" w:sz="4" w:space="0" w:color="auto"/>
            </w:tcBorders>
          </w:tcPr>
          <w:p w14:paraId="315AA2D9" w14:textId="77777777" w:rsidR="00F87783" w:rsidRPr="004254B1" w:rsidRDefault="00F87783" w:rsidP="00BA4D91">
            <w:pPr>
              <w:ind w:left="720" w:right="720"/>
              <w:jc w:val="center"/>
              <w:rPr>
                <w:rFonts w:asciiTheme="majorHAnsi" w:hAnsiTheme="majorHAnsi" w:cs="Times New Roman"/>
                <w:b/>
                <w:sz w:val="20"/>
                <w:szCs w:val="20"/>
              </w:rPr>
            </w:pPr>
            <w:proofErr w:type="spellStart"/>
            <w:r w:rsidRPr="004254B1">
              <w:rPr>
                <w:rFonts w:asciiTheme="majorHAnsi" w:hAnsiTheme="majorHAnsi" w:cs="Times New Roman"/>
                <w:b/>
                <w:sz w:val="20"/>
                <w:szCs w:val="20"/>
              </w:rPr>
              <w:t>Nombre</w:t>
            </w:r>
            <w:proofErr w:type="spellEnd"/>
          </w:p>
        </w:tc>
        <w:tc>
          <w:tcPr>
            <w:tcW w:w="2790" w:type="dxa"/>
          </w:tcPr>
          <w:p w14:paraId="7D262230" w14:textId="77777777" w:rsidR="00F87783" w:rsidRPr="004254B1" w:rsidRDefault="00F87783" w:rsidP="00BA4D91">
            <w:pPr>
              <w:ind w:left="720" w:right="720"/>
              <w:jc w:val="center"/>
              <w:rPr>
                <w:rFonts w:asciiTheme="majorHAnsi" w:hAnsiTheme="majorHAnsi" w:cs="Times New Roman"/>
                <w:b/>
                <w:sz w:val="20"/>
                <w:szCs w:val="20"/>
              </w:rPr>
            </w:pPr>
            <w:r w:rsidRPr="004254B1">
              <w:rPr>
                <w:rFonts w:asciiTheme="majorHAnsi" w:hAnsiTheme="majorHAnsi" w:cs="Times New Roman"/>
                <w:b/>
                <w:sz w:val="20"/>
                <w:szCs w:val="20"/>
              </w:rPr>
              <w:t xml:space="preserve">No. de </w:t>
            </w:r>
            <w:proofErr w:type="spellStart"/>
            <w:r w:rsidRPr="004254B1">
              <w:rPr>
                <w:rFonts w:asciiTheme="majorHAnsi" w:hAnsiTheme="majorHAnsi" w:cs="Times New Roman"/>
                <w:b/>
                <w:sz w:val="20"/>
                <w:szCs w:val="20"/>
              </w:rPr>
              <w:t>identidad</w:t>
            </w:r>
            <w:proofErr w:type="spellEnd"/>
          </w:p>
        </w:tc>
      </w:tr>
      <w:tr w:rsidR="00F87783" w:rsidRPr="004254B1" w14:paraId="2B06F4B7" w14:textId="77777777" w:rsidTr="005D6890">
        <w:trPr>
          <w:jc w:val="center"/>
        </w:trPr>
        <w:tc>
          <w:tcPr>
            <w:tcW w:w="1953" w:type="dxa"/>
          </w:tcPr>
          <w:p w14:paraId="3A7DF0DF" w14:textId="77777777" w:rsidR="00F87783" w:rsidRPr="004254B1" w:rsidRDefault="00F87783" w:rsidP="00BA4D91">
            <w:pPr>
              <w:ind w:left="720" w:right="720"/>
              <w:jc w:val="center"/>
              <w:rPr>
                <w:rFonts w:asciiTheme="majorHAnsi" w:hAnsiTheme="majorHAnsi" w:cs="Times New Roman"/>
                <w:b/>
                <w:sz w:val="20"/>
                <w:szCs w:val="20"/>
              </w:rPr>
            </w:pPr>
            <w:r w:rsidRPr="004254B1">
              <w:rPr>
                <w:rFonts w:asciiTheme="majorHAnsi" w:hAnsiTheme="majorHAnsi" w:cs="Times New Roman"/>
                <w:b/>
                <w:sz w:val="20"/>
                <w:szCs w:val="20"/>
              </w:rPr>
              <w:t>01</w:t>
            </w:r>
          </w:p>
        </w:tc>
        <w:tc>
          <w:tcPr>
            <w:tcW w:w="2722" w:type="dxa"/>
            <w:tcBorders>
              <w:top w:val="single" w:sz="4" w:space="0" w:color="auto"/>
              <w:left w:val="nil"/>
              <w:bottom w:val="single" w:sz="4" w:space="0" w:color="auto"/>
              <w:right w:val="single" w:sz="4" w:space="0" w:color="auto"/>
            </w:tcBorders>
            <w:shd w:val="clear" w:color="auto" w:fill="auto"/>
            <w:vAlign w:val="bottom"/>
          </w:tcPr>
          <w:p w14:paraId="0C8E79E0" w14:textId="77777777" w:rsidR="00F87783" w:rsidRPr="006B6F53" w:rsidRDefault="00F87783" w:rsidP="00A83573">
            <w:pPr>
              <w:ind w:left="189" w:right="109"/>
              <w:rPr>
                <w:rFonts w:ascii="Cambria" w:eastAsia="Times New Roman" w:hAnsi="Cambria" w:cs="Times New Roman"/>
                <w:sz w:val="20"/>
                <w:szCs w:val="20"/>
                <w:lang w:val="es-ES" w:eastAsia="es-ES"/>
              </w:rPr>
            </w:pPr>
            <w:r w:rsidRPr="006B6F53">
              <w:rPr>
                <w:rFonts w:ascii="Cambria" w:eastAsia="Times New Roman" w:hAnsi="Cambria" w:cs="Times New Roman"/>
                <w:sz w:val="20"/>
                <w:szCs w:val="20"/>
                <w:lang w:val="es-ES" w:eastAsia="es-ES"/>
              </w:rPr>
              <w:t>Faustino García Cárdenas</w:t>
            </w:r>
          </w:p>
        </w:tc>
        <w:tc>
          <w:tcPr>
            <w:tcW w:w="2790" w:type="dxa"/>
          </w:tcPr>
          <w:p w14:paraId="50E63834" w14:textId="76C70D03" w:rsidR="00F87783" w:rsidRPr="004254B1" w:rsidRDefault="00806C82" w:rsidP="00BA4D91">
            <w:pPr>
              <w:ind w:left="720" w:right="720"/>
              <w:jc w:val="center"/>
              <w:rPr>
                <w:rFonts w:asciiTheme="majorHAnsi" w:hAnsiTheme="majorHAnsi" w:cs="Times New Roman"/>
                <w:sz w:val="20"/>
                <w:szCs w:val="20"/>
              </w:rPr>
            </w:pPr>
            <w:r w:rsidRPr="004254B1">
              <w:rPr>
                <w:rFonts w:asciiTheme="majorHAnsi" w:hAnsiTheme="majorHAnsi" w:cs="Times New Roman"/>
                <w:sz w:val="20"/>
                <w:szCs w:val="20"/>
              </w:rPr>
              <w:t xml:space="preserve"> […]</w:t>
            </w:r>
          </w:p>
        </w:tc>
      </w:tr>
      <w:tr w:rsidR="00F87783" w:rsidRPr="004254B1" w14:paraId="485DDBE2" w14:textId="77777777" w:rsidTr="005D6890">
        <w:trPr>
          <w:jc w:val="center"/>
        </w:trPr>
        <w:tc>
          <w:tcPr>
            <w:tcW w:w="1953" w:type="dxa"/>
          </w:tcPr>
          <w:p w14:paraId="44E6D171" w14:textId="77777777" w:rsidR="00F87783" w:rsidRPr="004254B1" w:rsidRDefault="00F87783" w:rsidP="00BA4D91">
            <w:pPr>
              <w:ind w:left="720" w:right="720"/>
              <w:jc w:val="center"/>
              <w:rPr>
                <w:rFonts w:asciiTheme="majorHAnsi" w:hAnsiTheme="majorHAnsi" w:cs="Times New Roman"/>
                <w:b/>
                <w:sz w:val="20"/>
                <w:szCs w:val="20"/>
              </w:rPr>
            </w:pPr>
            <w:r w:rsidRPr="004254B1">
              <w:rPr>
                <w:rFonts w:asciiTheme="majorHAnsi" w:hAnsiTheme="majorHAnsi" w:cs="Times New Roman"/>
                <w:b/>
                <w:sz w:val="20"/>
                <w:szCs w:val="20"/>
              </w:rPr>
              <w:t>02</w:t>
            </w:r>
          </w:p>
        </w:tc>
        <w:tc>
          <w:tcPr>
            <w:tcW w:w="2722" w:type="dxa"/>
            <w:tcBorders>
              <w:top w:val="single" w:sz="4" w:space="0" w:color="auto"/>
              <w:left w:val="nil"/>
              <w:bottom w:val="single" w:sz="4" w:space="0" w:color="auto"/>
              <w:right w:val="single" w:sz="4" w:space="0" w:color="auto"/>
            </w:tcBorders>
            <w:shd w:val="clear" w:color="auto" w:fill="auto"/>
            <w:vAlign w:val="bottom"/>
          </w:tcPr>
          <w:p w14:paraId="65FDC865" w14:textId="77777777" w:rsidR="00F87783" w:rsidRPr="006B6F53" w:rsidRDefault="00F87783" w:rsidP="00A83573">
            <w:pPr>
              <w:ind w:left="189" w:right="109"/>
              <w:rPr>
                <w:rFonts w:ascii="Cambria" w:eastAsia="Times New Roman" w:hAnsi="Cambria" w:cs="Times New Roman"/>
                <w:sz w:val="20"/>
                <w:szCs w:val="20"/>
                <w:lang w:val="es-ES" w:eastAsia="es-ES"/>
              </w:rPr>
            </w:pPr>
            <w:r w:rsidRPr="006B6F53">
              <w:rPr>
                <w:rFonts w:ascii="Cambria" w:eastAsia="Times New Roman" w:hAnsi="Cambria" w:cs="Times New Roman"/>
                <w:sz w:val="20"/>
                <w:szCs w:val="20"/>
                <w:lang w:val="es-ES" w:eastAsia="es-ES"/>
              </w:rPr>
              <w:t>Federico Ponce Sorto</w:t>
            </w:r>
          </w:p>
        </w:tc>
        <w:tc>
          <w:tcPr>
            <w:tcW w:w="2790" w:type="dxa"/>
          </w:tcPr>
          <w:p w14:paraId="53FDBD8E" w14:textId="4D4B32E3" w:rsidR="00F87783" w:rsidRPr="004254B1" w:rsidRDefault="00806C82" w:rsidP="00BA4D91">
            <w:pPr>
              <w:ind w:left="720" w:right="720"/>
              <w:jc w:val="center"/>
              <w:rPr>
                <w:rFonts w:asciiTheme="majorHAnsi" w:hAnsiTheme="majorHAnsi" w:cs="Times New Roman"/>
                <w:sz w:val="20"/>
                <w:szCs w:val="20"/>
              </w:rPr>
            </w:pPr>
            <w:r w:rsidRPr="004254B1">
              <w:rPr>
                <w:rFonts w:asciiTheme="majorHAnsi" w:hAnsiTheme="majorHAnsi" w:cs="Times New Roman"/>
                <w:sz w:val="20"/>
                <w:szCs w:val="20"/>
              </w:rPr>
              <w:t>[…]</w:t>
            </w:r>
          </w:p>
        </w:tc>
      </w:tr>
    </w:tbl>
    <w:p w14:paraId="53C94B23" w14:textId="77777777" w:rsidR="00F87783" w:rsidRPr="004254B1" w:rsidRDefault="00F87783" w:rsidP="00BA4D91">
      <w:pPr>
        <w:ind w:left="720" w:right="720"/>
        <w:jc w:val="both"/>
        <w:rPr>
          <w:rFonts w:asciiTheme="majorHAnsi" w:eastAsia="Times New Roman" w:hAnsiTheme="majorHAnsi"/>
          <w:color w:val="FF0000"/>
          <w:sz w:val="20"/>
          <w:szCs w:val="20"/>
          <w:vertAlign w:val="subscript"/>
        </w:rPr>
      </w:pPr>
    </w:p>
    <w:p w14:paraId="6C5455FA" w14:textId="77777777" w:rsidR="00F87783" w:rsidRPr="004254B1" w:rsidRDefault="00F87783" w:rsidP="00A8357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ES"/>
        </w:rPr>
      </w:pPr>
      <w:r w:rsidRPr="004254B1">
        <w:rPr>
          <w:rFonts w:asciiTheme="majorHAnsi" w:eastAsia="Times New Roman" w:hAnsiTheme="majorHAnsi"/>
          <w:sz w:val="20"/>
          <w:szCs w:val="20"/>
          <w:u w:val="single"/>
          <w:lang w:val="es-ES"/>
        </w:rPr>
        <w:t>Reparación económica</w:t>
      </w:r>
      <w:r w:rsidRPr="004254B1">
        <w:rPr>
          <w:rFonts w:asciiTheme="majorHAnsi" w:eastAsia="Times New Roman" w:hAnsiTheme="majorHAnsi"/>
          <w:sz w:val="20"/>
          <w:szCs w:val="20"/>
          <w:lang w:val="es-ES"/>
        </w:rPr>
        <w:t>: Las partes acordaron establecer un monto indemnizatorio, tomando como referencia la escala a la cual pertenecía el personal al momento de la emisión del Decreto 58-2001.</w:t>
      </w:r>
    </w:p>
    <w:p w14:paraId="7A7356F8" w14:textId="77777777" w:rsidR="00F87783" w:rsidRPr="004254B1" w:rsidRDefault="00F87783" w:rsidP="00BA4D91">
      <w:pPr>
        <w:pStyle w:val="BodyText"/>
        <w:tabs>
          <w:tab w:val="left" w:pos="715"/>
        </w:tabs>
        <w:spacing w:after="0"/>
        <w:ind w:left="720" w:right="720"/>
        <w:jc w:val="both"/>
        <w:rPr>
          <w:rFonts w:asciiTheme="majorHAnsi" w:eastAsia="Times New Roman" w:hAnsiTheme="majorHAnsi"/>
          <w:sz w:val="20"/>
          <w:szCs w:val="20"/>
          <w:lang w:val="es-ES"/>
        </w:rPr>
      </w:pPr>
    </w:p>
    <w:p w14:paraId="35DC71BD" w14:textId="5633ED04" w:rsidR="00F87783" w:rsidRPr="004254B1" w:rsidRDefault="00F87783" w:rsidP="00BA4D91">
      <w:pPr>
        <w:widowControl w:val="0"/>
        <w:tabs>
          <w:tab w:val="left" w:pos="715"/>
        </w:tabs>
        <w:ind w:left="720" w:right="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TERCERO: JURISDICCIÓN DEL SISTEMA INTERAMERICANO DE DERECHOS HUMANOS</w:t>
      </w:r>
    </w:p>
    <w:p w14:paraId="62724E55" w14:textId="77777777" w:rsidR="00A83573" w:rsidRPr="004254B1" w:rsidRDefault="00A83573" w:rsidP="00BA4D91">
      <w:pPr>
        <w:widowControl w:val="0"/>
        <w:tabs>
          <w:tab w:val="left" w:pos="715"/>
        </w:tabs>
        <w:ind w:left="720" w:right="720"/>
        <w:jc w:val="both"/>
        <w:rPr>
          <w:rFonts w:asciiTheme="majorHAnsi" w:eastAsia="Times New Roman" w:hAnsiTheme="majorHAnsi"/>
          <w:sz w:val="20"/>
          <w:szCs w:val="20"/>
          <w:lang w:val="es-ES"/>
        </w:rPr>
      </w:pPr>
    </w:p>
    <w:p w14:paraId="65042D0F" w14:textId="77777777" w:rsidR="00F87783" w:rsidRPr="004254B1" w:rsidRDefault="00F87783" w:rsidP="00BA4D91">
      <w:pPr>
        <w:widowControl w:val="0"/>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Honduras es Estado parte de la Convención Americana sobre Derechos Humanos desde el 9 de agosto de 1977 y reconoció la competencia contenciosa de la Corte Interamericana de Derechos Humanos el 9 de septiembre de 1981.</w:t>
      </w:r>
    </w:p>
    <w:p w14:paraId="6C418AA3" w14:textId="77777777" w:rsidR="00F87783" w:rsidRPr="004254B1" w:rsidRDefault="00F87783" w:rsidP="00BA4D91">
      <w:pPr>
        <w:widowControl w:val="0"/>
        <w:ind w:left="720" w:right="720"/>
        <w:jc w:val="both"/>
        <w:rPr>
          <w:rFonts w:asciiTheme="majorHAnsi" w:eastAsia="Times New Roman" w:hAnsiTheme="majorHAnsi"/>
          <w:b/>
          <w:sz w:val="20"/>
          <w:szCs w:val="20"/>
          <w:lang w:val="es-ES"/>
        </w:rPr>
      </w:pPr>
    </w:p>
    <w:p w14:paraId="29708887" w14:textId="2118A000" w:rsidR="00F87783" w:rsidRPr="004254B1" w:rsidRDefault="00F87783" w:rsidP="00A83573">
      <w:pPr>
        <w:widowControl w:val="0"/>
        <w:ind w:right="720" w:firstLine="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CUARTO: ACUERDO ENTRE LAS PARTES</w:t>
      </w:r>
    </w:p>
    <w:p w14:paraId="48BEE8E8" w14:textId="77777777" w:rsidR="00A83573" w:rsidRPr="004254B1" w:rsidRDefault="00A83573" w:rsidP="00A83573">
      <w:pPr>
        <w:widowControl w:val="0"/>
        <w:ind w:right="720" w:firstLine="720"/>
        <w:jc w:val="both"/>
        <w:rPr>
          <w:rFonts w:asciiTheme="majorHAnsi" w:eastAsia="Times New Roman" w:hAnsiTheme="majorHAnsi"/>
          <w:b/>
          <w:sz w:val="20"/>
          <w:szCs w:val="20"/>
          <w:u w:val="single"/>
          <w:lang w:val="es-ES"/>
        </w:rPr>
      </w:pPr>
    </w:p>
    <w:p w14:paraId="5D325984" w14:textId="77777777" w:rsidR="00F87783" w:rsidRPr="004254B1" w:rsidRDefault="00F87783" w:rsidP="00BA4D91">
      <w:pPr>
        <w:widowControl w:val="0"/>
        <w:tabs>
          <w:tab w:val="left" w:pos="850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En el marco del proceso de solución amistosa llevado a cabo entre los peticionarios y el Estado de Honduras, con la intervención de la CIDH, las partes han logrado alcanzar un acuerdo satisfactorio para la solución del presente caso.</w:t>
      </w:r>
    </w:p>
    <w:p w14:paraId="6FA0F8D0" w14:textId="77777777" w:rsidR="00F87783" w:rsidRPr="004254B1" w:rsidRDefault="00F87783" w:rsidP="00BA4D91">
      <w:pPr>
        <w:widowControl w:val="0"/>
        <w:tabs>
          <w:tab w:val="left" w:pos="8505"/>
        </w:tabs>
        <w:ind w:left="720" w:right="720"/>
        <w:jc w:val="both"/>
        <w:rPr>
          <w:rFonts w:asciiTheme="majorHAnsi" w:eastAsia="Times New Roman" w:hAnsiTheme="majorHAnsi"/>
          <w:b/>
          <w:sz w:val="20"/>
          <w:szCs w:val="20"/>
          <w:u w:val="single"/>
          <w:lang w:val="es-ES"/>
        </w:rPr>
      </w:pPr>
    </w:p>
    <w:p w14:paraId="0D7637EE"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Para cubrir lo relativo a la reparación económica, el Estado de Honduras se compromete a verificar el pago en la forma propuesta por el peticionario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w:t>
      </w:r>
      <w:r w:rsidRPr="004254B1">
        <w:rPr>
          <w:rFonts w:asciiTheme="majorHAnsi" w:eastAsia="Times New Roman" w:hAnsiTheme="majorHAnsi"/>
          <w:color w:val="000000" w:themeColor="text1"/>
          <w:sz w:val="20"/>
          <w:szCs w:val="20"/>
          <w:lang w:val="es-ES"/>
        </w:rPr>
        <w:t xml:space="preserve">3O de agosto de 2021 </w:t>
      </w:r>
      <w:r w:rsidRPr="004254B1">
        <w:rPr>
          <w:rFonts w:asciiTheme="majorHAnsi" w:eastAsia="Times New Roman" w:hAnsiTheme="majorHAnsi"/>
          <w:sz w:val="20"/>
          <w:szCs w:val="20"/>
          <w:lang w:val="es-ES"/>
        </w:rPr>
        <w:t>en los términos pactados en el presente acuerdo de solución amistoso.</w:t>
      </w:r>
    </w:p>
    <w:p w14:paraId="0B4C5C63"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p>
    <w:p w14:paraId="0B80FAEA"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El presente acuerdo será gestionado bajo la responsabilidad de las entidades o Secretarías de Estado correspondientes, la Procuraduría General de la República coordinará y dará seguimiento a las acciones necesarias para el cumplimiento de este acuerdo.</w:t>
      </w:r>
    </w:p>
    <w:p w14:paraId="6E269848"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p>
    <w:p w14:paraId="59ACE19D"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Por su parte los representantes de los peticionarios se comprometen a acompañar las etapas de ejecución de este acuerdo y a prestar su colaboración para que el mismo pueda hacerse efectivo.</w:t>
      </w:r>
    </w:p>
    <w:p w14:paraId="49E050A1" w14:textId="575D5C7F" w:rsidR="00F87783" w:rsidRPr="004254B1" w:rsidRDefault="00A83573" w:rsidP="00A83573">
      <w:pPr>
        <w:widowControl w:val="0"/>
        <w:tabs>
          <w:tab w:val="left" w:pos="8505"/>
        </w:tabs>
        <w:ind w:left="720" w:right="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ab/>
      </w:r>
      <w:r w:rsidR="00F87783" w:rsidRPr="004254B1">
        <w:rPr>
          <w:rFonts w:asciiTheme="majorHAnsi" w:eastAsia="Times New Roman" w:hAnsiTheme="majorHAnsi"/>
          <w:b/>
          <w:sz w:val="20"/>
          <w:szCs w:val="20"/>
          <w:lang w:val="es-ES"/>
        </w:rPr>
        <w:t>QUINTO: PROCEDENCIA DEL PRESENTE ACUERDO DE SOLUCIÓN AMISTOSA</w:t>
      </w:r>
    </w:p>
    <w:p w14:paraId="33B24E34" w14:textId="77777777" w:rsidR="00A83573" w:rsidRPr="004254B1" w:rsidRDefault="00A83573" w:rsidP="00A83573">
      <w:pPr>
        <w:widowControl w:val="0"/>
        <w:tabs>
          <w:tab w:val="left" w:pos="8505"/>
        </w:tabs>
        <w:ind w:left="720" w:right="720"/>
        <w:jc w:val="both"/>
        <w:rPr>
          <w:rFonts w:asciiTheme="majorHAnsi" w:eastAsia="Times New Roman" w:hAnsiTheme="majorHAnsi"/>
          <w:sz w:val="20"/>
          <w:szCs w:val="20"/>
          <w:lang w:val="es-ES"/>
        </w:rPr>
      </w:pPr>
    </w:p>
    <w:p w14:paraId="3D821292"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Las partes mantuvieron a lo largo del proceso un espacio de dialogo tendiente a explorar la posibilidad de arribar a un eventual acuerdo de solución amistosa. Antecedentes de ello lo </w:t>
      </w:r>
      <w:r w:rsidRPr="004254B1">
        <w:rPr>
          <w:rFonts w:asciiTheme="majorHAnsi" w:eastAsia="Times New Roman" w:hAnsiTheme="majorHAnsi"/>
          <w:sz w:val="20"/>
          <w:szCs w:val="20"/>
          <w:lang w:val="es-ES"/>
        </w:rPr>
        <w:lastRenderedPageBreak/>
        <w:t xml:space="preserve">constituyen la reunión de trabajo celebrada en el marco del 164 Periodo Extraordinario de Sesiones de la CIDH en la ciudad de México D.F. y la reunión de trabajo celebrada en el marco del 170 periodo ordinario de sesiones de la CIDH en Washington D.C. </w:t>
      </w:r>
    </w:p>
    <w:p w14:paraId="420F3BF6" w14:textId="77777777" w:rsidR="00F87783" w:rsidRPr="004254B1" w:rsidRDefault="00F87783" w:rsidP="00BA4D91">
      <w:pPr>
        <w:widowControl w:val="0"/>
        <w:tabs>
          <w:tab w:val="left" w:pos="2694"/>
        </w:tabs>
        <w:ind w:left="720" w:right="720"/>
        <w:jc w:val="both"/>
        <w:rPr>
          <w:rFonts w:asciiTheme="majorHAnsi" w:eastAsia="Times New Roman" w:hAnsiTheme="majorHAnsi"/>
          <w:b/>
          <w:sz w:val="20"/>
          <w:szCs w:val="20"/>
          <w:u w:val="single"/>
          <w:lang w:val="es-ES"/>
        </w:rPr>
      </w:pPr>
    </w:p>
    <w:p w14:paraId="5D7C2CCC" w14:textId="30C951C4" w:rsidR="00F87783" w:rsidRPr="004254B1" w:rsidRDefault="00A83573" w:rsidP="00A83573">
      <w:pPr>
        <w:widowControl w:val="0"/>
        <w:tabs>
          <w:tab w:val="left" w:pos="2694"/>
        </w:tabs>
        <w:ind w:right="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 xml:space="preserve">                </w:t>
      </w:r>
      <w:r w:rsidR="00F87783" w:rsidRPr="004254B1">
        <w:rPr>
          <w:rFonts w:asciiTheme="majorHAnsi" w:eastAsia="Times New Roman" w:hAnsiTheme="majorHAnsi"/>
          <w:b/>
          <w:sz w:val="20"/>
          <w:szCs w:val="20"/>
          <w:lang w:val="es-ES"/>
        </w:rPr>
        <w:t>SEXTO: SATISFACCIÓN DE LOS PETICIONARIOS</w:t>
      </w:r>
    </w:p>
    <w:p w14:paraId="36349AC2" w14:textId="77777777" w:rsidR="00A83573" w:rsidRPr="004254B1" w:rsidRDefault="00A83573" w:rsidP="00A83573">
      <w:pPr>
        <w:widowControl w:val="0"/>
        <w:tabs>
          <w:tab w:val="left" w:pos="2694"/>
        </w:tabs>
        <w:ind w:right="720"/>
        <w:jc w:val="both"/>
        <w:rPr>
          <w:rFonts w:asciiTheme="majorHAnsi" w:eastAsia="Times New Roman" w:hAnsiTheme="majorHAnsi"/>
          <w:b/>
          <w:sz w:val="20"/>
          <w:szCs w:val="20"/>
          <w:u w:val="single"/>
          <w:lang w:val="es-ES"/>
        </w:rPr>
      </w:pPr>
    </w:p>
    <w:p w14:paraId="7FCF858B"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La parte peticionaria considera que el cumplimiento de los compromisos de carácter económico asumidos mediante el presente acuerdo de solución amistoso implica la satisfacción total de sus pretensiones en el caso </w:t>
      </w:r>
      <w:r w:rsidRPr="004254B1">
        <w:rPr>
          <w:rFonts w:asciiTheme="majorHAnsi" w:eastAsia="Times New Roman" w:hAnsiTheme="majorHAnsi"/>
          <w:bCs/>
          <w:sz w:val="20"/>
          <w:szCs w:val="20"/>
          <w:lang w:val="es-ES"/>
        </w:rPr>
        <w:t>Juan González y otros</w:t>
      </w:r>
      <w:r w:rsidRPr="004254B1">
        <w:rPr>
          <w:rFonts w:asciiTheme="majorHAnsi" w:eastAsia="Times New Roman" w:hAnsiTheme="majorHAnsi"/>
          <w:sz w:val="20"/>
          <w:szCs w:val="20"/>
          <w:lang w:val="es-ES"/>
        </w:rPr>
        <w:t xml:space="preserve"> (caso CIDH No. 12.961).</w:t>
      </w:r>
    </w:p>
    <w:p w14:paraId="574313DD" w14:textId="77777777" w:rsidR="00F87783" w:rsidRPr="004254B1" w:rsidRDefault="00F87783" w:rsidP="00BA4D91">
      <w:pPr>
        <w:widowControl w:val="0"/>
        <w:tabs>
          <w:tab w:val="left" w:pos="2694"/>
        </w:tabs>
        <w:ind w:left="720" w:right="720"/>
        <w:jc w:val="both"/>
        <w:rPr>
          <w:rFonts w:asciiTheme="majorHAnsi" w:eastAsia="Times New Roman" w:hAnsiTheme="majorHAnsi"/>
          <w:b/>
          <w:sz w:val="20"/>
          <w:szCs w:val="20"/>
          <w:u w:val="single"/>
          <w:lang w:val="es-ES"/>
        </w:rPr>
      </w:pPr>
    </w:p>
    <w:p w14:paraId="435DF48E" w14:textId="77777777" w:rsidR="00F87783" w:rsidRPr="004254B1" w:rsidRDefault="00F87783" w:rsidP="00BA4D91">
      <w:pPr>
        <w:widowControl w:val="0"/>
        <w:tabs>
          <w:tab w:val="left" w:pos="2694"/>
          <w:tab w:val="left" w:pos="5641"/>
          <w:tab w:val="left" w:pos="6620"/>
          <w:tab w:val="left" w:pos="7542"/>
        </w:tabs>
        <w:ind w:left="720" w:right="720"/>
        <w:jc w:val="both"/>
        <w:rPr>
          <w:rFonts w:asciiTheme="majorHAnsi" w:eastAsia="Calibri" w:hAnsiTheme="majorHAnsi"/>
          <w:sz w:val="20"/>
          <w:szCs w:val="20"/>
          <w:lang w:val="es-ES"/>
        </w:rPr>
      </w:pPr>
      <w:r w:rsidRPr="004254B1">
        <w:rPr>
          <w:rFonts w:asciiTheme="majorHAnsi" w:eastAsia="Times New Roman" w:hAnsiTheme="majorHAnsi"/>
          <w:sz w:val="20"/>
          <w:szCs w:val="20"/>
          <w:lang w:val="es-ES"/>
        </w:rPr>
        <w:t xml:space="preserve">El Estado de Honduras y los peticionarios a través de sus representantes legales, </w:t>
      </w:r>
      <w:r w:rsidRPr="004254B1">
        <w:rPr>
          <w:rFonts w:asciiTheme="majorHAnsi" w:eastAsia="Calibri" w:hAnsiTheme="majorHAnsi"/>
          <w:sz w:val="20"/>
          <w:szCs w:val="20"/>
          <w:lang w:val="es-ES"/>
        </w:rPr>
        <w:t xml:space="preserve">tomando como referencia la escala a la cual pertenecía el personal despedido al momento de la emisión del Decreto </w:t>
      </w:r>
      <w:r w:rsidRPr="004254B1">
        <w:rPr>
          <w:rFonts w:asciiTheme="majorHAnsi" w:eastAsia="Times New Roman" w:hAnsiTheme="majorHAnsi"/>
          <w:sz w:val="20"/>
          <w:szCs w:val="20"/>
          <w:lang w:val="es-ES"/>
        </w:rPr>
        <w:t>58-2001</w:t>
      </w:r>
      <w:r w:rsidRPr="004254B1">
        <w:rPr>
          <w:rFonts w:asciiTheme="majorHAnsi" w:eastAsia="Calibri" w:hAnsiTheme="majorHAnsi"/>
          <w:sz w:val="20"/>
          <w:szCs w:val="20"/>
          <w:lang w:val="es-ES"/>
        </w:rPr>
        <w:t xml:space="preserve"> reconocen y aceptan como valor a indemnizar la suma individual que a continuación se detalla, en favor de los peticionarios:</w:t>
      </w:r>
    </w:p>
    <w:p w14:paraId="067BBB50" w14:textId="77777777" w:rsidR="00F87783" w:rsidRPr="004254B1" w:rsidRDefault="00F87783" w:rsidP="00BA4D91">
      <w:pPr>
        <w:widowControl w:val="0"/>
        <w:tabs>
          <w:tab w:val="left" w:pos="2694"/>
          <w:tab w:val="left" w:pos="5641"/>
          <w:tab w:val="left" w:pos="6620"/>
          <w:tab w:val="left" w:pos="7542"/>
        </w:tabs>
        <w:ind w:left="720" w:right="720"/>
        <w:jc w:val="both"/>
        <w:rPr>
          <w:rFonts w:asciiTheme="majorHAnsi" w:eastAsia="Times New Roman" w:hAnsiTheme="majorHAnsi"/>
          <w:sz w:val="20"/>
          <w:szCs w:val="20"/>
          <w:lang w:val="es-ES"/>
        </w:rPr>
      </w:pPr>
    </w:p>
    <w:p w14:paraId="53CDA9BA" w14:textId="50567006"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ab/>
      </w:r>
      <w:r w:rsidRPr="004254B1">
        <w:rPr>
          <w:rFonts w:asciiTheme="majorHAnsi" w:eastAsia="Times New Roman" w:hAnsiTheme="majorHAnsi"/>
          <w:sz w:val="20"/>
          <w:szCs w:val="20"/>
          <w:lang w:val="es-ES"/>
        </w:rPr>
        <w:tab/>
      </w:r>
      <w:r w:rsidRPr="004254B1">
        <w:rPr>
          <w:rFonts w:asciiTheme="majorHAnsi" w:eastAsia="Times New Roman" w:hAnsiTheme="majorHAnsi"/>
          <w:sz w:val="20"/>
          <w:szCs w:val="20"/>
          <w:lang w:val="es-ES"/>
        </w:rPr>
        <w:tab/>
        <w:t>Policías y Administrativos: L. 320,000.00</w:t>
      </w:r>
    </w:p>
    <w:p w14:paraId="13F53138" w14:textId="78BC361E" w:rsidR="00F87783" w:rsidRPr="004254B1" w:rsidRDefault="00F87783" w:rsidP="00BA4D91">
      <w:pPr>
        <w:widowControl w:val="0"/>
        <w:tabs>
          <w:tab w:val="left" w:pos="715"/>
        </w:tabs>
        <w:ind w:left="720" w:right="720"/>
        <w:jc w:val="both"/>
        <w:rPr>
          <w:rFonts w:asciiTheme="majorHAnsi" w:eastAsia="Times New Roman" w:hAnsiTheme="majorHAnsi"/>
          <w:color w:val="000000" w:themeColor="text1"/>
          <w:sz w:val="20"/>
          <w:szCs w:val="20"/>
          <w:lang w:val="es-ES"/>
        </w:rPr>
      </w:pPr>
      <w:r w:rsidRPr="004254B1">
        <w:rPr>
          <w:rFonts w:asciiTheme="majorHAnsi" w:eastAsia="Times New Roman" w:hAnsiTheme="majorHAnsi"/>
          <w:sz w:val="20"/>
          <w:szCs w:val="20"/>
          <w:lang w:val="es-ES"/>
        </w:rPr>
        <w:tab/>
      </w:r>
      <w:r w:rsidRPr="004254B1">
        <w:rPr>
          <w:rFonts w:asciiTheme="majorHAnsi" w:eastAsia="Times New Roman" w:hAnsiTheme="majorHAnsi"/>
          <w:sz w:val="20"/>
          <w:szCs w:val="20"/>
          <w:lang w:val="es-ES"/>
        </w:rPr>
        <w:tab/>
      </w:r>
      <w:r w:rsidRPr="004254B1">
        <w:rPr>
          <w:rFonts w:asciiTheme="majorHAnsi" w:eastAsia="Times New Roman" w:hAnsiTheme="majorHAnsi"/>
          <w:sz w:val="20"/>
          <w:szCs w:val="20"/>
          <w:lang w:val="es-ES"/>
        </w:rPr>
        <w:tab/>
      </w:r>
      <w:r w:rsidRPr="004254B1">
        <w:rPr>
          <w:rFonts w:asciiTheme="majorHAnsi" w:eastAsia="Times New Roman" w:hAnsiTheme="majorHAnsi"/>
          <w:color w:val="000000" w:themeColor="text1"/>
          <w:sz w:val="20"/>
          <w:szCs w:val="20"/>
          <w:lang w:val="es-ES"/>
        </w:rPr>
        <w:t>Clases: L. 400,000.00</w:t>
      </w:r>
    </w:p>
    <w:p w14:paraId="406DF35B" w14:textId="1DA7130F" w:rsidR="00F87783" w:rsidRPr="004254B1" w:rsidRDefault="00F87783" w:rsidP="00BA4D91">
      <w:pPr>
        <w:widowControl w:val="0"/>
        <w:tabs>
          <w:tab w:val="left" w:pos="715"/>
        </w:tabs>
        <w:ind w:left="720" w:right="720"/>
        <w:jc w:val="both"/>
        <w:rPr>
          <w:rFonts w:asciiTheme="majorHAnsi" w:eastAsia="Times New Roman" w:hAnsiTheme="majorHAnsi"/>
          <w:color w:val="000000" w:themeColor="text1"/>
          <w:sz w:val="20"/>
          <w:szCs w:val="20"/>
          <w:lang w:val="es-ES"/>
        </w:rPr>
      </w:pPr>
      <w:r w:rsidRPr="004254B1">
        <w:rPr>
          <w:rFonts w:asciiTheme="majorHAnsi" w:eastAsia="Times New Roman" w:hAnsiTheme="majorHAnsi"/>
          <w:color w:val="000000" w:themeColor="text1"/>
          <w:sz w:val="20"/>
          <w:szCs w:val="20"/>
          <w:lang w:val="es-ES"/>
        </w:rPr>
        <w:tab/>
      </w:r>
      <w:r w:rsidRPr="004254B1">
        <w:rPr>
          <w:rFonts w:asciiTheme="majorHAnsi" w:eastAsia="Times New Roman" w:hAnsiTheme="majorHAnsi"/>
          <w:color w:val="000000" w:themeColor="text1"/>
          <w:sz w:val="20"/>
          <w:szCs w:val="20"/>
          <w:lang w:val="es-ES"/>
        </w:rPr>
        <w:tab/>
      </w:r>
      <w:r w:rsidRPr="004254B1">
        <w:rPr>
          <w:rFonts w:asciiTheme="majorHAnsi" w:eastAsia="Times New Roman" w:hAnsiTheme="majorHAnsi"/>
          <w:color w:val="000000" w:themeColor="text1"/>
          <w:sz w:val="20"/>
          <w:szCs w:val="20"/>
          <w:lang w:val="es-ES"/>
        </w:rPr>
        <w:tab/>
        <w:t>Oficiales: L. 700.000.00</w:t>
      </w:r>
    </w:p>
    <w:p w14:paraId="551DC4DF" w14:textId="77777777" w:rsidR="00F87783" w:rsidRPr="004254B1" w:rsidRDefault="00F87783" w:rsidP="00BA4D91">
      <w:pPr>
        <w:widowControl w:val="0"/>
        <w:tabs>
          <w:tab w:val="left" w:pos="715"/>
        </w:tabs>
        <w:ind w:left="720" w:right="720"/>
        <w:jc w:val="both"/>
        <w:rPr>
          <w:rFonts w:asciiTheme="majorHAnsi" w:eastAsia="Times New Roman" w:hAnsiTheme="majorHAnsi"/>
          <w:b/>
          <w:sz w:val="20"/>
          <w:szCs w:val="20"/>
          <w:u w:val="single"/>
          <w:lang w:val="es-ES"/>
        </w:rPr>
      </w:pPr>
    </w:p>
    <w:p w14:paraId="72167E8B"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El monto en la forma enunciada se efectuará en un solo pago a los peticionarios que han decidido acogerse al presente acuerdo.</w:t>
      </w:r>
    </w:p>
    <w:p w14:paraId="64018B09" w14:textId="77777777" w:rsidR="00F87783" w:rsidRPr="004254B1" w:rsidRDefault="00F87783" w:rsidP="00BA4D91">
      <w:pPr>
        <w:widowControl w:val="0"/>
        <w:tabs>
          <w:tab w:val="left" w:pos="2694"/>
        </w:tabs>
        <w:ind w:left="720" w:right="720"/>
        <w:jc w:val="both"/>
        <w:rPr>
          <w:rFonts w:asciiTheme="majorHAnsi" w:eastAsia="Times New Roman" w:hAnsiTheme="majorHAnsi"/>
          <w:color w:val="FF0000"/>
          <w:sz w:val="20"/>
          <w:szCs w:val="20"/>
          <w:lang w:val="es-ES"/>
        </w:rPr>
      </w:pPr>
    </w:p>
    <w:p w14:paraId="2A3FD1E1" w14:textId="77777777" w:rsidR="00F87783" w:rsidRPr="004254B1" w:rsidRDefault="00F87783" w:rsidP="00BA4D91">
      <w:pPr>
        <w:widowControl w:val="0"/>
        <w:tabs>
          <w:tab w:val="left" w:pos="715"/>
        </w:tabs>
        <w:ind w:left="720" w:right="720"/>
        <w:jc w:val="both"/>
        <w:rPr>
          <w:rFonts w:asciiTheme="majorHAnsi" w:eastAsia="Times New Roman" w:hAnsiTheme="majorHAnsi"/>
          <w:b/>
          <w:sz w:val="20"/>
          <w:szCs w:val="20"/>
          <w:u w:val="single"/>
          <w:lang w:val="es-ES"/>
        </w:rPr>
      </w:pPr>
      <w:r w:rsidRPr="004254B1">
        <w:rPr>
          <w:rFonts w:asciiTheme="majorHAnsi" w:eastAsia="Calibri" w:hAnsiTheme="majorHAnsi"/>
          <w:sz w:val="20"/>
          <w:szCs w:val="20"/>
          <w:lang w:val="es-ES"/>
        </w:rPr>
        <w:t>En cuanto al porcentaje en concepto de honorarios profesionales estos serán asumidos por los peticionarios en base al acuerdo que hayan pactado con su apoderado</w:t>
      </w:r>
      <w:r w:rsidRPr="004254B1">
        <w:rPr>
          <w:rFonts w:asciiTheme="majorHAnsi" w:eastAsia="Times New Roman" w:hAnsiTheme="majorHAnsi"/>
          <w:sz w:val="20"/>
          <w:szCs w:val="20"/>
          <w:lang w:val="es-ES"/>
        </w:rPr>
        <w:t>.</w:t>
      </w:r>
    </w:p>
    <w:p w14:paraId="6D637702" w14:textId="77777777" w:rsidR="00F87783" w:rsidRPr="004254B1" w:rsidRDefault="00F87783" w:rsidP="00BA4D91">
      <w:pPr>
        <w:widowControl w:val="0"/>
        <w:tabs>
          <w:tab w:val="left" w:pos="715"/>
        </w:tabs>
        <w:ind w:left="720" w:right="720"/>
        <w:jc w:val="both"/>
        <w:rPr>
          <w:rFonts w:asciiTheme="majorHAnsi" w:eastAsia="Times New Roman" w:hAnsiTheme="majorHAnsi"/>
          <w:b/>
          <w:sz w:val="20"/>
          <w:szCs w:val="20"/>
          <w:u w:val="single"/>
          <w:lang w:val="es-ES"/>
        </w:rPr>
      </w:pPr>
    </w:p>
    <w:p w14:paraId="1BD97280" w14:textId="65382B13" w:rsidR="00F87783" w:rsidRPr="004254B1" w:rsidRDefault="00F87783" w:rsidP="00BA4D91">
      <w:pPr>
        <w:widowControl w:val="0"/>
        <w:tabs>
          <w:tab w:val="left" w:pos="715"/>
        </w:tabs>
        <w:ind w:left="720" w:right="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SÉPTIMO: FORMA DE PAGO DE LA REPARACIÓN ECONÓMICA</w:t>
      </w:r>
    </w:p>
    <w:p w14:paraId="1C7C3CE0" w14:textId="77777777" w:rsidR="00A83573" w:rsidRPr="004254B1" w:rsidRDefault="00A83573" w:rsidP="00BA4D91">
      <w:pPr>
        <w:widowControl w:val="0"/>
        <w:tabs>
          <w:tab w:val="left" w:pos="715"/>
        </w:tabs>
        <w:ind w:left="720" w:right="720"/>
        <w:jc w:val="both"/>
        <w:rPr>
          <w:rFonts w:asciiTheme="majorHAnsi" w:eastAsia="Times New Roman" w:hAnsiTheme="majorHAnsi"/>
          <w:b/>
          <w:sz w:val="20"/>
          <w:szCs w:val="20"/>
          <w:u w:val="single"/>
          <w:lang w:val="es-ES"/>
        </w:rPr>
      </w:pPr>
    </w:p>
    <w:p w14:paraId="000A6C33"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Conforme la solicitud efectuada por los peticionarios de que el monto ofrecido se efectúe en un solo pago; el Estado se compromete a hacer efectivos el valor anteriormente señalado, por intermedio de la Secretaría de Estado en el Despacho de Seguridad en un solo pago a más tardar el </w:t>
      </w:r>
      <w:r w:rsidRPr="004254B1">
        <w:rPr>
          <w:rFonts w:asciiTheme="majorHAnsi" w:eastAsia="Times New Roman" w:hAnsiTheme="majorHAnsi"/>
          <w:color w:val="000000" w:themeColor="text1"/>
          <w:sz w:val="20"/>
          <w:szCs w:val="20"/>
          <w:lang w:val="es-ES"/>
        </w:rPr>
        <w:t xml:space="preserve"> de 30 de agosto de 2021 </w:t>
      </w:r>
      <w:r w:rsidRPr="004254B1">
        <w:rPr>
          <w:rFonts w:asciiTheme="majorHAnsi" w:eastAsia="Times New Roman" w:hAnsiTheme="majorHAnsi"/>
          <w:sz w:val="20"/>
          <w:szCs w:val="20"/>
          <w:lang w:val="es-ES"/>
        </w:rPr>
        <w:t xml:space="preserve">y comprende en su totalidad la indemnización económica acordada y por ende con el pago del mismo, el Estado de Honduras queda completamente liberado de cualquier resarcimiento por los hechos alegados y de cualquier reclamación posterior. </w:t>
      </w:r>
    </w:p>
    <w:p w14:paraId="2AE58FE2"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p>
    <w:p w14:paraId="43CDA326"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Para tales efectos los beneficiarios, deberán acreditar su identificación ante la Secretaría de Estado en el Despacho de Seguridad mediante el documento respectivo.</w:t>
      </w:r>
    </w:p>
    <w:p w14:paraId="42F8CC4F"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p>
    <w:p w14:paraId="5DC2D4EE"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14:paraId="166F8D53" w14:textId="77777777" w:rsidR="00F87783" w:rsidRPr="004254B1" w:rsidRDefault="00F87783" w:rsidP="00BA4D91">
      <w:pPr>
        <w:widowControl w:val="0"/>
        <w:tabs>
          <w:tab w:val="left" w:pos="715"/>
        </w:tabs>
        <w:ind w:left="720" w:right="720"/>
        <w:jc w:val="both"/>
        <w:rPr>
          <w:rFonts w:asciiTheme="majorHAnsi" w:eastAsia="Times New Roman" w:hAnsiTheme="majorHAnsi"/>
          <w:sz w:val="20"/>
          <w:szCs w:val="20"/>
          <w:lang w:val="es-ES"/>
        </w:rPr>
      </w:pPr>
    </w:p>
    <w:p w14:paraId="508D5AFB" w14:textId="77777777" w:rsidR="00F87783" w:rsidRPr="004254B1" w:rsidRDefault="00F87783" w:rsidP="00BA4D91">
      <w:pPr>
        <w:pStyle w:val="BodyText"/>
        <w:tabs>
          <w:tab w:val="left" w:pos="715"/>
        </w:tabs>
        <w:spacing w:after="0"/>
        <w:ind w:left="720" w:right="720"/>
        <w:jc w:val="both"/>
        <w:rPr>
          <w:rFonts w:asciiTheme="majorHAnsi" w:eastAsia="Times New Roman" w:hAnsiTheme="majorHAnsi"/>
          <w:sz w:val="20"/>
          <w:szCs w:val="20"/>
          <w:lang w:val="es-ES"/>
        </w:rPr>
      </w:pPr>
      <w:r w:rsidRPr="004254B1">
        <w:rPr>
          <w:rFonts w:asciiTheme="majorHAnsi" w:eastAsia="Calibri" w:hAnsiTheme="majorHAnsi"/>
          <w:sz w:val="20"/>
          <w:szCs w:val="20"/>
          <w:lang w:val="es-ES"/>
        </w:rPr>
        <w:t xml:space="preserve">El  monto dispuesto, comprende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w:t>
      </w:r>
      <w:r w:rsidRPr="004254B1">
        <w:rPr>
          <w:rFonts w:asciiTheme="majorHAnsi" w:eastAsia="Times New Roman" w:hAnsiTheme="majorHAnsi"/>
          <w:sz w:val="20"/>
          <w:szCs w:val="20"/>
          <w:lang w:val="es-ES"/>
        </w:rPr>
        <w:t>indemnización por estos mismos hechos en relación a los beneficiarios que a la fecha de suscripción del presente acuerdo hubiera fallecido, ésta será reconocida y pagada directamente por los beneficiarios.</w:t>
      </w:r>
    </w:p>
    <w:p w14:paraId="59E82101" w14:textId="77777777" w:rsidR="00F87783" w:rsidRPr="004254B1" w:rsidRDefault="00F8778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6FF69EB3" w14:textId="09EF1F3C" w:rsidR="004254B1" w:rsidRDefault="004254B1"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p>
    <w:p w14:paraId="358DF207" w14:textId="77777777" w:rsidR="00505712" w:rsidRDefault="00505712"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p>
    <w:p w14:paraId="39470AB1" w14:textId="63332F56" w:rsidR="00F87783" w:rsidRDefault="00F8778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r w:rsidRPr="004254B1">
        <w:rPr>
          <w:rFonts w:asciiTheme="majorHAnsi" w:eastAsia="ヒラギノ角ゴ Pro W3" w:hAnsiTheme="majorHAnsi"/>
          <w:b/>
          <w:sz w:val="20"/>
          <w:szCs w:val="20"/>
          <w:lang w:val="es-ES_tradnl" w:eastAsia="zh-CN"/>
        </w:rPr>
        <w:lastRenderedPageBreak/>
        <w:t>OCTAVO: SUPERVISIÓN DE CUMPLIMIENTO</w:t>
      </w:r>
    </w:p>
    <w:p w14:paraId="3DABEF40" w14:textId="77777777" w:rsidR="004254B1" w:rsidRPr="004254B1" w:rsidRDefault="004254B1"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p>
    <w:p w14:paraId="7571EE48" w14:textId="77777777" w:rsidR="00F87783" w:rsidRPr="004254B1" w:rsidRDefault="00F8778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lang w:val="es-ES_tradnl" w:eastAsia="zh-CN"/>
        </w:rPr>
      </w:pPr>
      <w:r w:rsidRPr="004254B1">
        <w:rPr>
          <w:rFonts w:asciiTheme="majorHAnsi" w:eastAsia="ヒラギノ角ゴ Pro W3" w:hAnsiTheme="majorHAnsi"/>
          <w:sz w:val="20"/>
          <w:szCs w:val="20"/>
          <w:lang w:val="es-ES_tradnl" w:eastAsia="zh-CN"/>
        </w:rPr>
        <w:t xml:space="preserve">Con respecto a los peticionarios no incluidos en el pago indemnizatorio concertado, el mecanismo de verificación del cumplimiento del acuerdo de solución amistosa corresponderá a la CIDH; la Procuraduría General de la República remitirá la información que sea requerida por la ilustre Comisión Interamericana. </w:t>
      </w:r>
    </w:p>
    <w:p w14:paraId="2ECF3306"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p>
    <w:p w14:paraId="5DE53230"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14:paraId="3CC34071" w14:textId="77777777" w:rsidR="00F87783" w:rsidRPr="004254B1" w:rsidRDefault="00F87783" w:rsidP="00BA4D91">
      <w:pPr>
        <w:widowControl w:val="0"/>
        <w:ind w:left="720" w:right="720"/>
        <w:jc w:val="both"/>
        <w:rPr>
          <w:rFonts w:asciiTheme="majorHAnsi" w:eastAsia="Calibri" w:hAnsiTheme="majorHAnsi"/>
          <w:sz w:val="20"/>
          <w:szCs w:val="20"/>
          <w:lang w:val="es-ES"/>
        </w:rPr>
      </w:pPr>
    </w:p>
    <w:p w14:paraId="298C0332" w14:textId="3B7386D4" w:rsidR="00F87783" w:rsidRPr="004254B1" w:rsidRDefault="00F8778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r w:rsidRPr="004254B1">
        <w:rPr>
          <w:rFonts w:asciiTheme="majorHAnsi" w:eastAsia="ヒラギノ角ゴ Pro W3" w:hAnsiTheme="majorHAnsi"/>
          <w:b/>
          <w:sz w:val="20"/>
          <w:szCs w:val="20"/>
          <w:lang w:val="es-ES_tradnl" w:eastAsia="zh-CN"/>
        </w:rPr>
        <w:t>NOVENO: CONFIDENCIALIDAD</w:t>
      </w:r>
    </w:p>
    <w:p w14:paraId="5A0839D2" w14:textId="77777777" w:rsidR="00A83573" w:rsidRPr="004254B1" w:rsidRDefault="00A8357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7B636E53" w14:textId="2B0F877C" w:rsidR="00F87783" w:rsidRPr="004254B1" w:rsidRDefault="00F87783" w:rsidP="00BA4D91">
      <w:pPr>
        <w:widowControl w:val="0"/>
        <w:ind w:left="720" w:right="720"/>
        <w:jc w:val="both"/>
        <w:rPr>
          <w:rFonts w:asciiTheme="majorHAnsi" w:eastAsia="Calibri" w:hAnsiTheme="majorHAnsi"/>
          <w:sz w:val="20"/>
          <w:szCs w:val="20"/>
          <w:lang w:val="es-ES"/>
        </w:rPr>
      </w:pPr>
      <w:r w:rsidRPr="004254B1">
        <w:rPr>
          <w:rFonts w:asciiTheme="majorHAnsi" w:eastAsia="Calibri" w:hAnsiTheme="majorHAnsi"/>
          <w:sz w:val="20"/>
          <w:szCs w:val="20"/>
          <w:lang w:val="es-ES"/>
        </w:rPr>
        <w:t>Las partes se obligan a guardar estricta confidencialidad de los montos correspondientes a las indemnizaciones económicas y de los datos personales de los peticionarios.</w:t>
      </w:r>
    </w:p>
    <w:p w14:paraId="0DCD5912" w14:textId="77777777" w:rsidR="00A83573" w:rsidRPr="004254B1" w:rsidRDefault="00A83573" w:rsidP="00BA4D91">
      <w:pPr>
        <w:widowControl w:val="0"/>
        <w:ind w:left="720" w:right="720"/>
        <w:jc w:val="both"/>
        <w:rPr>
          <w:rFonts w:asciiTheme="majorHAnsi" w:eastAsia="Calibri" w:hAnsiTheme="majorHAnsi"/>
          <w:sz w:val="20"/>
          <w:szCs w:val="20"/>
          <w:lang w:val="es-ES"/>
        </w:rPr>
      </w:pPr>
    </w:p>
    <w:p w14:paraId="161FB8B9" w14:textId="19DEC3C9" w:rsidR="00F87783" w:rsidRPr="004254B1" w:rsidRDefault="00A83573" w:rsidP="00A83573">
      <w:pPr>
        <w:widowControl w:val="0"/>
        <w:tabs>
          <w:tab w:val="left" w:pos="2694"/>
        </w:tabs>
        <w:ind w:right="720"/>
        <w:jc w:val="both"/>
        <w:rPr>
          <w:rFonts w:asciiTheme="majorHAnsi" w:eastAsia="Times New Roman" w:hAnsiTheme="majorHAnsi"/>
          <w:b/>
          <w:sz w:val="20"/>
          <w:szCs w:val="20"/>
          <w:lang w:val="es-ES"/>
        </w:rPr>
      </w:pPr>
      <w:r w:rsidRPr="004254B1">
        <w:rPr>
          <w:rFonts w:asciiTheme="majorHAnsi" w:eastAsia="Times New Roman" w:hAnsiTheme="majorHAnsi"/>
          <w:b/>
          <w:sz w:val="20"/>
          <w:szCs w:val="20"/>
          <w:lang w:val="es-ES"/>
        </w:rPr>
        <w:t xml:space="preserve">                </w:t>
      </w:r>
      <w:r w:rsidR="00F87783" w:rsidRPr="004254B1">
        <w:rPr>
          <w:rFonts w:asciiTheme="majorHAnsi" w:eastAsia="Times New Roman" w:hAnsiTheme="majorHAnsi"/>
          <w:b/>
          <w:sz w:val="20"/>
          <w:szCs w:val="20"/>
          <w:lang w:val="es-ES"/>
        </w:rPr>
        <w:t>DÉCIMO: CONFORMIDAD DE LAS PARTES</w:t>
      </w:r>
    </w:p>
    <w:p w14:paraId="1209AAFF" w14:textId="77777777" w:rsidR="00A83573" w:rsidRPr="004254B1" w:rsidRDefault="00A83573" w:rsidP="00A83573">
      <w:pPr>
        <w:widowControl w:val="0"/>
        <w:tabs>
          <w:tab w:val="left" w:pos="2694"/>
        </w:tabs>
        <w:ind w:right="720"/>
        <w:jc w:val="both"/>
        <w:rPr>
          <w:rFonts w:asciiTheme="majorHAnsi" w:eastAsia="Times New Roman" w:hAnsiTheme="majorHAnsi"/>
          <w:b/>
          <w:sz w:val="20"/>
          <w:szCs w:val="20"/>
          <w:u w:val="single"/>
          <w:lang w:val="es-ES"/>
        </w:rPr>
      </w:pPr>
    </w:p>
    <w:p w14:paraId="59FE3CAA"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Las partes manifiestan su plena conformidad y satisfacción, de manera irrevocable e inmediata, con los acuerdos alcanzados y plasmados en el presente documento, en consecuencia, los peticionarios renuncian a cualquier acción que pudiera derivarse de la relación laboral que los unió con la Secretaría de Seguridad como ex miembro de la Policía Nacional. </w:t>
      </w:r>
    </w:p>
    <w:p w14:paraId="096A2D16"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p>
    <w:p w14:paraId="49506AFA"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r w:rsidRPr="004254B1">
        <w:rPr>
          <w:rFonts w:asciiTheme="majorHAnsi" w:eastAsia="Times New Roman" w:hAnsiTheme="majorHAnsi"/>
          <w:sz w:val="20"/>
          <w:szCs w:val="20"/>
          <w:lang w:val="es-ES"/>
        </w:rPr>
        <w:t xml:space="preserve">En orden a los consensos alcanzados, se obligan a presentar una solicitud conjunta o separada a la CIDH a efecto que proceda a desglosar el caso para los beneficiarios del presente acuerdo de solución amistosa para el tratamiento separado para su homologación y cierre, por parte de la CIDH y que adopte finalmente el informe contemplado en el artículo 49 de la Convención Americana sobre Derechos Humanos, momento en el cual el mismo adquirirá plena virtualidad jurídica. </w:t>
      </w:r>
    </w:p>
    <w:p w14:paraId="2D24C553" w14:textId="77777777" w:rsidR="00F87783" w:rsidRPr="004254B1" w:rsidRDefault="00F87783" w:rsidP="00BA4D91">
      <w:pPr>
        <w:widowControl w:val="0"/>
        <w:tabs>
          <w:tab w:val="left" w:pos="2694"/>
        </w:tabs>
        <w:ind w:left="720" w:right="720"/>
        <w:jc w:val="both"/>
        <w:rPr>
          <w:rFonts w:asciiTheme="majorHAnsi" w:eastAsia="Times New Roman" w:hAnsiTheme="majorHAnsi"/>
          <w:sz w:val="20"/>
          <w:szCs w:val="20"/>
          <w:lang w:val="es-ES"/>
        </w:rPr>
      </w:pPr>
    </w:p>
    <w:p w14:paraId="76B2C615" w14:textId="2FCEAA67" w:rsidR="00F87783" w:rsidRPr="004254B1" w:rsidRDefault="00F8778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lang w:val="es-ES_tradnl" w:eastAsia="zh-CN"/>
        </w:rPr>
      </w:pPr>
      <w:r w:rsidRPr="004254B1">
        <w:rPr>
          <w:rFonts w:asciiTheme="majorHAnsi" w:eastAsia="ヒラギノ角ゴ Pro W3" w:hAnsiTheme="majorHAnsi"/>
          <w:b/>
          <w:sz w:val="20"/>
          <w:szCs w:val="20"/>
          <w:lang w:val="es-ES_tradnl" w:eastAsia="zh-CN"/>
        </w:rPr>
        <w:t>DÉCIMO PRIMERO: VIGENCIA</w:t>
      </w:r>
    </w:p>
    <w:p w14:paraId="266C0723" w14:textId="77777777" w:rsidR="00A83573" w:rsidRPr="004254B1" w:rsidRDefault="00A83573" w:rsidP="00BA4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20862920" w14:textId="77777777" w:rsidR="00A83573" w:rsidRPr="004254B1" w:rsidRDefault="00F87783" w:rsidP="00A835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r w:rsidRPr="004254B1">
        <w:rPr>
          <w:rFonts w:asciiTheme="majorHAnsi" w:eastAsia="ヒラギノ角ゴ Pro W3" w:hAnsiTheme="majorHAnsi"/>
          <w:sz w:val="20"/>
          <w:szCs w:val="20"/>
          <w:lang w:val="es-ES_tradnl" w:eastAsia="zh-CN"/>
        </w:rPr>
        <w:t>El presente acuerdo entra en vigor a partir del día de su firma y concluirá al momento de efectuarse el pago de indemnización concertado.</w:t>
      </w:r>
      <w:r w:rsidRPr="004254B1">
        <w:rPr>
          <w:rFonts w:asciiTheme="majorHAnsi" w:eastAsia="ヒラギノ角ゴ Pro W3" w:hAnsiTheme="majorHAnsi"/>
          <w:sz w:val="20"/>
          <w:szCs w:val="20"/>
          <w:u w:val="single"/>
          <w:lang w:val="es-ES_tradnl" w:eastAsia="zh-CN"/>
        </w:rPr>
        <w:t xml:space="preserve"> </w:t>
      </w:r>
    </w:p>
    <w:p w14:paraId="38620E47" w14:textId="77777777" w:rsidR="00A83573" w:rsidRPr="004254B1" w:rsidRDefault="00A83573" w:rsidP="00A835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p>
    <w:p w14:paraId="3EBA13BC" w14:textId="55E474CF" w:rsidR="003E7EB5" w:rsidRPr="004254B1" w:rsidRDefault="00F87783" w:rsidP="00A835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r w:rsidRPr="004254B1">
        <w:rPr>
          <w:rFonts w:asciiTheme="majorHAnsi" w:eastAsia="Times New Roman" w:hAnsiTheme="majorHAnsi"/>
          <w:sz w:val="20"/>
          <w:szCs w:val="20"/>
          <w:lang w:val="es-ES"/>
        </w:rPr>
        <w:t xml:space="preserve">Para los efectos de ley, se firma en la ciudad de Tegucigalpa, M.D.C., </w:t>
      </w:r>
      <w:r w:rsidRPr="004254B1">
        <w:rPr>
          <w:rFonts w:asciiTheme="majorHAnsi" w:eastAsia="Times New Roman" w:hAnsiTheme="majorHAnsi"/>
          <w:color w:val="000000" w:themeColor="text1"/>
          <w:sz w:val="20"/>
          <w:szCs w:val="20"/>
          <w:lang w:val="es-ES"/>
        </w:rPr>
        <w:t>a los veintinueve (29) días del mes de junio del año dos mil veintiuno (2021).</w:t>
      </w:r>
    </w:p>
    <w:bookmarkEnd w:id="3"/>
    <w:bookmarkEnd w:id="4"/>
    <w:p w14:paraId="0393F1AC" w14:textId="77777777" w:rsidR="003E7EB5" w:rsidRPr="004254B1"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CO"/>
        </w:rPr>
      </w:pPr>
    </w:p>
    <w:p w14:paraId="5DAB1186" w14:textId="77777777" w:rsidR="003E7EB5" w:rsidRPr="004254B1" w:rsidRDefault="003E7EB5" w:rsidP="003E7EB5">
      <w:pPr>
        <w:pStyle w:val="ListParagraph"/>
        <w:numPr>
          <w:ilvl w:val="0"/>
          <w:numId w:val="55"/>
        </w:numPr>
        <w:ind w:left="0" w:firstLine="720"/>
        <w:jc w:val="both"/>
        <w:rPr>
          <w:rFonts w:eastAsia="MS Mincho" w:cstheme="minorHAnsi"/>
          <w:b/>
          <w:color w:val="000000" w:themeColor="text1"/>
          <w:sz w:val="20"/>
          <w:szCs w:val="20"/>
          <w:lang w:val="es-CO"/>
        </w:rPr>
      </w:pPr>
      <w:r w:rsidRPr="004254B1">
        <w:rPr>
          <w:rFonts w:eastAsia="MS Mincho" w:cstheme="minorHAnsi"/>
          <w:b/>
          <w:color w:val="000000" w:themeColor="text1"/>
          <w:sz w:val="20"/>
          <w:szCs w:val="20"/>
          <w:lang w:val="es-CO"/>
        </w:rPr>
        <w:t>DETERMINACIÓN DE COMPATIBILIDAD Y CUMPLIMIENTO</w:t>
      </w:r>
    </w:p>
    <w:p w14:paraId="06CC2ACF" w14:textId="77777777" w:rsidR="003E7EB5" w:rsidRPr="004254B1"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6192F49B" w14:textId="2FEDCE37" w:rsidR="003E7EB5" w:rsidRPr="004254B1" w:rsidRDefault="003E7EB5" w:rsidP="003E7EB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4254B1">
        <w:rPr>
          <w:rFonts w:eastAsia="MS Mincho" w:cstheme="minorHAns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254B1">
        <w:rPr>
          <w:rFonts w:eastAsia="MS Mincho" w:cstheme="minorHAnsi"/>
          <w:i/>
          <w:color w:val="000000" w:themeColor="text1"/>
          <w:sz w:val="20"/>
          <w:szCs w:val="20"/>
          <w:bdr w:val="none" w:sz="0" w:space="0" w:color="auto" w:frame="1"/>
          <w:lang w:val="es-CO"/>
        </w:rPr>
        <w:t>pacta sunt servanda</w:t>
      </w:r>
      <w:r w:rsidRPr="004254B1">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4254B1">
        <w:rPr>
          <w:sz w:val="20"/>
          <w:szCs w:val="20"/>
          <w:bdr w:val="none" w:sz="0" w:space="0" w:color="auto" w:frame="1"/>
          <w:vertAlign w:val="superscript"/>
          <w:lang w:val="es-CO"/>
        </w:rPr>
        <w:footnoteReference w:id="4"/>
      </w:r>
      <w:r w:rsidRPr="004254B1">
        <w:rPr>
          <w:rFonts w:eastAsia="MS Mincho"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5B930F" w14:textId="77777777" w:rsidR="00011719" w:rsidRPr="004254B1" w:rsidRDefault="00011719" w:rsidP="00BA4D91">
      <w:pPr>
        <w:rPr>
          <w:rFonts w:asciiTheme="majorHAnsi" w:eastAsia="MS Mincho" w:hAnsiTheme="majorHAnsi"/>
          <w:sz w:val="20"/>
          <w:szCs w:val="20"/>
          <w:lang w:val="es-CO"/>
        </w:rPr>
      </w:pPr>
    </w:p>
    <w:p w14:paraId="2B4C40B8" w14:textId="138BC041" w:rsidR="00011719" w:rsidRPr="004254B1" w:rsidRDefault="00011719" w:rsidP="000117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4254B1">
        <w:rPr>
          <w:rFonts w:ascii="Cambria" w:eastAsia="MS Mincho" w:hAnsi="Cambria" w:cstheme="minorHAnsi"/>
          <w:color w:val="000000" w:themeColor="text1"/>
          <w:sz w:val="20"/>
          <w:szCs w:val="20"/>
          <w:lang w:val="es-CO"/>
        </w:rPr>
        <w:lastRenderedPageBreak/>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3C315800" w14:textId="77777777" w:rsidR="00A26422" w:rsidRPr="004254B1" w:rsidRDefault="00A26422" w:rsidP="00A26422">
      <w:pPr>
        <w:ind w:firstLine="720"/>
        <w:rPr>
          <w:rFonts w:asciiTheme="majorHAnsi" w:hAnsiTheme="majorHAnsi" w:cs="Calibri"/>
          <w:color w:val="FF0000"/>
          <w:sz w:val="20"/>
          <w:szCs w:val="20"/>
          <w:lang w:val="es-CO"/>
        </w:rPr>
      </w:pPr>
    </w:p>
    <w:p w14:paraId="4C09BBA9" w14:textId="77777777" w:rsidR="00A26422" w:rsidRPr="004254B1" w:rsidRDefault="00A26422" w:rsidP="00A264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254B1">
        <w:rPr>
          <w:rFonts w:asciiTheme="majorHAnsi" w:hAnsiTheme="majorHAnsi" w:cs="Calibri"/>
          <w:sz w:val="20"/>
          <w:szCs w:val="20"/>
          <w:lang w:val="es-CO"/>
        </w:rPr>
        <w:t xml:space="preserve">De conformidad a lo establecido en la cláusula 10 del acuerdo de solución amistosa, las partes acordaron solicitar a la Comisión que emitiera el informe contemplado en el artículo 49 de la Convención Americana, una vez firmado el acuerdo de solución amistosa. Dado que el Estado aportó información detallada 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14:paraId="2C711D0F" w14:textId="77777777" w:rsidR="00A26422" w:rsidRPr="004254B1" w:rsidRDefault="00A26422" w:rsidP="00A26422">
      <w:pPr>
        <w:pStyle w:val="ListParagraph"/>
        <w:ind w:left="0" w:firstLine="720"/>
        <w:rPr>
          <w:rFonts w:asciiTheme="majorHAnsi" w:eastAsia="MS Mincho" w:hAnsiTheme="majorHAnsi"/>
          <w:sz w:val="20"/>
          <w:szCs w:val="20"/>
          <w:lang w:val="es-CO"/>
        </w:rPr>
      </w:pPr>
    </w:p>
    <w:p w14:paraId="6C35E481" w14:textId="4E4509E3" w:rsidR="00A83573" w:rsidRPr="004254B1" w:rsidRDefault="00A26422"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proofErr w:type="gramStart"/>
      <w:r w:rsidRPr="004254B1">
        <w:rPr>
          <w:rFonts w:asciiTheme="majorHAnsi" w:eastAsia="MS Mincho" w:hAnsiTheme="majorHAnsi"/>
          <w:color w:val="000000"/>
          <w:sz w:val="20"/>
          <w:szCs w:val="20"/>
          <w:lang w:val="es-CO"/>
        </w:rPr>
        <w:t>En relación a</w:t>
      </w:r>
      <w:proofErr w:type="gramEnd"/>
      <w:r w:rsidRPr="004254B1">
        <w:rPr>
          <w:rFonts w:asciiTheme="majorHAnsi" w:eastAsia="MS Mincho" w:hAnsiTheme="majorHAnsi"/>
          <w:color w:val="000000"/>
          <w:sz w:val="20"/>
          <w:szCs w:val="20"/>
          <w:lang w:val="es-CO"/>
        </w:rPr>
        <w:t xml:space="preserve"> las cláusulas 6 (Satisfacción de los peticionarios) y 7 (Forma de pago de la reparación económica) del acuerdo, el Estado informó que la totalidad de las compensaciones a favor de las </w:t>
      </w:r>
      <w:r w:rsidR="00EB110D" w:rsidRPr="004254B1">
        <w:rPr>
          <w:rFonts w:asciiTheme="majorHAnsi" w:eastAsia="MS Mincho" w:hAnsiTheme="majorHAnsi"/>
          <w:color w:val="000000"/>
          <w:sz w:val="20"/>
          <w:szCs w:val="20"/>
          <w:lang w:val="es-CO"/>
        </w:rPr>
        <w:t>dos</w:t>
      </w:r>
      <w:r w:rsidRPr="004254B1">
        <w:rPr>
          <w:rFonts w:asciiTheme="majorHAnsi" w:eastAsia="MS Mincho" w:hAnsiTheme="majorHAnsi"/>
          <w:color w:val="000000"/>
          <w:sz w:val="20"/>
          <w:szCs w:val="20"/>
          <w:lang w:val="es-CO"/>
        </w:rPr>
        <w:t xml:space="preserve"> personas beneficiarias del acuerdo de solución amistosa fueron canceladas. </w:t>
      </w:r>
      <w:bookmarkStart w:id="5" w:name="_Hlk80786453"/>
      <w:r w:rsidRPr="004254B1">
        <w:rPr>
          <w:rFonts w:asciiTheme="majorHAnsi" w:eastAsia="MS Mincho" w:hAnsiTheme="majorHAnsi"/>
          <w:color w:val="000000"/>
          <w:sz w:val="20"/>
          <w:szCs w:val="20"/>
          <w:lang w:val="es-CO"/>
        </w:rPr>
        <w:t xml:space="preserve">Dicha información fue corroborada con </w:t>
      </w:r>
      <w:r w:rsidR="00A83573" w:rsidRPr="004254B1">
        <w:rPr>
          <w:rFonts w:asciiTheme="majorHAnsi" w:eastAsia="MS Mincho" w:hAnsiTheme="majorHAnsi"/>
          <w:color w:val="000000"/>
          <w:sz w:val="20"/>
          <w:szCs w:val="20"/>
          <w:lang w:val="es-CO"/>
        </w:rPr>
        <w:t xml:space="preserve">copias de los cheques entregados de conformidad con los montos acordaros para cada beneficiario y </w:t>
      </w:r>
      <w:r w:rsidRPr="004254B1">
        <w:rPr>
          <w:rFonts w:asciiTheme="majorHAnsi" w:eastAsia="MS Mincho" w:hAnsiTheme="majorHAnsi"/>
          <w:color w:val="000000"/>
          <w:sz w:val="20"/>
          <w:szCs w:val="20"/>
          <w:lang w:val="es-CO"/>
        </w:rPr>
        <w:t xml:space="preserve">comprobantes de </w:t>
      </w:r>
      <w:r w:rsidR="00A83573" w:rsidRPr="004254B1">
        <w:rPr>
          <w:rFonts w:asciiTheme="majorHAnsi" w:eastAsia="MS Mincho" w:hAnsiTheme="majorHAnsi"/>
          <w:color w:val="000000"/>
          <w:sz w:val="20"/>
          <w:szCs w:val="20"/>
          <w:lang w:val="es-CO"/>
        </w:rPr>
        <w:t>su entrega firmados por ellos, información a partir de la cual la Comisión pudo corroborar el pago de un monto</w:t>
      </w:r>
      <w:r w:rsidR="00E60222" w:rsidRPr="004254B1">
        <w:rPr>
          <w:rFonts w:asciiTheme="majorHAnsi" w:eastAsia="MS Mincho" w:hAnsiTheme="majorHAnsi"/>
          <w:color w:val="000000"/>
          <w:sz w:val="20"/>
          <w:szCs w:val="20"/>
          <w:lang w:val="es-CO"/>
        </w:rPr>
        <w:t xml:space="preserve"> total de</w:t>
      </w:r>
      <w:r w:rsidRPr="004254B1">
        <w:rPr>
          <w:rFonts w:asciiTheme="majorHAnsi" w:eastAsia="MS Mincho" w:hAnsiTheme="majorHAnsi"/>
          <w:color w:val="000000"/>
          <w:sz w:val="20"/>
          <w:szCs w:val="20"/>
          <w:lang w:val="es-CO"/>
        </w:rPr>
        <w:t xml:space="preserve"> </w:t>
      </w:r>
      <w:r w:rsidR="001A0DDA" w:rsidRPr="004254B1">
        <w:rPr>
          <w:rFonts w:asciiTheme="majorHAnsi" w:eastAsia="MS Mincho" w:hAnsiTheme="majorHAnsi"/>
          <w:color w:val="000000"/>
          <w:sz w:val="20"/>
          <w:szCs w:val="20"/>
          <w:lang w:val="es-CO"/>
        </w:rPr>
        <w:t>1</w:t>
      </w:r>
      <w:r w:rsidR="004D4D26" w:rsidRPr="004254B1">
        <w:rPr>
          <w:rFonts w:asciiTheme="majorHAnsi" w:eastAsia="MS Mincho" w:hAnsiTheme="majorHAnsi"/>
          <w:color w:val="000000"/>
          <w:sz w:val="20"/>
          <w:szCs w:val="20"/>
          <w:lang w:val="es-CO"/>
        </w:rPr>
        <w:t>.</w:t>
      </w:r>
      <w:r w:rsidR="001A0DDA" w:rsidRPr="004254B1">
        <w:rPr>
          <w:rFonts w:asciiTheme="majorHAnsi" w:eastAsia="MS Mincho" w:hAnsiTheme="majorHAnsi"/>
          <w:color w:val="000000"/>
          <w:sz w:val="20"/>
          <w:szCs w:val="20"/>
          <w:lang w:val="es-CO"/>
        </w:rPr>
        <w:t>020</w:t>
      </w:r>
      <w:r w:rsidRPr="004254B1">
        <w:rPr>
          <w:rFonts w:asciiTheme="majorHAnsi" w:eastAsia="MS Mincho" w:hAnsiTheme="majorHAnsi"/>
          <w:color w:val="000000"/>
          <w:sz w:val="20"/>
          <w:szCs w:val="20"/>
          <w:lang w:val="es-CO"/>
        </w:rPr>
        <w:t>.000L (</w:t>
      </w:r>
      <w:r w:rsidR="004D4D26" w:rsidRPr="004254B1">
        <w:rPr>
          <w:rFonts w:asciiTheme="majorHAnsi" w:eastAsia="MS Mincho" w:hAnsiTheme="majorHAnsi"/>
          <w:color w:val="000000"/>
          <w:sz w:val="20"/>
          <w:szCs w:val="20"/>
          <w:lang w:val="es-CO"/>
        </w:rPr>
        <w:t xml:space="preserve">un </w:t>
      </w:r>
      <w:r w:rsidR="00A83573" w:rsidRPr="004254B1">
        <w:rPr>
          <w:rFonts w:asciiTheme="majorHAnsi" w:eastAsia="MS Mincho" w:hAnsiTheme="majorHAnsi"/>
          <w:color w:val="000000"/>
          <w:sz w:val="20"/>
          <w:szCs w:val="20"/>
          <w:lang w:val="es-CO"/>
        </w:rPr>
        <w:t>millón</w:t>
      </w:r>
      <w:r w:rsidR="004D4D26" w:rsidRPr="004254B1">
        <w:rPr>
          <w:rFonts w:asciiTheme="majorHAnsi" w:eastAsia="MS Mincho" w:hAnsiTheme="majorHAnsi"/>
          <w:color w:val="000000"/>
          <w:sz w:val="20"/>
          <w:szCs w:val="20"/>
          <w:lang w:val="es-CO"/>
        </w:rPr>
        <w:t xml:space="preserve"> </w:t>
      </w:r>
      <w:r w:rsidR="001A0DDA" w:rsidRPr="004254B1">
        <w:rPr>
          <w:rFonts w:asciiTheme="majorHAnsi" w:eastAsia="MS Mincho" w:hAnsiTheme="majorHAnsi"/>
          <w:color w:val="000000"/>
          <w:sz w:val="20"/>
          <w:szCs w:val="20"/>
          <w:lang w:val="es-CO"/>
        </w:rPr>
        <w:t>veinte</w:t>
      </w:r>
      <w:r w:rsidR="00230182" w:rsidRPr="004254B1">
        <w:rPr>
          <w:rFonts w:asciiTheme="majorHAnsi" w:eastAsia="MS Mincho" w:hAnsiTheme="majorHAnsi"/>
          <w:color w:val="000000"/>
          <w:sz w:val="20"/>
          <w:szCs w:val="20"/>
          <w:lang w:val="es-CO"/>
        </w:rPr>
        <w:t xml:space="preserve"> </w:t>
      </w:r>
      <w:r w:rsidRPr="004254B1">
        <w:rPr>
          <w:rFonts w:asciiTheme="majorHAnsi" w:eastAsia="MS Mincho" w:hAnsiTheme="majorHAnsi"/>
          <w:color w:val="000000"/>
          <w:sz w:val="20"/>
          <w:szCs w:val="20"/>
          <w:lang w:val="es-CO"/>
        </w:rPr>
        <w:t>mil lempiras) o aproximadamente $</w:t>
      </w:r>
      <w:r w:rsidR="00FA4123" w:rsidRPr="004254B1">
        <w:rPr>
          <w:rFonts w:asciiTheme="majorHAnsi" w:eastAsia="MS Mincho" w:hAnsiTheme="majorHAnsi"/>
          <w:color w:val="000000"/>
          <w:sz w:val="20"/>
          <w:szCs w:val="20"/>
          <w:lang w:val="es-CO"/>
        </w:rPr>
        <w:t>42,</w:t>
      </w:r>
      <w:r w:rsidR="00E60222" w:rsidRPr="004254B1">
        <w:rPr>
          <w:rFonts w:asciiTheme="majorHAnsi" w:eastAsia="MS Mincho" w:hAnsiTheme="majorHAnsi"/>
          <w:color w:val="000000"/>
          <w:sz w:val="20"/>
          <w:szCs w:val="20"/>
          <w:lang w:val="es-CO"/>
        </w:rPr>
        <w:t>9</w:t>
      </w:r>
      <w:r w:rsidR="00FA4123" w:rsidRPr="004254B1">
        <w:rPr>
          <w:rFonts w:asciiTheme="majorHAnsi" w:eastAsia="MS Mincho" w:hAnsiTheme="majorHAnsi"/>
          <w:color w:val="000000"/>
          <w:sz w:val="20"/>
          <w:szCs w:val="20"/>
          <w:lang w:val="es-CO"/>
        </w:rPr>
        <w:t>61.19</w:t>
      </w:r>
      <w:r w:rsidRPr="004254B1">
        <w:rPr>
          <w:rFonts w:asciiTheme="majorHAnsi" w:eastAsia="MS Mincho" w:hAnsiTheme="majorHAnsi"/>
          <w:color w:val="000000"/>
          <w:sz w:val="20"/>
          <w:szCs w:val="20"/>
          <w:lang w:val="es-CO"/>
        </w:rPr>
        <w:t xml:space="preserve"> (</w:t>
      </w:r>
      <w:r w:rsidR="00FA4123" w:rsidRPr="004254B1">
        <w:rPr>
          <w:rFonts w:asciiTheme="majorHAnsi" w:eastAsia="MS Mincho" w:hAnsiTheme="majorHAnsi"/>
          <w:color w:val="000000"/>
          <w:sz w:val="20"/>
          <w:szCs w:val="20"/>
          <w:lang w:val="es-CO"/>
        </w:rPr>
        <w:t>cuarenta y dos mil novecientos sesenta y un dólares con diez y nueve centavos</w:t>
      </w:r>
      <w:r w:rsidRPr="004254B1">
        <w:rPr>
          <w:rFonts w:asciiTheme="majorHAnsi" w:eastAsia="MS Mincho" w:hAnsiTheme="majorHAnsi"/>
          <w:color w:val="000000"/>
          <w:sz w:val="20"/>
          <w:szCs w:val="20"/>
          <w:lang w:val="es-CO"/>
        </w:rPr>
        <w:t>)</w:t>
      </w:r>
      <w:r w:rsidRPr="004254B1">
        <w:rPr>
          <w:rStyle w:val="FootnoteReference"/>
          <w:rFonts w:asciiTheme="majorHAnsi" w:eastAsia="MS Mincho" w:hAnsiTheme="majorHAnsi"/>
          <w:color w:val="000000"/>
          <w:sz w:val="20"/>
          <w:szCs w:val="20"/>
          <w:lang w:val="es-CO"/>
        </w:rPr>
        <w:footnoteReference w:id="5"/>
      </w:r>
      <w:r w:rsidRPr="004254B1">
        <w:rPr>
          <w:rFonts w:asciiTheme="majorHAnsi" w:eastAsia="MS Mincho" w:hAnsiTheme="majorHAnsi"/>
          <w:color w:val="000000"/>
          <w:sz w:val="20"/>
          <w:szCs w:val="20"/>
          <w:lang w:val="es-CO"/>
        </w:rPr>
        <w:t xml:space="preserve">. </w:t>
      </w:r>
      <w:bookmarkEnd w:id="5"/>
      <w:r w:rsidRPr="004254B1">
        <w:rPr>
          <w:rFonts w:asciiTheme="majorHAnsi" w:eastAsia="MS Mincho" w:hAnsiTheme="majorHAnsi"/>
          <w:color w:val="000000"/>
          <w:sz w:val="20"/>
          <w:szCs w:val="20"/>
          <w:lang w:val="es-CO"/>
        </w:rPr>
        <w:t>Tomando en consideración los elementos de información anteriormente descriptos, la Comisión considera que las cláusulas 6 y 7 del acuerdo de solución amistosa se encuentran totalmente cumplidas y así lo declara.</w:t>
      </w:r>
    </w:p>
    <w:p w14:paraId="6A8C2577" w14:textId="77777777" w:rsidR="00A83573" w:rsidRPr="004254B1" w:rsidRDefault="00A83573" w:rsidP="00A83573">
      <w:pPr>
        <w:pStyle w:val="ListParagraph"/>
        <w:rPr>
          <w:rFonts w:asciiTheme="majorHAnsi" w:eastAsia="MS Mincho" w:hAnsiTheme="majorHAnsi"/>
          <w:sz w:val="20"/>
          <w:szCs w:val="20"/>
          <w:lang w:val="es-CO"/>
        </w:rPr>
      </w:pPr>
    </w:p>
    <w:p w14:paraId="45DAAB0D" w14:textId="7942DC05" w:rsidR="00A83573" w:rsidRPr="004254B1" w:rsidRDefault="00A83573"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4254B1">
        <w:rPr>
          <w:rFonts w:asciiTheme="majorHAnsi" w:eastAsia="MS Mincho" w:hAnsiTheme="majorHAnsi"/>
          <w:sz w:val="20"/>
          <w:szCs w:val="20"/>
          <w:lang w:val="es-CO"/>
        </w:rPr>
        <w:t xml:space="preserve">La Comisión observa con satisfacción que a través del cumplimiento íntegro de los acuerdos de solución amistosa relacionados con el presente Informe de Homologación y con los Informes No. 105/19 (Caso 12.961 A, Bolívar Salgado </w:t>
      </w:r>
      <w:proofErr w:type="spellStart"/>
      <w:r w:rsidRPr="004254B1">
        <w:rPr>
          <w:rFonts w:asciiTheme="majorHAnsi" w:eastAsia="MS Mincho" w:hAnsiTheme="majorHAnsi"/>
          <w:sz w:val="20"/>
          <w:szCs w:val="20"/>
          <w:lang w:val="es-CO"/>
        </w:rPr>
        <w:t>Welban</w:t>
      </w:r>
      <w:proofErr w:type="spellEnd"/>
      <w:r w:rsidRPr="004254B1">
        <w:rPr>
          <w:rFonts w:asciiTheme="majorHAnsi" w:eastAsia="MS Mincho" w:hAnsiTheme="majorHAnsi"/>
          <w:sz w:val="20"/>
          <w:szCs w:val="20"/>
          <w:lang w:val="es-CO"/>
        </w:rPr>
        <w:t xml:space="preserve"> y otros); No. 101/19 (Caso 12.961 C, Marcial Coello Medina y otros)</w:t>
      </w:r>
      <w:r w:rsidR="0053700F" w:rsidRPr="004254B1">
        <w:rPr>
          <w:rFonts w:asciiTheme="majorHAnsi" w:eastAsia="MS Mincho" w:hAnsiTheme="majorHAnsi"/>
          <w:sz w:val="20"/>
          <w:szCs w:val="20"/>
          <w:lang w:val="es-CO"/>
        </w:rPr>
        <w:t>;</w:t>
      </w:r>
      <w:r w:rsidRPr="004254B1">
        <w:rPr>
          <w:rFonts w:asciiTheme="majorHAnsi" w:eastAsia="MS Mincho" w:hAnsiTheme="majorHAnsi"/>
          <w:sz w:val="20"/>
          <w:szCs w:val="20"/>
          <w:lang w:val="es-CO"/>
        </w:rPr>
        <w:t xml:space="preserve"> No. 104/19 (Caso 12.961 D, Jorge Enrique Valladares </w:t>
      </w:r>
      <w:proofErr w:type="spellStart"/>
      <w:r w:rsidRPr="004254B1">
        <w:rPr>
          <w:rFonts w:asciiTheme="majorHAnsi" w:eastAsia="MS Mincho" w:hAnsiTheme="majorHAnsi"/>
          <w:sz w:val="20"/>
          <w:szCs w:val="20"/>
          <w:lang w:val="es-CO"/>
        </w:rPr>
        <w:t>Argueñal</w:t>
      </w:r>
      <w:proofErr w:type="spellEnd"/>
      <w:r w:rsidRPr="004254B1">
        <w:rPr>
          <w:rFonts w:asciiTheme="majorHAnsi" w:eastAsia="MS Mincho" w:hAnsiTheme="majorHAnsi"/>
          <w:sz w:val="20"/>
          <w:szCs w:val="20"/>
          <w:lang w:val="es-CO"/>
        </w:rPr>
        <w:t xml:space="preserve"> y otros)</w:t>
      </w:r>
      <w:r w:rsidR="0053700F" w:rsidRPr="004254B1">
        <w:rPr>
          <w:rFonts w:asciiTheme="majorHAnsi" w:eastAsia="MS Mincho" w:hAnsiTheme="majorHAnsi"/>
          <w:sz w:val="20"/>
          <w:szCs w:val="20"/>
          <w:lang w:val="es-CO"/>
        </w:rPr>
        <w:t xml:space="preserve">; No. 42/21 (Caso 12.961 E, </w:t>
      </w:r>
      <w:proofErr w:type="spellStart"/>
      <w:r w:rsidR="0053700F" w:rsidRPr="004254B1">
        <w:rPr>
          <w:rFonts w:asciiTheme="majorHAnsi" w:eastAsia="MS Mincho" w:hAnsiTheme="majorHAnsi"/>
          <w:sz w:val="20"/>
          <w:szCs w:val="20"/>
          <w:lang w:val="es-CO"/>
        </w:rPr>
        <w:t>Ecar</w:t>
      </w:r>
      <w:proofErr w:type="spellEnd"/>
      <w:r w:rsidR="0053700F" w:rsidRPr="004254B1">
        <w:rPr>
          <w:rFonts w:asciiTheme="majorHAnsi" w:eastAsia="MS Mincho" w:hAnsiTheme="majorHAnsi"/>
          <w:sz w:val="20"/>
          <w:szCs w:val="20"/>
          <w:lang w:val="es-CO"/>
        </w:rPr>
        <w:t xml:space="preserve"> Fernando Zavala Valladares y Otros); y </w:t>
      </w:r>
      <w:r w:rsidRPr="004254B1">
        <w:rPr>
          <w:rFonts w:asciiTheme="majorHAnsi" w:eastAsia="MS Mincho" w:hAnsiTheme="majorHAnsi"/>
          <w:sz w:val="20"/>
          <w:szCs w:val="20"/>
          <w:lang w:val="es-CO"/>
        </w:rPr>
        <w:t>No. 20/20 (Caso 12.961 F, Miguel Ángel Chinchilla Erazo y otros)</w:t>
      </w:r>
      <w:bookmarkStart w:id="6" w:name="_Hlk80786561"/>
      <w:r w:rsidRPr="004254B1">
        <w:rPr>
          <w:rFonts w:asciiTheme="majorHAnsi" w:eastAsia="MS Mincho" w:hAnsiTheme="majorHAnsi"/>
          <w:sz w:val="20"/>
          <w:szCs w:val="20"/>
          <w:lang w:val="es-CO"/>
        </w:rPr>
        <w:t xml:space="preserve">, </w:t>
      </w:r>
      <w:bookmarkEnd w:id="6"/>
      <w:r w:rsidRPr="004254B1">
        <w:rPr>
          <w:rFonts w:asciiTheme="majorHAnsi" w:eastAsia="MS Mincho" w:hAnsiTheme="majorHAnsi"/>
          <w:sz w:val="20"/>
          <w:szCs w:val="20"/>
          <w:lang w:val="es-CO"/>
        </w:rPr>
        <w:t>el Estado ha cumplido con reparar a un total de 22</w:t>
      </w:r>
      <w:r w:rsidR="00CE7B4D" w:rsidRPr="004254B1">
        <w:rPr>
          <w:rFonts w:asciiTheme="majorHAnsi" w:eastAsia="MS Mincho" w:hAnsiTheme="majorHAnsi"/>
          <w:sz w:val="20"/>
          <w:szCs w:val="20"/>
          <w:lang w:val="es-CO"/>
        </w:rPr>
        <w:t>9</w:t>
      </w:r>
      <w:r w:rsidRPr="004254B1">
        <w:rPr>
          <w:rFonts w:asciiTheme="majorHAnsi" w:eastAsia="MS Mincho" w:hAnsiTheme="majorHAnsi"/>
          <w:sz w:val="20"/>
          <w:szCs w:val="20"/>
          <w:lang w:val="es-CO"/>
        </w:rPr>
        <w:t xml:space="preserve"> beneficiarios del caso original 12.961 (Juan González y otros). Por consiguiente, la CIDH valora altamente los esfuerzos desplegados por ambas partes durante las negociaciones relacionadas con estos asuntos para alcanzar estas soluciones amistosas que resultan compatible con el objeto y fin de la Convención.</w:t>
      </w:r>
    </w:p>
    <w:p w14:paraId="364690C8" w14:textId="77777777" w:rsidR="00A26422" w:rsidRPr="004254B1"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b/>
          <w:color w:val="000000"/>
          <w:sz w:val="20"/>
          <w:szCs w:val="20"/>
          <w:u w:val="single"/>
          <w:lang w:val="es-CO"/>
        </w:rPr>
      </w:pPr>
    </w:p>
    <w:p w14:paraId="5F6FDE33" w14:textId="77777777" w:rsidR="00CE7B4D" w:rsidRPr="004254B1"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4254B1">
        <w:rPr>
          <w:rFonts w:asciiTheme="majorHAnsi" w:eastAsia="MS Mincho" w:hAnsiTheme="majorHAnsi"/>
          <w:color w:val="000000"/>
          <w:sz w:val="20"/>
          <w:szCs w:val="20"/>
          <w:lang w:val="es-CO"/>
        </w:rPr>
        <w:t>Por lo demás, la Comisión considera que el resto del contenido del acuerdo es de carácter declarativo por lo que no correspondería la CIDH la supervisión su cumplimiento.</w:t>
      </w:r>
    </w:p>
    <w:p w14:paraId="61AC408A" w14:textId="77777777" w:rsidR="00CE7B4D" w:rsidRPr="004254B1" w:rsidRDefault="00CE7B4D" w:rsidP="00CE7B4D">
      <w:pPr>
        <w:pStyle w:val="ListParagraph"/>
        <w:rPr>
          <w:rFonts w:asciiTheme="majorHAnsi" w:hAnsiTheme="majorHAnsi" w:cs="Calibri"/>
          <w:sz w:val="20"/>
          <w:szCs w:val="20"/>
          <w:lang w:val="es-CO"/>
        </w:rPr>
      </w:pPr>
    </w:p>
    <w:p w14:paraId="59F5DB76" w14:textId="0C640792" w:rsidR="00CE7B4D" w:rsidRPr="004254B1"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4254B1">
        <w:rPr>
          <w:rFonts w:asciiTheme="majorHAnsi" w:hAnsiTheme="majorHAnsi" w:cs="Calibri"/>
          <w:sz w:val="20"/>
          <w:szCs w:val="20"/>
          <w:lang w:val="es-CO"/>
        </w:rPr>
        <w:t>Por lo anterior, la CIDH declara que el acuerdo de solución amistosa se encuentra totalmente cumplido.</w:t>
      </w:r>
      <w:r w:rsidR="00CE7B4D" w:rsidRPr="004254B1">
        <w:rPr>
          <w:rFonts w:asciiTheme="majorHAnsi" w:hAnsiTheme="majorHAnsi" w:cs="Calibri"/>
          <w:sz w:val="20"/>
          <w:szCs w:val="20"/>
          <w:lang w:val="es-CO"/>
        </w:rPr>
        <w:t xml:space="preserve"> </w:t>
      </w:r>
      <w:bookmarkStart w:id="7" w:name="_Hlk80786669"/>
      <w:r w:rsidR="00CE7B4D" w:rsidRPr="004254B1">
        <w:rPr>
          <w:rFonts w:ascii="Cambria" w:hAnsi="Cambria"/>
          <w:sz w:val="20"/>
          <w:szCs w:val="20"/>
          <w:bdr w:val="none" w:sz="0" w:space="0" w:color="auto" w:frame="1"/>
          <w:lang w:val="es-US"/>
        </w:rPr>
        <w:t xml:space="preserve">Consecuentemente, la Comisión dispone el cese del seguimiento y el cierre de este asunto. </w:t>
      </w:r>
      <w:bookmarkEnd w:id="7"/>
    </w:p>
    <w:p w14:paraId="4611B289" w14:textId="27DDE363" w:rsidR="00A26422" w:rsidRPr="004254B1" w:rsidRDefault="00A26422" w:rsidP="00A26422">
      <w:pPr>
        <w:pStyle w:val="ListParagraph"/>
        <w:rPr>
          <w:rFonts w:eastAsia="Times New Roman" w:cstheme="minorHAnsi"/>
          <w:color w:val="000000" w:themeColor="text1"/>
          <w:sz w:val="20"/>
          <w:szCs w:val="20"/>
          <w:bdr w:val="none" w:sz="0" w:space="0" w:color="auto"/>
          <w:lang w:val="es-CO" w:eastAsia="es-ES_tradnl"/>
        </w:rPr>
      </w:pPr>
    </w:p>
    <w:p w14:paraId="066902C4" w14:textId="7477C740" w:rsidR="00A26422" w:rsidRPr="004254B1" w:rsidRDefault="00A26422" w:rsidP="00A264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4254B1">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476F2535" w14:textId="77777777" w:rsidR="00A26422" w:rsidRPr="004254B1" w:rsidRDefault="00A26422" w:rsidP="00A2642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7C2FF8F9" w14:textId="576F5F38" w:rsidR="00CE7B4D" w:rsidRPr="004254B1" w:rsidRDefault="00A26422" w:rsidP="005D689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4254B1">
        <w:rPr>
          <w:rFonts w:asciiTheme="majorHAnsi" w:eastAsia="Times New Roman" w:hAnsiTheme="majorHAnsi" w:cstheme="minorHAnsi"/>
          <w:color w:val="000000" w:themeColor="text1"/>
          <w:sz w:val="20"/>
          <w:szCs w:val="20"/>
          <w:bdr w:val="none" w:sz="0" w:space="0" w:color="auto"/>
          <w:lang w:val="es-CO" w:eastAsia="es-ES_tradnl"/>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66A4BD6F" w14:textId="77777777" w:rsidR="00CE7B4D" w:rsidRPr="004254B1" w:rsidRDefault="00CE7B4D" w:rsidP="00CE7B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CO"/>
        </w:rPr>
      </w:pPr>
    </w:p>
    <w:p w14:paraId="08C2C79E" w14:textId="297803A1" w:rsidR="003E7EB5" w:rsidRPr="004254B1" w:rsidRDefault="00A26422" w:rsidP="00CE7B4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0"/>
        <w:jc w:val="both"/>
        <w:rPr>
          <w:rFonts w:asciiTheme="majorHAnsi" w:hAnsiTheme="majorHAnsi" w:cs="Calibri"/>
          <w:sz w:val="20"/>
          <w:szCs w:val="20"/>
          <w:lang w:val="es-CO"/>
        </w:rPr>
      </w:pPr>
      <w:r w:rsidRPr="004254B1">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0530BA08" w14:textId="77777777" w:rsidR="003E7EB5" w:rsidRPr="004254B1"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5E7C793" w14:textId="08065181" w:rsid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57180E0" w14:textId="1E6A085D" w:rsidR="004254B1" w:rsidRDefault="004254B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64CF9C58" w14:textId="0BADBD87" w:rsidR="004254B1" w:rsidRDefault="004254B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34CAA8D" w14:textId="4F37BA24" w:rsidR="004254B1" w:rsidRDefault="004254B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7ECC588" w14:textId="4162ACB3" w:rsidR="004254B1" w:rsidRDefault="004254B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01883502" w14:textId="77777777" w:rsidR="004254B1" w:rsidRPr="004254B1" w:rsidRDefault="004254B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57E05AB2" w14:textId="5FFB4449" w:rsidR="003E7EB5" w:rsidRPr="004254B1" w:rsidRDefault="003E7EB5" w:rsidP="00F71E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val="es-CO" w:eastAsia="es-ES_tradnl"/>
        </w:rPr>
      </w:pPr>
      <w:r w:rsidRPr="004254B1">
        <w:rPr>
          <w:rFonts w:ascii="Cambria" w:eastAsia="Times New Roman" w:hAnsi="Cambria" w:cstheme="minorHAnsi"/>
          <w:b/>
          <w:bCs/>
          <w:color w:val="000000" w:themeColor="text1"/>
          <w:sz w:val="20"/>
          <w:szCs w:val="20"/>
          <w:bdr w:val="none" w:sz="0" w:space="0" w:color="auto"/>
          <w:lang w:val="es-CO" w:eastAsia="es-ES_tradnl"/>
        </w:rPr>
        <w:lastRenderedPageBreak/>
        <w:t>LA COMISIÓN INTERAMERICANA DE DERECHOS HUMANOS</w:t>
      </w:r>
    </w:p>
    <w:p w14:paraId="55044816" w14:textId="77777777" w:rsidR="003E7EB5" w:rsidRPr="004254B1"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04E63A3" w14:textId="77777777" w:rsidR="003E7EB5" w:rsidRPr="004254B1" w:rsidRDefault="003E7EB5" w:rsidP="00F71E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4254B1">
        <w:rPr>
          <w:rFonts w:ascii="Cambria" w:eastAsia="Times New Roman" w:hAnsi="Cambria" w:cstheme="minorHAnsi"/>
          <w:b/>
          <w:bCs/>
          <w:color w:val="000000" w:themeColor="text1"/>
          <w:sz w:val="20"/>
          <w:szCs w:val="20"/>
          <w:bdr w:val="none" w:sz="0" w:space="0" w:color="auto"/>
          <w:lang w:val="es-CO" w:eastAsia="es-ES_tradnl"/>
        </w:rPr>
        <w:t xml:space="preserve">DECIDE: </w:t>
      </w:r>
    </w:p>
    <w:p w14:paraId="7A51306A" w14:textId="77777777" w:rsidR="003E7EB5" w:rsidRPr="004254B1"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5F5A6219" w14:textId="77777777" w:rsidR="00EC2FC4" w:rsidRPr="004254B1" w:rsidRDefault="00EC2FC4" w:rsidP="00EC2F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p>
    <w:p w14:paraId="4E9BEAAF" w14:textId="6C68C7BA" w:rsidR="00A26422" w:rsidRPr="004254B1" w:rsidRDefault="00A26422" w:rsidP="00A2642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4254B1">
        <w:rPr>
          <w:rFonts w:asciiTheme="majorHAnsi" w:eastAsia="MS Mincho" w:hAnsiTheme="majorHAnsi"/>
          <w:sz w:val="20"/>
          <w:szCs w:val="20"/>
          <w:lang w:val="es-CO"/>
        </w:rPr>
        <w:t xml:space="preserve">Aprobar los términos del </w:t>
      </w:r>
      <w:r w:rsidR="00CE7B4D" w:rsidRPr="004254B1">
        <w:rPr>
          <w:rFonts w:asciiTheme="majorHAnsi" w:eastAsia="MS Mincho" w:hAnsiTheme="majorHAnsi"/>
          <w:sz w:val="20"/>
          <w:szCs w:val="20"/>
          <w:lang w:val="es-CO"/>
        </w:rPr>
        <w:t>a</w:t>
      </w:r>
      <w:r w:rsidRPr="004254B1">
        <w:rPr>
          <w:rFonts w:asciiTheme="majorHAnsi" w:eastAsia="MS Mincho" w:hAnsiTheme="majorHAnsi"/>
          <w:sz w:val="20"/>
          <w:szCs w:val="20"/>
          <w:lang w:val="es-CO"/>
        </w:rPr>
        <w:t xml:space="preserve">cuerdo </w:t>
      </w:r>
      <w:r w:rsidRPr="004254B1">
        <w:rPr>
          <w:rFonts w:asciiTheme="majorHAnsi" w:eastAsia="Times New Roman" w:hAnsiTheme="majorHAnsi"/>
          <w:sz w:val="20"/>
          <w:szCs w:val="20"/>
          <w:lang w:val="es-CO"/>
        </w:rPr>
        <w:t xml:space="preserve">de </w:t>
      </w:r>
      <w:r w:rsidR="00CE7B4D" w:rsidRPr="004254B1">
        <w:rPr>
          <w:rFonts w:asciiTheme="majorHAnsi" w:eastAsia="Times New Roman" w:hAnsiTheme="majorHAnsi"/>
          <w:sz w:val="20"/>
          <w:szCs w:val="20"/>
          <w:lang w:val="es-CO"/>
        </w:rPr>
        <w:t>s</w:t>
      </w:r>
      <w:r w:rsidRPr="004254B1">
        <w:rPr>
          <w:rFonts w:asciiTheme="majorHAnsi" w:eastAsia="Times New Roman" w:hAnsiTheme="majorHAnsi"/>
          <w:sz w:val="20"/>
          <w:szCs w:val="20"/>
          <w:lang w:val="es-CO"/>
        </w:rPr>
        <w:t xml:space="preserve">olución </w:t>
      </w:r>
      <w:r w:rsidR="00CE7B4D" w:rsidRPr="004254B1">
        <w:rPr>
          <w:rFonts w:asciiTheme="majorHAnsi" w:eastAsia="Times New Roman" w:hAnsiTheme="majorHAnsi"/>
          <w:sz w:val="20"/>
          <w:szCs w:val="20"/>
          <w:lang w:val="es-CO"/>
        </w:rPr>
        <w:t>a</w:t>
      </w:r>
      <w:r w:rsidRPr="004254B1">
        <w:rPr>
          <w:rFonts w:asciiTheme="majorHAnsi" w:eastAsia="Times New Roman" w:hAnsiTheme="majorHAnsi"/>
          <w:sz w:val="20"/>
          <w:szCs w:val="20"/>
          <w:lang w:val="es-CO"/>
        </w:rPr>
        <w:t xml:space="preserve">mistosa </w:t>
      </w:r>
      <w:r w:rsidRPr="004254B1">
        <w:rPr>
          <w:rFonts w:asciiTheme="majorHAnsi" w:eastAsia="MS Mincho" w:hAnsiTheme="majorHAnsi"/>
          <w:sz w:val="20"/>
          <w:szCs w:val="20"/>
          <w:lang w:val="es-CO"/>
        </w:rPr>
        <w:t>suscrito</w:t>
      </w:r>
      <w:r w:rsidRPr="004254B1">
        <w:rPr>
          <w:rFonts w:asciiTheme="majorHAnsi" w:eastAsia="Times New Roman" w:hAnsiTheme="majorHAnsi"/>
          <w:sz w:val="20"/>
          <w:szCs w:val="20"/>
          <w:lang w:val="es-CO"/>
        </w:rPr>
        <w:t xml:space="preserve"> </w:t>
      </w:r>
      <w:r w:rsidRPr="004254B1">
        <w:rPr>
          <w:rFonts w:asciiTheme="majorHAnsi" w:eastAsia="MS Mincho" w:hAnsiTheme="majorHAnsi"/>
          <w:sz w:val="20"/>
          <w:szCs w:val="20"/>
          <w:lang w:val="es-CO"/>
        </w:rPr>
        <w:t xml:space="preserve">por las partes el </w:t>
      </w:r>
      <w:r w:rsidRPr="004254B1">
        <w:rPr>
          <w:rFonts w:asciiTheme="majorHAnsi" w:eastAsia="Times New Roman" w:hAnsiTheme="majorHAnsi"/>
          <w:sz w:val="20"/>
          <w:szCs w:val="20"/>
          <w:lang w:val="es-CO"/>
        </w:rPr>
        <w:t>2</w:t>
      </w:r>
      <w:r w:rsidR="00EC2FC4" w:rsidRPr="004254B1">
        <w:rPr>
          <w:rFonts w:asciiTheme="majorHAnsi" w:eastAsia="Times New Roman" w:hAnsiTheme="majorHAnsi"/>
          <w:sz w:val="20"/>
          <w:szCs w:val="20"/>
          <w:lang w:val="es-CO"/>
        </w:rPr>
        <w:t>9</w:t>
      </w:r>
      <w:r w:rsidRPr="004254B1">
        <w:rPr>
          <w:rFonts w:asciiTheme="majorHAnsi" w:eastAsia="Times New Roman" w:hAnsiTheme="majorHAnsi"/>
          <w:sz w:val="20"/>
          <w:szCs w:val="20"/>
          <w:lang w:val="es-CO"/>
        </w:rPr>
        <w:t xml:space="preserve"> de junio de 20</w:t>
      </w:r>
      <w:r w:rsidR="00EC2FC4" w:rsidRPr="004254B1">
        <w:rPr>
          <w:rFonts w:asciiTheme="majorHAnsi" w:eastAsia="Times New Roman" w:hAnsiTheme="majorHAnsi"/>
          <w:sz w:val="20"/>
          <w:szCs w:val="20"/>
          <w:lang w:val="es-CO"/>
        </w:rPr>
        <w:t>21</w:t>
      </w:r>
      <w:r w:rsidRPr="004254B1">
        <w:rPr>
          <w:rFonts w:asciiTheme="majorHAnsi" w:eastAsia="Times New Roman" w:hAnsiTheme="majorHAnsi"/>
          <w:sz w:val="20"/>
          <w:szCs w:val="20"/>
          <w:lang w:val="es-CO"/>
        </w:rPr>
        <w:t>.</w:t>
      </w:r>
    </w:p>
    <w:p w14:paraId="4E870BBA" w14:textId="77777777" w:rsidR="00A26422" w:rsidRPr="004254B1"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eastAsia="MS Mincho" w:hAnsiTheme="majorHAnsi"/>
          <w:sz w:val="20"/>
          <w:szCs w:val="20"/>
          <w:lang w:val="es-CO"/>
        </w:rPr>
      </w:pPr>
    </w:p>
    <w:p w14:paraId="2DD9CDEA" w14:textId="444936E5" w:rsidR="00A26422" w:rsidRPr="004254B1" w:rsidRDefault="00A26422" w:rsidP="00A2642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bookmarkStart w:id="8" w:name="_Hlk80786736"/>
      <w:r w:rsidRPr="004254B1">
        <w:rPr>
          <w:rFonts w:asciiTheme="majorHAnsi" w:hAnsiTheme="majorHAnsi"/>
          <w:sz w:val="20"/>
          <w:szCs w:val="20"/>
          <w:lang w:val="es-CO"/>
        </w:rPr>
        <w:t>Declarar cumplidos los puntos 6</w:t>
      </w:r>
      <w:r w:rsidR="004D4D26" w:rsidRPr="004254B1">
        <w:rPr>
          <w:rFonts w:asciiTheme="majorHAnsi" w:hAnsiTheme="majorHAnsi"/>
          <w:sz w:val="20"/>
          <w:szCs w:val="20"/>
          <w:lang w:val="es-CO"/>
        </w:rPr>
        <w:t xml:space="preserve"> </w:t>
      </w:r>
      <w:r w:rsidR="004D4D26" w:rsidRPr="004254B1">
        <w:rPr>
          <w:rFonts w:asciiTheme="majorHAnsi" w:eastAsia="MS Mincho" w:hAnsiTheme="majorHAnsi"/>
          <w:sz w:val="20"/>
          <w:szCs w:val="20"/>
          <w:lang w:val="es-CO"/>
        </w:rPr>
        <w:t>(Satisfacción de los peticionarios)</w:t>
      </w:r>
      <w:r w:rsidRPr="004254B1">
        <w:rPr>
          <w:rFonts w:asciiTheme="majorHAnsi" w:hAnsiTheme="majorHAnsi"/>
          <w:sz w:val="20"/>
          <w:szCs w:val="20"/>
          <w:lang w:val="es-CO"/>
        </w:rPr>
        <w:t xml:space="preserve"> y 7</w:t>
      </w:r>
      <w:r w:rsidR="004D4D26" w:rsidRPr="004254B1">
        <w:rPr>
          <w:rFonts w:asciiTheme="majorHAnsi" w:eastAsia="MS Mincho" w:hAnsiTheme="majorHAnsi"/>
          <w:sz w:val="20"/>
          <w:szCs w:val="20"/>
          <w:lang w:val="es-CO"/>
        </w:rPr>
        <w:t>(Forma de pago de la reparación económica)</w:t>
      </w:r>
      <w:r w:rsidRPr="004254B1">
        <w:rPr>
          <w:rFonts w:asciiTheme="majorHAnsi" w:hAnsiTheme="majorHAnsi"/>
          <w:sz w:val="20"/>
          <w:szCs w:val="20"/>
          <w:lang w:val="es-CO"/>
        </w:rPr>
        <w:t xml:space="preserve">, </w:t>
      </w:r>
      <w:r w:rsidR="00CE7B4D" w:rsidRPr="004254B1">
        <w:rPr>
          <w:rFonts w:asciiTheme="majorHAnsi" w:hAnsiTheme="majorHAnsi"/>
          <w:sz w:val="20"/>
          <w:szCs w:val="20"/>
          <w:lang w:val="es-CO"/>
        </w:rPr>
        <w:t>según el</w:t>
      </w:r>
      <w:r w:rsidRPr="004254B1">
        <w:rPr>
          <w:rFonts w:asciiTheme="majorHAnsi" w:hAnsiTheme="majorHAnsi"/>
          <w:sz w:val="20"/>
          <w:szCs w:val="20"/>
          <w:lang w:val="es-CO"/>
        </w:rPr>
        <w:t xml:space="preserve"> análisis contenido en este informe. </w:t>
      </w:r>
    </w:p>
    <w:bookmarkEnd w:id="8"/>
    <w:p w14:paraId="17BD60B4" w14:textId="77777777" w:rsidR="00A26422" w:rsidRPr="004254B1" w:rsidRDefault="00A26422" w:rsidP="00A26422">
      <w:pPr>
        <w:pStyle w:val="ListParagraph"/>
        <w:ind w:left="0" w:firstLine="720"/>
        <w:rPr>
          <w:rFonts w:asciiTheme="majorHAnsi" w:hAnsiTheme="majorHAnsi"/>
          <w:sz w:val="20"/>
          <w:szCs w:val="20"/>
          <w:lang w:val="es-CO"/>
        </w:rPr>
      </w:pPr>
    </w:p>
    <w:p w14:paraId="39A8DC23" w14:textId="77777777" w:rsidR="00C8291A" w:rsidRPr="004254B1"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4254B1">
        <w:rPr>
          <w:rFonts w:asciiTheme="majorHAnsi" w:hAnsiTheme="majorHAnsi"/>
          <w:sz w:val="20"/>
          <w:szCs w:val="20"/>
          <w:lang w:val="es-CO"/>
        </w:rPr>
        <w:t xml:space="preserve">Declarar cumplido totalmente el </w:t>
      </w:r>
      <w:r w:rsidR="00CE7B4D" w:rsidRPr="004254B1">
        <w:rPr>
          <w:rFonts w:asciiTheme="majorHAnsi" w:hAnsiTheme="majorHAnsi"/>
          <w:sz w:val="20"/>
          <w:szCs w:val="20"/>
          <w:lang w:val="es-CO"/>
        </w:rPr>
        <w:t>a</w:t>
      </w:r>
      <w:r w:rsidRPr="004254B1">
        <w:rPr>
          <w:rFonts w:asciiTheme="majorHAnsi" w:hAnsiTheme="majorHAnsi"/>
          <w:sz w:val="20"/>
          <w:szCs w:val="20"/>
          <w:lang w:val="es-CO"/>
        </w:rPr>
        <w:t xml:space="preserve">cuerdo de </w:t>
      </w:r>
      <w:r w:rsidR="00CE7B4D" w:rsidRPr="004254B1">
        <w:rPr>
          <w:rFonts w:asciiTheme="majorHAnsi" w:hAnsiTheme="majorHAnsi"/>
          <w:sz w:val="20"/>
          <w:szCs w:val="20"/>
          <w:lang w:val="es-CO"/>
        </w:rPr>
        <w:t>s</w:t>
      </w:r>
      <w:r w:rsidRPr="004254B1">
        <w:rPr>
          <w:rFonts w:asciiTheme="majorHAnsi" w:hAnsiTheme="majorHAnsi"/>
          <w:sz w:val="20"/>
          <w:szCs w:val="20"/>
          <w:lang w:val="es-CO"/>
        </w:rPr>
        <w:t xml:space="preserve">olución </w:t>
      </w:r>
      <w:r w:rsidR="00CE7B4D" w:rsidRPr="004254B1">
        <w:rPr>
          <w:rFonts w:asciiTheme="majorHAnsi" w:hAnsiTheme="majorHAnsi"/>
          <w:sz w:val="20"/>
          <w:szCs w:val="20"/>
          <w:lang w:val="es-CO"/>
        </w:rPr>
        <w:t>a</w:t>
      </w:r>
      <w:r w:rsidRPr="004254B1">
        <w:rPr>
          <w:rFonts w:asciiTheme="majorHAnsi" w:hAnsiTheme="majorHAnsi"/>
          <w:sz w:val="20"/>
          <w:szCs w:val="20"/>
          <w:lang w:val="es-CO"/>
        </w:rPr>
        <w:t>mistosa</w:t>
      </w:r>
      <w:r w:rsidR="00CE7B4D" w:rsidRPr="004254B1">
        <w:rPr>
          <w:rFonts w:asciiTheme="majorHAnsi" w:hAnsiTheme="majorHAnsi"/>
          <w:sz w:val="20"/>
          <w:szCs w:val="20"/>
          <w:lang w:val="es-CO"/>
        </w:rPr>
        <w:t xml:space="preserve">, según el análisis contenido en este informe y </w:t>
      </w:r>
      <w:r w:rsidR="00CE7B4D" w:rsidRPr="004254B1">
        <w:rPr>
          <w:rFonts w:eastAsia="Arial Unicode MS" w:cs="Times New Roman"/>
          <w:sz w:val="20"/>
          <w:szCs w:val="20"/>
          <w:lang w:val="es-US"/>
        </w:rPr>
        <w:t>en tal sentido disponer el cese del seguimiento y cierre del asunto.</w:t>
      </w:r>
    </w:p>
    <w:p w14:paraId="1E11F0B3" w14:textId="77777777" w:rsidR="00C8291A" w:rsidRPr="004254B1" w:rsidRDefault="00C8291A" w:rsidP="00C8291A">
      <w:pPr>
        <w:pStyle w:val="ListParagraph"/>
        <w:rPr>
          <w:rFonts w:asciiTheme="majorHAnsi" w:eastAsia="MS Mincho" w:hAnsiTheme="majorHAnsi"/>
          <w:sz w:val="20"/>
          <w:szCs w:val="20"/>
          <w:lang w:val="es-CO"/>
        </w:rPr>
      </w:pPr>
    </w:p>
    <w:p w14:paraId="5A513C06" w14:textId="76A7A072" w:rsidR="00722C9F" w:rsidRPr="005D6890"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4254B1">
        <w:rPr>
          <w:rFonts w:asciiTheme="majorHAnsi" w:eastAsia="MS Mincho" w:hAnsiTheme="majorHAnsi"/>
          <w:sz w:val="20"/>
          <w:szCs w:val="20"/>
          <w:lang w:val="es-CO"/>
        </w:rPr>
        <w:t>Hacer público el presente informe e incluirlo en su Informe Anual a la Asamblea General de la OEA.</w:t>
      </w:r>
    </w:p>
    <w:p w14:paraId="363D681C" w14:textId="77777777" w:rsidR="00041050" w:rsidRPr="005D6890" w:rsidRDefault="00041050" w:rsidP="005D6890">
      <w:pPr>
        <w:pStyle w:val="ListParagraph"/>
        <w:rPr>
          <w:rFonts w:asciiTheme="majorHAnsi" w:hAnsiTheme="majorHAnsi"/>
          <w:sz w:val="20"/>
          <w:szCs w:val="20"/>
          <w:lang w:val="es-CO"/>
        </w:rPr>
      </w:pPr>
    </w:p>
    <w:p w14:paraId="1F0BE12F" w14:textId="1A148802" w:rsidR="0046436C" w:rsidRPr="00D55E20" w:rsidRDefault="0046436C" w:rsidP="0046436C">
      <w:pPr>
        <w:tabs>
          <w:tab w:val="center" w:pos="720"/>
        </w:tabs>
        <w:suppressAutoHyphens/>
        <w:ind w:firstLine="720"/>
        <w:jc w:val="both"/>
        <w:rPr>
          <w:rFonts w:ascii="Cambria" w:hAnsi="Cambria"/>
          <w:sz w:val="20"/>
          <w:szCs w:val="20"/>
          <w:lang w:val="es-CO"/>
        </w:rPr>
      </w:pPr>
      <w:r w:rsidRPr="00D55E20">
        <w:rPr>
          <w:rFonts w:ascii="Cambria" w:hAnsi="Cambria"/>
          <w:sz w:val="20"/>
          <w:szCs w:val="20"/>
          <w:lang w:val="es-ES"/>
        </w:rPr>
        <w:t xml:space="preserve">Aprobado por la Comisión Interamericana de Derechos Humanos a los </w:t>
      </w:r>
      <w:r>
        <w:rPr>
          <w:rFonts w:ascii="Cambria" w:hAnsi="Cambria"/>
          <w:sz w:val="20"/>
          <w:szCs w:val="20"/>
          <w:lang w:val="es-ES"/>
        </w:rPr>
        <w:t>4</w:t>
      </w:r>
      <w:r w:rsidRPr="00D55E20">
        <w:rPr>
          <w:rFonts w:ascii="Cambria" w:hAnsi="Cambria"/>
          <w:sz w:val="20"/>
          <w:szCs w:val="20"/>
          <w:lang w:val="es-ES"/>
        </w:rPr>
        <w:t xml:space="preserve"> días del mes de </w:t>
      </w:r>
      <w:r>
        <w:rPr>
          <w:rFonts w:ascii="Cambria" w:hAnsi="Cambria"/>
          <w:sz w:val="20"/>
          <w:szCs w:val="20"/>
          <w:lang w:val="es-CL"/>
        </w:rPr>
        <w:t>septiembre</w:t>
      </w:r>
      <w:r w:rsidRPr="00D55E20">
        <w:rPr>
          <w:rFonts w:ascii="Cambria" w:hAnsi="Cambria"/>
          <w:sz w:val="20"/>
          <w:szCs w:val="20"/>
          <w:lang w:val="es-ES"/>
        </w:rPr>
        <w:t xml:space="preserve"> de 2021. (Firmado): Antonia Urrejola</w:t>
      </w:r>
      <w:r>
        <w:rPr>
          <w:rFonts w:ascii="Cambria" w:hAnsi="Cambria"/>
          <w:sz w:val="20"/>
          <w:szCs w:val="20"/>
          <w:lang w:val="es-ES"/>
        </w:rPr>
        <w:t>,</w:t>
      </w:r>
      <w:r w:rsidRPr="00D55E20">
        <w:rPr>
          <w:rFonts w:ascii="Cambria" w:hAnsi="Cambria"/>
          <w:sz w:val="20"/>
          <w:szCs w:val="20"/>
          <w:lang w:val="es-ES"/>
        </w:rPr>
        <w:t xml:space="preserve"> </w:t>
      </w:r>
      <w:proofErr w:type="gramStart"/>
      <w:r w:rsidRPr="00D55E20">
        <w:rPr>
          <w:rFonts w:ascii="Cambria" w:hAnsi="Cambria"/>
          <w:sz w:val="20"/>
          <w:szCs w:val="20"/>
          <w:lang w:val="es-ES"/>
        </w:rPr>
        <w:t>Presidenta</w:t>
      </w:r>
      <w:proofErr w:type="gramEnd"/>
      <w:r w:rsidRPr="00D55E20">
        <w:rPr>
          <w:rFonts w:ascii="Cambria" w:hAnsi="Cambria"/>
          <w:sz w:val="20"/>
          <w:szCs w:val="20"/>
          <w:lang w:val="es-ES"/>
        </w:rPr>
        <w:t>; Julissa Mantilla Falcón, Primera Vice</w:t>
      </w:r>
      <w:r>
        <w:rPr>
          <w:rFonts w:ascii="Cambria" w:hAnsi="Cambria"/>
          <w:sz w:val="20"/>
          <w:szCs w:val="20"/>
          <w:lang w:val="es-ES"/>
        </w:rPr>
        <w:t>p</w:t>
      </w:r>
      <w:r w:rsidRPr="00D55E20">
        <w:rPr>
          <w:rFonts w:ascii="Cambria" w:hAnsi="Cambria"/>
          <w:sz w:val="20"/>
          <w:szCs w:val="20"/>
          <w:lang w:val="es-ES"/>
        </w:rPr>
        <w:t>residenta; Flavia Piovesan</w:t>
      </w:r>
      <w:r>
        <w:rPr>
          <w:rFonts w:ascii="Cambria" w:hAnsi="Cambria"/>
          <w:sz w:val="20"/>
          <w:szCs w:val="20"/>
          <w:lang w:val="es-ES"/>
        </w:rPr>
        <w:t>,</w:t>
      </w:r>
      <w:r w:rsidRPr="00D55E20">
        <w:rPr>
          <w:rFonts w:ascii="Cambria" w:hAnsi="Cambria"/>
          <w:sz w:val="20"/>
          <w:szCs w:val="20"/>
          <w:lang w:val="es-ES"/>
        </w:rPr>
        <w:t xml:space="preserve"> Segunda Vice</w:t>
      </w:r>
      <w:r>
        <w:rPr>
          <w:rFonts w:ascii="Cambria" w:hAnsi="Cambria"/>
          <w:sz w:val="20"/>
          <w:szCs w:val="20"/>
          <w:lang w:val="es-ES"/>
        </w:rPr>
        <w:t>p</w:t>
      </w:r>
      <w:r w:rsidRPr="00D55E20">
        <w:rPr>
          <w:rFonts w:ascii="Cambria" w:hAnsi="Cambria"/>
          <w:sz w:val="20"/>
          <w:szCs w:val="20"/>
          <w:lang w:val="es-ES"/>
        </w:rPr>
        <w:t>residenta</w:t>
      </w:r>
      <w:r>
        <w:rPr>
          <w:rFonts w:ascii="Cambria" w:hAnsi="Cambria"/>
          <w:sz w:val="20"/>
          <w:szCs w:val="20"/>
          <w:lang w:val="es-ES"/>
        </w:rPr>
        <w:t>;</w:t>
      </w:r>
      <w:r w:rsidRPr="00D55E20">
        <w:rPr>
          <w:rFonts w:ascii="Cambria" w:hAnsi="Cambria"/>
          <w:sz w:val="20"/>
          <w:szCs w:val="20"/>
          <w:lang w:val="es-ES"/>
        </w:rPr>
        <w:t xml:space="preserve"> Margarette May Macaulay</w:t>
      </w:r>
      <w:r>
        <w:rPr>
          <w:rFonts w:ascii="Cambria" w:hAnsi="Cambria"/>
          <w:sz w:val="20"/>
          <w:szCs w:val="20"/>
          <w:lang w:val="es-ES"/>
        </w:rPr>
        <w:t>;</w:t>
      </w:r>
      <w:r w:rsidRPr="00D55E20">
        <w:rPr>
          <w:rFonts w:ascii="Cambria" w:hAnsi="Cambria"/>
          <w:sz w:val="20"/>
          <w:szCs w:val="20"/>
          <w:lang w:val="es-ES"/>
        </w:rPr>
        <w:t xml:space="preserve"> Esmeralda E. Arosemena Bernal de Troitiño</w:t>
      </w:r>
      <w:r>
        <w:rPr>
          <w:rFonts w:ascii="Cambria" w:hAnsi="Cambria"/>
          <w:sz w:val="20"/>
          <w:szCs w:val="20"/>
          <w:lang w:val="es-ES"/>
        </w:rPr>
        <w:t>;</w:t>
      </w:r>
      <w:r w:rsidRPr="00D55E20">
        <w:rPr>
          <w:rFonts w:ascii="Cambria" w:hAnsi="Cambria"/>
          <w:sz w:val="20"/>
          <w:szCs w:val="20"/>
          <w:lang w:val="es-ES"/>
        </w:rPr>
        <w:t xml:space="preserve"> Edgar Stuardo Ralón Orellana, y Joel Hernández García Miembros de la Comisión.</w:t>
      </w:r>
    </w:p>
    <w:p w14:paraId="2CE48C8B" w14:textId="77777777" w:rsidR="00041050" w:rsidRPr="004254B1" w:rsidRDefault="00041050" w:rsidP="005D689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p>
    <w:sectPr w:rsidR="00041050" w:rsidRPr="004254B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4F12" w14:textId="77777777" w:rsidR="00E46327" w:rsidRDefault="00E46327">
      <w:r>
        <w:separator/>
      </w:r>
    </w:p>
  </w:endnote>
  <w:endnote w:type="continuationSeparator" w:id="0">
    <w:p w14:paraId="3EC37D53" w14:textId="77777777" w:rsidR="00E46327" w:rsidRDefault="00E4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C4E8EF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2CCEE2BC"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85DC" w14:textId="77777777" w:rsidR="0070697F" w:rsidRPr="00934A2C" w:rsidRDefault="0070697F">
    <w:pPr>
      <w:pStyle w:val="Footer"/>
      <w:jc w:val="center"/>
      <w:rPr>
        <w:sz w:val="16"/>
        <w:szCs w:val="22"/>
      </w:rPr>
    </w:pPr>
  </w:p>
  <w:p w14:paraId="7AA0F580"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7702" w14:textId="77777777" w:rsidR="00E46327" w:rsidRPr="000F35ED" w:rsidRDefault="00E463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B829A0" w14:textId="77777777" w:rsidR="00E46327" w:rsidRPr="000F35ED" w:rsidRDefault="00E46327" w:rsidP="000F35ED">
      <w:pPr>
        <w:rPr>
          <w:rFonts w:asciiTheme="majorHAnsi" w:hAnsiTheme="majorHAnsi"/>
          <w:sz w:val="16"/>
          <w:szCs w:val="16"/>
        </w:rPr>
      </w:pPr>
      <w:r w:rsidRPr="000F35ED">
        <w:rPr>
          <w:rFonts w:asciiTheme="majorHAnsi" w:hAnsiTheme="majorHAnsi"/>
          <w:sz w:val="16"/>
          <w:szCs w:val="16"/>
        </w:rPr>
        <w:separator/>
      </w:r>
    </w:p>
    <w:p w14:paraId="1121A111" w14:textId="77777777" w:rsidR="00E46327" w:rsidRPr="000F35ED" w:rsidRDefault="00E4632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86845B1" w14:textId="77777777" w:rsidR="00E46327" w:rsidRPr="000F35ED" w:rsidRDefault="00E463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4AB41F" w14:textId="51B4B641" w:rsidR="00CF0CBE" w:rsidRPr="0053700F" w:rsidRDefault="00CF0CBE" w:rsidP="0053700F">
      <w:pPr>
        <w:pStyle w:val="FootnoteText"/>
        <w:ind w:firstLine="720"/>
        <w:jc w:val="both"/>
        <w:rPr>
          <w:rFonts w:asciiTheme="majorHAnsi" w:hAnsiTheme="majorHAnsi"/>
          <w:sz w:val="16"/>
          <w:szCs w:val="16"/>
          <w:lang w:val="es-ES"/>
        </w:rPr>
      </w:pPr>
      <w:r w:rsidRPr="0053700F">
        <w:rPr>
          <w:rStyle w:val="FootnoteReference"/>
          <w:rFonts w:asciiTheme="majorHAnsi" w:hAnsiTheme="majorHAnsi"/>
          <w:sz w:val="16"/>
          <w:szCs w:val="16"/>
        </w:rPr>
        <w:footnoteRef/>
      </w:r>
      <w:r w:rsidRPr="0053700F">
        <w:rPr>
          <w:rFonts w:asciiTheme="majorHAnsi" w:hAnsiTheme="majorHAnsi"/>
          <w:sz w:val="16"/>
          <w:szCs w:val="16"/>
          <w:lang w:val="es-ES"/>
        </w:rPr>
        <w:t xml:space="preserve"> Es de indicar que este ASA es 1 de </w:t>
      </w:r>
      <w:r w:rsidR="00BA4D91" w:rsidRPr="0053700F">
        <w:rPr>
          <w:rFonts w:asciiTheme="majorHAnsi" w:hAnsiTheme="majorHAnsi"/>
          <w:sz w:val="16"/>
          <w:szCs w:val="16"/>
          <w:lang w:val="es-ES"/>
        </w:rPr>
        <w:t>8</w:t>
      </w:r>
      <w:r w:rsidRPr="0053700F">
        <w:rPr>
          <w:rFonts w:asciiTheme="majorHAnsi" w:hAnsiTheme="majorHAnsi"/>
          <w:sz w:val="16"/>
          <w:szCs w:val="16"/>
          <w:lang w:val="es-ES"/>
        </w:rPr>
        <w:t xml:space="preserve"> acuerdos suscritos entre el 1 de diciembre de 2018 y el </w:t>
      </w:r>
      <w:r w:rsidR="00282939" w:rsidRPr="004254B1">
        <w:rPr>
          <w:rFonts w:asciiTheme="majorHAnsi" w:hAnsiTheme="majorHAnsi"/>
          <w:sz w:val="16"/>
          <w:szCs w:val="16"/>
          <w:lang w:val="es-ES"/>
        </w:rPr>
        <w:t>29</w:t>
      </w:r>
      <w:r w:rsidRPr="004254B1">
        <w:rPr>
          <w:rFonts w:asciiTheme="majorHAnsi" w:hAnsiTheme="majorHAnsi"/>
          <w:sz w:val="16"/>
          <w:szCs w:val="16"/>
          <w:lang w:val="es-ES"/>
        </w:rPr>
        <w:t xml:space="preserve"> de </w:t>
      </w:r>
      <w:r w:rsidR="00282939" w:rsidRPr="004254B1">
        <w:rPr>
          <w:rFonts w:asciiTheme="majorHAnsi" w:hAnsiTheme="majorHAnsi"/>
          <w:sz w:val="16"/>
          <w:szCs w:val="16"/>
          <w:lang w:val="es-ES"/>
        </w:rPr>
        <w:t>junio</w:t>
      </w:r>
      <w:r w:rsidRPr="004254B1">
        <w:rPr>
          <w:rFonts w:asciiTheme="majorHAnsi" w:hAnsiTheme="majorHAnsi"/>
          <w:sz w:val="16"/>
          <w:szCs w:val="16"/>
          <w:lang w:val="es-ES"/>
        </w:rPr>
        <w:t xml:space="preserve"> de 20</w:t>
      </w:r>
      <w:r w:rsidR="00282939" w:rsidRPr="004254B1">
        <w:rPr>
          <w:rFonts w:asciiTheme="majorHAnsi" w:hAnsiTheme="majorHAnsi"/>
          <w:sz w:val="16"/>
          <w:szCs w:val="16"/>
          <w:lang w:val="es-ES"/>
        </w:rPr>
        <w:t>21</w:t>
      </w:r>
      <w:r w:rsidRPr="004254B1">
        <w:rPr>
          <w:rFonts w:asciiTheme="majorHAnsi" w:hAnsiTheme="majorHAnsi"/>
          <w:sz w:val="16"/>
          <w:szCs w:val="16"/>
          <w:lang w:val="es-ES"/>
        </w:rPr>
        <w:t xml:space="preserve"> sobre un universo total de 357 presuntas víctimas del caso 12.961 Juan Gonzalez y Otros. El presente acuerdo y los efectos del presente</w:t>
      </w:r>
      <w:r w:rsidRPr="0053700F">
        <w:rPr>
          <w:rFonts w:asciiTheme="majorHAnsi" w:hAnsiTheme="majorHAnsi"/>
          <w:sz w:val="16"/>
          <w:szCs w:val="16"/>
          <w:lang w:val="es-ES"/>
        </w:rPr>
        <w:t xml:space="preserve"> Informe se circunscriben únicamente a los beneficiarios referidos en el mismo. </w:t>
      </w:r>
    </w:p>
  </w:footnote>
  <w:footnote w:id="3">
    <w:p w14:paraId="019BFE4B" w14:textId="206E100A" w:rsidR="00883EAF" w:rsidRPr="0053700F" w:rsidRDefault="00883EAF" w:rsidP="0053700F">
      <w:pPr>
        <w:pStyle w:val="FootnoteText"/>
        <w:ind w:firstLine="720"/>
        <w:rPr>
          <w:rFonts w:asciiTheme="majorHAnsi" w:hAnsiTheme="majorHAnsi"/>
          <w:sz w:val="16"/>
          <w:szCs w:val="16"/>
          <w:lang w:val="es-ES"/>
        </w:rPr>
      </w:pPr>
      <w:r w:rsidRPr="0053700F">
        <w:rPr>
          <w:rStyle w:val="FootnoteReference"/>
          <w:rFonts w:asciiTheme="majorHAnsi" w:hAnsiTheme="majorHAnsi"/>
          <w:sz w:val="16"/>
          <w:szCs w:val="16"/>
        </w:rPr>
        <w:footnoteRef/>
      </w:r>
      <w:r w:rsidRPr="0053700F">
        <w:rPr>
          <w:rFonts w:asciiTheme="majorHAnsi" w:hAnsiTheme="majorHAnsi"/>
          <w:sz w:val="16"/>
          <w:szCs w:val="16"/>
          <w:lang w:val="es-ES"/>
        </w:rPr>
        <w:t xml:space="preserve"> Las partes incluyeron en el texto del ASA del Caso 12.961</w:t>
      </w:r>
      <w:r w:rsidR="00286790" w:rsidRPr="004254B1">
        <w:rPr>
          <w:rFonts w:asciiTheme="majorHAnsi" w:hAnsiTheme="majorHAnsi"/>
          <w:sz w:val="16"/>
          <w:szCs w:val="16"/>
          <w:lang w:val="es-ES"/>
        </w:rPr>
        <w:t>-J</w:t>
      </w:r>
      <w:r w:rsidRPr="0053700F">
        <w:rPr>
          <w:rFonts w:asciiTheme="majorHAnsi" w:hAnsiTheme="majorHAnsi"/>
          <w:sz w:val="16"/>
          <w:szCs w:val="16"/>
          <w:lang w:val="es-ES"/>
        </w:rPr>
        <w:t xml:space="preserve"> el nombre del caso original que fuera desglosado por la CIDH el </w:t>
      </w:r>
      <w:r w:rsidR="00A83573" w:rsidRPr="0053700F">
        <w:rPr>
          <w:rFonts w:asciiTheme="majorHAnsi" w:hAnsiTheme="majorHAnsi"/>
          <w:sz w:val="16"/>
          <w:szCs w:val="16"/>
          <w:lang w:val="es-ES"/>
        </w:rPr>
        <w:t>XX de septiembre</w:t>
      </w:r>
      <w:r w:rsidRPr="0053700F">
        <w:rPr>
          <w:rFonts w:asciiTheme="majorHAnsi" w:hAnsiTheme="majorHAnsi"/>
          <w:sz w:val="16"/>
          <w:szCs w:val="16"/>
          <w:lang w:val="es-ES"/>
        </w:rPr>
        <w:t xml:space="preserve"> de 20</w:t>
      </w:r>
      <w:r w:rsidR="00A83573" w:rsidRPr="0053700F">
        <w:rPr>
          <w:rFonts w:asciiTheme="majorHAnsi" w:hAnsiTheme="majorHAnsi"/>
          <w:sz w:val="16"/>
          <w:szCs w:val="16"/>
          <w:lang w:val="es-ES"/>
        </w:rPr>
        <w:t>21</w:t>
      </w:r>
      <w:r w:rsidRPr="0053700F">
        <w:rPr>
          <w:rFonts w:asciiTheme="majorHAnsi" w:hAnsiTheme="majorHAnsi"/>
          <w:sz w:val="16"/>
          <w:szCs w:val="16"/>
          <w:lang w:val="es-ES"/>
        </w:rPr>
        <w:t>.</w:t>
      </w:r>
    </w:p>
  </w:footnote>
  <w:footnote w:id="4">
    <w:p w14:paraId="3732BCA9" w14:textId="77777777" w:rsidR="003E7EB5" w:rsidRPr="0053700F" w:rsidRDefault="003E7EB5" w:rsidP="0053700F">
      <w:pPr>
        <w:pStyle w:val="NoSpacing"/>
        <w:ind w:firstLine="720"/>
        <w:jc w:val="both"/>
        <w:rPr>
          <w:rFonts w:asciiTheme="majorHAnsi" w:hAnsiTheme="majorHAnsi"/>
          <w:sz w:val="16"/>
          <w:szCs w:val="16"/>
          <w:bdr w:val="none" w:sz="0" w:space="0" w:color="auto" w:frame="1"/>
          <w:lang w:val="es-CO"/>
        </w:rPr>
      </w:pPr>
      <w:r w:rsidRPr="0053700F">
        <w:rPr>
          <w:rStyle w:val="FootnoteReference"/>
          <w:rFonts w:asciiTheme="majorHAnsi" w:hAnsiTheme="majorHAnsi"/>
          <w:sz w:val="16"/>
          <w:szCs w:val="16"/>
        </w:rPr>
        <w:footnoteRef/>
      </w:r>
      <w:r w:rsidRPr="0053700F">
        <w:rPr>
          <w:rFonts w:asciiTheme="majorHAnsi" w:hAnsiTheme="majorHAnsi"/>
          <w:sz w:val="16"/>
          <w:szCs w:val="16"/>
          <w:lang w:val="es-CO"/>
        </w:rPr>
        <w:t xml:space="preserve"> Convención de Viena sobre el Derecho de los Tratados, U.N. Doc. A/CONF.39/27 (1969), Artículo 26: "Pacta sunt servanda". </w:t>
      </w:r>
      <w:r w:rsidRPr="0053700F">
        <w:rPr>
          <w:rFonts w:asciiTheme="majorHAnsi" w:hAnsiTheme="majorHAnsi"/>
          <w:i/>
          <w:sz w:val="16"/>
          <w:szCs w:val="16"/>
          <w:lang w:val="es-CO"/>
        </w:rPr>
        <w:t>Todo tratado en vigor obliga a las partes y debe ser cumplido por ellas de buena fe</w:t>
      </w:r>
      <w:r w:rsidRPr="0053700F">
        <w:rPr>
          <w:rFonts w:asciiTheme="majorHAnsi" w:hAnsiTheme="majorHAnsi"/>
          <w:sz w:val="16"/>
          <w:szCs w:val="16"/>
          <w:lang w:val="es-CO"/>
        </w:rPr>
        <w:t>.</w:t>
      </w:r>
    </w:p>
  </w:footnote>
  <w:footnote w:id="5">
    <w:p w14:paraId="2EDFCBE1" w14:textId="285357D9" w:rsidR="00A26422" w:rsidRPr="0053700F" w:rsidRDefault="00A26422" w:rsidP="0053700F">
      <w:pPr>
        <w:pStyle w:val="FootnoteText"/>
        <w:ind w:firstLine="720"/>
        <w:rPr>
          <w:rFonts w:asciiTheme="majorHAnsi" w:hAnsiTheme="majorHAnsi"/>
          <w:sz w:val="16"/>
          <w:szCs w:val="16"/>
          <w:lang w:val="es-ES"/>
        </w:rPr>
      </w:pPr>
      <w:r w:rsidRPr="0053700F">
        <w:rPr>
          <w:rStyle w:val="FootnoteReference"/>
          <w:rFonts w:asciiTheme="majorHAnsi" w:hAnsiTheme="majorHAnsi"/>
          <w:sz w:val="16"/>
          <w:szCs w:val="16"/>
        </w:rPr>
        <w:footnoteRef/>
      </w:r>
      <w:r w:rsidRPr="0053700F">
        <w:rPr>
          <w:rFonts w:asciiTheme="majorHAnsi" w:hAnsiTheme="majorHAnsi"/>
          <w:sz w:val="16"/>
          <w:szCs w:val="16"/>
          <w:lang w:val="es-ES"/>
        </w:rPr>
        <w:t xml:space="preserve"> Las conversiones a dólares son derivadas de la búsqueda libre en </w:t>
      </w:r>
      <w:r w:rsidRPr="0053700F">
        <w:rPr>
          <w:rFonts w:asciiTheme="majorHAnsi" w:hAnsiTheme="majorHAnsi"/>
          <w:i/>
          <w:sz w:val="16"/>
          <w:szCs w:val="16"/>
          <w:lang w:val="es-ES"/>
        </w:rPr>
        <w:t xml:space="preserve">Google </w:t>
      </w:r>
      <w:proofErr w:type="spellStart"/>
      <w:r w:rsidRPr="0053700F">
        <w:rPr>
          <w:rFonts w:asciiTheme="majorHAnsi" w:hAnsiTheme="majorHAnsi"/>
          <w:i/>
          <w:sz w:val="16"/>
          <w:szCs w:val="16"/>
          <w:lang w:val="es-ES"/>
        </w:rPr>
        <w:t>converter</w:t>
      </w:r>
      <w:proofErr w:type="spellEnd"/>
      <w:r w:rsidRPr="0053700F">
        <w:rPr>
          <w:rFonts w:asciiTheme="majorHAnsi" w:hAnsiTheme="majorHAnsi"/>
          <w:sz w:val="16"/>
          <w:szCs w:val="16"/>
          <w:lang w:val="es-ES"/>
        </w:rPr>
        <w:t xml:space="preserve"> disponible en el mercado de fecha 1</w:t>
      </w:r>
      <w:r w:rsidR="00FA4123" w:rsidRPr="0053700F">
        <w:rPr>
          <w:rFonts w:asciiTheme="majorHAnsi" w:hAnsiTheme="majorHAnsi"/>
          <w:sz w:val="16"/>
          <w:szCs w:val="16"/>
          <w:lang w:val="es-ES"/>
        </w:rPr>
        <w:t>6</w:t>
      </w:r>
      <w:r w:rsidRPr="0053700F">
        <w:rPr>
          <w:rFonts w:asciiTheme="majorHAnsi" w:hAnsiTheme="majorHAnsi"/>
          <w:sz w:val="16"/>
          <w:szCs w:val="16"/>
          <w:lang w:val="es-ES"/>
        </w:rPr>
        <w:t xml:space="preserve"> de </w:t>
      </w:r>
      <w:r w:rsidR="00FA4123" w:rsidRPr="0053700F">
        <w:rPr>
          <w:rFonts w:asciiTheme="majorHAnsi" w:hAnsiTheme="majorHAnsi"/>
          <w:sz w:val="16"/>
          <w:szCs w:val="16"/>
          <w:lang w:val="es-ES"/>
        </w:rPr>
        <w:t>agosto</w:t>
      </w:r>
      <w:r w:rsidRPr="0053700F">
        <w:rPr>
          <w:rFonts w:asciiTheme="majorHAnsi" w:hAnsiTheme="majorHAnsi"/>
          <w:sz w:val="16"/>
          <w:szCs w:val="16"/>
          <w:lang w:val="es-ES"/>
        </w:rPr>
        <w:t xml:space="preserv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5F3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32B05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40C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12CC6AE" wp14:editId="4DCED5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57C0BF" w14:textId="77777777" w:rsidR="00040C3A" w:rsidRPr="00EC7D62" w:rsidRDefault="00E46327" w:rsidP="00A50FCF">
    <w:pPr>
      <w:pStyle w:val="Header"/>
      <w:tabs>
        <w:tab w:val="clear" w:pos="4320"/>
        <w:tab w:val="clear" w:pos="8640"/>
      </w:tabs>
      <w:jc w:val="center"/>
      <w:rPr>
        <w:sz w:val="22"/>
        <w:szCs w:val="22"/>
      </w:rPr>
    </w:pPr>
    <w:r>
      <w:rPr>
        <w:noProof/>
        <w:sz w:val="22"/>
        <w:szCs w:val="22"/>
        <w:bdr w:val="nil"/>
      </w:rPr>
      <w:pict w14:anchorId="12ED1C7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D8"/>
    <w:multiLevelType w:val="hybridMultilevel"/>
    <w:tmpl w:val="2F4A72DE"/>
    <w:lvl w:ilvl="0" w:tplc="01300C18">
      <w:start w:val="1"/>
      <w:numFmt w:val="decimal"/>
      <w:lvlText w:val="%1."/>
      <w:lvlJc w:val="left"/>
      <w:pPr>
        <w:ind w:left="720" w:hanging="360"/>
      </w:pPr>
      <w:rPr>
        <w:rFonts w:eastAsia="Times New Roman"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6F418F"/>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A54A91B8"/>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66F45"/>
    <w:multiLevelType w:val="hybridMultilevel"/>
    <w:tmpl w:val="7310B968"/>
    <w:lvl w:ilvl="0" w:tplc="68248D0E">
      <w:start w:val="1"/>
      <w:numFmt w:val="lowerLetter"/>
      <w:lvlText w:val="%1."/>
      <w:lvlJc w:val="left"/>
      <w:pPr>
        <w:ind w:left="1210" w:hanging="360"/>
      </w:pPr>
      <w:rPr>
        <w:b w:val="0"/>
        <w:color w:val="auto"/>
      </w:rPr>
    </w:lvl>
    <w:lvl w:ilvl="1" w:tplc="480A0019">
      <w:start w:val="1"/>
      <w:numFmt w:val="lowerLetter"/>
      <w:lvlText w:val="%2."/>
      <w:lvlJc w:val="left"/>
      <w:pPr>
        <w:ind w:left="1930" w:hanging="360"/>
      </w:pPr>
    </w:lvl>
    <w:lvl w:ilvl="2" w:tplc="480A001B" w:tentative="1">
      <w:start w:val="1"/>
      <w:numFmt w:val="lowerRoman"/>
      <w:lvlText w:val="%3."/>
      <w:lvlJc w:val="right"/>
      <w:pPr>
        <w:ind w:left="2650" w:hanging="180"/>
      </w:pPr>
    </w:lvl>
    <w:lvl w:ilvl="3" w:tplc="480A000F" w:tentative="1">
      <w:start w:val="1"/>
      <w:numFmt w:val="decimal"/>
      <w:lvlText w:val="%4."/>
      <w:lvlJc w:val="left"/>
      <w:pPr>
        <w:ind w:left="3370" w:hanging="360"/>
      </w:pPr>
    </w:lvl>
    <w:lvl w:ilvl="4" w:tplc="480A0019" w:tentative="1">
      <w:start w:val="1"/>
      <w:numFmt w:val="lowerLetter"/>
      <w:lvlText w:val="%5."/>
      <w:lvlJc w:val="left"/>
      <w:pPr>
        <w:ind w:left="4090" w:hanging="360"/>
      </w:pPr>
    </w:lvl>
    <w:lvl w:ilvl="5" w:tplc="480A001B" w:tentative="1">
      <w:start w:val="1"/>
      <w:numFmt w:val="lowerRoman"/>
      <w:lvlText w:val="%6."/>
      <w:lvlJc w:val="right"/>
      <w:pPr>
        <w:ind w:left="4810" w:hanging="180"/>
      </w:pPr>
    </w:lvl>
    <w:lvl w:ilvl="6" w:tplc="480A000F" w:tentative="1">
      <w:start w:val="1"/>
      <w:numFmt w:val="decimal"/>
      <w:lvlText w:val="%7."/>
      <w:lvlJc w:val="left"/>
      <w:pPr>
        <w:ind w:left="5530" w:hanging="360"/>
      </w:pPr>
    </w:lvl>
    <w:lvl w:ilvl="7" w:tplc="480A0019" w:tentative="1">
      <w:start w:val="1"/>
      <w:numFmt w:val="lowerLetter"/>
      <w:lvlText w:val="%8."/>
      <w:lvlJc w:val="left"/>
      <w:pPr>
        <w:ind w:left="6250" w:hanging="360"/>
      </w:pPr>
    </w:lvl>
    <w:lvl w:ilvl="8" w:tplc="480A001B" w:tentative="1">
      <w:start w:val="1"/>
      <w:numFmt w:val="lowerRoman"/>
      <w:lvlText w:val="%9."/>
      <w:lvlJc w:val="right"/>
      <w:pPr>
        <w:ind w:left="697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B5C6F01C"/>
    <w:lvl w:ilvl="0" w:tplc="2048DA70">
      <w:start w:val="1"/>
      <w:numFmt w:val="decimal"/>
      <w:lvlText w:val="%1."/>
      <w:lvlJc w:val="left"/>
      <w:pPr>
        <w:ind w:left="1800" w:hanging="360"/>
      </w:pPr>
      <w:rPr>
        <w:rFonts w:ascii="Cambria" w:hAnsi="Cambria" w:hint="default"/>
        <w:b w:val="0"/>
        <w:bCs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7"/>
  </w:num>
  <w:num w:numId="4">
    <w:abstractNumId w:val="22"/>
  </w:num>
  <w:num w:numId="5">
    <w:abstractNumId w:val="49"/>
  </w:num>
  <w:num w:numId="6">
    <w:abstractNumId w:val="28"/>
  </w:num>
  <w:num w:numId="7">
    <w:abstractNumId w:val="7"/>
  </w:num>
  <w:num w:numId="8">
    <w:abstractNumId w:val="18"/>
  </w:num>
  <w:num w:numId="9">
    <w:abstractNumId w:val="44"/>
  </w:num>
  <w:num w:numId="10">
    <w:abstractNumId w:val="1"/>
  </w:num>
  <w:num w:numId="11">
    <w:abstractNumId w:val="39"/>
  </w:num>
  <w:num w:numId="12">
    <w:abstractNumId w:val="40"/>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50"/>
  </w:num>
  <w:num w:numId="43">
    <w:abstractNumId w:val="51"/>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3"/>
  </w:num>
  <w:num w:numId="53">
    <w:abstractNumId w:val="52"/>
  </w:num>
  <w:num w:numId="54">
    <w:abstractNumId w:val="46"/>
  </w:num>
  <w:num w:numId="55">
    <w:abstractNumId w:val="55"/>
  </w:num>
  <w:num w:numId="56">
    <w:abstractNumId w:val="35"/>
  </w:num>
  <w:num w:numId="57">
    <w:abstractNumId w:val="30"/>
  </w:num>
  <w:num w:numId="58">
    <w:abstractNumId w:val="6"/>
  </w:num>
  <w:num w:numId="59">
    <w:abstractNumId w:val="48"/>
  </w:num>
  <w:num w:numId="60">
    <w:abstractNumId w:val="26"/>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DD2"/>
    <w:rsid w:val="00011719"/>
    <w:rsid w:val="0001788C"/>
    <w:rsid w:val="00040C3A"/>
    <w:rsid w:val="00041050"/>
    <w:rsid w:val="000716C5"/>
    <w:rsid w:val="00075E23"/>
    <w:rsid w:val="00077573"/>
    <w:rsid w:val="0009344A"/>
    <w:rsid w:val="000A0731"/>
    <w:rsid w:val="000A392E"/>
    <w:rsid w:val="000A575F"/>
    <w:rsid w:val="000B13C0"/>
    <w:rsid w:val="000C7496"/>
    <w:rsid w:val="000D10DB"/>
    <w:rsid w:val="000E5EB5"/>
    <w:rsid w:val="000F35ED"/>
    <w:rsid w:val="001014AA"/>
    <w:rsid w:val="00107131"/>
    <w:rsid w:val="0010736F"/>
    <w:rsid w:val="00113F73"/>
    <w:rsid w:val="00121CC2"/>
    <w:rsid w:val="00133EE5"/>
    <w:rsid w:val="00157A36"/>
    <w:rsid w:val="00167A34"/>
    <w:rsid w:val="001A0DDA"/>
    <w:rsid w:val="001A7870"/>
    <w:rsid w:val="001C1B41"/>
    <w:rsid w:val="001D65EF"/>
    <w:rsid w:val="001E34FC"/>
    <w:rsid w:val="002250A3"/>
    <w:rsid w:val="00226585"/>
    <w:rsid w:val="00230182"/>
    <w:rsid w:val="00235217"/>
    <w:rsid w:val="00242A3A"/>
    <w:rsid w:val="00246D1F"/>
    <w:rsid w:val="00247403"/>
    <w:rsid w:val="00247542"/>
    <w:rsid w:val="002570B5"/>
    <w:rsid w:val="00266B61"/>
    <w:rsid w:val="0026712A"/>
    <w:rsid w:val="002704DB"/>
    <w:rsid w:val="00282939"/>
    <w:rsid w:val="00286790"/>
    <w:rsid w:val="002A0AAE"/>
    <w:rsid w:val="002A5820"/>
    <w:rsid w:val="002D2B26"/>
    <w:rsid w:val="002D7EA2"/>
    <w:rsid w:val="002E1304"/>
    <w:rsid w:val="002E187C"/>
    <w:rsid w:val="002E64BB"/>
    <w:rsid w:val="002E7AAE"/>
    <w:rsid w:val="00302733"/>
    <w:rsid w:val="00314078"/>
    <w:rsid w:val="0031535D"/>
    <w:rsid w:val="0033169F"/>
    <w:rsid w:val="003401CC"/>
    <w:rsid w:val="00346C95"/>
    <w:rsid w:val="00356185"/>
    <w:rsid w:val="00360380"/>
    <w:rsid w:val="0037519E"/>
    <w:rsid w:val="00386CF0"/>
    <w:rsid w:val="003C676B"/>
    <w:rsid w:val="003D3BC2"/>
    <w:rsid w:val="003E6CA1"/>
    <w:rsid w:val="003E7EB5"/>
    <w:rsid w:val="004148A9"/>
    <w:rsid w:val="004165C2"/>
    <w:rsid w:val="004254B1"/>
    <w:rsid w:val="004346BF"/>
    <w:rsid w:val="00441ECB"/>
    <w:rsid w:val="0046436C"/>
    <w:rsid w:val="00467B7E"/>
    <w:rsid w:val="00477592"/>
    <w:rsid w:val="00486F1C"/>
    <w:rsid w:val="0049419D"/>
    <w:rsid w:val="004A0924"/>
    <w:rsid w:val="004B4A5C"/>
    <w:rsid w:val="004C20D2"/>
    <w:rsid w:val="004C4B62"/>
    <w:rsid w:val="004C54C9"/>
    <w:rsid w:val="004D4D26"/>
    <w:rsid w:val="004D6025"/>
    <w:rsid w:val="004E2649"/>
    <w:rsid w:val="00501399"/>
    <w:rsid w:val="00505712"/>
    <w:rsid w:val="0050633D"/>
    <w:rsid w:val="00507BC4"/>
    <w:rsid w:val="005128E4"/>
    <w:rsid w:val="005133DB"/>
    <w:rsid w:val="005222B8"/>
    <w:rsid w:val="00525560"/>
    <w:rsid w:val="0053700F"/>
    <w:rsid w:val="00544C49"/>
    <w:rsid w:val="005516A1"/>
    <w:rsid w:val="0057402A"/>
    <w:rsid w:val="005771D0"/>
    <w:rsid w:val="0059191A"/>
    <w:rsid w:val="005921FF"/>
    <w:rsid w:val="005A6D0E"/>
    <w:rsid w:val="005B52B0"/>
    <w:rsid w:val="005B6806"/>
    <w:rsid w:val="005C4225"/>
    <w:rsid w:val="005D2DF4"/>
    <w:rsid w:val="005D6890"/>
    <w:rsid w:val="005F0DAD"/>
    <w:rsid w:val="005F0F33"/>
    <w:rsid w:val="00600DEB"/>
    <w:rsid w:val="00627C9F"/>
    <w:rsid w:val="006311E9"/>
    <w:rsid w:val="00632354"/>
    <w:rsid w:val="00642810"/>
    <w:rsid w:val="00647458"/>
    <w:rsid w:val="00652333"/>
    <w:rsid w:val="00661460"/>
    <w:rsid w:val="0068009E"/>
    <w:rsid w:val="00692219"/>
    <w:rsid w:val="006A17D2"/>
    <w:rsid w:val="006A73E6"/>
    <w:rsid w:val="006B2D5C"/>
    <w:rsid w:val="006B6F53"/>
    <w:rsid w:val="006C3214"/>
    <w:rsid w:val="006C4EB1"/>
    <w:rsid w:val="006E0166"/>
    <w:rsid w:val="006E7B34"/>
    <w:rsid w:val="0070697F"/>
    <w:rsid w:val="0072199C"/>
    <w:rsid w:val="00722C9F"/>
    <w:rsid w:val="007253B8"/>
    <w:rsid w:val="0073741F"/>
    <w:rsid w:val="0076643F"/>
    <w:rsid w:val="00777F63"/>
    <w:rsid w:val="00793831"/>
    <w:rsid w:val="007A5817"/>
    <w:rsid w:val="007B60E9"/>
    <w:rsid w:val="007B6CC3"/>
    <w:rsid w:val="007C3334"/>
    <w:rsid w:val="007D2B98"/>
    <w:rsid w:val="007E21BC"/>
    <w:rsid w:val="00803F1C"/>
    <w:rsid w:val="0080600E"/>
    <w:rsid w:val="00806C82"/>
    <w:rsid w:val="00817612"/>
    <w:rsid w:val="00825B74"/>
    <w:rsid w:val="008338A4"/>
    <w:rsid w:val="00837C45"/>
    <w:rsid w:val="00844730"/>
    <w:rsid w:val="008457C2"/>
    <w:rsid w:val="00857A82"/>
    <w:rsid w:val="00873836"/>
    <w:rsid w:val="00883EAF"/>
    <w:rsid w:val="00885737"/>
    <w:rsid w:val="00887171"/>
    <w:rsid w:val="00890650"/>
    <w:rsid w:val="00897E12"/>
    <w:rsid w:val="008A7E0F"/>
    <w:rsid w:val="008B12F5"/>
    <w:rsid w:val="008D768D"/>
    <w:rsid w:val="008D780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07A0"/>
    <w:rsid w:val="009D1753"/>
    <w:rsid w:val="009D7611"/>
    <w:rsid w:val="009E0B61"/>
    <w:rsid w:val="009E53DE"/>
    <w:rsid w:val="00A26422"/>
    <w:rsid w:val="00A328B3"/>
    <w:rsid w:val="00A44022"/>
    <w:rsid w:val="00A50FCF"/>
    <w:rsid w:val="00A528D1"/>
    <w:rsid w:val="00A610CD"/>
    <w:rsid w:val="00A83573"/>
    <w:rsid w:val="00AA09A2"/>
    <w:rsid w:val="00AA7996"/>
    <w:rsid w:val="00AB3E18"/>
    <w:rsid w:val="00AC19CB"/>
    <w:rsid w:val="00AD58C4"/>
    <w:rsid w:val="00AE5488"/>
    <w:rsid w:val="00AE6F91"/>
    <w:rsid w:val="00AF5571"/>
    <w:rsid w:val="00B07341"/>
    <w:rsid w:val="00B30539"/>
    <w:rsid w:val="00B314DB"/>
    <w:rsid w:val="00B361F2"/>
    <w:rsid w:val="00B3718B"/>
    <w:rsid w:val="00B4632A"/>
    <w:rsid w:val="00B46B0F"/>
    <w:rsid w:val="00B530F1"/>
    <w:rsid w:val="00B577DF"/>
    <w:rsid w:val="00BA276C"/>
    <w:rsid w:val="00BA4D91"/>
    <w:rsid w:val="00BB306F"/>
    <w:rsid w:val="00BD4B89"/>
    <w:rsid w:val="00BF6FD8"/>
    <w:rsid w:val="00C03680"/>
    <w:rsid w:val="00C03DEF"/>
    <w:rsid w:val="00C054DF"/>
    <w:rsid w:val="00C11B47"/>
    <w:rsid w:val="00C21762"/>
    <w:rsid w:val="00C24543"/>
    <w:rsid w:val="00C256A2"/>
    <w:rsid w:val="00C308ED"/>
    <w:rsid w:val="00C51515"/>
    <w:rsid w:val="00C5660B"/>
    <w:rsid w:val="00C64789"/>
    <w:rsid w:val="00C66B72"/>
    <w:rsid w:val="00C8291A"/>
    <w:rsid w:val="00C9567A"/>
    <w:rsid w:val="00CB212D"/>
    <w:rsid w:val="00CB2660"/>
    <w:rsid w:val="00CC5E90"/>
    <w:rsid w:val="00CD046C"/>
    <w:rsid w:val="00CE076C"/>
    <w:rsid w:val="00CE5199"/>
    <w:rsid w:val="00CE66D5"/>
    <w:rsid w:val="00CE7B4D"/>
    <w:rsid w:val="00CF0CBE"/>
    <w:rsid w:val="00CF637A"/>
    <w:rsid w:val="00D059DE"/>
    <w:rsid w:val="00D13FCE"/>
    <w:rsid w:val="00D306D1"/>
    <w:rsid w:val="00D34786"/>
    <w:rsid w:val="00D37BFC"/>
    <w:rsid w:val="00D47A8E"/>
    <w:rsid w:val="00D52D14"/>
    <w:rsid w:val="00D702DC"/>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46327"/>
    <w:rsid w:val="00E60222"/>
    <w:rsid w:val="00E720CA"/>
    <w:rsid w:val="00E84EB5"/>
    <w:rsid w:val="00E85662"/>
    <w:rsid w:val="00E8789F"/>
    <w:rsid w:val="00E97B71"/>
    <w:rsid w:val="00EA3D34"/>
    <w:rsid w:val="00EB110D"/>
    <w:rsid w:val="00EB454D"/>
    <w:rsid w:val="00EC2FC4"/>
    <w:rsid w:val="00ED76BE"/>
    <w:rsid w:val="00ED7D7C"/>
    <w:rsid w:val="00EF619B"/>
    <w:rsid w:val="00F00B55"/>
    <w:rsid w:val="00F02AD1"/>
    <w:rsid w:val="00F1279E"/>
    <w:rsid w:val="00F253CC"/>
    <w:rsid w:val="00F33B85"/>
    <w:rsid w:val="00F37106"/>
    <w:rsid w:val="00F519CF"/>
    <w:rsid w:val="00F56BA5"/>
    <w:rsid w:val="00F60E22"/>
    <w:rsid w:val="00F62FDD"/>
    <w:rsid w:val="00F71EE9"/>
    <w:rsid w:val="00F76DD2"/>
    <w:rsid w:val="00F81395"/>
    <w:rsid w:val="00F87783"/>
    <w:rsid w:val="00F917D1"/>
    <w:rsid w:val="00F9653B"/>
    <w:rsid w:val="00FA4123"/>
    <w:rsid w:val="00FB62CF"/>
    <w:rsid w:val="00FC3541"/>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6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F8778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C82"/>
    <w:rPr>
      <w:sz w:val="16"/>
      <w:szCs w:val="16"/>
    </w:rPr>
  </w:style>
  <w:style w:type="paragraph" w:styleId="CommentText">
    <w:name w:val="annotation text"/>
    <w:basedOn w:val="Normal"/>
    <w:link w:val="CommentTextChar"/>
    <w:uiPriority w:val="99"/>
    <w:semiHidden/>
    <w:unhideWhenUsed/>
    <w:rsid w:val="00806C82"/>
    <w:rPr>
      <w:sz w:val="20"/>
      <w:szCs w:val="20"/>
    </w:rPr>
  </w:style>
  <w:style w:type="character" w:customStyle="1" w:styleId="CommentTextChar">
    <w:name w:val="Comment Text Char"/>
    <w:basedOn w:val="DefaultParagraphFont"/>
    <w:link w:val="CommentText"/>
    <w:uiPriority w:val="99"/>
    <w:semiHidden/>
    <w:rsid w:val="00806C82"/>
    <w:rPr>
      <w:lang w:val="en-US" w:eastAsia="en-US"/>
    </w:rPr>
  </w:style>
  <w:style w:type="paragraph" w:styleId="CommentSubject">
    <w:name w:val="annotation subject"/>
    <w:basedOn w:val="CommentText"/>
    <w:next w:val="CommentText"/>
    <w:link w:val="CommentSubjectChar"/>
    <w:uiPriority w:val="99"/>
    <w:semiHidden/>
    <w:unhideWhenUsed/>
    <w:rsid w:val="00806C82"/>
    <w:rPr>
      <w:b/>
      <w:bCs/>
    </w:rPr>
  </w:style>
  <w:style w:type="character" w:customStyle="1" w:styleId="CommentSubjectChar">
    <w:name w:val="Comment Subject Char"/>
    <w:basedOn w:val="CommentTextChar"/>
    <w:link w:val="CommentSubject"/>
    <w:uiPriority w:val="99"/>
    <w:semiHidden/>
    <w:rsid w:val="00806C8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9322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4417-F615-49A0-A8FB-C60E17FC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2021-09-27T19:32:00Z</dcterms:created>
  <dcterms:modified xsi:type="dcterms:W3CDTF">2021-09-27T19:33:00Z</dcterms:modified>
</cp:coreProperties>
</file>