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15AF07C" wp14:editId="08C89A3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1A8555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D20428" wp14:editId="1DF63EE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Default="00F0376F" w:rsidP="00AE5488">
                            <w:r>
                              <w:rPr>
                                <w:noProof/>
                              </w:rPr>
                              <w:drawing>
                                <wp:inline distT="0" distB="0" distL="0" distR="0" wp14:anchorId="04A88535" wp14:editId="500AF62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2D2042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0376F" w:rsidRDefault="00F0376F" w:rsidP="00AE5488">
                      <w:r>
                        <w:rPr>
                          <w:noProof/>
                        </w:rPr>
                        <w:drawing>
                          <wp:inline distT="0" distB="0" distL="0" distR="0" wp14:anchorId="04A88535" wp14:editId="500AF62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AD74177" wp14:editId="7EF7322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Pr="004E2649" w:rsidRDefault="00F0376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E0A2F">
                              <w:rPr>
                                <w:rFonts w:asciiTheme="majorHAnsi" w:hAnsiTheme="majorHAnsi" w:cs="Arial"/>
                                <w:b/>
                                <w:bCs/>
                                <w:color w:val="0D0D0D" w:themeColor="text1" w:themeTint="F2"/>
                                <w:sz w:val="36"/>
                                <w:szCs w:val="22"/>
                                <w:lang w:val="es-ES_tradnl"/>
                              </w:rPr>
                              <w:t xml:space="preserve"> </w:t>
                            </w:r>
                            <w:r w:rsidR="00C95B21">
                              <w:rPr>
                                <w:rFonts w:asciiTheme="majorHAnsi" w:hAnsiTheme="majorHAnsi" w:cs="Arial"/>
                                <w:b/>
                                <w:bCs/>
                                <w:color w:val="0D0D0D" w:themeColor="text1" w:themeTint="F2"/>
                                <w:sz w:val="36"/>
                                <w:szCs w:val="22"/>
                                <w:lang w:val="es-ES_tradnl"/>
                              </w:rPr>
                              <w:t>52</w:t>
                            </w:r>
                            <w:r w:rsidR="003E0A2F">
                              <w:rPr>
                                <w:rFonts w:asciiTheme="majorHAnsi" w:hAnsiTheme="majorHAnsi" w:cs="Arial"/>
                                <w:b/>
                                <w:bCs/>
                                <w:color w:val="0D0D0D" w:themeColor="text1" w:themeTint="F2"/>
                                <w:sz w:val="36"/>
                                <w:szCs w:val="22"/>
                                <w:lang w:val="es-ES_tradnl"/>
                              </w:rPr>
                              <w:t>/21</w:t>
                            </w:r>
                          </w:p>
                          <w:p w:rsidR="00F0376F" w:rsidRDefault="00F0376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1405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F0376F" w:rsidRPr="0010736F" w:rsidRDefault="00F0376F" w:rsidP="00997BC5">
                            <w:pPr>
                              <w:spacing w:line="276" w:lineRule="auto"/>
                              <w:rPr>
                                <w:rFonts w:asciiTheme="majorHAnsi" w:hAnsiTheme="majorHAnsi" w:cs="Arial"/>
                                <w:color w:val="0D0D0D" w:themeColor="text1" w:themeTint="F2"/>
                                <w:szCs w:val="22"/>
                                <w:lang w:val="es-ES_tradnl"/>
                              </w:rPr>
                            </w:pPr>
                            <w:r w:rsidRPr="008B7EDB">
                              <w:rPr>
                                <w:rFonts w:asciiTheme="majorHAnsi" w:hAnsiTheme="majorHAnsi" w:cs="Arial"/>
                                <w:color w:val="0D0D0D" w:themeColor="text1" w:themeTint="F2"/>
                                <w:szCs w:val="22"/>
                                <w:lang w:val="es-ES_tradnl"/>
                              </w:rPr>
                              <w:t xml:space="preserve">INFORME DE </w:t>
                            </w:r>
                            <w:r w:rsidRPr="00982546">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rsidR="00F0376F" w:rsidRDefault="00F0376F" w:rsidP="00997BC5">
                            <w:pPr>
                              <w:spacing w:line="276" w:lineRule="auto"/>
                              <w:rPr>
                                <w:rFonts w:asciiTheme="majorHAnsi" w:hAnsiTheme="majorHAnsi" w:cs="Arial"/>
                                <w:color w:val="0D0D0D" w:themeColor="text1" w:themeTint="F2"/>
                                <w:szCs w:val="22"/>
                                <w:lang w:val="es-ES_tradnl"/>
                              </w:rPr>
                            </w:pPr>
                            <w:bookmarkStart w:id="1" w:name="_ftnref1"/>
                          </w:p>
                          <w:p w:rsidR="00F0376F" w:rsidRPr="0010736F" w:rsidRDefault="00F037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L.F.G.V</w:t>
                            </w:r>
                            <w:r w:rsidR="00982546">
                              <w:rPr>
                                <w:rFonts w:asciiTheme="majorHAnsi" w:hAnsiTheme="majorHAnsi" w:cs="Arial"/>
                                <w:color w:val="0D0D0D" w:themeColor="text1" w:themeTint="F2"/>
                                <w:szCs w:val="22"/>
                                <w:lang w:val="es-ES_tradnl"/>
                              </w:rPr>
                              <w:t>.</w:t>
                            </w:r>
                          </w:p>
                          <w:bookmarkEnd w:id="1"/>
                          <w:p w:rsidR="00F0376F" w:rsidRPr="00AE5488" w:rsidRDefault="00F0376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AD7417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0376F" w:rsidRPr="004E2649" w:rsidRDefault="00F0376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3E0A2F">
                        <w:rPr>
                          <w:rFonts w:asciiTheme="majorHAnsi" w:hAnsiTheme="majorHAnsi" w:cs="Arial"/>
                          <w:b/>
                          <w:bCs/>
                          <w:color w:val="0D0D0D" w:themeColor="text1" w:themeTint="F2"/>
                          <w:sz w:val="36"/>
                          <w:szCs w:val="22"/>
                          <w:lang w:val="es-ES_tradnl"/>
                        </w:rPr>
                        <w:t xml:space="preserve"> </w:t>
                      </w:r>
                      <w:r w:rsidR="00C95B21">
                        <w:rPr>
                          <w:rFonts w:asciiTheme="majorHAnsi" w:hAnsiTheme="majorHAnsi" w:cs="Arial"/>
                          <w:b/>
                          <w:bCs/>
                          <w:color w:val="0D0D0D" w:themeColor="text1" w:themeTint="F2"/>
                          <w:sz w:val="36"/>
                          <w:szCs w:val="22"/>
                          <w:lang w:val="es-ES_tradnl"/>
                        </w:rPr>
                        <w:t>52</w:t>
                      </w:r>
                      <w:r w:rsidR="003E0A2F">
                        <w:rPr>
                          <w:rFonts w:asciiTheme="majorHAnsi" w:hAnsiTheme="majorHAnsi" w:cs="Arial"/>
                          <w:b/>
                          <w:bCs/>
                          <w:color w:val="0D0D0D" w:themeColor="text1" w:themeTint="F2"/>
                          <w:sz w:val="36"/>
                          <w:szCs w:val="22"/>
                          <w:lang w:val="es-ES_tradnl"/>
                        </w:rPr>
                        <w:t>/21</w:t>
                      </w:r>
                    </w:p>
                    <w:p w:rsidR="00F0376F" w:rsidRDefault="00F0376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1405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rsidR="00F0376F" w:rsidRPr="0010736F" w:rsidRDefault="00F0376F" w:rsidP="00997BC5">
                      <w:pPr>
                        <w:spacing w:line="276" w:lineRule="auto"/>
                        <w:rPr>
                          <w:rFonts w:asciiTheme="majorHAnsi" w:hAnsiTheme="majorHAnsi" w:cs="Arial"/>
                          <w:color w:val="0D0D0D" w:themeColor="text1" w:themeTint="F2"/>
                          <w:szCs w:val="22"/>
                          <w:lang w:val="es-ES_tradnl"/>
                        </w:rPr>
                      </w:pPr>
                      <w:r w:rsidRPr="008B7EDB">
                        <w:rPr>
                          <w:rFonts w:asciiTheme="majorHAnsi" w:hAnsiTheme="majorHAnsi" w:cs="Arial"/>
                          <w:color w:val="0D0D0D" w:themeColor="text1" w:themeTint="F2"/>
                          <w:szCs w:val="22"/>
                          <w:lang w:val="es-ES_tradnl"/>
                        </w:rPr>
                        <w:t xml:space="preserve">INFORME DE </w:t>
                      </w:r>
                      <w:r w:rsidRPr="00982546">
                        <w:rPr>
                          <w:rFonts w:asciiTheme="majorHAnsi" w:hAnsiTheme="majorHAnsi" w:cs="Arial"/>
                          <w:color w:val="0D0D0D" w:themeColor="text1" w:themeTint="F2"/>
                          <w:szCs w:val="22"/>
                          <w:lang w:val="es-ES_tradnl"/>
                        </w:rPr>
                        <w:t>ADMISIBILIDAD</w:t>
                      </w:r>
                      <w:r w:rsidRPr="0010736F">
                        <w:rPr>
                          <w:rFonts w:asciiTheme="majorHAnsi" w:hAnsiTheme="majorHAnsi" w:cs="Arial"/>
                          <w:color w:val="0D0D0D" w:themeColor="text1" w:themeTint="F2"/>
                          <w:szCs w:val="22"/>
                          <w:lang w:val="es-ES_tradnl"/>
                        </w:rPr>
                        <w:t xml:space="preserve"> </w:t>
                      </w:r>
                    </w:p>
                    <w:p w:rsidR="00F0376F" w:rsidRDefault="00F0376F" w:rsidP="00997BC5">
                      <w:pPr>
                        <w:spacing w:line="276" w:lineRule="auto"/>
                        <w:rPr>
                          <w:rFonts w:asciiTheme="majorHAnsi" w:hAnsiTheme="majorHAnsi" w:cs="Arial"/>
                          <w:color w:val="0D0D0D" w:themeColor="text1" w:themeTint="F2"/>
                          <w:szCs w:val="22"/>
                          <w:lang w:val="es-ES_tradnl"/>
                        </w:rPr>
                      </w:pPr>
                      <w:bookmarkStart w:id="1" w:name="_ftnref1"/>
                    </w:p>
                    <w:p w:rsidR="00F0376F" w:rsidRPr="0010736F" w:rsidRDefault="00F0376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L.F.G.V</w:t>
                      </w:r>
                      <w:r w:rsidR="00982546">
                        <w:rPr>
                          <w:rFonts w:asciiTheme="majorHAnsi" w:hAnsiTheme="majorHAnsi" w:cs="Arial"/>
                          <w:color w:val="0D0D0D" w:themeColor="text1" w:themeTint="F2"/>
                          <w:szCs w:val="22"/>
                          <w:lang w:val="es-ES_tradnl"/>
                        </w:rPr>
                        <w:t>.</w:t>
                      </w:r>
                    </w:p>
                    <w:bookmarkEnd w:id="1"/>
                    <w:p w:rsidR="00F0376F" w:rsidRPr="00AE5488" w:rsidRDefault="00F0376F" w:rsidP="007A5817">
                      <w:pPr>
                        <w:rPr>
                          <w:color w:val="0D0D0D" w:themeColor="text1" w:themeTint="F2"/>
                          <w:lang w:val="es-ES_tradnl"/>
                        </w:rPr>
                      </w:pPr>
                      <w:r>
                        <w:rPr>
                          <w:rFonts w:asciiTheme="majorHAnsi" w:hAnsiTheme="majorHAnsi" w:cs="Arial"/>
                          <w:color w:val="0D0D0D" w:themeColor="text1" w:themeTint="F2"/>
                          <w:szCs w:val="2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C4B8CF5" wp14:editId="296B72D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Pr="00C95B21" w:rsidRDefault="00C95B21" w:rsidP="007A5817">
                            <w:pPr>
                              <w:spacing w:line="276" w:lineRule="auto"/>
                              <w:jc w:val="right"/>
                              <w:rPr>
                                <w:rFonts w:asciiTheme="minorHAnsi" w:hAnsiTheme="minorHAnsi"/>
                                <w:color w:val="FFFFFF" w:themeColor="background1"/>
                                <w:sz w:val="22"/>
                                <w:lang w:val="es-419"/>
                              </w:rPr>
                            </w:pPr>
                            <w:r w:rsidRPr="00C95B21">
                              <w:rPr>
                                <w:rFonts w:asciiTheme="minorHAnsi" w:hAnsiTheme="minorHAnsi"/>
                                <w:color w:val="FFFFFF" w:themeColor="background1"/>
                                <w:sz w:val="22"/>
                                <w:lang w:val="es-419"/>
                              </w:rPr>
                              <w:t>OEA/</w:t>
                            </w:r>
                            <w:proofErr w:type="spellStart"/>
                            <w:r w:rsidRPr="00C95B21">
                              <w:rPr>
                                <w:rFonts w:asciiTheme="minorHAnsi" w:hAnsiTheme="minorHAnsi"/>
                                <w:color w:val="FFFFFF" w:themeColor="background1"/>
                                <w:sz w:val="22"/>
                                <w:lang w:val="es-419"/>
                              </w:rPr>
                              <w:t>Ser.L</w:t>
                            </w:r>
                            <w:proofErr w:type="spellEnd"/>
                            <w:r w:rsidRPr="00C95B21">
                              <w:rPr>
                                <w:rFonts w:asciiTheme="minorHAnsi" w:hAnsiTheme="minorHAnsi"/>
                                <w:color w:val="FFFFFF" w:themeColor="background1"/>
                                <w:sz w:val="22"/>
                                <w:lang w:val="es-419"/>
                              </w:rPr>
                              <w:t>/V/II</w:t>
                            </w:r>
                          </w:p>
                          <w:p w:rsidR="00F0376F" w:rsidRPr="00C95B21" w:rsidRDefault="00C95B21" w:rsidP="007A5817">
                            <w:pPr>
                              <w:spacing w:line="276" w:lineRule="auto"/>
                              <w:jc w:val="right"/>
                              <w:rPr>
                                <w:rFonts w:asciiTheme="minorHAnsi" w:hAnsiTheme="minorHAnsi"/>
                                <w:color w:val="FFFFFF" w:themeColor="background1"/>
                                <w:sz w:val="22"/>
                                <w:lang w:val="es-419"/>
                              </w:rPr>
                            </w:pPr>
                            <w:r w:rsidRPr="00C95B21">
                              <w:rPr>
                                <w:rFonts w:asciiTheme="minorHAnsi" w:hAnsiTheme="minorHAnsi"/>
                                <w:color w:val="FFFFFF" w:themeColor="background1"/>
                                <w:sz w:val="22"/>
                                <w:lang w:val="es-419"/>
                              </w:rPr>
                              <w:t>Doc. 5</w:t>
                            </w:r>
                            <w:r>
                              <w:rPr>
                                <w:rFonts w:asciiTheme="minorHAnsi" w:hAnsiTheme="minorHAnsi"/>
                                <w:color w:val="FFFFFF" w:themeColor="background1"/>
                                <w:sz w:val="22"/>
                                <w:lang w:val="es-419"/>
                              </w:rPr>
                              <w:t>6</w:t>
                            </w:r>
                          </w:p>
                          <w:p w:rsidR="00F0376F" w:rsidRPr="00C25ADB" w:rsidRDefault="00C95B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3E0A2F">
                              <w:rPr>
                                <w:rFonts w:asciiTheme="minorHAnsi" w:hAnsiTheme="minorHAnsi"/>
                                <w:color w:val="FFFFFF" w:themeColor="background1"/>
                                <w:sz w:val="22"/>
                                <w:lang w:val="es-PA"/>
                              </w:rPr>
                              <w:t xml:space="preserve"> 2021</w:t>
                            </w:r>
                          </w:p>
                          <w:p w:rsidR="00F0376F" w:rsidRPr="00C25ADB" w:rsidRDefault="00F0376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C4B8CF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0376F" w:rsidRPr="00C95B21" w:rsidRDefault="00C95B21" w:rsidP="007A5817">
                      <w:pPr>
                        <w:spacing w:line="276" w:lineRule="auto"/>
                        <w:jc w:val="right"/>
                        <w:rPr>
                          <w:rFonts w:asciiTheme="minorHAnsi" w:hAnsiTheme="minorHAnsi"/>
                          <w:color w:val="FFFFFF" w:themeColor="background1"/>
                          <w:sz w:val="22"/>
                          <w:lang w:val="es-419"/>
                        </w:rPr>
                      </w:pPr>
                      <w:r w:rsidRPr="00C95B21">
                        <w:rPr>
                          <w:rFonts w:asciiTheme="minorHAnsi" w:hAnsiTheme="minorHAnsi"/>
                          <w:color w:val="FFFFFF" w:themeColor="background1"/>
                          <w:sz w:val="22"/>
                          <w:lang w:val="es-419"/>
                        </w:rPr>
                        <w:t>OEA/Ser.L/V/II</w:t>
                      </w:r>
                    </w:p>
                    <w:p w:rsidR="00F0376F" w:rsidRPr="00C95B21" w:rsidRDefault="00C95B21" w:rsidP="007A5817">
                      <w:pPr>
                        <w:spacing w:line="276" w:lineRule="auto"/>
                        <w:jc w:val="right"/>
                        <w:rPr>
                          <w:rFonts w:asciiTheme="minorHAnsi" w:hAnsiTheme="minorHAnsi"/>
                          <w:color w:val="FFFFFF" w:themeColor="background1"/>
                          <w:sz w:val="22"/>
                          <w:lang w:val="es-419"/>
                        </w:rPr>
                      </w:pPr>
                      <w:r w:rsidRPr="00C95B21">
                        <w:rPr>
                          <w:rFonts w:asciiTheme="minorHAnsi" w:hAnsiTheme="minorHAnsi"/>
                          <w:color w:val="FFFFFF" w:themeColor="background1"/>
                          <w:sz w:val="22"/>
                          <w:lang w:val="es-419"/>
                        </w:rPr>
                        <w:t>Doc. 5</w:t>
                      </w:r>
                      <w:r>
                        <w:rPr>
                          <w:rFonts w:asciiTheme="minorHAnsi" w:hAnsiTheme="minorHAnsi"/>
                          <w:color w:val="FFFFFF" w:themeColor="background1"/>
                          <w:sz w:val="22"/>
                          <w:lang w:val="es-419"/>
                        </w:rPr>
                        <w:t>6</w:t>
                      </w:r>
                    </w:p>
                    <w:p w:rsidR="00F0376F" w:rsidRPr="00C25ADB" w:rsidRDefault="00C95B2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3E0A2F">
                        <w:rPr>
                          <w:rFonts w:asciiTheme="minorHAnsi" w:hAnsiTheme="minorHAnsi"/>
                          <w:color w:val="FFFFFF" w:themeColor="background1"/>
                          <w:sz w:val="22"/>
                          <w:lang w:val="es-PA"/>
                        </w:rPr>
                        <w:t xml:space="preserve"> 2021</w:t>
                      </w:r>
                    </w:p>
                    <w:p w:rsidR="00F0376F" w:rsidRPr="00C25ADB" w:rsidRDefault="00F0376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A2161DF" wp14:editId="0DB4719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Pr="00890650" w:rsidRDefault="00F0376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95B2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95B21">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E0A2F">
                              <w:rPr>
                                <w:rFonts w:asciiTheme="majorHAnsi" w:hAnsiTheme="majorHAnsi"/>
                                <w:color w:val="0D0D0D" w:themeColor="text1" w:themeTint="F2"/>
                                <w:sz w:val="18"/>
                                <w:szCs w:val="22"/>
                                <w:lang w:val="es-ES"/>
                              </w:rPr>
                              <w:t>21</w:t>
                            </w:r>
                            <w:r w:rsidR="00D674B1">
                              <w:rPr>
                                <w:rFonts w:asciiTheme="majorHAnsi" w:hAnsiTheme="majorHAnsi"/>
                                <w:color w:val="0D0D0D" w:themeColor="text1" w:themeTint="F2"/>
                                <w:sz w:val="18"/>
                                <w:szCs w:val="22"/>
                                <w:lang w:val="es-ES"/>
                              </w:rPr>
                              <w:t>.</w:t>
                            </w:r>
                          </w:p>
                          <w:p w:rsidR="00F0376F" w:rsidRPr="007A5817" w:rsidRDefault="00F0376F" w:rsidP="00247403">
                            <w:pPr>
                              <w:tabs>
                                <w:tab w:val="center" w:pos="5400"/>
                              </w:tabs>
                              <w:suppressAutoHyphens/>
                              <w:spacing w:before="60"/>
                              <w:rPr>
                                <w:rFonts w:asciiTheme="minorHAnsi" w:hAnsiTheme="minorHAnsi" w:cs="Univers"/>
                                <w:color w:val="0D0D0D" w:themeColor="text1" w:themeTint="F2"/>
                                <w:sz w:val="20"/>
                                <w:szCs w:val="20"/>
                                <w:lang w:val="es-ES"/>
                              </w:rPr>
                            </w:pPr>
                          </w:p>
                          <w:p w:rsidR="00F0376F" w:rsidRPr="00167A34" w:rsidRDefault="00F0376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161D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0376F" w:rsidRPr="00890650" w:rsidRDefault="00F0376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95B21">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C95B21">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3E0A2F">
                        <w:rPr>
                          <w:rFonts w:asciiTheme="majorHAnsi" w:hAnsiTheme="majorHAnsi"/>
                          <w:color w:val="0D0D0D" w:themeColor="text1" w:themeTint="F2"/>
                          <w:sz w:val="18"/>
                          <w:szCs w:val="22"/>
                          <w:lang w:val="es-ES"/>
                        </w:rPr>
                        <w:t>21</w:t>
                      </w:r>
                      <w:r w:rsidR="00D674B1">
                        <w:rPr>
                          <w:rFonts w:asciiTheme="majorHAnsi" w:hAnsiTheme="majorHAnsi"/>
                          <w:color w:val="0D0D0D" w:themeColor="text1" w:themeTint="F2"/>
                          <w:sz w:val="18"/>
                          <w:szCs w:val="22"/>
                          <w:lang w:val="es-ES"/>
                        </w:rPr>
                        <w:t>.</w:t>
                      </w:r>
                    </w:p>
                    <w:p w:rsidR="00F0376F" w:rsidRPr="007A5817" w:rsidRDefault="00F0376F" w:rsidP="00247403">
                      <w:pPr>
                        <w:tabs>
                          <w:tab w:val="center" w:pos="5400"/>
                        </w:tabs>
                        <w:suppressAutoHyphens/>
                        <w:spacing w:before="60"/>
                        <w:rPr>
                          <w:rFonts w:asciiTheme="minorHAnsi" w:hAnsiTheme="minorHAnsi" w:cs="Univers"/>
                          <w:color w:val="0D0D0D" w:themeColor="text1" w:themeTint="F2"/>
                          <w:sz w:val="20"/>
                          <w:szCs w:val="20"/>
                          <w:lang w:val="es-ES"/>
                        </w:rPr>
                      </w:pPr>
                    </w:p>
                    <w:p w:rsidR="00F0376F" w:rsidRPr="00167A34" w:rsidRDefault="00F0376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E7695EE" wp14:editId="0662B0C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Pr="007B05C4" w:rsidRDefault="00F0376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5B21" w:rsidRPr="00C95B21">
                              <w:rPr>
                                <w:rFonts w:asciiTheme="majorHAnsi" w:hAnsiTheme="majorHAnsi"/>
                                <w:color w:val="595959" w:themeColor="text1" w:themeTint="A6"/>
                                <w:sz w:val="18"/>
                                <w:szCs w:val="18"/>
                                <w:lang w:val="pt-BR"/>
                              </w:rPr>
                              <w:t>52</w:t>
                            </w:r>
                            <w:r w:rsidRPr="00C95B21">
                              <w:rPr>
                                <w:rFonts w:asciiTheme="majorHAnsi" w:hAnsiTheme="majorHAnsi"/>
                                <w:color w:val="595959" w:themeColor="text1" w:themeTint="A6"/>
                                <w:sz w:val="18"/>
                                <w:szCs w:val="18"/>
                                <w:lang w:val="pt-BR"/>
                              </w:rPr>
                              <w:t>/</w:t>
                            </w:r>
                            <w:r w:rsidR="00C95B21" w:rsidRPr="00C95B21">
                              <w:rPr>
                                <w:rFonts w:asciiTheme="majorHAnsi" w:hAnsiTheme="majorHAnsi"/>
                                <w:color w:val="595959" w:themeColor="text1" w:themeTint="A6"/>
                                <w:sz w:val="18"/>
                                <w:szCs w:val="18"/>
                                <w:lang w:val="pt-BR"/>
                              </w:rPr>
                              <w:t>21</w:t>
                            </w:r>
                            <w:r w:rsidRPr="00C95B2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1405-11. </w:t>
                            </w:r>
                            <w:r w:rsidR="00695C2A">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F37693">
                              <w:rPr>
                                <w:rFonts w:asciiTheme="majorHAnsi" w:hAnsiTheme="majorHAnsi"/>
                                <w:color w:val="595959" w:themeColor="text1" w:themeTint="A6"/>
                                <w:sz w:val="18"/>
                                <w:szCs w:val="18"/>
                                <w:lang w:val="es-ES_tradnl"/>
                              </w:rPr>
                              <w:t>L.F.G.V</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C95B21">
                              <w:rPr>
                                <w:rFonts w:asciiTheme="majorHAnsi" w:hAnsiTheme="majorHAnsi"/>
                                <w:color w:val="595959" w:themeColor="text1" w:themeTint="A6"/>
                                <w:sz w:val="18"/>
                                <w:szCs w:val="18"/>
                                <w:lang w:val="es-ES_tradnl"/>
                              </w:rPr>
                              <w:t xml:space="preserve">                </w:t>
                            </w:r>
                            <w:r w:rsidR="00C95B21">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E7695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0376F" w:rsidRPr="007B05C4" w:rsidRDefault="00F0376F"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95B21" w:rsidRPr="00C95B21">
                        <w:rPr>
                          <w:rFonts w:asciiTheme="majorHAnsi" w:hAnsiTheme="majorHAnsi"/>
                          <w:color w:val="595959" w:themeColor="text1" w:themeTint="A6"/>
                          <w:sz w:val="18"/>
                          <w:szCs w:val="18"/>
                          <w:lang w:val="pt-BR"/>
                        </w:rPr>
                        <w:t>52</w:t>
                      </w:r>
                      <w:r w:rsidRPr="00C95B21">
                        <w:rPr>
                          <w:rFonts w:asciiTheme="majorHAnsi" w:hAnsiTheme="majorHAnsi"/>
                          <w:color w:val="595959" w:themeColor="text1" w:themeTint="A6"/>
                          <w:sz w:val="18"/>
                          <w:szCs w:val="18"/>
                          <w:lang w:val="pt-BR"/>
                        </w:rPr>
                        <w:t>/</w:t>
                      </w:r>
                      <w:r w:rsidR="00C95B21" w:rsidRPr="00C95B21">
                        <w:rPr>
                          <w:rFonts w:asciiTheme="majorHAnsi" w:hAnsiTheme="majorHAnsi"/>
                          <w:color w:val="595959" w:themeColor="text1" w:themeTint="A6"/>
                          <w:sz w:val="18"/>
                          <w:szCs w:val="18"/>
                          <w:lang w:val="pt-BR"/>
                        </w:rPr>
                        <w:t>21</w:t>
                      </w:r>
                      <w:r w:rsidRPr="00C95B21">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 xml:space="preserve">ón 1405-11. </w:t>
                      </w:r>
                      <w:r w:rsidR="00695C2A">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F37693">
                        <w:rPr>
                          <w:rFonts w:asciiTheme="majorHAnsi" w:hAnsiTheme="majorHAnsi"/>
                          <w:color w:val="595959" w:themeColor="text1" w:themeTint="A6"/>
                          <w:sz w:val="18"/>
                          <w:szCs w:val="18"/>
                          <w:lang w:val="es-ES_tradnl"/>
                        </w:rPr>
                        <w:t>L.F.G.V</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C95B21">
                        <w:rPr>
                          <w:rFonts w:asciiTheme="majorHAnsi" w:hAnsiTheme="majorHAnsi"/>
                          <w:color w:val="595959" w:themeColor="text1" w:themeTint="A6"/>
                          <w:sz w:val="18"/>
                          <w:szCs w:val="18"/>
                          <w:lang w:val="es-ES_tradnl"/>
                        </w:rPr>
                        <w:t xml:space="preserve">                </w:t>
                      </w:r>
                      <w:r w:rsidR="00C95B21">
                        <w:rPr>
                          <w:rFonts w:asciiTheme="majorHAnsi" w:hAnsiTheme="majorHAnsi"/>
                          <w:color w:val="595959" w:themeColor="text1" w:themeTint="A6"/>
                          <w:sz w:val="18"/>
                          <w:szCs w:val="18"/>
                          <w:lang w:val="es-ES"/>
                        </w:rPr>
                        <w:t>9 de marzo de 2021</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32418DC" wp14:editId="6ADA789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Pr="00D72DC6" w:rsidRDefault="00272E7C"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418DC" id="_x0000_t202" coordsize="21600,21600" o:spt="202" path="m,l,21600r21600,l21600,xe">
                <v:stroke joinstyle="miter"/>
                <v:path gradientshapeok="t" o:connecttype="rect"/>
              </v:shapetype>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0376F" w:rsidRPr="00D72DC6" w:rsidRDefault="00272E7C" w:rsidP="00F02AD1">
                      <w:pPr>
                        <w:rPr>
                          <w:color w:val="FFFFFF" w:themeColor="background1"/>
                          <w14:textFill>
                            <w14:noFill/>
                          </w14:textFill>
                        </w:rPr>
                      </w:pPr>
                      <w:r>
                        <w:rPr>
                          <w:noProof/>
                          <w:color w:val="FFFFFF" w:themeColor="background1"/>
                        </w:rPr>
                        <w:drawing>
                          <wp:inline distT="0" distB="0" distL="0" distR="0" wp14:anchorId="3C4FF3DC" wp14:editId="624B1683">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Start w:id="2" w:name="_GoBack"/>
                      <w:bookmarkEnd w:id="2"/>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A518D20" wp14:editId="059FF51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76F" w:rsidRPr="004B7EB6" w:rsidRDefault="00F0376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A518D20"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0376F" w:rsidRPr="004B7EB6" w:rsidRDefault="00F0376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238D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F0376F">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753531" w:rsidRDefault="00753531" w:rsidP="005503AE">
            <w:pPr>
              <w:jc w:val="both"/>
              <w:rPr>
                <w:rFonts w:ascii="Cambria" w:hAnsi="Cambria"/>
                <w:bCs/>
                <w:sz w:val="20"/>
                <w:szCs w:val="20"/>
                <w:lang w:val="es-ES"/>
              </w:rPr>
            </w:pPr>
            <w:r w:rsidRPr="00753531">
              <w:rPr>
                <w:rFonts w:ascii="Cambria" w:hAnsi="Cambria"/>
                <w:bCs/>
                <w:sz w:val="20"/>
                <w:szCs w:val="20"/>
                <w:lang w:val="es-ES"/>
              </w:rPr>
              <w:t>Felipe Edgardo</w:t>
            </w:r>
            <w:r>
              <w:rPr>
                <w:rFonts w:ascii="Cambria" w:hAnsi="Cambria"/>
                <w:bCs/>
                <w:sz w:val="20"/>
                <w:szCs w:val="20"/>
                <w:lang w:val="es-ES"/>
              </w:rPr>
              <w:t xml:space="preserve"> Canseco Ruiz </w:t>
            </w:r>
            <w:r w:rsidR="00A4111A">
              <w:rPr>
                <w:rFonts w:ascii="Cambria" w:hAnsi="Cambria"/>
                <w:bCs/>
                <w:sz w:val="20"/>
                <w:szCs w:val="20"/>
                <w:lang w:val="es-ES"/>
              </w:rPr>
              <w:t>y L</w:t>
            </w:r>
            <w:r w:rsidR="005503AE">
              <w:rPr>
                <w:rFonts w:ascii="Cambria" w:hAnsi="Cambria"/>
                <w:bCs/>
                <w:sz w:val="20"/>
                <w:szCs w:val="20"/>
                <w:lang w:val="es-ES"/>
              </w:rPr>
              <w:t xml:space="preserve">. </w:t>
            </w:r>
            <w:r w:rsidR="00A4111A">
              <w:rPr>
                <w:rFonts w:ascii="Cambria" w:hAnsi="Cambria"/>
                <w:bCs/>
                <w:sz w:val="20"/>
                <w:szCs w:val="20"/>
                <w:lang w:val="es-ES"/>
              </w:rPr>
              <w:t>V</w:t>
            </w:r>
            <w:r w:rsidR="005503AE">
              <w:rPr>
                <w:rFonts w:ascii="Cambria" w:hAnsi="Cambria"/>
                <w:bCs/>
                <w:sz w:val="20"/>
                <w:szCs w:val="20"/>
                <w:lang w:val="es-ES"/>
              </w:rPr>
              <w:t xml:space="preserve">. </w:t>
            </w:r>
            <w:r w:rsidR="00A4111A">
              <w:rPr>
                <w:rFonts w:ascii="Cambria" w:hAnsi="Cambria"/>
                <w:bCs/>
                <w:sz w:val="20"/>
                <w:szCs w:val="20"/>
                <w:lang w:val="es-ES"/>
              </w:rPr>
              <w:t>M</w:t>
            </w:r>
            <w:r w:rsidR="005503AE">
              <w:rPr>
                <w:rFonts w:ascii="Cambria" w:hAnsi="Cambria"/>
                <w:bCs/>
                <w:sz w:val="20"/>
                <w:szCs w:val="20"/>
                <w:lang w:val="es-ES"/>
              </w:rPr>
              <w:t>. (madre de L.F.G.V.)</w:t>
            </w:r>
          </w:p>
        </w:tc>
      </w:tr>
      <w:tr w:rsidR="003239B8" w:rsidRPr="005503AE" w:rsidTr="004A6A54">
        <w:tc>
          <w:tcPr>
            <w:tcW w:w="3600" w:type="dxa"/>
            <w:tcBorders>
              <w:top w:val="single" w:sz="6" w:space="0" w:color="auto"/>
              <w:bottom w:val="single" w:sz="6" w:space="0" w:color="auto"/>
            </w:tcBorders>
            <w:shd w:val="clear" w:color="auto" w:fill="386294"/>
            <w:vAlign w:val="center"/>
          </w:tcPr>
          <w:p w:rsidR="003239B8" w:rsidRPr="005503AE" w:rsidRDefault="0067543D" w:rsidP="00F0376F">
            <w:pPr>
              <w:jc w:val="center"/>
              <w:rPr>
                <w:rFonts w:ascii="Cambria" w:hAnsi="Cambria"/>
                <w:b/>
                <w:bCs/>
                <w:color w:val="FFFFFF" w:themeColor="background1"/>
                <w:sz w:val="20"/>
                <w:szCs w:val="20"/>
                <w:lang w:val="es-US"/>
              </w:rPr>
            </w:pPr>
            <w:sdt>
              <w:sdtPr>
                <w:rPr>
                  <w:rFonts w:ascii="Cambria" w:hAnsi="Cambria"/>
                  <w:b/>
                  <w:bCs/>
                  <w:color w:val="FFFFFF" w:themeColor="background1"/>
                  <w:sz w:val="20"/>
                  <w:szCs w:val="20"/>
                  <w:lang w:val="es-U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575E7" w:rsidRPr="005503AE">
                  <w:rPr>
                    <w:rFonts w:ascii="Cambria" w:hAnsi="Cambria"/>
                    <w:b/>
                    <w:bCs/>
                    <w:color w:val="FFFFFF" w:themeColor="background1"/>
                    <w:sz w:val="20"/>
                    <w:szCs w:val="20"/>
                    <w:lang w:val="es-US"/>
                  </w:rPr>
                  <w:t>Presunta víctima</w:t>
                </w:r>
              </w:sdtContent>
            </w:sdt>
            <w:r w:rsidR="003239B8" w:rsidRPr="005503AE">
              <w:rPr>
                <w:rFonts w:ascii="Cambria" w:hAnsi="Cambria"/>
                <w:b/>
                <w:bCs/>
                <w:color w:val="FFFFFF" w:themeColor="background1"/>
                <w:sz w:val="20"/>
                <w:szCs w:val="20"/>
                <w:lang w:val="es-US"/>
              </w:rPr>
              <w:t>:</w:t>
            </w:r>
          </w:p>
        </w:tc>
        <w:tc>
          <w:tcPr>
            <w:tcW w:w="5760" w:type="dxa"/>
            <w:vAlign w:val="center"/>
          </w:tcPr>
          <w:p w:rsidR="003239B8" w:rsidRPr="00F97CB4" w:rsidRDefault="00822B93" w:rsidP="00F0376F">
            <w:pPr>
              <w:jc w:val="both"/>
              <w:rPr>
                <w:rFonts w:ascii="Cambria" w:hAnsi="Cambria"/>
                <w:bCs/>
                <w:sz w:val="20"/>
                <w:szCs w:val="20"/>
                <w:highlight w:val="yellow"/>
                <w:lang w:val="es-ES"/>
              </w:rPr>
            </w:pPr>
            <w:r w:rsidRPr="00A4111A">
              <w:rPr>
                <w:rFonts w:ascii="Cambria" w:hAnsi="Cambria"/>
                <w:bCs/>
                <w:sz w:val="20"/>
                <w:szCs w:val="20"/>
                <w:lang w:val="es-ES"/>
              </w:rPr>
              <w:t>L</w:t>
            </w:r>
            <w:r w:rsidR="00A4111A" w:rsidRPr="00A4111A">
              <w:rPr>
                <w:rFonts w:ascii="Cambria" w:hAnsi="Cambria"/>
                <w:bCs/>
                <w:sz w:val="20"/>
                <w:szCs w:val="20"/>
                <w:lang w:val="es-ES"/>
              </w:rPr>
              <w:t>.F.G.V</w:t>
            </w:r>
            <w:r w:rsidR="005503AE">
              <w:rPr>
                <w:rFonts w:ascii="Cambria" w:hAnsi="Cambria"/>
                <w:bCs/>
                <w:sz w:val="20"/>
                <w:szCs w:val="20"/>
                <w:lang w:val="es-ES"/>
              </w:rPr>
              <w:t>.</w:t>
            </w:r>
            <w:r w:rsidR="00A4111A" w:rsidRPr="00A4111A">
              <w:rPr>
                <w:rFonts w:ascii="Cambria" w:hAnsi="Cambria"/>
                <w:bCs/>
                <w:sz w:val="20"/>
                <w:szCs w:val="20"/>
                <w:lang w:val="es-ES"/>
              </w:rPr>
              <w:t xml:space="preserve"> </w:t>
            </w:r>
          </w:p>
        </w:tc>
      </w:tr>
      <w:tr w:rsidR="003239B8" w:rsidRPr="005503AE" w:rsidTr="004A6A54">
        <w:tc>
          <w:tcPr>
            <w:tcW w:w="3600" w:type="dxa"/>
            <w:tcBorders>
              <w:top w:val="single" w:sz="6" w:space="0" w:color="auto"/>
              <w:bottom w:val="single" w:sz="6" w:space="0" w:color="auto"/>
            </w:tcBorders>
            <w:shd w:val="clear" w:color="auto" w:fill="386294"/>
            <w:vAlign w:val="center"/>
          </w:tcPr>
          <w:p w:rsidR="003239B8" w:rsidRPr="005503AE" w:rsidRDefault="003239B8" w:rsidP="00F0376F">
            <w:pPr>
              <w:jc w:val="center"/>
              <w:rPr>
                <w:rFonts w:ascii="Cambria" w:hAnsi="Cambria"/>
                <w:b/>
                <w:bCs/>
                <w:color w:val="FFFFFF" w:themeColor="background1"/>
                <w:sz w:val="20"/>
                <w:szCs w:val="20"/>
                <w:lang w:val="es-US"/>
              </w:rPr>
            </w:pPr>
            <w:r w:rsidRPr="005503AE">
              <w:rPr>
                <w:rFonts w:ascii="Cambria" w:hAnsi="Cambria"/>
                <w:b/>
                <w:bCs/>
                <w:color w:val="FFFFFF" w:themeColor="background1"/>
                <w:sz w:val="20"/>
                <w:szCs w:val="20"/>
                <w:lang w:val="es-US"/>
              </w:rPr>
              <w:t>Estado denunciado:</w:t>
            </w:r>
          </w:p>
        </w:tc>
        <w:tc>
          <w:tcPr>
            <w:tcW w:w="5760" w:type="dxa"/>
            <w:vAlign w:val="center"/>
          </w:tcPr>
          <w:p w:rsidR="003239B8" w:rsidRPr="005503AE" w:rsidRDefault="00822B93" w:rsidP="00F0376F">
            <w:pPr>
              <w:jc w:val="both"/>
              <w:rPr>
                <w:rFonts w:ascii="Cambria" w:hAnsi="Cambria"/>
                <w:bCs/>
                <w:sz w:val="20"/>
                <w:szCs w:val="20"/>
                <w:lang w:val="es-US"/>
              </w:rPr>
            </w:pPr>
            <w:r w:rsidRPr="005503AE">
              <w:rPr>
                <w:rFonts w:ascii="Cambria" w:hAnsi="Cambria"/>
                <w:bCs/>
                <w:sz w:val="20"/>
                <w:szCs w:val="20"/>
                <w:lang w:val="es-US"/>
              </w:rPr>
              <w:t>México</w:t>
            </w:r>
            <w:r w:rsidR="004A6A54" w:rsidRPr="000D05CB">
              <w:rPr>
                <w:rStyle w:val="FootnoteReference"/>
                <w:rFonts w:ascii="Cambria" w:hAnsi="Cambria"/>
                <w:bCs/>
                <w:sz w:val="20"/>
                <w:szCs w:val="20"/>
              </w:rPr>
              <w:footnoteReference w:id="2"/>
            </w:r>
          </w:p>
        </w:tc>
      </w:tr>
      <w:tr w:rsidR="00223A29" w:rsidRPr="000238D8" w:rsidTr="004A6A54">
        <w:tc>
          <w:tcPr>
            <w:tcW w:w="3600" w:type="dxa"/>
            <w:tcBorders>
              <w:top w:val="single" w:sz="6" w:space="0" w:color="auto"/>
              <w:bottom w:val="single" w:sz="6" w:space="0" w:color="auto"/>
            </w:tcBorders>
            <w:shd w:val="clear" w:color="auto" w:fill="386294"/>
            <w:vAlign w:val="center"/>
          </w:tcPr>
          <w:p w:rsidR="00223A29" w:rsidRPr="005503AE" w:rsidRDefault="001B3A00" w:rsidP="00E4118C">
            <w:pPr>
              <w:jc w:val="center"/>
              <w:rPr>
                <w:rFonts w:ascii="Cambria" w:hAnsi="Cambria"/>
                <w:b/>
                <w:bCs/>
                <w:color w:val="FFFFFF" w:themeColor="background1"/>
                <w:sz w:val="20"/>
                <w:szCs w:val="20"/>
                <w:lang w:val="es-US"/>
              </w:rPr>
            </w:pPr>
            <w:r w:rsidRPr="005503AE">
              <w:rPr>
                <w:rFonts w:ascii="Cambria" w:hAnsi="Cambria"/>
                <w:b/>
                <w:bCs/>
                <w:color w:val="FFFFFF" w:themeColor="background1"/>
                <w:sz w:val="20"/>
                <w:szCs w:val="20"/>
                <w:lang w:val="es-US"/>
              </w:rPr>
              <w:t xml:space="preserve">Derechos </w:t>
            </w:r>
            <w:r w:rsidR="00E4118C" w:rsidRPr="005503AE">
              <w:rPr>
                <w:rFonts w:ascii="Cambria" w:hAnsi="Cambria"/>
                <w:b/>
                <w:bCs/>
                <w:color w:val="FFFFFF" w:themeColor="background1"/>
                <w:sz w:val="20"/>
                <w:szCs w:val="20"/>
                <w:lang w:val="es-US"/>
              </w:rPr>
              <w:t>invocados</w:t>
            </w:r>
            <w:r w:rsidRPr="005503AE">
              <w:rPr>
                <w:rFonts w:ascii="Cambria" w:hAnsi="Cambria"/>
                <w:b/>
                <w:bCs/>
                <w:color w:val="FFFFFF" w:themeColor="background1"/>
                <w:sz w:val="20"/>
                <w:szCs w:val="20"/>
                <w:lang w:val="es-US"/>
              </w:rPr>
              <w:t>:</w:t>
            </w:r>
          </w:p>
        </w:tc>
        <w:tc>
          <w:tcPr>
            <w:tcW w:w="5760" w:type="dxa"/>
            <w:vAlign w:val="center"/>
          </w:tcPr>
          <w:p w:rsidR="00223A29" w:rsidRPr="00146589" w:rsidRDefault="00146589" w:rsidP="00294763">
            <w:pPr>
              <w:jc w:val="both"/>
              <w:rPr>
                <w:rFonts w:ascii="Cambria" w:hAnsi="Cambria"/>
                <w:bCs/>
                <w:sz w:val="20"/>
                <w:szCs w:val="20"/>
                <w:lang w:val="es-ES"/>
              </w:rPr>
            </w:pPr>
            <w:r w:rsidRPr="00146589">
              <w:rPr>
                <w:rFonts w:ascii="Cambria" w:hAnsi="Cambria"/>
                <w:bCs/>
                <w:sz w:val="20"/>
                <w:szCs w:val="20"/>
                <w:lang w:val="es-ES"/>
              </w:rPr>
              <w:t>Artículos</w:t>
            </w:r>
            <w:r w:rsidR="00FA61FD">
              <w:rPr>
                <w:rFonts w:ascii="Cambria" w:hAnsi="Cambria"/>
                <w:bCs/>
                <w:sz w:val="20"/>
                <w:szCs w:val="20"/>
                <w:lang w:val="es-ES"/>
              </w:rPr>
              <w:t xml:space="preserve"> </w:t>
            </w:r>
            <w:r w:rsidRPr="00146589">
              <w:rPr>
                <w:rFonts w:ascii="Cambria" w:hAnsi="Cambria"/>
                <w:bCs/>
                <w:sz w:val="20"/>
                <w:szCs w:val="20"/>
                <w:lang w:val="es-ES"/>
              </w:rPr>
              <w:t xml:space="preserve">19 </w:t>
            </w:r>
            <w:r w:rsidR="00FA61FD">
              <w:rPr>
                <w:rFonts w:ascii="Cambria" w:hAnsi="Cambria"/>
                <w:bCs/>
                <w:sz w:val="20"/>
                <w:szCs w:val="20"/>
                <w:lang w:val="es-ES"/>
              </w:rPr>
              <w:t>(</w:t>
            </w:r>
            <w:r w:rsidR="00294763">
              <w:rPr>
                <w:rFonts w:ascii="Cambria" w:hAnsi="Cambria"/>
                <w:bCs/>
                <w:sz w:val="20"/>
                <w:szCs w:val="20"/>
                <w:lang w:val="es-ES"/>
              </w:rPr>
              <w:t>derechos del niño</w:t>
            </w:r>
            <w:r w:rsidR="00FA61FD">
              <w:rPr>
                <w:rFonts w:ascii="Cambria" w:hAnsi="Cambria"/>
                <w:bCs/>
                <w:sz w:val="20"/>
                <w:szCs w:val="20"/>
                <w:lang w:val="es-ES"/>
              </w:rPr>
              <w:t xml:space="preserve">) </w:t>
            </w:r>
            <w:r w:rsidRPr="00146589">
              <w:rPr>
                <w:rFonts w:ascii="Cambria" w:hAnsi="Cambria"/>
                <w:bCs/>
                <w:sz w:val="20"/>
                <w:szCs w:val="20"/>
                <w:lang w:val="es-ES"/>
              </w:rPr>
              <w:t>y 25</w:t>
            </w:r>
            <w:r w:rsidR="00FA61FD">
              <w:rPr>
                <w:rFonts w:ascii="Cambria" w:hAnsi="Cambria"/>
                <w:bCs/>
                <w:sz w:val="20"/>
                <w:szCs w:val="20"/>
                <w:lang w:val="es-ES"/>
              </w:rPr>
              <w:t xml:space="preserve"> (</w:t>
            </w:r>
            <w:r w:rsidR="00746C09">
              <w:rPr>
                <w:rFonts w:ascii="Cambria" w:hAnsi="Cambria"/>
                <w:bCs/>
                <w:sz w:val="20"/>
                <w:szCs w:val="20"/>
                <w:lang w:val="es-ES"/>
              </w:rPr>
              <w:t>protección judicial</w:t>
            </w:r>
            <w:r w:rsidR="00FA61FD">
              <w:rPr>
                <w:rFonts w:ascii="Cambria" w:hAnsi="Cambria"/>
                <w:bCs/>
                <w:sz w:val="20"/>
                <w:szCs w:val="20"/>
                <w:lang w:val="es-ES"/>
              </w:rPr>
              <w:t xml:space="preserve">) </w:t>
            </w:r>
            <w:r w:rsidRPr="00146589">
              <w:rPr>
                <w:rFonts w:ascii="Cambria" w:hAnsi="Cambria"/>
                <w:bCs/>
                <w:sz w:val="20"/>
                <w:szCs w:val="20"/>
                <w:lang w:val="es-ES"/>
              </w:rPr>
              <w:t>de la Con</w:t>
            </w:r>
            <w:r>
              <w:rPr>
                <w:rFonts w:ascii="Cambria" w:hAnsi="Cambria"/>
                <w:bCs/>
                <w:sz w:val="20"/>
                <w:szCs w:val="20"/>
                <w:lang w:val="es-ES"/>
              </w:rPr>
              <w:t>vención Americana sobre Derechos Humanos</w:t>
            </w:r>
            <w:r w:rsidR="00161D05">
              <w:rPr>
                <w:rStyle w:val="FootnoteReference"/>
                <w:rFonts w:ascii="Cambria" w:hAnsi="Cambria"/>
                <w:bCs/>
                <w:sz w:val="20"/>
                <w:szCs w:val="20"/>
                <w:lang w:val="es-ES"/>
              </w:rPr>
              <w:footnoteReference w:id="3"/>
            </w:r>
            <w:r w:rsidR="00405D01">
              <w:rPr>
                <w:rFonts w:ascii="Cambria" w:hAnsi="Cambria"/>
                <w:bCs/>
                <w:sz w:val="20"/>
                <w:szCs w:val="20"/>
                <w:lang w:val="es-ES"/>
              </w:rPr>
              <w:t>,</w:t>
            </w:r>
            <w:r w:rsidR="00FA61FD">
              <w:rPr>
                <w:rFonts w:ascii="Cambria" w:hAnsi="Cambria"/>
                <w:bCs/>
                <w:sz w:val="20"/>
                <w:szCs w:val="20"/>
                <w:lang w:val="es-ES"/>
              </w:rPr>
              <w:t xml:space="preserve"> en relación con </w:t>
            </w:r>
            <w:r w:rsidR="00405D01">
              <w:rPr>
                <w:rFonts w:ascii="Cambria" w:hAnsi="Cambria"/>
                <w:bCs/>
                <w:sz w:val="20"/>
                <w:szCs w:val="20"/>
                <w:lang w:val="es-ES"/>
              </w:rPr>
              <w:t>su</w:t>
            </w:r>
            <w:r w:rsidR="00FA61FD">
              <w:rPr>
                <w:rFonts w:ascii="Cambria" w:hAnsi="Cambria"/>
                <w:bCs/>
                <w:sz w:val="20"/>
                <w:szCs w:val="20"/>
                <w:lang w:val="es-ES"/>
              </w:rPr>
              <w:t xml:space="preserve"> artículo 1.1</w:t>
            </w:r>
            <w:r>
              <w:rPr>
                <w:rFonts w:ascii="Cambria" w:hAnsi="Cambria"/>
                <w:bCs/>
                <w:sz w:val="20"/>
                <w:szCs w:val="20"/>
                <w:lang w:val="es-ES"/>
              </w:rPr>
              <w:t>; y los artículos V</w:t>
            </w:r>
            <w:r w:rsidR="00405D01">
              <w:rPr>
                <w:rFonts w:ascii="Cambria" w:hAnsi="Cambria"/>
                <w:bCs/>
                <w:sz w:val="20"/>
                <w:szCs w:val="20"/>
                <w:lang w:val="es-ES"/>
              </w:rPr>
              <w:t xml:space="preserve"> (protección a la honra, la reputación personal y la vida privada y familiar)</w:t>
            </w:r>
            <w:r>
              <w:rPr>
                <w:rFonts w:ascii="Cambria" w:hAnsi="Cambria"/>
                <w:bCs/>
                <w:sz w:val="20"/>
                <w:szCs w:val="20"/>
                <w:lang w:val="es-ES"/>
              </w:rPr>
              <w:t xml:space="preserve">, VII </w:t>
            </w:r>
            <w:r w:rsidR="00405D01">
              <w:rPr>
                <w:rFonts w:ascii="Cambria" w:hAnsi="Cambria"/>
                <w:bCs/>
                <w:sz w:val="20"/>
                <w:szCs w:val="20"/>
                <w:lang w:val="es-ES"/>
              </w:rPr>
              <w:t xml:space="preserve">(protección de la maternidad y la infancia) </w:t>
            </w:r>
            <w:r>
              <w:rPr>
                <w:rFonts w:ascii="Cambria" w:hAnsi="Cambria"/>
                <w:bCs/>
                <w:sz w:val="20"/>
                <w:szCs w:val="20"/>
                <w:lang w:val="es-ES"/>
              </w:rPr>
              <w:t xml:space="preserve">y XVIII </w:t>
            </w:r>
            <w:r w:rsidR="00405D01">
              <w:rPr>
                <w:rFonts w:ascii="Cambria" w:hAnsi="Cambria"/>
                <w:bCs/>
                <w:sz w:val="20"/>
                <w:szCs w:val="20"/>
                <w:lang w:val="es-ES"/>
              </w:rPr>
              <w:t xml:space="preserve">(justicia) </w:t>
            </w:r>
            <w:r>
              <w:rPr>
                <w:rFonts w:ascii="Cambria" w:hAnsi="Cambria"/>
                <w:bCs/>
                <w:sz w:val="20"/>
                <w:szCs w:val="20"/>
                <w:lang w:val="es-ES"/>
              </w:rPr>
              <w:t xml:space="preserve">de la Declaración </w:t>
            </w:r>
            <w:r w:rsidR="006C67DF">
              <w:rPr>
                <w:rFonts w:ascii="Cambria" w:hAnsi="Cambria"/>
                <w:bCs/>
                <w:sz w:val="20"/>
                <w:szCs w:val="20"/>
                <w:lang w:val="es-ES"/>
              </w:rPr>
              <w:t>Americana de los Derechos y Deberes del Hombre</w:t>
            </w:r>
            <w:r w:rsidR="00877299">
              <w:rPr>
                <w:rStyle w:val="FootnoteReference"/>
                <w:rFonts w:ascii="Cambria" w:hAnsi="Cambria"/>
                <w:bCs/>
                <w:sz w:val="20"/>
                <w:szCs w:val="20"/>
                <w:lang w:val="es-ES"/>
              </w:rPr>
              <w:footnoteReference w:id="4"/>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753531" w:rsidP="00F0376F">
            <w:pPr>
              <w:jc w:val="both"/>
              <w:rPr>
                <w:rFonts w:ascii="Cambria" w:hAnsi="Cambria"/>
                <w:bCs/>
                <w:sz w:val="20"/>
                <w:szCs w:val="20"/>
                <w:lang w:val="es-ES"/>
              </w:rPr>
            </w:pPr>
            <w:r w:rsidRPr="00247955">
              <w:rPr>
                <w:rFonts w:ascii="Cambria" w:hAnsi="Cambria"/>
                <w:bCs/>
                <w:sz w:val="20"/>
                <w:szCs w:val="20"/>
                <w:lang w:val="es-ES"/>
              </w:rPr>
              <w:t>1</w:t>
            </w:r>
            <w:r w:rsidR="00535619" w:rsidRPr="00247955">
              <w:rPr>
                <w:rFonts w:ascii="Cambria" w:hAnsi="Cambria"/>
                <w:bCs/>
                <w:sz w:val="20"/>
                <w:szCs w:val="20"/>
                <w:lang w:val="es-ES"/>
              </w:rPr>
              <w:t>4</w:t>
            </w:r>
            <w:r>
              <w:rPr>
                <w:rFonts w:ascii="Cambria" w:hAnsi="Cambria"/>
                <w:bCs/>
                <w:sz w:val="20"/>
                <w:szCs w:val="20"/>
                <w:lang w:val="es-ES"/>
              </w:rPr>
              <w:t xml:space="preserve"> de octubre de 2011</w:t>
            </w:r>
          </w:p>
        </w:tc>
      </w:tr>
      <w:tr w:rsidR="00131425" w:rsidRPr="00C8540E" w:rsidTr="004A6A54">
        <w:tc>
          <w:tcPr>
            <w:tcW w:w="3600" w:type="dxa"/>
            <w:tcBorders>
              <w:top w:val="single" w:sz="6" w:space="0" w:color="auto"/>
              <w:bottom w:val="single" w:sz="6" w:space="0" w:color="auto"/>
            </w:tcBorders>
            <w:shd w:val="clear" w:color="auto" w:fill="386294"/>
            <w:vAlign w:val="center"/>
          </w:tcPr>
          <w:p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rsidR="00131425" w:rsidRPr="003239B8" w:rsidRDefault="00553220" w:rsidP="00F0376F">
            <w:pPr>
              <w:jc w:val="both"/>
              <w:rPr>
                <w:rFonts w:ascii="Cambria" w:hAnsi="Cambria"/>
                <w:bCs/>
                <w:sz w:val="20"/>
                <w:szCs w:val="20"/>
                <w:lang w:val="es-ES"/>
              </w:rPr>
            </w:pPr>
            <w:r>
              <w:rPr>
                <w:rFonts w:ascii="Cambria" w:hAnsi="Cambria"/>
                <w:bCs/>
                <w:sz w:val="20"/>
                <w:szCs w:val="20"/>
                <w:lang w:val="es-ES"/>
              </w:rPr>
              <w:t>20 de octubre de 2011</w:t>
            </w:r>
          </w:p>
        </w:tc>
      </w:tr>
      <w:tr w:rsidR="004C2312" w:rsidRPr="00C8540E"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E46CC6" w:rsidP="00F0376F">
            <w:pPr>
              <w:jc w:val="both"/>
              <w:rPr>
                <w:rFonts w:ascii="Cambria" w:hAnsi="Cambria"/>
                <w:bCs/>
                <w:sz w:val="20"/>
                <w:szCs w:val="20"/>
                <w:lang w:val="es-ES"/>
              </w:rPr>
            </w:pPr>
            <w:r>
              <w:rPr>
                <w:rFonts w:ascii="Cambria" w:hAnsi="Cambria"/>
                <w:bCs/>
                <w:sz w:val="20"/>
                <w:szCs w:val="20"/>
                <w:lang w:val="es-ES"/>
              </w:rPr>
              <w:t>5</w:t>
            </w:r>
            <w:r w:rsidR="001237C6">
              <w:rPr>
                <w:rFonts w:ascii="Cambria" w:hAnsi="Cambria"/>
                <w:bCs/>
                <w:sz w:val="20"/>
                <w:szCs w:val="20"/>
                <w:lang w:val="es-ES"/>
              </w:rPr>
              <w:t xml:space="preserve"> de </w:t>
            </w:r>
            <w:r>
              <w:rPr>
                <w:rFonts w:ascii="Cambria" w:hAnsi="Cambria"/>
                <w:bCs/>
                <w:sz w:val="20"/>
                <w:szCs w:val="20"/>
                <w:lang w:val="es-ES"/>
              </w:rPr>
              <w:t>febrero</w:t>
            </w:r>
            <w:r w:rsidR="001237C6">
              <w:rPr>
                <w:rFonts w:ascii="Cambria" w:hAnsi="Cambria"/>
                <w:bCs/>
                <w:sz w:val="20"/>
                <w:szCs w:val="20"/>
                <w:lang w:val="es-ES"/>
              </w:rPr>
              <w:t xml:space="preserve"> de 2014</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0728CC" w:rsidP="00F0376F">
            <w:pPr>
              <w:jc w:val="both"/>
              <w:rPr>
                <w:rFonts w:ascii="Cambria" w:hAnsi="Cambria"/>
                <w:bCs/>
                <w:sz w:val="20"/>
                <w:szCs w:val="20"/>
                <w:lang w:val="es-ES"/>
              </w:rPr>
            </w:pPr>
            <w:r>
              <w:rPr>
                <w:rFonts w:ascii="Cambria" w:hAnsi="Cambria"/>
                <w:bCs/>
                <w:sz w:val="20"/>
                <w:szCs w:val="20"/>
                <w:lang w:val="es-ES"/>
              </w:rPr>
              <w:t>1</w:t>
            </w:r>
            <w:r w:rsidR="00BE6E93">
              <w:rPr>
                <w:rFonts w:ascii="Cambria" w:hAnsi="Cambria"/>
                <w:bCs/>
                <w:sz w:val="20"/>
                <w:szCs w:val="20"/>
                <w:lang w:val="es-ES"/>
              </w:rPr>
              <w:t>6</w:t>
            </w:r>
            <w:r>
              <w:rPr>
                <w:rFonts w:ascii="Cambria" w:hAnsi="Cambria"/>
                <w:bCs/>
                <w:sz w:val="20"/>
                <w:szCs w:val="20"/>
                <w:lang w:val="es-ES"/>
              </w:rPr>
              <w:t xml:space="preserve"> de junio de 2014</w:t>
            </w:r>
          </w:p>
        </w:tc>
      </w:tr>
      <w:tr w:rsidR="001E49E7" w:rsidRPr="007B76D3"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rsidR="001E49E7" w:rsidRPr="003239B8" w:rsidRDefault="006D7628" w:rsidP="00F0376F">
            <w:pPr>
              <w:jc w:val="both"/>
              <w:rPr>
                <w:rFonts w:ascii="Cambria" w:hAnsi="Cambria"/>
                <w:bCs/>
                <w:sz w:val="20"/>
                <w:szCs w:val="20"/>
                <w:lang w:val="es-ES"/>
              </w:rPr>
            </w:pPr>
            <w:r>
              <w:rPr>
                <w:rFonts w:ascii="Cambria" w:hAnsi="Cambria"/>
                <w:bCs/>
                <w:sz w:val="20"/>
                <w:szCs w:val="20"/>
                <w:lang w:val="es-ES"/>
              </w:rPr>
              <w:t>14</w:t>
            </w:r>
            <w:r w:rsidR="000728CC">
              <w:rPr>
                <w:rFonts w:ascii="Cambria" w:hAnsi="Cambria"/>
                <w:bCs/>
                <w:sz w:val="20"/>
                <w:szCs w:val="20"/>
                <w:lang w:val="es-ES"/>
              </w:rPr>
              <w:t xml:space="preserve"> de junio de 2018</w:t>
            </w:r>
          </w:p>
        </w:tc>
      </w:tr>
      <w:tr w:rsidR="001E49E7" w:rsidRPr="00C8540E"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rsidR="001E49E7" w:rsidRPr="003239B8" w:rsidRDefault="000728CC" w:rsidP="00F0376F">
            <w:pPr>
              <w:jc w:val="both"/>
              <w:rPr>
                <w:rFonts w:ascii="Cambria" w:hAnsi="Cambria"/>
                <w:bCs/>
                <w:sz w:val="20"/>
                <w:szCs w:val="20"/>
                <w:lang w:val="es-ES"/>
              </w:rPr>
            </w:pPr>
            <w:r>
              <w:rPr>
                <w:rFonts w:ascii="Cambria" w:hAnsi="Cambria"/>
                <w:bCs/>
                <w:sz w:val="20"/>
                <w:szCs w:val="20"/>
                <w:lang w:val="es-ES"/>
              </w:rPr>
              <w:t>30 de junio de 2018</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F0376F">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3410C4" w:rsidP="00F0376F">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F0376F">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3410C4" w:rsidP="00F0376F">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F0376F">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3410C4" w:rsidP="00F0376F">
            <w:pPr>
              <w:rPr>
                <w:rFonts w:ascii="Cambria" w:hAnsi="Cambria"/>
                <w:bCs/>
                <w:sz w:val="20"/>
                <w:szCs w:val="20"/>
              </w:rPr>
            </w:pPr>
            <w:proofErr w:type="spellStart"/>
            <w:r>
              <w:rPr>
                <w:rFonts w:ascii="Cambria" w:hAnsi="Cambria"/>
                <w:bCs/>
                <w:sz w:val="20"/>
                <w:szCs w:val="20"/>
              </w:rPr>
              <w:t>Sí</w:t>
            </w:r>
            <w:proofErr w:type="spellEnd"/>
          </w:p>
        </w:tc>
      </w:tr>
      <w:tr w:rsidR="003239B8" w:rsidRPr="000238D8"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F0376F">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FD49C7" w:rsidP="00F0376F">
            <w:pPr>
              <w:jc w:val="both"/>
              <w:rPr>
                <w:rFonts w:ascii="Cambria" w:hAnsi="Cambria"/>
                <w:bCs/>
                <w:sz w:val="20"/>
                <w:szCs w:val="20"/>
                <w:lang w:val="es-ES"/>
              </w:rPr>
            </w:pPr>
            <w:r>
              <w:rPr>
                <w:rFonts w:ascii="Cambria" w:hAnsi="Cambria"/>
                <w:bCs/>
                <w:sz w:val="20"/>
                <w:szCs w:val="20"/>
                <w:lang w:val="es-ES"/>
              </w:rPr>
              <w:t xml:space="preserve">Sí, Convención Americana (depósito de instrumento </w:t>
            </w:r>
            <w:r w:rsidR="00B6773F">
              <w:rPr>
                <w:rFonts w:ascii="Cambria" w:hAnsi="Cambria"/>
                <w:bCs/>
                <w:sz w:val="20"/>
                <w:szCs w:val="20"/>
                <w:lang w:val="es-ES"/>
              </w:rPr>
              <w:t xml:space="preserve">de adhesión </w:t>
            </w:r>
            <w:r w:rsidR="00924AB7">
              <w:rPr>
                <w:rFonts w:ascii="Cambria" w:hAnsi="Cambria"/>
                <w:bCs/>
                <w:sz w:val="20"/>
                <w:szCs w:val="20"/>
                <w:lang w:val="es-ES"/>
              </w:rPr>
              <w:t xml:space="preserve">realizado </w:t>
            </w:r>
            <w:r>
              <w:rPr>
                <w:rFonts w:ascii="Cambria" w:hAnsi="Cambria"/>
                <w:bCs/>
                <w:sz w:val="20"/>
                <w:szCs w:val="20"/>
                <w:lang w:val="es-ES"/>
              </w:rPr>
              <w:t>el 24 de marzo de 1981)</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877299" w:rsidRPr="003239B8">
        <w:rPr>
          <w:rFonts w:asciiTheme="majorHAnsi" w:hAnsiTheme="majorHAnsi"/>
          <w:b/>
          <w:bCs/>
          <w:sz w:val="20"/>
          <w:szCs w:val="20"/>
          <w:lang w:val="es-ES"/>
        </w:rPr>
        <w:t>INTERNACIONAL</w:t>
      </w:r>
      <w:r w:rsidR="00877299">
        <w:rPr>
          <w:rFonts w:asciiTheme="majorHAnsi" w:hAnsiTheme="majorHAnsi"/>
          <w:b/>
          <w:bCs/>
          <w:sz w:val="20"/>
          <w:szCs w:val="20"/>
          <w:lang w:val="es-ES"/>
        </w:rPr>
        <w:t xml:space="preserve">, </w:t>
      </w:r>
      <w:r w:rsidR="00877299"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8540E"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F0376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8E46CD" w:rsidP="00F0376F">
            <w:pPr>
              <w:jc w:val="both"/>
              <w:rPr>
                <w:rFonts w:ascii="Cambria" w:hAnsi="Cambria"/>
                <w:bCs/>
                <w:sz w:val="20"/>
                <w:szCs w:val="20"/>
                <w:lang w:val="es-ES"/>
              </w:rPr>
            </w:pPr>
            <w:r>
              <w:rPr>
                <w:rFonts w:ascii="Cambria" w:hAnsi="Cambria"/>
                <w:bCs/>
                <w:sz w:val="20"/>
                <w:szCs w:val="20"/>
                <w:lang w:val="es-ES"/>
              </w:rPr>
              <w:t>No</w:t>
            </w:r>
          </w:p>
        </w:tc>
      </w:tr>
      <w:tr w:rsidR="003239B8" w:rsidRPr="000238D8"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F0376F">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2A0729" w:rsidRDefault="002A0729" w:rsidP="00B92EB0">
            <w:pPr>
              <w:jc w:val="both"/>
              <w:rPr>
                <w:rFonts w:ascii="Cambria" w:hAnsi="Cambria"/>
                <w:bCs/>
                <w:sz w:val="20"/>
                <w:szCs w:val="20"/>
                <w:lang w:val="es-US"/>
              </w:rPr>
            </w:pPr>
            <w:r w:rsidRPr="00146589">
              <w:rPr>
                <w:rFonts w:ascii="Cambria" w:hAnsi="Cambria"/>
                <w:bCs/>
                <w:sz w:val="20"/>
                <w:szCs w:val="20"/>
                <w:lang w:val="es-ES"/>
              </w:rPr>
              <w:t>Artículos</w:t>
            </w:r>
            <w:r w:rsidR="00924AB7">
              <w:rPr>
                <w:rFonts w:ascii="Cambria" w:hAnsi="Cambria"/>
                <w:bCs/>
                <w:sz w:val="20"/>
                <w:szCs w:val="20"/>
                <w:lang w:val="es-ES"/>
              </w:rPr>
              <w:t xml:space="preserve"> 5 (integridad personal),</w:t>
            </w:r>
            <w:r>
              <w:rPr>
                <w:rFonts w:ascii="Cambria" w:hAnsi="Cambria"/>
                <w:bCs/>
                <w:sz w:val="20"/>
                <w:szCs w:val="20"/>
                <w:lang w:val="es-ES"/>
              </w:rPr>
              <w:t xml:space="preserve"> 8 (garantías judiciales), </w:t>
            </w:r>
            <w:r w:rsidRPr="00146589">
              <w:rPr>
                <w:rFonts w:ascii="Cambria" w:hAnsi="Cambria"/>
                <w:bCs/>
                <w:sz w:val="20"/>
                <w:szCs w:val="20"/>
                <w:lang w:val="es-ES"/>
              </w:rPr>
              <w:t xml:space="preserve">19 </w:t>
            </w:r>
            <w:r>
              <w:rPr>
                <w:rFonts w:ascii="Cambria" w:hAnsi="Cambria"/>
                <w:bCs/>
                <w:sz w:val="20"/>
                <w:szCs w:val="20"/>
                <w:lang w:val="es-ES"/>
              </w:rPr>
              <w:t xml:space="preserve">(derechos del niño) </w:t>
            </w:r>
            <w:r w:rsidRPr="00146589">
              <w:rPr>
                <w:rFonts w:ascii="Cambria" w:hAnsi="Cambria"/>
                <w:bCs/>
                <w:sz w:val="20"/>
                <w:szCs w:val="20"/>
                <w:lang w:val="es-ES"/>
              </w:rPr>
              <w:t>y 25</w:t>
            </w:r>
            <w:r>
              <w:rPr>
                <w:rFonts w:ascii="Cambria" w:hAnsi="Cambria"/>
                <w:bCs/>
                <w:sz w:val="20"/>
                <w:szCs w:val="20"/>
                <w:lang w:val="es-ES"/>
              </w:rPr>
              <w:t xml:space="preserve"> (protección judicial) </w:t>
            </w:r>
            <w:r w:rsidRPr="00146589">
              <w:rPr>
                <w:rFonts w:ascii="Cambria" w:hAnsi="Cambria"/>
                <w:bCs/>
                <w:sz w:val="20"/>
                <w:szCs w:val="20"/>
                <w:lang w:val="es-ES"/>
              </w:rPr>
              <w:t>de la Con</w:t>
            </w:r>
            <w:r>
              <w:rPr>
                <w:rFonts w:ascii="Cambria" w:hAnsi="Cambria"/>
                <w:bCs/>
                <w:sz w:val="20"/>
                <w:szCs w:val="20"/>
                <w:lang w:val="es-ES"/>
              </w:rPr>
              <w:t>vención Americana, en relación con su artículo 1.1</w:t>
            </w:r>
          </w:p>
        </w:tc>
      </w:tr>
      <w:tr w:rsidR="003239B8" w:rsidRPr="000238D8"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F0376F">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BA38BE" w:rsidP="00F0376F">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0238D8"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F0376F">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BA38BE" w:rsidRDefault="00BA38BE" w:rsidP="00F0376F">
            <w:pPr>
              <w:rPr>
                <w:rFonts w:ascii="Cambria" w:hAnsi="Cambria"/>
                <w:bCs/>
                <w:sz w:val="20"/>
                <w:szCs w:val="20"/>
                <w:lang w:val="es-ES"/>
              </w:rPr>
            </w:pPr>
            <w:r>
              <w:rPr>
                <w:rFonts w:ascii="Cambria" w:hAnsi="Cambria"/>
                <w:bCs/>
                <w:sz w:val="20"/>
                <w:szCs w:val="20"/>
                <w:lang w:val="es-ES"/>
              </w:rPr>
              <w:t>Sí, en los términos de la sección VI</w:t>
            </w:r>
          </w:p>
        </w:tc>
      </w:tr>
    </w:tbl>
    <w:p w:rsidR="005E6B8F" w:rsidRPr="00B434D5" w:rsidRDefault="00223A29" w:rsidP="005E6B8F">
      <w:pPr>
        <w:spacing w:before="240" w:after="240"/>
        <w:ind w:firstLine="720"/>
        <w:jc w:val="both"/>
        <w:rPr>
          <w:rFonts w:asciiTheme="majorHAnsi" w:hAnsiTheme="majorHAnsi"/>
          <w:b/>
          <w:sz w:val="20"/>
          <w:szCs w:val="20"/>
          <w:lang w:val="es-ES_tradnl"/>
        </w:rPr>
      </w:pPr>
      <w:r w:rsidRPr="00B434D5">
        <w:rPr>
          <w:rFonts w:asciiTheme="majorHAnsi" w:hAnsiTheme="majorHAnsi"/>
          <w:b/>
          <w:sz w:val="20"/>
          <w:szCs w:val="20"/>
          <w:lang w:val="es-ES_tradnl"/>
        </w:rPr>
        <w:t xml:space="preserve">V. </w:t>
      </w:r>
      <w:r w:rsidRPr="00B434D5">
        <w:rPr>
          <w:rFonts w:asciiTheme="majorHAnsi" w:hAnsiTheme="majorHAnsi"/>
          <w:b/>
          <w:sz w:val="20"/>
          <w:szCs w:val="20"/>
          <w:lang w:val="es-ES_tradnl"/>
        </w:rPr>
        <w:tab/>
      </w:r>
      <w:r w:rsidR="003239B8" w:rsidRPr="00B434D5">
        <w:rPr>
          <w:rFonts w:asciiTheme="majorHAnsi" w:hAnsiTheme="majorHAnsi"/>
          <w:b/>
          <w:sz w:val="20"/>
          <w:szCs w:val="20"/>
          <w:lang w:val="es-ES_tradnl"/>
        </w:rPr>
        <w:t xml:space="preserve">HECHOS ALEGADOS </w:t>
      </w:r>
    </w:p>
    <w:p w:rsidR="005E6B8F" w:rsidRPr="00B434D5" w:rsidRDefault="00427823" w:rsidP="002F1404">
      <w:pPr>
        <w:ind w:firstLine="720"/>
        <w:jc w:val="both"/>
        <w:rPr>
          <w:rFonts w:ascii="Cambria" w:hAnsi="Cambria"/>
          <w:bCs/>
          <w:sz w:val="20"/>
          <w:szCs w:val="20"/>
          <w:lang w:val="es-ES_tradnl"/>
        </w:rPr>
      </w:pPr>
      <w:r w:rsidRPr="00B434D5">
        <w:rPr>
          <w:rFonts w:asciiTheme="majorHAnsi" w:hAnsiTheme="majorHAnsi"/>
          <w:bCs/>
          <w:sz w:val="20"/>
          <w:szCs w:val="20"/>
          <w:lang w:val="es-ES_tradnl"/>
        </w:rPr>
        <w:t>1.</w:t>
      </w:r>
      <w:r w:rsidR="005E6B8F" w:rsidRPr="00B434D5">
        <w:rPr>
          <w:rFonts w:asciiTheme="majorHAnsi" w:hAnsiTheme="majorHAnsi"/>
          <w:b/>
          <w:sz w:val="20"/>
          <w:szCs w:val="20"/>
          <w:lang w:val="es-ES_tradnl"/>
        </w:rPr>
        <w:tab/>
      </w:r>
      <w:r w:rsidR="004B399C" w:rsidRPr="00B434D5">
        <w:rPr>
          <w:rFonts w:asciiTheme="majorHAnsi" w:hAnsiTheme="majorHAnsi"/>
          <w:bCs/>
          <w:sz w:val="20"/>
          <w:szCs w:val="20"/>
          <w:lang w:val="es-ES_tradnl"/>
        </w:rPr>
        <w:t>Los</w:t>
      </w:r>
      <w:r w:rsidR="005E6B8F" w:rsidRPr="00B434D5">
        <w:rPr>
          <w:rFonts w:asciiTheme="majorHAnsi" w:hAnsiTheme="majorHAnsi"/>
          <w:bCs/>
          <w:sz w:val="20"/>
          <w:szCs w:val="20"/>
          <w:lang w:val="es-ES_tradnl"/>
        </w:rPr>
        <w:t xml:space="preserve"> peticionario</w:t>
      </w:r>
      <w:r w:rsidR="004B399C" w:rsidRPr="00B434D5">
        <w:rPr>
          <w:rFonts w:asciiTheme="majorHAnsi" w:hAnsiTheme="majorHAnsi"/>
          <w:bCs/>
          <w:sz w:val="20"/>
          <w:szCs w:val="20"/>
          <w:lang w:val="es-ES_tradnl"/>
        </w:rPr>
        <w:t>s</w:t>
      </w:r>
      <w:r w:rsidR="005E6B8F" w:rsidRPr="00B434D5">
        <w:rPr>
          <w:rFonts w:asciiTheme="majorHAnsi" w:hAnsiTheme="majorHAnsi"/>
          <w:bCs/>
          <w:sz w:val="20"/>
          <w:szCs w:val="20"/>
          <w:lang w:val="es-ES_tradnl"/>
        </w:rPr>
        <w:t xml:space="preserve"> sostiene</w:t>
      </w:r>
      <w:r w:rsidR="004B399C" w:rsidRPr="00B434D5">
        <w:rPr>
          <w:rFonts w:asciiTheme="majorHAnsi" w:hAnsiTheme="majorHAnsi"/>
          <w:bCs/>
          <w:sz w:val="20"/>
          <w:szCs w:val="20"/>
          <w:lang w:val="es-ES_tradnl"/>
        </w:rPr>
        <w:t>n</w:t>
      </w:r>
      <w:r w:rsidR="005E6B8F" w:rsidRPr="00B434D5">
        <w:rPr>
          <w:rFonts w:asciiTheme="majorHAnsi" w:hAnsiTheme="majorHAnsi"/>
          <w:bCs/>
          <w:sz w:val="20"/>
          <w:szCs w:val="20"/>
          <w:lang w:val="es-ES_tradnl"/>
        </w:rPr>
        <w:t xml:space="preserve"> que </w:t>
      </w:r>
      <w:r w:rsidR="00DD4D0A" w:rsidRPr="00B434D5">
        <w:rPr>
          <w:rFonts w:asciiTheme="majorHAnsi" w:hAnsiTheme="majorHAnsi"/>
          <w:bCs/>
          <w:sz w:val="20"/>
          <w:szCs w:val="20"/>
          <w:lang w:val="es-ES_tradnl"/>
        </w:rPr>
        <w:t>el Estado mexicano es internacionalmente responsable por la vulneración de los</w:t>
      </w:r>
      <w:r w:rsidR="005E6B8F" w:rsidRPr="00B434D5">
        <w:rPr>
          <w:rFonts w:asciiTheme="majorHAnsi" w:hAnsiTheme="majorHAnsi"/>
          <w:bCs/>
          <w:sz w:val="20"/>
          <w:szCs w:val="20"/>
          <w:lang w:val="es-ES_tradnl"/>
        </w:rPr>
        <w:t xml:space="preserve"> </w:t>
      </w:r>
      <w:r w:rsidR="00B6773F" w:rsidRPr="00B434D5">
        <w:rPr>
          <w:rFonts w:asciiTheme="majorHAnsi" w:hAnsiTheme="majorHAnsi"/>
          <w:bCs/>
          <w:sz w:val="20"/>
          <w:szCs w:val="20"/>
          <w:lang w:val="es-ES_tradnl"/>
        </w:rPr>
        <w:t>derechos al acceso a la justicia y a la protección del niño</w:t>
      </w:r>
      <w:r w:rsidR="00DD4D0A" w:rsidRPr="00B434D5">
        <w:rPr>
          <w:rFonts w:asciiTheme="majorHAnsi" w:hAnsiTheme="majorHAnsi"/>
          <w:bCs/>
          <w:sz w:val="20"/>
          <w:szCs w:val="20"/>
          <w:lang w:val="es-ES_tradnl"/>
        </w:rPr>
        <w:t xml:space="preserve">, a raíz de la alegada falta de debida diligencia en la investigación y sanción de los culpables del delito de violación en perjuicio de </w:t>
      </w:r>
      <w:r w:rsidR="008741CD" w:rsidRPr="00B434D5">
        <w:rPr>
          <w:rFonts w:ascii="Cambria" w:hAnsi="Cambria"/>
          <w:bCs/>
          <w:sz w:val="20"/>
          <w:szCs w:val="20"/>
          <w:lang w:val="es-ES_tradnl"/>
        </w:rPr>
        <w:t>L.F.G.V</w:t>
      </w:r>
      <w:r w:rsidR="004B399C" w:rsidRPr="00B434D5">
        <w:rPr>
          <w:rFonts w:ascii="Cambria" w:hAnsi="Cambria"/>
          <w:bCs/>
          <w:sz w:val="20"/>
          <w:szCs w:val="20"/>
          <w:lang w:val="es-ES_tradnl"/>
        </w:rPr>
        <w:t xml:space="preserve">. </w:t>
      </w:r>
    </w:p>
    <w:p w:rsidR="003F2350" w:rsidRPr="00B434D5" w:rsidRDefault="00427823" w:rsidP="00F770D6">
      <w:pPr>
        <w:ind w:firstLine="720"/>
        <w:jc w:val="both"/>
        <w:rPr>
          <w:rFonts w:ascii="Cambria" w:hAnsi="Cambria"/>
          <w:bCs/>
          <w:sz w:val="20"/>
          <w:szCs w:val="20"/>
          <w:lang w:val="es-ES_tradnl"/>
        </w:rPr>
      </w:pPr>
      <w:r w:rsidRPr="00B434D5">
        <w:rPr>
          <w:rFonts w:ascii="Cambria" w:hAnsi="Cambria"/>
          <w:bCs/>
          <w:sz w:val="20"/>
          <w:szCs w:val="20"/>
          <w:lang w:val="es-ES_tradnl"/>
        </w:rPr>
        <w:lastRenderedPageBreak/>
        <w:t>2</w:t>
      </w:r>
      <w:r w:rsidR="005E6B8F" w:rsidRPr="00B434D5">
        <w:rPr>
          <w:rFonts w:ascii="Cambria" w:hAnsi="Cambria"/>
          <w:bCs/>
          <w:sz w:val="20"/>
          <w:szCs w:val="20"/>
          <w:lang w:val="es-ES_tradnl"/>
        </w:rPr>
        <w:t>.</w:t>
      </w:r>
      <w:r w:rsidR="005E6B8F" w:rsidRPr="00B434D5">
        <w:rPr>
          <w:rFonts w:ascii="Cambria" w:hAnsi="Cambria"/>
          <w:bCs/>
          <w:sz w:val="20"/>
          <w:szCs w:val="20"/>
          <w:lang w:val="es-ES_tradnl"/>
        </w:rPr>
        <w:tab/>
      </w:r>
      <w:r w:rsidR="002F1404" w:rsidRPr="00B434D5">
        <w:rPr>
          <w:rFonts w:ascii="Cambria" w:hAnsi="Cambria"/>
          <w:bCs/>
          <w:sz w:val="20"/>
          <w:szCs w:val="20"/>
          <w:lang w:val="es-ES_tradnl"/>
        </w:rPr>
        <w:t>Los peticionarios señalan</w:t>
      </w:r>
      <w:r w:rsidR="005E6B8F" w:rsidRPr="00B434D5">
        <w:rPr>
          <w:rFonts w:ascii="Cambria" w:hAnsi="Cambria"/>
          <w:bCs/>
          <w:sz w:val="20"/>
          <w:szCs w:val="20"/>
          <w:lang w:val="es-ES_tradnl"/>
        </w:rPr>
        <w:t xml:space="preserve"> que </w:t>
      </w:r>
      <w:r w:rsidR="00890053" w:rsidRPr="00B434D5">
        <w:rPr>
          <w:rFonts w:ascii="Cambria" w:hAnsi="Cambria"/>
          <w:bCs/>
          <w:sz w:val="20"/>
          <w:szCs w:val="20"/>
          <w:lang w:val="es-ES_tradnl"/>
        </w:rPr>
        <w:t xml:space="preserve">el </w:t>
      </w:r>
      <w:r w:rsidR="00AD1D58" w:rsidRPr="00B434D5">
        <w:rPr>
          <w:rFonts w:ascii="Cambria" w:hAnsi="Cambria"/>
          <w:bCs/>
          <w:sz w:val="20"/>
          <w:szCs w:val="20"/>
          <w:lang w:val="es-ES_tradnl"/>
        </w:rPr>
        <w:t>7</w:t>
      </w:r>
      <w:r w:rsidR="002F1404" w:rsidRPr="00B434D5">
        <w:rPr>
          <w:rFonts w:ascii="Cambria" w:hAnsi="Cambria"/>
          <w:bCs/>
          <w:sz w:val="20"/>
          <w:szCs w:val="20"/>
          <w:lang w:val="es-ES_tradnl"/>
        </w:rPr>
        <w:t xml:space="preserve"> de noviembre de 2006</w:t>
      </w:r>
      <w:r w:rsidR="00890053" w:rsidRPr="00B434D5">
        <w:rPr>
          <w:rFonts w:ascii="Cambria" w:hAnsi="Cambria"/>
          <w:bCs/>
          <w:sz w:val="20"/>
          <w:szCs w:val="20"/>
          <w:lang w:val="es-ES_tradnl"/>
        </w:rPr>
        <w:t xml:space="preserve"> l</w:t>
      </w:r>
      <w:r w:rsidR="00BB5778" w:rsidRPr="00B434D5">
        <w:rPr>
          <w:rFonts w:ascii="Cambria" w:hAnsi="Cambria"/>
          <w:bCs/>
          <w:sz w:val="20"/>
          <w:szCs w:val="20"/>
          <w:lang w:val="es-ES_tradnl"/>
        </w:rPr>
        <w:t xml:space="preserve">a presunta víctima </w:t>
      </w:r>
      <w:r w:rsidR="002F1404" w:rsidRPr="00B434D5">
        <w:rPr>
          <w:rFonts w:ascii="Cambria" w:hAnsi="Cambria"/>
          <w:bCs/>
          <w:sz w:val="20"/>
          <w:szCs w:val="20"/>
          <w:lang w:val="es-ES_tradnl"/>
        </w:rPr>
        <w:t xml:space="preserve">–en ese momento de cuatro </w:t>
      </w:r>
      <w:r w:rsidR="00F770D6" w:rsidRPr="00B434D5">
        <w:rPr>
          <w:rFonts w:ascii="Cambria" w:hAnsi="Cambria"/>
          <w:bCs/>
          <w:sz w:val="20"/>
          <w:szCs w:val="20"/>
          <w:lang w:val="es-ES_tradnl"/>
        </w:rPr>
        <w:t>años</w:t>
      </w:r>
      <w:r w:rsidR="002F1404" w:rsidRPr="00B434D5">
        <w:rPr>
          <w:rFonts w:ascii="Cambria" w:hAnsi="Cambria"/>
          <w:bCs/>
          <w:sz w:val="20"/>
          <w:szCs w:val="20"/>
          <w:lang w:val="es-ES_tradnl"/>
        </w:rPr>
        <w:t>–</w:t>
      </w:r>
      <w:r w:rsidR="00B3200B" w:rsidRPr="00B434D5">
        <w:rPr>
          <w:rFonts w:ascii="Cambria" w:hAnsi="Cambria"/>
          <w:bCs/>
          <w:sz w:val="20"/>
          <w:szCs w:val="20"/>
          <w:lang w:val="es-ES_tradnl"/>
        </w:rPr>
        <w:t xml:space="preserve"> </w:t>
      </w:r>
      <w:r w:rsidR="00890053" w:rsidRPr="00B434D5">
        <w:rPr>
          <w:rFonts w:ascii="Cambria" w:hAnsi="Cambria"/>
          <w:bCs/>
          <w:sz w:val="20"/>
          <w:szCs w:val="20"/>
          <w:lang w:val="es-ES_tradnl"/>
        </w:rPr>
        <w:t xml:space="preserve">fue violado </w:t>
      </w:r>
      <w:r w:rsidR="004B399C" w:rsidRPr="00B434D5">
        <w:rPr>
          <w:rFonts w:ascii="Cambria" w:hAnsi="Cambria"/>
          <w:bCs/>
          <w:sz w:val="20"/>
          <w:szCs w:val="20"/>
          <w:lang w:val="es-ES_tradnl"/>
        </w:rPr>
        <w:t xml:space="preserve">múltiples veces </w:t>
      </w:r>
      <w:r w:rsidR="00890053" w:rsidRPr="00B434D5">
        <w:rPr>
          <w:rFonts w:ascii="Cambria" w:hAnsi="Cambria"/>
          <w:bCs/>
          <w:sz w:val="20"/>
          <w:szCs w:val="20"/>
          <w:lang w:val="es-ES_tradnl"/>
        </w:rPr>
        <w:t xml:space="preserve">en el gimnasio </w:t>
      </w:r>
      <w:r w:rsidR="004B399C" w:rsidRPr="00B434D5">
        <w:rPr>
          <w:rFonts w:ascii="Cambria" w:hAnsi="Cambria"/>
          <w:bCs/>
          <w:sz w:val="20"/>
          <w:szCs w:val="20"/>
          <w:lang w:val="es-ES_tradnl"/>
        </w:rPr>
        <w:t xml:space="preserve">de una institución privada </w:t>
      </w:r>
      <w:r w:rsidR="00890053" w:rsidRPr="00B434D5">
        <w:rPr>
          <w:rFonts w:ascii="Cambria" w:hAnsi="Cambria"/>
          <w:bCs/>
          <w:sz w:val="20"/>
          <w:szCs w:val="20"/>
          <w:lang w:val="es-ES_tradnl"/>
        </w:rPr>
        <w:t>de la ciudad de O</w:t>
      </w:r>
      <w:r w:rsidR="002F1404" w:rsidRPr="00B434D5">
        <w:rPr>
          <w:rFonts w:ascii="Cambria" w:hAnsi="Cambria"/>
          <w:bCs/>
          <w:sz w:val="20"/>
          <w:szCs w:val="20"/>
          <w:lang w:val="es-ES_tradnl"/>
        </w:rPr>
        <w:t xml:space="preserve">axaca </w:t>
      </w:r>
      <w:r w:rsidR="00B3200B" w:rsidRPr="00B434D5">
        <w:rPr>
          <w:rFonts w:ascii="Cambria" w:hAnsi="Cambria"/>
          <w:bCs/>
          <w:sz w:val="20"/>
          <w:szCs w:val="20"/>
          <w:lang w:val="es-ES_tradnl"/>
        </w:rPr>
        <w:t>donde cursaba preescolar</w:t>
      </w:r>
      <w:r w:rsidR="003E6796" w:rsidRPr="00B434D5">
        <w:rPr>
          <w:rFonts w:ascii="Cambria" w:hAnsi="Cambria"/>
          <w:bCs/>
          <w:sz w:val="20"/>
          <w:szCs w:val="20"/>
          <w:lang w:val="es-ES_tradnl"/>
        </w:rPr>
        <w:t>. I</w:t>
      </w:r>
      <w:r w:rsidR="00353426" w:rsidRPr="00B434D5">
        <w:rPr>
          <w:rFonts w:ascii="Cambria" w:hAnsi="Cambria"/>
          <w:bCs/>
          <w:sz w:val="20"/>
          <w:szCs w:val="20"/>
          <w:lang w:val="es-ES_tradnl"/>
        </w:rPr>
        <w:t>ndican que el niño fue atendido por un psiquiatra</w:t>
      </w:r>
      <w:r w:rsidR="00FF36C2" w:rsidRPr="00B434D5">
        <w:rPr>
          <w:rFonts w:ascii="Cambria" w:hAnsi="Cambria"/>
          <w:bCs/>
          <w:sz w:val="20"/>
          <w:szCs w:val="20"/>
          <w:lang w:val="es-ES_tradnl"/>
        </w:rPr>
        <w:t xml:space="preserve"> que les recomendó no denunciar inmediatamente, ya que el </w:t>
      </w:r>
      <w:r w:rsidR="00A8647A">
        <w:rPr>
          <w:rFonts w:ascii="Cambria" w:hAnsi="Cambria"/>
          <w:bCs/>
          <w:sz w:val="20"/>
          <w:szCs w:val="20"/>
          <w:lang w:val="es-ES_tradnl"/>
        </w:rPr>
        <w:t>niño</w:t>
      </w:r>
      <w:r w:rsidR="00FF36C2" w:rsidRPr="00B434D5">
        <w:rPr>
          <w:rFonts w:ascii="Cambria" w:hAnsi="Cambria"/>
          <w:bCs/>
          <w:sz w:val="20"/>
          <w:szCs w:val="20"/>
          <w:lang w:val="es-ES_tradnl"/>
        </w:rPr>
        <w:t xml:space="preserve"> debía protegerse y fortalecerse para </w:t>
      </w:r>
      <w:r w:rsidR="0029243E" w:rsidRPr="00B434D5">
        <w:rPr>
          <w:rFonts w:ascii="Cambria" w:hAnsi="Cambria"/>
          <w:bCs/>
          <w:sz w:val="20"/>
          <w:szCs w:val="20"/>
          <w:lang w:val="es-ES_tradnl"/>
        </w:rPr>
        <w:t>enfrentar</w:t>
      </w:r>
      <w:r w:rsidR="00FF36C2" w:rsidRPr="00B434D5">
        <w:rPr>
          <w:rFonts w:ascii="Cambria" w:hAnsi="Cambria"/>
          <w:bCs/>
          <w:sz w:val="20"/>
          <w:szCs w:val="20"/>
          <w:lang w:val="es-ES_tradnl"/>
        </w:rPr>
        <w:t xml:space="preserve"> un proceso penal. </w:t>
      </w:r>
      <w:r w:rsidR="00A069A6" w:rsidRPr="00B434D5">
        <w:rPr>
          <w:rFonts w:ascii="Cambria" w:hAnsi="Cambria"/>
          <w:bCs/>
          <w:sz w:val="20"/>
          <w:szCs w:val="20"/>
          <w:lang w:val="es-ES_tradnl"/>
        </w:rPr>
        <w:t>Así,</w:t>
      </w:r>
      <w:r w:rsidR="00901868" w:rsidRPr="00B434D5">
        <w:rPr>
          <w:rFonts w:ascii="Cambria" w:hAnsi="Cambria"/>
          <w:bCs/>
          <w:sz w:val="20"/>
          <w:szCs w:val="20"/>
          <w:lang w:val="es-ES_tradnl"/>
        </w:rPr>
        <w:t xml:space="preserve"> </w:t>
      </w:r>
      <w:r w:rsidR="006E17CB" w:rsidRPr="00B434D5">
        <w:rPr>
          <w:rFonts w:ascii="Cambria" w:hAnsi="Cambria"/>
          <w:bCs/>
          <w:sz w:val="20"/>
          <w:szCs w:val="20"/>
          <w:lang w:val="es-ES_tradnl"/>
        </w:rPr>
        <w:t xml:space="preserve">el 23 de mayo de </w:t>
      </w:r>
      <w:r w:rsidR="00207703" w:rsidRPr="00B434D5">
        <w:rPr>
          <w:rFonts w:ascii="Cambria" w:hAnsi="Cambria"/>
          <w:bCs/>
          <w:sz w:val="20"/>
          <w:szCs w:val="20"/>
          <w:lang w:val="es-ES_tradnl"/>
        </w:rPr>
        <w:t>2007</w:t>
      </w:r>
      <w:r w:rsidR="000F29C8" w:rsidRPr="00B434D5">
        <w:rPr>
          <w:rFonts w:ascii="Cambria" w:hAnsi="Cambria"/>
          <w:bCs/>
          <w:sz w:val="20"/>
          <w:szCs w:val="20"/>
          <w:lang w:val="es-ES_tradnl"/>
        </w:rPr>
        <w:t xml:space="preserve"> </w:t>
      </w:r>
      <w:r w:rsidR="009961CC" w:rsidRPr="00B434D5">
        <w:rPr>
          <w:rFonts w:ascii="Cambria" w:hAnsi="Cambria"/>
          <w:bCs/>
          <w:sz w:val="20"/>
          <w:szCs w:val="20"/>
          <w:lang w:val="es-ES_tradnl"/>
        </w:rPr>
        <w:t>la Sra. L</w:t>
      </w:r>
      <w:r w:rsidR="00876CE7" w:rsidRPr="00B434D5">
        <w:rPr>
          <w:rFonts w:ascii="Cambria" w:hAnsi="Cambria"/>
          <w:bCs/>
          <w:sz w:val="20"/>
          <w:szCs w:val="20"/>
          <w:lang w:val="es-ES_tradnl"/>
        </w:rPr>
        <w:t xml:space="preserve">. </w:t>
      </w:r>
      <w:r w:rsidR="009961CC" w:rsidRPr="00B434D5">
        <w:rPr>
          <w:rFonts w:ascii="Cambria" w:hAnsi="Cambria"/>
          <w:bCs/>
          <w:sz w:val="20"/>
          <w:szCs w:val="20"/>
          <w:lang w:val="es-ES_tradnl"/>
        </w:rPr>
        <w:t>V</w:t>
      </w:r>
      <w:r w:rsidR="00876CE7" w:rsidRPr="00B434D5">
        <w:rPr>
          <w:rFonts w:ascii="Cambria" w:hAnsi="Cambria"/>
          <w:bCs/>
          <w:sz w:val="20"/>
          <w:szCs w:val="20"/>
          <w:lang w:val="es-ES_tradnl"/>
        </w:rPr>
        <w:t xml:space="preserve">. </w:t>
      </w:r>
      <w:r w:rsidR="009961CC" w:rsidRPr="00B434D5">
        <w:rPr>
          <w:rFonts w:ascii="Cambria" w:hAnsi="Cambria"/>
          <w:bCs/>
          <w:sz w:val="20"/>
          <w:szCs w:val="20"/>
          <w:lang w:val="es-ES_tradnl"/>
        </w:rPr>
        <w:t>M</w:t>
      </w:r>
      <w:r w:rsidR="00876CE7" w:rsidRPr="00B434D5">
        <w:rPr>
          <w:rFonts w:ascii="Cambria" w:hAnsi="Cambria"/>
          <w:bCs/>
          <w:sz w:val="20"/>
          <w:szCs w:val="20"/>
          <w:lang w:val="es-ES_tradnl"/>
        </w:rPr>
        <w:t xml:space="preserve">. </w:t>
      </w:r>
      <w:r w:rsidR="009961CC" w:rsidRPr="00B434D5">
        <w:rPr>
          <w:rFonts w:ascii="Cambria" w:hAnsi="Cambria"/>
          <w:bCs/>
          <w:sz w:val="20"/>
          <w:szCs w:val="20"/>
          <w:lang w:val="es-ES_tradnl"/>
        </w:rPr>
        <w:t>(madre de la víctima) presentó</w:t>
      </w:r>
      <w:r w:rsidR="00C14EF2" w:rsidRPr="00B434D5">
        <w:rPr>
          <w:rFonts w:ascii="Cambria" w:hAnsi="Cambria"/>
          <w:bCs/>
          <w:sz w:val="20"/>
          <w:szCs w:val="20"/>
          <w:lang w:val="es-ES_tradnl"/>
        </w:rPr>
        <w:t xml:space="preserve"> una denuncia ant</w:t>
      </w:r>
      <w:r w:rsidR="000F29C8" w:rsidRPr="00B434D5">
        <w:rPr>
          <w:rFonts w:ascii="Cambria" w:hAnsi="Cambria"/>
          <w:bCs/>
          <w:sz w:val="20"/>
          <w:szCs w:val="20"/>
          <w:lang w:val="es-ES_tradnl"/>
        </w:rPr>
        <w:t xml:space="preserve">e </w:t>
      </w:r>
      <w:r w:rsidR="00C73BD2" w:rsidRPr="00B434D5">
        <w:rPr>
          <w:rFonts w:ascii="Cambria" w:hAnsi="Cambria"/>
          <w:bCs/>
          <w:sz w:val="20"/>
          <w:szCs w:val="20"/>
          <w:lang w:val="es-ES_tradnl"/>
        </w:rPr>
        <w:t xml:space="preserve">el agente del Ministerio Público del Fuero Común, adscrito al primer turno de la Agencia </w:t>
      </w:r>
      <w:r w:rsidR="000F29C8" w:rsidRPr="00B434D5">
        <w:rPr>
          <w:rFonts w:ascii="Cambria" w:hAnsi="Cambria"/>
          <w:bCs/>
          <w:sz w:val="20"/>
          <w:szCs w:val="20"/>
          <w:lang w:val="es-ES_tradnl"/>
        </w:rPr>
        <w:t>Especializada en Delitos S</w:t>
      </w:r>
      <w:r w:rsidR="00C14EF2" w:rsidRPr="00B434D5">
        <w:rPr>
          <w:rFonts w:ascii="Cambria" w:hAnsi="Cambria"/>
          <w:bCs/>
          <w:sz w:val="20"/>
          <w:szCs w:val="20"/>
          <w:lang w:val="es-ES_tradnl"/>
        </w:rPr>
        <w:t xml:space="preserve">exuales </w:t>
      </w:r>
      <w:r w:rsidR="000F29C8" w:rsidRPr="00B434D5">
        <w:rPr>
          <w:rFonts w:ascii="Cambria" w:hAnsi="Cambria"/>
          <w:bCs/>
          <w:sz w:val="20"/>
          <w:szCs w:val="20"/>
          <w:lang w:val="es-ES_tradnl"/>
        </w:rPr>
        <w:t>de Oaxaca;</w:t>
      </w:r>
      <w:r w:rsidR="00C14EF2" w:rsidRPr="00B434D5">
        <w:rPr>
          <w:rFonts w:ascii="Cambria" w:hAnsi="Cambria"/>
          <w:bCs/>
          <w:sz w:val="20"/>
          <w:szCs w:val="20"/>
          <w:lang w:val="es-ES_tradnl"/>
        </w:rPr>
        <w:t xml:space="preserve"> si</w:t>
      </w:r>
      <w:r w:rsidR="0029243E" w:rsidRPr="00B434D5">
        <w:rPr>
          <w:rFonts w:ascii="Cambria" w:hAnsi="Cambria"/>
          <w:bCs/>
          <w:sz w:val="20"/>
          <w:szCs w:val="20"/>
          <w:lang w:val="es-ES_tradnl"/>
        </w:rPr>
        <w:t>n</w:t>
      </w:r>
      <w:r w:rsidR="00C14EF2" w:rsidRPr="00B434D5">
        <w:rPr>
          <w:rFonts w:ascii="Cambria" w:hAnsi="Cambria"/>
          <w:bCs/>
          <w:sz w:val="20"/>
          <w:szCs w:val="20"/>
          <w:lang w:val="es-ES_tradnl"/>
        </w:rPr>
        <w:t xml:space="preserve"> embargo</w:t>
      </w:r>
      <w:r w:rsidR="0029243E" w:rsidRPr="00B434D5">
        <w:rPr>
          <w:rFonts w:ascii="Cambria" w:hAnsi="Cambria"/>
          <w:bCs/>
          <w:sz w:val="20"/>
          <w:szCs w:val="20"/>
          <w:lang w:val="es-ES_tradnl"/>
        </w:rPr>
        <w:t>,</w:t>
      </w:r>
      <w:r w:rsidR="00C14EF2" w:rsidRPr="00B434D5">
        <w:rPr>
          <w:rFonts w:ascii="Cambria" w:hAnsi="Cambria"/>
          <w:bCs/>
          <w:sz w:val="20"/>
          <w:szCs w:val="20"/>
          <w:lang w:val="es-ES_tradnl"/>
        </w:rPr>
        <w:t xml:space="preserve"> </w:t>
      </w:r>
      <w:r w:rsidR="000F29C8" w:rsidRPr="00B434D5">
        <w:rPr>
          <w:rFonts w:ascii="Cambria" w:hAnsi="Cambria"/>
          <w:bCs/>
          <w:sz w:val="20"/>
          <w:szCs w:val="20"/>
          <w:lang w:val="es-ES_tradnl"/>
        </w:rPr>
        <w:t xml:space="preserve">según alegan los peticionarios, </w:t>
      </w:r>
      <w:r w:rsidR="00C14EF2" w:rsidRPr="00B434D5">
        <w:rPr>
          <w:rFonts w:ascii="Cambria" w:hAnsi="Cambria"/>
          <w:bCs/>
          <w:sz w:val="20"/>
          <w:szCs w:val="20"/>
          <w:lang w:val="es-ES_tradnl"/>
        </w:rPr>
        <w:t>el asunto fue dilatado</w:t>
      </w:r>
      <w:r w:rsidR="006A2247" w:rsidRPr="00B434D5">
        <w:rPr>
          <w:rFonts w:ascii="Cambria" w:hAnsi="Cambria"/>
          <w:bCs/>
          <w:sz w:val="20"/>
          <w:szCs w:val="20"/>
          <w:lang w:val="es-ES_tradnl"/>
        </w:rPr>
        <w:t xml:space="preserve">, </w:t>
      </w:r>
      <w:r w:rsidR="00C40D9B" w:rsidRPr="00B434D5">
        <w:rPr>
          <w:rFonts w:ascii="Cambria" w:hAnsi="Cambria"/>
          <w:bCs/>
          <w:sz w:val="20"/>
          <w:szCs w:val="20"/>
          <w:lang w:val="es-ES_tradnl"/>
        </w:rPr>
        <w:t xml:space="preserve">ya que </w:t>
      </w:r>
      <w:r w:rsidR="00250A78" w:rsidRPr="00B434D5">
        <w:rPr>
          <w:rFonts w:ascii="Cambria" w:hAnsi="Cambria"/>
          <w:bCs/>
          <w:sz w:val="20"/>
          <w:szCs w:val="20"/>
          <w:lang w:val="es-ES_tradnl"/>
        </w:rPr>
        <w:t>transcurrieron aproximadamente cinco meses de inactividad</w:t>
      </w:r>
      <w:r w:rsidR="00AF5A2E" w:rsidRPr="00B434D5">
        <w:rPr>
          <w:rFonts w:ascii="Cambria" w:hAnsi="Cambria"/>
          <w:bCs/>
          <w:sz w:val="20"/>
          <w:szCs w:val="20"/>
          <w:lang w:val="es-ES_tradnl"/>
        </w:rPr>
        <w:t>,</w:t>
      </w:r>
      <w:r w:rsidR="00250A78" w:rsidRPr="00B434D5">
        <w:rPr>
          <w:rFonts w:ascii="Cambria" w:hAnsi="Cambria"/>
          <w:bCs/>
          <w:sz w:val="20"/>
          <w:szCs w:val="20"/>
          <w:lang w:val="es-ES_tradnl"/>
        </w:rPr>
        <w:t xml:space="preserve"> a pesar de que se presentaron todos los elementos de prueba </w:t>
      </w:r>
      <w:r w:rsidR="00610E7C" w:rsidRPr="00B434D5">
        <w:rPr>
          <w:rFonts w:ascii="Cambria" w:hAnsi="Cambria"/>
          <w:bCs/>
          <w:sz w:val="20"/>
          <w:szCs w:val="20"/>
          <w:lang w:val="es-ES_tradnl"/>
        </w:rPr>
        <w:t>para el debido esclarecimiento de los hechos denunciados</w:t>
      </w:r>
      <w:r w:rsidR="006A2247" w:rsidRPr="00B434D5">
        <w:rPr>
          <w:rFonts w:ascii="Cambria" w:hAnsi="Cambria"/>
          <w:bCs/>
          <w:sz w:val="20"/>
          <w:szCs w:val="20"/>
          <w:lang w:val="es-ES_tradnl"/>
        </w:rPr>
        <w:t xml:space="preserve">, </w:t>
      </w:r>
      <w:r w:rsidR="00C14EF2" w:rsidRPr="00B434D5">
        <w:rPr>
          <w:rFonts w:ascii="Cambria" w:hAnsi="Cambria"/>
          <w:bCs/>
          <w:sz w:val="20"/>
          <w:szCs w:val="20"/>
          <w:lang w:val="es-ES_tradnl"/>
        </w:rPr>
        <w:t xml:space="preserve">y </w:t>
      </w:r>
      <w:r w:rsidR="000F29C8" w:rsidRPr="00B434D5">
        <w:rPr>
          <w:rFonts w:ascii="Cambria" w:hAnsi="Cambria"/>
          <w:bCs/>
          <w:sz w:val="20"/>
          <w:szCs w:val="20"/>
          <w:lang w:val="es-ES_tradnl"/>
        </w:rPr>
        <w:t xml:space="preserve">tratado con </w:t>
      </w:r>
      <w:r w:rsidR="006A2247" w:rsidRPr="00B434D5">
        <w:rPr>
          <w:rFonts w:ascii="Cambria" w:hAnsi="Cambria"/>
          <w:bCs/>
          <w:sz w:val="20"/>
          <w:szCs w:val="20"/>
          <w:lang w:val="es-ES_tradnl"/>
        </w:rPr>
        <w:t xml:space="preserve">falta </w:t>
      </w:r>
      <w:r w:rsidR="00C14EF2" w:rsidRPr="00B434D5">
        <w:rPr>
          <w:rFonts w:ascii="Cambria" w:hAnsi="Cambria"/>
          <w:bCs/>
          <w:sz w:val="20"/>
          <w:szCs w:val="20"/>
          <w:lang w:val="es-ES_tradnl"/>
        </w:rPr>
        <w:t>imparcialidad</w:t>
      </w:r>
      <w:r w:rsidR="00D46733" w:rsidRPr="00B434D5">
        <w:rPr>
          <w:rFonts w:ascii="Cambria" w:hAnsi="Cambria"/>
          <w:bCs/>
          <w:sz w:val="20"/>
          <w:szCs w:val="20"/>
          <w:lang w:val="es-ES_tradnl"/>
        </w:rPr>
        <w:t xml:space="preserve">. </w:t>
      </w:r>
      <w:r w:rsidR="006A2247" w:rsidRPr="00B434D5">
        <w:rPr>
          <w:rFonts w:ascii="Cambria" w:hAnsi="Cambria"/>
          <w:bCs/>
          <w:sz w:val="20"/>
          <w:szCs w:val="20"/>
          <w:lang w:val="es-ES_tradnl"/>
        </w:rPr>
        <w:t>Además, s</w:t>
      </w:r>
      <w:r w:rsidR="00D46733" w:rsidRPr="00B434D5">
        <w:rPr>
          <w:rFonts w:ascii="Cambria" w:hAnsi="Cambria"/>
          <w:bCs/>
          <w:sz w:val="20"/>
          <w:szCs w:val="20"/>
          <w:lang w:val="es-ES_tradnl"/>
        </w:rPr>
        <w:t xml:space="preserve">eñalan los peticionarios que </w:t>
      </w:r>
      <w:r w:rsidR="00DF7B08" w:rsidRPr="00B434D5">
        <w:rPr>
          <w:rFonts w:ascii="Cambria" w:hAnsi="Cambria"/>
          <w:bCs/>
          <w:sz w:val="20"/>
          <w:szCs w:val="20"/>
          <w:lang w:val="es-ES_tradnl"/>
        </w:rPr>
        <w:t xml:space="preserve">la </w:t>
      </w:r>
      <w:r w:rsidR="00E32EA2" w:rsidRPr="00B434D5">
        <w:rPr>
          <w:rFonts w:ascii="Cambria" w:hAnsi="Cambria"/>
          <w:bCs/>
          <w:sz w:val="20"/>
          <w:szCs w:val="20"/>
          <w:lang w:val="es-ES_tradnl"/>
        </w:rPr>
        <w:t xml:space="preserve">Sra. L. V. M. </w:t>
      </w:r>
      <w:r w:rsidR="00DF7B08" w:rsidRPr="00B434D5">
        <w:rPr>
          <w:rFonts w:ascii="Cambria" w:hAnsi="Cambria"/>
          <w:bCs/>
          <w:sz w:val="20"/>
          <w:szCs w:val="20"/>
          <w:lang w:val="es-ES_tradnl"/>
        </w:rPr>
        <w:t xml:space="preserve">fue citada de manera “extraoficial” por la fiscal en </w:t>
      </w:r>
      <w:r w:rsidR="00D46733" w:rsidRPr="00B434D5">
        <w:rPr>
          <w:rFonts w:ascii="Cambria" w:hAnsi="Cambria"/>
          <w:bCs/>
          <w:sz w:val="20"/>
          <w:szCs w:val="20"/>
          <w:lang w:val="es-ES_tradnl"/>
        </w:rPr>
        <w:t>la Procuraduría General de Justicia de Oaxaca</w:t>
      </w:r>
      <w:r w:rsidR="00DF7B08" w:rsidRPr="00B434D5">
        <w:rPr>
          <w:rFonts w:ascii="Cambria" w:hAnsi="Cambria"/>
          <w:bCs/>
          <w:sz w:val="20"/>
          <w:szCs w:val="20"/>
          <w:lang w:val="es-ES_tradnl"/>
        </w:rPr>
        <w:t>, en donde le fue propuesto un arreglo con</w:t>
      </w:r>
      <w:r w:rsidR="00640973" w:rsidRPr="00B434D5">
        <w:rPr>
          <w:rFonts w:ascii="Cambria" w:hAnsi="Cambria"/>
          <w:bCs/>
          <w:sz w:val="20"/>
          <w:szCs w:val="20"/>
          <w:lang w:val="es-ES_tradnl"/>
        </w:rPr>
        <w:t>ciliatorio con los probables responsables de los hechos</w:t>
      </w:r>
      <w:r w:rsidR="006A2247" w:rsidRPr="00B434D5">
        <w:rPr>
          <w:rFonts w:ascii="Cambria" w:hAnsi="Cambria"/>
          <w:bCs/>
          <w:sz w:val="20"/>
          <w:szCs w:val="20"/>
          <w:lang w:val="es-ES_tradnl"/>
        </w:rPr>
        <w:t>. Los peticionarios i</w:t>
      </w:r>
      <w:r w:rsidR="00F770D6" w:rsidRPr="00B434D5">
        <w:rPr>
          <w:rFonts w:ascii="Cambria" w:hAnsi="Cambria"/>
          <w:bCs/>
          <w:sz w:val="20"/>
          <w:szCs w:val="20"/>
          <w:lang w:val="es-ES_tradnl"/>
        </w:rPr>
        <w:t xml:space="preserve">ndican que </w:t>
      </w:r>
      <w:r w:rsidR="006A2247" w:rsidRPr="00B434D5">
        <w:rPr>
          <w:rFonts w:ascii="Cambria" w:hAnsi="Cambria"/>
          <w:bCs/>
          <w:sz w:val="20"/>
          <w:szCs w:val="20"/>
          <w:lang w:val="es-ES_tradnl"/>
        </w:rPr>
        <w:t>esta situación</w:t>
      </w:r>
      <w:r w:rsidR="00F770D6" w:rsidRPr="00B434D5">
        <w:rPr>
          <w:rFonts w:ascii="Cambria" w:hAnsi="Cambria"/>
          <w:bCs/>
          <w:sz w:val="20"/>
          <w:szCs w:val="20"/>
          <w:lang w:val="es-ES_tradnl"/>
        </w:rPr>
        <w:t xml:space="preserve"> </w:t>
      </w:r>
      <w:r w:rsidR="006A2247" w:rsidRPr="00B434D5">
        <w:rPr>
          <w:rFonts w:ascii="Cambria" w:hAnsi="Cambria"/>
          <w:bCs/>
          <w:sz w:val="20"/>
          <w:szCs w:val="20"/>
          <w:lang w:val="es-ES_tradnl"/>
        </w:rPr>
        <w:t xml:space="preserve">llevó </w:t>
      </w:r>
      <w:r w:rsidR="000F29C8" w:rsidRPr="00B434D5">
        <w:rPr>
          <w:rFonts w:ascii="Cambria" w:hAnsi="Cambria"/>
          <w:bCs/>
          <w:sz w:val="20"/>
          <w:szCs w:val="20"/>
          <w:lang w:val="es-ES_tradnl"/>
        </w:rPr>
        <w:t>a la madre del niño</w:t>
      </w:r>
      <w:r w:rsidR="00C14EF2" w:rsidRPr="00B434D5">
        <w:rPr>
          <w:rFonts w:ascii="Cambria" w:hAnsi="Cambria"/>
          <w:bCs/>
          <w:sz w:val="20"/>
          <w:szCs w:val="20"/>
          <w:lang w:val="es-ES_tradnl"/>
        </w:rPr>
        <w:t xml:space="preserve"> a presentar </w:t>
      </w:r>
      <w:r w:rsidR="00F770D6" w:rsidRPr="00B434D5">
        <w:rPr>
          <w:rFonts w:ascii="Cambria" w:hAnsi="Cambria"/>
          <w:bCs/>
          <w:sz w:val="20"/>
          <w:szCs w:val="20"/>
          <w:lang w:val="es-ES_tradnl"/>
        </w:rPr>
        <w:t xml:space="preserve">el 3 de octubre de 2007 </w:t>
      </w:r>
      <w:r w:rsidR="00C14EF2" w:rsidRPr="00B434D5">
        <w:rPr>
          <w:rFonts w:ascii="Cambria" w:hAnsi="Cambria"/>
          <w:bCs/>
          <w:sz w:val="20"/>
          <w:szCs w:val="20"/>
          <w:lang w:val="es-ES_tradnl"/>
        </w:rPr>
        <w:t xml:space="preserve">una queja ante </w:t>
      </w:r>
      <w:r w:rsidR="003F2350" w:rsidRPr="00B434D5">
        <w:rPr>
          <w:rFonts w:ascii="Cambria" w:hAnsi="Cambria"/>
          <w:bCs/>
          <w:sz w:val="20"/>
          <w:szCs w:val="20"/>
          <w:lang w:val="es-ES_tradnl"/>
        </w:rPr>
        <w:t xml:space="preserve">la Comisión Nacional de </w:t>
      </w:r>
      <w:r w:rsidR="007E1ABB" w:rsidRPr="00B434D5">
        <w:rPr>
          <w:rFonts w:ascii="Cambria" w:hAnsi="Cambria"/>
          <w:bCs/>
          <w:sz w:val="20"/>
          <w:szCs w:val="20"/>
          <w:lang w:val="es-ES_tradnl"/>
        </w:rPr>
        <w:t xml:space="preserve">los </w:t>
      </w:r>
      <w:r w:rsidR="003F2350" w:rsidRPr="00B434D5">
        <w:rPr>
          <w:rFonts w:ascii="Cambria" w:hAnsi="Cambria"/>
          <w:bCs/>
          <w:sz w:val="20"/>
          <w:szCs w:val="20"/>
          <w:lang w:val="es-ES_tradnl"/>
        </w:rPr>
        <w:t>Derechos Humanos (</w:t>
      </w:r>
      <w:r w:rsidR="005703E9" w:rsidRPr="00B434D5">
        <w:rPr>
          <w:rFonts w:ascii="Cambria" w:hAnsi="Cambria"/>
          <w:bCs/>
          <w:sz w:val="20"/>
          <w:szCs w:val="20"/>
          <w:lang w:val="es-ES_tradnl"/>
        </w:rPr>
        <w:t xml:space="preserve">en adelante </w:t>
      </w:r>
      <w:r w:rsidR="003F2350" w:rsidRPr="00B434D5">
        <w:rPr>
          <w:rFonts w:ascii="Cambria" w:hAnsi="Cambria"/>
          <w:bCs/>
          <w:sz w:val="20"/>
          <w:szCs w:val="20"/>
          <w:lang w:val="es-ES_tradnl"/>
        </w:rPr>
        <w:t xml:space="preserve">CNDH). </w:t>
      </w:r>
    </w:p>
    <w:p w:rsidR="00B40475" w:rsidRPr="00B434D5" w:rsidRDefault="00B40475" w:rsidP="003F2350">
      <w:pPr>
        <w:ind w:firstLine="720"/>
        <w:jc w:val="both"/>
        <w:rPr>
          <w:rFonts w:ascii="Cambria" w:hAnsi="Cambria"/>
          <w:bCs/>
          <w:sz w:val="20"/>
          <w:szCs w:val="20"/>
          <w:lang w:val="es-ES_tradnl"/>
        </w:rPr>
      </w:pPr>
    </w:p>
    <w:p w:rsidR="009B63EE" w:rsidRPr="00B434D5" w:rsidRDefault="00427823" w:rsidP="00AF5A2E">
      <w:pPr>
        <w:ind w:firstLine="720"/>
        <w:jc w:val="both"/>
        <w:rPr>
          <w:rFonts w:ascii="Cambria" w:hAnsi="Cambria"/>
          <w:bCs/>
          <w:sz w:val="20"/>
          <w:szCs w:val="20"/>
          <w:lang w:val="es-ES_tradnl"/>
        </w:rPr>
      </w:pPr>
      <w:r w:rsidRPr="00B434D5">
        <w:rPr>
          <w:rFonts w:ascii="Cambria" w:hAnsi="Cambria"/>
          <w:bCs/>
          <w:sz w:val="20"/>
          <w:szCs w:val="20"/>
          <w:lang w:val="es-ES_tradnl"/>
        </w:rPr>
        <w:t>3</w:t>
      </w:r>
      <w:r w:rsidR="00B40475" w:rsidRPr="00B434D5">
        <w:rPr>
          <w:rFonts w:ascii="Cambria" w:hAnsi="Cambria"/>
          <w:bCs/>
          <w:sz w:val="20"/>
          <w:szCs w:val="20"/>
          <w:lang w:val="es-ES_tradnl"/>
        </w:rPr>
        <w:t>.</w:t>
      </w:r>
      <w:r w:rsidR="00F30E8C" w:rsidRPr="00B434D5">
        <w:rPr>
          <w:rFonts w:ascii="Cambria" w:hAnsi="Cambria"/>
          <w:bCs/>
          <w:sz w:val="20"/>
          <w:szCs w:val="20"/>
          <w:lang w:val="es-ES_tradnl"/>
        </w:rPr>
        <w:tab/>
      </w:r>
      <w:r w:rsidR="00795850" w:rsidRPr="00B434D5">
        <w:rPr>
          <w:rFonts w:ascii="Cambria" w:hAnsi="Cambria"/>
          <w:bCs/>
          <w:sz w:val="20"/>
          <w:szCs w:val="20"/>
          <w:lang w:val="es-ES_tradnl"/>
        </w:rPr>
        <w:t xml:space="preserve">Los peticionarios </w:t>
      </w:r>
      <w:r w:rsidR="009B63EE" w:rsidRPr="00B434D5">
        <w:rPr>
          <w:rFonts w:ascii="Cambria" w:hAnsi="Cambria"/>
          <w:bCs/>
          <w:sz w:val="20"/>
          <w:szCs w:val="20"/>
          <w:lang w:val="es-ES_tradnl"/>
        </w:rPr>
        <w:t xml:space="preserve">indican que el 28 de septiembre de 2007, </w:t>
      </w:r>
      <w:r w:rsidR="008C7112" w:rsidRPr="00B434D5">
        <w:rPr>
          <w:rFonts w:ascii="Cambria" w:hAnsi="Cambria"/>
          <w:bCs/>
          <w:sz w:val="20"/>
          <w:szCs w:val="20"/>
          <w:lang w:val="es-ES_tradnl"/>
        </w:rPr>
        <w:t xml:space="preserve">se emitió </w:t>
      </w:r>
      <w:r w:rsidR="0021487A" w:rsidRPr="00B434D5">
        <w:rPr>
          <w:rFonts w:ascii="Cambria" w:hAnsi="Cambria"/>
          <w:bCs/>
          <w:sz w:val="20"/>
          <w:szCs w:val="20"/>
          <w:lang w:val="es-ES_tradnl"/>
        </w:rPr>
        <w:t xml:space="preserve">un </w:t>
      </w:r>
      <w:r w:rsidR="008C7112" w:rsidRPr="00B434D5">
        <w:rPr>
          <w:rFonts w:ascii="Cambria" w:hAnsi="Cambria"/>
          <w:bCs/>
          <w:sz w:val="20"/>
          <w:szCs w:val="20"/>
          <w:lang w:val="es-ES_tradnl"/>
        </w:rPr>
        <w:t>pliego de consignación dentro de la averiguación previa 191/D.S</w:t>
      </w:r>
      <w:r w:rsidR="00007428" w:rsidRPr="00B434D5">
        <w:rPr>
          <w:rFonts w:ascii="Cambria" w:hAnsi="Cambria"/>
          <w:bCs/>
          <w:sz w:val="20"/>
          <w:szCs w:val="20"/>
          <w:lang w:val="es-ES_tradnl"/>
        </w:rPr>
        <w:t>.</w:t>
      </w:r>
      <w:r w:rsidR="008C7112" w:rsidRPr="00B434D5">
        <w:rPr>
          <w:rFonts w:ascii="Cambria" w:hAnsi="Cambria"/>
          <w:bCs/>
          <w:sz w:val="20"/>
          <w:szCs w:val="20"/>
          <w:lang w:val="es-ES_tradnl"/>
        </w:rPr>
        <w:t>/2007</w:t>
      </w:r>
      <w:r w:rsidR="00D9770D" w:rsidRPr="00B434D5">
        <w:rPr>
          <w:rFonts w:ascii="Cambria" w:hAnsi="Cambria"/>
          <w:bCs/>
          <w:sz w:val="20"/>
          <w:szCs w:val="20"/>
          <w:lang w:val="es-ES_tradnl"/>
        </w:rPr>
        <w:t>, mediante el cual el agente del Ministerio Público del Fuero Común, adscrito al primer turno de la Agencia Especializada en Deli</w:t>
      </w:r>
      <w:r w:rsidR="00007428" w:rsidRPr="00B434D5">
        <w:rPr>
          <w:rFonts w:ascii="Cambria" w:hAnsi="Cambria"/>
          <w:bCs/>
          <w:sz w:val="20"/>
          <w:szCs w:val="20"/>
          <w:lang w:val="es-ES_tradnl"/>
        </w:rPr>
        <w:t>tos Sexuales en Oaxaca, ejerció la</w:t>
      </w:r>
      <w:r w:rsidR="00D9770D" w:rsidRPr="00B434D5">
        <w:rPr>
          <w:rFonts w:ascii="Cambria" w:hAnsi="Cambria"/>
          <w:bCs/>
          <w:sz w:val="20"/>
          <w:szCs w:val="20"/>
          <w:lang w:val="es-ES_tradnl"/>
        </w:rPr>
        <w:t xml:space="preserve"> acción penal contra los presuntos responsables: Gabriel Hugo Constantino y Adán Salvador Pérez, presuntos autores materiales del delito, y contra Magdalena García, presunta cómplice. </w:t>
      </w:r>
      <w:r w:rsidR="0021487A" w:rsidRPr="00B434D5">
        <w:rPr>
          <w:rFonts w:ascii="Cambria" w:hAnsi="Cambria"/>
          <w:bCs/>
          <w:sz w:val="20"/>
          <w:szCs w:val="20"/>
          <w:lang w:val="es-ES_tradnl"/>
        </w:rPr>
        <w:t>Luego, e</w:t>
      </w:r>
      <w:r w:rsidR="009B63EE" w:rsidRPr="00B434D5">
        <w:rPr>
          <w:rFonts w:ascii="Cambria" w:hAnsi="Cambria"/>
          <w:bCs/>
          <w:sz w:val="20"/>
          <w:szCs w:val="20"/>
          <w:lang w:val="es-ES_tradnl"/>
        </w:rPr>
        <w:t xml:space="preserve">l Juez Tercero de </w:t>
      </w:r>
      <w:r w:rsidR="00FF1B4C" w:rsidRPr="00B434D5">
        <w:rPr>
          <w:rFonts w:ascii="Cambria" w:hAnsi="Cambria"/>
          <w:bCs/>
          <w:sz w:val="20"/>
          <w:szCs w:val="20"/>
          <w:lang w:val="es-ES_tradnl"/>
        </w:rPr>
        <w:t xml:space="preserve">Primera Instancia en Materia </w:t>
      </w:r>
      <w:r w:rsidR="00F30E8C" w:rsidRPr="00B434D5">
        <w:rPr>
          <w:rFonts w:ascii="Cambria" w:hAnsi="Cambria"/>
          <w:bCs/>
          <w:sz w:val="20"/>
          <w:szCs w:val="20"/>
          <w:lang w:val="es-ES_tradnl"/>
        </w:rPr>
        <w:t>P</w:t>
      </w:r>
      <w:r w:rsidR="009B63EE" w:rsidRPr="00B434D5">
        <w:rPr>
          <w:rFonts w:ascii="Cambria" w:hAnsi="Cambria"/>
          <w:bCs/>
          <w:sz w:val="20"/>
          <w:szCs w:val="20"/>
          <w:lang w:val="es-ES_tradnl"/>
        </w:rPr>
        <w:t>enal de Oaxaca, emitió tres órdenes de aprehensión</w:t>
      </w:r>
      <w:r w:rsidR="00AF5A2E" w:rsidRPr="00B434D5">
        <w:rPr>
          <w:rFonts w:ascii="Cambria" w:hAnsi="Cambria"/>
          <w:bCs/>
          <w:sz w:val="20"/>
          <w:szCs w:val="20"/>
          <w:lang w:val="es-ES_tradnl"/>
        </w:rPr>
        <w:t xml:space="preserve"> contra los mismos, y a</w:t>
      </w:r>
      <w:r w:rsidR="00FA252B" w:rsidRPr="00B434D5">
        <w:rPr>
          <w:rFonts w:ascii="Cambria" w:hAnsi="Cambria"/>
          <w:bCs/>
          <w:sz w:val="20"/>
          <w:szCs w:val="20"/>
          <w:lang w:val="es-ES_tradnl"/>
        </w:rPr>
        <w:t>legan que los autores materiales</w:t>
      </w:r>
      <w:r w:rsidR="004F7D59" w:rsidRPr="00B434D5">
        <w:rPr>
          <w:rFonts w:ascii="Cambria" w:hAnsi="Cambria"/>
          <w:bCs/>
          <w:sz w:val="20"/>
          <w:szCs w:val="20"/>
          <w:lang w:val="es-ES_tradnl"/>
        </w:rPr>
        <w:t xml:space="preserve"> fueron avisados de la orden</w:t>
      </w:r>
      <w:r w:rsidR="00FA252B" w:rsidRPr="00B434D5">
        <w:rPr>
          <w:rFonts w:ascii="Cambria" w:hAnsi="Cambria"/>
          <w:bCs/>
          <w:sz w:val="20"/>
          <w:szCs w:val="20"/>
          <w:lang w:val="es-ES_tradnl"/>
        </w:rPr>
        <w:t xml:space="preserve"> de aprehensión</w:t>
      </w:r>
      <w:r w:rsidR="00070085" w:rsidRPr="00B434D5">
        <w:rPr>
          <w:rFonts w:ascii="Cambria" w:hAnsi="Cambria"/>
          <w:bCs/>
          <w:sz w:val="20"/>
          <w:szCs w:val="20"/>
          <w:lang w:val="es-ES_tradnl"/>
        </w:rPr>
        <w:t>,</w:t>
      </w:r>
      <w:r w:rsidR="00FA252B" w:rsidRPr="00B434D5">
        <w:rPr>
          <w:rFonts w:ascii="Cambria" w:hAnsi="Cambria"/>
          <w:bCs/>
          <w:sz w:val="20"/>
          <w:szCs w:val="20"/>
          <w:lang w:val="es-ES_tradnl"/>
        </w:rPr>
        <w:t xml:space="preserve"> y que por eso </w:t>
      </w:r>
      <w:r w:rsidR="00070085" w:rsidRPr="00B434D5">
        <w:rPr>
          <w:rFonts w:ascii="Cambria" w:hAnsi="Cambria"/>
          <w:bCs/>
          <w:sz w:val="20"/>
          <w:szCs w:val="20"/>
          <w:lang w:val="es-ES_tradnl"/>
        </w:rPr>
        <w:t>se evadieron del proceso;</w:t>
      </w:r>
      <w:r w:rsidR="004F7D59" w:rsidRPr="00B434D5">
        <w:rPr>
          <w:rFonts w:ascii="Cambria" w:hAnsi="Cambria"/>
          <w:bCs/>
          <w:sz w:val="20"/>
          <w:szCs w:val="20"/>
          <w:lang w:val="es-ES_tradnl"/>
        </w:rPr>
        <w:t xml:space="preserve"> mientras que la Sra. </w:t>
      </w:r>
      <w:r w:rsidR="000A0AF0" w:rsidRPr="00B434D5">
        <w:rPr>
          <w:rFonts w:ascii="Cambria" w:hAnsi="Cambria"/>
          <w:bCs/>
          <w:sz w:val="20"/>
          <w:szCs w:val="20"/>
          <w:lang w:val="es-ES_tradnl"/>
        </w:rPr>
        <w:t xml:space="preserve">García fue detenida y sometida a proceso ante el Juzgado Tercero </w:t>
      </w:r>
      <w:r w:rsidR="001F58EC" w:rsidRPr="00B434D5">
        <w:rPr>
          <w:rFonts w:ascii="Cambria" w:hAnsi="Cambria"/>
          <w:bCs/>
          <w:sz w:val="20"/>
          <w:szCs w:val="20"/>
          <w:lang w:val="es-ES_tradnl"/>
        </w:rPr>
        <w:t xml:space="preserve">de Primera Instancia </w:t>
      </w:r>
      <w:r w:rsidR="000A0AF0" w:rsidRPr="00B434D5">
        <w:rPr>
          <w:rFonts w:ascii="Cambria" w:hAnsi="Cambria"/>
          <w:bCs/>
          <w:sz w:val="20"/>
          <w:szCs w:val="20"/>
          <w:lang w:val="es-ES_tradnl"/>
        </w:rPr>
        <w:t>en Materia Penal de Oaxaca</w:t>
      </w:r>
      <w:r w:rsidR="00FA252B" w:rsidRPr="00B434D5">
        <w:rPr>
          <w:rFonts w:ascii="Cambria" w:hAnsi="Cambria"/>
          <w:bCs/>
          <w:sz w:val="20"/>
          <w:szCs w:val="20"/>
          <w:lang w:val="es-ES_tradnl"/>
        </w:rPr>
        <w:t>, dictándose en su contra auto formal de prisión</w:t>
      </w:r>
      <w:r w:rsidR="000A0AF0" w:rsidRPr="00B434D5">
        <w:rPr>
          <w:rFonts w:ascii="Cambria" w:hAnsi="Cambria"/>
          <w:bCs/>
          <w:sz w:val="20"/>
          <w:szCs w:val="20"/>
          <w:lang w:val="es-ES_tradnl"/>
        </w:rPr>
        <w:t xml:space="preserve">. Los peticionarios sostienen que los presuntos </w:t>
      </w:r>
      <w:r w:rsidR="00FA252B" w:rsidRPr="00B434D5">
        <w:rPr>
          <w:rFonts w:ascii="Cambria" w:hAnsi="Cambria"/>
          <w:bCs/>
          <w:sz w:val="20"/>
          <w:szCs w:val="20"/>
          <w:lang w:val="es-ES_tradnl"/>
        </w:rPr>
        <w:t>autores materiales</w:t>
      </w:r>
      <w:r w:rsidR="000A0AF0" w:rsidRPr="00B434D5">
        <w:rPr>
          <w:rFonts w:ascii="Cambria" w:hAnsi="Cambria"/>
          <w:bCs/>
          <w:sz w:val="20"/>
          <w:szCs w:val="20"/>
          <w:lang w:val="es-ES_tradnl"/>
        </w:rPr>
        <w:t xml:space="preserve"> </w:t>
      </w:r>
      <w:r w:rsidR="004B0DAF" w:rsidRPr="00B434D5">
        <w:rPr>
          <w:rFonts w:ascii="Cambria" w:hAnsi="Cambria"/>
          <w:bCs/>
          <w:sz w:val="20"/>
          <w:szCs w:val="20"/>
          <w:lang w:val="es-ES_tradnl"/>
        </w:rPr>
        <w:t>i</w:t>
      </w:r>
      <w:r w:rsidR="00FA252B" w:rsidRPr="00B434D5">
        <w:rPr>
          <w:rFonts w:ascii="Cambria" w:hAnsi="Cambria"/>
          <w:bCs/>
          <w:sz w:val="20"/>
          <w:szCs w:val="20"/>
          <w:lang w:val="es-ES_tradnl"/>
        </w:rPr>
        <w:t>nterpusieron amparos indirectos</w:t>
      </w:r>
      <w:r w:rsidR="004B0DAF" w:rsidRPr="00B434D5">
        <w:rPr>
          <w:rFonts w:ascii="Cambria" w:hAnsi="Cambria"/>
          <w:bCs/>
          <w:sz w:val="20"/>
          <w:szCs w:val="20"/>
          <w:lang w:val="es-ES_tradnl"/>
        </w:rPr>
        <w:t xml:space="preserve"> solicitando que se anularan las órdenes de aprehensión </w:t>
      </w:r>
      <w:r w:rsidR="00FA252B" w:rsidRPr="00B434D5">
        <w:rPr>
          <w:rFonts w:ascii="Cambria" w:hAnsi="Cambria"/>
          <w:bCs/>
          <w:sz w:val="20"/>
          <w:szCs w:val="20"/>
          <w:lang w:val="es-ES_tradnl"/>
        </w:rPr>
        <w:t xml:space="preserve">y </w:t>
      </w:r>
      <w:r w:rsidR="004B0DAF" w:rsidRPr="00B434D5">
        <w:rPr>
          <w:rFonts w:ascii="Cambria" w:hAnsi="Cambria"/>
          <w:bCs/>
          <w:sz w:val="20"/>
          <w:szCs w:val="20"/>
          <w:lang w:val="es-ES_tradnl"/>
        </w:rPr>
        <w:t xml:space="preserve">el auto formal de prisión </w:t>
      </w:r>
      <w:r w:rsidR="00FA252B" w:rsidRPr="00B434D5">
        <w:rPr>
          <w:rFonts w:ascii="Cambria" w:hAnsi="Cambria"/>
          <w:bCs/>
          <w:sz w:val="20"/>
          <w:szCs w:val="20"/>
          <w:lang w:val="es-ES_tradnl"/>
        </w:rPr>
        <w:t>contra Magdalena</w:t>
      </w:r>
      <w:r w:rsidR="004B0DAF" w:rsidRPr="00B434D5">
        <w:rPr>
          <w:rFonts w:ascii="Cambria" w:hAnsi="Cambria"/>
          <w:bCs/>
          <w:sz w:val="20"/>
          <w:szCs w:val="20"/>
          <w:lang w:val="es-ES_tradnl"/>
        </w:rPr>
        <w:t xml:space="preserve"> García. </w:t>
      </w:r>
    </w:p>
    <w:p w:rsidR="0044033B" w:rsidRPr="00B434D5" w:rsidRDefault="0044033B" w:rsidP="00427823">
      <w:pPr>
        <w:ind w:firstLine="720"/>
        <w:jc w:val="both"/>
        <w:rPr>
          <w:rFonts w:ascii="Cambria" w:hAnsi="Cambria"/>
          <w:bCs/>
          <w:sz w:val="20"/>
          <w:szCs w:val="20"/>
          <w:lang w:val="es-ES_tradnl"/>
        </w:rPr>
      </w:pPr>
    </w:p>
    <w:p w:rsidR="0044033B" w:rsidRPr="00B434D5" w:rsidRDefault="0044033B" w:rsidP="00427823">
      <w:pPr>
        <w:ind w:firstLine="720"/>
        <w:jc w:val="both"/>
        <w:rPr>
          <w:rFonts w:ascii="Cambria" w:hAnsi="Cambria"/>
          <w:bCs/>
          <w:sz w:val="20"/>
          <w:szCs w:val="20"/>
          <w:lang w:val="es-ES_tradnl"/>
        </w:rPr>
      </w:pPr>
      <w:r w:rsidRPr="00B434D5">
        <w:rPr>
          <w:rFonts w:ascii="Cambria" w:hAnsi="Cambria"/>
          <w:bCs/>
          <w:sz w:val="20"/>
          <w:szCs w:val="20"/>
          <w:lang w:val="es-ES_tradnl"/>
        </w:rPr>
        <w:t>4.</w:t>
      </w:r>
      <w:r w:rsidRPr="00B434D5">
        <w:rPr>
          <w:rFonts w:ascii="Cambria" w:hAnsi="Cambria"/>
          <w:bCs/>
          <w:sz w:val="20"/>
          <w:szCs w:val="20"/>
          <w:lang w:val="es-ES_tradnl"/>
        </w:rPr>
        <w:tab/>
        <w:t xml:space="preserve">El 5 de febrero de 2008 la CNDH </w:t>
      </w:r>
      <w:r w:rsidR="00DB7398" w:rsidRPr="00B434D5">
        <w:rPr>
          <w:rFonts w:ascii="Cambria" w:hAnsi="Cambria"/>
          <w:bCs/>
          <w:sz w:val="20"/>
          <w:szCs w:val="20"/>
          <w:lang w:val="es-ES_tradnl"/>
        </w:rPr>
        <w:t xml:space="preserve">en </w:t>
      </w:r>
      <w:r w:rsidR="00180AF1" w:rsidRPr="00B434D5">
        <w:rPr>
          <w:rFonts w:ascii="Cambria" w:hAnsi="Cambria"/>
          <w:bCs/>
          <w:sz w:val="20"/>
          <w:szCs w:val="20"/>
          <w:lang w:val="es-ES_tradnl"/>
        </w:rPr>
        <w:t>su</w:t>
      </w:r>
      <w:r w:rsidRPr="00B434D5">
        <w:rPr>
          <w:rFonts w:ascii="Cambria" w:hAnsi="Cambria"/>
          <w:bCs/>
          <w:sz w:val="20"/>
          <w:szCs w:val="20"/>
          <w:lang w:val="es-ES_tradnl"/>
        </w:rPr>
        <w:t xml:space="preserve"> </w:t>
      </w:r>
      <w:r w:rsidR="00867730" w:rsidRPr="00B434D5">
        <w:rPr>
          <w:rFonts w:ascii="Cambria" w:hAnsi="Cambria"/>
          <w:bCs/>
          <w:sz w:val="20"/>
          <w:szCs w:val="20"/>
          <w:lang w:val="es-ES_tradnl"/>
        </w:rPr>
        <w:t>R</w:t>
      </w:r>
      <w:r w:rsidRPr="00B434D5">
        <w:rPr>
          <w:rFonts w:ascii="Cambria" w:hAnsi="Cambria"/>
          <w:bCs/>
          <w:sz w:val="20"/>
          <w:szCs w:val="20"/>
          <w:lang w:val="es-ES_tradnl"/>
        </w:rPr>
        <w:t xml:space="preserve">ecomendación </w:t>
      </w:r>
      <w:r w:rsidR="009716C4" w:rsidRPr="00B434D5">
        <w:rPr>
          <w:rFonts w:ascii="Cambria" w:hAnsi="Cambria"/>
          <w:bCs/>
          <w:sz w:val="20"/>
          <w:szCs w:val="20"/>
          <w:lang w:val="es-ES_tradnl"/>
        </w:rPr>
        <w:t>4/2008</w:t>
      </w:r>
      <w:r w:rsidR="00C764E7" w:rsidRPr="00B434D5">
        <w:rPr>
          <w:rFonts w:ascii="Cambria" w:hAnsi="Cambria"/>
          <w:bCs/>
          <w:sz w:val="20"/>
          <w:szCs w:val="20"/>
          <w:lang w:val="es-ES_tradnl"/>
        </w:rPr>
        <w:t>,</w:t>
      </w:r>
      <w:r w:rsidR="004E041B" w:rsidRPr="00B434D5">
        <w:rPr>
          <w:rFonts w:ascii="Cambria" w:hAnsi="Cambria"/>
          <w:bCs/>
          <w:sz w:val="20"/>
          <w:szCs w:val="20"/>
          <w:lang w:val="es-ES_tradnl"/>
        </w:rPr>
        <w:t xml:space="preserve"> </w:t>
      </w:r>
      <w:r w:rsidRPr="00B434D5">
        <w:rPr>
          <w:rFonts w:ascii="Cambria" w:hAnsi="Cambria"/>
          <w:bCs/>
          <w:sz w:val="20"/>
          <w:szCs w:val="20"/>
          <w:lang w:val="es-ES_tradnl"/>
        </w:rPr>
        <w:t xml:space="preserve">determinó que el Ministerio Público incumplió el plazo de noventa días para integrar y consignar averiguación previa, y se refirió al incumplimiento de las dos órdenes de aprehensión como un elemento que propicia la impunidad; y realizó una serie de recomendaciones al Gobernador </w:t>
      </w:r>
      <w:r w:rsidR="00C764E7" w:rsidRPr="00B434D5">
        <w:rPr>
          <w:rFonts w:ascii="Cambria" w:hAnsi="Cambria"/>
          <w:bCs/>
          <w:sz w:val="20"/>
          <w:szCs w:val="20"/>
          <w:lang w:val="es-ES_tradnl"/>
        </w:rPr>
        <w:t xml:space="preserve">Constitucional </w:t>
      </w:r>
      <w:r w:rsidRPr="00B434D5">
        <w:rPr>
          <w:rFonts w:ascii="Cambria" w:hAnsi="Cambria"/>
          <w:bCs/>
          <w:sz w:val="20"/>
          <w:szCs w:val="20"/>
          <w:lang w:val="es-ES_tradnl"/>
        </w:rPr>
        <w:t>de Oaxaca y a la Procuraduría General de Justicia de Oaxaca para que ac</w:t>
      </w:r>
      <w:r w:rsidR="00180AF1" w:rsidRPr="00B434D5">
        <w:rPr>
          <w:rFonts w:ascii="Cambria" w:hAnsi="Cambria"/>
          <w:bCs/>
          <w:sz w:val="20"/>
          <w:szCs w:val="20"/>
          <w:lang w:val="es-ES_tradnl"/>
        </w:rPr>
        <w:t>tuaran conforme a lo encontrado. S</w:t>
      </w:r>
      <w:r w:rsidRPr="00B434D5">
        <w:rPr>
          <w:rFonts w:ascii="Cambria" w:hAnsi="Cambria"/>
          <w:bCs/>
          <w:sz w:val="20"/>
          <w:szCs w:val="20"/>
          <w:lang w:val="es-ES_tradnl"/>
        </w:rPr>
        <w:t xml:space="preserve">in embargo, </w:t>
      </w:r>
      <w:r w:rsidR="00180AF1" w:rsidRPr="00B434D5">
        <w:rPr>
          <w:rFonts w:ascii="Cambria" w:hAnsi="Cambria"/>
          <w:bCs/>
          <w:sz w:val="20"/>
          <w:szCs w:val="20"/>
          <w:lang w:val="es-ES_tradnl"/>
        </w:rPr>
        <w:t>sostienen los</w:t>
      </w:r>
      <w:r w:rsidRPr="00B434D5">
        <w:rPr>
          <w:rFonts w:ascii="Cambria" w:hAnsi="Cambria"/>
          <w:bCs/>
          <w:sz w:val="20"/>
          <w:szCs w:val="20"/>
          <w:lang w:val="es-ES_tradnl"/>
        </w:rPr>
        <w:t xml:space="preserve"> peticionarios</w:t>
      </w:r>
      <w:r w:rsidR="00180AF1" w:rsidRPr="00B434D5">
        <w:rPr>
          <w:rFonts w:ascii="Cambria" w:hAnsi="Cambria"/>
          <w:bCs/>
          <w:sz w:val="20"/>
          <w:szCs w:val="20"/>
          <w:lang w:val="es-ES_tradnl"/>
        </w:rPr>
        <w:t>,</w:t>
      </w:r>
      <w:r w:rsidRPr="00B434D5">
        <w:rPr>
          <w:rFonts w:ascii="Cambria" w:hAnsi="Cambria"/>
          <w:bCs/>
          <w:sz w:val="20"/>
          <w:szCs w:val="20"/>
          <w:lang w:val="es-ES_tradnl"/>
        </w:rPr>
        <w:t xml:space="preserve"> no se habría cumplido</w:t>
      </w:r>
      <w:r w:rsidR="00D64525" w:rsidRPr="00B434D5">
        <w:rPr>
          <w:rFonts w:ascii="Cambria" w:hAnsi="Cambria"/>
          <w:bCs/>
          <w:sz w:val="20"/>
          <w:szCs w:val="20"/>
          <w:lang w:val="es-ES_tradnl"/>
        </w:rPr>
        <w:t xml:space="preserve"> con dicha recomendación</w:t>
      </w:r>
      <w:r w:rsidR="00DE4D24" w:rsidRPr="00B434D5">
        <w:rPr>
          <w:rFonts w:ascii="Cambria" w:hAnsi="Cambria"/>
          <w:bCs/>
          <w:sz w:val="20"/>
          <w:szCs w:val="20"/>
          <w:lang w:val="es-ES_tradnl"/>
        </w:rPr>
        <w:t xml:space="preserve">, en la </w:t>
      </w:r>
      <w:r w:rsidR="00D64525" w:rsidRPr="00B434D5">
        <w:rPr>
          <w:rFonts w:ascii="Cambria" w:hAnsi="Cambria"/>
          <w:bCs/>
          <w:sz w:val="20"/>
          <w:szCs w:val="20"/>
          <w:lang w:val="es-ES_tradnl"/>
        </w:rPr>
        <w:t xml:space="preserve">que </w:t>
      </w:r>
      <w:r w:rsidR="00B61819" w:rsidRPr="00B434D5">
        <w:rPr>
          <w:rFonts w:ascii="Cambria" w:hAnsi="Cambria"/>
          <w:bCs/>
          <w:sz w:val="20"/>
          <w:szCs w:val="20"/>
          <w:lang w:val="es-ES_tradnl"/>
        </w:rPr>
        <w:t xml:space="preserve">la CNDH </w:t>
      </w:r>
      <w:r w:rsidR="00D64525" w:rsidRPr="00B434D5">
        <w:rPr>
          <w:rFonts w:ascii="Cambria" w:hAnsi="Cambria"/>
          <w:bCs/>
          <w:sz w:val="20"/>
          <w:szCs w:val="20"/>
          <w:lang w:val="es-ES_tradnl"/>
        </w:rPr>
        <w:t xml:space="preserve">sostuvo </w:t>
      </w:r>
      <w:r w:rsidR="008F17F7" w:rsidRPr="00B434D5">
        <w:rPr>
          <w:rFonts w:ascii="Cambria" w:hAnsi="Cambria"/>
          <w:bCs/>
          <w:sz w:val="20"/>
          <w:szCs w:val="20"/>
          <w:lang w:val="es-ES_tradnl"/>
        </w:rPr>
        <w:t>que “</w:t>
      </w:r>
      <w:r w:rsidR="008F17F7" w:rsidRPr="00B434D5">
        <w:rPr>
          <w:rFonts w:ascii="Cambria" w:hAnsi="Cambria"/>
          <w:bCs/>
          <w:i/>
          <w:sz w:val="20"/>
          <w:szCs w:val="20"/>
          <w:lang w:val="es-ES_tradnl"/>
        </w:rPr>
        <w:t>cuenta con elementos para acreditar violaciones del derecho a la pronta y debida impartición de justicia, derivado de la dilación en la integración de la averiguación previa, así como del incumplimiento de las órdenes de aprehensión que giró</w:t>
      </w:r>
      <w:r w:rsidR="001F58EC" w:rsidRPr="00B434D5">
        <w:rPr>
          <w:rFonts w:ascii="Cambria" w:hAnsi="Cambria"/>
          <w:bCs/>
          <w:i/>
          <w:sz w:val="20"/>
          <w:szCs w:val="20"/>
          <w:lang w:val="es-ES_tradnl"/>
        </w:rPr>
        <w:t xml:space="preserve"> el Juez Tercero de Primera Instancia en Materia Penal en </w:t>
      </w:r>
      <w:proofErr w:type="spellStart"/>
      <w:r w:rsidR="001F58EC" w:rsidRPr="00B434D5">
        <w:rPr>
          <w:rFonts w:ascii="Cambria" w:hAnsi="Cambria"/>
          <w:bCs/>
          <w:i/>
          <w:sz w:val="20"/>
          <w:szCs w:val="20"/>
          <w:lang w:val="es-ES_tradnl"/>
        </w:rPr>
        <w:t>Ixcotel</w:t>
      </w:r>
      <w:proofErr w:type="spellEnd"/>
      <w:r w:rsidR="001F58EC" w:rsidRPr="00B434D5">
        <w:rPr>
          <w:rFonts w:ascii="Cambria" w:hAnsi="Cambria"/>
          <w:bCs/>
          <w:sz w:val="20"/>
          <w:szCs w:val="20"/>
          <w:lang w:val="es-ES_tradnl"/>
        </w:rPr>
        <w:t>”</w:t>
      </w:r>
      <w:r w:rsidR="001F58EC" w:rsidRPr="00B434D5">
        <w:rPr>
          <w:rStyle w:val="FootnoteReference"/>
          <w:rFonts w:ascii="Cambria" w:hAnsi="Cambria"/>
          <w:bCs/>
          <w:sz w:val="20"/>
          <w:szCs w:val="20"/>
          <w:lang w:val="es-ES_tradnl"/>
        </w:rPr>
        <w:footnoteReference w:id="6"/>
      </w:r>
      <w:r w:rsidRPr="00B434D5">
        <w:rPr>
          <w:rFonts w:ascii="Cambria" w:hAnsi="Cambria"/>
          <w:bCs/>
          <w:sz w:val="20"/>
          <w:szCs w:val="20"/>
          <w:lang w:val="es-ES_tradnl"/>
        </w:rPr>
        <w:t>.</w:t>
      </w:r>
    </w:p>
    <w:p w:rsidR="00386E3D" w:rsidRPr="00B434D5" w:rsidRDefault="00386E3D" w:rsidP="00B40475">
      <w:pPr>
        <w:ind w:firstLine="360"/>
        <w:jc w:val="both"/>
        <w:rPr>
          <w:rFonts w:ascii="Cambria" w:hAnsi="Cambria"/>
          <w:bCs/>
          <w:sz w:val="20"/>
          <w:szCs w:val="20"/>
          <w:lang w:val="es-ES_tradnl"/>
        </w:rPr>
      </w:pPr>
    </w:p>
    <w:p w:rsidR="00A84F0A" w:rsidRPr="00B434D5" w:rsidRDefault="005E41AD" w:rsidP="00427823">
      <w:pPr>
        <w:ind w:firstLine="720"/>
        <w:jc w:val="both"/>
        <w:rPr>
          <w:rFonts w:ascii="Cambria" w:hAnsi="Cambria"/>
          <w:bCs/>
          <w:sz w:val="20"/>
          <w:szCs w:val="20"/>
          <w:lang w:val="es-ES_tradnl"/>
        </w:rPr>
      </w:pPr>
      <w:r w:rsidRPr="00B434D5">
        <w:rPr>
          <w:rFonts w:ascii="Cambria" w:hAnsi="Cambria"/>
          <w:bCs/>
          <w:sz w:val="20"/>
          <w:szCs w:val="20"/>
          <w:lang w:val="es-ES_tradnl"/>
        </w:rPr>
        <w:t>5</w:t>
      </w:r>
      <w:r w:rsidR="00386E3D" w:rsidRPr="00B434D5">
        <w:rPr>
          <w:rFonts w:ascii="Cambria" w:hAnsi="Cambria"/>
          <w:bCs/>
          <w:sz w:val="20"/>
          <w:szCs w:val="20"/>
          <w:lang w:val="es-ES_tradnl"/>
        </w:rPr>
        <w:t>.</w:t>
      </w:r>
      <w:r w:rsidR="00F30E8C" w:rsidRPr="00B434D5">
        <w:rPr>
          <w:rFonts w:ascii="Cambria" w:hAnsi="Cambria"/>
          <w:bCs/>
          <w:sz w:val="20"/>
          <w:szCs w:val="20"/>
          <w:lang w:val="es-ES_tradnl"/>
        </w:rPr>
        <w:tab/>
      </w:r>
      <w:r w:rsidR="00421EF6" w:rsidRPr="00B434D5">
        <w:rPr>
          <w:rFonts w:ascii="Cambria" w:hAnsi="Cambria"/>
          <w:bCs/>
          <w:sz w:val="20"/>
          <w:szCs w:val="20"/>
          <w:lang w:val="es-ES_tradnl"/>
        </w:rPr>
        <w:t>El</w:t>
      </w:r>
      <w:r w:rsidR="00386E3D" w:rsidRPr="00B434D5">
        <w:rPr>
          <w:rFonts w:ascii="Cambria" w:hAnsi="Cambria"/>
          <w:bCs/>
          <w:sz w:val="20"/>
          <w:szCs w:val="20"/>
          <w:lang w:val="es-ES_tradnl"/>
        </w:rPr>
        <w:t xml:space="preserve"> 29 de octubre de 2008</w:t>
      </w:r>
      <w:r w:rsidR="00CC23D9" w:rsidRPr="00B434D5">
        <w:rPr>
          <w:rFonts w:ascii="Cambria" w:hAnsi="Cambria"/>
          <w:bCs/>
          <w:sz w:val="20"/>
          <w:szCs w:val="20"/>
          <w:lang w:val="es-ES_tradnl"/>
        </w:rPr>
        <w:t xml:space="preserve"> la Primera Sala de la Suprema Corte de Justicia de la Nación</w:t>
      </w:r>
      <w:r w:rsidR="00D04776" w:rsidRPr="00B434D5">
        <w:rPr>
          <w:rFonts w:ascii="Cambria" w:hAnsi="Cambria"/>
          <w:bCs/>
          <w:sz w:val="20"/>
          <w:szCs w:val="20"/>
          <w:lang w:val="es-ES_tradnl"/>
        </w:rPr>
        <w:t xml:space="preserve">, luego de </w:t>
      </w:r>
      <w:r w:rsidR="00421EF6" w:rsidRPr="00B434D5">
        <w:rPr>
          <w:rFonts w:ascii="Cambria" w:hAnsi="Cambria"/>
          <w:bCs/>
          <w:sz w:val="20"/>
          <w:szCs w:val="20"/>
          <w:lang w:val="es-ES_tradnl"/>
        </w:rPr>
        <w:t>ejercitar</w:t>
      </w:r>
      <w:r w:rsidR="001F19DE" w:rsidRPr="00B434D5">
        <w:rPr>
          <w:rFonts w:ascii="Cambria" w:hAnsi="Cambria"/>
          <w:bCs/>
          <w:sz w:val="20"/>
          <w:szCs w:val="20"/>
          <w:lang w:val="es-ES_tradnl"/>
        </w:rPr>
        <w:t xml:space="preserve"> </w:t>
      </w:r>
      <w:r w:rsidR="00421EF6" w:rsidRPr="00B434D5">
        <w:rPr>
          <w:rFonts w:ascii="Cambria" w:hAnsi="Cambria"/>
          <w:bCs/>
          <w:sz w:val="20"/>
          <w:szCs w:val="20"/>
          <w:lang w:val="es-ES_tradnl"/>
        </w:rPr>
        <w:t>su</w:t>
      </w:r>
      <w:r w:rsidR="001F19DE" w:rsidRPr="00B434D5">
        <w:rPr>
          <w:rFonts w:ascii="Cambria" w:hAnsi="Cambria"/>
          <w:bCs/>
          <w:sz w:val="20"/>
          <w:szCs w:val="20"/>
          <w:lang w:val="es-ES_tradnl"/>
        </w:rPr>
        <w:t xml:space="preserve"> facultad de atracción,</w:t>
      </w:r>
      <w:r w:rsidR="00CC23D9" w:rsidRPr="00B434D5">
        <w:rPr>
          <w:rFonts w:ascii="Cambria" w:hAnsi="Cambria"/>
          <w:bCs/>
          <w:sz w:val="20"/>
          <w:szCs w:val="20"/>
          <w:lang w:val="es-ES_tradnl"/>
        </w:rPr>
        <w:t xml:space="preserve"> </w:t>
      </w:r>
      <w:r w:rsidR="00421EF6" w:rsidRPr="00B434D5">
        <w:rPr>
          <w:rFonts w:ascii="Cambria" w:hAnsi="Cambria"/>
          <w:bCs/>
          <w:sz w:val="20"/>
          <w:szCs w:val="20"/>
          <w:lang w:val="es-ES_tradnl"/>
        </w:rPr>
        <w:t>negó</w:t>
      </w:r>
      <w:r w:rsidR="00331C59" w:rsidRPr="00B434D5">
        <w:rPr>
          <w:rFonts w:ascii="Cambria" w:hAnsi="Cambria"/>
          <w:bCs/>
          <w:sz w:val="20"/>
          <w:szCs w:val="20"/>
          <w:lang w:val="es-ES_tradnl"/>
        </w:rPr>
        <w:t xml:space="preserve"> </w:t>
      </w:r>
      <w:r w:rsidR="00BD2EDC" w:rsidRPr="00B434D5">
        <w:rPr>
          <w:rFonts w:ascii="Cambria" w:hAnsi="Cambria"/>
          <w:bCs/>
          <w:sz w:val="20"/>
          <w:szCs w:val="20"/>
          <w:lang w:val="es-ES_tradnl"/>
        </w:rPr>
        <w:t xml:space="preserve">el amparo </w:t>
      </w:r>
      <w:r w:rsidR="001F19DE" w:rsidRPr="00B434D5">
        <w:rPr>
          <w:rFonts w:ascii="Cambria" w:hAnsi="Cambria"/>
          <w:bCs/>
          <w:sz w:val="20"/>
          <w:szCs w:val="20"/>
          <w:lang w:val="es-ES_tradnl"/>
        </w:rPr>
        <w:t xml:space="preserve">en revisión </w:t>
      </w:r>
      <w:r w:rsidR="00693020" w:rsidRPr="00B434D5">
        <w:rPr>
          <w:rFonts w:ascii="Cambria" w:hAnsi="Cambria"/>
          <w:bCs/>
          <w:sz w:val="20"/>
          <w:szCs w:val="20"/>
          <w:lang w:val="es-ES_tradnl"/>
        </w:rPr>
        <w:t>de Gabriel</w:t>
      </w:r>
      <w:r w:rsidR="00BD2EDC" w:rsidRPr="00B434D5">
        <w:rPr>
          <w:rFonts w:ascii="Cambria" w:hAnsi="Cambria"/>
          <w:bCs/>
          <w:sz w:val="20"/>
          <w:szCs w:val="20"/>
          <w:lang w:val="es-ES_tradnl"/>
        </w:rPr>
        <w:t xml:space="preserve"> Constantino y </w:t>
      </w:r>
      <w:r w:rsidR="00693020" w:rsidRPr="00B434D5">
        <w:rPr>
          <w:rFonts w:ascii="Cambria" w:hAnsi="Cambria"/>
          <w:bCs/>
          <w:sz w:val="20"/>
          <w:szCs w:val="20"/>
          <w:lang w:val="es-ES_tradnl"/>
        </w:rPr>
        <w:t xml:space="preserve">Adán </w:t>
      </w:r>
      <w:r w:rsidR="00BD2EDC" w:rsidRPr="00B434D5">
        <w:rPr>
          <w:rFonts w:ascii="Cambria" w:hAnsi="Cambria"/>
          <w:bCs/>
          <w:sz w:val="20"/>
          <w:szCs w:val="20"/>
          <w:lang w:val="es-ES_tradnl"/>
        </w:rPr>
        <w:t xml:space="preserve">Pérez, mientras que </w:t>
      </w:r>
      <w:r w:rsidR="00693020" w:rsidRPr="00B434D5">
        <w:rPr>
          <w:rFonts w:ascii="Cambria" w:hAnsi="Cambria"/>
          <w:bCs/>
          <w:sz w:val="20"/>
          <w:szCs w:val="20"/>
          <w:lang w:val="es-ES_tradnl"/>
        </w:rPr>
        <w:t>Magdalena</w:t>
      </w:r>
      <w:r w:rsidR="00BD2EDC" w:rsidRPr="00B434D5">
        <w:rPr>
          <w:rFonts w:ascii="Cambria" w:hAnsi="Cambria"/>
          <w:bCs/>
          <w:sz w:val="20"/>
          <w:szCs w:val="20"/>
          <w:lang w:val="es-ES_tradnl"/>
        </w:rPr>
        <w:t xml:space="preserve"> García desistió </w:t>
      </w:r>
      <w:r w:rsidR="00070085" w:rsidRPr="00B434D5">
        <w:rPr>
          <w:rFonts w:ascii="Cambria" w:hAnsi="Cambria"/>
          <w:bCs/>
          <w:sz w:val="20"/>
          <w:szCs w:val="20"/>
          <w:lang w:val="es-ES_tradnl"/>
        </w:rPr>
        <w:t>de su recurso</w:t>
      </w:r>
      <w:r w:rsidR="00BA3B47" w:rsidRPr="00B434D5">
        <w:rPr>
          <w:rFonts w:ascii="Cambria" w:hAnsi="Cambria"/>
          <w:bCs/>
          <w:sz w:val="20"/>
          <w:szCs w:val="20"/>
          <w:lang w:val="es-ES_tradnl"/>
        </w:rPr>
        <w:t xml:space="preserve">. </w:t>
      </w:r>
      <w:r w:rsidR="00693020" w:rsidRPr="00B434D5">
        <w:rPr>
          <w:rFonts w:ascii="Cambria" w:hAnsi="Cambria"/>
          <w:bCs/>
          <w:sz w:val="20"/>
          <w:szCs w:val="20"/>
          <w:lang w:val="es-ES_tradnl"/>
        </w:rPr>
        <w:t>Posteriormente</w:t>
      </w:r>
      <w:r w:rsidR="00BA3B47" w:rsidRPr="00B434D5">
        <w:rPr>
          <w:rFonts w:ascii="Cambria" w:hAnsi="Cambria"/>
          <w:bCs/>
          <w:sz w:val="20"/>
          <w:szCs w:val="20"/>
          <w:lang w:val="es-ES_tradnl"/>
        </w:rPr>
        <w:t xml:space="preserve">, </w:t>
      </w:r>
      <w:r w:rsidR="00693020" w:rsidRPr="00B434D5">
        <w:rPr>
          <w:rFonts w:ascii="Cambria" w:hAnsi="Cambria"/>
          <w:bCs/>
          <w:sz w:val="20"/>
          <w:szCs w:val="20"/>
          <w:lang w:val="es-ES_tradnl"/>
        </w:rPr>
        <w:t>el 15 de mayo de 2009</w:t>
      </w:r>
      <w:r w:rsidR="00A84F0A" w:rsidRPr="00B434D5">
        <w:rPr>
          <w:rFonts w:ascii="Cambria" w:hAnsi="Cambria"/>
          <w:bCs/>
          <w:sz w:val="20"/>
          <w:szCs w:val="20"/>
          <w:lang w:val="es-ES_tradnl"/>
        </w:rPr>
        <w:t xml:space="preserve"> </w:t>
      </w:r>
      <w:r w:rsidR="00CA6CF0" w:rsidRPr="00B434D5">
        <w:rPr>
          <w:rFonts w:ascii="Cambria" w:hAnsi="Cambria"/>
          <w:bCs/>
          <w:sz w:val="20"/>
          <w:szCs w:val="20"/>
          <w:lang w:val="es-ES_tradnl"/>
        </w:rPr>
        <w:t>se dictó</w:t>
      </w:r>
      <w:r w:rsidR="00157735" w:rsidRPr="00B434D5">
        <w:rPr>
          <w:rFonts w:ascii="Cambria" w:hAnsi="Cambria"/>
          <w:bCs/>
          <w:sz w:val="20"/>
          <w:szCs w:val="20"/>
          <w:lang w:val="es-ES_tradnl"/>
        </w:rPr>
        <w:t xml:space="preserve"> </w:t>
      </w:r>
      <w:r w:rsidR="00CA6CF0" w:rsidRPr="00B434D5">
        <w:rPr>
          <w:rFonts w:ascii="Cambria" w:hAnsi="Cambria"/>
          <w:bCs/>
          <w:sz w:val="20"/>
          <w:szCs w:val="20"/>
          <w:lang w:val="es-ES_tradnl"/>
        </w:rPr>
        <w:t xml:space="preserve">sentencia condenatoria </w:t>
      </w:r>
      <w:r w:rsidR="00693020" w:rsidRPr="00B434D5">
        <w:rPr>
          <w:rFonts w:ascii="Cambria" w:hAnsi="Cambria"/>
          <w:bCs/>
          <w:sz w:val="20"/>
          <w:szCs w:val="20"/>
          <w:lang w:val="es-ES_tradnl"/>
        </w:rPr>
        <w:t>en contra de Magdalena</w:t>
      </w:r>
      <w:r w:rsidR="00BA3B47" w:rsidRPr="00B434D5">
        <w:rPr>
          <w:rFonts w:ascii="Cambria" w:hAnsi="Cambria"/>
          <w:bCs/>
          <w:sz w:val="20"/>
          <w:szCs w:val="20"/>
          <w:lang w:val="es-ES_tradnl"/>
        </w:rPr>
        <w:t xml:space="preserve"> García</w:t>
      </w:r>
      <w:r w:rsidR="00693020" w:rsidRPr="00B434D5">
        <w:rPr>
          <w:rFonts w:ascii="Cambria" w:hAnsi="Cambria"/>
          <w:bCs/>
          <w:sz w:val="20"/>
          <w:szCs w:val="20"/>
          <w:lang w:val="es-ES_tradnl"/>
        </w:rPr>
        <w:t xml:space="preserve"> por el</w:t>
      </w:r>
      <w:r w:rsidR="00BA3B47" w:rsidRPr="00B434D5">
        <w:rPr>
          <w:rFonts w:ascii="Cambria" w:hAnsi="Cambria"/>
          <w:bCs/>
          <w:sz w:val="20"/>
          <w:szCs w:val="20"/>
          <w:lang w:val="es-ES_tradnl"/>
        </w:rPr>
        <w:t xml:space="preserve"> delito de dolo equiparado a violación agravada en calidad de cómplice primaria del delito, </w:t>
      </w:r>
      <w:r w:rsidR="00693020" w:rsidRPr="00B434D5">
        <w:rPr>
          <w:rFonts w:ascii="Cambria" w:hAnsi="Cambria"/>
          <w:bCs/>
          <w:sz w:val="20"/>
          <w:szCs w:val="20"/>
          <w:lang w:val="es-ES_tradnl"/>
        </w:rPr>
        <w:t>imponiéndosele</w:t>
      </w:r>
      <w:r w:rsidR="00BA3B47" w:rsidRPr="00B434D5">
        <w:rPr>
          <w:rFonts w:ascii="Cambria" w:hAnsi="Cambria"/>
          <w:bCs/>
          <w:sz w:val="20"/>
          <w:szCs w:val="20"/>
          <w:lang w:val="es-ES_tradnl"/>
        </w:rPr>
        <w:t xml:space="preserve"> una pena pr</w:t>
      </w:r>
      <w:r w:rsidR="003B0D77" w:rsidRPr="00B434D5">
        <w:rPr>
          <w:rFonts w:ascii="Cambria" w:hAnsi="Cambria"/>
          <w:bCs/>
          <w:sz w:val="20"/>
          <w:szCs w:val="20"/>
          <w:lang w:val="es-ES_tradnl"/>
        </w:rPr>
        <w:t>ivativ</w:t>
      </w:r>
      <w:r w:rsidR="00693020" w:rsidRPr="00B434D5">
        <w:rPr>
          <w:rFonts w:ascii="Cambria" w:hAnsi="Cambria"/>
          <w:bCs/>
          <w:sz w:val="20"/>
          <w:szCs w:val="20"/>
          <w:lang w:val="es-ES_tradnl"/>
        </w:rPr>
        <w:t xml:space="preserve">a de la libertad </w:t>
      </w:r>
      <w:r w:rsidR="00B61819" w:rsidRPr="00B434D5">
        <w:rPr>
          <w:rFonts w:ascii="Cambria" w:hAnsi="Cambria"/>
          <w:bCs/>
          <w:sz w:val="20"/>
          <w:szCs w:val="20"/>
          <w:lang w:val="es-ES_tradnl"/>
        </w:rPr>
        <w:t>de</w:t>
      </w:r>
      <w:r w:rsidR="00693020" w:rsidRPr="00B434D5">
        <w:rPr>
          <w:rFonts w:ascii="Cambria" w:hAnsi="Cambria"/>
          <w:bCs/>
          <w:sz w:val="20"/>
          <w:szCs w:val="20"/>
          <w:lang w:val="es-ES_tradnl"/>
        </w:rPr>
        <w:t xml:space="preserve"> diez años</w:t>
      </w:r>
      <w:r w:rsidR="005C6D53" w:rsidRPr="00B434D5">
        <w:rPr>
          <w:rFonts w:ascii="Cambria" w:hAnsi="Cambria"/>
          <w:bCs/>
          <w:sz w:val="20"/>
          <w:szCs w:val="20"/>
          <w:lang w:val="es-ES_tradnl"/>
        </w:rPr>
        <w:t xml:space="preserve">, </w:t>
      </w:r>
      <w:r w:rsidR="005C6D53" w:rsidRPr="00B434D5">
        <w:rPr>
          <w:rFonts w:ascii="Cambria" w:hAnsi="Cambria"/>
          <w:sz w:val="20"/>
          <w:lang w:val="es-ES_tradnl"/>
        </w:rPr>
        <w:t xml:space="preserve">y </w:t>
      </w:r>
      <w:r w:rsidR="00D33D1B" w:rsidRPr="00B434D5">
        <w:rPr>
          <w:rFonts w:ascii="Cambria" w:hAnsi="Cambria"/>
          <w:sz w:val="20"/>
          <w:lang w:val="es-ES_tradnl"/>
        </w:rPr>
        <w:t>mientras que Gabriel Constantino y Adán Pére</w:t>
      </w:r>
      <w:r w:rsidR="00E52301" w:rsidRPr="00B434D5">
        <w:rPr>
          <w:rFonts w:ascii="Cambria" w:hAnsi="Cambria"/>
          <w:sz w:val="20"/>
          <w:lang w:val="es-ES_tradnl"/>
        </w:rPr>
        <w:t xml:space="preserve">z </w:t>
      </w:r>
      <w:r w:rsidR="006E59A3" w:rsidRPr="00B434D5">
        <w:rPr>
          <w:rFonts w:ascii="Cambria" w:hAnsi="Cambria"/>
          <w:sz w:val="20"/>
          <w:lang w:val="es-ES_tradnl"/>
        </w:rPr>
        <w:t>eran buscados en el país para que fueran juzgados luego de la emisión de orden de captura</w:t>
      </w:r>
      <w:r w:rsidR="006E59A3" w:rsidRPr="00B434D5">
        <w:rPr>
          <w:rFonts w:ascii="Cambria" w:hAnsi="Cambria"/>
          <w:bCs/>
          <w:sz w:val="20"/>
          <w:szCs w:val="20"/>
          <w:lang w:val="es-ES_tradnl"/>
        </w:rPr>
        <w:t>.</w:t>
      </w:r>
      <w:r w:rsidR="00D33D1B" w:rsidRPr="00B434D5">
        <w:rPr>
          <w:rFonts w:ascii="Cambria" w:hAnsi="Cambria"/>
          <w:bCs/>
          <w:sz w:val="20"/>
          <w:szCs w:val="20"/>
          <w:lang w:val="es-ES_tradnl"/>
        </w:rPr>
        <w:t xml:space="preserve"> </w:t>
      </w:r>
      <w:r w:rsidR="00D57F87" w:rsidRPr="00B434D5">
        <w:rPr>
          <w:rFonts w:ascii="Cambria" w:hAnsi="Cambria"/>
          <w:bCs/>
          <w:sz w:val="20"/>
          <w:szCs w:val="20"/>
          <w:lang w:val="es-ES_tradnl"/>
        </w:rPr>
        <w:t xml:space="preserve">Los peticionarios sostienen que </w:t>
      </w:r>
      <w:r w:rsidR="00693020" w:rsidRPr="00B434D5">
        <w:rPr>
          <w:rFonts w:ascii="Cambria" w:hAnsi="Cambria"/>
          <w:bCs/>
          <w:sz w:val="20"/>
          <w:szCs w:val="20"/>
          <w:lang w:val="es-ES_tradnl"/>
        </w:rPr>
        <w:t>esta</w:t>
      </w:r>
      <w:r w:rsidR="00D57F87" w:rsidRPr="00B434D5">
        <w:rPr>
          <w:rFonts w:ascii="Cambria" w:hAnsi="Cambria"/>
          <w:bCs/>
          <w:sz w:val="20"/>
          <w:szCs w:val="20"/>
          <w:lang w:val="es-ES_tradnl"/>
        </w:rPr>
        <w:t xml:space="preserve"> decisión fue apelada, y la pena reducida </w:t>
      </w:r>
      <w:r w:rsidR="00693020" w:rsidRPr="00B434D5">
        <w:rPr>
          <w:rFonts w:ascii="Cambria" w:hAnsi="Cambria"/>
          <w:bCs/>
          <w:sz w:val="20"/>
          <w:szCs w:val="20"/>
          <w:lang w:val="es-ES_tradnl"/>
        </w:rPr>
        <w:t xml:space="preserve">a seis años y ocho meses de prisión </w:t>
      </w:r>
      <w:r w:rsidR="00EC6413" w:rsidRPr="00B434D5">
        <w:rPr>
          <w:rFonts w:ascii="Cambria" w:hAnsi="Cambria"/>
          <w:bCs/>
          <w:sz w:val="20"/>
          <w:szCs w:val="20"/>
          <w:lang w:val="es-ES_tradnl"/>
        </w:rPr>
        <w:t xml:space="preserve">por </w:t>
      </w:r>
      <w:r w:rsidR="00FA0D5C" w:rsidRPr="00B434D5">
        <w:rPr>
          <w:rFonts w:ascii="Cambria" w:hAnsi="Cambria"/>
          <w:bCs/>
          <w:sz w:val="20"/>
          <w:szCs w:val="20"/>
          <w:lang w:val="es-ES_tradnl"/>
        </w:rPr>
        <w:t xml:space="preserve">la Tercera Sala del Tribunal Superior de Justicia </w:t>
      </w:r>
      <w:r w:rsidR="00EC6413" w:rsidRPr="00B434D5">
        <w:rPr>
          <w:rFonts w:ascii="Cambria" w:hAnsi="Cambria"/>
          <w:bCs/>
          <w:sz w:val="20"/>
          <w:szCs w:val="20"/>
          <w:lang w:val="es-ES_tradnl"/>
        </w:rPr>
        <w:t>de Oaxaca</w:t>
      </w:r>
      <w:r w:rsidR="00693020" w:rsidRPr="00B434D5">
        <w:rPr>
          <w:rFonts w:ascii="Cambria" w:hAnsi="Cambria"/>
          <w:bCs/>
          <w:sz w:val="20"/>
          <w:szCs w:val="20"/>
          <w:lang w:val="es-ES_tradnl"/>
        </w:rPr>
        <w:t>.</w:t>
      </w:r>
    </w:p>
    <w:p w:rsidR="00A84F0A" w:rsidRPr="00B434D5" w:rsidRDefault="00A84F0A" w:rsidP="001E3B44">
      <w:pPr>
        <w:jc w:val="both"/>
        <w:rPr>
          <w:rFonts w:ascii="Cambria" w:hAnsi="Cambria"/>
          <w:bCs/>
          <w:sz w:val="20"/>
          <w:szCs w:val="20"/>
          <w:lang w:val="es-ES_tradnl"/>
        </w:rPr>
      </w:pPr>
    </w:p>
    <w:p w:rsidR="00BE11BF" w:rsidRPr="00B434D5" w:rsidRDefault="005E41AD" w:rsidP="00CD1736">
      <w:pPr>
        <w:ind w:firstLine="720"/>
        <w:jc w:val="both"/>
        <w:rPr>
          <w:rFonts w:ascii="Cambria" w:hAnsi="Cambria"/>
          <w:bCs/>
          <w:sz w:val="20"/>
          <w:szCs w:val="20"/>
          <w:lang w:val="es-ES_tradnl"/>
        </w:rPr>
      </w:pPr>
      <w:r w:rsidRPr="00B434D5">
        <w:rPr>
          <w:rFonts w:ascii="Cambria" w:hAnsi="Cambria"/>
          <w:bCs/>
          <w:sz w:val="20"/>
          <w:szCs w:val="20"/>
          <w:lang w:val="es-ES_tradnl"/>
        </w:rPr>
        <w:t>6</w:t>
      </w:r>
      <w:r w:rsidR="00A84F0A" w:rsidRPr="00B434D5">
        <w:rPr>
          <w:rFonts w:ascii="Cambria" w:hAnsi="Cambria"/>
          <w:bCs/>
          <w:sz w:val="20"/>
          <w:szCs w:val="20"/>
          <w:lang w:val="es-ES_tradnl"/>
        </w:rPr>
        <w:t>.</w:t>
      </w:r>
      <w:r w:rsidR="00A84F0A" w:rsidRPr="00B434D5">
        <w:rPr>
          <w:rFonts w:ascii="Cambria" w:hAnsi="Cambria"/>
          <w:bCs/>
          <w:sz w:val="20"/>
          <w:szCs w:val="20"/>
          <w:lang w:val="es-ES_tradnl"/>
        </w:rPr>
        <w:tab/>
      </w:r>
      <w:r w:rsidR="00E32EA2" w:rsidRPr="00B434D5">
        <w:rPr>
          <w:rFonts w:ascii="Cambria" w:hAnsi="Cambria"/>
          <w:bCs/>
          <w:sz w:val="20"/>
          <w:szCs w:val="20"/>
          <w:lang w:val="es-ES_tradnl"/>
        </w:rPr>
        <w:t>Contra esta decisión</w:t>
      </w:r>
      <w:r w:rsidR="00994EA5" w:rsidRPr="00B434D5">
        <w:rPr>
          <w:rFonts w:ascii="Cambria" w:hAnsi="Cambria"/>
          <w:bCs/>
          <w:sz w:val="20"/>
          <w:szCs w:val="20"/>
          <w:lang w:val="es-ES_tradnl"/>
        </w:rPr>
        <w:t xml:space="preserve"> </w:t>
      </w:r>
      <w:r w:rsidR="00AC3FC5" w:rsidRPr="00B434D5">
        <w:rPr>
          <w:rFonts w:ascii="Cambria" w:hAnsi="Cambria"/>
          <w:bCs/>
          <w:sz w:val="20"/>
          <w:szCs w:val="20"/>
          <w:lang w:val="es-ES_tradnl"/>
        </w:rPr>
        <w:t xml:space="preserve">tanto </w:t>
      </w:r>
      <w:r w:rsidR="00A84F0A" w:rsidRPr="00B434D5">
        <w:rPr>
          <w:rFonts w:ascii="Cambria" w:hAnsi="Cambria"/>
          <w:bCs/>
          <w:sz w:val="20"/>
          <w:szCs w:val="20"/>
          <w:lang w:val="es-ES_tradnl"/>
        </w:rPr>
        <w:t xml:space="preserve">la </w:t>
      </w:r>
      <w:r w:rsidR="00E40AF3" w:rsidRPr="00B434D5">
        <w:rPr>
          <w:rFonts w:ascii="Cambria" w:hAnsi="Cambria"/>
          <w:bCs/>
          <w:sz w:val="20"/>
          <w:szCs w:val="20"/>
          <w:lang w:val="es-ES_tradnl"/>
        </w:rPr>
        <w:t xml:space="preserve">madre de la víctima </w:t>
      </w:r>
      <w:r w:rsidR="00994EA5" w:rsidRPr="00B434D5">
        <w:rPr>
          <w:rFonts w:ascii="Cambria" w:hAnsi="Cambria"/>
          <w:bCs/>
          <w:sz w:val="20"/>
          <w:szCs w:val="20"/>
          <w:lang w:val="es-ES_tradnl"/>
        </w:rPr>
        <w:t xml:space="preserve">como la </w:t>
      </w:r>
      <w:r w:rsidR="00A84F0A" w:rsidRPr="00B434D5">
        <w:rPr>
          <w:rFonts w:ascii="Cambria" w:hAnsi="Cambria"/>
          <w:bCs/>
          <w:sz w:val="20"/>
          <w:szCs w:val="20"/>
          <w:lang w:val="es-ES_tradnl"/>
        </w:rPr>
        <w:t>defensa de</w:t>
      </w:r>
      <w:r w:rsidRPr="00B434D5">
        <w:rPr>
          <w:rFonts w:ascii="Cambria" w:hAnsi="Cambria"/>
          <w:bCs/>
          <w:sz w:val="20"/>
          <w:szCs w:val="20"/>
          <w:lang w:val="es-ES_tradnl"/>
        </w:rPr>
        <w:t xml:space="preserve"> la condenada</w:t>
      </w:r>
      <w:r w:rsidR="00A84F0A" w:rsidRPr="00B434D5">
        <w:rPr>
          <w:rFonts w:ascii="Cambria" w:hAnsi="Cambria"/>
          <w:bCs/>
          <w:sz w:val="20"/>
          <w:szCs w:val="20"/>
          <w:lang w:val="es-ES_tradnl"/>
        </w:rPr>
        <w:t xml:space="preserve"> </w:t>
      </w:r>
      <w:r w:rsidR="00994EA5" w:rsidRPr="00B434D5">
        <w:rPr>
          <w:rFonts w:ascii="Cambria" w:hAnsi="Cambria"/>
          <w:bCs/>
          <w:sz w:val="20"/>
          <w:szCs w:val="20"/>
          <w:lang w:val="es-ES_tradnl"/>
        </w:rPr>
        <w:t>interpusieron recurso</w:t>
      </w:r>
      <w:r w:rsidR="00E40AF3" w:rsidRPr="00B434D5">
        <w:rPr>
          <w:rFonts w:ascii="Cambria" w:hAnsi="Cambria"/>
          <w:bCs/>
          <w:sz w:val="20"/>
          <w:szCs w:val="20"/>
          <w:lang w:val="es-ES_tradnl"/>
        </w:rPr>
        <w:t>s</w:t>
      </w:r>
      <w:r w:rsidR="00994EA5" w:rsidRPr="00B434D5">
        <w:rPr>
          <w:rFonts w:ascii="Cambria" w:hAnsi="Cambria"/>
          <w:bCs/>
          <w:sz w:val="20"/>
          <w:szCs w:val="20"/>
          <w:lang w:val="es-ES_tradnl"/>
        </w:rPr>
        <w:t xml:space="preserve"> de amparo directo</w:t>
      </w:r>
      <w:r w:rsidR="00E40AF3" w:rsidRPr="00B434D5">
        <w:rPr>
          <w:rFonts w:ascii="Cambria" w:hAnsi="Cambria"/>
          <w:bCs/>
          <w:sz w:val="20"/>
          <w:szCs w:val="20"/>
          <w:lang w:val="es-ES_tradnl"/>
        </w:rPr>
        <w:t>s</w:t>
      </w:r>
      <w:r w:rsidR="0044033B" w:rsidRPr="00B434D5">
        <w:rPr>
          <w:rFonts w:ascii="Cambria" w:hAnsi="Cambria"/>
          <w:bCs/>
          <w:sz w:val="20"/>
          <w:szCs w:val="20"/>
          <w:lang w:val="es-ES_tradnl"/>
        </w:rPr>
        <w:t xml:space="preserve"> </w:t>
      </w:r>
      <w:r w:rsidR="002A6BFF" w:rsidRPr="00B434D5">
        <w:rPr>
          <w:rFonts w:ascii="Cambria" w:hAnsi="Cambria"/>
          <w:bCs/>
          <w:sz w:val="20"/>
          <w:szCs w:val="20"/>
          <w:lang w:val="es-ES_tradnl"/>
        </w:rPr>
        <w:t>14/2010 y 15/2010</w:t>
      </w:r>
      <w:r w:rsidR="00924AB7" w:rsidRPr="00B434D5">
        <w:rPr>
          <w:rFonts w:ascii="Cambria" w:hAnsi="Cambria"/>
          <w:bCs/>
          <w:sz w:val="20"/>
          <w:szCs w:val="20"/>
          <w:lang w:val="es-ES_tradnl"/>
        </w:rPr>
        <w:t xml:space="preserve"> </w:t>
      </w:r>
      <w:r w:rsidR="0044033B" w:rsidRPr="00B434D5">
        <w:rPr>
          <w:rFonts w:ascii="Cambria" w:hAnsi="Cambria"/>
          <w:bCs/>
          <w:sz w:val="20"/>
          <w:szCs w:val="20"/>
          <w:lang w:val="es-ES_tradnl"/>
        </w:rPr>
        <w:t>–</w:t>
      </w:r>
      <w:r w:rsidR="00994EA5" w:rsidRPr="00B434D5">
        <w:rPr>
          <w:rFonts w:ascii="Cambria" w:hAnsi="Cambria"/>
          <w:bCs/>
          <w:sz w:val="20"/>
          <w:szCs w:val="20"/>
          <w:lang w:val="es-ES_tradnl"/>
        </w:rPr>
        <w:t>nuevamente atraído</w:t>
      </w:r>
      <w:r w:rsidR="00F30E8C" w:rsidRPr="00B434D5">
        <w:rPr>
          <w:rFonts w:ascii="Cambria" w:hAnsi="Cambria"/>
          <w:bCs/>
          <w:sz w:val="20"/>
          <w:szCs w:val="20"/>
          <w:lang w:val="es-ES_tradnl"/>
        </w:rPr>
        <w:t>s</w:t>
      </w:r>
      <w:r w:rsidR="00D46245" w:rsidRPr="00B434D5">
        <w:rPr>
          <w:rFonts w:ascii="Cambria" w:hAnsi="Cambria"/>
          <w:bCs/>
          <w:sz w:val="20"/>
          <w:szCs w:val="20"/>
          <w:lang w:val="es-ES_tradnl"/>
        </w:rPr>
        <w:t xml:space="preserve"> por la Primera Sala de la Suprema Corte de Justicia de la Nación</w:t>
      </w:r>
      <w:r w:rsidR="0044033B" w:rsidRPr="00B434D5">
        <w:rPr>
          <w:rFonts w:ascii="Cambria" w:hAnsi="Cambria"/>
          <w:bCs/>
          <w:sz w:val="20"/>
          <w:szCs w:val="20"/>
          <w:lang w:val="es-ES_tradnl"/>
        </w:rPr>
        <w:t>–</w:t>
      </w:r>
      <w:r w:rsidR="00CE476B" w:rsidRPr="00B434D5">
        <w:rPr>
          <w:rFonts w:ascii="Cambria" w:hAnsi="Cambria"/>
          <w:bCs/>
          <w:sz w:val="20"/>
          <w:szCs w:val="20"/>
          <w:lang w:val="es-ES_tradnl"/>
        </w:rPr>
        <w:t>,</w:t>
      </w:r>
      <w:r w:rsidR="00F30E8C" w:rsidRPr="00B434D5">
        <w:rPr>
          <w:rFonts w:ascii="Cambria" w:hAnsi="Cambria"/>
          <w:bCs/>
          <w:sz w:val="20"/>
          <w:szCs w:val="20"/>
          <w:lang w:val="es-ES_tradnl"/>
        </w:rPr>
        <w:t xml:space="preserve"> </w:t>
      </w:r>
      <w:r w:rsidR="00E40AF3" w:rsidRPr="00B434D5">
        <w:rPr>
          <w:rFonts w:ascii="Cambria" w:hAnsi="Cambria"/>
          <w:bCs/>
          <w:sz w:val="20"/>
          <w:szCs w:val="20"/>
          <w:lang w:val="es-ES_tradnl"/>
        </w:rPr>
        <w:t>y que ambos asuntos fueron conocidos por el Pleno de la Suprema Cort</w:t>
      </w:r>
      <w:r w:rsidR="00DA0B6F" w:rsidRPr="00B434D5">
        <w:rPr>
          <w:rFonts w:ascii="Cambria" w:hAnsi="Cambria"/>
          <w:bCs/>
          <w:sz w:val="20"/>
          <w:szCs w:val="20"/>
          <w:lang w:val="es-ES_tradnl"/>
        </w:rPr>
        <w:t>e</w:t>
      </w:r>
      <w:r w:rsidR="00E40AF3" w:rsidRPr="00B434D5">
        <w:rPr>
          <w:rFonts w:ascii="Cambria" w:hAnsi="Cambria"/>
          <w:bCs/>
          <w:sz w:val="20"/>
          <w:szCs w:val="20"/>
          <w:lang w:val="es-ES_tradnl"/>
        </w:rPr>
        <w:t xml:space="preserve"> de </w:t>
      </w:r>
      <w:r w:rsidR="00DA0B6F" w:rsidRPr="00B434D5">
        <w:rPr>
          <w:rFonts w:ascii="Cambria" w:hAnsi="Cambria"/>
          <w:bCs/>
          <w:sz w:val="20"/>
          <w:szCs w:val="20"/>
          <w:lang w:val="es-ES_tradnl"/>
        </w:rPr>
        <w:t xml:space="preserve">Justicia de la </w:t>
      </w:r>
      <w:r w:rsidR="0044033B" w:rsidRPr="00B434D5">
        <w:rPr>
          <w:rFonts w:ascii="Cambria" w:hAnsi="Cambria"/>
          <w:bCs/>
          <w:sz w:val="20"/>
          <w:szCs w:val="20"/>
          <w:lang w:val="es-ES_tradnl"/>
        </w:rPr>
        <w:t>Nación, tras un empate técnico</w:t>
      </w:r>
      <w:r w:rsidR="00CE476B" w:rsidRPr="00B434D5">
        <w:rPr>
          <w:rFonts w:ascii="Cambria" w:hAnsi="Cambria"/>
          <w:bCs/>
          <w:sz w:val="20"/>
          <w:szCs w:val="20"/>
          <w:lang w:val="es-ES_tradnl"/>
        </w:rPr>
        <w:t>; la cual,</w:t>
      </w:r>
      <w:r w:rsidR="00E92A57" w:rsidRPr="00B434D5">
        <w:rPr>
          <w:rFonts w:ascii="Cambria" w:hAnsi="Cambria"/>
          <w:bCs/>
          <w:sz w:val="20"/>
          <w:szCs w:val="20"/>
          <w:lang w:val="es-ES_tradnl"/>
        </w:rPr>
        <w:t xml:space="preserve"> </w:t>
      </w:r>
      <w:r w:rsidR="00BE11BF" w:rsidRPr="00B434D5">
        <w:rPr>
          <w:rFonts w:ascii="Cambria" w:hAnsi="Cambria"/>
          <w:bCs/>
          <w:sz w:val="20"/>
          <w:szCs w:val="20"/>
          <w:lang w:val="es-ES_tradnl"/>
        </w:rPr>
        <w:t xml:space="preserve">el 17 de mayo de 2011, otorgó el amparo de la justicia federal a </w:t>
      </w:r>
      <w:r w:rsidRPr="00B434D5">
        <w:rPr>
          <w:rFonts w:ascii="Cambria" w:hAnsi="Cambria"/>
          <w:bCs/>
          <w:sz w:val="20"/>
          <w:szCs w:val="20"/>
          <w:lang w:val="es-ES_tradnl"/>
        </w:rPr>
        <w:t>Magdalena</w:t>
      </w:r>
      <w:r w:rsidR="00BE11BF" w:rsidRPr="00B434D5">
        <w:rPr>
          <w:rFonts w:ascii="Cambria" w:hAnsi="Cambria"/>
          <w:bCs/>
          <w:sz w:val="20"/>
          <w:szCs w:val="20"/>
          <w:lang w:val="es-ES_tradnl"/>
        </w:rPr>
        <w:t xml:space="preserve"> García y ordenó su inmediata libe</w:t>
      </w:r>
      <w:r w:rsidR="001E3B44" w:rsidRPr="00B434D5">
        <w:rPr>
          <w:rFonts w:ascii="Cambria" w:hAnsi="Cambria"/>
          <w:bCs/>
          <w:sz w:val="20"/>
          <w:szCs w:val="20"/>
          <w:lang w:val="es-ES_tradnl"/>
        </w:rPr>
        <w:t>rtad</w:t>
      </w:r>
      <w:r w:rsidRPr="00B434D5">
        <w:rPr>
          <w:rFonts w:ascii="Cambria" w:hAnsi="Cambria"/>
          <w:bCs/>
          <w:sz w:val="20"/>
          <w:szCs w:val="20"/>
          <w:lang w:val="es-ES_tradnl"/>
        </w:rPr>
        <w:t xml:space="preserve">. Los peticionarios alegan que con esta decisión se ha negado el acceso a la justicia de </w:t>
      </w:r>
      <w:r w:rsidR="001E3B44" w:rsidRPr="00B434D5">
        <w:rPr>
          <w:rFonts w:ascii="Cambria" w:hAnsi="Cambria"/>
          <w:bCs/>
          <w:sz w:val="20"/>
          <w:szCs w:val="20"/>
          <w:lang w:val="es-ES_tradnl"/>
        </w:rPr>
        <w:t>L.F.G.V</w:t>
      </w:r>
      <w:r w:rsidRPr="00B434D5">
        <w:rPr>
          <w:rFonts w:ascii="Cambria" w:hAnsi="Cambria"/>
          <w:bCs/>
          <w:sz w:val="20"/>
          <w:szCs w:val="20"/>
          <w:lang w:val="es-ES_tradnl"/>
        </w:rPr>
        <w:t>.</w:t>
      </w:r>
      <w:r w:rsidR="00E92A57" w:rsidRPr="00B434D5">
        <w:rPr>
          <w:rFonts w:ascii="Cambria" w:hAnsi="Cambria"/>
          <w:bCs/>
          <w:sz w:val="20"/>
          <w:szCs w:val="20"/>
          <w:lang w:val="es-ES_tradnl"/>
        </w:rPr>
        <w:t xml:space="preserve"> y </w:t>
      </w:r>
      <w:r w:rsidRPr="00B434D5">
        <w:rPr>
          <w:rFonts w:ascii="Cambria" w:hAnsi="Cambria"/>
          <w:bCs/>
          <w:sz w:val="20"/>
          <w:szCs w:val="20"/>
          <w:lang w:val="es-ES_tradnl"/>
        </w:rPr>
        <w:t>su núcleo familia</w:t>
      </w:r>
      <w:r w:rsidR="001E3B44" w:rsidRPr="00B434D5">
        <w:rPr>
          <w:rFonts w:ascii="Cambria" w:hAnsi="Cambria"/>
          <w:bCs/>
          <w:sz w:val="20"/>
          <w:szCs w:val="20"/>
          <w:lang w:val="es-ES_tradnl"/>
        </w:rPr>
        <w:t xml:space="preserve">. </w:t>
      </w:r>
    </w:p>
    <w:p w:rsidR="001B3A99" w:rsidRPr="00B434D5" w:rsidRDefault="001B3A99" w:rsidP="00CD1736">
      <w:pPr>
        <w:ind w:firstLine="720"/>
        <w:jc w:val="both"/>
        <w:rPr>
          <w:rFonts w:ascii="Cambria" w:hAnsi="Cambria"/>
          <w:bCs/>
          <w:sz w:val="20"/>
          <w:szCs w:val="20"/>
          <w:lang w:val="es-ES_tradnl"/>
        </w:rPr>
      </w:pPr>
    </w:p>
    <w:p w:rsidR="00175657" w:rsidRPr="00B434D5" w:rsidRDefault="005E41AD" w:rsidP="001B3A99">
      <w:pPr>
        <w:ind w:firstLine="720"/>
        <w:jc w:val="both"/>
        <w:rPr>
          <w:rFonts w:ascii="Cambria" w:hAnsi="Cambria"/>
          <w:bCs/>
          <w:sz w:val="20"/>
          <w:szCs w:val="20"/>
          <w:lang w:val="es-ES_tradnl"/>
        </w:rPr>
      </w:pPr>
      <w:r w:rsidRPr="00B434D5">
        <w:rPr>
          <w:rFonts w:ascii="Cambria" w:hAnsi="Cambria"/>
          <w:bCs/>
          <w:sz w:val="20"/>
          <w:szCs w:val="20"/>
          <w:lang w:val="es-ES_tradnl"/>
        </w:rPr>
        <w:lastRenderedPageBreak/>
        <w:t>7</w:t>
      </w:r>
      <w:r w:rsidR="001B3A99" w:rsidRPr="00B434D5">
        <w:rPr>
          <w:rFonts w:ascii="Cambria" w:hAnsi="Cambria"/>
          <w:bCs/>
          <w:sz w:val="20"/>
          <w:szCs w:val="20"/>
          <w:lang w:val="es-ES_tradnl"/>
        </w:rPr>
        <w:t>.</w:t>
      </w:r>
      <w:r w:rsidR="001B3A99" w:rsidRPr="00B434D5">
        <w:rPr>
          <w:rFonts w:ascii="Cambria" w:hAnsi="Cambria"/>
          <w:bCs/>
          <w:sz w:val="20"/>
          <w:szCs w:val="20"/>
          <w:lang w:val="es-ES_tradnl"/>
        </w:rPr>
        <w:tab/>
        <w:t>Por su parte</w:t>
      </w:r>
      <w:r w:rsidR="00E7137D" w:rsidRPr="00B434D5">
        <w:rPr>
          <w:rFonts w:ascii="Cambria" w:hAnsi="Cambria"/>
          <w:bCs/>
          <w:sz w:val="20"/>
          <w:szCs w:val="20"/>
          <w:lang w:val="es-ES_tradnl"/>
        </w:rPr>
        <w:t>,</w:t>
      </w:r>
      <w:r w:rsidR="001B3A99" w:rsidRPr="00B434D5">
        <w:rPr>
          <w:rFonts w:ascii="Cambria" w:hAnsi="Cambria"/>
          <w:bCs/>
          <w:sz w:val="20"/>
          <w:szCs w:val="20"/>
          <w:lang w:val="es-ES_tradnl"/>
        </w:rPr>
        <w:t xml:space="preserve"> el Estado sostiene que la petición es inadmisible porque lo</w:t>
      </w:r>
      <w:r w:rsidR="001C1B63" w:rsidRPr="00B434D5">
        <w:rPr>
          <w:rFonts w:ascii="Cambria" w:hAnsi="Cambria"/>
          <w:bCs/>
          <w:sz w:val="20"/>
          <w:szCs w:val="20"/>
          <w:lang w:val="es-ES_tradnl"/>
        </w:rPr>
        <w:t>s</w:t>
      </w:r>
      <w:r w:rsidR="001B3A99" w:rsidRPr="00B434D5">
        <w:rPr>
          <w:rFonts w:ascii="Cambria" w:hAnsi="Cambria"/>
          <w:bCs/>
          <w:sz w:val="20"/>
          <w:szCs w:val="20"/>
          <w:lang w:val="es-ES_tradnl"/>
        </w:rPr>
        <w:t xml:space="preserve"> peticionarios pretenden que la Comisión actúe como</w:t>
      </w:r>
      <w:r w:rsidR="00E7137D" w:rsidRPr="00B434D5">
        <w:rPr>
          <w:rFonts w:ascii="Cambria" w:hAnsi="Cambria"/>
          <w:bCs/>
          <w:sz w:val="20"/>
          <w:szCs w:val="20"/>
          <w:lang w:val="es-ES_tradnl"/>
        </w:rPr>
        <w:t xml:space="preserve"> lo que califica, o da en llamar, “</w:t>
      </w:r>
      <w:r w:rsidR="001B3A99" w:rsidRPr="00B434D5">
        <w:rPr>
          <w:rFonts w:ascii="Cambria" w:hAnsi="Cambria"/>
          <w:bCs/>
          <w:sz w:val="20"/>
          <w:szCs w:val="20"/>
          <w:lang w:val="es-ES_tradnl"/>
        </w:rPr>
        <w:t>una cuarta instancia</w:t>
      </w:r>
      <w:r w:rsidR="00E7137D" w:rsidRPr="00B434D5">
        <w:rPr>
          <w:rFonts w:ascii="Cambria" w:hAnsi="Cambria"/>
          <w:bCs/>
          <w:sz w:val="20"/>
          <w:szCs w:val="20"/>
          <w:lang w:val="es-ES_tradnl"/>
        </w:rPr>
        <w:t>”</w:t>
      </w:r>
      <w:r w:rsidR="00495D1E" w:rsidRPr="00B434D5">
        <w:rPr>
          <w:rFonts w:ascii="Cambria" w:hAnsi="Cambria"/>
          <w:bCs/>
          <w:sz w:val="20"/>
          <w:szCs w:val="20"/>
          <w:lang w:val="es-ES_tradnl"/>
        </w:rPr>
        <w:t xml:space="preserve"> para que revise las actuaciones judiciales internas</w:t>
      </w:r>
      <w:r w:rsidR="009A0411" w:rsidRPr="00B434D5">
        <w:rPr>
          <w:rFonts w:ascii="Cambria" w:hAnsi="Cambria"/>
          <w:bCs/>
          <w:sz w:val="20"/>
          <w:szCs w:val="20"/>
          <w:lang w:val="es-ES_tradnl"/>
        </w:rPr>
        <w:t xml:space="preserve">. </w:t>
      </w:r>
    </w:p>
    <w:p w:rsidR="00175657" w:rsidRPr="00B434D5" w:rsidRDefault="00175657" w:rsidP="001B3A99">
      <w:pPr>
        <w:ind w:firstLine="720"/>
        <w:jc w:val="both"/>
        <w:rPr>
          <w:rFonts w:ascii="Cambria" w:hAnsi="Cambria"/>
          <w:bCs/>
          <w:sz w:val="20"/>
          <w:szCs w:val="20"/>
          <w:lang w:val="es-ES_tradnl"/>
        </w:rPr>
      </w:pPr>
    </w:p>
    <w:p w:rsidR="00652BCC" w:rsidRPr="00B434D5" w:rsidRDefault="00E7137D" w:rsidP="00A54EF4">
      <w:pPr>
        <w:ind w:firstLine="720"/>
        <w:jc w:val="both"/>
        <w:rPr>
          <w:rFonts w:ascii="Cambria" w:hAnsi="Cambria"/>
          <w:bCs/>
          <w:sz w:val="20"/>
          <w:szCs w:val="20"/>
          <w:lang w:val="es-ES_tradnl"/>
        </w:rPr>
      </w:pPr>
      <w:r w:rsidRPr="00B434D5">
        <w:rPr>
          <w:rFonts w:ascii="Cambria" w:hAnsi="Cambria"/>
          <w:bCs/>
          <w:sz w:val="20"/>
          <w:szCs w:val="20"/>
          <w:lang w:val="es-ES_tradnl"/>
        </w:rPr>
        <w:t>8</w:t>
      </w:r>
      <w:r w:rsidR="00175657" w:rsidRPr="00B434D5">
        <w:rPr>
          <w:rFonts w:ascii="Cambria" w:hAnsi="Cambria"/>
          <w:bCs/>
          <w:sz w:val="20"/>
          <w:szCs w:val="20"/>
          <w:lang w:val="es-ES_tradnl"/>
        </w:rPr>
        <w:t>.</w:t>
      </w:r>
      <w:r w:rsidR="00175657" w:rsidRPr="00B434D5">
        <w:rPr>
          <w:rFonts w:ascii="Cambria" w:hAnsi="Cambria"/>
          <w:bCs/>
          <w:sz w:val="20"/>
          <w:szCs w:val="20"/>
          <w:lang w:val="es-ES_tradnl"/>
        </w:rPr>
        <w:tab/>
      </w:r>
      <w:r w:rsidR="00495D1E" w:rsidRPr="00B434D5">
        <w:rPr>
          <w:rFonts w:ascii="Cambria" w:hAnsi="Cambria"/>
          <w:bCs/>
          <w:sz w:val="20"/>
          <w:szCs w:val="20"/>
          <w:lang w:val="es-ES_tradnl"/>
        </w:rPr>
        <w:t xml:space="preserve">México </w:t>
      </w:r>
      <w:r w:rsidR="009A0411" w:rsidRPr="00B434D5">
        <w:rPr>
          <w:rFonts w:ascii="Cambria" w:hAnsi="Cambria"/>
          <w:bCs/>
          <w:sz w:val="20"/>
          <w:szCs w:val="20"/>
          <w:lang w:val="es-ES_tradnl"/>
        </w:rPr>
        <w:t>aduce</w:t>
      </w:r>
      <w:r w:rsidR="00495D1E" w:rsidRPr="00B434D5">
        <w:rPr>
          <w:rFonts w:ascii="Cambria" w:hAnsi="Cambria"/>
          <w:bCs/>
          <w:sz w:val="20"/>
          <w:szCs w:val="20"/>
          <w:lang w:val="es-ES_tradnl"/>
        </w:rPr>
        <w:t xml:space="preserve"> además </w:t>
      </w:r>
      <w:r w:rsidR="00DD571D" w:rsidRPr="00B434D5">
        <w:rPr>
          <w:rFonts w:ascii="Cambria" w:hAnsi="Cambria"/>
          <w:bCs/>
          <w:sz w:val="20"/>
          <w:szCs w:val="20"/>
          <w:lang w:val="es-ES_tradnl"/>
        </w:rPr>
        <w:t>que</w:t>
      </w:r>
      <w:r w:rsidR="00535619" w:rsidRPr="00B434D5">
        <w:rPr>
          <w:rFonts w:ascii="Cambria" w:hAnsi="Cambria"/>
          <w:bCs/>
          <w:sz w:val="20"/>
          <w:szCs w:val="20"/>
          <w:lang w:val="es-ES_tradnl"/>
        </w:rPr>
        <w:t xml:space="preserve"> al 14 de octubre de 2011</w:t>
      </w:r>
      <w:r w:rsidR="00AC52C7" w:rsidRPr="00B434D5">
        <w:rPr>
          <w:rFonts w:ascii="Cambria" w:hAnsi="Cambria"/>
          <w:bCs/>
          <w:sz w:val="20"/>
          <w:szCs w:val="20"/>
          <w:lang w:val="es-ES_tradnl"/>
        </w:rPr>
        <w:t xml:space="preserve">, </w:t>
      </w:r>
      <w:r w:rsidR="00535619" w:rsidRPr="00B434D5">
        <w:rPr>
          <w:rFonts w:ascii="Cambria" w:hAnsi="Cambria"/>
          <w:bCs/>
          <w:sz w:val="20"/>
          <w:szCs w:val="20"/>
          <w:lang w:val="es-ES_tradnl"/>
        </w:rPr>
        <w:t xml:space="preserve">fecha de presentación </w:t>
      </w:r>
      <w:r w:rsidR="00495D1E" w:rsidRPr="00B434D5">
        <w:rPr>
          <w:rFonts w:ascii="Cambria" w:hAnsi="Cambria"/>
          <w:bCs/>
          <w:sz w:val="20"/>
          <w:szCs w:val="20"/>
          <w:lang w:val="es-ES_tradnl"/>
        </w:rPr>
        <w:t>de la petición</w:t>
      </w:r>
      <w:r w:rsidR="00AC52C7" w:rsidRPr="00B434D5">
        <w:rPr>
          <w:rFonts w:ascii="Cambria" w:hAnsi="Cambria"/>
          <w:bCs/>
          <w:sz w:val="20"/>
          <w:szCs w:val="20"/>
          <w:lang w:val="es-ES_tradnl"/>
        </w:rPr>
        <w:t>,</w:t>
      </w:r>
      <w:r w:rsidR="00D75496" w:rsidRPr="00B434D5">
        <w:rPr>
          <w:rFonts w:ascii="Cambria" w:hAnsi="Cambria"/>
          <w:bCs/>
          <w:sz w:val="20"/>
          <w:szCs w:val="20"/>
          <w:lang w:val="es-ES_tradnl"/>
        </w:rPr>
        <w:t xml:space="preserve"> no</w:t>
      </w:r>
      <w:r w:rsidR="00535619" w:rsidRPr="00B434D5">
        <w:rPr>
          <w:rFonts w:ascii="Cambria" w:hAnsi="Cambria"/>
          <w:bCs/>
          <w:sz w:val="20"/>
          <w:szCs w:val="20"/>
          <w:lang w:val="es-ES_tradnl"/>
        </w:rPr>
        <w:t xml:space="preserve"> se habían agotado los recursos internos</w:t>
      </w:r>
      <w:r w:rsidR="00D75496" w:rsidRPr="00B434D5">
        <w:rPr>
          <w:rFonts w:ascii="Cambria" w:hAnsi="Cambria"/>
          <w:bCs/>
          <w:sz w:val="20"/>
          <w:szCs w:val="20"/>
          <w:lang w:val="es-ES_tradnl"/>
        </w:rPr>
        <w:t xml:space="preserve"> con </w:t>
      </w:r>
      <w:r w:rsidR="00906BFE" w:rsidRPr="00B434D5">
        <w:rPr>
          <w:rFonts w:ascii="Cambria" w:hAnsi="Cambria"/>
          <w:bCs/>
          <w:sz w:val="20"/>
          <w:szCs w:val="20"/>
          <w:lang w:val="es-ES_tradnl"/>
        </w:rPr>
        <w:t xml:space="preserve">respecto a </w:t>
      </w:r>
      <w:r w:rsidR="00D75496" w:rsidRPr="00B434D5">
        <w:rPr>
          <w:rFonts w:ascii="Cambria" w:hAnsi="Cambria"/>
          <w:bCs/>
          <w:sz w:val="20"/>
          <w:szCs w:val="20"/>
          <w:lang w:val="es-ES_tradnl"/>
        </w:rPr>
        <w:t xml:space="preserve">las órdenes de </w:t>
      </w:r>
      <w:r w:rsidR="00906BFE" w:rsidRPr="00B434D5">
        <w:rPr>
          <w:rFonts w:ascii="Cambria" w:hAnsi="Cambria"/>
          <w:bCs/>
          <w:sz w:val="20"/>
          <w:szCs w:val="20"/>
          <w:lang w:val="es-ES_tradnl"/>
        </w:rPr>
        <w:t>aprehensión</w:t>
      </w:r>
      <w:r w:rsidR="00D75496" w:rsidRPr="00B434D5">
        <w:rPr>
          <w:rFonts w:ascii="Cambria" w:hAnsi="Cambria"/>
          <w:bCs/>
          <w:sz w:val="20"/>
          <w:szCs w:val="20"/>
          <w:lang w:val="es-ES_tradnl"/>
        </w:rPr>
        <w:t xml:space="preserve"> de </w:t>
      </w:r>
      <w:r w:rsidR="0079713A" w:rsidRPr="00B434D5">
        <w:rPr>
          <w:rFonts w:ascii="Cambria" w:hAnsi="Cambria"/>
          <w:bCs/>
          <w:sz w:val="20"/>
          <w:szCs w:val="20"/>
          <w:lang w:val="es-ES_tradnl"/>
        </w:rPr>
        <w:t xml:space="preserve">Gabriel Constantino y Adán Pérez </w:t>
      </w:r>
      <w:r w:rsidR="00B51F89" w:rsidRPr="00B434D5">
        <w:rPr>
          <w:rFonts w:ascii="Cambria" w:hAnsi="Cambria"/>
          <w:bCs/>
          <w:sz w:val="20"/>
          <w:szCs w:val="20"/>
          <w:lang w:val="es-ES_tradnl"/>
        </w:rPr>
        <w:t xml:space="preserve">porque: (i) </w:t>
      </w:r>
      <w:r w:rsidR="00886C14" w:rsidRPr="00B434D5">
        <w:rPr>
          <w:rFonts w:ascii="Cambria" w:hAnsi="Cambria"/>
          <w:bCs/>
          <w:sz w:val="20"/>
          <w:szCs w:val="20"/>
          <w:lang w:val="es-ES_tradnl"/>
        </w:rPr>
        <w:t xml:space="preserve">el 1 de octubre de 2007, la Procuraduría General de Justicia de Oaxaca, solicitó colaboración de todas las </w:t>
      </w:r>
      <w:r w:rsidR="00632D41" w:rsidRPr="00B434D5">
        <w:rPr>
          <w:rFonts w:ascii="Cambria" w:hAnsi="Cambria"/>
          <w:bCs/>
          <w:sz w:val="20"/>
          <w:szCs w:val="20"/>
          <w:lang w:val="es-ES_tradnl"/>
        </w:rPr>
        <w:t xml:space="preserve">Procuradurías de México, así como Procuraduría General de Justicia de la </w:t>
      </w:r>
      <w:r w:rsidR="00886C14" w:rsidRPr="00B434D5">
        <w:rPr>
          <w:rFonts w:ascii="Cambria" w:hAnsi="Cambria"/>
          <w:bCs/>
          <w:sz w:val="20"/>
          <w:szCs w:val="20"/>
          <w:lang w:val="es-ES_tradnl"/>
        </w:rPr>
        <w:t xml:space="preserve">República y </w:t>
      </w:r>
      <w:r w:rsidR="00632D41" w:rsidRPr="00B434D5">
        <w:rPr>
          <w:rFonts w:ascii="Cambria" w:hAnsi="Cambria"/>
          <w:bCs/>
          <w:sz w:val="20"/>
          <w:szCs w:val="20"/>
          <w:lang w:val="es-ES_tradnl"/>
        </w:rPr>
        <w:t xml:space="preserve">de </w:t>
      </w:r>
      <w:r w:rsidR="00886C14" w:rsidRPr="00B434D5">
        <w:rPr>
          <w:rFonts w:ascii="Cambria" w:hAnsi="Cambria"/>
          <w:bCs/>
          <w:sz w:val="20"/>
          <w:szCs w:val="20"/>
          <w:lang w:val="es-ES_tradnl"/>
        </w:rPr>
        <w:t>la Organización Internacional de la Policía Criminal (INTERPOL</w:t>
      </w:r>
      <w:r w:rsidR="00632D41" w:rsidRPr="00B434D5">
        <w:rPr>
          <w:rFonts w:ascii="Cambria" w:hAnsi="Cambria"/>
          <w:bCs/>
          <w:sz w:val="20"/>
          <w:szCs w:val="20"/>
          <w:lang w:val="es-ES_tradnl"/>
        </w:rPr>
        <w:t>), con el fin de ejecutar las órdenes de aprehensión</w:t>
      </w:r>
      <w:r w:rsidR="00B51F89" w:rsidRPr="00B434D5">
        <w:rPr>
          <w:rFonts w:ascii="Cambria" w:hAnsi="Cambria"/>
          <w:bCs/>
          <w:sz w:val="20"/>
          <w:szCs w:val="20"/>
          <w:lang w:val="es-ES_tradnl"/>
        </w:rPr>
        <w:t xml:space="preserve">, (ii) </w:t>
      </w:r>
      <w:r w:rsidR="00E03B24" w:rsidRPr="00B434D5">
        <w:rPr>
          <w:rFonts w:ascii="Cambria" w:hAnsi="Cambria"/>
          <w:bCs/>
          <w:sz w:val="20"/>
          <w:szCs w:val="20"/>
          <w:lang w:val="es-ES_tradnl"/>
        </w:rPr>
        <w:t xml:space="preserve">12 de octubre de 2012, </w:t>
      </w:r>
      <w:r w:rsidR="00DA0E0E" w:rsidRPr="00B434D5">
        <w:rPr>
          <w:rFonts w:ascii="Cambria" w:hAnsi="Cambria"/>
          <w:bCs/>
          <w:sz w:val="20"/>
          <w:szCs w:val="20"/>
          <w:lang w:val="es-ES_tradnl"/>
        </w:rPr>
        <w:t>se notificó a la Procuraduría General de Justicia de Oaxaca la captura d</w:t>
      </w:r>
      <w:r w:rsidR="0079713A" w:rsidRPr="00B434D5">
        <w:rPr>
          <w:rFonts w:ascii="Cambria" w:hAnsi="Cambria"/>
          <w:bCs/>
          <w:sz w:val="20"/>
          <w:szCs w:val="20"/>
          <w:lang w:val="es-ES_tradnl"/>
        </w:rPr>
        <w:t>e Gabriel</w:t>
      </w:r>
      <w:r w:rsidR="00DA0E0E" w:rsidRPr="00B434D5">
        <w:rPr>
          <w:rFonts w:ascii="Cambria" w:hAnsi="Cambria"/>
          <w:bCs/>
          <w:sz w:val="20"/>
          <w:szCs w:val="20"/>
          <w:lang w:val="es-ES_tradnl"/>
        </w:rPr>
        <w:t xml:space="preserve"> Constantino, que fue puesto a disposición del Juzgado Tercero en Materia Penal del Distrito Judicial del Centro</w:t>
      </w:r>
      <w:r w:rsidR="00B51F89" w:rsidRPr="00B434D5">
        <w:rPr>
          <w:rFonts w:ascii="Cambria" w:hAnsi="Cambria"/>
          <w:bCs/>
          <w:sz w:val="20"/>
          <w:szCs w:val="20"/>
          <w:lang w:val="es-ES_tradnl"/>
        </w:rPr>
        <w:t>,</w:t>
      </w:r>
      <w:r w:rsidR="00A24E8C" w:rsidRPr="00B434D5">
        <w:rPr>
          <w:rFonts w:ascii="Cambria" w:hAnsi="Cambria"/>
          <w:bCs/>
          <w:sz w:val="20"/>
          <w:szCs w:val="20"/>
          <w:lang w:val="es-ES_tradnl"/>
        </w:rPr>
        <w:t xml:space="preserve"> </w:t>
      </w:r>
      <w:r w:rsidR="00A24E8C" w:rsidRPr="00B434D5">
        <w:rPr>
          <w:rFonts w:ascii="Cambria" w:hAnsi="Cambria"/>
          <w:sz w:val="20"/>
          <w:lang w:val="es-ES_tradnl"/>
        </w:rPr>
        <w:t xml:space="preserve">Oaxaca </w:t>
      </w:r>
      <w:r w:rsidR="00B51F89" w:rsidRPr="00B434D5">
        <w:rPr>
          <w:rFonts w:ascii="Cambria" w:hAnsi="Cambria"/>
          <w:bCs/>
          <w:sz w:val="20"/>
          <w:szCs w:val="20"/>
          <w:lang w:val="es-ES_tradnl"/>
        </w:rPr>
        <w:t xml:space="preserve">y (iii) </w:t>
      </w:r>
      <w:r w:rsidR="00F31AF6" w:rsidRPr="00B434D5">
        <w:rPr>
          <w:rFonts w:ascii="Cambria" w:hAnsi="Cambria"/>
          <w:bCs/>
          <w:sz w:val="20"/>
          <w:szCs w:val="20"/>
          <w:lang w:val="es-ES_tradnl"/>
        </w:rPr>
        <w:t xml:space="preserve">el 3 de junio del 2013 </w:t>
      </w:r>
      <w:r w:rsidR="0079713A" w:rsidRPr="00B434D5">
        <w:rPr>
          <w:rFonts w:ascii="Cambria" w:hAnsi="Cambria"/>
          <w:bCs/>
          <w:sz w:val="20"/>
          <w:szCs w:val="20"/>
          <w:lang w:val="es-ES_tradnl"/>
        </w:rPr>
        <w:t>Adán</w:t>
      </w:r>
      <w:r w:rsidR="00F31AF6" w:rsidRPr="00B434D5">
        <w:rPr>
          <w:rFonts w:ascii="Cambria" w:hAnsi="Cambria"/>
          <w:bCs/>
          <w:sz w:val="20"/>
          <w:szCs w:val="20"/>
          <w:lang w:val="es-ES_tradnl"/>
        </w:rPr>
        <w:t xml:space="preserve"> Pérez compareció voluntariamente ante el mismo juzgado, el cual decretó su detención el mismo día y ordenó el ingreso a la </w:t>
      </w:r>
      <w:r w:rsidR="001F3856" w:rsidRPr="00B434D5">
        <w:rPr>
          <w:rFonts w:ascii="Cambria" w:hAnsi="Cambria"/>
          <w:bCs/>
          <w:sz w:val="20"/>
          <w:szCs w:val="20"/>
          <w:lang w:val="es-ES_tradnl"/>
        </w:rPr>
        <w:t>Penitenciaría</w:t>
      </w:r>
      <w:r w:rsidR="00F31AF6" w:rsidRPr="00B434D5">
        <w:rPr>
          <w:rFonts w:ascii="Cambria" w:hAnsi="Cambria"/>
          <w:bCs/>
          <w:sz w:val="20"/>
          <w:szCs w:val="20"/>
          <w:lang w:val="es-ES_tradnl"/>
        </w:rPr>
        <w:t xml:space="preserve"> Central del </w:t>
      </w:r>
      <w:r w:rsidR="002E0E64" w:rsidRPr="00B434D5">
        <w:rPr>
          <w:rFonts w:ascii="Cambria" w:hAnsi="Cambria"/>
          <w:bCs/>
          <w:sz w:val="20"/>
          <w:szCs w:val="20"/>
          <w:lang w:val="es-ES_tradnl"/>
        </w:rPr>
        <w:t>E</w:t>
      </w:r>
      <w:r w:rsidR="00F31AF6" w:rsidRPr="00B434D5">
        <w:rPr>
          <w:rFonts w:ascii="Cambria" w:hAnsi="Cambria"/>
          <w:bCs/>
          <w:sz w:val="20"/>
          <w:szCs w:val="20"/>
          <w:lang w:val="es-ES_tradnl"/>
        </w:rPr>
        <w:t xml:space="preserve">stado. </w:t>
      </w:r>
    </w:p>
    <w:p w:rsidR="00B51F89" w:rsidRPr="00B434D5" w:rsidRDefault="00B51F89" w:rsidP="001B3A99">
      <w:pPr>
        <w:ind w:firstLine="720"/>
        <w:jc w:val="both"/>
        <w:rPr>
          <w:rFonts w:ascii="Cambria" w:hAnsi="Cambria"/>
          <w:bCs/>
          <w:sz w:val="20"/>
          <w:szCs w:val="20"/>
          <w:lang w:val="es-ES_tradnl"/>
        </w:rPr>
      </w:pPr>
    </w:p>
    <w:p w:rsidR="00D46245" w:rsidRPr="00B434D5" w:rsidRDefault="0079713A" w:rsidP="0079713A">
      <w:pPr>
        <w:ind w:firstLine="720"/>
        <w:jc w:val="both"/>
        <w:rPr>
          <w:rFonts w:ascii="Cambria" w:hAnsi="Cambria"/>
          <w:bCs/>
          <w:sz w:val="20"/>
          <w:szCs w:val="20"/>
          <w:lang w:val="es-ES_tradnl"/>
        </w:rPr>
      </w:pPr>
      <w:r w:rsidRPr="00B434D5">
        <w:rPr>
          <w:rFonts w:ascii="Cambria" w:hAnsi="Cambria"/>
          <w:bCs/>
          <w:sz w:val="20"/>
          <w:szCs w:val="20"/>
          <w:lang w:val="es-ES_tradnl"/>
        </w:rPr>
        <w:t>9</w:t>
      </w:r>
      <w:r w:rsidR="00652BCC" w:rsidRPr="00B434D5">
        <w:rPr>
          <w:rFonts w:ascii="Cambria" w:hAnsi="Cambria"/>
          <w:bCs/>
          <w:sz w:val="20"/>
          <w:szCs w:val="20"/>
          <w:lang w:val="es-ES_tradnl"/>
        </w:rPr>
        <w:t>.</w:t>
      </w:r>
      <w:r w:rsidR="00652BCC" w:rsidRPr="00B434D5">
        <w:rPr>
          <w:rFonts w:ascii="Cambria" w:hAnsi="Cambria"/>
          <w:bCs/>
          <w:sz w:val="20"/>
          <w:szCs w:val="20"/>
          <w:lang w:val="es-ES_tradnl"/>
        </w:rPr>
        <w:tab/>
      </w:r>
      <w:r w:rsidR="002E0E64" w:rsidRPr="00B434D5">
        <w:rPr>
          <w:rFonts w:ascii="Cambria" w:hAnsi="Cambria"/>
          <w:bCs/>
          <w:sz w:val="20"/>
          <w:szCs w:val="20"/>
          <w:lang w:val="es-ES_tradnl"/>
        </w:rPr>
        <w:t>El Estado sostiene que luego de la aprehensión</w:t>
      </w:r>
      <w:r w:rsidR="00B51F89" w:rsidRPr="00B434D5">
        <w:rPr>
          <w:rFonts w:ascii="Cambria" w:hAnsi="Cambria"/>
          <w:bCs/>
          <w:sz w:val="20"/>
          <w:szCs w:val="20"/>
          <w:lang w:val="es-ES_tradnl"/>
        </w:rPr>
        <w:t xml:space="preserve"> </w:t>
      </w:r>
      <w:r w:rsidRPr="00B434D5">
        <w:rPr>
          <w:rFonts w:ascii="Cambria" w:hAnsi="Cambria"/>
          <w:bCs/>
          <w:sz w:val="20"/>
          <w:szCs w:val="20"/>
          <w:lang w:val="es-ES_tradnl"/>
        </w:rPr>
        <w:t xml:space="preserve">de los presuntos autores materiales </w:t>
      </w:r>
      <w:r w:rsidR="002E0E64" w:rsidRPr="00B434D5">
        <w:rPr>
          <w:rFonts w:ascii="Cambria" w:hAnsi="Cambria"/>
          <w:bCs/>
          <w:sz w:val="20"/>
          <w:szCs w:val="20"/>
          <w:lang w:val="es-ES_tradnl"/>
        </w:rPr>
        <w:t>el Juez Tercero de lo Penal del Distrito Judicial del Centro</w:t>
      </w:r>
      <w:r w:rsidR="0096001F" w:rsidRPr="00B434D5">
        <w:rPr>
          <w:rFonts w:ascii="Cambria" w:hAnsi="Cambria"/>
          <w:bCs/>
          <w:sz w:val="20"/>
          <w:szCs w:val="20"/>
          <w:lang w:val="es-ES_tradnl"/>
        </w:rPr>
        <w:t xml:space="preserve">, </w:t>
      </w:r>
      <w:r w:rsidR="0096001F" w:rsidRPr="00B434D5">
        <w:rPr>
          <w:rFonts w:ascii="Cambria" w:hAnsi="Cambria"/>
          <w:sz w:val="20"/>
          <w:lang w:val="es-ES_tradnl"/>
        </w:rPr>
        <w:t>Oaxaca</w:t>
      </w:r>
      <w:r w:rsidR="00B5694F" w:rsidRPr="00B434D5">
        <w:rPr>
          <w:rFonts w:ascii="Cambria" w:hAnsi="Cambria"/>
          <w:bCs/>
          <w:sz w:val="20"/>
          <w:szCs w:val="20"/>
          <w:lang w:val="es-ES_tradnl"/>
        </w:rPr>
        <w:t>,</w:t>
      </w:r>
      <w:r w:rsidR="0096001F" w:rsidRPr="00B434D5">
        <w:rPr>
          <w:rFonts w:ascii="Cambria" w:hAnsi="Cambria"/>
          <w:bCs/>
          <w:sz w:val="20"/>
          <w:szCs w:val="20"/>
          <w:lang w:val="es-ES_tradnl"/>
        </w:rPr>
        <w:t xml:space="preserve"> </w:t>
      </w:r>
      <w:r w:rsidR="002E0E64" w:rsidRPr="00B434D5">
        <w:rPr>
          <w:rFonts w:ascii="Cambria" w:hAnsi="Cambria"/>
          <w:bCs/>
          <w:sz w:val="20"/>
          <w:szCs w:val="20"/>
          <w:lang w:val="es-ES_tradnl"/>
        </w:rPr>
        <w:t xml:space="preserve">determinó </w:t>
      </w:r>
      <w:r w:rsidR="00B51F89" w:rsidRPr="00B434D5">
        <w:rPr>
          <w:rFonts w:ascii="Cambria" w:hAnsi="Cambria"/>
          <w:bCs/>
          <w:sz w:val="20"/>
          <w:szCs w:val="20"/>
          <w:lang w:val="es-ES_tradnl"/>
        </w:rPr>
        <w:t>su</w:t>
      </w:r>
      <w:r w:rsidR="002E0E64" w:rsidRPr="00B434D5">
        <w:rPr>
          <w:rFonts w:ascii="Cambria" w:hAnsi="Cambria"/>
          <w:bCs/>
          <w:sz w:val="20"/>
          <w:szCs w:val="20"/>
          <w:lang w:val="es-ES_tradnl"/>
        </w:rPr>
        <w:t xml:space="preserve"> libertad </w:t>
      </w:r>
      <w:r w:rsidR="00652BCC" w:rsidRPr="00B434D5">
        <w:rPr>
          <w:rFonts w:ascii="Cambria" w:hAnsi="Cambria"/>
          <w:bCs/>
          <w:sz w:val="20"/>
          <w:szCs w:val="20"/>
          <w:lang w:val="es-ES_tradnl"/>
        </w:rPr>
        <w:t xml:space="preserve">en virtud de la falta de elementos para </w:t>
      </w:r>
      <w:r w:rsidRPr="00B434D5">
        <w:rPr>
          <w:rFonts w:ascii="Cambria" w:hAnsi="Cambria"/>
          <w:bCs/>
          <w:sz w:val="20"/>
          <w:szCs w:val="20"/>
          <w:lang w:val="es-ES_tradnl"/>
        </w:rPr>
        <w:t>procesarlos;</w:t>
      </w:r>
      <w:r w:rsidR="00652BCC" w:rsidRPr="00B434D5">
        <w:rPr>
          <w:rFonts w:ascii="Cambria" w:hAnsi="Cambria"/>
          <w:bCs/>
          <w:sz w:val="20"/>
          <w:szCs w:val="20"/>
          <w:lang w:val="es-ES_tradnl"/>
        </w:rPr>
        <w:t xml:space="preserve"> </w:t>
      </w:r>
      <w:r w:rsidR="00B51F89" w:rsidRPr="00B434D5">
        <w:rPr>
          <w:rFonts w:ascii="Cambria" w:hAnsi="Cambria"/>
          <w:bCs/>
          <w:sz w:val="20"/>
          <w:szCs w:val="20"/>
          <w:lang w:val="es-ES_tradnl"/>
        </w:rPr>
        <w:t xml:space="preserve">sin embargo, </w:t>
      </w:r>
      <w:r w:rsidR="00652BCC" w:rsidRPr="00B434D5">
        <w:rPr>
          <w:rFonts w:ascii="Cambria" w:hAnsi="Cambria"/>
          <w:bCs/>
          <w:sz w:val="20"/>
          <w:szCs w:val="20"/>
          <w:lang w:val="es-ES_tradnl"/>
        </w:rPr>
        <w:t>el Ministerio Público interpuso un recurso de apelaci</w:t>
      </w:r>
      <w:r w:rsidR="007D7E3A" w:rsidRPr="00B434D5">
        <w:rPr>
          <w:rFonts w:ascii="Cambria" w:hAnsi="Cambria"/>
          <w:bCs/>
          <w:sz w:val="20"/>
          <w:szCs w:val="20"/>
          <w:lang w:val="es-ES_tradnl"/>
        </w:rPr>
        <w:t xml:space="preserve">ón contra ambas resoluciones, </w:t>
      </w:r>
      <w:r w:rsidR="003B3BDC" w:rsidRPr="00B434D5">
        <w:rPr>
          <w:rFonts w:ascii="Cambria" w:hAnsi="Cambria"/>
          <w:bCs/>
          <w:sz w:val="20"/>
          <w:szCs w:val="20"/>
          <w:lang w:val="es-ES_tradnl"/>
        </w:rPr>
        <w:t>pero</w:t>
      </w:r>
      <w:r w:rsidR="007D7E3A" w:rsidRPr="00B434D5">
        <w:rPr>
          <w:rFonts w:ascii="Cambria" w:hAnsi="Cambria"/>
          <w:bCs/>
          <w:sz w:val="20"/>
          <w:szCs w:val="20"/>
          <w:lang w:val="es-ES_tradnl"/>
        </w:rPr>
        <w:t xml:space="preserve"> </w:t>
      </w:r>
      <w:r w:rsidR="003B3BDC" w:rsidRPr="00B434D5">
        <w:rPr>
          <w:rFonts w:ascii="Cambria" w:hAnsi="Cambria"/>
          <w:bCs/>
          <w:sz w:val="20"/>
          <w:szCs w:val="20"/>
          <w:lang w:val="es-ES_tradnl"/>
        </w:rPr>
        <w:t xml:space="preserve">éstas </w:t>
      </w:r>
      <w:r w:rsidR="007D7E3A" w:rsidRPr="00B434D5">
        <w:rPr>
          <w:rFonts w:ascii="Cambria" w:hAnsi="Cambria"/>
          <w:bCs/>
          <w:sz w:val="20"/>
          <w:szCs w:val="20"/>
          <w:lang w:val="es-ES_tradnl"/>
        </w:rPr>
        <w:t xml:space="preserve">fueron confirmadas </w:t>
      </w:r>
      <w:r w:rsidR="00652BCC" w:rsidRPr="00B434D5">
        <w:rPr>
          <w:rFonts w:ascii="Cambria" w:hAnsi="Cambria"/>
          <w:bCs/>
          <w:sz w:val="20"/>
          <w:szCs w:val="20"/>
          <w:lang w:val="es-ES_tradnl"/>
        </w:rPr>
        <w:t>por la Primera Sala Penal y Especializada en Justicia para Adolescentes</w:t>
      </w:r>
      <w:r w:rsidR="007D7E3A" w:rsidRPr="00B434D5">
        <w:rPr>
          <w:rFonts w:ascii="Cambria" w:hAnsi="Cambria"/>
          <w:bCs/>
          <w:sz w:val="20"/>
          <w:szCs w:val="20"/>
          <w:lang w:val="es-ES_tradnl"/>
        </w:rPr>
        <w:t xml:space="preserve">. </w:t>
      </w:r>
      <w:r w:rsidR="003B3BDC" w:rsidRPr="00B434D5">
        <w:rPr>
          <w:rFonts w:ascii="Cambria" w:hAnsi="Cambria"/>
          <w:bCs/>
          <w:sz w:val="20"/>
          <w:szCs w:val="20"/>
          <w:lang w:val="es-ES_tradnl"/>
        </w:rPr>
        <w:t xml:space="preserve">Agrega, </w:t>
      </w:r>
      <w:r w:rsidR="007D7E3A" w:rsidRPr="00B434D5">
        <w:rPr>
          <w:rFonts w:ascii="Cambria" w:hAnsi="Cambria"/>
          <w:bCs/>
          <w:sz w:val="20"/>
          <w:szCs w:val="20"/>
          <w:lang w:val="es-ES_tradnl"/>
        </w:rPr>
        <w:t>que la madre</w:t>
      </w:r>
      <w:r w:rsidRPr="00B434D5">
        <w:rPr>
          <w:rFonts w:ascii="Cambria" w:hAnsi="Cambria"/>
          <w:bCs/>
          <w:sz w:val="20"/>
          <w:szCs w:val="20"/>
          <w:lang w:val="es-ES_tradnl"/>
        </w:rPr>
        <w:t xml:space="preserve"> de</w:t>
      </w:r>
      <w:r w:rsidR="007D7E3A" w:rsidRPr="00B434D5">
        <w:rPr>
          <w:rFonts w:ascii="Cambria" w:hAnsi="Cambria"/>
          <w:bCs/>
          <w:sz w:val="20"/>
          <w:szCs w:val="20"/>
          <w:lang w:val="es-ES_tradnl"/>
        </w:rPr>
        <w:t xml:space="preserve"> </w:t>
      </w:r>
      <w:r w:rsidRPr="00B434D5">
        <w:rPr>
          <w:rFonts w:ascii="Cambria" w:hAnsi="Cambria"/>
          <w:bCs/>
          <w:sz w:val="20"/>
          <w:szCs w:val="20"/>
          <w:lang w:val="es-ES_tradnl"/>
        </w:rPr>
        <w:t xml:space="preserve">la </w:t>
      </w:r>
      <w:r w:rsidR="007D7E3A" w:rsidRPr="00B434D5">
        <w:rPr>
          <w:rFonts w:ascii="Cambria" w:hAnsi="Cambria"/>
          <w:bCs/>
          <w:sz w:val="20"/>
          <w:szCs w:val="20"/>
          <w:lang w:val="es-ES_tradnl"/>
        </w:rPr>
        <w:t xml:space="preserve">víctima presentó dos </w:t>
      </w:r>
      <w:r w:rsidR="003B3BDC" w:rsidRPr="00B434D5">
        <w:rPr>
          <w:rFonts w:ascii="Cambria" w:hAnsi="Cambria"/>
          <w:bCs/>
          <w:sz w:val="20"/>
          <w:szCs w:val="20"/>
          <w:lang w:val="es-ES_tradnl"/>
        </w:rPr>
        <w:t>recursos</w:t>
      </w:r>
      <w:r w:rsidR="007D7E3A" w:rsidRPr="00B434D5">
        <w:rPr>
          <w:rFonts w:ascii="Cambria" w:hAnsi="Cambria"/>
          <w:bCs/>
          <w:sz w:val="20"/>
          <w:szCs w:val="20"/>
          <w:lang w:val="es-ES_tradnl"/>
        </w:rPr>
        <w:t xml:space="preserve"> de amparo contra las sentencias dictadas</w:t>
      </w:r>
      <w:r w:rsidR="006B5A15" w:rsidRPr="00B434D5">
        <w:rPr>
          <w:rFonts w:ascii="Cambria" w:hAnsi="Cambria"/>
          <w:bCs/>
          <w:sz w:val="20"/>
          <w:szCs w:val="20"/>
          <w:lang w:val="es-ES_tradnl"/>
        </w:rPr>
        <w:t xml:space="preserve">, que fueron </w:t>
      </w:r>
      <w:r w:rsidRPr="00B434D5">
        <w:rPr>
          <w:rFonts w:ascii="Cambria" w:hAnsi="Cambria"/>
          <w:bCs/>
          <w:sz w:val="20"/>
          <w:szCs w:val="20"/>
          <w:lang w:val="es-ES_tradnl"/>
        </w:rPr>
        <w:t xml:space="preserve">finalmente </w:t>
      </w:r>
      <w:r w:rsidR="006B5A15" w:rsidRPr="00B434D5">
        <w:rPr>
          <w:rFonts w:ascii="Cambria" w:hAnsi="Cambria"/>
          <w:bCs/>
          <w:sz w:val="20"/>
          <w:szCs w:val="20"/>
          <w:lang w:val="es-ES_tradnl"/>
        </w:rPr>
        <w:t>desestimados</w:t>
      </w:r>
      <w:r w:rsidR="003B3BDC" w:rsidRPr="00B434D5">
        <w:rPr>
          <w:rFonts w:ascii="Cambria" w:hAnsi="Cambria"/>
          <w:bCs/>
          <w:sz w:val="20"/>
          <w:szCs w:val="20"/>
          <w:lang w:val="es-ES_tradnl"/>
        </w:rPr>
        <w:t xml:space="preserve"> </w:t>
      </w:r>
      <w:r w:rsidRPr="00B434D5">
        <w:rPr>
          <w:rFonts w:ascii="Cambria" w:hAnsi="Cambria"/>
          <w:bCs/>
          <w:sz w:val="20"/>
          <w:szCs w:val="20"/>
          <w:lang w:val="es-ES_tradnl"/>
        </w:rPr>
        <w:t xml:space="preserve">en dos instancias, siendo la segunda </w:t>
      </w:r>
      <w:r w:rsidR="006B5A15" w:rsidRPr="00B434D5">
        <w:rPr>
          <w:rFonts w:ascii="Cambria" w:hAnsi="Cambria"/>
          <w:bCs/>
          <w:sz w:val="20"/>
          <w:szCs w:val="20"/>
          <w:lang w:val="es-ES_tradnl"/>
        </w:rPr>
        <w:t>el Tribunal Colegiado del Décimo Tercer Circuito en Materia Penal y Administrativa</w:t>
      </w:r>
      <w:r w:rsidR="00B5694F" w:rsidRPr="00B434D5">
        <w:rPr>
          <w:rFonts w:ascii="Cambria" w:hAnsi="Cambria"/>
          <w:bCs/>
          <w:sz w:val="20"/>
          <w:szCs w:val="20"/>
          <w:lang w:val="es-ES_tradnl"/>
        </w:rPr>
        <w:t xml:space="preserve"> –el Estado no presenta las fechas de estas decisiones–</w:t>
      </w:r>
      <w:r w:rsidRPr="00B434D5">
        <w:rPr>
          <w:rFonts w:ascii="Cambria" w:hAnsi="Cambria"/>
          <w:bCs/>
          <w:sz w:val="20"/>
          <w:szCs w:val="20"/>
          <w:lang w:val="es-ES_tradnl"/>
        </w:rPr>
        <w:t>.</w:t>
      </w:r>
      <w:r w:rsidR="006B5A15" w:rsidRPr="00B434D5">
        <w:rPr>
          <w:rFonts w:ascii="Cambria" w:hAnsi="Cambria"/>
          <w:bCs/>
          <w:sz w:val="20"/>
          <w:szCs w:val="20"/>
          <w:lang w:val="es-ES_tradnl"/>
        </w:rPr>
        <w:t xml:space="preserve">   </w:t>
      </w:r>
    </w:p>
    <w:p w:rsidR="003239B8" w:rsidRPr="00B434D5"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B434D5">
        <w:rPr>
          <w:rFonts w:asciiTheme="majorHAnsi" w:eastAsia="Cambria" w:hAnsiTheme="majorHAnsi" w:cs="Cambria"/>
          <w:b/>
          <w:bCs/>
          <w:color w:val="000000"/>
          <w:sz w:val="20"/>
          <w:szCs w:val="20"/>
          <w:u w:color="000000"/>
          <w:lang w:val="es-ES_tradnl" w:eastAsia="es-ES"/>
        </w:rPr>
        <w:t>VI.</w:t>
      </w:r>
      <w:r w:rsidRPr="00B434D5">
        <w:rPr>
          <w:rFonts w:asciiTheme="majorHAnsi" w:eastAsia="Cambria" w:hAnsiTheme="majorHAnsi" w:cs="Cambria"/>
          <w:b/>
          <w:bCs/>
          <w:color w:val="000000"/>
          <w:sz w:val="20"/>
          <w:szCs w:val="20"/>
          <w:u w:color="000000"/>
          <w:lang w:val="es-ES_tradnl" w:eastAsia="es-ES"/>
        </w:rPr>
        <w:tab/>
      </w:r>
      <w:r w:rsidR="004A6A54" w:rsidRPr="00B434D5">
        <w:rPr>
          <w:rFonts w:asciiTheme="majorHAnsi" w:hAnsiTheme="majorHAnsi"/>
          <w:b/>
          <w:bCs/>
          <w:sz w:val="20"/>
          <w:szCs w:val="20"/>
          <w:lang w:val="es-ES_tradnl"/>
        </w:rPr>
        <w:t xml:space="preserve">ANÁLISIS DE </w:t>
      </w:r>
      <w:r w:rsidR="00C21FEF" w:rsidRPr="00B434D5">
        <w:rPr>
          <w:rFonts w:asciiTheme="majorHAnsi" w:hAnsiTheme="majorHAnsi"/>
          <w:b/>
          <w:sz w:val="20"/>
          <w:szCs w:val="20"/>
          <w:lang w:val="es-ES_tradnl"/>
        </w:rPr>
        <w:t>AGOTAMIENTO DE LOS RECURSOS INTERNOS Y PLAZO DE PRESENTACIÓN</w:t>
      </w:r>
      <w:r w:rsidR="00C21FEF" w:rsidRPr="00B434D5">
        <w:rPr>
          <w:rFonts w:asciiTheme="majorHAnsi" w:eastAsia="Cambria" w:hAnsiTheme="majorHAnsi" w:cs="Cambria"/>
          <w:b/>
          <w:bCs/>
          <w:color w:val="000000"/>
          <w:sz w:val="20"/>
          <w:szCs w:val="20"/>
          <w:u w:color="000000"/>
          <w:lang w:val="es-ES_tradnl" w:eastAsia="es-ES"/>
        </w:rPr>
        <w:t xml:space="preserve"> </w:t>
      </w:r>
    </w:p>
    <w:p w:rsidR="00F0376F" w:rsidRPr="00B434D5" w:rsidRDefault="00070085" w:rsidP="00F0376F">
      <w:pPr>
        <w:spacing w:before="240" w:after="240"/>
        <w:ind w:firstLine="720"/>
        <w:jc w:val="both"/>
        <w:rPr>
          <w:rFonts w:asciiTheme="majorHAnsi" w:eastAsia="Cambria" w:hAnsiTheme="majorHAnsi" w:cs="Cambria"/>
          <w:color w:val="000000"/>
          <w:sz w:val="20"/>
          <w:szCs w:val="20"/>
          <w:u w:color="000000"/>
          <w:lang w:val="es-ES_tradnl" w:eastAsia="es-ES"/>
        </w:rPr>
      </w:pPr>
      <w:r w:rsidRPr="00B434D5">
        <w:rPr>
          <w:rFonts w:asciiTheme="majorHAnsi" w:eastAsia="Cambria" w:hAnsiTheme="majorHAnsi" w:cs="Cambria"/>
          <w:color w:val="000000"/>
          <w:sz w:val="20"/>
          <w:szCs w:val="20"/>
          <w:u w:color="000000"/>
          <w:lang w:val="es-ES_tradnl" w:eastAsia="es-ES"/>
        </w:rPr>
        <w:t>10</w:t>
      </w:r>
      <w:r w:rsidR="00F0376F" w:rsidRPr="00B434D5">
        <w:rPr>
          <w:rFonts w:asciiTheme="majorHAnsi" w:eastAsia="Cambria" w:hAnsiTheme="majorHAnsi" w:cs="Cambria"/>
          <w:color w:val="000000"/>
          <w:sz w:val="20"/>
          <w:szCs w:val="20"/>
          <w:u w:color="000000"/>
          <w:lang w:val="es-ES_tradnl" w:eastAsia="es-ES"/>
        </w:rPr>
        <w:t>.</w:t>
      </w:r>
      <w:r w:rsidR="00F0376F" w:rsidRPr="00B434D5">
        <w:rPr>
          <w:rFonts w:asciiTheme="majorHAnsi" w:eastAsia="Cambria" w:hAnsiTheme="majorHAnsi" w:cs="Cambria"/>
          <w:color w:val="000000"/>
          <w:sz w:val="20"/>
          <w:szCs w:val="20"/>
          <w:u w:color="000000"/>
          <w:lang w:val="es-ES_tradnl" w:eastAsia="es-ES"/>
        </w:rPr>
        <w:tab/>
        <w:t>Los peticionarios sostiene</w:t>
      </w:r>
      <w:r w:rsidR="00D72668" w:rsidRPr="00B434D5">
        <w:rPr>
          <w:rFonts w:asciiTheme="majorHAnsi" w:eastAsia="Cambria" w:hAnsiTheme="majorHAnsi" w:cs="Cambria"/>
          <w:color w:val="000000"/>
          <w:sz w:val="20"/>
          <w:szCs w:val="20"/>
          <w:u w:color="000000"/>
          <w:lang w:val="es-ES_tradnl" w:eastAsia="es-ES"/>
        </w:rPr>
        <w:t>n que hubo un retardo injustificado en el proceso penal interno</w:t>
      </w:r>
      <w:r w:rsidR="003B212D" w:rsidRPr="00B434D5">
        <w:rPr>
          <w:rFonts w:asciiTheme="majorHAnsi" w:eastAsia="Cambria" w:hAnsiTheme="majorHAnsi" w:cs="Cambria"/>
          <w:color w:val="000000"/>
          <w:sz w:val="20"/>
          <w:szCs w:val="20"/>
          <w:u w:color="000000"/>
          <w:lang w:val="es-ES_tradnl" w:eastAsia="es-ES"/>
        </w:rPr>
        <w:t xml:space="preserve"> configurándose la excepción del artículo 4</w:t>
      </w:r>
      <w:r w:rsidR="00341EE6" w:rsidRPr="00B434D5">
        <w:rPr>
          <w:rFonts w:asciiTheme="majorHAnsi" w:eastAsia="Cambria" w:hAnsiTheme="majorHAnsi" w:cs="Cambria"/>
          <w:color w:val="000000"/>
          <w:sz w:val="20"/>
          <w:szCs w:val="20"/>
          <w:u w:color="000000"/>
          <w:lang w:val="es-ES_tradnl" w:eastAsia="es-ES"/>
        </w:rPr>
        <w:t>6.2</w:t>
      </w:r>
      <w:r w:rsidRPr="00B434D5">
        <w:rPr>
          <w:rFonts w:asciiTheme="majorHAnsi" w:eastAsia="Cambria" w:hAnsiTheme="majorHAnsi" w:cs="Cambria"/>
          <w:color w:val="000000"/>
          <w:sz w:val="20"/>
          <w:szCs w:val="20"/>
          <w:u w:color="000000"/>
          <w:lang w:val="es-ES_tradnl" w:eastAsia="es-ES"/>
        </w:rPr>
        <w:t>.</w:t>
      </w:r>
      <w:r w:rsidR="00341EE6" w:rsidRPr="00B434D5">
        <w:rPr>
          <w:rFonts w:asciiTheme="majorHAnsi" w:eastAsia="Cambria" w:hAnsiTheme="majorHAnsi" w:cs="Cambria"/>
          <w:color w:val="000000"/>
          <w:sz w:val="20"/>
          <w:szCs w:val="20"/>
          <w:u w:color="000000"/>
          <w:lang w:val="es-ES_tradnl" w:eastAsia="es-ES"/>
        </w:rPr>
        <w:t>c)</w:t>
      </w:r>
      <w:r w:rsidR="00161D05" w:rsidRPr="00B434D5">
        <w:rPr>
          <w:rFonts w:asciiTheme="majorHAnsi" w:eastAsia="Cambria" w:hAnsiTheme="majorHAnsi" w:cs="Cambria"/>
          <w:color w:val="000000"/>
          <w:sz w:val="20"/>
          <w:szCs w:val="20"/>
          <w:u w:color="000000"/>
          <w:lang w:val="es-ES_tradnl" w:eastAsia="es-ES"/>
        </w:rPr>
        <w:t xml:space="preserve"> de la Convención Americana</w:t>
      </w:r>
      <w:r w:rsidR="009608E7" w:rsidRPr="00B434D5">
        <w:rPr>
          <w:rFonts w:asciiTheme="majorHAnsi" w:eastAsia="Cambria" w:hAnsiTheme="majorHAnsi" w:cs="Cambria"/>
          <w:color w:val="000000"/>
          <w:sz w:val="20"/>
          <w:szCs w:val="20"/>
          <w:u w:color="000000"/>
          <w:lang w:val="es-ES_tradnl" w:eastAsia="es-ES"/>
        </w:rPr>
        <w:t xml:space="preserve">, </w:t>
      </w:r>
      <w:r w:rsidR="00CF51CC" w:rsidRPr="00B434D5">
        <w:rPr>
          <w:rFonts w:asciiTheme="majorHAnsi" w:eastAsia="Cambria" w:hAnsiTheme="majorHAnsi" w:cs="Cambria"/>
          <w:color w:val="000000"/>
          <w:sz w:val="20"/>
          <w:szCs w:val="20"/>
          <w:u w:color="000000"/>
          <w:lang w:val="es-ES_tradnl" w:eastAsia="es-ES"/>
        </w:rPr>
        <w:t xml:space="preserve">porque, </w:t>
      </w:r>
      <w:r w:rsidR="00341EE6" w:rsidRPr="00B434D5">
        <w:rPr>
          <w:rFonts w:asciiTheme="majorHAnsi" w:eastAsia="Cambria" w:hAnsiTheme="majorHAnsi" w:cs="Cambria"/>
          <w:color w:val="000000"/>
          <w:sz w:val="20"/>
          <w:szCs w:val="20"/>
          <w:u w:color="000000"/>
          <w:lang w:val="es-ES_tradnl" w:eastAsia="es-ES"/>
        </w:rPr>
        <w:t xml:space="preserve">a pesar de que </w:t>
      </w:r>
      <w:r w:rsidR="009608E7" w:rsidRPr="00B434D5">
        <w:rPr>
          <w:rFonts w:asciiTheme="majorHAnsi" w:eastAsia="Cambria" w:hAnsiTheme="majorHAnsi" w:cs="Cambria"/>
          <w:color w:val="000000"/>
          <w:sz w:val="20"/>
          <w:szCs w:val="20"/>
          <w:u w:color="000000"/>
          <w:lang w:val="es-ES_tradnl" w:eastAsia="es-ES"/>
        </w:rPr>
        <w:t xml:space="preserve">el 28 de septiembre de 2007 se dictaron </w:t>
      </w:r>
      <w:r w:rsidR="00341EE6" w:rsidRPr="00B434D5">
        <w:rPr>
          <w:rFonts w:asciiTheme="majorHAnsi" w:eastAsia="Cambria" w:hAnsiTheme="majorHAnsi" w:cs="Cambria"/>
          <w:color w:val="000000"/>
          <w:sz w:val="20"/>
          <w:szCs w:val="20"/>
          <w:u w:color="000000"/>
          <w:lang w:val="es-ES_tradnl" w:eastAsia="es-ES"/>
        </w:rPr>
        <w:t xml:space="preserve">las </w:t>
      </w:r>
      <w:r w:rsidR="009608E7" w:rsidRPr="00B434D5">
        <w:rPr>
          <w:rFonts w:asciiTheme="majorHAnsi" w:eastAsia="Cambria" w:hAnsiTheme="majorHAnsi" w:cs="Cambria"/>
          <w:color w:val="000000"/>
          <w:sz w:val="20"/>
          <w:szCs w:val="20"/>
          <w:u w:color="000000"/>
          <w:lang w:val="es-ES_tradnl" w:eastAsia="es-ES"/>
        </w:rPr>
        <w:t>órdenes de captura</w:t>
      </w:r>
      <w:r w:rsidR="00341EE6" w:rsidRPr="00B434D5">
        <w:rPr>
          <w:rFonts w:asciiTheme="majorHAnsi" w:eastAsia="Cambria" w:hAnsiTheme="majorHAnsi" w:cs="Cambria"/>
          <w:color w:val="000000"/>
          <w:sz w:val="20"/>
          <w:szCs w:val="20"/>
          <w:u w:color="000000"/>
          <w:lang w:val="es-ES_tradnl" w:eastAsia="es-ES"/>
        </w:rPr>
        <w:t xml:space="preserve"> contra </w:t>
      </w:r>
      <w:r w:rsidR="00896211" w:rsidRPr="00B434D5">
        <w:rPr>
          <w:rFonts w:asciiTheme="majorHAnsi" w:eastAsia="Cambria" w:hAnsiTheme="majorHAnsi" w:cs="Cambria"/>
          <w:color w:val="000000"/>
          <w:sz w:val="20"/>
          <w:szCs w:val="20"/>
          <w:u w:color="000000"/>
          <w:lang w:val="es-ES_tradnl" w:eastAsia="es-ES"/>
        </w:rPr>
        <w:t>el Sr. Constantino y el Sr. Pérez</w:t>
      </w:r>
      <w:r w:rsidR="00341EE6" w:rsidRPr="00B434D5">
        <w:rPr>
          <w:rFonts w:asciiTheme="majorHAnsi" w:eastAsia="Cambria" w:hAnsiTheme="majorHAnsi" w:cs="Cambria"/>
          <w:color w:val="000000"/>
          <w:sz w:val="20"/>
          <w:szCs w:val="20"/>
          <w:u w:color="000000"/>
          <w:lang w:val="es-ES_tradnl" w:eastAsia="es-ES"/>
        </w:rPr>
        <w:t xml:space="preserve">, </w:t>
      </w:r>
      <w:r w:rsidR="003B212D" w:rsidRPr="00B434D5">
        <w:rPr>
          <w:rFonts w:asciiTheme="majorHAnsi" w:eastAsia="Cambria" w:hAnsiTheme="majorHAnsi" w:cs="Cambria"/>
          <w:color w:val="000000"/>
          <w:sz w:val="20"/>
          <w:szCs w:val="20"/>
          <w:u w:color="000000"/>
          <w:lang w:val="es-ES_tradnl" w:eastAsia="es-ES"/>
        </w:rPr>
        <w:t>cuatro años después se encontraban en libertad</w:t>
      </w:r>
      <w:r w:rsidR="00896211" w:rsidRPr="00B434D5">
        <w:rPr>
          <w:rFonts w:asciiTheme="majorHAnsi" w:eastAsia="Cambria" w:hAnsiTheme="majorHAnsi" w:cs="Cambria"/>
          <w:color w:val="000000"/>
          <w:sz w:val="20"/>
          <w:szCs w:val="20"/>
          <w:u w:color="000000"/>
          <w:lang w:val="es-ES_tradnl" w:eastAsia="es-ES"/>
        </w:rPr>
        <w:t xml:space="preserve">, así como la Sra. García que fue </w:t>
      </w:r>
      <w:r w:rsidR="007445CE" w:rsidRPr="00B434D5">
        <w:rPr>
          <w:rFonts w:asciiTheme="majorHAnsi" w:eastAsia="Cambria" w:hAnsiTheme="majorHAnsi" w:cs="Cambria"/>
          <w:color w:val="000000"/>
          <w:sz w:val="20"/>
          <w:szCs w:val="20"/>
          <w:u w:color="000000"/>
          <w:lang w:val="es-ES_tradnl" w:eastAsia="es-ES"/>
        </w:rPr>
        <w:t xml:space="preserve">liberada el 17 de mayo de 2011, luego de la decisión del </w:t>
      </w:r>
      <w:r w:rsidR="007445CE" w:rsidRPr="00B434D5">
        <w:rPr>
          <w:rFonts w:ascii="Cambria" w:hAnsi="Cambria"/>
          <w:bCs/>
          <w:sz w:val="20"/>
          <w:szCs w:val="20"/>
          <w:lang w:val="es-ES_tradnl"/>
        </w:rPr>
        <w:t>Pleno de Suprema Corte de Justicia de la Nación</w:t>
      </w:r>
      <w:r w:rsidR="003B212D" w:rsidRPr="00B434D5">
        <w:rPr>
          <w:rFonts w:asciiTheme="majorHAnsi" w:eastAsia="Cambria" w:hAnsiTheme="majorHAnsi" w:cs="Cambria"/>
          <w:color w:val="000000"/>
          <w:sz w:val="20"/>
          <w:szCs w:val="20"/>
          <w:u w:color="000000"/>
          <w:lang w:val="es-ES_tradnl" w:eastAsia="es-ES"/>
        </w:rPr>
        <w:t xml:space="preserve">. </w:t>
      </w:r>
      <w:r w:rsidR="00341EE6" w:rsidRPr="00B434D5">
        <w:rPr>
          <w:rFonts w:asciiTheme="majorHAnsi" w:eastAsia="Cambria" w:hAnsiTheme="majorHAnsi" w:cs="Cambria"/>
          <w:color w:val="000000"/>
          <w:sz w:val="20"/>
          <w:szCs w:val="20"/>
          <w:u w:color="000000"/>
          <w:lang w:val="es-ES_tradnl" w:eastAsia="es-ES"/>
        </w:rPr>
        <w:t xml:space="preserve">Por su parte, el Estado </w:t>
      </w:r>
      <w:r w:rsidR="00DA6259" w:rsidRPr="00B434D5">
        <w:rPr>
          <w:rFonts w:asciiTheme="majorHAnsi" w:eastAsia="Cambria" w:hAnsiTheme="majorHAnsi" w:cs="Cambria"/>
          <w:color w:val="000000"/>
          <w:sz w:val="20"/>
          <w:szCs w:val="20"/>
          <w:u w:color="000000"/>
          <w:lang w:val="es-ES_tradnl" w:eastAsia="es-ES"/>
        </w:rPr>
        <w:t xml:space="preserve">sostiene </w:t>
      </w:r>
      <w:r w:rsidR="00341EE6" w:rsidRPr="00B434D5">
        <w:rPr>
          <w:rFonts w:asciiTheme="majorHAnsi" w:eastAsia="Cambria" w:hAnsiTheme="majorHAnsi" w:cs="Cambria"/>
          <w:color w:val="000000"/>
          <w:sz w:val="20"/>
          <w:szCs w:val="20"/>
          <w:u w:color="000000"/>
          <w:lang w:val="es-ES_tradnl" w:eastAsia="es-ES"/>
        </w:rPr>
        <w:t>que no se agotaron los recursos internos</w:t>
      </w:r>
      <w:r w:rsidRPr="00B434D5">
        <w:rPr>
          <w:rFonts w:asciiTheme="majorHAnsi" w:eastAsia="Cambria" w:hAnsiTheme="majorHAnsi" w:cs="Cambria"/>
          <w:color w:val="000000"/>
          <w:sz w:val="20"/>
          <w:szCs w:val="20"/>
          <w:u w:color="000000"/>
          <w:lang w:val="es-ES_tradnl" w:eastAsia="es-ES"/>
        </w:rPr>
        <w:t>,</w:t>
      </w:r>
      <w:r w:rsidR="00CD1E70" w:rsidRPr="00B434D5">
        <w:rPr>
          <w:rFonts w:asciiTheme="majorHAnsi" w:eastAsia="Cambria" w:hAnsiTheme="majorHAnsi" w:cs="Cambria"/>
          <w:color w:val="000000"/>
          <w:sz w:val="20"/>
          <w:szCs w:val="20"/>
          <w:u w:color="000000"/>
          <w:lang w:val="es-ES_tradnl" w:eastAsia="es-ES"/>
        </w:rPr>
        <w:t xml:space="preserve"> </w:t>
      </w:r>
      <w:r w:rsidRPr="00B434D5">
        <w:rPr>
          <w:rFonts w:asciiTheme="majorHAnsi" w:eastAsia="Cambria" w:hAnsiTheme="majorHAnsi" w:cs="Cambria"/>
          <w:color w:val="000000"/>
          <w:sz w:val="20"/>
          <w:szCs w:val="20"/>
          <w:u w:color="000000"/>
          <w:lang w:val="es-ES_tradnl" w:eastAsia="es-ES"/>
        </w:rPr>
        <w:t>incumpliéndose así</w:t>
      </w:r>
      <w:r w:rsidR="00CD1E70" w:rsidRPr="00B434D5">
        <w:rPr>
          <w:rFonts w:asciiTheme="majorHAnsi" w:eastAsia="Cambria" w:hAnsiTheme="majorHAnsi" w:cs="Cambria"/>
          <w:color w:val="000000"/>
          <w:sz w:val="20"/>
          <w:szCs w:val="20"/>
          <w:u w:color="000000"/>
          <w:lang w:val="es-ES_tradnl" w:eastAsia="es-ES"/>
        </w:rPr>
        <w:t xml:space="preserve"> el artículo 46.1</w:t>
      </w:r>
      <w:r w:rsidRPr="00B434D5">
        <w:rPr>
          <w:rFonts w:asciiTheme="majorHAnsi" w:eastAsia="Cambria" w:hAnsiTheme="majorHAnsi" w:cs="Cambria"/>
          <w:color w:val="000000"/>
          <w:sz w:val="20"/>
          <w:szCs w:val="20"/>
          <w:u w:color="000000"/>
          <w:lang w:val="es-ES_tradnl" w:eastAsia="es-ES"/>
        </w:rPr>
        <w:t>.</w:t>
      </w:r>
      <w:r w:rsidR="00CD1E70" w:rsidRPr="00B434D5">
        <w:rPr>
          <w:rFonts w:asciiTheme="majorHAnsi" w:eastAsia="Cambria" w:hAnsiTheme="majorHAnsi" w:cs="Cambria"/>
          <w:color w:val="000000"/>
          <w:sz w:val="20"/>
          <w:szCs w:val="20"/>
          <w:u w:color="000000"/>
          <w:lang w:val="es-ES_tradnl" w:eastAsia="es-ES"/>
        </w:rPr>
        <w:t>a)</w:t>
      </w:r>
      <w:r w:rsidR="00161D05" w:rsidRPr="00B434D5">
        <w:rPr>
          <w:rFonts w:asciiTheme="majorHAnsi" w:eastAsia="Cambria" w:hAnsiTheme="majorHAnsi" w:cs="Cambria"/>
          <w:color w:val="000000"/>
          <w:sz w:val="20"/>
          <w:szCs w:val="20"/>
          <w:u w:color="000000"/>
          <w:lang w:val="es-ES_tradnl" w:eastAsia="es-ES"/>
        </w:rPr>
        <w:t xml:space="preserve"> de la Convención</w:t>
      </w:r>
      <w:r w:rsidRPr="00B434D5">
        <w:rPr>
          <w:rFonts w:asciiTheme="majorHAnsi" w:eastAsia="Cambria" w:hAnsiTheme="majorHAnsi" w:cs="Cambria"/>
          <w:color w:val="000000"/>
          <w:sz w:val="20"/>
          <w:szCs w:val="20"/>
          <w:u w:color="000000"/>
          <w:lang w:val="es-ES_tradnl" w:eastAsia="es-ES"/>
        </w:rPr>
        <w:t>;</w:t>
      </w:r>
      <w:r w:rsidR="00CD1E70" w:rsidRPr="00B434D5">
        <w:rPr>
          <w:rFonts w:asciiTheme="majorHAnsi" w:eastAsia="Cambria" w:hAnsiTheme="majorHAnsi" w:cs="Cambria"/>
          <w:color w:val="000000"/>
          <w:sz w:val="20"/>
          <w:szCs w:val="20"/>
          <w:u w:color="000000"/>
          <w:lang w:val="es-ES_tradnl" w:eastAsia="es-ES"/>
        </w:rPr>
        <w:t xml:space="preserve"> porque al momento de presentarse la petición aún no </w:t>
      </w:r>
      <w:r w:rsidR="00CF51CC" w:rsidRPr="00B434D5">
        <w:rPr>
          <w:rFonts w:asciiTheme="majorHAnsi" w:eastAsia="Cambria" w:hAnsiTheme="majorHAnsi" w:cs="Cambria"/>
          <w:color w:val="000000"/>
          <w:sz w:val="20"/>
          <w:szCs w:val="20"/>
          <w:u w:color="000000"/>
          <w:lang w:val="es-ES_tradnl" w:eastAsia="es-ES"/>
        </w:rPr>
        <w:t xml:space="preserve">se </w:t>
      </w:r>
      <w:r w:rsidR="00CD1E70" w:rsidRPr="00B434D5">
        <w:rPr>
          <w:rFonts w:asciiTheme="majorHAnsi" w:eastAsia="Cambria" w:hAnsiTheme="majorHAnsi" w:cs="Cambria"/>
          <w:color w:val="000000"/>
          <w:sz w:val="20"/>
          <w:szCs w:val="20"/>
          <w:u w:color="000000"/>
          <w:lang w:val="es-ES_tradnl" w:eastAsia="es-ES"/>
        </w:rPr>
        <w:t xml:space="preserve">había </w:t>
      </w:r>
      <w:r w:rsidR="00CF51CC" w:rsidRPr="00B434D5">
        <w:rPr>
          <w:rFonts w:asciiTheme="majorHAnsi" w:eastAsia="Cambria" w:hAnsiTheme="majorHAnsi" w:cs="Cambria"/>
          <w:color w:val="000000"/>
          <w:sz w:val="20"/>
          <w:szCs w:val="20"/>
          <w:u w:color="000000"/>
          <w:lang w:val="es-ES_tradnl" w:eastAsia="es-ES"/>
        </w:rPr>
        <w:t>realizado</w:t>
      </w:r>
      <w:r w:rsidR="00CD1E70" w:rsidRPr="00B434D5">
        <w:rPr>
          <w:rFonts w:asciiTheme="majorHAnsi" w:eastAsia="Cambria" w:hAnsiTheme="majorHAnsi" w:cs="Cambria"/>
          <w:color w:val="000000"/>
          <w:sz w:val="20"/>
          <w:szCs w:val="20"/>
          <w:u w:color="000000"/>
          <w:lang w:val="es-ES_tradnl" w:eastAsia="es-ES"/>
        </w:rPr>
        <w:t xml:space="preserve"> </w:t>
      </w:r>
      <w:r w:rsidR="00CF51CC" w:rsidRPr="00B434D5">
        <w:rPr>
          <w:rFonts w:asciiTheme="majorHAnsi" w:eastAsia="Cambria" w:hAnsiTheme="majorHAnsi" w:cs="Cambria"/>
          <w:color w:val="000000"/>
          <w:sz w:val="20"/>
          <w:szCs w:val="20"/>
          <w:u w:color="000000"/>
          <w:lang w:val="es-ES_tradnl" w:eastAsia="es-ES"/>
        </w:rPr>
        <w:t>la</w:t>
      </w:r>
      <w:r w:rsidR="00CD1E70" w:rsidRPr="00B434D5">
        <w:rPr>
          <w:rFonts w:asciiTheme="majorHAnsi" w:eastAsia="Cambria" w:hAnsiTheme="majorHAnsi" w:cs="Cambria"/>
          <w:color w:val="000000"/>
          <w:sz w:val="20"/>
          <w:szCs w:val="20"/>
          <w:u w:color="000000"/>
          <w:lang w:val="es-ES_tradnl" w:eastAsia="es-ES"/>
        </w:rPr>
        <w:t xml:space="preserve"> </w:t>
      </w:r>
      <w:r w:rsidR="00CF51CC" w:rsidRPr="00B434D5">
        <w:rPr>
          <w:rFonts w:asciiTheme="majorHAnsi" w:eastAsia="Cambria" w:hAnsiTheme="majorHAnsi" w:cs="Cambria"/>
          <w:color w:val="000000"/>
          <w:sz w:val="20"/>
          <w:szCs w:val="20"/>
          <w:u w:color="000000"/>
          <w:lang w:val="es-ES_tradnl" w:eastAsia="es-ES"/>
        </w:rPr>
        <w:t xml:space="preserve">captura del </w:t>
      </w:r>
      <w:r w:rsidR="00CD1E70" w:rsidRPr="00B434D5">
        <w:rPr>
          <w:rFonts w:asciiTheme="majorHAnsi" w:eastAsia="Cambria" w:hAnsiTheme="majorHAnsi" w:cs="Cambria"/>
          <w:color w:val="000000"/>
          <w:sz w:val="20"/>
          <w:szCs w:val="20"/>
          <w:u w:color="000000"/>
          <w:lang w:val="es-ES_tradnl" w:eastAsia="es-ES"/>
        </w:rPr>
        <w:t>Sr. Constantino</w:t>
      </w:r>
      <w:r w:rsidR="00931570" w:rsidRPr="00B434D5">
        <w:rPr>
          <w:rFonts w:asciiTheme="majorHAnsi" w:eastAsia="Cambria" w:hAnsiTheme="majorHAnsi" w:cs="Cambria"/>
          <w:color w:val="000000"/>
          <w:sz w:val="20"/>
          <w:szCs w:val="20"/>
          <w:u w:color="000000"/>
          <w:lang w:val="es-ES_tradnl" w:eastAsia="es-ES"/>
        </w:rPr>
        <w:t xml:space="preserve"> y</w:t>
      </w:r>
      <w:r w:rsidR="00CD1E70" w:rsidRPr="00B434D5">
        <w:rPr>
          <w:rFonts w:asciiTheme="majorHAnsi" w:eastAsia="Cambria" w:hAnsiTheme="majorHAnsi" w:cs="Cambria"/>
          <w:color w:val="000000"/>
          <w:sz w:val="20"/>
          <w:szCs w:val="20"/>
          <w:u w:color="000000"/>
          <w:lang w:val="es-ES_tradnl" w:eastAsia="es-ES"/>
        </w:rPr>
        <w:t xml:space="preserve"> </w:t>
      </w:r>
      <w:r w:rsidR="00CF51CC" w:rsidRPr="00B434D5">
        <w:rPr>
          <w:rFonts w:asciiTheme="majorHAnsi" w:eastAsia="Cambria" w:hAnsiTheme="majorHAnsi" w:cs="Cambria"/>
          <w:color w:val="000000"/>
          <w:sz w:val="20"/>
          <w:szCs w:val="20"/>
          <w:u w:color="000000"/>
          <w:lang w:val="es-ES_tradnl" w:eastAsia="es-ES"/>
        </w:rPr>
        <w:t>del</w:t>
      </w:r>
      <w:r w:rsidR="00587DE9" w:rsidRPr="00B434D5">
        <w:rPr>
          <w:rFonts w:asciiTheme="majorHAnsi" w:eastAsia="Cambria" w:hAnsiTheme="majorHAnsi" w:cs="Cambria"/>
          <w:color w:val="000000"/>
          <w:sz w:val="20"/>
          <w:szCs w:val="20"/>
          <w:u w:color="000000"/>
          <w:lang w:val="es-ES_tradnl" w:eastAsia="es-ES"/>
        </w:rPr>
        <w:t xml:space="preserve"> Sr. </w:t>
      </w:r>
      <w:r w:rsidR="00CD1E70" w:rsidRPr="00B434D5">
        <w:rPr>
          <w:rFonts w:asciiTheme="majorHAnsi" w:eastAsia="Cambria" w:hAnsiTheme="majorHAnsi" w:cs="Cambria"/>
          <w:color w:val="000000"/>
          <w:sz w:val="20"/>
          <w:szCs w:val="20"/>
          <w:u w:color="000000"/>
          <w:lang w:val="es-ES_tradnl" w:eastAsia="es-ES"/>
        </w:rPr>
        <w:t>Pérez</w:t>
      </w:r>
      <w:r w:rsidR="00CF51CC" w:rsidRPr="00B434D5">
        <w:rPr>
          <w:rFonts w:asciiTheme="majorHAnsi" w:eastAsia="Cambria" w:hAnsiTheme="majorHAnsi" w:cs="Cambria"/>
          <w:color w:val="000000"/>
          <w:sz w:val="20"/>
          <w:szCs w:val="20"/>
          <w:u w:color="000000"/>
          <w:lang w:val="es-ES_tradnl" w:eastAsia="es-ES"/>
        </w:rPr>
        <w:t xml:space="preserve">, que tuvieron lugar el </w:t>
      </w:r>
      <w:r w:rsidR="00A2514D" w:rsidRPr="00B434D5">
        <w:rPr>
          <w:rFonts w:asciiTheme="majorHAnsi" w:eastAsia="Cambria" w:hAnsiTheme="majorHAnsi" w:cs="Cambria"/>
          <w:color w:val="000000"/>
          <w:sz w:val="20"/>
          <w:szCs w:val="20"/>
          <w:u w:color="000000"/>
          <w:lang w:val="es-ES_tradnl" w:eastAsia="es-ES"/>
        </w:rPr>
        <w:t xml:space="preserve">12 de octubre de 2012 y </w:t>
      </w:r>
      <w:r w:rsidR="00CF51CC" w:rsidRPr="00B434D5">
        <w:rPr>
          <w:rFonts w:asciiTheme="majorHAnsi" w:eastAsia="Cambria" w:hAnsiTheme="majorHAnsi" w:cs="Cambria"/>
          <w:color w:val="000000"/>
          <w:sz w:val="20"/>
          <w:szCs w:val="20"/>
          <w:u w:color="000000"/>
          <w:lang w:val="es-ES_tradnl" w:eastAsia="es-ES"/>
        </w:rPr>
        <w:t xml:space="preserve">el </w:t>
      </w:r>
      <w:r w:rsidR="00931570" w:rsidRPr="00B434D5">
        <w:rPr>
          <w:rFonts w:asciiTheme="majorHAnsi" w:eastAsia="Cambria" w:hAnsiTheme="majorHAnsi" w:cs="Cambria"/>
          <w:color w:val="000000"/>
          <w:sz w:val="20"/>
          <w:szCs w:val="20"/>
          <w:u w:color="000000"/>
          <w:lang w:val="es-ES_tradnl" w:eastAsia="es-ES"/>
        </w:rPr>
        <w:t>3 de junio de 2013</w:t>
      </w:r>
      <w:r w:rsidR="00CF51CC" w:rsidRPr="00B434D5">
        <w:rPr>
          <w:rFonts w:asciiTheme="majorHAnsi" w:eastAsia="Cambria" w:hAnsiTheme="majorHAnsi" w:cs="Cambria"/>
          <w:color w:val="000000"/>
          <w:sz w:val="20"/>
          <w:szCs w:val="20"/>
          <w:u w:color="000000"/>
          <w:lang w:val="es-ES_tradnl" w:eastAsia="es-ES"/>
        </w:rPr>
        <w:t xml:space="preserve">, </w:t>
      </w:r>
      <w:r w:rsidR="00215A34" w:rsidRPr="00B434D5">
        <w:rPr>
          <w:rFonts w:asciiTheme="majorHAnsi" w:eastAsia="Cambria" w:hAnsiTheme="majorHAnsi" w:cs="Cambria"/>
          <w:color w:val="000000"/>
          <w:sz w:val="20"/>
          <w:szCs w:val="20"/>
          <w:u w:color="000000"/>
          <w:lang w:val="es-ES_tradnl" w:eastAsia="es-ES"/>
        </w:rPr>
        <w:t>haciendo efectivas</w:t>
      </w:r>
      <w:r w:rsidR="00CF51CC" w:rsidRPr="00B434D5">
        <w:rPr>
          <w:rFonts w:asciiTheme="majorHAnsi" w:eastAsia="Cambria" w:hAnsiTheme="majorHAnsi" w:cs="Cambria"/>
          <w:color w:val="000000"/>
          <w:sz w:val="20"/>
          <w:szCs w:val="20"/>
          <w:u w:color="000000"/>
          <w:lang w:val="es-ES_tradnl" w:eastAsia="es-ES"/>
        </w:rPr>
        <w:t xml:space="preserve"> las órdenes de </w:t>
      </w:r>
      <w:r w:rsidR="00BC01BE" w:rsidRPr="00B434D5">
        <w:rPr>
          <w:rFonts w:asciiTheme="majorHAnsi" w:eastAsia="Cambria" w:hAnsiTheme="majorHAnsi" w:cs="Cambria"/>
          <w:color w:val="000000"/>
          <w:sz w:val="20"/>
          <w:szCs w:val="20"/>
          <w:u w:color="000000"/>
          <w:lang w:val="es-ES_tradnl" w:eastAsia="es-ES"/>
        </w:rPr>
        <w:t>captura</w:t>
      </w:r>
      <w:r w:rsidR="00896211" w:rsidRPr="00B434D5">
        <w:rPr>
          <w:rFonts w:asciiTheme="majorHAnsi" w:eastAsia="Cambria" w:hAnsiTheme="majorHAnsi" w:cs="Cambria"/>
          <w:color w:val="000000"/>
          <w:sz w:val="20"/>
          <w:szCs w:val="20"/>
          <w:u w:color="000000"/>
          <w:lang w:val="es-ES_tradnl" w:eastAsia="es-ES"/>
        </w:rPr>
        <w:t xml:space="preserve"> y clausurando el proceso penal</w:t>
      </w:r>
      <w:r w:rsidR="003956A1" w:rsidRPr="00B434D5">
        <w:rPr>
          <w:rFonts w:asciiTheme="majorHAnsi" w:eastAsia="Cambria" w:hAnsiTheme="majorHAnsi" w:cs="Cambria"/>
          <w:color w:val="000000"/>
          <w:sz w:val="20"/>
          <w:szCs w:val="20"/>
          <w:u w:color="000000"/>
          <w:lang w:val="es-ES_tradnl" w:eastAsia="es-ES"/>
        </w:rPr>
        <w:t>.</w:t>
      </w:r>
      <w:r w:rsidR="00931570" w:rsidRPr="00B434D5">
        <w:rPr>
          <w:rFonts w:asciiTheme="majorHAnsi" w:eastAsia="Cambria" w:hAnsiTheme="majorHAnsi" w:cs="Cambria"/>
          <w:color w:val="000000"/>
          <w:sz w:val="20"/>
          <w:szCs w:val="20"/>
          <w:u w:color="000000"/>
          <w:lang w:val="es-ES_tradnl" w:eastAsia="es-ES"/>
        </w:rPr>
        <w:t xml:space="preserve"> </w:t>
      </w:r>
      <w:r w:rsidR="005614AF" w:rsidRPr="00B434D5">
        <w:rPr>
          <w:rFonts w:asciiTheme="majorHAnsi" w:eastAsia="Cambria" w:hAnsiTheme="majorHAnsi" w:cs="Cambria"/>
          <w:color w:val="000000"/>
          <w:sz w:val="20"/>
          <w:szCs w:val="20"/>
          <w:u w:color="000000"/>
          <w:lang w:val="es-ES_tradnl" w:eastAsia="es-ES"/>
        </w:rPr>
        <w:t>Ninguna de las partes hace referencia al plazo de presentación</w:t>
      </w:r>
      <w:r w:rsidR="003956A1" w:rsidRPr="00B434D5">
        <w:rPr>
          <w:rFonts w:asciiTheme="majorHAnsi" w:eastAsia="Cambria" w:hAnsiTheme="majorHAnsi" w:cs="Cambria"/>
          <w:color w:val="000000"/>
          <w:sz w:val="20"/>
          <w:szCs w:val="20"/>
          <w:u w:color="000000"/>
          <w:lang w:val="es-ES_tradnl" w:eastAsia="es-ES"/>
        </w:rPr>
        <w:t>.</w:t>
      </w:r>
    </w:p>
    <w:p w:rsidR="00E6644E" w:rsidRPr="00B434D5" w:rsidRDefault="005614AF" w:rsidP="00BD1CCE">
      <w:pPr>
        <w:pStyle w:val="NormalWeb"/>
        <w:ind w:firstLine="720"/>
        <w:jc w:val="both"/>
        <w:rPr>
          <w:rFonts w:ascii="Cambria" w:hAnsi="Cambria"/>
          <w:bCs/>
          <w:sz w:val="20"/>
          <w:szCs w:val="20"/>
          <w:lang w:val="es-ES_tradnl"/>
        </w:rPr>
      </w:pPr>
      <w:r w:rsidRPr="00B434D5">
        <w:rPr>
          <w:rFonts w:asciiTheme="majorHAnsi" w:eastAsia="Cambria" w:hAnsiTheme="majorHAnsi" w:cs="Cambria"/>
          <w:color w:val="000000"/>
          <w:sz w:val="20"/>
          <w:szCs w:val="20"/>
          <w:u w:color="000000"/>
          <w:lang w:val="es-ES_tradnl" w:eastAsia="es-ES"/>
        </w:rPr>
        <w:t>11</w:t>
      </w:r>
      <w:r w:rsidR="00902254" w:rsidRPr="00B434D5">
        <w:rPr>
          <w:rFonts w:asciiTheme="majorHAnsi" w:eastAsia="Cambria" w:hAnsiTheme="majorHAnsi" w:cs="Cambria"/>
          <w:color w:val="000000"/>
          <w:sz w:val="20"/>
          <w:szCs w:val="20"/>
          <w:u w:color="000000"/>
          <w:lang w:val="es-ES_tradnl" w:eastAsia="es-ES"/>
        </w:rPr>
        <w:t>.</w:t>
      </w:r>
      <w:r w:rsidR="00902254" w:rsidRPr="00B434D5">
        <w:rPr>
          <w:rFonts w:asciiTheme="majorHAnsi" w:eastAsia="Cambria" w:hAnsiTheme="majorHAnsi" w:cs="Cambria"/>
          <w:color w:val="000000"/>
          <w:sz w:val="20"/>
          <w:szCs w:val="20"/>
          <w:u w:color="000000"/>
          <w:lang w:val="es-ES_tradnl" w:eastAsia="es-ES"/>
        </w:rPr>
        <w:tab/>
      </w:r>
      <w:r w:rsidR="00414716" w:rsidRPr="00B434D5">
        <w:rPr>
          <w:rFonts w:asciiTheme="majorHAnsi" w:eastAsia="Cambria" w:hAnsiTheme="majorHAnsi" w:cs="Cambria"/>
          <w:color w:val="000000"/>
          <w:sz w:val="20"/>
          <w:szCs w:val="20"/>
          <w:u w:color="000000"/>
          <w:lang w:val="es-ES_tradnl" w:eastAsia="es-ES"/>
        </w:rPr>
        <w:t>L</w:t>
      </w:r>
      <w:r w:rsidR="000E637F" w:rsidRPr="00B434D5">
        <w:rPr>
          <w:rFonts w:ascii="Cambria" w:hAnsi="Cambria"/>
          <w:sz w:val="20"/>
          <w:szCs w:val="20"/>
          <w:lang w:val="es-ES_tradnl"/>
        </w:rPr>
        <w:t xml:space="preserve">a </w:t>
      </w:r>
      <w:r w:rsidR="00405AF5" w:rsidRPr="00B434D5">
        <w:rPr>
          <w:rFonts w:ascii="Cambria" w:hAnsi="Cambria"/>
          <w:sz w:val="20"/>
          <w:szCs w:val="20"/>
          <w:lang w:val="es-ES_tradnl"/>
        </w:rPr>
        <w:t>Comisión</w:t>
      </w:r>
      <w:r w:rsidR="000E637F" w:rsidRPr="00B434D5">
        <w:rPr>
          <w:rFonts w:ascii="Cambria" w:hAnsi="Cambria"/>
          <w:sz w:val="20"/>
          <w:szCs w:val="20"/>
          <w:lang w:val="es-ES_tradnl"/>
        </w:rPr>
        <w:t xml:space="preserve"> recuerda </w:t>
      </w:r>
      <w:r w:rsidR="0014699B" w:rsidRPr="00B434D5">
        <w:rPr>
          <w:rFonts w:ascii="Cambria" w:hAnsi="Cambria"/>
          <w:sz w:val="20"/>
          <w:szCs w:val="20"/>
          <w:lang w:val="es-ES_tradnl"/>
        </w:rPr>
        <w:t>que en casos como el presente,</w:t>
      </w:r>
      <w:r w:rsidR="000E637F" w:rsidRPr="00B434D5">
        <w:rPr>
          <w:rFonts w:ascii="Cambria" w:hAnsi="Cambria"/>
          <w:sz w:val="20"/>
          <w:szCs w:val="20"/>
          <w:lang w:val="es-ES_tradnl"/>
        </w:rPr>
        <w:t xml:space="preserve"> en </w:t>
      </w:r>
      <w:r w:rsidR="0014699B" w:rsidRPr="00B434D5">
        <w:rPr>
          <w:rFonts w:ascii="Cambria" w:hAnsi="Cambria"/>
          <w:sz w:val="20"/>
          <w:szCs w:val="20"/>
          <w:lang w:val="es-ES_tradnl"/>
        </w:rPr>
        <w:t xml:space="preserve">el </w:t>
      </w:r>
      <w:r w:rsidR="000E637F" w:rsidRPr="00B434D5">
        <w:rPr>
          <w:rFonts w:ascii="Cambria" w:hAnsi="Cambria"/>
          <w:sz w:val="20"/>
          <w:szCs w:val="20"/>
          <w:lang w:val="es-ES_tradnl"/>
        </w:rPr>
        <w:t>que se alega</w:t>
      </w:r>
      <w:r w:rsidR="00896270" w:rsidRPr="00B434D5">
        <w:rPr>
          <w:rFonts w:ascii="Cambria" w:hAnsi="Cambria"/>
          <w:sz w:val="20"/>
          <w:szCs w:val="20"/>
          <w:lang w:val="es-ES_tradnl"/>
        </w:rPr>
        <w:t>n</w:t>
      </w:r>
      <w:r w:rsidR="000E637F" w:rsidRPr="00B434D5">
        <w:rPr>
          <w:rFonts w:ascii="Cambria" w:hAnsi="Cambria"/>
          <w:sz w:val="20"/>
          <w:szCs w:val="20"/>
          <w:lang w:val="es-ES_tradnl"/>
        </w:rPr>
        <w:t xml:space="preserve"> violaciones a la integridad personal de un niño, </w:t>
      </w:r>
      <w:r w:rsidR="00902254" w:rsidRPr="00B434D5">
        <w:rPr>
          <w:rFonts w:ascii="Cambria" w:hAnsi="Cambria"/>
          <w:sz w:val="20"/>
          <w:szCs w:val="20"/>
          <w:lang w:val="es-ES_tradnl"/>
        </w:rPr>
        <w:t xml:space="preserve">el proceso penal constituye el recurso </w:t>
      </w:r>
      <w:r w:rsidR="008044D4" w:rsidRPr="00B434D5">
        <w:rPr>
          <w:rFonts w:ascii="Cambria" w:hAnsi="Cambria"/>
          <w:sz w:val="20"/>
          <w:szCs w:val="20"/>
          <w:lang w:val="es-ES_tradnl"/>
        </w:rPr>
        <w:t>idóneo</w:t>
      </w:r>
      <w:r w:rsidR="00902254" w:rsidRPr="00B434D5">
        <w:rPr>
          <w:rFonts w:ascii="Cambria" w:hAnsi="Cambria"/>
          <w:sz w:val="20"/>
          <w:szCs w:val="20"/>
          <w:lang w:val="es-ES_tradnl"/>
        </w:rPr>
        <w:t xml:space="preserve"> para aclarar los hechos</w:t>
      </w:r>
      <w:r w:rsidR="00CA4862" w:rsidRPr="00B434D5">
        <w:rPr>
          <w:rStyle w:val="FootnoteReference"/>
          <w:rFonts w:ascii="Cambria" w:hAnsi="Cambria"/>
          <w:sz w:val="20"/>
          <w:szCs w:val="20"/>
          <w:lang w:val="es-ES_tradnl"/>
        </w:rPr>
        <w:footnoteReference w:id="7"/>
      </w:r>
      <w:r w:rsidR="00902254" w:rsidRPr="00B434D5">
        <w:rPr>
          <w:rFonts w:ascii="Cambria" w:hAnsi="Cambria"/>
          <w:sz w:val="20"/>
          <w:szCs w:val="20"/>
          <w:lang w:val="es-ES_tradnl"/>
        </w:rPr>
        <w:t xml:space="preserve">, juzgar a los eventuales responsables y establecer las sanciones penales cuando correspondan. </w:t>
      </w:r>
      <w:r w:rsidR="0014699B" w:rsidRPr="00B434D5">
        <w:rPr>
          <w:rFonts w:ascii="Cambria" w:hAnsi="Cambria"/>
          <w:sz w:val="20"/>
          <w:szCs w:val="20"/>
          <w:lang w:val="es-ES_tradnl"/>
        </w:rPr>
        <w:t>En este sentido, l</w:t>
      </w:r>
      <w:r w:rsidR="00902254" w:rsidRPr="00B434D5">
        <w:rPr>
          <w:rFonts w:ascii="Cambria" w:hAnsi="Cambria"/>
          <w:sz w:val="20"/>
          <w:szCs w:val="20"/>
          <w:lang w:val="es-ES_tradnl"/>
        </w:rPr>
        <w:t xml:space="preserve">a </w:t>
      </w:r>
      <w:r w:rsidR="00CC62B4" w:rsidRPr="00B434D5">
        <w:rPr>
          <w:rFonts w:ascii="Cambria" w:hAnsi="Cambria"/>
          <w:sz w:val="20"/>
          <w:szCs w:val="20"/>
          <w:lang w:val="es-ES_tradnl"/>
        </w:rPr>
        <w:t>Comisión</w:t>
      </w:r>
      <w:r w:rsidR="00902254" w:rsidRPr="00B434D5">
        <w:rPr>
          <w:rFonts w:ascii="Cambria" w:hAnsi="Cambria"/>
          <w:sz w:val="20"/>
          <w:szCs w:val="20"/>
          <w:lang w:val="es-ES_tradnl"/>
        </w:rPr>
        <w:t xml:space="preserve"> observa que la denuncia penal fue presentada el </w:t>
      </w:r>
      <w:r w:rsidR="008044D4" w:rsidRPr="00B434D5">
        <w:rPr>
          <w:rFonts w:ascii="Cambria" w:hAnsi="Cambria"/>
          <w:sz w:val="20"/>
          <w:szCs w:val="20"/>
          <w:lang w:val="es-ES_tradnl"/>
        </w:rPr>
        <w:t>23 de mayo de 2007</w:t>
      </w:r>
      <w:r w:rsidR="00F44272" w:rsidRPr="00B434D5">
        <w:rPr>
          <w:rFonts w:ascii="Cambria" w:hAnsi="Cambria"/>
          <w:sz w:val="20"/>
          <w:szCs w:val="20"/>
          <w:lang w:val="es-ES_tradnl"/>
        </w:rPr>
        <w:t>,</w:t>
      </w:r>
      <w:r w:rsidR="008044D4" w:rsidRPr="00B434D5">
        <w:rPr>
          <w:rFonts w:ascii="Cambria" w:hAnsi="Cambria"/>
          <w:sz w:val="20"/>
          <w:szCs w:val="20"/>
          <w:lang w:val="es-ES_tradnl"/>
        </w:rPr>
        <w:t xml:space="preserve"> </w:t>
      </w:r>
      <w:r w:rsidR="00F44272" w:rsidRPr="00B434D5">
        <w:rPr>
          <w:rFonts w:ascii="Cambria" w:hAnsi="Cambria"/>
          <w:sz w:val="20"/>
          <w:szCs w:val="20"/>
          <w:lang w:val="es-ES_tradnl"/>
        </w:rPr>
        <w:t>y</w:t>
      </w:r>
      <w:r w:rsidR="00902254" w:rsidRPr="00B434D5">
        <w:rPr>
          <w:rFonts w:ascii="Cambria" w:hAnsi="Cambria"/>
          <w:sz w:val="20"/>
          <w:szCs w:val="20"/>
          <w:lang w:val="es-ES_tradnl"/>
        </w:rPr>
        <w:t xml:space="preserve"> </w:t>
      </w:r>
      <w:r w:rsidR="009A5B78" w:rsidRPr="00B434D5">
        <w:rPr>
          <w:rFonts w:ascii="Cambria" w:hAnsi="Cambria"/>
          <w:sz w:val="20"/>
          <w:szCs w:val="20"/>
          <w:lang w:val="es-ES_tradnl"/>
        </w:rPr>
        <w:t>según</w:t>
      </w:r>
      <w:r w:rsidR="00902254" w:rsidRPr="00B434D5">
        <w:rPr>
          <w:rFonts w:ascii="Cambria" w:hAnsi="Cambria"/>
          <w:sz w:val="20"/>
          <w:szCs w:val="20"/>
          <w:lang w:val="es-ES_tradnl"/>
        </w:rPr>
        <w:t xml:space="preserve"> la </w:t>
      </w:r>
      <w:r w:rsidR="00CC62B4" w:rsidRPr="00B434D5">
        <w:rPr>
          <w:rFonts w:ascii="Cambria" w:hAnsi="Cambria"/>
          <w:sz w:val="20"/>
          <w:szCs w:val="20"/>
          <w:lang w:val="es-ES_tradnl"/>
        </w:rPr>
        <w:t>ú</w:t>
      </w:r>
      <w:r w:rsidR="009A5B78" w:rsidRPr="00B434D5">
        <w:rPr>
          <w:rFonts w:ascii="Cambria" w:hAnsi="Cambria"/>
          <w:sz w:val="20"/>
          <w:szCs w:val="20"/>
          <w:lang w:val="es-ES_tradnl"/>
        </w:rPr>
        <w:t>ltima</w:t>
      </w:r>
      <w:r w:rsidR="00902254" w:rsidRPr="00B434D5">
        <w:rPr>
          <w:rFonts w:ascii="Cambria" w:hAnsi="Cambria"/>
          <w:sz w:val="20"/>
          <w:szCs w:val="20"/>
          <w:lang w:val="es-ES_tradnl"/>
        </w:rPr>
        <w:t xml:space="preserve"> </w:t>
      </w:r>
      <w:r w:rsidR="00CC62B4" w:rsidRPr="00B434D5">
        <w:rPr>
          <w:rFonts w:ascii="Cambria" w:hAnsi="Cambria"/>
          <w:sz w:val="20"/>
          <w:szCs w:val="20"/>
          <w:lang w:val="es-ES_tradnl"/>
        </w:rPr>
        <w:t>información</w:t>
      </w:r>
      <w:r w:rsidR="00902254" w:rsidRPr="00B434D5">
        <w:rPr>
          <w:rFonts w:ascii="Cambria" w:hAnsi="Cambria"/>
          <w:sz w:val="20"/>
          <w:szCs w:val="20"/>
          <w:lang w:val="es-ES_tradnl"/>
        </w:rPr>
        <w:t xml:space="preserve"> en </w:t>
      </w:r>
      <w:r w:rsidR="009A5B78" w:rsidRPr="00B434D5">
        <w:rPr>
          <w:rFonts w:ascii="Cambria" w:hAnsi="Cambria"/>
          <w:sz w:val="20"/>
          <w:szCs w:val="20"/>
          <w:lang w:val="es-ES_tradnl"/>
        </w:rPr>
        <w:t xml:space="preserve">el </w:t>
      </w:r>
      <w:r w:rsidR="00902254" w:rsidRPr="00B434D5">
        <w:rPr>
          <w:rFonts w:ascii="Cambria" w:hAnsi="Cambria"/>
          <w:sz w:val="20"/>
          <w:szCs w:val="20"/>
          <w:lang w:val="es-ES_tradnl"/>
        </w:rPr>
        <w:t>expediente proporcionada por el Estado</w:t>
      </w:r>
      <w:r w:rsidR="001F10F3" w:rsidRPr="00B434D5">
        <w:rPr>
          <w:rFonts w:ascii="Cambria" w:hAnsi="Cambria"/>
          <w:bCs/>
          <w:sz w:val="20"/>
          <w:szCs w:val="20"/>
          <w:lang w:val="es-ES_tradnl"/>
        </w:rPr>
        <w:t xml:space="preserve">, </w:t>
      </w:r>
      <w:r w:rsidR="00BC01BE" w:rsidRPr="00B434D5">
        <w:rPr>
          <w:rFonts w:ascii="Cambria" w:hAnsi="Cambria"/>
          <w:bCs/>
          <w:sz w:val="20"/>
          <w:szCs w:val="20"/>
          <w:lang w:val="es-ES_tradnl"/>
        </w:rPr>
        <w:t>hay</w:t>
      </w:r>
      <w:r w:rsidR="001F10F3" w:rsidRPr="00B434D5">
        <w:rPr>
          <w:rFonts w:ascii="Cambria" w:hAnsi="Cambria"/>
          <w:bCs/>
          <w:sz w:val="20"/>
          <w:szCs w:val="20"/>
          <w:lang w:val="es-ES_tradnl"/>
        </w:rPr>
        <w:t xml:space="preserve"> </w:t>
      </w:r>
      <w:r w:rsidR="00E01CF6" w:rsidRPr="00B434D5">
        <w:rPr>
          <w:rFonts w:ascii="Cambria" w:hAnsi="Cambria"/>
          <w:bCs/>
          <w:sz w:val="20"/>
          <w:szCs w:val="20"/>
          <w:lang w:val="es-ES_tradnl"/>
        </w:rPr>
        <w:t>dos</w:t>
      </w:r>
      <w:r w:rsidR="001F10F3" w:rsidRPr="00B434D5">
        <w:rPr>
          <w:rFonts w:ascii="Cambria" w:hAnsi="Cambria"/>
          <w:bCs/>
          <w:sz w:val="20"/>
          <w:szCs w:val="20"/>
          <w:lang w:val="es-ES_tradnl"/>
        </w:rPr>
        <w:t xml:space="preserve"> decisi</w:t>
      </w:r>
      <w:r w:rsidR="00E01CF6" w:rsidRPr="00B434D5">
        <w:rPr>
          <w:rFonts w:ascii="Cambria" w:hAnsi="Cambria"/>
          <w:bCs/>
          <w:sz w:val="20"/>
          <w:szCs w:val="20"/>
          <w:lang w:val="es-ES_tradnl"/>
        </w:rPr>
        <w:t>ones</w:t>
      </w:r>
      <w:r w:rsidR="001F10F3" w:rsidRPr="00B434D5">
        <w:rPr>
          <w:rFonts w:ascii="Cambria" w:hAnsi="Cambria"/>
          <w:bCs/>
          <w:sz w:val="20"/>
          <w:szCs w:val="20"/>
          <w:lang w:val="es-ES_tradnl"/>
        </w:rPr>
        <w:t xml:space="preserve"> </w:t>
      </w:r>
      <w:r w:rsidR="00E01CF6" w:rsidRPr="00B434D5">
        <w:rPr>
          <w:rFonts w:ascii="Cambria" w:hAnsi="Cambria"/>
          <w:bCs/>
          <w:sz w:val="20"/>
          <w:szCs w:val="20"/>
          <w:lang w:val="es-ES_tradnl"/>
        </w:rPr>
        <w:t xml:space="preserve">que </w:t>
      </w:r>
      <w:r w:rsidR="008205EF" w:rsidRPr="00B434D5">
        <w:rPr>
          <w:rFonts w:ascii="Cambria" w:hAnsi="Cambria"/>
          <w:bCs/>
          <w:sz w:val="20"/>
          <w:szCs w:val="20"/>
          <w:lang w:val="es-ES_tradnl"/>
        </w:rPr>
        <w:t>concluyen</w:t>
      </w:r>
      <w:r w:rsidR="00E01CF6" w:rsidRPr="00B434D5">
        <w:rPr>
          <w:rFonts w:ascii="Cambria" w:hAnsi="Cambria"/>
          <w:bCs/>
          <w:sz w:val="20"/>
          <w:szCs w:val="20"/>
          <w:lang w:val="es-ES_tradnl"/>
        </w:rPr>
        <w:t xml:space="preserve"> </w:t>
      </w:r>
      <w:r w:rsidR="008205EF" w:rsidRPr="00B434D5">
        <w:rPr>
          <w:rFonts w:ascii="Cambria" w:hAnsi="Cambria"/>
          <w:bCs/>
          <w:sz w:val="20"/>
          <w:szCs w:val="20"/>
          <w:lang w:val="es-ES_tradnl"/>
        </w:rPr>
        <w:t xml:space="preserve">con </w:t>
      </w:r>
      <w:r w:rsidR="00F44272" w:rsidRPr="00B434D5">
        <w:rPr>
          <w:rFonts w:ascii="Cambria" w:hAnsi="Cambria"/>
          <w:bCs/>
          <w:sz w:val="20"/>
          <w:szCs w:val="20"/>
          <w:lang w:val="es-ES_tradnl"/>
        </w:rPr>
        <w:t>ese</w:t>
      </w:r>
      <w:r w:rsidR="00E01CF6" w:rsidRPr="00B434D5">
        <w:rPr>
          <w:rFonts w:ascii="Cambria" w:hAnsi="Cambria"/>
          <w:bCs/>
          <w:sz w:val="20"/>
          <w:szCs w:val="20"/>
          <w:lang w:val="es-ES_tradnl"/>
        </w:rPr>
        <w:t xml:space="preserve"> proceso: (i) la resolución de un recurso de amparo </w:t>
      </w:r>
      <w:r w:rsidR="00BC01BE" w:rsidRPr="00B434D5">
        <w:rPr>
          <w:rFonts w:ascii="Cambria" w:hAnsi="Cambria"/>
          <w:bCs/>
          <w:sz w:val="20"/>
          <w:szCs w:val="20"/>
          <w:lang w:val="es-ES_tradnl"/>
        </w:rPr>
        <w:t xml:space="preserve">del 17 de mayo de 2011, </w:t>
      </w:r>
      <w:r w:rsidR="001F10F3" w:rsidRPr="00B434D5">
        <w:rPr>
          <w:rFonts w:ascii="Cambria" w:hAnsi="Cambria"/>
          <w:bCs/>
          <w:sz w:val="20"/>
          <w:szCs w:val="20"/>
          <w:lang w:val="es-ES_tradnl"/>
        </w:rPr>
        <w:t xml:space="preserve">de la Primera Sala de la Suprema </w:t>
      </w:r>
      <w:r w:rsidR="00F44272" w:rsidRPr="00B434D5">
        <w:rPr>
          <w:rFonts w:ascii="Cambria" w:hAnsi="Cambria"/>
          <w:bCs/>
          <w:sz w:val="20"/>
          <w:szCs w:val="20"/>
          <w:lang w:val="es-ES_tradnl"/>
        </w:rPr>
        <w:t>Corte de Justicia de la Nación</w:t>
      </w:r>
      <w:r w:rsidR="00BC01BE" w:rsidRPr="00B434D5">
        <w:rPr>
          <w:rFonts w:ascii="Cambria" w:hAnsi="Cambria"/>
          <w:bCs/>
          <w:sz w:val="20"/>
          <w:szCs w:val="20"/>
          <w:lang w:val="es-ES_tradnl"/>
        </w:rPr>
        <w:t xml:space="preserve"> </w:t>
      </w:r>
      <w:r w:rsidR="008205EF" w:rsidRPr="00B434D5">
        <w:rPr>
          <w:rFonts w:ascii="Cambria" w:hAnsi="Cambria"/>
          <w:bCs/>
          <w:sz w:val="20"/>
          <w:szCs w:val="20"/>
          <w:lang w:val="es-ES_tradnl"/>
        </w:rPr>
        <w:t>que le concede la libertad</w:t>
      </w:r>
      <w:r w:rsidR="00F44272" w:rsidRPr="00B434D5">
        <w:rPr>
          <w:rFonts w:ascii="Cambria" w:hAnsi="Cambria"/>
          <w:bCs/>
          <w:sz w:val="20"/>
          <w:szCs w:val="20"/>
          <w:lang w:val="es-ES_tradnl"/>
        </w:rPr>
        <w:t xml:space="preserve"> a la Sra. García</w:t>
      </w:r>
      <w:r w:rsidR="008205EF" w:rsidRPr="00B434D5">
        <w:rPr>
          <w:rFonts w:ascii="Cambria" w:hAnsi="Cambria"/>
          <w:bCs/>
          <w:sz w:val="20"/>
          <w:szCs w:val="20"/>
          <w:lang w:val="es-ES_tradnl"/>
        </w:rPr>
        <w:t xml:space="preserve">, </w:t>
      </w:r>
      <w:r w:rsidR="00BC01BE" w:rsidRPr="00B434D5">
        <w:rPr>
          <w:rFonts w:ascii="Cambria" w:hAnsi="Cambria"/>
          <w:bCs/>
          <w:sz w:val="20"/>
          <w:szCs w:val="20"/>
          <w:lang w:val="es-ES_tradnl"/>
        </w:rPr>
        <w:t xml:space="preserve">y </w:t>
      </w:r>
      <w:r w:rsidR="00E01CF6" w:rsidRPr="00B434D5">
        <w:rPr>
          <w:rFonts w:ascii="Cambria" w:hAnsi="Cambria"/>
          <w:bCs/>
          <w:sz w:val="20"/>
          <w:szCs w:val="20"/>
          <w:lang w:val="es-ES_tradnl"/>
        </w:rPr>
        <w:t xml:space="preserve">(ii) la </w:t>
      </w:r>
      <w:r w:rsidR="00A7305C" w:rsidRPr="00B434D5">
        <w:rPr>
          <w:rFonts w:ascii="Cambria" w:hAnsi="Cambria"/>
          <w:bCs/>
          <w:sz w:val="20"/>
          <w:szCs w:val="20"/>
          <w:lang w:val="es-ES_tradnl"/>
        </w:rPr>
        <w:t xml:space="preserve">revisión de la resolución de dos recursos de amparo </w:t>
      </w:r>
      <w:r w:rsidR="0078379E" w:rsidRPr="00B434D5">
        <w:rPr>
          <w:rFonts w:ascii="Cambria" w:hAnsi="Cambria"/>
          <w:bCs/>
          <w:sz w:val="20"/>
          <w:szCs w:val="20"/>
          <w:lang w:val="es-ES_tradnl"/>
        </w:rPr>
        <w:t>inter</w:t>
      </w:r>
      <w:r w:rsidR="00A7305C" w:rsidRPr="00B434D5">
        <w:rPr>
          <w:rFonts w:ascii="Cambria" w:hAnsi="Cambria"/>
          <w:bCs/>
          <w:sz w:val="20"/>
          <w:szCs w:val="20"/>
          <w:lang w:val="es-ES_tradnl"/>
        </w:rPr>
        <w:t>puestos contra la sente</w:t>
      </w:r>
      <w:r w:rsidR="008205EF" w:rsidRPr="00B434D5">
        <w:rPr>
          <w:rFonts w:ascii="Cambria" w:hAnsi="Cambria"/>
          <w:bCs/>
          <w:sz w:val="20"/>
          <w:szCs w:val="20"/>
          <w:lang w:val="es-ES_tradnl"/>
        </w:rPr>
        <w:t>n</w:t>
      </w:r>
      <w:r w:rsidR="00A7305C" w:rsidRPr="00B434D5">
        <w:rPr>
          <w:rFonts w:ascii="Cambria" w:hAnsi="Cambria"/>
          <w:bCs/>
          <w:sz w:val="20"/>
          <w:szCs w:val="20"/>
          <w:lang w:val="es-ES_tradnl"/>
        </w:rPr>
        <w:t xml:space="preserve">cia que otorgó la libertad </w:t>
      </w:r>
      <w:r w:rsidR="0078379E" w:rsidRPr="00B434D5">
        <w:rPr>
          <w:rFonts w:ascii="Cambria" w:hAnsi="Cambria"/>
          <w:bCs/>
          <w:sz w:val="20"/>
          <w:szCs w:val="20"/>
          <w:lang w:val="es-ES_tradnl"/>
        </w:rPr>
        <w:t>a</w:t>
      </w:r>
      <w:r w:rsidR="008205EF" w:rsidRPr="00B434D5">
        <w:rPr>
          <w:rFonts w:ascii="Cambria" w:hAnsi="Cambria"/>
          <w:bCs/>
          <w:sz w:val="20"/>
          <w:szCs w:val="20"/>
          <w:lang w:val="es-ES_tradnl"/>
        </w:rPr>
        <w:t xml:space="preserve"> </w:t>
      </w:r>
      <w:r w:rsidR="008205EF" w:rsidRPr="00B434D5">
        <w:rPr>
          <w:rFonts w:asciiTheme="majorHAnsi" w:eastAsia="Cambria" w:hAnsiTheme="majorHAnsi" w:cs="Cambria"/>
          <w:color w:val="000000"/>
          <w:sz w:val="20"/>
          <w:szCs w:val="20"/>
          <w:u w:color="000000"/>
          <w:lang w:val="es-ES_tradnl" w:eastAsia="es-ES"/>
        </w:rPr>
        <w:t>Constantino y Pérez</w:t>
      </w:r>
      <w:r w:rsidR="00F01C87" w:rsidRPr="00B434D5">
        <w:rPr>
          <w:rFonts w:ascii="Cambria" w:hAnsi="Cambria"/>
          <w:sz w:val="20"/>
          <w:szCs w:val="20"/>
          <w:lang w:val="es-ES_tradnl"/>
        </w:rPr>
        <w:t>,</w:t>
      </w:r>
      <w:r w:rsidR="00BC01BE" w:rsidRPr="00B434D5">
        <w:rPr>
          <w:rFonts w:ascii="Cambria" w:hAnsi="Cambria"/>
          <w:sz w:val="20"/>
          <w:szCs w:val="20"/>
          <w:lang w:val="es-ES_tradnl"/>
        </w:rPr>
        <w:t xml:space="preserve"> por parte del </w:t>
      </w:r>
      <w:r w:rsidR="00BC01BE" w:rsidRPr="00B434D5">
        <w:rPr>
          <w:rFonts w:ascii="Cambria" w:hAnsi="Cambria"/>
          <w:bCs/>
          <w:sz w:val="20"/>
          <w:szCs w:val="20"/>
          <w:lang w:val="es-ES_tradnl"/>
        </w:rPr>
        <w:t>Tribunal Colegiado del Décimo Tercer Circuito en Materia Penal y Administrativa</w:t>
      </w:r>
      <w:r w:rsidR="00215A34" w:rsidRPr="00B434D5">
        <w:rPr>
          <w:rFonts w:ascii="Cambria" w:hAnsi="Cambria"/>
          <w:bCs/>
          <w:sz w:val="20"/>
          <w:szCs w:val="20"/>
          <w:lang w:val="es-ES_tradnl"/>
        </w:rPr>
        <w:t xml:space="preserve">. </w:t>
      </w:r>
    </w:p>
    <w:p w:rsidR="00F11470" w:rsidRPr="00B434D5" w:rsidRDefault="00447A00" w:rsidP="00732BB9">
      <w:pPr>
        <w:pStyle w:val="NormalWeb"/>
        <w:ind w:firstLine="720"/>
        <w:jc w:val="both"/>
        <w:rPr>
          <w:rFonts w:ascii="Cambria" w:hAnsi="Cambria"/>
          <w:bCs/>
          <w:sz w:val="20"/>
          <w:szCs w:val="20"/>
          <w:lang w:val="es-ES_tradnl"/>
        </w:rPr>
      </w:pPr>
      <w:r w:rsidRPr="00B434D5">
        <w:rPr>
          <w:rFonts w:ascii="Cambria" w:hAnsi="Cambria"/>
          <w:bCs/>
          <w:sz w:val="20"/>
          <w:szCs w:val="20"/>
          <w:lang w:val="es-ES_tradnl"/>
        </w:rPr>
        <w:t>12</w:t>
      </w:r>
      <w:r w:rsidR="00E6644E" w:rsidRPr="00B434D5">
        <w:rPr>
          <w:rFonts w:ascii="Cambria" w:hAnsi="Cambria"/>
          <w:bCs/>
          <w:sz w:val="20"/>
          <w:szCs w:val="20"/>
          <w:lang w:val="es-ES_tradnl"/>
        </w:rPr>
        <w:t>.</w:t>
      </w:r>
      <w:r w:rsidR="00E6644E" w:rsidRPr="00B434D5">
        <w:rPr>
          <w:rFonts w:ascii="Cambria" w:hAnsi="Cambria"/>
          <w:bCs/>
          <w:sz w:val="20"/>
          <w:szCs w:val="20"/>
          <w:lang w:val="es-ES_tradnl"/>
        </w:rPr>
        <w:tab/>
      </w:r>
      <w:r w:rsidR="0078379E" w:rsidRPr="00B434D5">
        <w:rPr>
          <w:rFonts w:ascii="Cambria" w:hAnsi="Cambria"/>
          <w:bCs/>
          <w:sz w:val="20"/>
          <w:szCs w:val="20"/>
          <w:lang w:val="es-ES_tradnl"/>
        </w:rPr>
        <w:t>Así</w:t>
      </w:r>
      <w:r w:rsidR="00284DD8" w:rsidRPr="00B434D5">
        <w:rPr>
          <w:rFonts w:ascii="Cambria" w:hAnsi="Cambria"/>
          <w:bCs/>
          <w:sz w:val="20"/>
          <w:szCs w:val="20"/>
          <w:lang w:val="es-ES_tradnl"/>
        </w:rPr>
        <w:t xml:space="preserve">, </w:t>
      </w:r>
      <w:r w:rsidR="00314D10" w:rsidRPr="00B434D5">
        <w:rPr>
          <w:rFonts w:ascii="Cambria" w:hAnsi="Cambria"/>
          <w:bCs/>
          <w:sz w:val="20"/>
          <w:szCs w:val="20"/>
          <w:lang w:val="es-ES_tradnl"/>
        </w:rPr>
        <w:t>se tienen en</w:t>
      </w:r>
      <w:r w:rsidR="00E83002" w:rsidRPr="00B434D5">
        <w:rPr>
          <w:rFonts w:ascii="Cambria" w:hAnsi="Cambria"/>
          <w:bCs/>
          <w:sz w:val="20"/>
          <w:szCs w:val="20"/>
          <w:lang w:val="es-ES_tradnl"/>
        </w:rPr>
        <w:t xml:space="preserve"> </w:t>
      </w:r>
      <w:r w:rsidR="00F21C0A" w:rsidRPr="00B434D5">
        <w:rPr>
          <w:rFonts w:ascii="Cambria" w:hAnsi="Cambria"/>
          <w:bCs/>
          <w:sz w:val="20"/>
          <w:szCs w:val="20"/>
          <w:lang w:val="es-ES_tradnl"/>
        </w:rPr>
        <w:t xml:space="preserve">la petición </w:t>
      </w:r>
      <w:r w:rsidR="00314D10" w:rsidRPr="00B434D5">
        <w:rPr>
          <w:rFonts w:ascii="Cambria" w:hAnsi="Cambria"/>
          <w:bCs/>
          <w:sz w:val="20"/>
          <w:szCs w:val="20"/>
          <w:lang w:val="es-ES_tradnl"/>
        </w:rPr>
        <w:t xml:space="preserve">dos trámites o cursos principales en el juzgamiento de los hechos. </w:t>
      </w:r>
      <w:r w:rsidR="00FB32C8" w:rsidRPr="00B434D5">
        <w:rPr>
          <w:rFonts w:ascii="Cambria" w:hAnsi="Cambria"/>
          <w:bCs/>
          <w:sz w:val="20"/>
          <w:szCs w:val="20"/>
          <w:lang w:val="es-ES_tradnl"/>
        </w:rPr>
        <w:t>El primero</w:t>
      </w:r>
      <w:r w:rsidR="001113EE" w:rsidRPr="00B434D5">
        <w:rPr>
          <w:rFonts w:ascii="Cambria" w:hAnsi="Cambria"/>
          <w:bCs/>
          <w:sz w:val="20"/>
          <w:szCs w:val="20"/>
          <w:lang w:val="es-ES_tradnl"/>
        </w:rPr>
        <w:t xml:space="preserve">, </w:t>
      </w:r>
      <w:r w:rsidR="00FB32C8" w:rsidRPr="00B434D5">
        <w:rPr>
          <w:rFonts w:ascii="Cambria" w:hAnsi="Cambria"/>
          <w:bCs/>
          <w:sz w:val="20"/>
          <w:szCs w:val="20"/>
          <w:lang w:val="es-ES_tradnl"/>
        </w:rPr>
        <w:t xml:space="preserve">es </w:t>
      </w:r>
      <w:r w:rsidR="001113EE" w:rsidRPr="00B434D5">
        <w:rPr>
          <w:rFonts w:ascii="Cambria" w:hAnsi="Cambria"/>
          <w:bCs/>
          <w:sz w:val="20"/>
          <w:szCs w:val="20"/>
          <w:lang w:val="es-ES_tradnl"/>
        </w:rPr>
        <w:t xml:space="preserve">el que inició </w:t>
      </w:r>
      <w:r w:rsidR="00F21C0A" w:rsidRPr="00B434D5">
        <w:rPr>
          <w:rFonts w:ascii="Cambria" w:hAnsi="Cambria"/>
          <w:bCs/>
          <w:sz w:val="20"/>
          <w:szCs w:val="20"/>
          <w:lang w:val="es-ES_tradnl"/>
        </w:rPr>
        <w:t>el 28 de septiembre de 2007</w:t>
      </w:r>
      <w:r w:rsidR="00AD1D58" w:rsidRPr="00B434D5">
        <w:rPr>
          <w:rFonts w:ascii="Cambria" w:hAnsi="Cambria"/>
          <w:bCs/>
          <w:sz w:val="20"/>
          <w:szCs w:val="20"/>
          <w:lang w:val="es-ES_tradnl"/>
        </w:rPr>
        <w:t xml:space="preserve"> </w:t>
      </w:r>
      <w:r w:rsidR="001113EE" w:rsidRPr="00B434D5">
        <w:rPr>
          <w:rFonts w:ascii="Cambria" w:hAnsi="Cambria"/>
          <w:bCs/>
          <w:sz w:val="20"/>
          <w:szCs w:val="20"/>
          <w:lang w:val="es-ES_tradnl"/>
        </w:rPr>
        <w:t>contra la Sra. García, investigada por ser cómplice del delito de violación, y cuyo proceso concluy</w:t>
      </w:r>
      <w:r w:rsidR="003F0F18" w:rsidRPr="00B434D5">
        <w:rPr>
          <w:rFonts w:ascii="Cambria" w:hAnsi="Cambria"/>
          <w:bCs/>
          <w:sz w:val="20"/>
          <w:szCs w:val="20"/>
          <w:lang w:val="es-ES_tradnl"/>
        </w:rPr>
        <w:t>ó</w:t>
      </w:r>
      <w:r w:rsidR="001113EE" w:rsidRPr="00B434D5">
        <w:rPr>
          <w:rFonts w:ascii="Cambria" w:hAnsi="Cambria"/>
          <w:bCs/>
          <w:sz w:val="20"/>
          <w:szCs w:val="20"/>
          <w:lang w:val="es-ES_tradnl"/>
        </w:rPr>
        <w:t xml:space="preserve"> el 17 de mayo de 2011 con sentencia absolutoria de</w:t>
      </w:r>
      <w:r w:rsidR="00333276" w:rsidRPr="00B434D5">
        <w:rPr>
          <w:rFonts w:ascii="Cambria" w:hAnsi="Cambria"/>
          <w:bCs/>
          <w:sz w:val="20"/>
          <w:szCs w:val="20"/>
          <w:lang w:val="es-ES_tradnl"/>
        </w:rPr>
        <w:t xml:space="preserve"> la Primera Sala de la Suprema Corte de Justicia de la Nación. Con relación a </w:t>
      </w:r>
      <w:r w:rsidR="00284DD8" w:rsidRPr="00B434D5">
        <w:rPr>
          <w:rFonts w:ascii="Cambria" w:hAnsi="Cambria"/>
          <w:bCs/>
          <w:sz w:val="20"/>
          <w:szCs w:val="20"/>
          <w:lang w:val="es-ES_tradnl"/>
        </w:rPr>
        <w:t>este</w:t>
      </w:r>
      <w:r w:rsidR="00333276" w:rsidRPr="00B434D5">
        <w:rPr>
          <w:rFonts w:ascii="Cambria" w:hAnsi="Cambria"/>
          <w:bCs/>
          <w:sz w:val="20"/>
          <w:szCs w:val="20"/>
          <w:lang w:val="es-ES_tradnl"/>
        </w:rPr>
        <w:t xml:space="preserve"> proceso, la CIDH observa que los peticionarios agotaron todos los recursos internos al presentar una denuncia penal, así como múltiples recursos de amparo contra la decisión del tribunal, cumpliendo con</w:t>
      </w:r>
      <w:r w:rsidR="00D66E96" w:rsidRPr="00B434D5">
        <w:rPr>
          <w:rFonts w:ascii="Cambria" w:hAnsi="Cambria"/>
          <w:bCs/>
          <w:sz w:val="20"/>
          <w:szCs w:val="20"/>
          <w:lang w:val="es-ES_tradnl"/>
        </w:rPr>
        <w:t xml:space="preserve"> el requisito del artículo 46.1.</w:t>
      </w:r>
      <w:r w:rsidR="00333276" w:rsidRPr="00B434D5">
        <w:rPr>
          <w:rFonts w:ascii="Cambria" w:hAnsi="Cambria"/>
          <w:bCs/>
          <w:sz w:val="20"/>
          <w:szCs w:val="20"/>
          <w:lang w:val="es-ES_tradnl"/>
        </w:rPr>
        <w:t xml:space="preserve">a) de la Convención Americana. </w:t>
      </w:r>
      <w:r w:rsidR="00FB32C8" w:rsidRPr="00B434D5">
        <w:rPr>
          <w:rFonts w:ascii="Cambria" w:hAnsi="Cambria"/>
          <w:bCs/>
          <w:sz w:val="20"/>
          <w:szCs w:val="20"/>
          <w:lang w:val="es-ES_tradnl"/>
        </w:rPr>
        <w:t>El segundo</w:t>
      </w:r>
      <w:r w:rsidR="00F21425" w:rsidRPr="00B434D5">
        <w:rPr>
          <w:rFonts w:ascii="Cambria" w:hAnsi="Cambria"/>
          <w:bCs/>
          <w:sz w:val="20"/>
          <w:szCs w:val="20"/>
          <w:lang w:val="es-ES_tradnl"/>
        </w:rPr>
        <w:t xml:space="preserve">, </w:t>
      </w:r>
      <w:r w:rsidR="00FB32C8" w:rsidRPr="00B434D5">
        <w:rPr>
          <w:rFonts w:ascii="Cambria" w:hAnsi="Cambria"/>
          <w:bCs/>
          <w:sz w:val="20"/>
          <w:szCs w:val="20"/>
          <w:lang w:val="es-ES_tradnl"/>
        </w:rPr>
        <w:t xml:space="preserve">es </w:t>
      </w:r>
      <w:r w:rsidR="00F21425" w:rsidRPr="00B434D5">
        <w:rPr>
          <w:rFonts w:ascii="Cambria" w:hAnsi="Cambria"/>
          <w:bCs/>
          <w:sz w:val="20"/>
          <w:szCs w:val="20"/>
          <w:lang w:val="es-ES_tradnl"/>
        </w:rPr>
        <w:t xml:space="preserve">el proceso penal </w:t>
      </w:r>
      <w:r w:rsidR="00AD1D58" w:rsidRPr="00B434D5">
        <w:rPr>
          <w:rFonts w:ascii="Cambria" w:hAnsi="Cambria"/>
          <w:bCs/>
          <w:sz w:val="20"/>
          <w:szCs w:val="20"/>
          <w:lang w:val="es-ES_tradnl"/>
        </w:rPr>
        <w:t xml:space="preserve">que inició el 28 de septiembre de 2007, </w:t>
      </w:r>
      <w:r w:rsidR="00F21425" w:rsidRPr="00B434D5">
        <w:rPr>
          <w:rFonts w:ascii="Cambria" w:hAnsi="Cambria"/>
          <w:bCs/>
          <w:sz w:val="20"/>
          <w:szCs w:val="20"/>
          <w:lang w:val="es-ES_tradnl"/>
        </w:rPr>
        <w:t xml:space="preserve">contra </w:t>
      </w:r>
      <w:r w:rsidR="00DA0333" w:rsidRPr="00B434D5">
        <w:rPr>
          <w:rFonts w:ascii="Cambria" w:hAnsi="Cambria"/>
          <w:bCs/>
          <w:sz w:val="20"/>
          <w:szCs w:val="20"/>
          <w:lang w:val="es-ES_tradnl"/>
        </w:rPr>
        <w:t xml:space="preserve">los </w:t>
      </w:r>
      <w:r w:rsidR="00DA0333" w:rsidRPr="00B434D5">
        <w:rPr>
          <w:rFonts w:ascii="Cambria" w:hAnsi="Cambria"/>
          <w:bCs/>
          <w:sz w:val="20"/>
          <w:szCs w:val="20"/>
          <w:lang w:val="es-ES_tradnl"/>
        </w:rPr>
        <w:lastRenderedPageBreak/>
        <w:t xml:space="preserve">señores </w:t>
      </w:r>
      <w:r w:rsidR="00F21425" w:rsidRPr="00B434D5">
        <w:rPr>
          <w:rFonts w:ascii="Cambria" w:hAnsi="Cambria"/>
          <w:bCs/>
          <w:sz w:val="20"/>
          <w:szCs w:val="20"/>
          <w:lang w:val="es-ES_tradnl"/>
        </w:rPr>
        <w:t>P</w:t>
      </w:r>
      <w:r w:rsidR="00CD71B4" w:rsidRPr="00B434D5">
        <w:rPr>
          <w:rFonts w:ascii="Cambria" w:hAnsi="Cambria"/>
          <w:bCs/>
          <w:sz w:val="20"/>
          <w:szCs w:val="20"/>
          <w:lang w:val="es-ES_tradnl"/>
        </w:rPr>
        <w:t>érez y Constantino</w:t>
      </w:r>
      <w:r w:rsidR="00AD1D58" w:rsidRPr="00B434D5">
        <w:rPr>
          <w:rFonts w:ascii="Cambria" w:hAnsi="Cambria"/>
          <w:bCs/>
          <w:sz w:val="20"/>
          <w:szCs w:val="20"/>
          <w:lang w:val="es-ES_tradnl"/>
        </w:rPr>
        <w:t xml:space="preserve"> </w:t>
      </w:r>
      <w:r w:rsidR="00DA0333" w:rsidRPr="00B434D5">
        <w:rPr>
          <w:rFonts w:ascii="Cambria" w:hAnsi="Cambria"/>
          <w:bCs/>
          <w:sz w:val="20"/>
          <w:szCs w:val="20"/>
          <w:lang w:val="es-ES_tradnl"/>
        </w:rPr>
        <w:t xml:space="preserve">como presuntos </w:t>
      </w:r>
      <w:r w:rsidR="00AD1D58" w:rsidRPr="00B434D5">
        <w:rPr>
          <w:rFonts w:ascii="Cambria" w:hAnsi="Cambria"/>
          <w:bCs/>
          <w:sz w:val="20"/>
          <w:szCs w:val="20"/>
          <w:lang w:val="es-ES_tradnl"/>
        </w:rPr>
        <w:t>autores materiales del deli</w:t>
      </w:r>
      <w:r w:rsidR="00D66E96" w:rsidRPr="00B434D5">
        <w:rPr>
          <w:rFonts w:ascii="Cambria" w:hAnsi="Cambria"/>
          <w:bCs/>
          <w:sz w:val="20"/>
          <w:szCs w:val="20"/>
          <w:lang w:val="es-ES_tradnl"/>
        </w:rPr>
        <w:t xml:space="preserve">to de violación contra el </w:t>
      </w:r>
      <w:r w:rsidR="00DA0333" w:rsidRPr="00B434D5">
        <w:rPr>
          <w:rFonts w:ascii="Cambria" w:hAnsi="Cambria"/>
          <w:bCs/>
          <w:sz w:val="20"/>
          <w:szCs w:val="20"/>
          <w:lang w:val="es-ES_tradnl"/>
        </w:rPr>
        <w:t>niño</w:t>
      </w:r>
      <w:r w:rsidR="00D66E96" w:rsidRPr="00B434D5">
        <w:rPr>
          <w:rFonts w:ascii="Cambria" w:hAnsi="Cambria"/>
          <w:bCs/>
          <w:sz w:val="20"/>
          <w:szCs w:val="20"/>
          <w:lang w:val="es-ES_tradnl"/>
        </w:rPr>
        <w:t>;</w:t>
      </w:r>
      <w:r w:rsidR="00AD1D58" w:rsidRPr="00B434D5">
        <w:rPr>
          <w:rFonts w:ascii="Cambria" w:hAnsi="Cambria"/>
          <w:bCs/>
          <w:sz w:val="20"/>
          <w:szCs w:val="20"/>
          <w:lang w:val="es-ES_tradnl"/>
        </w:rPr>
        <w:t xml:space="preserve"> y que </w:t>
      </w:r>
      <w:r w:rsidR="00D35A5D" w:rsidRPr="00B434D5">
        <w:rPr>
          <w:rFonts w:ascii="Cambria" w:hAnsi="Cambria"/>
          <w:bCs/>
          <w:sz w:val="20"/>
          <w:szCs w:val="20"/>
          <w:lang w:val="es-ES_tradnl"/>
        </w:rPr>
        <w:t>al momento de presentarse la petición no había</w:t>
      </w:r>
      <w:r w:rsidR="00FB32C8" w:rsidRPr="00B434D5">
        <w:rPr>
          <w:rFonts w:ascii="Cambria" w:hAnsi="Cambria"/>
          <w:bCs/>
          <w:sz w:val="20"/>
          <w:szCs w:val="20"/>
          <w:lang w:val="es-ES_tradnl"/>
        </w:rPr>
        <w:t xml:space="preserve"> concluido</w:t>
      </w:r>
      <w:r w:rsidR="006C0475" w:rsidRPr="00B434D5">
        <w:rPr>
          <w:rFonts w:ascii="Cambria" w:hAnsi="Cambria"/>
          <w:bCs/>
          <w:sz w:val="20"/>
          <w:szCs w:val="20"/>
          <w:lang w:val="es-ES_tradnl"/>
        </w:rPr>
        <w:t xml:space="preserve"> </w:t>
      </w:r>
      <w:r w:rsidR="00896270" w:rsidRPr="00B434D5">
        <w:rPr>
          <w:rFonts w:ascii="Cambria" w:hAnsi="Cambria"/>
          <w:bCs/>
          <w:sz w:val="20"/>
          <w:szCs w:val="20"/>
          <w:lang w:val="es-ES_tradnl"/>
        </w:rPr>
        <w:t>por</w:t>
      </w:r>
      <w:r w:rsidR="00D35A5D" w:rsidRPr="00B434D5">
        <w:rPr>
          <w:rFonts w:ascii="Cambria" w:hAnsi="Cambria"/>
          <w:bCs/>
          <w:sz w:val="20"/>
          <w:szCs w:val="20"/>
          <w:lang w:val="es-ES_tradnl"/>
        </w:rPr>
        <w:t xml:space="preserve">que </w:t>
      </w:r>
      <w:r w:rsidR="00791B46" w:rsidRPr="00B434D5">
        <w:rPr>
          <w:rFonts w:ascii="Cambria" w:hAnsi="Cambria"/>
          <w:bCs/>
          <w:sz w:val="20"/>
          <w:szCs w:val="20"/>
          <w:lang w:val="es-ES_tradnl"/>
        </w:rPr>
        <w:t xml:space="preserve">estos </w:t>
      </w:r>
      <w:r w:rsidR="00896270" w:rsidRPr="00B434D5">
        <w:rPr>
          <w:rFonts w:ascii="Cambria" w:hAnsi="Cambria"/>
          <w:bCs/>
          <w:sz w:val="20"/>
          <w:szCs w:val="20"/>
          <w:lang w:val="es-ES_tradnl"/>
        </w:rPr>
        <w:t>eran</w:t>
      </w:r>
      <w:r w:rsidR="00D35A5D" w:rsidRPr="00B434D5">
        <w:rPr>
          <w:rFonts w:ascii="Cambria" w:hAnsi="Cambria"/>
          <w:bCs/>
          <w:sz w:val="20"/>
          <w:szCs w:val="20"/>
          <w:lang w:val="es-ES_tradnl"/>
        </w:rPr>
        <w:t xml:space="preserve"> </w:t>
      </w:r>
      <w:r w:rsidR="006C0475" w:rsidRPr="00B434D5">
        <w:rPr>
          <w:rFonts w:ascii="Cambria" w:hAnsi="Cambria"/>
          <w:bCs/>
          <w:sz w:val="20"/>
          <w:szCs w:val="20"/>
          <w:lang w:val="es-ES_tradnl"/>
        </w:rPr>
        <w:t>prófugos de la justicia</w:t>
      </w:r>
      <w:r w:rsidR="00D35A5D" w:rsidRPr="00B434D5">
        <w:rPr>
          <w:rFonts w:ascii="Cambria" w:hAnsi="Cambria"/>
          <w:bCs/>
          <w:sz w:val="20"/>
          <w:szCs w:val="20"/>
          <w:lang w:val="es-ES_tradnl"/>
        </w:rPr>
        <w:t xml:space="preserve">, </w:t>
      </w:r>
      <w:r w:rsidR="00896270" w:rsidRPr="00B434D5">
        <w:rPr>
          <w:rFonts w:ascii="Cambria" w:hAnsi="Cambria"/>
          <w:bCs/>
          <w:sz w:val="20"/>
          <w:szCs w:val="20"/>
          <w:lang w:val="es-ES_tradnl"/>
        </w:rPr>
        <w:t xml:space="preserve">y corría </w:t>
      </w:r>
      <w:r w:rsidR="00D35A5D" w:rsidRPr="00B434D5">
        <w:rPr>
          <w:rFonts w:ascii="Cambria" w:hAnsi="Cambria"/>
          <w:bCs/>
          <w:sz w:val="20"/>
          <w:szCs w:val="20"/>
          <w:lang w:val="es-ES_tradnl"/>
        </w:rPr>
        <w:t xml:space="preserve">más de cuatro años desde </w:t>
      </w:r>
      <w:r w:rsidR="00FB32C8" w:rsidRPr="00B434D5">
        <w:rPr>
          <w:rFonts w:ascii="Cambria" w:hAnsi="Cambria"/>
          <w:bCs/>
          <w:sz w:val="20"/>
          <w:szCs w:val="20"/>
          <w:lang w:val="es-ES_tradnl"/>
        </w:rPr>
        <w:t>el inicio del</w:t>
      </w:r>
      <w:r w:rsidR="00D35A5D" w:rsidRPr="00B434D5">
        <w:rPr>
          <w:rFonts w:ascii="Cambria" w:hAnsi="Cambria"/>
          <w:bCs/>
          <w:sz w:val="20"/>
          <w:szCs w:val="20"/>
          <w:lang w:val="es-ES_tradnl"/>
        </w:rPr>
        <w:t xml:space="preserve"> </w:t>
      </w:r>
      <w:r w:rsidR="00FB32C8" w:rsidRPr="00B434D5">
        <w:rPr>
          <w:rFonts w:ascii="Cambria" w:hAnsi="Cambria"/>
          <w:bCs/>
          <w:sz w:val="20"/>
          <w:szCs w:val="20"/>
          <w:lang w:val="es-ES_tradnl"/>
        </w:rPr>
        <w:t xml:space="preserve">proceso </w:t>
      </w:r>
      <w:r w:rsidR="00D35A5D" w:rsidRPr="00B434D5">
        <w:rPr>
          <w:rFonts w:ascii="Cambria" w:hAnsi="Cambria"/>
          <w:bCs/>
          <w:sz w:val="20"/>
          <w:szCs w:val="20"/>
          <w:lang w:val="es-ES_tradnl"/>
        </w:rPr>
        <w:t xml:space="preserve">penal. </w:t>
      </w:r>
      <w:r w:rsidR="006026C7" w:rsidRPr="00B434D5">
        <w:rPr>
          <w:rFonts w:ascii="Cambria" w:hAnsi="Cambria"/>
          <w:bCs/>
          <w:sz w:val="20"/>
          <w:szCs w:val="20"/>
          <w:lang w:val="es-ES_tradnl"/>
        </w:rPr>
        <w:t>S</w:t>
      </w:r>
      <w:r w:rsidR="00E71E4B" w:rsidRPr="00B434D5">
        <w:rPr>
          <w:rFonts w:ascii="Cambria" w:hAnsi="Cambria"/>
          <w:bCs/>
          <w:sz w:val="20"/>
          <w:szCs w:val="20"/>
          <w:lang w:val="es-ES_tradnl"/>
        </w:rPr>
        <w:t xml:space="preserve">in </w:t>
      </w:r>
      <w:r w:rsidR="00C41DAF" w:rsidRPr="00B434D5">
        <w:rPr>
          <w:rFonts w:ascii="Cambria" w:hAnsi="Cambria"/>
          <w:bCs/>
          <w:sz w:val="20"/>
          <w:szCs w:val="20"/>
          <w:lang w:val="es-ES_tradnl"/>
        </w:rPr>
        <w:t xml:space="preserve">embargo, </w:t>
      </w:r>
      <w:r w:rsidR="00D66E96" w:rsidRPr="00B434D5">
        <w:rPr>
          <w:rFonts w:ascii="Cambria" w:hAnsi="Cambria"/>
          <w:bCs/>
          <w:sz w:val="20"/>
          <w:szCs w:val="20"/>
          <w:lang w:val="es-ES_tradnl"/>
        </w:rPr>
        <w:t>luego de que estos se apersonan a la justicia</w:t>
      </w:r>
      <w:r w:rsidR="00514358" w:rsidRPr="00B434D5">
        <w:rPr>
          <w:rFonts w:ascii="Cambria" w:hAnsi="Cambria"/>
          <w:bCs/>
          <w:sz w:val="20"/>
          <w:szCs w:val="20"/>
          <w:lang w:val="es-ES_tradnl"/>
        </w:rPr>
        <w:t xml:space="preserve"> se resuelven dos recursos de amparo presentados por los peticionarios donde </w:t>
      </w:r>
      <w:r w:rsidR="00362228" w:rsidRPr="00B434D5">
        <w:rPr>
          <w:rFonts w:ascii="Cambria" w:hAnsi="Cambria"/>
          <w:bCs/>
          <w:sz w:val="20"/>
          <w:szCs w:val="20"/>
          <w:lang w:val="es-ES_tradnl"/>
        </w:rPr>
        <w:t>solicitaron</w:t>
      </w:r>
      <w:r w:rsidR="00514358" w:rsidRPr="00B434D5">
        <w:rPr>
          <w:rFonts w:ascii="Cambria" w:hAnsi="Cambria"/>
          <w:bCs/>
          <w:sz w:val="20"/>
          <w:szCs w:val="20"/>
          <w:lang w:val="es-ES_tradnl"/>
        </w:rPr>
        <w:t xml:space="preserve"> la revisión de la sentencia</w:t>
      </w:r>
      <w:r w:rsidR="00EF6F19" w:rsidRPr="00B434D5">
        <w:rPr>
          <w:rFonts w:ascii="Cambria" w:hAnsi="Cambria"/>
          <w:sz w:val="20"/>
          <w:lang w:val="es-ES_tradnl"/>
        </w:rPr>
        <w:t xml:space="preserve"> </w:t>
      </w:r>
      <w:r w:rsidR="00CC67DA" w:rsidRPr="00B434D5">
        <w:rPr>
          <w:rFonts w:ascii="Cambria" w:hAnsi="Cambria"/>
          <w:sz w:val="20"/>
          <w:lang w:val="es-ES_tradnl"/>
        </w:rPr>
        <w:t>que</w:t>
      </w:r>
      <w:r w:rsidR="00C41DAF" w:rsidRPr="00B434D5">
        <w:rPr>
          <w:rFonts w:ascii="Cambria" w:hAnsi="Cambria"/>
          <w:bCs/>
          <w:sz w:val="20"/>
          <w:szCs w:val="20"/>
          <w:lang w:val="es-ES_tradnl"/>
        </w:rPr>
        <w:t xml:space="preserve"> </w:t>
      </w:r>
      <w:r w:rsidR="00362228" w:rsidRPr="00B434D5">
        <w:rPr>
          <w:rFonts w:ascii="Cambria" w:hAnsi="Cambria"/>
          <w:bCs/>
          <w:sz w:val="20"/>
          <w:szCs w:val="20"/>
          <w:lang w:val="es-ES_tradnl"/>
        </w:rPr>
        <w:t>les</w:t>
      </w:r>
      <w:r w:rsidR="00C41DAF" w:rsidRPr="00B434D5">
        <w:rPr>
          <w:rFonts w:ascii="Cambria" w:hAnsi="Cambria"/>
          <w:bCs/>
          <w:sz w:val="20"/>
          <w:szCs w:val="20"/>
          <w:lang w:val="es-ES_tradnl"/>
        </w:rPr>
        <w:t xml:space="preserve"> </w:t>
      </w:r>
      <w:r w:rsidR="00514358" w:rsidRPr="00B434D5">
        <w:rPr>
          <w:rFonts w:ascii="Cambria" w:hAnsi="Cambria"/>
          <w:bCs/>
          <w:sz w:val="20"/>
          <w:szCs w:val="20"/>
          <w:lang w:val="es-ES_tradnl"/>
        </w:rPr>
        <w:t>otorga</w:t>
      </w:r>
      <w:r w:rsidR="00C41DAF" w:rsidRPr="00B434D5">
        <w:rPr>
          <w:rFonts w:ascii="Cambria" w:hAnsi="Cambria"/>
          <w:bCs/>
          <w:sz w:val="20"/>
          <w:szCs w:val="20"/>
          <w:lang w:val="es-ES_tradnl"/>
        </w:rPr>
        <w:t xml:space="preserve"> la libertad</w:t>
      </w:r>
      <w:r w:rsidR="00EF6F19" w:rsidRPr="00B434D5">
        <w:rPr>
          <w:rFonts w:ascii="Cambria" w:hAnsi="Cambria"/>
          <w:sz w:val="20"/>
          <w:lang w:val="es-ES_tradnl"/>
        </w:rPr>
        <w:t xml:space="preserve"> a </w:t>
      </w:r>
      <w:r w:rsidR="006C0475" w:rsidRPr="00B434D5">
        <w:rPr>
          <w:rFonts w:ascii="Cambria" w:hAnsi="Cambria"/>
          <w:sz w:val="20"/>
          <w:lang w:val="es-ES_tradnl"/>
        </w:rPr>
        <w:t>l</w:t>
      </w:r>
      <w:r w:rsidR="005703E9" w:rsidRPr="00B434D5">
        <w:rPr>
          <w:rFonts w:ascii="Cambria" w:hAnsi="Cambria"/>
          <w:sz w:val="20"/>
          <w:lang w:val="es-ES_tradnl"/>
        </w:rPr>
        <w:t xml:space="preserve">os </w:t>
      </w:r>
      <w:r w:rsidR="00C41DAF" w:rsidRPr="00B434D5">
        <w:rPr>
          <w:rFonts w:ascii="Cambria" w:hAnsi="Cambria"/>
          <w:bCs/>
          <w:sz w:val="20"/>
          <w:szCs w:val="20"/>
          <w:lang w:val="es-ES_tradnl"/>
        </w:rPr>
        <w:t xml:space="preserve">Sres. Constantino y </w:t>
      </w:r>
      <w:r w:rsidR="004C36FB" w:rsidRPr="00B434D5">
        <w:rPr>
          <w:rFonts w:ascii="Cambria" w:hAnsi="Cambria"/>
          <w:bCs/>
          <w:sz w:val="20"/>
          <w:szCs w:val="20"/>
          <w:lang w:val="es-ES_tradnl"/>
        </w:rPr>
        <w:t>Pérez</w:t>
      </w:r>
      <w:r w:rsidR="00D66E96" w:rsidRPr="00B434D5">
        <w:rPr>
          <w:rFonts w:ascii="Cambria" w:hAnsi="Cambria"/>
          <w:bCs/>
          <w:sz w:val="20"/>
          <w:szCs w:val="20"/>
          <w:lang w:val="es-ES_tradnl"/>
        </w:rPr>
        <w:t xml:space="preserve">; </w:t>
      </w:r>
      <w:r w:rsidR="004C36FB" w:rsidRPr="00B434D5">
        <w:rPr>
          <w:rFonts w:ascii="Cambria" w:hAnsi="Cambria"/>
          <w:bCs/>
          <w:sz w:val="20"/>
          <w:szCs w:val="20"/>
          <w:lang w:val="es-ES_tradnl"/>
        </w:rPr>
        <w:t>por</w:t>
      </w:r>
      <w:r w:rsidR="00362228" w:rsidRPr="00B434D5">
        <w:rPr>
          <w:rFonts w:ascii="Cambria" w:hAnsi="Cambria"/>
          <w:bCs/>
          <w:sz w:val="20"/>
          <w:szCs w:val="20"/>
          <w:lang w:val="es-ES_tradnl"/>
        </w:rPr>
        <w:t xml:space="preserve"> lo </w:t>
      </w:r>
      <w:r w:rsidR="004C36FB" w:rsidRPr="00B434D5">
        <w:rPr>
          <w:rFonts w:ascii="Cambria" w:hAnsi="Cambria"/>
          <w:bCs/>
          <w:sz w:val="20"/>
          <w:szCs w:val="20"/>
          <w:lang w:val="es-ES_tradnl"/>
        </w:rPr>
        <w:t>tanto,</w:t>
      </w:r>
      <w:r w:rsidR="00362228" w:rsidRPr="00B434D5">
        <w:rPr>
          <w:rFonts w:ascii="Cambria" w:hAnsi="Cambria"/>
          <w:bCs/>
          <w:sz w:val="20"/>
          <w:szCs w:val="20"/>
          <w:lang w:val="es-ES_tradnl"/>
        </w:rPr>
        <w:t xml:space="preserve"> también se </w:t>
      </w:r>
      <w:r w:rsidR="00C41DAF" w:rsidRPr="00B434D5">
        <w:rPr>
          <w:rFonts w:ascii="Cambria" w:hAnsi="Cambria"/>
          <w:bCs/>
          <w:sz w:val="20"/>
          <w:szCs w:val="20"/>
          <w:lang w:val="es-ES_tradnl"/>
        </w:rPr>
        <w:t xml:space="preserve">agotaron los recursos internos </w:t>
      </w:r>
      <w:r w:rsidR="00362228" w:rsidRPr="00B434D5">
        <w:rPr>
          <w:rFonts w:ascii="Cambria" w:hAnsi="Cambria"/>
          <w:bCs/>
          <w:sz w:val="20"/>
          <w:szCs w:val="20"/>
          <w:lang w:val="es-ES_tradnl"/>
        </w:rPr>
        <w:t>frente a este</w:t>
      </w:r>
      <w:r w:rsidR="005703E9" w:rsidRPr="00B434D5">
        <w:rPr>
          <w:rFonts w:ascii="Cambria" w:hAnsi="Cambria"/>
          <w:sz w:val="20"/>
          <w:lang w:val="es-ES_tradnl"/>
        </w:rPr>
        <w:t xml:space="preserve"> proceso penal</w:t>
      </w:r>
      <w:r w:rsidR="00EF6F19" w:rsidRPr="00B434D5">
        <w:rPr>
          <w:rFonts w:ascii="Cambria" w:hAnsi="Cambria"/>
          <w:sz w:val="20"/>
          <w:lang w:val="es-ES_tradnl"/>
        </w:rPr>
        <w:t xml:space="preserve"> </w:t>
      </w:r>
      <w:r w:rsidR="00C41DAF" w:rsidRPr="00B434D5">
        <w:rPr>
          <w:rFonts w:ascii="Cambria" w:hAnsi="Cambria"/>
          <w:bCs/>
          <w:sz w:val="20"/>
          <w:szCs w:val="20"/>
          <w:lang w:val="es-ES_tradnl"/>
        </w:rPr>
        <w:t>y se cumplió con los requisitos</w:t>
      </w:r>
      <w:r w:rsidR="00AC52C7" w:rsidRPr="00B434D5">
        <w:rPr>
          <w:rFonts w:ascii="Cambria" w:hAnsi="Cambria"/>
          <w:sz w:val="20"/>
          <w:lang w:val="es-ES_tradnl"/>
        </w:rPr>
        <w:t xml:space="preserve"> del artículo 46.</w:t>
      </w:r>
      <w:r w:rsidR="00D66E96" w:rsidRPr="00B434D5">
        <w:rPr>
          <w:rFonts w:ascii="Cambria" w:hAnsi="Cambria"/>
          <w:bCs/>
          <w:sz w:val="20"/>
          <w:szCs w:val="20"/>
          <w:lang w:val="es-ES_tradnl"/>
        </w:rPr>
        <w:t>1.</w:t>
      </w:r>
      <w:r w:rsidR="00C41DAF" w:rsidRPr="00B434D5">
        <w:rPr>
          <w:rFonts w:ascii="Cambria" w:hAnsi="Cambria"/>
          <w:bCs/>
          <w:sz w:val="20"/>
          <w:szCs w:val="20"/>
          <w:lang w:val="es-ES_tradnl"/>
        </w:rPr>
        <w:t>a</w:t>
      </w:r>
      <w:r w:rsidR="00AC52C7" w:rsidRPr="00B434D5">
        <w:rPr>
          <w:rFonts w:ascii="Cambria" w:hAnsi="Cambria"/>
          <w:sz w:val="20"/>
          <w:lang w:val="es-ES_tradnl"/>
        </w:rPr>
        <w:t>) de la Convención</w:t>
      </w:r>
      <w:r w:rsidR="00C41DAF" w:rsidRPr="00B434D5">
        <w:rPr>
          <w:rFonts w:ascii="Cambria" w:hAnsi="Cambria"/>
          <w:bCs/>
          <w:sz w:val="20"/>
          <w:szCs w:val="20"/>
          <w:lang w:val="es-ES_tradnl"/>
        </w:rPr>
        <w:t xml:space="preserve">. </w:t>
      </w:r>
      <w:r w:rsidR="00B23AF5" w:rsidRPr="00B434D5">
        <w:rPr>
          <w:rFonts w:ascii="Cambria" w:hAnsi="Cambria"/>
          <w:bCs/>
          <w:sz w:val="20"/>
          <w:szCs w:val="20"/>
          <w:lang w:val="es-ES_tradnl"/>
        </w:rPr>
        <w:t xml:space="preserve">La conclusión de estos procesos es informada por el propio Estado, quien además </w:t>
      </w:r>
      <w:r w:rsidR="00D66E96" w:rsidRPr="00B434D5">
        <w:rPr>
          <w:rFonts w:ascii="Cambria" w:hAnsi="Cambria"/>
          <w:bCs/>
          <w:sz w:val="20"/>
          <w:szCs w:val="20"/>
          <w:lang w:val="es-ES_tradnl"/>
        </w:rPr>
        <w:t>no ofrece detalles de las fechas en que se habrían emitido las principales decisiones en estos procesos</w:t>
      </w:r>
      <w:r w:rsidR="00F11470" w:rsidRPr="00B434D5">
        <w:rPr>
          <w:rFonts w:ascii="Cambria" w:hAnsi="Cambria"/>
          <w:bCs/>
          <w:sz w:val="20"/>
          <w:szCs w:val="20"/>
          <w:lang w:val="es-ES_tradnl"/>
        </w:rPr>
        <w:t>.</w:t>
      </w:r>
    </w:p>
    <w:p w:rsidR="00BD1CCE" w:rsidRPr="00B434D5" w:rsidRDefault="00FA1F90" w:rsidP="00BD1CCE">
      <w:pPr>
        <w:pStyle w:val="NormalWeb"/>
        <w:ind w:firstLine="720"/>
        <w:jc w:val="both"/>
        <w:rPr>
          <w:rFonts w:ascii="Cambria" w:hAnsi="Cambria"/>
          <w:bCs/>
          <w:sz w:val="20"/>
          <w:szCs w:val="20"/>
          <w:lang w:val="es-ES_tradnl"/>
        </w:rPr>
      </w:pPr>
      <w:r w:rsidRPr="00B434D5">
        <w:rPr>
          <w:rFonts w:ascii="Cambria" w:hAnsi="Cambria"/>
          <w:bCs/>
          <w:sz w:val="20"/>
          <w:szCs w:val="20"/>
          <w:lang w:val="es-ES_tradnl"/>
        </w:rPr>
        <w:t>13</w:t>
      </w:r>
      <w:r w:rsidR="00BD1CCE" w:rsidRPr="00B434D5">
        <w:rPr>
          <w:rFonts w:ascii="Cambria" w:hAnsi="Cambria"/>
          <w:bCs/>
          <w:sz w:val="20"/>
          <w:szCs w:val="20"/>
          <w:lang w:val="es-ES_tradnl"/>
        </w:rPr>
        <w:t>.</w:t>
      </w:r>
      <w:r w:rsidR="00BD1CCE" w:rsidRPr="00B434D5">
        <w:rPr>
          <w:rFonts w:ascii="Cambria" w:hAnsi="Cambria"/>
          <w:bCs/>
          <w:sz w:val="20"/>
          <w:szCs w:val="20"/>
          <w:lang w:val="es-ES_tradnl"/>
        </w:rPr>
        <w:tab/>
      </w:r>
      <w:r w:rsidR="00732BB9" w:rsidRPr="00B434D5">
        <w:rPr>
          <w:rFonts w:ascii="Cambria" w:hAnsi="Cambria"/>
          <w:bCs/>
          <w:sz w:val="20"/>
          <w:szCs w:val="20"/>
          <w:lang w:val="es-ES_tradnl"/>
        </w:rPr>
        <w:t>C</w:t>
      </w:r>
      <w:r w:rsidR="00284DD8" w:rsidRPr="00B434D5">
        <w:rPr>
          <w:rFonts w:ascii="Cambria" w:hAnsi="Cambria"/>
          <w:bCs/>
          <w:sz w:val="20"/>
          <w:szCs w:val="20"/>
          <w:lang w:val="es-ES_tradnl"/>
        </w:rPr>
        <w:t>on respecto al</w:t>
      </w:r>
      <w:r w:rsidR="00B8229E" w:rsidRPr="00B434D5">
        <w:rPr>
          <w:rFonts w:ascii="Cambria" w:hAnsi="Cambria"/>
          <w:bCs/>
          <w:sz w:val="20"/>
          <w:szCs w:val="20"/>
          <w:lang w:val="es-ES_tradnl"/>
        </w:rPr>
        <w:t xml:space="preserve"> requisito del</w:t>
      </w:r>
      <w:r w:rsidR="00284DD8" w:rsidRPr="00B434D5">
        <w:rPr>
          <w:rFonts w:ascii="Cambria" w:hAnsi="Cambria"/>
          <w:bCs/>
          <w:sz w:val="20"/>
          <w:szCs w:val="20"/>
          <w:lang w:val="es-ES_tradnl"/>
        </w:rPr>
        <w:t xml:space="preserve"> </w:t>
      </w:r>
      <w:r w:rsidR="003F0F18" w:rsidRPr="00B434D5">
        <w:rPr>
          <w:rFonts w:ascii="Cambria" w:hAnsi="Cambria"/>
          <w:bCs/>
          <w:sz w:val="20"/>
          <w:szCs w:val="20"/>
          <w:lang w:val="es-ES_tradnl"/>
        </w:rPr>
        <w:t>plazo</w:t>
      </w:r>
      <w:r w:rsidR="00B8229E" w:rsidRPr="00B434D5">
        <w:rPr>
          <w:rFonts w:ascii="Cambria" w:hAnsi="Cambria"/>
          <w:bCs/>
          <w:sz w:val="20"/>
          <w:szCs w:val="20"/>
          <w:lang w:val="es-ES_tradnl"/>
        </w:rPr>
        <w:t xml:space="preserve"> de presentación</w:t>
      </w:r>
      <w:r w:rsidR="00732BB9" w:rsidRPr="00B434D5">
        <w:rPr>
          <w:rFonts w:ascii="Cambria" w:hAnsi="Cambria"/>
          <w:bCs/>
          <w:sz w:val="20"/>
          <w:szCs w:val="20"/>
          <w:lang w:val="es-ES_tradnl"/>
        </w:rPr>
        <w:t xml:space="preserve">: en </w:t>
      </w:r>
      <w:r w:rsidR="003F0F18" w:rsidRPr="00B434D5">
        <w:rPr>
          <w:rFonts w:ascii="Cambria" w:hAnsi="Cambria"/>
          <w:bCs/>
          <w:sz w:val="20"/>
          <w:szCs w:val="20"/>
          <w:lang w:val="es-ES_tradnl"/>
        </w:rPr>
        <w:t xml:space="preserve">el </w:t>
      </w:r>
      <w:r w:rsidR="00284DD8" w:rsidRPr="00B434D5">
        <w:rPr>
          <w:rFonts w:ascii="Cambria" w:hAnsi="Cambria"/>
          <w:bCs/>
          <w:sz w:val="20"/>
          <w:szCs w:val="20"/>
          <w:lang w:val="es-ES_tradnl"/>
        </w:rPr>
        <w:t>primer proceso</w:t>
      </w:r>
      <w:r w:rsidR="003F0F18" w:rsidRPr="00B434D5">
        <w:rPr>
          <w:rFonts w:ascii="Cambria" w:hAnsi="Cambria"/>
          <w:bCs/>
          <w:sz w:val="20"/>
          <w:szCs w:val="20"/>
          <w:lang w:val="es-ES_tradnl"/>
        </w:rPr>
        <w:t xml:space="preserve"> </w:t>
      </w:r>
      <w:r w:rsidR="00454F8B" w:rsidRPr="00B434D5">
        <w:rPr>
          <w:rFonts w:ascii="Cambria" w:hAnsi="Cambria"/>
          <w:bCs/>
          <w:sz w:val="20"/>
          <w:szCs w:val="20"/>
          <w:lang w:val="es-ES_tradnl"/>
        </w:rPr>
        <w:t>la decisión del tribunal fue d</w:t>
      </w:r>
      <w:r w:rsidR="003F0F18" w:rsidRPr="00B434D5">
        <w:rPr>
          <w:rFonts w:ascii="Cambria" w:hAnsi="Cambria"/>
          <w:bCs/>
          <w:sz w:val="20"/>
          <w:szCs w:val="20"/>
          <w:lang w:val="es-ES_tradnl"/>
        </w:rPr>
        <w:t>el 17 de mayo de 2011</w:t>
      </w:r>
      <w:r w:rsidR="00454F8B" w:rsidRPr="00B434D5">
        <w:rPr>
          <w:rFonts w:ascii="Cambria" w:hAnsi="Cambria"/>
          <w:bCs/>
          <w:sz w:val="20"/>
          <w:szCs w:val="20"/>
          <w:lang w:val="es-ES_tradnl"/>
        </w:rPr>
        <w:t xml:space="preserve"> y la petición fue presentada el 14 de octubre de 2011 cumpliendo con el artículo </w:t>
      </w:r>
      <w:r w:rsidR="00B8229E" w:rsidRPr="00B434D5">
        <w:rPr>
          <w:rFonts w:ascii="Cambria" w:hAnsi="Cambria"/>
          <w:bCs/>
          <w:sz w:val="20"/>
          <w:szCs w:val="20"/>
          <w:lang w:val="es-ES_tradnl"/>
        </w:rPr>
        <w:t>46.1.</w:t>
      </w:r>
      <w:r w:rsidR="00E46576" w:rsidRPr="00B434D5">
        <w:rPr>
          <w:rFonts w:ascii="Cambria" w:hAnsi="Cambria"/>
          <w:bCs/>
          <w:sz w:val="20"/>
          <w:szCs w:val="20"/>
          <w:lang w:val="es-ES_tradnl"/>
        </w:rPr>
        <w:t>b)</w:t>
      </w:r>
      <w:r w:rsidR="00B8229E" w:rsidRPr="00B434D5">
        <w:rPr>
          <w:rFonts w:ascii="Cambria" w:hAnsi="Cambria"/>
          <w:bCs/>
          <w:sz w:val="20"/>
          <w:szCs w:val="20"/>
          <w:lang w:val="es-ES_tradnl"/>
        </w:rPr>
        <w:t xml:space="preserve"> de la Convención Americana</w:t>
      </w:r>
      <w:r w:rsidR="00454F8B" w:rsidRPr="00B434D5">
        <w:rPr>
          <w:rFonts w:ascii="Cambria" w:hAnsi="Cambria"/>
          <w:bCs/>
          <w:sz w:val="20"/>
          <w:szCs w:val="20"/>
          <w:lang w:val="es-ES_tradnl"/>
        </w:rPr>
        <w:t xml:space="preserve">; </w:t>
      </w:r>
      <w:r w:rsidR="00454F8B" w:rsidRPr="00B434D5">
        <w:rPr>
          <w:rFonts w:ascii="Cambria" w:hAnsi="Cambria"/>
          <w:sz w:val="20"/>
          <w:lang w:val="es-ES_tradnl"/>
        </w:rPr>
        <w:t>y con respecto al segundo proceso</w:t>
      </w:r>
      <w:r w:rsidR="00A33C88" w:rsidRPr="00B434D5">
        <w:rPr>
          <w:rFonts w:ascii="Cambria" w:hAnsi="Cambria"/>
          <w:bCs/>
          <w:sz w:val="20"/>
          <w:szCs w:val="20"/>
          <w:lang w:val="es-ES_tradnl"/>
        </w:rPr>
        <w:t xml:space="preserve"> los recursos se agotaron </w:t>
      </w:r>
      <w:r w:rsidR="00B8229E" w:rsidRPr="00B434D5">
        <w:rPr>
          <w:rFonts w:ascii="Cambria" w:hAnsi="Cambria"/>
          <w:bCs/>
          <w:sz w:val="20"/>
          <w:szCs w:val="20"/>
          <w:lang w:val="es-ES_tradnl"/>
        </w:rPr>
        <w:t>con posterioridad a la presentación de la presente petición a la CIDH y antes de la adopción del presente informe de admisibilidad, por lo que igualmente se cumple con el requisito convencional del plazo de presentación.</w:t>
      </w:r>
      <w:r w:rsidR="00A33C88" w:rsidRPr="00B434D5">
        <w:rPr>
          <w:rFonts w:ascii="Cambria" w:hAnsi="Cambria"/>
          <w:bCs/>
          <w:sz w:val="20"/>
          <w:szCs w:val="20"/>
          <w:lang w:val="es-ES_tradnl"/>
        </w:rPr>
        <w:t xml:space="preserve"> </w:t>
      </w:r>
      <w:r w:rsidR="00E46576" w:rsidRPr="00B434D5">
        <w:rPr>
          <w:rFonts w:ascii="Cambria" w:hAnsi="Cambria"/>
          <w:bCs/>
          <w:sz w:val="20"/>
          <w:szCs w:val="20"/>
          <w:lang w:val="es-ES_tradnl"/>
        </w:rPr>
        <w:t xml:space="preserve"> </w:t>
      </w:r>
    </w:p>
    <w:p w:rsidR="00AC0C76" w:rsidRPr="00B434D5" w:rsidRDefault="003239B8" w:rsidP="00AC0C76">
      <w:pPr>
        <w:pStyle w:val="ListParagraph"/>
        <w:spacing w:before="240" w:after="240"/>
        <w:jc w:val="both"/>
        <w:rPr>
          <w:rFonts w:asciiTheme="majorHAnsi" w:hAnsiTheme="majorHAnsi"/>
          <w:b/>
          <w:bCs/>
          <w:sz w:val="20"/>
          <w:szCs w:val="20"/>
          <w:lang w:val="es-ES_tradnl"/>
        </w:rPr>
      </w:pPr>
      <w:r w:rsidRPr="00B434D5">
        <w:rPr>
          <w:rFonts w:asciiTheme="majorHAnsi" w:hAnsiTheme="majorHAnsi"/>
          <w:b/>
          <w:bCs/>
          <w:sz w:val="20"/>
          <w:szCs w:val="20"/>
          <w:lang w:val="es-ES_tradnl"/>
        </w:rPr>
        <w:t>VII.</w:t>
      </w:r>
      <w:r w:rsidRPr="00B434D5">
        <w:rPr>
          <w:rFonts w:asciiTheme="majorHAnsi" w:hAnsiTheme="majorHAnsi"/>
          <w:b/>
          <w:bCs/>
          <w:sz w:val="20"/>
          <w:szCs w:val="20"/>
          <w:lang w:val="es-ES_tradnl"/>
        </w:rPr>
        <w:tab/>
      </w:r>
      <w:r w:rsidR="004A6A54" w:rsidRPr="00B434D5">
        <w:rPr>
          <w:rFonts w:asciiTheme="majorHAnsi" w:hAnsiTheme="majorHAnsi"/>
          <w:b/>
          <w:bCs/>
          <w:sz w:val="20"/>
          <w:szCs w:val="20"/>
          <w:lang w:val="es-ES_tradnl"/>
        </w:rPr>
        <w:t xml:space="preserve">ANÁLISIS DE </w:t>
      </w:r>
      <w:r w:rsidR="00C21FEF" w:rsidRPr="00B434D5">
        <w:rPr>
          <w:rFonts w:asciiTheme="majorHAnsi" w:hAnsiTheme="majorHAnsi"/>
          <w:b/>
          <w:bCs/>
          <w:sz w:val="20"/>
          <w:szCs w:val="20"/>
          <w:lang w:val="es-ES_tradnl"/>
        </w:rPr>
        <w:t>CARACTERIZACIÓN DE LOS HECHOS ALEGADOS</w:t>
      </w:r>
    </w:p>
    <w:p w:rsidR="0079165B" w:rsidRPr="00B434D5" w:rsidRDefault="00463584" w:rsidP="0079165B">
      <w:pPr>
        <w:pStyle w:val="ListParagraph"/>
        <w:spacing w:before="240" w:after="240"/>
        <w:ind w:left="0" w:firstLine="720"/>
        <w:jc w:val="both"/>
        <w:rPr>
          <w:rFonts w:asciiTheme="majorHAnsi" w:hAnsiTheme="majorHAnsi"/>
          <w:bCs/>
          <w:sz w:val="20"/>
          <w:szCs w:val="20"/>
          <w:lang w:val="es-ES_tradnl"/>
        </w:rPr>
      </w:pPr>
      <w:r w:rsidRPr="00B434D5">
        <w:rPr>
          <w:rFonts w:asciiTheme="majorHAnsi" w:hAnsiTheme="majorHAnsi"/>
          <w:bCs/>
          <w:sz w:val="20"/>
          <w:szCs w:val="20"/>
          <w:lang w:val="es-ES_tradnl"/>
        </w:rPr>
        <w:t>14</w:t>
      </w:r>
      <w:r w:rsidR="00F37693" w:rsidRPr="00B434D5">
        <w:rPr>
          <w:rFonts w:asciiTheme="majorHAnsi" w:hAnsiTheme="majorHAnsi"/>
          <w:bCs/>
          <w:sz w:val="20"/>
          <w:szCs w:val="20"/>
          <w:lang w:val="es-ES_tradnl"/>
        </w:rPr>
        <w:t>.</w:t>
      </w:r>
      <w:r w:rsidR="00F37693" w:rsidRPr="00B434D5">
        <w:rPr>
          <w:rFonts w:asciiTheme="majorHAnsi" w:hAnsiTheme="majorHAnsi"/>
          <w:bCs/>
          <w:sz w:val="20"/>
          <w:szCs w:val="20"/>
          <w:lang w:val="es-ES_tradnl"/>
        </w:rPr>
        <w:tab/>
      </w:r>
      <w:r w:rsidR="00770CEB" w:rsidRPr="00B434D5">
        <w:rPr>
          <w:rFonts w:asciiTheme="majorHAnsi" w:hAnsiTheme="majorHAnsi"/>
          <w:bCs/>
          <w:sz w:val="20"/>
          <w:szCs w:val="20"/>
          <w:lang w:val="es-ES_tradnl"/>
        </w:rPr>
        <w:t xml:space="preserve">La Comisión observa que la presente petición incluye alegaciones </w:t>
      </w:r>
      <w:r w:rsidR="0039337C" w:rsidRPr="00B434D5">
        <w:rPr>
          <w:rFonts w:asciiTheme="majorHAnsi" w:hAnsiTheme="majorHAnsi"/>
          <w:bCs/>
          <w:sz w:val="20"/>
          <w:szCs w:val="20"/>
          <w:lang w:val="es-ES_tradnl"/>
        </w:rPr>
        <w:t xml:space="preserve">por la presunta vulneración </w:t>
      </w:r>
      <w:r w:rsidR="00770CEB" w:rsidRPr="00B434D5">
        <w:rPr>
          <w:rFonts w:asciiTheme="majorHAnsi" w:hAnsiTheme="majorHAnsi"/>
          <w:bCs/>
          <w:sz w:val="20"/>
          <w:szCs w:val="20"/>
          <w:lang w:val="es-ES_tradnl"/>
        </w:rPr>
        <w:t>a l</w:t>
      </w:r>
      <w:r w:rsidR="00937C81" w:rsidRPr="00B434D5">
        <w:rPr>
          <w:rFonts w:asciiTheme="majorHAnsi" w:hAnsiTheme="majorHAnsi"/>
          <w:bCs/>
          <w:sz w:val="20"/>
          <w:szCs w:val="20"/>
          <w:lang w:val="es-ES_tradnl"/>
        </w:rPr>
        <w:t>os derechos</w:t>
      </w:r>
      <w:r w:rsidR="0079165B" w:rsidRPr="00B434D5">
        <w:rPr>
          <w:rFonts w:asciiTheme="majorHAnsi" w:hAnsiTheme="majorHAnsi"/>
          <w:bCs/>
          <w:sz w:val="20"/>
          <w:szCs w:val="20"/>
          <w:lang w:val="es-ES_tradnl"/>
        </w:rPr>
        <w:t xml:space="preserve"> </w:t>
      </w:r>
      <w:r w:rsidR="00CB1C7B" w:rsidRPr="00B434D5">
        <w:rPr>
          <w:rFonts w:asciiTheme="majorHAnsi" w:hAnsiTheme="majorHAnsi"/>
          <w:bCs/>
          <w:sz w:val="20"/>
          <w:szCs w:val="20"/>
          <w:lang w:val="es-ES_tradnl"/>
        </w:rPr>
        <w:t xml:space="preserve">del niño </w:t>
      </w:r>
      <w:r w:rsidR="0079165B" w:rsidRPr="00B434D5">
        <w:rPr>
          <w:rFonts w:asciiTheme="majorHAnsi" w:hAnsiTheme="majorHAnsi"/>
          <w:bCs/>
          <w:sz w:val="20"/>
          <w:szCs w:val="20"/>
          <w:lang w:val="es-ES_tradnl"/>
        </w:rPr>
        <w:t>(artículo 1</w:t>
      </w:r>
      <w:r w:rsidR="00CC67DA" w:rsidRPr="00B434D5">
        <w:rPr>
          <w:rFonts w:asciiTheme="majorHAnsi" w:hAnsiTheme="majorHAnsi"/>
          <w:bCs/>
          <w:sz w:val="20"/>
          <w:szCs w:val="20"/>
          <w:lang w:val="es-ES_tradnl"/>
        </w:rPr>
        <w:t>9</w:t>
      </w:r>
      <w:r w:rsidR="0079165B" w:rsidRPr="00B434D5">
        <w:rPr>
          <w:rFonts w:asciiTheme="majorHAnsi" w:hAnsiTheme="majorHAnsi"/>
          <w:bCs/>
          <w:sz w:val="20"/>
          <w:szCs w:val="20"/>
          <w:lang w:val="es-ES_tradnl"/>
        </w:rPr>
        <w:t xml:space="preserve">) </w:t>
      </w:r>
      <w:r w:rsidR="00CB1C7B" w:rsidRPr="00B434D5">
        <w:rPr>
          <w:rFonts w:asciiTheme="majorHAnsi" w:hAnsiTheme="majorHAnsi"/>
          <w:bCs/>
          <w:sz w:val="20"/>
          <w:szCs w:val="20"/>
          <w:lang w:val="es-ES_tradnl"/>
        </w:rPr>
        <w:t>y al acceso a la justicia</w:t>
      </w:r>
      <w:r w:rsidR="00F37693" w:rsidRPr="00B434D5">
        <w:rPr>
          <w:rFonts w:asciiTheme="majorHAnsi" w:hAnsiTheme="majorHAnsi"/>
          <w:bCs/>
          <w:sz w:val="20"/>
          <w:szCs w:val="20"/>
          <w:lang w:val="es-ES_tradnl"/>
        </w:rPr>
        <w:t xml:space="preserve"> </w:t>
      </w:r>
      <w:r w:rsidR="00CC67DA" w:rsidRPr="00B434D5">
        <w:rPr>
          <w:rFonts w:asciiTheme="majorHAnsi" w:hAnsiTheme="majorHAnsi"/>
          <w:bCs/>
          <w:sz w:val="20"/>
          <w:szCs w:val="20"/>
          <w:lang w:val="es-ES_tradnl"/>
        </w:rPr>
        <w:t xml:space="preserve">(artículo 25) </w:t>
      </w:r>
      <w:r w:rsidR="00C97CB6" w:rsidRPr="00B434D5">
        <w:rPr>
          <w:rFonts w:asciiTheme="majorHAnsi" w:hAnsiTheme="majorHAnsi"/>
          <w:bCs/>
          <w:sz w:val="20"/>
          <w:szCs w:val="20"/>
          <w:lang w:val="es-ES_tradnl"/>
        </w:rPr>
        <w:t>del niño</w:t>
      </w:r>
      <w:r w:rsidR="00CB1C7B" w:rsidRPr="00B434D5">
        <w:rPr>
          <w:rFonts w:asciiTheme="majorHAnsi" w:hAnsiTheme="majorHAnsi"/>
          <w:bCs/>
          <w:sz w:val="20"/>
          <w:szCs w:val="20"/>
          <w:lang w:val="es-ES_tradnl"/>
        </w:rPr>
        <w:t xml:space="preserve"> </w:t>
      </w:r>
      <w:r w:rsidR="00CB1C7B" w:rsidRPr="00B434D5">
        <w:rPr>
          <w:bCs/>
          <w:sz w:val="20"/>
          <w:szCs w:val="20"/>
          <w:lang w:val="es-ES_tradnl"/>
        </w:rPr>
        <w:t xml:space="preserve">L.F.G.V por el Estado mexicano, </w:t>
      </w:r>
      <w:r w:rsidR="00C97CB6" w:rsidRPr="00B434D5">
        <w:rPr>
          <w:bCs/>
          <w:sz w:val="20"/>
          <w:szCs w:val="20"/>
          <w:lang w:val="es-ES_tradnl"/>
        </w:rPr>
        <w:t>sobre la base de la alegada f</w:t>
      </w:r>
      <w:r w:rsidR="0079165B" w:rsidRPr="00B434D5">
        <w:rPr>
          <w:bCs/>
          <w:sz w:val="20"/>
          <w:szCs w:val="20"/>
          <w:lang w:val="es-ES_tradnl"/>
        </w:rPr>
        <w:t>alta</w:t>
      </w:r>
      <w:r w:rsidR="00C97CB6" w:rsidRPr="00B434D5">
        <w:rPr>
          <w:bCs/>
          <w:sz w:val="20"/>
          <w:szCs w:val="20"/>
          <w:lang w:val="es-ES_tradnl"/>
        </w:rPr>
        <w:t xml:space="preserve"> de una debida investigación y eventual</w:t>
      </w:r>
      <w:r w:rsidR="0079165B" w:rsidRPr="00B434D5">
        <w:rPr>
          <w:bCs/>
          <w:sz w:val="20"/>
          <w:szCs w:val="20"/>
          <w:lang w:val="es-ES_tradnl"/>
        </w:rPr>
        <w:t xml:space="preserve"> sanción a los presuntos responsables del delito de violación en contra </w:t>
      </w:r>
      <w:r w:rsidR="00C97CB6" w:rsidRPr="00B434D5">
        <w:rPr>
          <w:bCs/>
          <w:sz w:val="20"/>
          <w:szCs w:val="20"/>
          <w:lang w:val="es-ES_tradnl"/>
        </w:rPr>
        <w:t>de la presunta víctima</w:t>
      </w:r>
      <w:r w:rsidR="0079165B" w:rsidRPr="00B434D5">
        <w:rPr>
          <w:bCs/>
          <w:sz w:val="20"/>
          <w:szCs w:val="20"/>
          <w:lang w:val="es-ES_tradnl"/>
        </w:rPr>
        <w:t xml:space="preserve">. </w:t>
      </w:r>
      <w:r w:rsidR="00CC67DA" w:rsidRPr="00B434D5">
        <w:rPr>
          <w:rFonts w:asciiTheme="majorHAnsi" w:hAnsiTheme="majorHAnsi"/>
          <w:bCs/>
          <w:sz w:val="20"/>
          <w:szCs w:val="20"/>
          <w:lang w:val="es-ES_tradnl"/>
        </w:rPr>
        <w:t>Por su parte</w:t>
      </w:r>
      <w:r w:rsidR="00C97CB6" w:rsidRPr="00B434D5">
        <w:rPr>
          <w:rFonts w:asciiTheme="majorHAnsi" w:hAnsiTheme="majorHAnsi"/>
          <w:bCs/>
          <w:sz w:val="20"/>
          <w:szCs w:val="20"/>
          <w:lang w:val="es-ES_tradnl"/>
        </w:rPr>
        <w:t>, el Estado</w:t>
      </w:r>
      <w:r w:rsidR="00CC67DA" w:rsidRPr="00B434D5">
        <w:rPr>
          <w:rFonts w:asciiTheme="majorHAnsi" w:hAnsiTheme="majorHAnsi"/>
          <w:bCs/>
          <w:sz w:val="20"/>
          <w:szCs w:val="20"/>
          <w:lang w:val="es-ES_tradnl"/>
        </w:rPr>
        <w:t xml:space="preserve"> considera que no se vulneraron los </w:t>
      </w:r>
      <w:r w:rsidR="008A1A1C" w:rsidRPr="00B434D5">
        <w:rPr>
          <w:rFonts w:asciiTheme="majorHAnsi" w:hAnsiTheme="majorHAnsi"/>
          <w:bCs/>
          <w:sz w:val="20"/>
          <w:szCs w:val="20"/>
          <w:lang w:val="es-ES_tradnl"/>
        </w:rPr>
        <w:t xml:space="preserve">derechos y que </w:t>
      </w:r>
      <w:proofErr w:type="gramStart"/>
      <w:r w:rsidR="008A1A1C" w:rsidRPr="00B434D5">
        <w:rPr>
          <w:rFonts w:asciiTheme="majorHAnsi" w:hAnsiTheme="majorHAnsi"/>
          <w:bCs/>
          <w:sz w:val="20"/>
          <w:szCs w:val="20"/>
          <w:lang w:val="es-ES_tradnl"/>
        </w:rPr>
        <w:t>el peticionario</w:t>
      </w:r>
      <w:proofErr w:type="gramEnd"/>
      <w:r w:rsidR="008A1A1C" w:rsidRPr="00B434D5">
        <w:rPr>
          <w:rFonts w:asciiTheme="majorHAnsi" w:hAnsiTheme="majorHAnsi"/>
          <w:bCs/>
          <w:sz w:val="20"/>
          <w:szCs w:val="20"/>
          <w:lang w:val="es-ES_tradnl"/>
        </w:rPr>
        <w:t xml:space="preserve"> busca que la Comisión actúe </w:t>
      </w:r>
      <w:r w:rsidR="0039337C" w:rsidRPr="00B434D5">
        <w:rPr>
          <w:rFonts w:asciiTheme="majorHAnsi" w:hAnsiTheme="majorHAnsi"/>
          <w:bCs/>
          <w:sz w:val="20"/>
          <w:szCs w:val="20"/>
          <w:lang w:val="es-ES_tradnl"/>
        </w:rPr>
        <w:t xml:space="preserve">como </w:t>
      </w:r>
      <w:r w:rsidR="008A1A1C" w:rsidRPr="00B434D5">
        <w:rPr>
          <w:rFonts w:asciiTheme="majorHAnsi" w:hAnsiTheme="majorHAnsi"/>
          <w:bCs/>
          <w:sz w:val="20"/>
          <w:szCs w:val="20"/>
          <w:lang w:val="es-ES_tradnl"/>
        </w:rPr>
        <w:t xml:space="preserve">una </w:t>
      </w:r>
      <w:r w:rsidR="00C97CB6" w:rsidRPr="00B434D5">
        <w:rPr>
          <w:rFonts w:asciiTheme="majorHAnsi" w:hAnsiTheme="majorHAnsi"/>
          <w:bCs/>
          <w:sz w:val="20"/>
          <w:szCs w:val="20"/>
          <w:lang w:val="es-ES_tradnl"/>
        </w:rPr>
        <w:t>supuesta “</w:t>
      </w:r>
      <w:r w:rsidR="008A1A1C" w:rsidRPr="00B434D5">
        <w:rPr>
          <w:rFonts w:asciiTheme="majorHAnsi" w:hAnsiTheme="majorHAnsi"/>
          <w:bCs/>
          <w:sz w:val="20"/>
          <w:szCs w:val="20"/>
          <w:lang w:val="es-ES_tradnl"/>
        </w:rPr>
        <w:t>cuarta instancia</w:t>
      </w:r>
      <w:r w:rsidR="00C97CB6" w:rsidRPr="00B434D5">
        <w:rPr>
          <w:rFonts w:asciiTheme="majorHAnsi" w:hAnsiTheme="majorHAnsi"/>
          <w:bCs/>
          <w:sz w:val="20"/>
          <w:szCs w:val="20"/>
          <w:lang w:val="es-ES_tradnl"/>
        </w:rPr>
        <w:t>”</w:t>
      </w:r>
      <w:r w:rsidR="008A1A1C" w:rsidRPr="00B434D5">
        <w:rPr>
          <w:rFonts w:asciiTheme="majorHAnsi" w:hAnsiTheme="majorHAnsi"/>
          <w:bCs/>
          <w:sz w:val="20"/>
          <w:szCs w:val="20"/>
          <w:lang w:val="es-ES_tradnl"/>
        </w:rPr>
        <w:t xml:space="preserve">. </w:t>
      </w:r>
    </w:p>
    <w:p w:rsidR="00A84E41" w:rsidRPr="00B434D5" w:rsidRDefault="00963E74" w:rsidP="0050326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cs="Calibri"/>
          <w:sz w:val="20"/>
          <w:szCs w:val="20"/>
          <w:lang w:val="es-ES_tradnl"/>
        </w:rPr>
      </w:pPr>
      <w:r w:rsidRPr="00B434D5">
        <w:rPr>
          <w:rFonts w:asciiTheme="majorHAnsi" w:hAnsiTheme="majorHAnsi"/>
          <w:bCs/>
          <w:sz w:val="20"/>
          <w:szCs w:val="20"/>
          <w:lang w:val="es-ES_tradnl"/>
        </w:rPr>
        <w:t>15</w:t>
      </w:r>
      <w:r w:rsidR="00427823" w:rsidRPr="00B434D5">
        <w:rPr>
          <w:rFonts w:asciiTheme="majorHAnsi" w:hAnsiTheme="majorHAnsi"/>
          <w:bCs/>
          <w:sz w:val="20"/>
          <w:szCs w:val="20"/>
          <w:lang w:val="es-ES_tradnl"/>
        </w:rPr>
        <w:t>.</w:t>
      </w:r>
      <w:r w:rsidR="00EC5C3B" w:rsidRPr="00B434D5">
        <w:rPr>
          <w:rFonts w:asciiTheme="majorHAnsi" w:hAnsiTheme="majorHAnsi"/>
          <w:bCs/>
          <w:sz w:val="20"/>
          <w:szCs w:val="20"/>
          <w:lang w:val="es-ES_tradnl"/>
        </w:rPr>
        <w:tab/>
      </w:r>
      <w:r w:rsidR="00C36945" w:rsidRPr="00B434D5">
        <w:rPr>
          <w:rFonts w:asciiTheme="majorHAnsi" w:hAnsiTheme="majorHAnsi"/>
          <w:bCs/>
          <w:sz w:val="20"/>
          <w:szCs w:val="20"/>
          <w:lang w:val="es-ES_tradnl"/>
        </w:rPr>
        <w:t>En el presente caso</w:t>
      </w:r>
      <w:r w:rsidR="008C5E2D" w:rsidRPr="00B434D5">
        <w:rPr>
          <w:rFonts w:asciiTheme="majorHAnsi" w:hAnsiTheme="majorHAnsi"/>
          <w:sz w:val="20"/>
          <w:szCs w:val="20"/>
          <w:lang w:val="es-ES_tradnl"/>
        </w:rPr>
        <w:t xml:space="preserve"> la Comisión </w:t>
      </w:r>
      <w:r w:rsidR="00A84E41" w:rsidRPr="00B434D5">
        <w:rPr>
          <w:rFonts w:asciiTheme="majorHAnsi" w:hAnsiTheme="majorHAnsi"/>
          <w:sz w:val="20"/>
          <w:szCs w:val="20"/>
          <w:lang w:val="es-ES_tradnl"/>
        </w:rPr>
        <w:t xml:space="preserve">observa </w:t>
      </w:r>
      <w:r w:rsidR="001F3856" w:rsidRPr="00B434D5">
        <w:rPr>
          <w:rFonts w:asciiTheme="majorHAnsi" w:hAnsiTheme="majorHAnsi"/>
          <w:sz w:val="20"/>
          <w:szCs w:val="20"/>
          <w:lang w:val="es-ES_tradnl"/>
        </w:rPr>
        <w:t>que,</w:t>
      </w:r>
      <w:r w:rsidR="00A84E41" w:rsidRPr="00B434D5">
        <w:rPr>
          <w:rFonts w:asciiTheme="majorHAnsi" w:hAnsiTheme="majorHAnsi"/>
          <w:sz w:val="20"/>
          <w:szCs w:val="20"/>
          <w:lang w:val="es-ES_tradnl"/>
        </w:rPr>
        <w:t xml:space="preserve"> si bien los procesos penales seguidos contra los alegados perpetradores de la violación a la presunta víctima </w:t>
      </w:r>
      <w:r w:rsidR="001F3856">
        <w:rPr>
          <w:rFonts w:asciiTheme="majorHAnsi" w:hAnsiTheme="majorHAnsi"/>
          <w:sz w:val="20"/>
          <w:szCs w:val="20"/>
          <w:lang w:val="es-ES_tradnl"/>
        </w:rPr>
        <w:t>concluyeron en fechas ciertas</w:t>
      </w:r>
      <w:r w:rsidR="0046768F" w:rsidRPr="00B434D5">
        <w:rPr>
          <w:rFonts w:asciiTheme="majorHAnsi" w:hAnsiTheme="majorHAnsi"/>
          <w:sz w:val="20"/>
          <w:szCs w:val="20"/>
          <w:lang w:val="es-ES_tradnl"/>
        </w:rPr>
        <w:t xml:space="preserve"> y que </w:t>
      </w:r>
      <w:r w:rsidR="00C36945" w:rsidRPr="00B434D5">
        <w:rPr>
          <w:rFonts w:asciiTheme="majorHAnsi" w:hAnsiTheme="majorHAnsi"/>
          <w:sz w:val="20"/>
          <w:szCs w:val="20"/>
          <w:lang w:val="es-ES_tradnl"/>
        </w:rPr>
        <w:t>en estos formalmente se adoptaron</w:t>
      </w:r>
      <w:r w:rsidR="0046768F" w:rsidRPr="00B434D5">
        <w:rPr>
          <w:rFonts w:asciiTheme="majorHAnsi" w:hAnsiTheme="majorHAnsi"/>
          <w:sz w:val="20"/>
          <w:szCs w:val="20"/>
          <w:lang w:val="es-ES_tradnl"/>
        </w:rPr>
        <w:t xml:space="preserve"> una serie </w:t>
      </w:r>
      <w:r w:rsidR="00B51BEF" w:rsidRPr="00B434D5">
        <w:rPr>
          <w:rFonts w:asciiTheme="majorHAnsi" w:hAnsiTheme="majorHAnsi"/>
          <w:sz w:val="20"/>
          <w:szCs w:val="20"/>
          <w:lang w:val="es-ES_tradnl"/>
        </w:rPr>
        <w:t>de decisiones judiciales que diero</w:t>
      </w:r>
      <w:r w:rsidR="00C36945" w:rsidRPr="00B434D5">
        <w:rPr>
          <w:rFonts w:asciiTheme="majorHAnsi" w:hAnsiTheme="majorHAnsi"/>
          <w:sz w:val="20"/>
          <w:szCs w:val="20"/>
          <w:lang w:val="es-ES_tradnl"/>
        </w:rPr>
        <w:t>n por concluidos estos procesos; no es menos cierto que los peticionarios han formulado alegatos concretos de que las investigaciones no fueron diligentes, sobre todo en las primeras etapas. A este respecto alegan, por ejemplo, que los presuntos autores materiales del hecho fueron avisados de las órdenes de captura en su contra</w:t>
      </w:r>
      <w:r w:rsidR="002E0C58" w:rsidRPr="00B434D5">
        <w:rPr>
          <w:rFonts w:asciiTheme="majorHAnsi" w:hAnsiTheme="majorHAnsi"/>
          <w:sz w:val="20"/>
          <w:szCs w:val="20"/>
          <w:lang w:val="es-ES_tradnl"/>
        </w:rPr>
        <w:t xml:space="preserve">, de hecho, no se apersonaron al proceso hasta más de </w:t>
      </w:r>
      <w:r w:rsidR="00391130" w:rsidRPr="00B434D5">
        <w:rPr>
          <w:rFonts w:asciiTheme="majorHAnsi" w:hAnsiTheme="majorHAnsi"/>
          <w:sz w:val="20"/>
          <w:szCs w:val="20"/>
          <w:lang w:val="es-ES_tradnl"/>
        </w:rPr>
        <w:t xml:space="preserve">seis </w:t>
      </w:r>
      <w:r w:rsidR="00927294" w:rsidRPr="00B434D5">
        <w:rPr>
          <w:rFonts w:asciiTheme="majorHAnsi" w:hAnsiTheme="majorHAnsi"/>
          <w:sz w:val="20"/>
          <w:szCs w:val="20"/>
          <w:lang w:val="es-ES_tradnl"/>
        </w:rPr>
        <w:t xml:space="preserve">años después de que ocurrieran los hechos en 2006; y que la CNDH emitió su Recomendación 4/2008 que daría cuenta de las omisiones cometidas durante las primeras etapas del procedimiento. </w:t>
      </w:r>
      <w:r w:rsidR="00503263" w:rsidRPr="00B434D5">
        <w:rPr>
          <w:rFonts w:asciiTheme="majorHAnsi" w:hAnsiTheme="majorHAnsi"/>
          <w:sz w:val="20"/>
          <w:szCs w:val="20"/>
          <w:lang w:val="es-ES_tradnl"/>
        </w:rPr>
        <w:t xml:space="preserve">A este respecto, la Comisión recuerda que en general </w:t>
      </w:r>
      <w:r w:rsidR="00503263" w:rsidRPr="00B434D5">
        <w:rPr>
          <w:rFonts w:asciiTheme="majorHAnsi" w:hAnsiTheme="majorHAnsi" w:cs="Calibri"/>
          <w:sz w:val="20"/>
          <w:szCs w:val="20"/>
          <w:lang w:val="es-ES_tradnl"/>
        </w:rPr>
        <w:t>una investigación penal debe realizarse prontamente para proteger los intereses de las víctimas, preservar la prueba e incluso salvaguardar los derechos de toda persona que en el contexto de la investigación sea considerada sospechosa</w:t>
      </w:r>
      <w:r w:rsidR="00503263" w:rsidRPr="00B434D5">
        <w:rPr>
          <w:rStyle w:val="FootnoteReference"/>
          <w:rFonts w:asciiTheme="majorHAnsi" w:hAnsiTheme="majorHAnsi" w:cs="Calibri"/>
          <w:sz w:val="20"/>
          <w:szCs w:val="20"/>
          <w:lang w:val="es-ES_tradnl"/>
        </w:rPr>
        <w:footnoteReference w:id="8"/>
      </w:r>
      <w:r w:rsidR="00503263" w:rsidRPr="00B434D5">
        <w:rPr>
          <w:rFonts w:asciiTheme="majorHAnsi" w:hAnsiTheme="majorHAnsi" w:cs="Calibri"/>
          <w:sz w:val="20"/>
          <w:szCs w:val="20"/>
          <w:lang w:val="es-ES_tradnl"/>
        </w:rPr>
        <w:t xml:space="preserve">. A juicio de la Comisión este deber de debida diligencia es </w:t>
      </w:r>
      <w:proofErr w:type="spellStart"/>
      <w:r w:rsidR="00503263" w:rsidRPr="00B434D5">
        <w:rPr>
          <w:rFonts w:asciiTheme="majorHAnsi" w:hAnsiTheme="majorHAnsi" w:cs="Calibri"/>
          <w:sz w:val="20"/>
          <w:szCs w:val="20"/>
          <w:lang w:val="es-ES_tradnl"/>
        </w:rPr>
        <w:t>aun</w:t>
      </w:r>
      <w:proofErr w:type="spellEnd"/>
      <w:r w:rsidR="00503263" w:rsidRPr="00B434D5">
        <w:rPr>
          <w:rFonts w:asciiTheme="majorHAnsi" w:hAnsiTheme="majorHAnsi" w:cs="Calibri"/>
          <w:sz w:val="20"/>
          <w:szCs w:val="20"/>
          <w:lang w:val="es-ES_tradnl"/>
        </w:rPr>
        <w:t xml:space="preserve"> mayor en los casos de delitos sexuales. En ese sentido, en la etapa de fondo del presente caso la Comisión analizará si las actuaciones investigativas realizadas por las autoridades competentes se dieron acorde con las normas y estándares aplicables en el Sistema Interamericano.</w:t>
      </w:r>
    </w:p>
    <w:p w:rsidR="00503263" w:rsidRPr="00B434D5" w:rsidRDefault="00503263" w:rsidP="0050326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cs="Calibri"/>
          <w:sz w:val="20"/>
          <w:szCs w:val="20"/>
          <w:lang w:val="es-ES_tradnl"/>
        </w:rPr>
      </w:pPr>
    </w:p>
    <w:p w:rsidR="00A84E41" w:rsidRPr="00B434D5" w:rsidRDefault="00503263" w:rsidP="00503263">
      <w:pPr>
        <w:pBdr>
          <w:top w:val="none" w:sz="0" w:space="0" w:color="auto"/>
          <w:left w:val="none" w:sz="0" w:space="0" w:color="auto"/>
          <w:bottom w:val="none" w:sz="0" w:space="0" w:color="auto"/>
          <w:right w:val="none" w:sz="0" w:space="0" w:color="auto"/>
          <w:between w:val="none" w:sz="0" w:space="0" w:color="auto"/>
          <w:bar w:val="none" w:sz="0" w:color="auto"/>
        </w:pBdr>
        <w:ind w:firstLine="720"/>
        <w:contextualSpacing/>
        <w:jc w:val="both"/>
        <w:rPr>
          <w:rFonts w:asciiTheme="majorHAnsi" w:hAnsiTheme="majorHAnsi"/>
          <w:sz w:val="20"/>
          <w:szCs w:val="20"/>
          <w:lang w:val="es-ES_tradnl"/>
        </w:rPr>
      </w:pPr>
      <w:r w:rsidRPr="00B434D5">
        <w:rPr>
          <w:rFonts w:asciiTheme="majorHAnsi" w:hAnsiTheme="majorHAnsi" w:cs="Calibri"/>
          <w:sz w:val="20"/>
          <w:szCs w:val="20"/>
          <w:lang w:val="es-ES_tradnl"/>
        </w:rPr>
        <w:t>16.</w:t>
      </w:r>
      <w:r w:rsidRPr="00B434D5">
        <w:rPr>
          <w:rFonts w:asciiTheme="majorHAnsi" w:hAnsiTheme="majorHAnsi" w:cs="Calibri"/>
          <w:sz w:val="20"/>
          <w:szCs w:val="20"/>
          <w:lang w:val="es-ES_tradnl"/>
        </w:rPr>
        <w:tab/>
        <w:t xml:space="preserve">En conclusión, la Comisión considera que de ser ciertos los hechos alegados relativos a la falta de una investigación diligente de los hechos denunciados y la eventual impunidad en la que hayan sobrevenido, podrían constituir </w:t>
      </w:r>
      <w:r w:rsidR="00427823" w:rsidRPr="00B434D5">
        <w:rPr>
          <w:rFonts w:asciiTheme="majorHAnsi" w:hAnsiTheme="majorHAnsi"/>
          <w:i/>
          <w:sz w:val="20"/>
          <w:lang w:val="es-ES_tradnl"/>
        </w:rPr>
        <w:t>prima facie</w:t>
      </w:r>
      <w:r w:rsidR="00427823" w:rsidRPr="00B434D5">
        <w:rPr>
          <w:rFonts w:asciiTheme="majorHAnsi" w:hAnsiTheme="majorHAnsi"/>
          <w:sz w:val="20"/>
          <w:lang w:val="es-ES_tradnl"/>
        </w:rPr>
        <w:t xml:space="preserve"> </w:t>
      </w:r>
      <w:r w:rsidR="00A84E41" w:rsidRPr="00B434D5">
        <w:rPr>
          <w:rFonts w:asciiTheme="majorHAnsi" w:hAnsiTheme="majorHAnsi"/>
          <w:sz w:val="20"/>
          <w:lang w:val="es-ES_tradnl"/>
        </w:rPr>
        <w:t xml:space="preserve">violaciones a los derechos establecidos en los </w:t>
      </w:r>
      <w:r w:rsidR="00A11F8A" w:rsidRPr="00B434D5">
        <w:rPr>
          <w:rFonts w:asciiTheme="majorHAnsi" w:hAnsiTheme="majorHAnsi"/>
          <w:sz w:val="20"/>
          <w:szCs w:val="20"/>
          <w:lang w:val="es-ES_tradnl"/>
        </w:rPr>
        <w:t xml:space="preserve">artículos </w:t>
      </w:r>
      <w:r w:rsidR="00A84E41" w:rsidRPr="00B434D5">
        <w:rPr>
          <w:rFonts w:asciiTheme="majorHAnsi" w:hAnsiTheme="majorHAnsi"/>
          <w:sz w:val="20"/>
          <w:szCs w:val="20"/>
          <w:lang w:val="es-ES_tradnl"/>
        </w:rPr>
        <w:t xml:space="preserve">5 (integridad personal), </w:t>
      </w:r>
      <w:r w:rsidR="00A11F8A" w:rsidRPr="00B434D5">
        <w:rPr>
          <w:rFonts w:asciiTheme="majorHAnsi" w:hAnsiTheme="majorHAnsi"/>
          <w:sz w:val="20"/>
          <w:szCs w:val="20"/>
          <w:lang w:val="es-ES_tradnl"/>
        </w:rPr>
        <w:t>8 (</w:t>
      </w:r>
      <w:r w:rsidR="00A11F8A" w:rsidRPr="00B434D5">
        <w:rPr>
          <w:rFonts w:asciiTheme="majorHAnsi" w:hAnsiTheme="majorHAnsi"/>
          <w:bCs/>
          <w:sz w:val="20"/>
          <w:szCs w:val="20"/>
          <w:lang w:val="es-ES_tradnl"/>
        </w:rPr>
        <w:t>garantías judiciales</w:t>
      </w:r>
      <w:r w:rsidR="00A11F8A" w:rsidRPr="00B434D5">
        <w:rPr>
          <w:rFonts w:asciiTheme="majorHAnsi" w:hAnsiTheme="majorHAnsi"/>
          <w:sz w:val="20"/>
          <w:szCs w:val="20"/>
          <w:lang w:val="es-ES_tradnl"/>
        </w:rPr>
        <w:t>), 19 (</w:t>
      </w:r>
      <w:r w:rsidR="00A7596A" w:rsidRPr="00B434D5">
        <w:rPr>
          <w:rFonts w:asciiTheme="majorHAnsi" w:hAnsiTheme="majorHAnsi"/>
          <w:sz w:val="20"/>
          <w:lang w:val="es-ES_tradnl"/>
        </w:rPr>
        <w:t xml:space="preserve">derechos </w:t>
      </w:r>
      <w:r w:rsidR="00A11F8A" w:rsidRPr="00B434D5">
        <w:rPr>
          <w:rFonts w:asciiTheme="majorHAnsi" w:hAnsiTheme="majorHAnsi"/>
          <w:bCs/>
          <w:sz w:val="20"/>
          <w:szCs w:val="20"/>
          <w:lang w:val="es-ES_tradnl"/>
        </w:rPr>
        <w:t>del niño</w:t>
      </w:r>
      <w:r w:rsidR="00A11F8A" w:rsidRPr="00B434D5">
        <w:rPr>
          <w:rFonts w:asciiTheme="majorHAnsi" w:hAnsiTheme="majorHAnsi"/>
          <w:sz w:val="20"/>
          <w:szCs w:val="20"/>
          <w:lang w:val="es-ES_tradnl"/>
        </w:rPr>
        <w:t>) y 25 (</w:t>
      </w:r>
      <w:r w:rsidR="00587466" w:rsidRPr="00B434D5">
        <w:rPr>
          <w:rFonts w:asciiTheme="majorHAnsi" w:hAnsiTheme="majorHAnsi"/>
          <w:sz w:val="20"/>
          <w:lang w:val="es-ES_tradnl"/>
        </w:rPr>
        <w:t>acceso a la justicia</w:t>
      </w:r>
      <w:r w:rsidR="00A11F8A" w:rsidRPr="00B434D5">
        <w:rPr>
          <w:rFonts w:asciiTheme="majorHAnsi" w:hAnsiTheme="majorHAnsi"/>
          <w:sz w:val="20"/>
          <w:szCs w:val="20"/>
          <w:lang w:val="es-ES_tradnl"/>
        </w:rPr>
        <w:t xml:space="preserve">) de la </w:t>
      </w:r>
      <w:r w:rsidR="00A84E41" w:rsidRPr="00B434D5">
        <w:rPr>
          <w:rFonts w:asciiTheme="majorHAnsi" w:hAnsiTheme="majorHAnsi"/>
          <w:sz w:val="20"/>
          <w:szCs w:val="20"/>
          <w:lang w:val="es-ES_tradnl"/>
        </w:rPr>
        <w:t xml:space="preserve">Convención Americana, en perjuicio de </w:t>
      </w:r>
      <w:r w:rsidR="00A84E41" w:rsidRPr="00B434D5">
        <w:rPr>
          <w:rFonts w:asciiTheme="majorHAnsi" w:hAnsiTheme="majorHAnsi"/>
          <w:bCs/>
          <w:sz w:val="20"/>
          <w:szCs w:val="20"/>
          <w:lang w:val="es-ES_tradnl"/>
        </w:rPr>
        <w:t>L.F.G.V. y de su madre, L. V. M.,</w:t>
      </w:r>
      <w:r w:rsidR="00A84E41" w:rsidRPr="00B434D5">
        <w:rPr>
          <w:rFonts w:asciiTheme="majorHAnsi" w:hAnsiTheme="majorHAnsi"/>
          <w:sz w:val="20"/>
          <w:szCs w:val="20"/>
          <w:lang w:val="es-ES_tradnl"/>
        </w:rPr>
        <w:t xml:space="preserve"> en los términos del presente informe. </w:t>
      </w:r>
    </w:p>
    <w:p w:rsidR="00A11F8A" w:rsidRPr="00B434D5" w:rsidRDefault="00A11F8A" w:rsidP="00503263">
      <w:pPr>
        <w:jc w:val="both"/>
        <w:rPr>
          <w:rFonts w:ascii="Cambria" w:hAnsi="Cambria" w:cs="Calibri"/>
          <w:sz w:val="20"/>
          <w:szCs w:val="20"/>
          <w:lang w:val="es-ES_tradnl"/>
        </w:rPr>
      </w:pPr>
    </w:p>
    <w:p w:rsidR="00AC0C76" w:rsidRPr="00B434D5" w:rsidRDefault="00503263" w:rsidP="00430A01">
      <w:pPr>
        <w:ind w:firstLine="720"/>
        <w:jc w:val="both"/>
        <w:rPr>
          <w:rFonts w:ascii="Cambria" w:hAnsi="Cambria"/>
          <w:sz w:val="20"/>
          <w:szCs w:val="20"/>
          <w:lang w:val="es-ES_tradnl"/>
        </w:rPr>
      </w:pPr>
      <w:r w:rsidRPr="00B434D5">
        <w:rPr>
          <w:rFonts w:ascii="Cambria" w:hAnsi="Cambria"/>
          <w:sz w:val="20"/>
          <w:szCs w:val="20"/>
          <w:lang w:val="es-ES_tradnl"/>
        </w:rPr>
        <w:t>17</w:t>
      </w:r>
      <w:r w:rsidR="00AC0C76" w:rsidRPr="00B434D5">
        <w:rPr>
          <w:rFonts w:ascii="Cambria" w:hAnsi="Cambria"/>
          <w:sz w:val="20"/>
          <w:szCs w:val="20"/>
          <w:lang w:val="es-ES_tradnl"/>
        </w:rPr>
        <w:t>.</w:t>
      </w:r>
      <w:r w:rsidR="00AC0C76" w:rsidRPr="00B434D5">
        <w:rPr>
          <w:rFonts w:ascii="Cambria" w:hAnsi="Cambria"/>
          <w:sz w:val="20"/>
          <w:szCs w:val="20"/>
          <w:lang w:val="es-ES_tradnl"/>
        </w:rPr>
        <w:tab/>
        <w:t>Con relación a los alegatos de la cuarta instancia presentados por el Estado, la CIDH observa que al admitir una petición no pretende suplantar la competencia de las autoridades judiciales domésticas. Sino que dentro del marco de su mandato sí es competente para declarar admisible una petición y fallar sobre el fondo cuando ésta se refiere a procesos internos que podrían ser violatorios de derechos garantizados por la Convención Americana.</w:t>
      </w:r>
    </w:p>
    <w:p w:rsidR="00503263" w:rsidRDefault="00503263" w:rsidP="00430A01">
      <w:pPr>
        <w:ind w:firstLine="720"/>
        <w:jc w:val="both"/>
        <w:rPr>
          <w:rFonts w:ascii="Cambria" w:hAnsi="Cambria"/>
          <w:sz w:val="20"/>
          <w:szCs w:val="20"/>
          <w:lang w:val="es-ES_tradnl"/>
        </w:rPr>
      </w:pPr>
    </w:p>
    <w:p w:rsidR="00C95B21" w:rsidRPr="00B434D5" w:rsidRDefault="00C95B21" w:rsidP="00430A01">
      <w:pPr>
        <w:ind w:firstLine="720"/>
        <w:jc w:val="both"/>
        <w:rPr>
          <w:rFonts w:ascii="Cambria" w:hAnsi="Cambria"/>
          <w:sz w:val="20"/>
          <w:szCs w:val="20"/>
          <w:lang w:val="es-ES_tradnl"/>
        </w:rPr>
      </w:pPr>
    </w:p>
    <w:p w:rsidR="00503263" w:rsidRPr="00B434D5" w:rsidRDefault="00503263" w:rsidP="00503263">
      <w:pPr>
        <w:ind w:firstLine="720"/>
        <w:jc w:val="both"/>
        <w:rPr>
          <w:rFonts w:ascii="Cambria" w:hAnsi="Cambria"/>
          <w:bCs/>
          <w:sz w:val="20"/>
          <w:szCs w:val="20"/>
          <w:lang w:val="es-ES_tradnl"/>
        </w:rPr>
      </w:pPr>
      <w:r w:rsidRPr="00B434D5">
        <w:rPr>
          <w:rFonts w:ascii="Cambria" w:hAnsi="Cambria" w:cs="Calibri"/>
          <w:sz w:val="20"/>
          <w:szCs w:val="20"/>
          <w:lang w:val="es-ES_tradnl"/>
        </w:rPr>
        <w:lastRenderedPageBreak/>
        <w:t>18.</w:t>
      </w:r>
      <w:r w:rsidRPr="00B434D5">
        <w:rPr>
          <w:rFonts w:ascii="Cambria" w:hAnsi="Cambria" w:cs="Calibri"/>
          <w:sz w:val="20"/>
          <w:szCs w:val="20"/>
          <w:lang w:val="es-ES_tradnl"/>
        </w:rPr>
        <w:tab/>
        <w:t>Finalmente, con respecto a las alegadas violaciones a la Declaración Americana, la Comisión recuerda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Pr="00B434D5">
        <w:rPr>
          <w:rFonts w:ascii="Cambria" w:hAnsi="Cambria"/>
          <w:bCs/>
          <w:sz w:val="20"/>
          <w:szCs w:val="20"/>
          <w:lang w:val="es-ES_tradnl"/>
        </w:rPr>
        <w:t xml:space="preserve">  </w:t>
      </w:r>
    </w:p>
    <w:p w:rsidR="003239B8" w:rsidRPr="00B434D5" w:rsidRDefault="003239B8" w:rsidP="00924AB7">
      <w:pPr>
        <w:spacing w:before="240" w:after="240"/>
        <w:ind w:firstLine="720"/>
        <w:jc w:val="both"/>
        <w:rPr>
          <w:rFonts w:asciiTheme="majorHAnsi" w:hAnsiTheme="majorHAnsi"/>
          <w:b/>
          <w:bCs/>
          <w:sz w:val="20"/>
          <w:szCs w:val="20"/>
          <w:lang w:val="es-ES_tradnl"/>
        </w:rPr>
      </w:pPr>
      <w:r w:rsidRPr="00B434D5">
        <w:rPr>
          <w:rFonts w:asciiTheme="majorHAnsi" w:hAnsiTheme="majorHAnsi"/>
          <w:b/>
          <w:bCs/>
          <w:sz w:val="20"/>
          <w:szCs w:val="20"/>
          <w:lang w:val="es-ES_tradnl"/>
        </w:rPr>
        <w:t xml:space="preserve">VIII. </w:t>
      </w:r>
      <w:r w:rsidRPr="00B434D5">
        <w:rPr>
          <w:rFonts w:asciiTheme="majorHAnsi" w:hAnsiTheme="majorHAnsi"/>
          <w:b/>
          <w:bCs/>
          <w:sz w:val="20"/>
          <w:szCs w:val="20"/>
          <w:lang w:val="es-ES_tradnl"/>
        </w:rPr>
        <w:tab/>
        <w:t>DECISIÓN</w:t>
      </w:r>
    </w:p>
    <w:p w:rsidR="00924E26" w:rsidRPr="00B434D5" w:rsidRDefault="000419AD" w:rsidP="00430A01">
      <w:pPr>
        <w:pStyle w:val="ListParagraph"/>
        <w:numPr>
          <w:ilvl w:val="0"/>
          <w:numId w:val="55"/>
        </w:numPr>
        <w:jc w:val="both"/>
        <w:rPr>
          <w:rFonts w:eastAsia="Arial Unicode MS" w:cs="Times New Roman"/>
          <w:color w:val="auto"/>
          <w:sz w:val="20"/>
          <w:szCs w:val="20"/>
          <w:lang w:val="es-ES_tradnl" w:eastAsia="en-US"/>
        </w:rPr>
      </w:pPr>
      <w:r w:rsidRPr="00B434D5">
        <w:rPr>
          <w:rFonts w:eastAsia="Arial Unicode MS" w:cs="Times New Roman"/>
          <w:color w:val="auto"/>
          <w:sz w:val="20"/>
          <w:szCs w:val="20"/>
          <w:lang w:val="es-ES_tradnl" w:eastAsia="en-US"/>
        </w:rPr>
        <w:t xml:space="preserve">Declarar </w:t>
      </w:r>
      <w:r w:rsidR="00695C2A" w:rsidRPr="00B434D5">
        <w:rPr>
          <w:rFonts w:eastAsia="Arial Unicode MS" w:cs="Times New Roman"/>
          <w:color w:val="000000" w:themeColor="text1"/>
          <w:sz w:val="20"/>
          <w:szCs w:val="20"/>
          <w:lang w:val="es-ES_tradnl" w:eastAsia="en-US"/>
        </w:rPr>
        <w:t>admisible</w:t>
      </w:r>
      <w:r w:rsidRPr="00B434D5">
        <w:rPr>
          <w:rFonts w:eastAsia="Arial Unicode MS" w:cs="Times New Roman"/>
          <w:color w:val="000000" w:themeColor="text1"/>
          <w:sz w:val="20"/>
          <w:szCs w:val="20"/>
          <w:lang w:val="es-ES_tradnl" w:eastAsia="en-US"/>
        </w:rPr>
        <w:t xml:space="preserve"> </w:t>
      </w:r>
      <w:r w:rsidRPr="00B434D5">
        <w:rPr>
          <w:rFonts w:eastAsia="Arial Unicode MS" w:cs="Times New Roman"/>
          <w:color w:val="auto"/>
          <w:sz w:val="20"/>
          <w:szCs w:val="20"/>
          <w:lang w:val="es-ES_tradnl" w:eastAsia="en-US"/>
        </w:rPr>
        <w:t xml:space="preserve">la presente petición en relación con </w:t>
      </w:r>
      <w:r w:rsidR="00AC1B52" w:rsidRPr="00B434D5">
        <w:rPr>
          <w:rFonts w:eastAsia="Arial Unicode MS" w:cs="Times New Roman"/>
          <w:color w:val="auto"/>
          <w:sz w:val="20"/>
          <w:szCs w:val="20"/>
          <w:lang w:val="es-ES_tradnl" w:eastAsia="en-US"/>
        </w:rPr>
        <w:t>los artículos</w:t>
      </w:r>
      <w:r w:rsidR="00924E26" w:rsidRPr="00B434D5">
        <w:rPr>
          <w:rFonts w:eastAsia="Arial Unicode MS" w:cs="Times New Roman"/>
          <w:color w:val="auto"/>
          <w:sz w:val="20"/>
          <w:szCs w:val="20"/>
          <w:lang w:val="es-ES_tradnl" w:eastAsia="en-US"/>
        </w:rPr>
        <w:t xml:space="preserve"> 5,</w:t>
      </w:r>
      <w:r w:rsidR="00AC1B52" w:rsidRPr="00B434D5">
        <w:rPr>
          <w:rFonts w:eastAsia="Arial Unicode MS" w:cs="Times New Roman"/>
          <w:color w:val="auto"/>
          <w:sz w:val="20"/>
          <w:szCs w:val="20"/>
          <w:lang w:val="es-ES_tradnl" w:eastAsia="en-US"/>
        </w:rPr>
        <w:t xml:space="preserve"> </w:t>
      </w:r>
      <w:r w:rsidR="00761CB6" w:rsidRPr="00B434D5">
        <w:rPr>
          <w:rFonts w:eastAsia="Arial Unicode MS" w:cs="Times New Roman"/>
          <w:color w:val="auto"/>
          <w:sz w:val="20"/>
          <w:szCs w:val="20"/>
          <w:lang w:val="es-ES_tradnl" w:eastAsia="en-US"/>
        </w:rPr>
        <w:t xml:space="preserve">8, </w:t>
      </w:r>
      <w:r w:rsidR="00AC1B52" w:rsidRPr="00B434D5">
        <w:rPr>
          <w:rFonts w:eastAsia="Arial Unicode MS" w:cs="Times New Roman"/>
          <w:color w:val="auto"/>
          <w:sz w:val="20"/>
          <w:szCs w:val="20"/>
          <w:lang w:val="es-ES_tradnl" w:eastAsia="en-US"/>
        </w:rPr>
        <w:t>19 y 25 de la Convención</w:t>
      </w:r>
      <w:r w:rsidR="00924E26" w:rsidRPr="00B434D5">
        <w:rPr>
          <w:rFonts w:eastAsia="Arial Unicode MS" w:cs="Times New Roman"/>
          <w:color w:val="auto"/>
          <w:sz w:val="20"/>
          <w:szCs w:val="20"/>
          <w:lang w:val="es-ES_tradnl" w:eastAsia="en-US"/>
        </w:rPr>
        <w:t xml:space="preserve"> Americana, en relación con su artículo 1.1;</w:t>
      </w:r>
      <w:r w:rsidR="00AC1B52" w:rsidRPr="00B434D5">
        <w:rPr>
          <w:color w:val="auto"/>
          <w:sz w:val="20"/>
          <w:lang w:val="es-ES_tradnl"/>
        </w:rPr>
        <w:t xml:space="preserve"> </w:t>
      </w:r>
      <w:r w:rsidR="004A6A54" w:rsidRPr="00B434D5">
        <w:rPr>
          <w:color w:val="auto"/>
          <w:sz w:val="20"/>
          <w:lang w:val="es-ES_tradnl"/>
        </w:rPr>
        <w:t>y</w:t>
      </w:r>
    </w:p>
    <w:p w:rsidR="00924E26" w:rsidRPr="00B434D5" w:rsidRDefault="00924E26" w:rsidP="00924E26">
      <w:pPr>
        <w:pStyle w:val="ListParagraph"/>
        <w:jc w:val="both"/>
        <w:rPr>
          <w:rFonts w:eastAsia="Arial Unicode MS" w:cs="Times New Roman"/>
          <w:color w:val="auto"/>
          <w:sz w:val="20"/>
          <w:szCs w:val="20"/>
          <w:lang w:val="es-ES_tradnl" w:eastAsia="en-US"/>
        </w:rPr>
      </w:pPr>
    </w:p>
    <w:p w:rsidR="00AC1B52" w:rsidRPr="00C95B21" w:rsidRDefault="004A6A54" w:rsidP="00430A01">
      <w:pPr>
        <w:pStyle w:val="ListParagraph"/>
        <w:numPr>
          <w:ilvl w:val="0"/>
          <w:numId w:val="55"/>
        </w:numPr>
        <w:jc w:val="both"/>
        <w:rPr>
          <w:rFonts w:eastAsia="Arial Unicode MS" w:cs="Times New Roman"/>
          <w:color w:val="auto"/>
          <w:sz w:val="20"/>
          <w:szCs w:val="20"/>
          <w:lang w:val="es-ES_tradnl" w:eastAsia="en-US"/>
        </w:rPr>
      </w:pPr>
      <w:r w:rsidRPr="00B434D5">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C95B21" w:rsidRPr="00C95B21" w:rsidRDefault="00C95B21" w:rsidP="00C95B21">
      <w:pPr>
        <w:pStyle w:val="ListParagraph"/>
        <w:rPr>
          <w:rFonts w:eastAsia="Arial Unicode MS" w:cs="Times New Roman"/>
          <w:color w:val="auto"/>
          <w:sz w:val="20"/>
          <w:szCs w:val="20"/>
          <w:lang w:val="es-ES_tradnl" w:eastAsia="en-US"/>
        </w:rPr>
      </w:pPr>
    </w:p>
    <w:p w:rsidR="00C95B21" w:rsidRPr="00491C46" w:rsidRDefault="00C95B21" w:rsidP="00C95B21">
      <w:pPr>
        <w:ind w:firstLine="720"/>
        <w:jc w:val="both"/>
        <w:rPr>
          <w:rFonts w:ascii="Cambria" w:hAnsi="Cambria" w:cs="Arial"/>
          <w:noProof/>
          <w:spacing w:val="-2"/>
          <w:sz w:val="20"/>
          <w:szCs w:val="20"/>
          <w:lang w:val="es-CL"/>
        </w:rPr>
      </w:pPr>
      <w:r w:rsidRPr="00491C46">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9</w:t>
      </w:r>
      <w:r w:rsidRPr="00491C46">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marzo</w:t>
      </w:r>
      <w:r w:rsidRPr="00491C46">
        <w:rPr>
          <w:rFonts w:ascii="Cambria" w:hAnsi="Cambria" w:cs="Arial"/>
          <w:noProof/>
          <w:spacing w:val="-2"/>
          <w:sz w:val="20"/>
          <w:szCs w:val="20"/>
          <w:lang w:val="es-CL"/>
        </w:rPr>
        <w:t xml:space="preserve"> de </w:t>
      </w:r>
      <w:r>
        <w:rPr>
          <w:rFonts w:ascii="Cambria" w:hAnsi="Cambria" w:cs="Arial"/>
          <w:noProof/>
          <w:spacing w:val="-2"/>
          <w:sz w:val="20"/>
          <w:szCs w:val="20"/>
          <w:lang w:val="es-CL"/>
        </w:rPr>
        <w:t>2021</w:t>
      </w:r>
      <w:r w:rsidRPr="00491C46">
        <w:rPr>
          <w:rFonts w:ascii="Cambria" w:hAnsi="Cambria" w:cs="Arial"/>
          <w:noProof/>
          <w:spacing w:val="-2"/>
          <w:sz w:val="20"/>
          <w:szCs w:val="20"/>
          <w:lang w:val="es-CL"/>
        </w:rPr>
        <w:t>.  (Firmado): Antonia Urrejola, Primera Vicepresidenta; Flávia Piovesan, Segunda Vicepresidenta; Esmeralda E. Arosemena Bernal de Troitiño y Stuardo Ralón Orellana, Miembros de la Comisión.</w:t>
      </w:r>
      <w:r w:rsidRPr="00491C46">
        <w:rPr>
          <w:rFonts w:ascii="Cambria" w:hAnsi="Cambria" w:cs="Arial"/>
          <w:noProof/>
          <w:sz w:val="20"/>
          <w:szCs w:val="20"/>
          <w:lang w:val="es-CL"/>
        </w:rPr>
        <w:t xml:space="preserve"> </w:t>
      </w:r>
    </w:p>
    <w:p w:rsidR="00C95B21" w:rsidRPr="00B434D5" w:rsidRDefault="00C95B21" w:rsidP="00C95B21">
      <w:pPr>
        <w:pStyle w:val="ListParagraph"/>
        <w:jc w:val="both"/>
        <w:rPr>
          <w:rFonts w:eastAsia="Arial Unicode MS" w:cs="Times New Roman"/>
          <w:color w:val="auto"/>
          <w:sz w:val="20"/>
          <w:szCs w:val="20"/>
          <w:lang w:val="es-ES_tradnl" w:eastAsia="en-US"/>
        </w:rPr>
      </w:pPr>
    </w:p>
    <w:sectPr w:rsidR="00C95B21" w:rsidRPr="00B434D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43D" w:rsidRDefault="0067543D">
      <w:r>
        <w:separator/>
      </w:r>
    </w:p>
  </w:endnote>
  <w:endnote w:type="continuationSeparator" w:id="0">
    <w:p w:rsidR="0067543D" w:rsidRDefault="0067543D">
      <w:r>
        <w:continuationSeparator/>
      </w:r>
    </w:p>
  </w:endnote>
  <w:endnote w:type="continuationNotice" w:id="1">
    <w:p w:rsidR="0067543D" w:rsidRDefault="0067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8D8" w:rsidRDefault="00023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0376F" w:rsidRPr="00934A2C" w:rsidRDefault="00F0376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238D8">
          <w:rPr>
            <w:noProof/>
            <w:sz w:val="16"/>
            <w:szCs w:val="22"/>
          </w:rPr>
          <w:t>3</w:t>
        </w:r>
        <w:r w:rsidRPr="00934A2C">
          <w:rPr>
            <w:noProof/>
            <w:sz w:val="16"/>
            <w:szCs w:val="22"/>
          </w:rPr>
          <w:fldChar w:fldCharType="end"/>
        </w:r>
      </w:p>
    </w:sdtContent>
  </w:sdt>
  <w:p w:rsidR="00F0376F" w:rsidRDefault="00F037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6F" w:rsidRPr="00934A2C" w:rsidRDefault="00F0376F">
    <w:pPr>
      <w:pStyle w:val="Footer"/>
      <w:jc w:val="center"/>
      <w:rPr>
        <w:sz w:val="16"/>
        <w:szCs w:val="22"/>
      </w:rPr>
    </w:pPr>
  </w:p>
  <w:p w:rsidR="00F0376F" w:rsidRDefault="00F03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43D" w:rsidRPr="000F35ED" w:rsidRDefault="0067543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67543D" w:rsidRPr="000F35ED" w:rsidRDefault="0067543D" w:rsidP="000F35ED">
      <w:pPr>
        <w:rPr>
          <w:rFonts w:asciiTheme="majorHAnsi" w:hAnsiTheme="majorHAnsi"/>
          <w:sz w:val="16"/>
          <w:szCs w:val="16"/>
        </w:rPr>
      </w:pPr>
      <w:r w:rsidRPr="000F35ED">
        <w:rPr>
          <w:rFonts w:asciiTheme="majorHAnsi" w:hAnsiTheme="majorHAnsi"/>
          <w:sz w:val="16"/>
          <w:szCs w:val="16"/>
        </w:rPr>
        <w:separator/>
      </w:r>
    </w:p>
    <w:p w:rsidR="0067543D" w:rsidRPr="000F35ED" w:rsidRDefault="0067543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67543D" w:rsidRPr="000F35ED" w:rsidRDefault="0067543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0376F" w:rsidRPr="00877299" w:rsidRDefault="00F0376F" w:rsidP="0078379E">
      <w:pPr>
        <w:pStyle w:val="FootnoteText"/>
        <w:ind w:firstLine="720"/>
        <w:jc w:val="both"/>
        <w:rPr>
          <w:rFonts w:asciiTheme="majorHAnsi" w:hAnsiTheme="majorHAnsi"/>
          <w:sz w:val="16"/>
          <w:szCs w:val="16"/>
          <w:lang w:val="es-ES"/>
        </w:rPr>
      </w:pPr>
      <w:r w:rsidRPr="00877299">
        <w:rPr>
          <w:rStyle w:val="FootnoteReference"/>
          <w:rFonts w:asciiTheme="majorHAnsi" w:hAnsiTheme="majorHAnsi"/>
          <w:sz w:val="16"/>
          <w:szCs w:val="16"/>
        </w:rPr>
        <w:footnoteRef/>
      </w:r>
      <w:r w:rsidRPr="00877299">
        <w:rPr>
          <w:rFonts w:asciiTheme="majorHAnsi" w:hAnsiTheme="majorHAnsi"/>
          <w:sz w:val="16"/>
          <w:szCs w:val="16"/>
          <w:lang w:val="es-ES"/>
        </w:rPr>
        <w:t xml:space="preserve"> Conforme a lo dispuesto en el artículo 17.2.a del Reglamento de la Comisión, el Comisionado Joel Hernández, de nacionalidad mexicana, no participó en el debate ni en la decisión del presente asunto.</w:t>
      </w:r>
    </w:p>
  </w:footnote>
  <w:footnote w:id="3">
    <w:p w:rsidR="00161D05" w:rsidRPr="00877299" w:rsidRDefault="00161D05" w:rsidP="0078379E">
      <w:pPr>
        <w:pStyle w:val="FootnoteText"/>
        <w:ind w:firstLine="720"/>
        <w:jc w:val="both"/>
        <w:rPr>
          <w:rFonts w:asciiTheme="majorHAnsi" w:hAnsiTheme="majorHAnsi"/>
          <w:sz w:val="16"/>
          <w:szCs w:val="16"/>
          <w:lang w:val="es-ES"/>
        </w:rPr>
      </w:pPr>
      <w:r w:rsidRPr="00877299">
        <w:rPr>
          <w:rStyle w:val="FootnoteReference"/>
          <w:rFonts w:asciiTheme="majorHAnsi" w:hAnsiTheme="majorHAnsi"/>
          <w:sz w:val="16"/>
          <w:szCs w:val="16"/>
        </w:rPr>
        <w:footnoteRef/>
      </w:r>
      <w:r w:rsidR="00877299" w:rsidRPr="00877299">
        <w:rPr>
          <w:rFonts w:asciiTheme="majorHAnsi" w:hAnsiTheme="majorHAnsi"/>
          <w:sz w:val="16"/>
          <w:szCs w:val="16"/>
          <w:lang w:val="es-ES"/>
        </w:rPr>
        <w:t xml:space="preserve"> </w:t>
      </w:r>
      <w:r w:rsidRPr="00877299">
        <w:rPr>
          <w:rFonts w:asciiTheme="majorHAnsi" w:hAnsiTheme="majorHAnsi"/>
          <w:sz w:val="16"/>
          <w:szCs w:val="16"/>
          <w:lang w:val="es-ES"/>
        </w:rPr>
        <w:t xml:space="preserve">En adelante “la Convención Americana” o “la Convención”.  </w:t>
      </w:r>
    </w:p>
  </w:footnote>
  <w:footnote w:id="4">
    <w:p w:rsidR="00877299" w:rsidRPr="00877299" w:rsidRDefault="00877299" w:rsidP="0078379E">
      <w:pPr>
        <w:pStyle w:val="FootnoteText"/>
        <w:ind w:firstLine="720"/>
        <w:jc w:val="both"/>
        <w:rPr>
          <w:rFonts w:asciiTheme="majorHAnsi" w:hAnsiTheme="majorHAnsi"/>
          <w:sz w:val="16"/>
          <w:szCs w:val="16"/>
          <w:lang w:val="es-ES"/>
        </w:rPr>
      </w:pPr>
      <w:r w:rsidRPr="00877299">
        <w:rPr>
          <w:rStyle w:val="FootnoteReference"/>
          <w:rFonts w:asciiTheme="majorHAnsi" w:hAnsiTheme="majorHAnsi"/>
          <w:sz w:val="16"/>
          <w:szCs w:val="16"/>
        </w:rPr>
        <w:footnoteRef/>
      </w:r>
      <w:r w:rsidRPr="00877299">
        <w:rPr>
          <w:rFonts w:asciiTheme="majorHAnsi" w:hAnsiTheme="majorHAnsi"/>
          <w:sz w:val="16"/>
          <w:szCs w:val="16"/>
          <w:lang w:val="es-ES"/>
        </w:rPr>
        <w:t xml:space="preserve"> En adel</w:t>
      </w:r>
      <w:r w:rsidR="00B92EB0">
        <w:rPr>
          <w:rFonts w:asciiTheme="majorHAnsi" w:hAnsiTheme="majorHAnsi"/>
          <w:sz w:val="16"/>
          <w:szCs w:val="16"/>
          <w:lang w:val="es-ES"/>
        </w:rPr>
        <w:t>ante “la Declaración Americana” o “la Declaración”.</w:t>
      </w:r>
    </w:p>
  </w:footnote>
  <w:footnote w:id="5">
    <w:p w:rsidR="00F0376F" w:rsidRPr="00306F33" w:rsidRDefault="00F0376F" w:rsidP="0078379E">
      <w:pPr>
        <w:pStyle w:val="FootnoteText"/>
        <w:ind w:firstLine="720"/>
        <w:jc w:val="both"/>
        <w:rPr>
          <w:rFonts w:asciiTheme="majorHAnsi" w:hAnsiTheme="majorHAnsi"/>
          <w:sz w:val="16"/>
          <w:szCs w:val="16"/>
          <w:lang w:val="es-ES"/>
        </w:rPr>
      </w:pPr>
      <w:r w:rsidRPr="00877299">
        <w:rPr>
          <w:rStyle w:val="FootnoteReference"/>
          <w:rFonts w:asciiTheme="majorHAnsi" w:hAnsiTheme="majorHAnsi"/>
          <w:sz w:val="16"/>
          <w:szCs w:val="16"/>
        </w:rPr>
        <w:footnoteRef/>
      </w:r>
      <w:r w:rsidRPr="00877299">
        <w:rPr>
          <w:rFonts w:asciiTheme="majorHAnsi" w:hAnsiTheme="majorHAnsi"/>
          <w:sz w:val="16"/>
          <w:szCs w:val="16"/>
          <w:lang w:val="es-ES"/>
        </w:rPr>
        <w:t xml:space="preserve"> Las observaciones de cada parte fueron debidamente trasladadas a la parte contraria.</w:t>
      </w:r>
    </w:p>
  </w:footnote>
  <w:footnote w:id="6">
    <w:p w:rsidR="001F58EC" w:rsidRPr="007E1ABB" w:rsidRDefault="001F58EC" w:rsidP="0078379E">
      <w:pPr>
        <w:pStyle w:val="FootnoteText"/>
        <w:ind w:firstLine="720"/>
        <w:jc w:val="both"/>
        <w:rPr>
          <w:rFonts w:asciiTheme="majorHAnsi" w:hAnsiTheme="majorHAnsi"/>
          <w:sz w:val="16"/>
          <w:szCs w:val="16"/>
          <w:lang w:val="es-ES"/>
        </w:rPr>
      </w:pPr>
      <w:r w:rsidRPr="00B61819">
        <w:rPr>
          <w:rStyle w:val="FootnoteReference"/>
          <w:rFonts w:asciiTheme="majorHAnsi" w:hAnsiTheme="majorHAnsi"/>
          <w:sz w:val="16"/>
          <w:szCs w:val="16"/>
        </w:rPr>
        <w:footnoteRef/>
      </w:r>
      <w:r w:rsidR="00B61819" w:rsidRPr="00B61819">
        <w:rPr>
          <w:rFonts w:asciiTheme="majorHAnsi" w:hAnsiTheme="majorHAnsi"/>
          <w:sz w:val="16"/>
          <w:szCs w:val="16"/>
          <w:lang w:val="es-ES"/>
        </w:rPr>
        <w:t xml:space="preserve"> </w:t>
      </w:r>
      <w:r w:rsidR="007E1ABB" w:rsidRPr="00B61819">
        <w:rPr>
          <w:rFonts w:asciiTheme="majorHAnsi" w:hAnsiTheme="majorHAnsi"/>
          <w:sz w:val="16"/>
          <w:szCs w:val="16"/>
          <w:lang w:val="es-ES"/>
        </w:rPr>
        <w:t xml:space="preserve">Comisión Nacional de los Derechos Humanos, Recomendación 4/2008, 5 de febrero de 2008, </w:t>
      </w:r>
      <w:r w:rsidR="00C73BD2" w:rsidRPr="00B61819">
        <w:rPr>
          <w:rFonts w:asciiTheme="majorHAnsi" w:hAnsiTheme="majorHAnsi"/>
          <w:sz w:val="16"/>
          <w:szCs w:val="16"/>
          <w:lang w:val="es-ES"/>
        </w:rPr>
        <w:t>p</w:t>
      </w:r>
      <w:r w:rsidRPr="00B61819">
        <w:rPr>
          <w:rFonts w:asciiTheme="majorHAnsi" w:hAnsiTheme="majorHAnsi"/>
          <w:sz w:val="16"/>
          <w:szCs w:val="16"/>
          <w:lang w:val="es-ES"/>
        </w:rPr>
        <w:t>ág.8</w:t>
      </w:r>
      <w:r w:rsidRPr="007E1ABB">
        <w:rPr>
          <w:rFonts w:asciiTheme="majorHAnsi" w:hAnsiTheme="majorHAnsi"/>
          <w:sz w:val="16"/>
          <w:szCs w:val="16"/>
          <w:lang w:val="es-ES"/>
        </w:rPr>
        <w:t xml:space="preserve"> </w:t>
      </w:r>
    </w:p>
  </w:footnote>
  <w:footnote w:id="7">
    <w:p w:rsidR="00CA4862" w:rsidRPr="002E0C58" w:rsidRDefault="00CA4862" w:rsidP="002D4020">
      <w:pPr>
        <w:pStyle w:val="NormalWeb"/>
        <w:spacing w:before="0" w:beforeAutospacing="0" w:after="0" w:afterAutospacing="0"/>
        <w:ind w:firstLine="720"/>
        <w:jc w:val="both"/>
        <w:rPr>
          <w:lang w:val="es-US"/>
        </w:rPr>
      </w:pPr>
      <w:r w:rsidRPr="000B47AD">
        <w:rPr>
          <w:rStyle w:val="FootnoteReference"/>
          <w:rFonts w:asciiTheme="majorHAnsi" w:hAnsiTheme="majorHAnsi"/>
          <w:sz w:val="16"/>
          <w:szCs w:val="16"/>
        </w:rPr>
        <w:footnoteRef/>
      </w:r>
      <w:r w:rsidRPr="000B47AD">
        <w:rPr>
          <w:rFonts w:asciiTheme="majorHAnsi" w:hAnsiTheme="majorHAnsi"/>
          <w:sz w:val="16"/>
          <w:szCs w:val="16"/>
          <w:lang w:val="es-ES"/>
        </w:rPr>
        <w:t xml:space="preserve"> </w:t>
      </w:r>
      <w:r w:rsidRPr="000B47AD">
        <w:rPr>
          <w:rFonts w:asciiTheme="majorHAnsi" w:eastAsia="Calibri" w:hAnsiTheme="majorHAnsi" w:cs="Calibri"/>
          <w:color w:val="000000"/>
          <w:sz w:val="16"/>
          <w:szCs w:val="16"/>
          <w:u w:color="000000"/>
          <w:bdr w:val="nil"/>
          <w:lang w:val="es-ES" w:eastAsia="es-ES"/>
        </w:rPr>
        <w:t xml:space="preserve">CIDH, Informe No. 183/19. </w:t>
      </w:r>
      <w:proofErr w:type="spellStart"/>
      <w:r w:rsidRPr="000B47AD">
        <w:rPr>
          <w:rFonts w:asciiTheme="majorHAnsi" w:eastAsia="Calibri" w:hAnsiTheme="majorHAnsi" w:cs="Calibri"/>
          <w:color w:val="000000"/>
          <w:sz w:val="16"/>
          <w:szCs w:val="16"/>
          <w:u w:color="000000"/>
          <w:bdr w:val="nil"/>
          <w:lang w:val="es-ES" w:eastAsia="es-ES"/>
        </w:rPr>
        <w:t>Petición</w:t>
      </w:r>
      <w:proofErr w:type="spellEnd"/>
      <w:r w:rsidRPr="000B47AD">
        <w:rPr>
          <w:rFonts w:asciiTheme="majorHAnsi" w:eastAsia="Calibri" w:hAnsiTheme="majorHAnsi" w:cs="Calibri"/>
          <w:color w:val="000000"/>
          <w:sz w:val="16"/>
          <w:szCs w:val="16"/>
          <w:u w:color="000000"/>
          <w:bdr w:val="nil"/>
          <w:lang w:val="es-ES" w:eastAsia="es-ES"/>
        </w:rPr>
        <w:t xml:space="preserve"> 1213-12</w:t>
      </w:r>
      <w:r w:rsidR="001B78D8" w:rsidRPr="000B47AD">
        <w:rPr>
          <w:rFonts w:asciiTheme="majorHAnsi" w:hAnsiTheme="majorHAnsi"/>
          <w:sz w:val="16"/>
          <w:szCs w:val="16"/>
          <w:lang w:val="es-ES"/>
        </w:rPr>
        <w:t xml:space="preserve"> </w:t>
      </w:r>
      <w:r w:rsidRPr="000B47AD">
        <w:rPr>
          <w:rFonts w:asciiTheme="majorHAnsi" w:eastAsia="Calibri" w:hAnsiTheme="majorHAnsi" w:cs="Calibri"/>
          <w:color w:val="000000"/>
          <w:sz w:val="16"/>
          <w:szCs w:val="16"/>
          <w:u w:color="000000"/>
          <w:bdr w:val="nil"/>
          <w:lang w:val="es-ES" w:eastAsia="es-ES"/>
        </w:rPr>
        <w:t xml:space="preserve">Admisibilidad. </w:t>
      </w:r>
      <w:r w:rsidRPr="00D575E7">
        <w:rPr>
          <w:rFonts w:asciiTheme="majorHAnsi" w:eastAsia="Calibri" w:hAnsiTheme="majorHAnsi"/>
          <w:color w:val="000000"/>
          <w:sz w:val="16"/>
          <w:u w:color="000000"/>
          <w:bdr w:val="nil"/>
          <w:lang w:val="es-ES"/>
        </w:rPr>
        <w:t>S</w:t>
      </w:r>
      <w:r w:rsidR="00900AED" w:rsidRPr="00D575E7">
        <w:rPr>
          <w:rFonts w:asciiTheme="majorHAnsi" w:eastAsia="Calibri" w:hAnsiTheme="majorHAnsi"/>
          <w:color w:val="000000"/>
          <w:sz w:val="16"/>
          <w:u w:color="000000"/>
          <w:bdr w:val="nil"/>
          <w:lang w:val="es-ES"/>
        </w:rPr>
        <w:t>.D.C.G</w:t>
      </w:r>
      <w:r w:rsidR="002B72DE" w:rsidRPr="00D575E7">
        <w:rPr>
          <w:rFonts w:asciiTheme="majorHAnsi" w:eastAsia="Calibri" w:hAnsiTheme="majorHAnsi"/>
          <w:color w:val="000000"/>
          <w:sz w:val="16"/>
          <w:u w:color="000000"/>
          <w:bdr w:val="nil"/>
          <w:lang w:val="es-ES"/>
        </w:rPr>
        <w:t xml:space="preserve"> y D.G.R</w:t>
      </w:r>
      <w:r w:rsidR="001B78D8" w:rsidRPr="00D575E7">
        <w:rPr>
          <w:rFonts w:asciiTheme="majorHAnsi" w:hAnsiTheme="majorHAnsi"/>
          <w:sz w:val="16"/>
          <w:lang w:val="es-ES"/>
        </w:rPr>
        <w:t>.</w:t>
      </w:r>
      <w:r w:rsidR="001B78D8" w:rsidRPr="000B47AD">
        <w:rPr>
          <w:rFonts w:asciiTheme="majorHAnsi" w:hAnsiTheme="majorHAnsi"/>
          <w:sz w:val="16"/>
          <w:szCs w:val="16"/>
          <w:lang w:val="es-ES"/>
        </w:rPr>
        <w:t xml:space="preserve"> México.</w:t>
      </w:r>
      <w:r w:rsidR="00963E74">
        <w:rPr>
          <w:rFonts w:asciiTheme="majorHAnsi" w:hAnsiTheme="majorHAnsi"/>
          <w:sz w:val="16"/>
          <w:szCs w:val="16"/>
          <w:lang w:val="es-ES"/>
        </w:rPr>
        <w:t xml:space="preserve"> 5 de diciembre de 2019 párr. 8</w:t>
      </w:r>
      <w:r w:rsidR="001B78D8" w:rsidRPr="000B47AD">
        <w:rPr>
          <w:rFonts w:asciiTheme="majorHAnsi" w:hAnsiTheme="majorHAnsi"/>
          <w:sz w:val="16"/>
          <w:szCs w:val="16"/>
          <w:lang w:val="es-ES"/>
        </w:rPr>
        <w:t xml:space="preserve">; </w:t>
      </w:r>
      <w:r w:rsidR="00963E74">
        <w:rPr>
          <w:rFonts w:asciiTheme="majorHAnsi" w:hAnsiTheme="majorHAnsi"/>
          <w:sz w:val="16"/>
          <w:szCs w:val="16"/>
          <w:lang w:val="es-ES"/>
        </w:rPr>
        <w:t xml:space="preserve">y </w:t>
      </w:r>
      <w:r w:rsidR="001B78D8" w:rsidRPr="000B47AD">
        <w:rPr>
          <w:rFonts w:ascii="Cambria" w:hAnsi="Cambria"/>
          <w:sz w:val="16"/>
          <w:szCs w:val="16"/>
          <w:lang w:val="es-ES"/>
        </w:rPr>
        <w:t xml:space="preserve">CIDH, Informe No. 74/16. </w:t>
      </w:r>
      <w:proofErr w:type="spellStart"/>
      <w:r w:rsidR="001B78D8" w:rsidRPr="000B47AD">
        <w:rPr>
          <w:rFonts w:ascii="Cambria" w:hAnsi="Cambria"/>
          <w:sz w:val="16"/>
          <w:szCs w:val="16"/>
          <w:lang w:val="es-ES"/>
        </w:rPr>
        <w:t>Petición</w:t>
      </w:r>
      <w:proofErr w:type="spellEnd"/>
      <w:r w:rsidR="001B78D8" w:rsidRPr="000B47AD">
        <w:rPr>
          <w:rFonts w:ascii="Cambria" w:hAnsi="Cambria"/>
          <w:sz w:val="16"/>
          <w:szCs w:val="16"/>
          <w:lang w:val="es-ES"/>
        </w:rPr>
        <w:t xml:space="preserve"> 568-06. Admisibilidad. H.O.V.T. y otros. </w:t>
      </w:r>
      <w:r w:rsidR="001B78D8" w:rsidRPr="002E0C58">
        <w:rPr>
          <w:rFonts w:ascii="Cambria" w:hAnsi="Cambria"/>
          <w:sz w:val="16"/>
          <w:szCs w:val="16"/>
          <w:lang w:val="es-US"/>
        </w:rPr>
        <w:t xml:space="preserve">Guatemala. 6 de diciembre de 2016, </w:t>
      </w:r>
      <w:proofErr w:type="spellStart"/>
      <w:r w:rsidR="001B78D8" w:rsidRPr="002E0C58">
        <w:rPr>
          <w:rFonts w:ascii="Cambria" w:hAnsi="Cambria"/>
          <w:sz w:val="16"/>
          <w:szCs w:val="16"/>
          <w:lang w:val="es-US"/>
        </w:rPr>
        <w:t>párr</w:t>
      </w:r>
      <w:proofErr w:type="spellEnd"/>
      <w:r w:rsidR="001B78D8" w:rsidRPr="002E0C58">
        <w:rPr>
          <w:rFonts w:ascii="Cambria" w:hAnsi="Cambria"/>
          <w:sz w:val="16"/>
          <w:szCs w:val="16"/>
          <w:lang w:val="es-US"/>
        </w:rPr>
        <w:t xml:space="preserve">. 39. </w:t>
      </w:r>
    </w:p>
  </w:footnote>
  <w:footnote w:id="8">
    <w:p w:rsidR="00503263" w:rsidRPr="00F752CD" w:rsidRDefault="00503263" w:rsidP="00503263">
      <w:pPr>
        <w:pStyle w:val="FootnoteText"/>
        <w:jc w:val="both"/>
        <w:rPr>
          <w:rFonts w:ascii="Cambria" w:hAnsi="Cambria"/>
          <w:sz w:val="16"/>
          <w:szCs w:val="16"/>
          <w:lang w:val="es-ES"/>
        </w:rPr>
      </w:pPr>
      <w:r w:rsidRPr="00F752CD">
        <w:rPr>
          <w:rFonts w:ascii="Cambria" w:hAnsi="Cambria"/>
          <w:sz w:val="16"/>
          <w:szCs w:val="16"/>
          <w:lang w:val="es-ES"/>
        </w:rPr>
        <w:tab/>
      </w:r>
      <w:r w:rsidRPr="00F752CD">
        <w:rPr>
          <w:rStyle w:val="FootnoteReference"/>
          <w:rFonts w:ascii="Cambria" w:hAnsi="Cambria"/>
          <w:sz w:val="16"/>
          <w:szCs w:val="16"/>
        </w:rPr>
        <w:footnoteRef/>
      </w:r>
      <w:r w:rsidRPr="00F752CD">
        <w:rPr>
          <w:rFonts w:ascii="Cambria" w:hAnsi="Cambria"/>
          <w:sz w:val="16"/>
          <w:szCs w:val="16"/>
          <w:lang w:val="es-ES"/>
        </w:rPr>
        <w:t xml:space="preserve"> CIDH, Informe No. 44/18, Petición 840-07. Admisibilidad. Masacre de </w:t>
      </w:r>
      <w:proofErr w:type="spellStart"/>
      <w:r w:rsidRPr="00F752CD">
        <w:rPr>
          <w:rFonts w:ascii="Cambria" w:hAnsi="Cambria"/>
          <w:sz w:val="16"/>
          <w:szCs w:val="16"/>
          <w:lang w:val="es-ES"/>
        </w:rPr>
        <w:t>Pijiguay</w:t>
      </w:r>
      <w:proofErr w:type="spellEnd"/>
      <w:r w:rsidRPr="00F752CD">
        <w:rPr>
          <w:rFonts w:ascii="Cambria" w:hAnsi="Cambria"/>
          <w:sz w:val="16"/>
          <w:szCs w:val="16"/>
          <w:lang w:val="es-ES"/>
        </w:rPr>
        <w:t>. Colombia. 4 de mayo de 2018,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6F" w:rsidRDefault="00F0376F" w:rsidP="00F0376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0376F" w:rsidRDefault="00F037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76F" w:rsidRDefault="00F0376F" w:rsidP="00A50FCF">
    <w:pPr>
      <w:pStyle w:val="Header"/>
      <w:tabs>
        <w:tab w:val="clear" w:pos="4320"/>
        <w:tab w:val="clear" w:pos="8640"/>
      </w:tabs>
      <w:jc w:val="center"/>
      <w:rPr>
        <w:sz w:val="22"/>
        <w:szCs w:val="22"/>
      </w:rPr>
    </w:pPr>
    <w:r>
      <w:rPr>
        <w:noProof/>
        <w:sz w:val="22"/>
        <w:szCs w:val="22"/>
      </w:rPr>
      <w:drawing>
        <wp:inline distT="0" distB="0" distL="0" distR="0" wp14:anchorId="3893AF0B" wp14:editId="14AF134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0376F" w:rsidRPr="00EC7D62" w:rsidRDefault="0067543D" w:rsidP="00A50FCF">
    <w:pPr>
      <w:pStyle w:val="Header"/>
      <w:tabs>
        <w:tab w:val="clear" w:pos="4320"/>
        <w:tab w:val="clear" w:pos="8640"/>
      </w:tabs>
      <w:jc w:val="center"/>
      <w:rPr>
        <w:sz w:val="22"/>
        <w:szCs w:val="22"/>
      </w:rPr>
    </w:pPr>
    <w:r>
      <w:rPr>
        <w:noProof/>
        <w:sz w:val="22"/>
        <w:szCs w:val="22"/>
        <w:bdr w:val="nil"/>
      </w:rPr>
      <w:pict w14:anchorId="1B83ACA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8D8" w:rsidRDefault="00023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4"/>
  </w:num>
  <w:num w:numId="4">
    <w:abstractNumId w:val="19"/>
  </w:num>
  <w:num w:numId="5">
    <w:abstractNumId w:val="48"/>
  </w:num>
  <w:num w:numId="6">
    <w:abstractNumId w:val="26"/>
  </w:num>
  <w:num w:numId="7">
    <w:abstractNumId w:val="5"/>
  </w:num>
  <w:num w:numId="8">
    <w:abstractNumId w:val="15"/>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8"/>
  </w:num>
  <w:num w:numId="52">
    <w:abstractNumId w:val="42"/>
  </w:num>
  <w:num w:numId="53">
    <w:abstractNumId w:val="51"/>
  </w:num>
  <w:num w:numId="54">
    <w:abstractNumId w:val="46"/>
  </w:num>
  <w:num w:numId="55">
    <w:abstractNumId w:val="44"/>
  </w:num>
  <w:num w:numId="56">
    <w:abstractNumId w:val="25"/>
  </w:num>
  <w:num w:numId="57">
    <w:abstractNumId w:val="23"/>
  </w:num>
  <w:num w:numId="58">
    <w:abstractNumId w:val="37"/>
  </w:num>
  <w:num w:numId="59">
    <w:abstractNumId w:val="34"/>
  </w:num>
  <w:num w:numId="60">
    <w:abstractNumId w:val="34"/>
    <w:lvlOverride w:ilvl="0">
      <w:startOverride w:val="1"/>
    </w:lvlOverride>
  </w:num>
  <w:num w:numId="61">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428"/>
    <w:rsid w:val="0001788C"/>
    <w:rsid w:val="000238D8"/>
    <w:rsid w:val="0003316B"/>
    <w:rsid w:val="000337EF"/>
    <w:rsid w:val="00040C3A"/>
    <w:rsid w:val="000419AD"/>
    <w:rsid w:val="000433C9"/>
    <w:rsid w:val="000513A0"/>
    <w:rsid w:val="00054DBB"/>
    <w:rsid w:val="00061731"/>
    <w:rsid w:val="00070085"/>
    <w:rsid w:val="00071174"/>
    <w:rsid w:val="000716C5"/>
    <w:rsid w:val="000728CC"/>
    <w:rsid w:val="00073D4E"/>
    <w:rsid w:val="00075E23"/>
    <w:rsid w:val="0009344A"/>
    <w:rsid w:val="000A0AF0"/>
    <w:rsid w:val="000A392E"/>
    <w:rsid w:val="000A575F"/>
    <w:rsid w:val="000B47AD"/>
    <w:rsid w:val="000B63CA"/>
    <w:rsid w:val="000C711F"/>
    <w:rsid w:val="000D05CB"/>
    <w:rsid w:val="000D10DB"/>
    <w:rsid w:val="000E0992"/>
    <w:rsid w:val="000E4E36"/>
    <w:rsid w:val="000E5EB5"/>
    <w:rsid w:val="000E637F"/>
    <w:rsid w:val="000F29C8"/>
    <w:rsid w:val="000F35ED"/>
    <w:rsid w:val="000F794B"/>
    <w:rsid w:val="001001E1"/>
    <w:rsid w:val="00107131"/>
    <w:rsid w:val="0010736F"/>
    <w:rsid w:val="001113EE"/>
    <w:rsid w:val="00113F73"/>
    <w:rsid w:val="00121CC2"/>
    <w:rsid w:val="001237C6"/>
    <w:rsid w:val="00131425"/>
    <w:rsid w:val="00133EE5"/>
    <w:rsid w:val="0013714E"/>
    <w:rsid w:val="00146589"/>
    <w:rsid w:val="0014699B"/>
    <w:rsid w:val="00156DDC"/>
    <w:rsid w:val="00157735"/>
    <w:rsid w:val="001577FC"/>
    <w:rsid w:val="00161D05"/>
    <w:rsid w:val="00167A34"/>
    <w:rsid w:val="00175657"/>
    <w:rsid w:val="00180AF1"/>
    <w:rsid w:val="001A520D"/>
    <w:rsid w:val="001A6E27"/>
    <w:rsid w:val="001A7870"/>
    <w:rsid w:val="001B3A00"/>
    <w:rsid w:val="001B3A99"/>
    <w:rsid w:val="001B77FE"/>
    <w:rsid w:val="001B78D8"/>
    <w:rsid w:val="001C1B41"/>
    <w:rsid w:val="001C1B63"/>
    <w:rsid w:val="001C4D2C"/>
    <w:rsid w:val="001D65EF"/>
    <w:rsid w:val="001D6A41"/>
    <w:rsid w:val="001E3B44"/>
    <w:rsid w:val="001E49E7"/>
    <w:rsid w:val="001F10F3"/>
    <w:rsid w:val="001F19DE"/>
    <w:rsid w:val="001F3856"/>
    <w:rsid w:val="001F58EC"/>
    <w:rsid w:val="001F7201"/>
    <w:rsid w:val="00207703"/>
    <w:rsid w:val="0021487A"/>
    <w:rsid w:val="00215A34"/>
    <w:rsid w:val="00220A16"/>
    <w:rsid w:val="00223A29"/>
    <w:rsid w:val="002250A3"/>
    <w:rsid w:val="00235217"/>
    <w:rsid w:val="00246D1F"/>
    <w:rsid w:val="00247403"/>
    <w:rsid w:val="00247542"/>
    <w:rsid w:val="00247955"/>
    <w:rsid w:val="00250A78"/>
    <w:rsid w:val="00266B61"/>
    <w:rsid w:val="0026712A"/>
    <w:rsid w:val="002704DB"/>
    <w:rsid w:val="00272E7C"/>
    <w:rsid w:val="00284DD8"/>
    <w:rsid w:val="00287501"/>
    <w:rsid w:val="0029243E"/>
    <w:rsid w:val="00294763"/>
    <w:rsid w:val="002A0729"/>
    <w:rsid w:val="002A0AAE"/>
    <w:rsid w:val="002A5820"/>
    <w:rsid w:val="002A6BFF"/>
    <w:rsid w:val="002B72DE"/>
    <w:rsid w:val="002D2B26"/>
    <w:rsid w:val="002D3DB6"/>
    <w:rsid w:val="002D4020"/>
    <w:rsid w:val="002D7EA2"/>
    <w:rsid w:val="002E0C58"/>
    <w:rsid w:val="002E0E64"/>
    <w:rsid w:val="002E1317"/>
    <w:rsid w:val="002E187C"/>
    <w:rsid w:val="002F1404"/>
    <w:rsid w:val="002F7AB9"/>
    <w:rsid w:val="00302733"/>
    <w:rsid w:val="0030455E"/>
    <w:rsid w:val="00305835"/>
    <w:rsid w:val="00306F33"/>
    <w:rsid w:val="003110D1"/>
    <w:rsid w:val="00314078"/>
    <w:rsid w:val="00314D10"/>
    <w:rsid w:val="0031535D"/>
    <w:rsid w:val="003239B8"/>
    <w:rsid w:val="0033169F"/>
    <w:rsid w:val="00331C59"/>
    <w:rsid w:val="00333276"/>
    <w:rsid w:val="00340667"/>
    <w:rsid w:val="003410C4"/>
    <w:rsid w:val="00341EE6"/>
    <w:rsid w:val="0034370C"/>
    <w:rsid w:val="00344977"/>
    <w:rsid w:val="00346C95"/>
    <w:rsid w:val="00346F29"/>
    <w:rsid w:val="00353426"/>
    <w:rsid w:val="00356185"/>
    <w:rsid w:val="00360380"/>
    <w:rsid w:val="00362228"/>
    <w:rsid w:val="0037519E"/>
    <w:rsid w:val="00386B58"/>
    <w:rsid w:val="00386CF0"/>
    <w:rsid w:val="00386E3D"/>
    <w:rsid w:val="00391130"/>
    <w:rsid w:val="0039337C"/>
    <w:rsid w:val="003956A1"/>
    <w:rsid w:val="003A6454"/>
    <w:rsid w:val="003B0D77"/>
    <w:rsid w:val="003B212D"/>
    <w:rsid w:val="003B281E"/>
    <w:rsid w:val="003B3BDC"/>
    <w:rsid w:val="003B70FB"/>
    <w:rsid w:val="003C676B"/>
    <w:rsid w:val="003D015E"/>
    <w:rsid w:val="003D3BC2"/>
    <w:rsid w:val="003E0A2F"/>
    <w:rsid w:val="003E6796"/>
    <w:rsid w:val="003E6CA1"/>
    <w:rsid w:val="003F0F18"/>
    <w:rsid w:val="003F2350"/>
    <w:rsid w:val="003F5154"/>
    <w:rsid w:val="003F724C"/>
    <w:rsid w:val="0040052F"/>
    <w:rsid w:val="00405AF5"/>
    <w:rsid w:val="00405D01"/>
    <w:rsid w:val="00405F9C"/>
    <w:rsid w:val="004065A8"/>
    <w:rsid w:val="00411960"/>
    <w:rsid w:val="00414716"/>
    <w:rsid w:val="00416512"/>
    <w:rsid w:val="004165C2"/>
    <w:rsid w:val="00421EF6"/>
    <w:rsid w:val="00425CD2"/>
    <w:rsid w:val="00427823"/>
    <w:rsid w:val="00430A01"/>
    <w:rsid w:val="0044033B"/>
    <w:rsid w:val="00441ECB"/>
    <w:rsid w:val="00445193"/>
    <w:rsid w:val="00447A00"/>
    <w:rsid w:val="00454F8B"/>
    <w:rsid w:val="00462C1B"/>
    <w:rsid w:val="00463584"/>
    <w:rsid w:val="0046768F"/>
    <w:rsid w:val="00467B7E"/>
    <w:rsid w:val="00473BB4"/>
    <w:rsid w:val="00477592"/>
    <w:rsid w:val="00486F1C"/>
    <w:rsid w:val="0049175B"/>
    <w:rsid w:val="0049419D"/>
    <w:rsid w:val="00495D1E"/>
    <w:rsid w:val="004A6A54"/>
    <w:rsid w:val="004B0DAF"/>
    <w:rsid w:val="004B399C"/>
    <w:rsid w:val="004B421C"/>
    <w:rsid w:val="004C0094"/>
    <w:rsid w:val="004C20D2"/>
    <w:rsid w:val="004C2312"/>
    <w:rsid w:val="004C36FB"/>
    <w:rsid w:val="004C4B62"/>
    <w:rsid w:val="004C54C9"/>
    <w:rsid w:val="004D327E"/>
    <w:rsid w:val="004D4ABA"/>
    <w:rsid w:val="004D5E97"/>
    <w:rsid w:val="004D6025"/>
    <w:rsid w:val="004E041B"/>
    <w:rsid w:val="004E2649"/>
    <w:rsid w:val="004E5DCF"/>
    <w:rsid w:val="004F626F"/>
    <w:rsid w:val="004F7D59"/>
    <w:rsid w:val="00500D02"/>
    <w:rsid w:val="00501399"/>
    <w:rsid w:val="005013DD"/>
    <w:rsid w:val="00503263"/>
    <w:rsid w:val="005047ED"/>
    <w:rsid w:val="0050633D"/>
    <w:rsid w:val="00507BC4"/>
    <w:rsid w:val="005128E4"/>
    <w:rsid w:val="005133DB"/>
    <w:rsid w:val="00514358"/>
    <w:rsid w:val="00514504"/>
    <w:rsid w:val="00521E1F"/>
    <w:rsid w:val="00525560"/>
    <w:rsid w:val="0053228F"/>
    <w:rsid w:val="00535619"/>
    <w:rsid w:val="00542908"/>
    <w:rsid w:val="00544C49"/>
    <w:rsid w:val="00545393"/>
    <w:rsid w:val="00547F9D"/>
    <w:rsid w:val="005503AE"/>
    <w:rsid w:val="005516A1"/>
    <w:rsid w:val="00553220"/>
    <w:rsid w:val="005559EF"/>
    <w:rsid w:val="005614AF"/>
    <w:rsid w:val="00563557"/>
    <w:rsid w:val="005703E9"/>
    <w:rsid w:val="0057402A"/>
    <w:rsid w:val="005771D0"/>
    <w:rsid w:val="00580185"/>
    <w:rsid w:val="00587466"/>
    <w:rsid w:val="00587DE9"/>
    <w:rsid w:val="0059191A"/>
    <w:rsid w:val="005921FF"/>
    <w:rsid w:val="005A24ED"/>
    <w:rsid w:val="005A6D0E"/>
    <w:rsid w:val="005B52B0"/>
    <w:rsid w:val="005B6806"/>
    <w:rsid w:val="005C0FE4"/>
    <w:rsid w:val="005C4225"/>
    <w:rsid w:val="005C6D53"/>
    <w:rsid w:val="005E41AD"/>
    <w:rsid w:val="005E6B8F"/>
    <w:rsid w:val="005F0DAD"/>
    <w:rsid w:val="005F0F33"/>
    <w:rsid w:val="00600DEB"/>
    <w:rsid w:val="006026C7"/>
    <w:rsid w:val="00610E7C"/>
    <w:rsid w:val="00611259"/>
    <w:rsid w:val="00622386"/>
    <w:rsid w:val="00627C9F"/>
    <w:rsid w:val="006311E9"/>
    <w:rsid w:val="00632354"/>
    <w:rsid w:val="00632D41"/>
    <w:rsid w:val="00635421"/>
    <w:rsid w:val="00640473"/>
    <w:rsid w:val="00640973"/>
    <w:rsid w:val="00642810"/>
    <w:rsid w:val="006501EA"/>
    <w:rsid w:val="00652333"/>
    <w:rsid w:val="00652BCC"/>
    <w:rsid w:val="00661185"/>
    <w:rsid w:val="006733B7"/>
    <w:rsid w:val="0067543D"/>
    <w:rsid w:val="0068009E"/>
    <w:rsid w:val="00692219"/>
    <w:rsid w:val="00693020"/>
    <w:rsid w:val="006942DD"/>
    <w:rsid w:val="00695C2A"/>
    <w:rsid w:val="006A17D2"/>
    <w:rsid w:val="006A2247"/>
    <w:rsid w:val="006A3D74"/>
    <w:rsid w:val="006A73E6"/>
    <w:rsid w:val="006B0B18"/>
    <w:rsid w:val="006B0D54"/>
    <w:rsid w:val="006B2D5C"/>
    <w:rsid w:val="006B5A15"/>
    <w:rsid w:val="006C0475"/>
    <w:rsid w:val="006C0ECF"/>
    <w:rsid w:val="006C4EB1"/>
    <w:rsid w:val="006C67DF"/>
    <w:rsid w:val="006D1511"/>
    <w:rsid w:val="006D7628"/>
    <w:rsid w:val="006E0166"/>
    <w:rsid w:val="006E17CB"/>
    <w:rsid w:val="006E2FFB"/>
    <w:rsid w:val="006E59A3"/>
    <w:rsid w:val="006E7B34"/>
    <w:rsid w:val="00702A9C"/>
    <w:rsid w:val="0070697F"/>
    <w:rsid w:val="007103C4"/>
    <w:rsid w:val="0072199C"/>
    <w:rsid w:val="00722C9F"/>
    <w:rsid w:val="007253B8"/>
    <w:rsid w:val="0072613D"/>
    <w:rsid w:val="00732BB9"/>
    <w:rsid w:val="0073741F"/>
    <w:rsid w:val="007445CE"/>
    <w:rsid w:val="0074556E"/>
    <w:rsid w:val="00746C09"/>
    <w:rsid w:val="00753531"/>
    <w:rsid w:val="0075752F"/>
    <w:rsid w:val="00761CB6"/>
    <w:rsid w:val="0076643F"/>
    <w:rsid w:val="00770CEB"/>
    <w:rsid w:val="00777F63"/>
    <w:rsid w:val="0078379E"/>
    <w:rsid w:val="00790975"/>
    <w:rsid w:val="0079165B"/>
    <w:rsid w:val="00791B46"/>
    <w:rsid w:val="00795850"/>
    <w:rsid w:val="0079713A"/>
    <w:rsid w:val="007A28A7"/>
    <w:rsid w:val="007A5817"/>
    <w:rsid w:val="007B05C4"/>
    <w:rsid w:val="007B60E9"/>
    <w:rsid w:val="007B6CC3"/>
    <w:rsid w:val="007B76D3"/>
    <w:rsid w:val="007C3334"/>
    <w:rsid w:val="007C69BE"/>
    <w:rsid w:val="007D2B98"/>
    <w:rsid w:val="007D7E3A"/>
    <w:rsid w:val="007E1ABB"/>
    <w:rsid w:val="007E21BC"/>
    <w:rsid w:val="007E7C82"/>
    <w:rsid w:val="007F28C2"/>
    <w:rsid w:val="007F2AA1"/>
    <w:rsid w:val="007F588D"/>
    <w:rsid w:val="00803F1C"/>
    <w:rsid w:val="008044D4"/>
    <w:rsid w:val="0080600E"/>
    <w:rsid w:val="00814688"/>
    <w:rsid w:val="00817612"/>
    <w:rsid w:val="008205EF"/>
    <w:rsid w:val="00822B93"/>
    <w:rsid w:val="00833348"/>
    <w:rsid w:val="008338A4"/>
    <w:rsid w:val="00834D49"/>
    <w:rsid w:val="00837C45"/>
    <w:rsid w:val="00844730"/>
    <w:rsid w:val="008457C2"/>
    <w:rsid w:val="00854C7F"/>
    <w:rsid w:val="00857A82"/>
    <w:rsid w:val="00867730"/>
    <w:rsid w:val="00873836"/>
    <w:rsid w:val="00874028"/>
    <w:rsid w:val="008741CD"/>
    <w:rsid w:val="008768FC"/>
    <w:rsid w:val="00876CE7"/>
    <w:rsid w:val="00877299"/>
    <w:rsid w:val="00885737"/>
    <w:rsid w:val="00886C14"/>
    <w:rsid w:val="00890053"/>
    <w:rsid w:val="00890650"/>
    <w:rsid w:val="008944DC"/>
    <w:rsid w:val="00896211"/>
    <w:rsid w:val="00896270"/>
    <w:rsid w:val="00897E12"/>
    <w:rsid w:val="008A1A1C"/>
    <w:rsid w:val="008A7E0F"/>
    <w:rsid w:val="008B12F5"/>
    <w:rsid w:val="008B7EDB"/>
    <w:rsid w:val="008C5E2D"/>
    <w:rsid w:val="008C7112"/>
    <w:rsid w:val="008D1678"/>
    <w:rsid w:val="008D768D"/>
    <w:rsid w:val="008E3759"/>
    <w:rsid w:val="008E3BFE"/>
    <w:rsid w:val="008E46CD"/>
    <w:rsid w:val="008F17F7"/>
    <w:rsid w:val="008F1912"/>
    <w:rsid w:val="00900AED"/>
    <w:rsid w:val="00901868"/>
    <w:rsid w:val="00902254"/>
    <w:rsid w:val="0090270B"/>
    <w:rsid w:val="009041DC"/>
    <w:rsid w:val="00906BFE"/>
    <w:rsid w:val="009129C3"/>
    <w:rsid w:val="00917B5A"/>
    <w:rsid w:val="00920A58"/>
    <w:rsid w:val="00920A8C"/>
    <w:rsid w:val="00924AB7"/>
    <w:rsid w:val="00924E26"/>
    <w:rsid w:val="00927294"/>
    <w:rsid w:val="00931570"/>
    <w:rsid w:val="00934A2C"/>
    <w:rsid w:val="00937C81"/>
    <w:rsid w:val="0096001F"/>
    <w:rsid w:val="009608E7"/>
    <w:rsid w:val="00963E74"/>
    <w:rsid w:val="0096706E"/>
    <w:rsid w:val="009716C4"/>
    <w:rsid w:val="00974491"/>
    <w:rsid w:val="00975C4E"/>
    <w:rsid w:val="00981FBA"/>
    <w:rsid w:val="00982546"/>
    <w:rsid w:val="00994EA5"/>
    <w:rsid w:val="009961CC"/>
    <w:rsid w:val="00997BC5"/>
    <w:rsid w:val="009A0411"/>
    <w:rsid w:val="009A0B16"/>
    <w:rsid w:val="009A4F41"/>
    <w:rsid w:val="009A5B78"/>
    <w:rsid w:val="009B381B"/>
    <w:rsid w:val="009B63EE"/>
    <w:rsid w:val="009C5A2C"/>
    <w:rsid w:val="009D1753"/>
    <w:rsid w:val="009D7611"/>
    <w:rsid w:val="009E0B61"/>
    <w:rsid w:val="009E53DE"/>
    <w:rsid w:val="009E5D50"/>
    <w:rsid w:val="00A05417"/>
    <w:rsid w:val="00A069A6"/>
    <w:rsid w:val="00A06DED"/>
    <w:rsid w:val="00A11212"/>
    <w:rsid w:val="00A11E44"/>
    <w:rsid w:val="00A11F8A"/>
    <w:rsid w:val="00A13F48"/>
    <w:rsid w:val="00A21749"/>
    <w:rsid w:val="00A247BD"/>
    <w:rsid w:val="00A24E8C"/>
    <w:rsid w:val="00A2514D"/>
    <w:rsid w:val="00A27817"/>
    <w:rsid w:val="00A30100"/>
    <w:rsid w:val="00A328B3"/>
    <w:rsid w:val="00A33C88"/>
    <w:rsid w:val="00A3685B"/>
    <w:rsid w:val="00A4111A"/>
    <w:rsid w:val="00A46868"/>
    <w:rsid w:val="00A50FCF"/>
    <w:rsid w:val="00A528D1"/>
    <w:rsid w:val="00A54EF4"/>
    <w:rsid w:val="00A55941"/>
    <w:rsid w:val="00A610CD"/>
    <w:rsid w:val="00A7305C"/>
    <w:rsid w:val="00A758AA"/>
    <w:rsid w:val="00A7596A"/>
    <w:rsid w:val="00A8248F"/>
    <w:rsid w:val="00A84E41"/>
    <w:rsid w:val="00A84F0A"/>
    <w:rsid w:val="00A85321"/>
    <w:rsid w:val="00A8647A"/>
    <w:rsid w:val="00AA09A2"/>
    <w:rsid w:val="00AA7996"/>
    <w:rsid w:val="00AB30E5"/>
    <w:rsid w:val="00AC0C76"/>
    <w:rsid w:val="00AC19CB"/>
    <w:rsid w:val="00AC1B52"/>
    <w:rsid w:val="00AC3FC5"/>
    <w:rsid w:val="00AC52C7"/>
    <w:rsid w:val="00AC7560"/>
    <w:rsid w:val="00AD1D58"/>
    <w:rsid w:val="00AD3F92"/>
    <w:rsid w:val="00AE5488"/>
    <w:rsid w:val="00AE6F91"/>
    <w:rsid w:val="00AF5571"/>
    <w:rsid w:val="00AF5A2E"/>
    <w:rsid w:val="00B05F14"/>
    <w:rsid w:val="00B07341"/>
    <w:rsid w:val="00B23AF5"/>
    <w:rsid w:val="00B30539"/>
    <w:rsid w:val="00B3115A"/>
    <w:rsid w:val="00B314DB"/>
    <w:rsid w:val="00B3200B"/>
    <w:rsid w:val="00B361F2"/>
    <w:rsid w:val="00B3718B"/>
    <w:rsid w:val="00B3745F"/>
    <w:rsid w:val="00B40475"/>
    <w:rsid w:val="00B434D5"/>
    <w:rsid w:val="00B4632A"/>
    <w:rsid w:val="00B51BEF"/>
    <w:rsid w:val="00B51F89"/>
    <w:rsid w:val="00B530F1"/>
    <w:rsid w:val="00B5694F"/>
    <w:rsid w:val="00B61819"/>
    <w:rsid w:val="00B6773F"/>
    <w:rsid w:val="00B8229E"/>
    <w:rsid w:val="00B92EB0"/>
    <w:rsid w:val="00B93D7F"/>
    <w:rsid w:val="00BA276C"/>
    <w:rsid w:val="00BA38BE"/>
    <w:rsid w:val="00BA3B47"/>
    <w:rsid w:val="00BB019D"/>
    <w:rsid w:val="00BB306F"/>
    <w:rsid w:val="00BB5778"/>
    <w:rsid w:val="00BC01BE"/>
    <w:rsid w:val="00BD0FF5"/>
    <w:rsid w:val="00BD1CCE"/>
    <w:rsid w:val="00BD2EDC"/>
    <w:rsid w:val="00BD4B89"/>
    <w:rsid w:val="00BD5922"/>
    <w:rsid w:val="00BE11BF"/>
    <w:rsid w:val="00BE4EDD"/>
    <w:rsid w:val="00BE6E93"/>
    <w:rsid w:val="00BF02CB"/>
    <w:rsid w:val="00BF6FD8"/>
    <w:rsid w:val="00C03680"/>
    <w:rsid w:val="00C054DF"/>
    <w:rsid w:val="00C073AB"/>
    <w:rsid w:val="00C1018F"/>
    <w:rsid w:val="00C14EF2"/>
    <w:rsid w:val="00C21762"/>
    <w:rsid w:val="00C21FEF"/>
    <w:rsid w:val="00C23BA4"/>
    <w:rsid w:val="00C24543"/>
    <w:rsid w:val="00C256A2"/>
    <w:rsid w:val="00C25ADB"/>
    <w:rsid w:val="00C3298A"/>
    <w:rsid w:val="00C36945"/>
    <w:rsid w:val="00C40D9B"/>
    <w:rsid w:val="00C41D97"/>
    <w:rsid w:val="00C41DAF"/>
    <w:rsid w:val="00C424B8"/>
    <w:rsid w:val="00C51515"/>
    <w:rsid w:val="00C5660B"/>
    <w:rsid w:val="00C66B72"/>
    <w:rsid w:val="00C73BD2"/>
    <w:rsid w:val="00C764E7"/>
    <w:rsid w:val="00C816A5"/>
    <w:rsid w:val="00C8194C"/>
    <w:rsid w:val="00C8540E"/>
    <w:rsid w:val="00C87AC4"/>
    <w:rsid w:val="00C93CBA"/>
    <w:rsid w:val="00C94CA8"/>
    <w:rsid w:val="00C9550C"/>
    <w:rsid w:val="00C9567A"/>
    <w:rsid w:val="00C95B21"/>
    <w:rsid w:val="00C97CB6"/>
    <w:rsid w:val="00CA4862"/>
    <w:rsid w:val="00CA6CF0"/>
    <w:rsid w:val="00CB1C7B"/>
    <w:rsid w:val="00CB212D"/>
    <w:rsid w:val="00CB2660"/>
    <w:rsid w:val="00CC23D9"/>
    <w:rsid w:val="00CC5E90"/>
    <w:rsid w:val="00CC62B4"/>
    <w:rsid w:val="00CC67DA"/>
    <w:rsid w:val="00CD046C"/>
    <w:rsid w:val="00CD1736"/>
    <w:rsid w:val="00CD1E70"/>
    <w:rsid w:val="00CD71B4"/>
    <w:rsid w:val="00CE076C"/>
    <w:rsid w:val="00CE476B"/>
    <w:rsid w:val="00CE5199"/>
    <w:rsid w:val="00CE66D5"/>
    <w:rsid w:val="00CF51CC"/>
    <w:rsid w:val="00CF637A"/>
    <w:rsid w:val="00D04776"/>
    <w:rsid w:val="00D059DE"/>
    <w:rsid w:val="00D05ABD"/>
    <w:rsid w:val="00D05C30"/>
    <w:rsid w:val="00D0672C"/>
    <w:rsid w:val="00D13FCE"/>
    <w:rsid w:val="00D306D1"/>
    <w:rsid w:val="00D30800"/>
    <w:rsid w:val="00D33D1B"/>
    <w:rsid w:val="00D34786"/>
    <w:rsid w:val="00D35A5D"/>
    <w:rsid w:val="00D37BFC"/>
    <w:rsid w:val="00D46245"/>
    <w:rsid w:val="00D46733"/>
    <w:rsid w:val="00D47A8E"/>
    <w:rsid w:val="00D52D14"/>
    <w:rsid w:val="00D575E7"/>
    <w:rsid w:val="00D57F87"/>
    <w:rsid w:val="00D64525"/>
    <w:rsid w:val="00D66E96"/>
    <w:rsid w:val="00D674B1"/>
    <w:rsid w:val="00D712D3"/>
    <w:rsid w:val="00D71422"/>
    <w:rsid w:val="00D72668"/>
    <w:rsid w:val="00D72DC6"/>
    <w:rsid w:val="00D75496"/>
    <w:rsid w:val="00D7558D"/>
    <w:rsid w:val="00D81D92"/>
    <w:rsid w:val="00D85773"/>
    <w:rsid w:val="00D876F9"/>
    <w:rsid w:val="00D9770D"/>
    <w:rsid w:val="00DA0333"/>
    <w:rsid w:val="00DA0B6F"/>
    <w:rsid w:val="00DA0E0E"/>
    <w:rsid w:val="00DA6259"/>
    <w:rsid w:val="00DA7B5F"/>
    <w:rsid w:val="00DB7398"/>
    <w:rsid w:val="00DC11E7"/>
    <w:rsid w:val="00DC24E3"/>
    <w:rsid w:val="00DC7023"/>
    <w:rsid w:val="00DC769A"/>
    <w:rsid w:val="00DD3D86"/>
    <w:rsid w:val="00DD4AD2"/>
    <w:rsid w:val="00DD4D0A"/>
    <w:rsid w:val="00DD571D"/>
    <w:rsid w:val="00DE2862"/>
    <w:rsid w:val="00DE4D24"/>
    <w:rsid w:val="00DF1EC4"/>
    <w:rsid w:val="00DF7B08"/>
    <w:rsid w:val="00E01CF6"/>
    <w:rsid w:val="00E0340B"/>
    <w:rsid w:val="00E03B24"/>
    <w:rsid w:val="00E04A90"/>
    <w:rsid w:val="00E0551F"/>
    <w:rsid w:val="00E10A11"/>
    <w:rsid w:val="00E219C7"/>
    <w:rsid w:val="00E23B20"/>
    <w:rsid w:val="00E32EA2"/>
    <w:rsid w:val="00E40AF3"/>
    <w:rsid w:val="00E4118C"/>
    <w:rsid w:val="00E43157"/>
    <w:rsid w:val="00E461CE"/>
    <w:rsid w:val="00E46576"/>
    <w:rsid w:val="00E46CC6"/>
    <w:rsid w:val="00E52301"/>
    <w:rsid w:val="00E532A8"/>
    <w:rsid w:val="00E573E4"/>
    <w:rsid w:val="00E60D21"/>
    <w:rsid w:val="00E64C3D"/>
    <w:rsid w:val="00E6644E"/>
    <w:rsid w:val="00E7137D"/>
    <w:rsid w:val="00E71E4B"/>
    <w:rsid w:val="00E720CA"/>
    <w:rsid w:val="00E742BE"/>
    <w:rsid w:val="00E76F79"/>
    <w:rsid w:val="00E83002"/>
    <w:rsid w:val="00E84089"/>
    <w:rsid w:val="00E84EB5"/>
    <w:rsid w:val="00E85662"/>
    <w:rsid w:val="00E8789F"/>
    <w:rsid w:val="00E92A57"/>
    <w:rsid w:val="00E9623B"/>
    <w:rsid w:val="00E97B71"/>
    <w:rsid w:val="00EA3D34"/>
    <w:rsid w:val="00EA7C35"/>
    <w:rsid w:val="00EB454D"/>
    <w:rsid w:val="00EC5C3B"/>
    <w:rsid w:val="00EC6413"/>
    <w:rsid w:val="00ED549D"/>
    <w:rsid w:val="00ED5E10"/>
    <w:rsid w:val="00ED76BE"/>
    <w:rsid w:val="00EE00E9"/>
    <w:rsid w:val="00EE1BDA"/>
    <w:rsid w:val="00EE5D13"/>
    <w:rsid w:val="00EF1AAA"/>
    <w:rsid w:val="00EF619B"/>
    <w:rsid w:val="00EF6404"/>
    <w:rsid w:val="00EF6F19"/>
    <w:rsid w:val="00F00B55"/>
    <w:rsid w:val="00F01C87"/>
    <w:rsid w:val="00F02AD1"/>
    <w:rsid w:val="00F0376F"/>
    <w:rsid w:val="00F05891"/>
    <w:rsid w:val="00F06B76"/>
    <w:rsid w:val="00F11470"/>
    <w:rsid w:val="00F21425"/>
    <w:rsid w:val="00F21C0A"/>
    <w:rsid w:val="00F253CC"/>
    <w:rsid w:val="00F30E8C"/>
    <w:rsid w:val="00F31AF6"/>
    <w:rsid w:val="00F37106"/>
    <w:rsid w:val="00F37693"/>
    <w:rsid w:val="00F44272"/>
    <w:rsid w:val="00F44E25"/>
    <w:rsid w:val="00F519CF"/>
    <w:rsid w:val="00F56BA5"/>
    <w:rsid w:val="00F575DC"/>
    <w:rsid w:val="00F60E22"/>
    <w:rsid w:val="00F770D6"/>
    <w:rsid w:val="00F774D5"/>
    <w:rsid w:val="00F80611"/>
    <w:rsid w:val="00F81395"/>
    <w:rsid w:val="00F81BB8"/>
    <w:rsid w:val="00F90C64"/>
    <w:rsid w:val="00F917D1"/>
    <w:rsid w:val="00F9653B"/>
    <w:rsid w:val="00F97CB4"/>
    <w:rsid w:val="00FA0D5C"/>
    <w:rsid w:val="00FA1F90"/>
    <w:rsid w:val="00FA252B"/>
    <w:rsid w:val="00FA61FD"/>
    <w:rsid w:val="00FA716E"/>
    <w:rsid w:val="00FB08A6"/>
    <w:rsid w:val="00FB32C8"/>
    <w:rsid w:val="00FB62CF"/>
    <w:rsid w:val="00FD3C3B"/>
    <w:rsid w:val="00FD49C7"/>
    <w:rsid w:val="00FE07DD"/>
    <w:rsid w:val="00FE3C1F"/>
    <w:rsid w:val="00FE6B45"/>
    <w:rsid w:val="00FF1B4C"/>
    <w:rsid w:val="00FF36C2"/>
    <w:rsid w:val="00FF55F3"/>
    <w:rsid w:val="00FF5851"/>
    <w:rsid w:val="00FF7B79"/>
    <w:rsid w:val="00FF7E9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5032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03263"/>
    <w:pPr>
      <w:keepNext w:val="0"/>
      <w:keepLines w:val="0"/>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22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CommentReference">
    <w:name w:val="annotation reference"/>
    <w:basedOn w:val="DefaultParagraphFont"/>
    <w:uiPriority w:val="99"/>
    <w:semiHidden/>
    <w:unhideWhenUsed/>
    <w:rsid w:val="000F29C8"/>
    <w:rPr>
      <w:sz w:val="16"/>
      <w:szCs w:val="16"/>
    </w:rPr>
  </w:style>
  <w:style w:type="paragraph" w:styleId="CommentText">
    <w:name w:val="annotation text"/>
    <w:basedOn w:val="Normal"/>
    <w:link w:val="CommentTextChar"/>
    <w:uiPriority w:val="99"/>
    <w:unhideWhenUsed/>
    <w:rsid w:val="000F29C8"/>
    <w:rPr>
      <w:sz w:val="20"/>
      <w:szCs w:val="20"/>
    </w:rPr>
  </w:style>
  <w:style w:type="character" w:customStyle="1" w:styleId="CommentTextChar">
    <w:name w:val="Comment Text Char"/>
    <w:basedOn w:val="DefaultParagraphFont"/>
    <w:link w:val="CommentText"/>
    <w:uiPriority w:val="99"/>
    <w:rsid w:val="000F29C8"/>
    <w:rPr>
      <w:lang w:val="en-US" w:eastAsia="en-US"/>
    </w:rPr>
  </w:style>
  <w:style w:type="paragraph" w:styleId="CommentSubject">
    <w:name w:val="annotation subject"/>
    <w:basedOn w:val="CommentText"/>
    <w:next w:val="CommentText"/>
    <w:link w:val="CommentSubjectChar"/>
    <w:uiPriority w:val="99"/>
    <w:semiHidden/>
    <w:unhideWhenUsed/>
    <w:rsid w:val="000F29C8"/>
    <w:rPr>
      <w:b/>
      <w:bCs/>
    </w:rPr>
  </w:style>
  <w:style w:type="character" w:customStyle="1" w:styleId="CommentSubjectChar">
    <w:name w:val="Comment Subject Char"/>
    <w:basedOn w:val="CommentTextChar"/>
    <w:link w:val="CommentSubject"/>
    <w:uiPriority w:val="99"/>
    <w:semiHidden/>
    <w:rsid w:val="000F29C8"/>
    <w:rPr>
      <w:b/>
      <w:bCs/>
      <w:lang w:val="en-US" w:eastAsia="en-US"/>
    </w:rPr>
  </w:style>
  <w:style w:type="paragraph" w:styleId="Revision">
    <w:name w:val="Revision"/>
    <w:hidden/>
    <w:uiPriority w:val="99"/>
    <w:semiHidden/>
    <w:rsid w:val="00D575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5Char">
    <w:name w:val="Heading 5 Char"/>
    <w:basedOn w:val="DefaultParagraphFont"/>
    <w:link w:val="Heading5"/>
    <w:uiPriority w:val="9"/>
    <w:rsid w:val="00503263"/>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03263"/>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5005">
      <w:bodyDiv w:val="1"/>
      <w:marLeft w:val="0"/>
      <w:marRight w:val="0"/>
      <w:marTop w:val="0"/>
      <w:marBottom w:val="0"/>
      <w:divBdr>
        <w:top w:val="none" w:sz="0" w:space="0" w:color="auto"/>
        <w:left w:val="none" w:sz="0" w:space="0" w:color="auto"/>
        <w:bottom w:val="none" w:sz="0" w:space="0" w:color="auto"/>
        <w:right w:val="none" w:sz="0" w:space="0" w:color="auto"/>
      </w:divBdr>
      <w:divsChild>
        <w:div w:id="1149790452">
          <w:marLeft w:val="0"/>
          <w:marRight w:val="0"/>
          <w:marTop w:val="0"/>
          <w:marBottom w:val="0"/>
          <w:divBdr>
            <w:top w:val="none" w:sz="0" w:space="0" w:color="auto"/>
            <w:left w:val="none" w:sz="0" w:space="0" w:color="auto"/>
            <w:bottom w:val="none" w:sz="0" w:space="0" w:color="auto"/>
            <w:right w:val="none" w:sz="0" w:space="0" w:color="auto"/>
          </w:divBdr>
          <w:divsChild>
            <w:div w:id="788814689">
              <w:marLeft w:val="0"/>
              <w:marRight w:val="0"/>
              <w:marTop w:val="0"/>
              <w:marBottom w:val="0"/>
              <w:divBdr>
                <w:top w:val="none" w:sz="0" w:space="0" w:color="auto"/>
                <w:left w:val="none" w:sz="0" w:space="0" w:color="auto"/>
                <w:bottom w:val="none" w:sz="0" w:space="0" w:color="auto"/>
                <w:right w:val="none" w:sz="0" w:space="0" w:color="auto"/>
              </w:divBdr>
              <w:divsChild>
                <w:div w:id="6381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8488">
      <w:bodyDiv w:val="1"/>
      <w:marLeft w:val="0"/>
      <w:marRight w:val="0"/>
      <w:marTop w:val="0"/>
      <w:marBottom w:val="0"/>
      <w:divBdr>
        <w:top w:val="none" w:sz="0" w:space="0" w:color="auto"/>
        <w:left w:val="none" w:sz="0" w:space="0" w:color="auto"/>
        <w:bottom w:val="none" w:sz="0" w:space="0" w:color="auto"/>
        <w:right w:val="none" w:sz="0" w:space="0" w:color="auto"/>
      </w:divBdr>
      <w:divsChild>
        <w:div w:id="94180525">
          <w:marLeft w:val="0"/>
          <w:marRight w:val="0"/>
          <w:marTop w:val="0"/>
          <w:marBottom w:val="0"/>
          <w:divBdr>
            <w:top w:val="none" w:sz="0" w:space="0" w:color="auto"/>
            <w:left w:val="none" w:sz="0" w:space="0" w:color="auto"/>
            <w:bottom w:val="none" w:sz="0" w:space="0" w:color="auto"/>
            <w:right w:val="none" w:sz="0" w:space="0" w:color="auto"/>
          </w:divBdr>
          <w:divsChild>
            <w:div w:id="1679428198">
              <w:marLeft w:val="0"/>
              <w:marRight w:val="0"/>
              <w:marTop w:val="0"/>
              <w:marBottom w:val="0"/>
              <w:divBdr>
                <w:top w:val="none" w:sz="0" w:space="0" w:color="auto"/>
                <w:left w:val="none" w:sz="0" w:space="0" w:color="auto"/>
                <w:bottom w:val="none" w:sz="0" w:space="0" w:color="auto"/>
                <w:right w:val="none" w:sz="0" w:space="0" w:color="auto"/>
              </w:divBdr>
              <w:divsChild>
                <w:div w:id="38838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0037844">
      <w:bodyDiv w:val="1"/>
      <w:marLeft w:val="0"/>
      <w:marRight w:val="0"/>
      <w:marTop w:val="0"/>
      <w:marBottom w:val="0"/>
      <w:divBdr>
        <w:top w:val="none" w:sz="0" w:space="0" w:color="auto"/>
        <w:left w:val="none" w:sz="0" w:space="0" w:color="auto"/>
        <w:bottom w:val="none" w:sz="0" w:space="0" w:color="auto"/>
        <w:right w:val="none" w:sz="0" w:space="0" w:color="auto"/>
      </w:divBdr>
      <w:divsChild>
        <w:div w:id="76489122">
          <w:marLeft w:val="0"/>
          <w:marRight w:val="0"/>
          <w:marTop w:val="0"/>
          <w:marBottom w:val="0"/>
          <w:divBdr>
            <w:top w:val="none" w:sz="0" w:space="0" w:color="auto"/>
            <w:left w:val="none" w:sz="0" w:space="0" w:color="auto"/>
            <w:bottom w:val="none" w:sz="0" w:space="0" w:color="auto"/>
            <w:right w:val="none" w:sz="0" w:space="0" w:color="auto"/>
          </w:divBdr>
          <w:divsChild>
            <w:div w:id="1273051820">
              <w:marLeft w:val="0"/>
              <w:marRight w:val="0"/>
              <w:marTop w:val="0"/>
              <w:marBottom w:val="0"/>
              <w:divBdr>
                <w:top w:val="none" w:sz="0" w:space="0" w:color="auto"/>
                <w:left w:val="none" w:sz="0" w:space="0" w:color="auto"/>
                <w:bottom w:val="none" w:sz="0" w:space="0" w:color="auto"/>
                <w:right w:val="none" w:sz="0" w:space="0" w:color="auto"/>
              </w:divBdr>
              <w:divsChild>
                <w:div w:id="20855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755193">
      <w:bodyDiv w:val="1"/>
      <w:marLeft w:val="0"/>
      <w:marRight w:val="0"/>
      <w:marTop w:val="0"/>
      <w:marBottom w:val="0"/>
      <w:divBdr>
        <w:top w:val="none" w:sz="0" w:space="0" w:color="auto"/>
        <w:left w:val="none" w:sz="0" w:space="0" w:color="auto"/>
        <w:bottom w:val="none" w:sz="0" w:space="0" w:color="auto"/>
        <w:right w:val="none" w:sz="0" w:space="0" w:color="auto"/>
      </w:divBdr>
    </w:div>
    <w:div w:id="2145610905">
      <w:bodyDiv w:val="1"/>
      <w:marLeft w:val="0"/>
      <w:marRight w:val="0"/>
      <w:marTop w:val="0"/>
      <w:marBottom w:val="0"/>
      <w:divBdr>
        <w:top w:val="none" w:sz="0" w:space="0" w:color="auto"/>
        <w:left w:val="none" w:sz="0" w:space="0" w:color="auto"/>
        <w:bottom w:val="none" w:sz="0" w:space="0" w:color="auto"/>
        <w:right w:val="none" w:sz="0" w:space="0" w:color="auto"/>
      </w:divBdr>
      <w:divsChild>
        <w:div w:id="1456752204">
          <w:marLeft w:val="0"/>
          <w:marRight w:val="0"/>
          <w:marTop w:val="0"/>
          <w:marBottom w:val="0"/>
          <w:divBdr>
            <w:top w:val="none" w:sz="0" w:space="0" w:color="auto"/>
            <w:left w:val="none" w:sz="0" w:space="0" w:color="auto"/>
            <w:bottom w:val="none" w:sz="0" w:space="0" w:color="auto"/>
            <w:right w:val="none" w:sz="0" w:space="0" w:color="auto"/>
          </w:divBdr>
          <w:divsChild>
            <w:div w:id="2128959790">
              <w:marLeft w:val="0"/>
              <w:marRight w:val="0"/>
              <w:marTop w:val="0"/>
              <w:marBottom w:val="0"/>
              <w:divBdr>
                <w:top w:val="none" w:sz="0" w:space="0" w:color="auto"/>
                <w:left w:val="none" w:sz="0" w:space="0" w:color="auto"/>
                <w:bottom w:val="none" w:sz="0" w:space="0" w:color="auto"/>
                <w:right w:val="none" w:sz="0" w:space="0" w:color="auto"/>
              </w:divBdr>
              <w:divsChild>
                <w:div w:id="16191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9645D"/>
    <w:rsid w:val="00200821"/>
    <w:rsid w:val="0025077D"/>
    <w:rsid w:val="0025245B"/>
    <w:rsid w:val="002A3923"/>
    <w:rsid w:val="00394049"/>
    <w:rsid w:val="003B0C71"/>
    <w:rsid w:val="003C3CB2"/>
    <w:rsid w:val="00401C74"/>
    <w:rsid w:val="004815D1"/>
    <w:rsid w:val="004B5BBB"/>
    <w:rsid w:val="004F2DF8"/>
    <w:rsid w:val="00517E2A"/>
    <w:rsid w:val="00546927"/>
    <w:rsid w:val="00676F49"/>
    <w:rsid w:val="006F24A1"/>
    <w:rsid w:val="00705CBE"/>
    <w:rsid w:val="00747B72"/>
    <w:rsid w:val="0087162D"/>
    <w:rsid w:val="009A261B"/>
    <w:rsid w:val="00AA2E17"/>
    <w:rsid w:val="00AC15A4"/>
    <w:rsid w:val="00B0336C"/>
    <w:rsid w:val="00B94002"/>
    <w:rsid w:val="00D241E9"/>
    <w:rsid w:val="00D7750D"/>
    <w:rsid w:val="00E125D7"/>
    <w:rsid w:val="00F00D2F"/>
    <w:rsid w:val="00F128DF"/>
    <w:rsid w:val="00F97751"/>
    <w:rsid w:val="00FE592C"/>
    <w:rsid w:val="00FF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66760-0860-43C2-8944-DC8AC4BC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2741</Words>
  <Characters>14450</Characters>
  <Application>Microsoft Office Word</Application>
  <DocSecurity>0</DocSecurity>
  <Lines>262</Lines>
  <Paragraphs>69</Paragraphs>
  <ScaleCrop>false</ScaleCrop>
  <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52/21</dc:title>
  <dc:creator/>
  <cp:lastModifiedBy/>
  <cp:revision>1</cp:revision>
  <dcterms:created xsi:type="dcterms:W3CDTF">2021-04-19T16:58:00Z</dcterms:created>
  <dcterms:modified xsi:type="dcterms:W3CDTF">2021-04-19T16:58:00Z</dcterms:modified>
</cp:coreProperties>
</file>