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606E98" w:rsidRDefault="00D306D1" w:rsidP="00627C9F">
      <w:pPr>
        <w:jc w:val="both"/>
        <w:rPr>
          <w:rFonts w:ascii="Cambria" w:hAnsi="Cambria" w:cs="Univers"/>
          <w:b/>
          <w:bCs/>
          <w:sz w:val="20"/>
          <w:szCs w:val="20"/>
          <w:lang w:val="es-ES"/>
        </w:rPr>
      </w:pPr>
      <w:r w:rsidRPr="00606E98">
        <w:rPr>
          <w:rFonts w:ascii="Cambria" w:hAnsi="Cambria"/>
          <w:noProof/>
          <w:sz w:val="20"/>
          <w:szCs w:val="20"/>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003AB8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606E98">
        <w:rPr>
          <w:rFonts w:ascii="Cambria" w:hAnsi="Cambria"/>
          <w:noProof/>
          <w:sz w:val="20"/>
          <w:szCs w:val="20"/>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96A3F" w:rsidRDefault="00C96A3F"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96A3F" w:rsidRDefault="00C96A3F"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606E98" w:rsidRDefault="00040C3A" w:rsidP="00040C3A">
      <w:pPr>
        <w:tabs>
          <w:tab w:val="center" w:pos="5400"/>
        </w:tabs>
        <w:suppressAutoHyphens/>
        <w:jc w:val="both"/>
        <w:rPr>
          <w:rFonts w:ascii="Cambria" w:hAnsi="Cambria"/>
          <w:sz w:val="20"/>
          <w:szCs w:val="20"/>
          <w:lang w:val="es-ES"/>
        </w:rPr>
      </w:pPr>
    </w:p>
    <w:p w14:paraId="5A87E141" w14:textId="77777777" w:rsidR="00040C3A" w:rsidRPr="00606E98" w:rsidRDefault="00040C3A" w:rsidP="00040C3A">
      <w:pPr>
        <w:tabs>
          <w:tab w:val="center" w:pos="5400"/>
        </w:tabs>
        <w:suppressAutoHyphens/>
        <w:jc w:val="both"/>
        <w:rPr>
          <w:rFonts w:ascii="Cambria" w:hAnsi="Cambria"/>
          <w:sz w:val="20"/>
          <w:szCs w:val="20"/>
          <w:lang w:val="es-ES"/>
        </w:rPr>
      </w:pPr>
    </w:p>
    <w:p w14:paraId="29D95BCC" w14:textId="77777777" w:rsidR="005128E4" w:rsidRPr="00606E98" w:rsidRDefault="005128E4" w:rsidP="00040C3A">
      <w:pPr>
        <w:tabs>
          <w:tab w:val="center" w:pos="5400"/>
        </w:tabs>
        <w:suppressAutoHyphens/>
        <w:rPr>
          <w:rFonts w:ascii="Cambria" w:hAnsi="Cambria"/>
          <w:sz w:val="20"/>
          <w:szCs w:val="20"/>
          <w:lang w:val="es-ES"/>
        </w:rPr>
      </w:pPr>
    </w:p>
    <w:p w14:paraId="12A36B24" w14:textId="77777777" w:rsidR="005128E4" w:rsidRPr="00606E98" w:rsidRDefault="005128E4" w:rsidP="00040C3A">
      <w:pPr>
        <w:tabs>
          <w:tab w:val="center" w:pos="5400"/>
        </w:tabs>
        <w:suppressAutoHyphens/>
        <w:rPr>
          <w:rFonts w:ascii="Cambria" w:hAnsi="Cambria"/>
          <w:sz w:val="20"/>
          <w:szCs w:val="20"/>
          <w:lang w:val="es-ES"/>
        </w:rPr>
      </w:pPr>
    </w:p>
    <w:p w14:paraId="2252093D" w14:textId="77777777" w:rsidR="005128E4" w:rsidRPr="00606E98" w:rsidRDefault="005128E4" w:rsidP="00040C3A">
      <w:pPr>
        <w:tabs>
          <w:tab w:val="center" w:pos="5400"/>
        </w:tabs>
        <w:suppressAutoHyphens/>
        <w:rPr>
          <w:rFonts w:ascii="Cambria" w:hAnsi="Cambria"/>
          <w:sz w:val="20"/>
          <w:szCs w:val="20"/>
          <w:lang w:val="es-ES"/>
        </w:rPr>
      </w:pPr>
    </w:p>
    <w:p w14:paraId="403935BD" w14:textId="77777777" w:rsidR="00040C3A" w:rsidRPr="00606E98" w:rsidRDefault="00040C3A" w:rsidP="005128E4">
      <w:pPr>
        <w:tabs>
          <w:tab w:val="center" w:pos="5400"/>
        </w:tabs>
        <w:suppressAutoHyphens/>
        <w:jc w:val="center"/>
        <w:rPr>
          <w:rFonts w:ascii="Cambria" w:hAnsi="Cambria"/>
          <w:sz w:val="20"/>
          <w:szCs w:val="20"/>
          <w:lang w:val="es-ES"/>
        </w:rPr>
      </w:pPr>
    </w:p>
    <w:p w14:paraId="6DCF5F8F" w14:textId="77777777" w:rsidR="00040C3A" w:rsidRPr="00606E98" w:rsidRDefault="00040C3A" w:rsidP="005128E4">
      <w:pPr>
        <w:tabs>
          <w:tab w:val="center" w:pos="5400"/>
        </w:tabs>
        <w:suppressAutoHyphens/>
        <w:jc w:val="center"/>
        <w:rPr>
          <w:rFonts w:ascii="Cambria" w:hAnsi="Cambria"/>
          <w:sz w:val="20"/>
          <w:szCs w:val="20"/>
          <w:lang w:val="es-ES"/>
        </w:rPr>
      </w:pPr>
    </w:p>
    <w:p w14:paraId="4791F13A" w14:textId="77777777" w:rsidR="005B52B0" w:rsidRPr="00606E98" w:rsidRDefault="005B52B0" w:rsidP="005128E4">
      <w:pPr>
        <w:tabs>
          <w:tab w:val="center" w:pos="5400"/>
        </w:tabs>
        <w:suppressAutoHyphens/>
        <w:jc w:val="center"/>
        <w:rPr>
          <w:rFonts w:ascii="Cambria" w:hAnsi="Cambria"/>
          <w:sz w:val="20"/>
          <w:szCs w:val="20"/>
          <w:lang w:val="es-ES"/>
        </w:rPr>
      </w:pPr>
    </w:p>
    <w:p w14:paraId="44E016B6" w14:textId="77777777" w:rsidR="005B52B0" w:rsidRPr="00606E98" w:rsidRDefault="005B52B0" w:rsidP="005128E4">
      <w:pPr>
        <w:tabs>
          <w:tab w:val="center" w:pos="5400"/>
        </w:tabs>
        <w:suppressAutoHyphens/>
        <w:jc w:val="center"/>
        <w:rPr>
          <w:rFonts w:ascii="Cambria" w:hAnsi="Cambria"/>
          <w:sz w:val="20"/>
          <w:szCs w:val="20"/>
          <w:lang w:val="es-ES"/>
        </w:rPr>
      </w:pPr>
    </w:p>
    <w:p w14:paraId="63D41962" w14:textId="77777777" w:rsidR="005B52B0" w:rsidRPr="00606E98" w:rsidRDefault="005B52B0" w:rsidP="005128E4">
      <w:pPr>
        <w:tabs>
          <w:tab w:val="center" w:pos="5400"/>
        </w:tabs>
        <w:suppressAutoHyphens/>
        <w:jc w:val="center"/>
        <w:rPr>
          <w:rFonts w:ascii="Cambria" w:hAnsi="Cambria"/>
          <w:sz w:val="20"/>
          <w:szCs w:val="20"/>
          <w:lang w:val="es-ES"/>
        </w:rPr>
      </w:pPr>
    </w:p>
    <w:p w14:paraId="5ADEB990" w14:textId="77777777" w:rsidR="00040C3A" w:rsidRPr="00606E98" w:rsidRDefault="00040C3A" w:rsidP="00040C3A">
      <w:pPr>
        <w:tabs>
          <w:tab w:val="center" w:pos="5400"/>
        </w:tabs>
        <w:suppressAutoHyphens/>
        <w:jc w:val="center"/>
        <w:rPr>
          <w:rFonts w:ascii="Cambria" w:hAnsi="Cambria"/>
          <w:sz w:val="20"/>
          <w:szCs w:val="20"/>
          <w:lang w:val="es-ES"/>
        </w:rPr>
      </w:pPr>
    </w:p>
    <w:p w14:paraId="2D81B7E8" w14:textId="77777777" w:rsidR="00040C3A" w:rsidRPr="00606E98" w:rsidRDefault="00040C3A" w:rsidP="00040C3A">
      <w:pPr>
        <w:tabs>
          <w:tab w:val="center" w:pos="5400"/>
        </w:tabs>
        <w:suppressAutoHyphens/>
        <w:jc w:val="center"/>
        <w:rPr>
          <w:rFonts w:ascii="Cambria" w:hAnsi="Cambria"/>
          <w:sz w:val="20"/>
          <w:szCs w:val="20"/>
          <w:lang w:val="es-ES"/>
        </w:rPr>
      </w:pPr>
    </w:p>
    <w:p w14:paraId="64791D04" w14:textId="77777777" w:rsidR="00040C3A" w:rsidRPr="00606E98" w:rsidRDefault="003D3BC2" w:rsidP="00040C3A">
      <w:pPr>
        <w:tabs>
          <w:tab w:val="center" w:pos="5400"/>
        </w:tabs>
        <w:suppressAutoHyphens/>
        <w:jc w:val="center"/>
        <w:rPr>
          <w:rFonts w:ascii="Cambria" w:hAnsi="Cambria"/>
          <w:sz w:val="20"/>
          <w:szCs w:val="20"/>
          <w:lang w:val="es-ES"/>
        </w:rPr>
      </w:pPr>
      <w:r w:rsidRPr="00606E98">
        <w:rPr>
          <w:rFonts w:ascii="Cambria" w:hAnsi="Cambria"/>
          <w:noProof/>
          <w:sz w:val="20"/>
          <w:szCs w:val="20"/>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8B73F3E" w:rsidR="00C96A3F" w:rsidRPr="004E2649" w:rsidRDefault="00C96A3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377063">
                              <w:rPr>
                                <w:rFonts w:asciiTheme="majorHAnsi" w:hAnsiTheme="majorHAnsi" w:cs="Arial"/>
                                <w:b/>
                                <w:bCs/>
                                <w:color w:val="0D0D0D" w:themeColor="text1" w:themeTint="F2"/>
                                <w:sz w:val="36"/>
                                <w:szCs w:val="22"/>
                                <w:lang w:val="es-ES_tradnl"/>
                              </w:rPr>
                              <w:t xml:space="preserve"> 36</w:t>
                            </w:r>
                            <w:r>
                              <w:rPr>
                                <w:rFonts w:asciiTheme="majorHAnsi" w:hAnsiTheme="majorHAnsi" w:cs="Arial"/>
                                <w:b/>
                                <w:bCs/>
                                <w:color w:val="0D0D0D" w:themeColor="text1" w:themeTint="F2"/>
                                <w:sz w:val="36"/>
                                <w:szCs w:val="22"/>
                                <w:lang w:val="es-ES_tradnl"/>
                              </w:rPr>
                              <w:t>/2</w:t>
                            </w:r>
                            <w:r w:rsidR="00377063">
                              <w:rPr>
                                <w:rFonts w:asciiTheme="majorHAnsi" w:hAnsiTheme="majorHAnsi" w:cs="Arial"/>
                                <w:b/>
                                <w:bCs/>
                                <w:color w:val="0D0D0D" w:themeColor="text1" w:themeTint="F2"/>
                                <w:sz w:val="36"/>
                                <w:szCs w:val="22"/>
                                <w:lang w:val="es-ES_tradnl"/>
                              </w:rPr>
                              <w:t>1</w:t>
                            </w:r>
                          </w:p>
                          <w:p w14:paraId="09C54AB3" w14:textId="6D86799A" w:rsidR="00C96A3F" w:rsidRDefault="00C96A3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447-09</w:t>
                            </w:r>
                          </w:p>
                          <w:p w14:paraId="70CF6833" w14:textId="41CD173F" w:rsidR="00C96A3F" w:rsidRPr="0010736F" w:rsidRDefault="00C96A3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C96A3F" w:rsidRPr="0010736F" w:rsidRDefault="00C96A3F"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7100C38" w:rsidR="00C96A3F" w:rsidRPr="00E84AD9" w:rsidRDefault="00C96A3F"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ELPIDIO VARGAS BRIONES</w:t>
                            </w:r>
                          </w:p>
                          <w:bookmarkEnd w:id="1"/>
                          <w:p w14:paraId="575DFD52" w14:textId="44BB9C13" w:rsidR="00C96A3F" w:rsidRPr="00AE5488" w:rsidRDefault="00C96A3F" w:rsidP="007A5817">
                            <w:pPr>
                              <w:rPr>
                                <w:color w:val="0D0D0D" w:themeColor="text1" w:themeTint="F2"/>
                                <w:lang w:val="es-ES_tradnl"/>
                              </w:rPr>
                            </w:pPr>
                            <w:r>
                              <w:rPr>
                                <w:rFonts w:asciiTheme="majorHAnsi" w:hAnsiTheme="majorHAnsi" w:cs="Arial"/>
                                <w:color w:val="0D0D0D" w:themeColor="text1" w:themeTint="F2"/>
                                <w:szCs w:val="22"/>
                                <w:lang w:val="es-ES_tradnl"/>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8B73F3E" w:rsidR="00C96A3F" w:rsidRPr="004E2649" w:rsidRDefault="00C96A3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377063">
                        <w:rPr>
                          <w:rFonts w:asciiTheme="majorHAnsi" w:hAnsiTheme="majorHAnsi" w:cs="Arial"/>
                          <w:b/>
                          <w:bCs/>
                          <w:color w:val="0D0D0D" w:themeColor="text1" w:themeTint="F2"/>
                          <w:sz w:val="36"/>
                          <w:szCs w:val="22"/>
                          <w:lang w:val="es-ES_tradnl"/>
                        </w:rPr>
                        <w:t xml:space="preserve"> 36</w:t>
                      </w:r>
                      <w:r>
                        <w:rPr>
                          <w:rFonts w:asciiTheme="majorHAnsi" w:hAnsiTheme="majorHAnsi" w:cs="Arial"/>
                          <w:b/>
                          <w:bCs/>
                          <w:color w:val="0D0D0D" w:themeColor="text1" w:themeTint="F2"/>
                          <w:sz w:val="36"/>
                          <w:szCs w:val="22"/>
                          <w:lang w:val="es-ES_tradnl"/>
                        </w:rPr>
                        <w:t>/2</w:t>
                      </w:r>
                      <w:r w:rsidR="00377063">
                        <w:rPr>
                          <w:rFonts w:asciiTheme="majorHAnsi" w:hAnsiTheme="majorHAnsi" w:cs="Arial"/>
                          <w:b/>
                          <w:bCs/>
                          <w:color w:val="0D0D0D" w:themeColor="text1" w:themeTint="F2"/>
                          <w:sz w:val="36"/>
                          <w:szCs w:val="22"/>
                          <w:lang w:val="es-ES_tradnl"/>
                        </w:rPr>
                        <w:t>1</w:t>
                      </w:r>
                    </w:p>
                    <w:p w14:paraId="09C54AB3" w14:textId="6D86799A" w:rsidR="00C96A3F" w:rsidRDefault="00C96A3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447-09</w:t>
                      </w:r>
                    </w:p>
                    <w:p w14:paraId="70CF6833" w14:textId="41CD173F" w:rsidR="00C96A3F" w:rsidRPr="0010736F" w:rsidRDefault="00C96A3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C96A3F" w:rsidRPr="0010736F" w:rsidRDefault="00C96A3F"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7100C38" w:rsidR="00C96A3F" w:rsidRPr="00E84AD9" w:rsidRDefault="00C96A3F"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ELPIDIO VARGAS BRIONES</w:t>
                      </w:r>
                    </w:p>
                    <w:bookmarkEnd w:id="1"/>
                    <w:p w14:paraId="575DFD52" w14:textId="44BB9C13" w:rsidR="00C96A3F" w:rsidRPr="00AE5488" w:rsidRDefault="00C96A3F" w:rsidP="007A5817">
                      <w:pPr>
                        <w:rPr>
                          <w:color w:val="0D0D0D" w:themeColor="text1" w:themeTint="F2"/>
                          <w:lang w:val="es-ES_tradnl"/>
                        </w:rPr>
                      </w:pPr>
                      <w:r>
                        <w:rPr>
                          <w:rFonts w:asciiTheme="majorHAnsi" w:hAnsiTheme="majorHAnsi" w:cs="Arial"/>
                          <w:color w:val="0D0D0D" w:themeColor="text1" w:themeTint="F2"/>
                          <w:szCs w:val="22"/>
                          <w:lang w:val="es-ES_tradnl"/>
                        </w:rPr>
                        <w:t>MÉXICO</w:t>
                      </w:r>
                    </w:p>
                  </w:txbxContent>
                </v:textbox>
              </v:shape>
            </w:pict>
          </mc:Fallback>
        </mc:AlternateContent>
      </w:r>
      <w:r w:rsidR="004E2649" w:rsidRPr="00606E98">
        <w:rPr>
          <w:rFonts w:ascii="Cambria" w:hAnsi="Cambria"/>
          <w:noProof/>
          <w:sz w:val="20"/>
          <w:szCs w:val="20"/>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09612A3" w:rsidR="00C96A3F" w:rsidRPr="00377063" w:rsidRDefault="00377063" w:rsidP="007A5817">
                            <w:pPr>
                              <w:spacing w:line="276" w:lineRule="auto"/>
                              <w:jc w:val="right"/>
                              <w:rPr>
                                <w:rFonts w:asciiTheme="minorHAnsi" w:hAnsiTheme="minorHAnsi"/>
                                <w:color w:val="FFFFFF" w:themeColor="background1"/>
                                <w:sz w:val="22"/>
                                <w:lang w:val="es-419"/>
                              </w:rPr>
                            </w:pPr>
                            <w:r w:rsidRPr="00377063">
                              <w:rPr>
                                <w:rFonts w:asciiTheme="minorHAnsi" w:hAnsiTheme="minorHAnsi"/>
                                <w:color w:val="FFFFFF" w:themeColor="background1"/>
                                <w:sz w:val="22"/>
                                <w:lang w:val="es-419"/>
                              </w:rPr>
                              <w:t>OEA/</w:t>
                            </w:r>
                            <w:proofErr w:type="spellStart"/>
                            <w:r w:rsidRPr="00377063">
                              <w:rPr>
                                <w:rFonts w:asciiTheme="minorHAnsi" w:hAnsiTheme="minorHAnsi"/>
                                <w:color w:val="FFFFFF" w:themeColor="background1"/>
                                <w:sz w:val="22"/>
                                <w:lang w:val="es-419"/>
                              </w:rPr>
                              <w:t>Ser.L</w:t>
                            </w:r>
                            <w:proofErr w:type="spellEnd"/>
                            <w:r w:rsidRPr="00377063">
                              <w:rPr>
                                <w:rFonts w:asciiTheme="minorHAnsi" w:hAnsiTheme="minorHAnsi"/>
                                <w:color w:val="FFFFFF" w:themeColor="background1"/>
                                <w:sz w:val="22"/>
                                <w:lang w:val="es-419"/>
                              </w:rPr>
                              <w:t>/V/II</w:t>
                            </w:r>
                          </w:p>
                          <w:p w14:paraId="6A41611B" w14:textId="5CF90865" w:rsidR="00C96A3F" w:rsidRPr="00377063" w:rsidRDefault="00377063" w:rsidP="007A5817">
                            <w:pPr>
                              <w:spacing w:line="276" w:lineRule="auto"/>
                              <w:jc w:val="right"/>
                              <w:rPr>
                                <w:rFonts w:asciiTheme="minorHAnsi" w:hAnsiTheme="minorHAnsi"/>
                                <w:color w:val="FFFFFF" w:themeColor="background1"/>
                                <w:sz w:val="22"/>
                                <w:lang w:val="es-419"/>
                              </w:rPr>
                            </w:pPr>
                            <w:r w:rsidRPr="00377063">
                              <w:rPr>
                                <w:rFonts w:asciiTheme="minorHAnsi" w:hAnsiTheme="minorHAnsi"/>
                                <w:color w:val="FFFFFF" w:themeColor="background1"/>
                                <w:sz w:val="22"/>
                                <w:lang w:val="es-419"/>
                              </w:rPr>
                              <w:t>Doc. 40</w:t>
                            </w:r>
                          </w:p>
                          <w:p w14:paraId="69373ED2" w14:textId="32475664" w:rsidR="00C96A3F" w:rsidRPr="00163C44" w:rsidRDefault="0037706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marzo 2021</w:t>
                            </w:r>
                          </w:p>
                          <w:p w14:paraId="0771DB5B" w14:textId="77777777" w:rsidR="00C96A3F" w:rsidRPr="00163C44" w:rsidRDefault="00C96A3F" w:rsidP="007A5817">
                            <w:pPr>
                              <w:spacing w:line="276" w:lineRule="auto"/>
                              <w:jc w:val="right"/>
                              <w:rPr>
                                <w:rFonts w:asciiTheme="minorHAnsi" w:hAnsiTheme="minorHAnsi"/>
                                <w:color w:val="FFFFFF" w:themeColor="background1"/>
                                <w:sz w:val="22"/>
                                <w:lang w:val="es-PA"/>
                              </w:rPr>
                            </w:pPr>
                            <w:r w:rsidRPr="00163C44">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09612A3" w:rsidR="00C96A3F" w:rsidRPr="00377063" w:rsidRDefault="00377063" w:rsidP="007A5817">
                      <w:pPr>
                        <w:spacing w:line="276" w:lineRule="auto"/>
                        <w:jc w:val="right"/>
                        <w:rPr>
                          <w:rFonts w:asciiTheme="minorHAnsi" w:hAnsiTheme="minorHAnsi"/>
                          <w:color w:val="FFFFFF" w:themeColor="background1"/>
                          <w:sz w:val="22"/>
                          <w:lang w:val="es-419"/>
                        </w:rPr>
                      </w:pPr>
                      <w:r w:rsidRPr="00377063">
                        <w:rPr>
                          <w:rFonts w:asciiTheme="minorHAnsi" w:hAnsiTheme="minorHAnsi"/>
                          <w:color w:val="FFFFFF" w:themeColor="background1"/>
                          <w:sz w:val="22"/>
                          <w:lang w:val="es-419"/>
                        </w:rPr>
                        <w:t>OEA/Ser.L/V/II</w:t>
                      </w:r>
                    </w:p>
                    <w:p w14:paraId="6A41611B" w14:textId="5CF90865" w:rsidR="00C96A3F" w:rsidRPr="00377063" w:rsidRDefault="00377063" w:rsidP="007A5817">
                      <w:pPr>
                        <w:spacing w:line="276" w:lineRule="auto"/>
                        <w:jc w:val="right"/>
                        <w:rPr>
                          <w:rFonts w:asciiTheme="minorHAnsi" w:hAnsiTheme="minorHAnsi"/>
                          <w:color w:val="FFFFFF" w:themeColor="background1"/>
                          <w:sz w:val="22"/>
                          <w:lang w:val="es-419"/>
                        </w:rPr>
                      </w:pPr>
                      <w:r w:rsidRPr="00377063">
                        <w:rPr>
                          <w:rFonts w:asciiTheme="minorHAnsi" w:hAnsiTheme="minorHAnsi"/>
                          <w:color w:val="FFFFFF" w:themeColor="background1"/>
                          <w:sz w:val="22"/>
                          <w:lang w:val="es-419"/>
                        </w:rPr>
                        <w:t>Doc. 40</w:t>
                      </w:r>
                    </w:p>
                    <w:p w14:paraId="69373ED2" w14:textId="32475664" w:rsidR="00C96A3F" w:rsidRPr="00163C44" w:rsidRDefault="0037706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marzo 2021</w:t>
                      </w:r>
                    </w:p>
                    <w:p w14:paraId="0771DB5B" w14:textId="77777777" w:rsidR="00C96A3F" w:rsidRPr="00163C44" w:rsidRDefault="00C96A3F" w:rsidP="007A5817">
                      <w:pPr>
                        <w:spacing w:line="276" w:lineRule="auto"/>
                        <w:jc w:val="right"/>
                        <w:rPr>
                          <w:rFonts w:asciiTheme="minorHAnsi" w:hAnsiTheme="minorHAnsi"/>
                          <w:color w:val="FFFFFF" w:themeColor="background1"/>
                          <w:sz w:val="22"/>
                          <w:lang w:val="es-PA"/>
                        </w:rPr>
                      </w:pPr>
                      <w:r w:rsidRPr="00163C44">
                        <w:rPr>
                          <w:rFonts w:asciiTheme="minorHAnsi" w:hAnsiTheme="minorHAnsi"/>
                          <w:color w:val="FFFFFF" w:themeColor="background1"/>
                          <w:sz w:val="22"/>
                          <w:lang w:val="es-PA"/>
                        </w:rPr>
                        <w:t>Original: español</w:t>
                      </w:r>
                    </w:p>
                  </w:txbxContent>
                </v:textbox>
              </v:shape>
            </w:pict>
          </mc:Fallback>
        </mc:AlternateContent>
      </w:r>
    </w:p>
    <w:p w14:paraId="155B0536" w14:textId="77777777" w:rsidR="00040C3A" w:rsidRPr="00606E98" w:rsidRDefault="00040C3A" w:rsidP="00040C3A">
      <w:pPr>
        <w:tabs>
          <w:tab w:val="center" w:pos="5400"/>
        </w:tabs>
        <w:suppressAutoHyphens/>
        <w:jc w:val="center"/>
        <w:rPr>
          <w:rFonts w:ascii="Cambria" w:hAnsi="Cambria"/>
          <w:sz w:val="20"/>
          <w:szCs w:val="20"/>
          <w:lang w:val="es-ES"/>
        </w:rPr>
      </w:pPr>
    </w:p>
    <w:p w14:paraId="5FE3AB87" w14:textId="77777777" w:rsidR="00040C3A" w:rsidRPr="00606E98" w:rsidRDefault="00040C3A" w:rsidP="00040C3A">
      <w:pPr>
        <w:tabs>
          <w:tab w:val="center" w:pos="5400"/>
        </w:tabs>
        <w:suppressAutoHyphens/>
        <w:jc w:val="center"/>
        <w:rPr>
          <w:rFonts w:ascii="Cambria" w:hAnsi="Cambria"/>
          <w:sz w:val="20"/>
          <w:szCs w:val="20"/>
          <w:lang w:val="es-ES"/>
        </w:rPr>
      </w:pPr>
    </w:p>
    <w:p w14:paraId="3C383BC0" w14:textId="77777777" w:rsidR="00040C3A" w:rsidRPr="00606E98" w:rsidRDefault="00040C3A" w:rsidP="00040C3A">
      <w:pPr>
        <w:tabs>
          <w:tab w:val="center" w:pos="5400"/>
        </w:tabs>
        <w:suppressAutoHyphens/>
        <w:jc w:val="center"/>
        <w:rPr>
          <w:rFonts w:ascii="Cambria" w:hAnsi="Cambria" w:cs="Arial"/>
          <w:sz w:val="20"/>
          <w:szCs w:val="20"/>
          <w:lang w:val="es-ES"/>
        </w:rPr>
      </w:pPr>
    </w:p>
    <w:p w14:paraId="54590931" w14:textId="77777777" w:rsidR="00040C3A" w:rsidRPr="00606E98" w:rsidRDefault="00040C3A" w:rsidP="00040C3A">
      <w:pPr>
        <w:tabs>
          <w:tab w:val="center" w:pos="5400"/>
        </w:tabs>
        <w:suppressAutoHyphens/>
        <w:jc w:val="center"/>
        <w:rPr>
          <w:rFonts w:ascii="Cambria" w:hAnsi="Cambria"/>
          <w:sz w:val="20"/>
          <w:szCs w:val="20"/>
          <w:lang w:val="es-ES"/>
        </w:rPr>
      </w:pPr>
    </w:p>
    <w:p w14:paraId="76C291D6" w14:textId="77777777" w:rsidR="00040C3A" w:rsidRPr="00606E98" w:rsidRDefault="00040C3A" w:rsidP="00040C3A">
      <w:pPr>
        <w:tabs>
          <w:tab w:val="center" w:pos="5400"/>
        </w:tabs>
        <w:suppressAutoHyphens/>
        <w:jc w:val="center"/>
        <w:rPr>
          <w:rFonts w:ascii="Cambria" w:hAnsi="Cambria"/>
          <w:sz w:val="20"/>
          <w:szCs w:val="20"/>
          <w:lang w:val="es-ES"/>
        </w:rPr>
      </w:pPr>
    </w:p>
    <w:p w14:paraId="2161B44F" w14:textId="77777777" w:rsidR="00040C3A" w:rsidRPr="00606E98" w:rsidRDefault="00040C3A" w:rsidP="00040C3A">
      <w:pPr>
        <w:tabs>
          <w:tab w:val="center" w:pos="5400"/>
        </w:tabs>
        <w:suppressAutoHyphens/>
        <w:jc w:val="center"/>
        <w:rPr>
          <w:rFonts w:ascii="Cambria" w:hAnsi="Cambria"/>
          <w:sz w:val="20"/>
          <w:szCs w:val="20"/>
          <w:lang w:val="es-ES"/>
        </w:rPr>
      </w:pPr>
    </w:p>
    <w:p w14:paraId="3C4EEE07" w14:textId="77777777" w:rsidR="00040C3A" w:rsidRPr="00606E98" w:rsidRDefault="00040C3A" w:rsidP="00040C3A">
      <w:pPr>
        <w:tabs>
          <w:tab w:val="center" w:pos="5400"/>
        </w:tabs>
        <w:suppressAutoHyphens/>
        <w:jc w:val="center"/>
        <w:rPr>
          <w:rFonts w:ascii="Cambria" w:hAnsi="Cambria"/>
          <w:sz w:val="20"/>
          <w:szCs w:val="20"/>
          <w:lang w:val="es-ES"/>
        </w:rPr>
      </w:pPr>
    </w:p>
    <w:p w14:paraId="3B0E4647" w14:textId="77777777" w:rsidR="005128E4" w:rsidRPr="00606E98" w:rsidRDefault="005128E4" w:rsidP="00040C3A">
      <w:pPr>
        <w:tabs>
          <w:tab w:val="center" w:pos="5400"/>
        </w:tabs>
        <w:suppressAutoHyphens/>
        <w:jc w:val="center"/>
        <w:rPr>
          <w:rFonts w:ascii="Cambria" w:hAnsi="Cambria"/>
          <w:sz w:val="20"/>
          <w:szCs w:val="20"/>
          <w:lang w:val="es-ES"/>
        </w:rPr>
      </w:pPr>
    </w:p>
    <w:p w14:paraId="2DAAF36D" w14:textId="77777777" w:rsidR="00040C3A" w:rsidRPr="00606E98" w:rsidRDefault="00040C3A" w:rsidP="00040C3A">
      <w:pPr>
        <w:tabs>
          <w:tab w:val="center" w:pos="5400"/>
        </w:tabs>
        <w:suppressAutoHyphens/>
        <w:jc w:val="center"/>
        <w:rPr>
          <w:rFonts w:ascii="Cambria" w:hAnsi="Cambria"/>
          <w:sz w:val="20"/>
          <w:szCs w:val="20"/>
          <w:lang w:val="es-ES"/>
        </w:rPr>
      </w:pPr>
    </w:p>
    <w:p w14:paraId="12496A14" w14:textId="77777777" w:rsidR="005128E4" w:rsidRPr="00606E98" w:rsidRDefault="005128E4" w:rsidP="00040C3A">
      <w:pPr>
        <w:tabs>
          <w:tab w:val="center" w:pos="5400"/>
        </w:tabs>
        <w:suppressAutoHyphens/>
        <w:jc w:val="center"/>
        <w:rPr>
          <w:rFonts w:ascii="Cambria" w:hAnsi="Cambria"/>
          <w:sz w:val="20"/>
          <w:szCs w:val="20"/>
          <w:lang w:val="es-ES"/>
        </w:rPr>
      </w:pPr>
    </w:p>
    <w:p w14:paraId="25772DB3" w14:textId="77777777" w:rsidR="005128E4" w:rsidRPr="00606E98" w:rsidRDefault="005128E4" w:rsidP="00040C3A">
      <w:pPr>
        <w:tabs>
          <w:tab w:val="center" w:pos="5400"/>
        </w:tabs>
        <w:suppressAutoHyphens/>
        <w:jc w:val="center"/>
        <w:rPr>
          <w:rFonts w:ascii="Cambria" w:hAnsi="Cambria"/>
          <w:sz w:val="20"/>
          <w:szCs w:val="20"/>
          <w:lang w:val="es-ES"/>
        </w:rPr>
      </w:pPr>
    </w:p>
    <w:p w14:paraId="6820FADA" w14:textId="77777777" w:rsidR="005128E4" w:rsidRPr="00606E98" w:rsidRDefault="005128E4" w:rsidP="00040C3A">
      <w:pPr>
        <w:tabs>
          <w:tab w:val="center" w:pos="5400"/>
        </w:tabs>
        <w:suppressAutoHyphens/>
        <w:jc w:val="center"/>
        <w:rPr>
          <w:rFonts w:ascii="Cambria" w:hAnsi="Cambria"/>
          <w:sz w:val="20"/>
          <w:szCs w:val="20"/>
          <w:lang w:val="es-ES"/>
        </w:rPr>
      </w:pPr>
    </w:p>
    <w:p w14:paraId="54445A55" w14:textId="77777777" w:rsidR="00040C3A" w:rsidRPr="00606E98" w:rsidRDefault="00040C3A" w:rsidP="00040C3A">
      <w:pPr>
        <w:tabs>
          <w:tab w:val="center" w:pos="5400"/>
        </w:tabs>
        <w:suppressAutoHyphens/>
        <w:jc w:val="center"/>
        <w:rPr>
          <w:rFonts w:ascii="Cambria" w:hAnsi="Cambria"/>
          <w:sz w:val="20"/>
          <w:szCs w:val="20"/>
          <w:lang w:val="es-ES"/>
        </w:rPr>
      </w:pPr>
    </w:p>
    <w:p w14:paraId="5D4A4040" w14:textId="77777777" w:rsidR="00040C3A" w:rsidRPr="00606E98" w:rsidRDefault="00040C3A" w:rsidP="00040C3A">
      <w:pPr>
        <w:tabs>
          <w:tab w:val="center" w:pos="5400"/>
        </w:tabs>
        <w:suppressAutoHyphens/>
        <w:jc w:val="center"/>
        <w:rPr>
          <w:rFonts w:ascii="Cambria" w:hAnsi="Cambria"/>
          <w:sz w:val="20"/>
          <w:szCs w:val="20"/>
          <w:lang w:val="es-ES"/>
        </w:rPr>
      </w:pPr>
    </w:p>
    <w:p w14:paraId="048FBB22" w14:textId="77777777" w:rsidR="00A50FCF" w:rsidRPr="00606E98" w:rsidRDefault="00A50FCF" w:rsidP="00040C3A">
      <w:pPr>
        <w:tabs>
          <w:tab w:val="center" w:pos="5400"/>
        </w:tabs>
        <w:suppressAutoHyphens/>
        <w:jc w:val="center"/>
        <w:rPr>
          <w:rFonts w:ascii="Cambria" w:hAnsi="Cambria"/>
          <w:sz w:val="20"/>
          <w:szCs w:val="20"/>
          <w:lang w:val="es-ES"/>
        </w:rPr>
      </w:pPr>
    </w:p>
    <w:p w14:paraId="190ABFB3" w14:textId="77777777" w:rsidR="00A50FCF" w:rsidRPr="00606E98" w:rsidRDefault="00A50FCF" w:rsidP="00040C3A">
      <w:pPr>
        <w:tabs>
          <w:tab w:val="center" w:pos="5400"/>
        </w:tabs>
        <w:suppressAutoHyphens/>
        <w:jc w:val="center"/>
        <w:rPr>
          <w:rFonts w:ascii="Cambria" w:hAnsi="Cambria"/>
          <w:sz w:val="20"/>
          <w:szCs w:val="20"/>
          <w:lang w:val="es-ES"/>
        </w:rPr>
      </w:pPr>
    </w:p>
    <w:p w14:paraId="4C690048" w14:textId="77777777" w:rsidR="00A50FCF" w:rsidRPr="00606E98" w:rsidRDefault="00A50FCF" w:rsidP="00040C3A">
      <w:pPr>
        <w:tabs>
          <w:tab w:val="center" w:pos="5400"/>
        </w:tabs>
        <w:suppressAutoHyphens/>
        <w:jc w:val="center"/>
        <w:rPr>
          <w:rFonts w:ascii="Cambria" w:hAnsi="Cambria"/>
          <w:sz w:val="20"/>
          <w:szCs w:val="20"/>
          <w:lang w:val="es-ES"/>
        </w:rPr>
      </w:pPr>
    </w:p>
    <w:p w14:paraId="733CA438" w14:textId="77777777" w:rsidR="00A50FCF" w:rsidRPr="00606E98" w:rsidRDefault="00A50FCF" w:rsidP="00040C3A">
      <w:pPr>
        <w:tabs>
          <w:tab w:val="center" w:pos="5400"/>
        </w:tabs>
        <w:suppressAutoHyphens/>
        <w:jc w:val="center"/>
        <w:rPr>
          <w:rFonts w:ascii="Cambria" w:hAnsi="Cambria"/>
          <w:sz w:val="20"/>
          <w:szCs w:val="20"/>
          <w:lang w:val="es-ES"/>
        </w:rPr>
      </w:pPr>
    </w:p>
    <w:p w14:paraId="7874DEEB" w14:textId="77777777" w:rsidR="00A50FCF" w:rsidRPr="00606E98" w:rsidRDefault="00A50FCF" w:rsidP="00040C3A">
      <w:pPr>
        <w:tabs>
          <w:tab w:val="center" w:pos="5400"/>
        </w:tabs>
        <w:suppressAutoHyphens/>
        <w:jc w:val="center"/>
        <w:rPr>
          <w:rFonts w:ascii="Cambria" w:hAnsi="Cambria"/>
          <w:sz w:val="20"/>
          <w:szCs w:val="20"/>
          <w:lang w:val="es-ES"/>
        </w:rPr>
      </w:pPr>
    </w:p>
    <w:p w14:paraId="3698D0D6" w14:textId="77777777" w:rsidR="00A50FCF" w:rsidRPr="00606E98" w:rsidRDefault="00A50FCF" w:rsidP="00040C3A">
      <w:pPr>
        <w:tabs>
          <w:tab w:val="center" w:pos="5400"/>
        </w:tabs>
        <w:suppressAutoHyphens/>
        <w:jc w:val="center"/>
        <w:rPr>
          <w:rFonts w:ascii="Cambria" w:hAnsi="Cambria"/>
          <w:sz w:val="20"/>
          <w:szCs w:val="20"/>
          <w:lang w:val="es-ES"/>
        </w:rPr>
      </w:pPr>
    </w:p>
    <w:p w14:paraId="1F907823" w14:textId="77777777" w:rsidR="00A50FCF" w:rsidRPr="00606E98" w:rsidRDefault="00A50FCF" w:rsidP="00040C3A">
      <w:pPr>
        <w:tabs>
          <w:tab w:val="center" w:pos="5400"/>
        </w:tabs>
        <w:suppressAutoHyphens/>
        <w:jc w:val="center"/>
        <w:rPr>
          <w:rFonts w:ascii="Cambria" w:hAnsi="Cambria"/>
          <w:sz w:val="20"/>
          <w:szCs w:val="20"/>
          <w:lang w:val="es-ES"/>
        </w:rPr>
      </w:pPr>
    </w:p>
    <w:p w14:paraId="045D9AC1" w14:textId="77777777" w:rsidR="00A50FCF" w:rsidRPr="00606E98" w:rsidRDefault="00A50FCF" w:rsidP="00040C3A">
      <w:pPr>
        <w:tabs>
          <w:tab w:val="center" w:pos="5400"/>
        </w:tabs>
        <w:suppressAutoHyphens/>
        <w:jc w:val="center"/>
        <w:rPr>
          <w:rFonts w:ascii="Cambria" w:hAnsi="Cambria"/>
          <w:sz w:val="20"/>
          <w:szCs w:val="20"/>
          <w:lang w:val="es-ES"/>
        </w:rPr>
      </w:pPr>
    </w:p>
    <w:p w14:paraId="16068EE5" w14:textId="77777777" w:rsidR="00A50FCF" w:rsidRPr="00606E98" w:rsidRDefault="00A50FCF" w:rsidP="00040C3A">
      <w:pPr>
        <w:tabs>
          <w:tab w:val="center" w:pos="5400"/>
        </w:tabs>
        <w:suppressAutoHyphens/>
        <w:jc w:val="center"/>
        <w:rPr>
          <w:rFonts w:ascii="Cambria" w:hAnsi="Cambria"/>
          <w:sz w:val="20"/>
          <w:szCs w:val="20"/>
          <w:lang w:val="es-ES"/>
        </w:rPr>
      </w:pPr>
    </w:p>
    <w:p w14:paraId="14A4A430" w14:textId="77777777" w:rsidR="00A50FCF" w:rsidRPr="00606E98" w:rsidRDefault="00A50FCF" w:rsidP="00040C3A">
      <w:pPr>
        <w:tabs>
          <w:tab w:val="center" w:pos="5400"/>
        </w:tabs>
        <w:suppressAutoHyphens/>
        <w:jc w:val="center"/>
        <w:rPr>
          <w:rFonts w:ascii="Cambria" w:hAnsi="Cambria"/>
          <w:sz w:val="20"/>
          <w:szCs w:val="20"/>
          <w:lang w:val="es-ES"/>
        </w:rPr>
      </w:pPr>
    </w:p>
    <w:p w14:paraId="0B3B735F" w14:textId="77777777" w:rsidR="00A50FCF" w:rsidRPr="00606E98" w:rsidRDefault="00A50FCF" w:rsidP="00040C3A">
      <w:pPr>
        <w:tabs>
          <w:tab w:val="center" w:pos="5400"/>
        </w:tabs>
        <w:suppressAutoHyphens/>
        <w:jc w:val="center"/>
        <w:rPr>
          <w:rFonts w:ascii="Cambria" w:hAnsi="Cambria"/>
          <w:sz w:val="20"/>
          <w:szCs w:val="20"/>
          <w:lang w:val="es-ES"/>
        </w:rPr>
      </w:pPr>
    </w:p>
    <w:p w14:paraId="02C5C441" w14:textId="77777777" w:rsidR="00A50FCF" w:rsidRPr="00606E98" w:rsidRDefault="00A50FCF" w:rsidP="00040C3A">
      <w:pPr>
        <w:tabs>
          <w:tab w:val="center" w:pos="5400"/>
        </w:tabs>
        <w:suppressAutoHyphens/>
        <w:jc w:val="center"/>
        <w:rPr>
          <w:rFonts w:ascii="Cambria" w:hAnsi="Cambria"/>
          <w:sz w:val="20"/>
          <w:szCs w:val="20"/>
          <w:lang w:val="es-ES"/>
        </w:rPr>
      </w:pPr>
    </w:p>
    <w:p w14:paraId="7806A2B0" w14:textId="77777777" w:rsidR="00A50FCF" w:rsidRPr="00606E98" w:rsidRDefault="00A50FCF" w:rsidP="00040C3A">
      <w:pPr>
        <w:tabs>
          <w:tab w:val="center" w:pos="5400"/>
        </w:tabs>
        <w:suppressAutoHyphens/>
        <w:jc w:val="center"/>
        <w:rPr>
          <w:rFonts w:ascii="Cambria" w:hAnsi="Cambria"/>
          <w:sz w:val="20"/>
          <w:szCs w:val="20"/>
          <w:lang w:val="es-ES"/>
        </w:rPr>
      </w:pPr>
    </w:p>
    <w:p w14:paraId="319C392B" w14:textId="77777777" w:rsidR="00A50FCF" w:rsidRPr="00606E98" w:rsidRDefault="00A50FCF" w:rsidP="00040C3A">
      <w:pPr>
        <w:tabs>
          <w:tab w:val="center" w:pos="5400"/>
        </w:tabs>
        <w:suppressAutoHyphens/>
        <w:jc w:val="center"/>
        <w:rPr>
          <w:rFonts w:ascii="Cambria" w:hAnsi="Cambria"/>
          <w:sz w:val="20"/>
          <w:szCs w:val="20"/>
          <w:lang w:val="es-ES"/>
        </w:rPr>
      </w:pPr>
    </w:p>
    <w:p w14:paraId="514A0182" w14:textId="77777777" w:rsidR="00A50FCF" w:rsidRPr="00606E98" w:rsidRDefault="0090270B" w:rsidP="00040C3A">
      <w:pPr>
        <w:tabs>
          <w:tab w:val="center" w:pos="5400"/>
        </w:tabs>
        <w:suppressAutoHyphens/>
        <w:jc w:val="center"/>
        <w:rPr>
          <w:rFonts w:ascii="Cambria" w:hAnsi="Cambria"/>
          <w:sz w:val="20"/>
          <w:szCs w:val="20"/>
          <w:lang w:val="es-ES"/>
        </w:rPr>
      </w:pPr>
      <w:r w:rsidRPr="00606E98">
        <w:rPr>
          <w:rFonts w:ascii="Cambria" w:hAnsi="Cambria"/>
          <w:noProof/>
          <w:sz w:val="20"/>
          <w:szCs w:val="20"/>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41B8A29" w:rsidR="00C96A3F" w:rsidRPr="00890650" w:rsidRDefault="00C96A3F"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77063">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377063">
                              <w:rPr>
                                <w:rFonts w:asciiTheme="majorHAnsi" w:hAnsiTheme="majorHAnsi"/>
                                <w:color w:val="0D0D0D" w:themeColor="text1" w:themeTint="F2"/>
                                <w:sz w:val="18"/>
                                <w:szCs w:val="22"/>
                                <w:lang w:val="es-ES"/>
                              </w:rPr>
                              <w:t>marzo de 2021</w:t>
                            </w:r>
                            <w:r w:rsidR="00A85CF6">
                              <w:rPr>
                                <w:rFonts w:asciiTheme="majorHAnsi" w:hAnsiTheme="majorHAnsi"/>
                                <w:color w:val="0D0D0D" w:themeColor="text1" w:themeTint="F2"/>
                                <w:sz w:val="18"/>
                                <w:szCs w:val="22"/>
                                <w:lang w:val="es-ES"/>
                              </w:rPr>
                              <w:t>.</w:t>
                            </w:r>
                          </w:p>
                          <w:p w14:paraId="4BDF3581" w14:textId="77777777" w:rsidR="00C96A3F" w:rsidRPr="007A5817" w:rsidRDefault="00C96A3F"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C96A3F" w:rsidRPr="00167A34" w:rsidRDefault="00C96A3F"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641B8A29" w:rsidR="00C96A3F" w:rsidRPr="00890650" w:rsidRDefault="00C96A3F"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77063">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377063">
                        <w:rPr>
                          <w:rFonts w:asciiTheme="majorHAnsi" w:hAnsiTheme="majorHAnsi"/>
                          <w:color w:val="0D0D0D" w:themeColor="text1" w:themeTint="F2"/>
                          <w:sz w:val="18"/>
                          <w:szCs w:val="22"/>
                          <w:lang w:val="es-ES"/>
                        </w:rPr>
                        <w:t>marzo de 2021</w:t>
                      </w:r>
                      <w:r w:rsidR="00A85CF6">
                        <w:rPr>
                          <w:rFonts w:asciiTheme="majorHAnsi" w:hAnsiTheme="majorHAnsi"/>
                          <w:color w:val="0D0D0D" w:themeColor="text1" w:themeTint="F2"/>
                          <w:sz w:val="18"/>
                          <w:szCs w:val="22"/>
                          <w:lang w:val="es-ES"/>
                        </w:rPr>
                        <w:t>.</w:t>
                      </w:r>
                    </w:p>
                    <w:p w14:paraId="4BDF3581" w14:textId="77777777" w:rsidR="00C96A3F" w:rsidRPr="007A5817" w:rsidRDefault="00C96A3F"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C96A3F" w:rsidRPr="00167A34" w:rsidRDefault="00C96A3F"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606E98" w:rsidRDefault="00A50FCF" w:rsidP="00040C3A">
      <w:pPr>
        <w:tabs>
          <w:tab w:val="center" w:pos="5400"/>
        </w:tabs>
        <w:suppressAutoHyphens/>
        <w:jc w:val="center"/>
        <w:rPr>
          <w:rFonts w:ascii="Cambria" w:hAnsi="Cambria"/>
          <w:sz w:val="20"/>
          <w:szCs w:val="20"/>
          <w:lang w:val="es-ES"/>
        </w:rPr>
      </w:pPr>
    </w:p>
    <w:p w14:paraId="7929D1FD" w14:textId="77777777" w:rsidR="00A50FCF" w:rsidRPr="00606E98" w:rsidRDefault="00A50FCF" w:rsidP="00040C3A">
      <w:pPr>
        <w:tabs>
          <w:tab w:val="center" w:pos="5400"/>
        </w:tabs>
        <w:suppressAutoHyphens/>
        <w:jc w:val="center"/>
        <w:rPr>
          <w:rFonts w:ascii="Cambria" w:hAnsi="Cambria"/>
          <w:sz w:val="20"/>
          <w:szCs w:val="20"/>
          <w:lang w:val="es-ES"/>
        </w:rPr>
      </w:pPr>
    </w:p>
    <w:p w14:paraId="5469D0BE" w14:textId="77777777" w:rsidR="00A50FCF" w:rsidRPr="00606E98" w:rsidRDefault="00A50FCF" w:rsidP="00040C3A">
      <w:pPr>
        <w:tabs>
          <w:tab w:val="center" w:pos="5400"/>
        </w:tabs>
        <w:suppressAutoHyphens/>
        <w:jc w:val="center"/>
        <w:rPr>
          <w:rFonts w:ascii="Cambria" w:hAnsi="Cambria"/>
          <w:sz w:val="20"/>
          <w:szCs w:val="20"/>
          <w:lang w:val="es-ES"/>
        </w:rPr>
      </w:pPr>
    </w:p>
    <w:p w14:paraId="7A79F059" w14:textId="77777777" w:rsidR="00A50FCF" w:rsidRPr="00606E98" w:rsidRDefault="00A50FCF" w:rsidP="00040C3A">
      <w:pPr>
        <w:tabs>
          <w:tab w:val="center" w:pos="5400"/>
        </w:tabs>
        <w:suppressAutoHyphens/>
        <w:jc w:val="center"/>
        <w:rPr>
          <w:rFonts w:ascii="Cambria" w:hAnsi="Cambria"/>
          <w:sz w:val="20"/>
          <w:szCs w:val="20"/>
          <w:lang w:val="es-ES"/>
        </w:rPr>
      </w:pPr>
    </w:p>
    <w:p w14:paraId="330672AE" w14:textId="77777777" w:rsidR="00A50FCF" w:rsidRPr="00606E98" w:rsidRDefault="0090270B" w:rsidP="00040C3A">
      <w:pPr>
        <w:tabs>
          <w:tab w:val="center" w:pos="5400"/>
        </w:tabs>
        <w:suppressAutoHyphens/>
        <w:jc w:val="center"/>
        <w:rPr>
          <w:rFonts w:ascii="Cambria" w:hAnsi="Cambria"/>
          <w:sz w:val="20"/>
          <w:szCs w:val="20"/>
          <w:lang w:val="es-ES"/>
        </w:rPr>
      </w:pPr>
      <w:r w:rsidRPr="00606E98">
        <w:rPr>
          <w:rFonts w:ascii="Cambria" w:hAnsi="Cambria"/>
          <w:noProof/>
          <w:sz w:val="20"/>
          <w:szCs w:val="20"/>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13991F" w14:textId="77777777" w:rsidR="00377063" w:rsidRDefault="00C96A3F"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77063" w:rsidRPr="00377063">
                              <w:rPr>
                                <w:rFonts w:asciiTheme="majorHAnsi" w:hAnsiTheme="majorHAnsi"/>
                                <w:color w:val="595959" w:themeColor="text1" w:themeTint="A6"/>
                                <w:sz w:val="18"/>
                                <w:szCs w:val="18"/>
                                <w:lang w:val="pt-BR"/>
                              </w:rPr>
                              <w:t>36</w:t>
                            </w:r>
                            <w:r w:rsidRPr="00377063">
                              <w:rPr>
                                <w:rFonts w:asciiTheme="majorHAnsi" w:hAnsiTheme="majorHAnsi"/>
                                <w:color w:val="595959" w:themeColor="text1" w:themeTint="A6"/>
                                <w:sz w:val="18"/>
                                <w:szCs w:val="18"/>
                                <w:lang w:val="pt-BR"/>
                              </w:rPr>
                              <w:t>/2</w:t>
                            </w:r>
                            <w:r w:rsidR="00377063" w:rsidRPr="00377063">
                              <w:rPr>
                                <w:rFonts w:asciiTheme="majorHAnsi" w:hAnsiTheme="majorHAnsi"/>
                                <w:color w:val="595959" w:themeColor="text1" w:themeTint="A6"/>
                                <w:sz w:val="18"/>
                                <w:szCs w:val="18"/>
                                <w:lang w:val="pt-BR"/>
                              </w:rPr>
                              <w:t xml:space="preserve">1. </w:t>
                            </w:r>
                            <w:r w:rsidR="00377063">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Elpidio Vargas Briones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p>
                          <w:p w14:paraId="0D1B22CF" w14:textId="26E353D3" w:rsidR="00C96A3F" w:rsidRPr="007B05C4" w:rsidRDefault="00377063"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4 de marzo de 2021</w:t>
                            </w:r>
                            <w:r w:rsidR="00C96A3F"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A13991F" w14:textId="77777777" w:rsidR="00377063" w:rsidRDefault="00C96A3F"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77063" w:rsidRPr="00377063">
                        <w:rPr>
                          <w:rFonts w:asciiTheme="majorHAnsi" w:hAnsiTheme="majorHAnsi"/>
                          <w:color w:val="595959" w:themeColor="text1" w:themeTint="A6"/>
                          <w:sz w:val="18"/>
                          <w:szCs w:val="18"/>
                          <w:lang w:val="pt-BR"/>
                        </w:rPr>
                        <w:t>36</w:t>
                      </w:r>
                      <w:r w:rsidRPr="00377063">
                        <w:rPr>
                          <w:rFonts w:asciiTheme="majorHAnsi" w:hAnsiTheme="majorHAnsi"/>
                          <w:color w:val="595959" w:themeColor="text1" w:themeTint="A6"/>
                          <w:sz w:val="18"/>
                          <w:szCs w:val="18"/>
                          <w:lang w:val="pt-BR"/>
                        </w:rPr>
                        <w:t>/2</w:t>
                      </w:r>
                      <w:r w:rsidR="00377063" w:rsidRPr="00377063">
                        <w:rPr>
                          <w:rFonts w:asciiTheme="majorHAnsi" w:hAnsiTheme="majorHAnsi"/>
                          <w:color w:val="595959" w:themeColor="text1" w:themeTint="A6"/>
                          <w:sz w:val="18"/>
                          <w:szCs w:val="18"/>
                          <w:lang w:val="pt-BR"/>
                        </w:rPr>
                        <w:t xml:space="preserve">1. </w:t>
                      </w:r>
                      <w:r w:rsidR="00377063">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Elpidio Vargas Briones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p>
                    <w:p w14:paraId="0D1B22CF" w14:textId="26E353D3" w:rsidR="00C96A3F" w:rsidRPr="007B05C4" w:rsidRDefault="00377063"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4 de marzo de 2021</w:t>
                      </w:r>
                      <w:r w:rsidR="00C96A3F"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606E98" w:rsidRDefault="00A50FCF" w:rsidP="00040C3A">
      <w:pPr>
        <w:tabs>
          <w:tab w:val="center" w:pos="5400"/>
        </w:tabs>
        <w:suppressAutoHyphens/>
        <w:jc w:val="center"/>
        <w:rPr>
          <w:rFonts w:ascii="Cambria" w:hAnsi="Cambria"/>
          <w:sz w:val="20"/>
          <w:szCs w:val="20"/>
          <w:lang w:val="es-ES"/>
        </w:rPr>
      </w:pPr>
    </w:p>
    <w:p w14:paraId="1DA07629" w14:textId="77777777" w:rsidR="0090270B" w:rsidRPr="00606E98" w:rsidRDefault="00D306D1" w:rsidP="005516A1">
      <w:pPr>
        <w:tabs>
          <w:tab w:val="center" w:pos="5400"/>
        </w:tabs>
        <w:suppressAutoHyphens/>
        <w:jc w:val="center"/>
        <w:rPr>
          <w:rFonts w:ascii="Cambria" w:hAnsi="Cambria"/>
          <w:b/>
          <w:sz w:val="20"/>
          <w:szCs w:val="20"/>
          <w:lang w:val="es-ES"/>
        </w:rPr>
      </w:pPr>
      <w:r w:rsidRPr="00606E98">
        <w:rPr>
          <w:rFonts w:ascii="Cambria" w:hAnsi="Cambria"/>
          <w:noProof/>
          <w:sz w:val="20"/>
          <w:szCs w:val="20"/>
        </w:rPr>
        <mc:AlternateContent>
          <mc:Choice Requires="wps">
            <w:drawing>
              <wp:anchor distT="0" distB="0" distL="114300" distR="114300" simplePos="0" relativeHeight="251680768" behindDoc="0" locked="0" layoutInCell="1" allowOverlap="1" wp14:anchorId="50472543" wp14:editId="5239B52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07E8317" w:rsidR="00C96A3F" w:rsidRPr="00D72DC6" w:rsidRDefault="00A85CF6" w:rsidP="00F02AD1">
                            <w:pPr>
                              <w:rPr>
                                <w:color w:val="FFFFFF" w:themeColor="background1"/>
                                <w14:textFill>
                                  <w14:noFill/>
                                </w14:textFill>
                              </w:rPr>
                            </w:pPr>
                            <w:r>
                              <w:rPr>
                                <w:noProof/>
                                <w:color w:val="FFFFFF" w:themeColor="background1"/>
                              </w:rPr>
                              <w:drawing>
                                <wp:inline distT="0" distB="0" distL="0" distR="0" wp14:anchorId="7077E49E" wp14:editId="081149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607E8317" w:rsidR="00C96A3F" w:rsidRPr="00D72DC6" w:rsidRDefault="00A85CF6" w:rsidP="00F02AD1">
                      <w:pPr>
                        <w:rPr>
                          <w:color w:val="FFFFFF" w:themeColor="background1"/>
                          <w14:textFill>
                            <w14:noFill/>
                          </w14:textFill>
                        </w:rPr>
                      </w:pPr>
                      <w:r>
                        <w:rPr>
                          <w:noProof/>
                          <w:color w:val="FFFFFF" w:themeColor="background1"/>
                        </w:rPr>
                        <w:drawing>
                          <wp:inline distT="0" distB="0" distL="0" distR="0" wp14:anchorId="7077E49E" wp14:editId="081149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06E98">
        <w:rPr>
          <w:rFonts w:ascii="Cambria" w:hAnsi="Cambria"/>
          <w:noProof/>
          <w:sz w:val="20"/>
          <w:szCs w:val="20"/>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C96A3F" w:rsidRPr="004B7EB6" w:rsidRDefault="00C96A3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C96A3F" w:rsidRPr="004B7EB6" w:rsidRDefault="00C96A3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606E98" w:rsidRDefault="004A6A54" w:rsidP="005516A1">
      <w:pPr>
        <w:tabs>
          <w:tab w:val="center" w:pos="5400"/>
        </w:tabs>
        <w:suppressAutoHyphens/>
        <w:jc w:val="center"/>
        <w:rPr>
          <w:rFonts w:ascii="Cambria" w:hAnsi="Cambria"/>
          <w:b/>
          <w:sz w:val="20"/>
          <w:szCs w:val="20"/>
          <w:lang w:val="es-ES"/>
        </w:rPr>
        <w:sectPr w:rsidR="0070697F" w:rsidRPr="00606E98"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606E98">
        <w:rPr>
          <w:rFonts w:ascii="Cambria" w:hAnsi="Cambria"/>
          <w:b/>
          <w:sz w:val="20"/>
          <w:szCs w:val="20"/>
          <w:lang w:val="es-ES"/>
        </w:rPr>
        <w:tab/>
      </w:r>
    </w:p>
    <w:p w14:paraId="376DDC8B" w14:textId="77777777" w:rsidR="003239B8" w:rsidRPr="00606E98" w:rsidRDefault="003239B8" w:rsidP="007C402A">
      <w:pPr>
        <w:spacing w:after="120"/>
        <w:ind w:firstLine="720"/>
        <w:jc w:val="both"/>
        <w:rPr>
          <w:rFonts w:ascii="Cambria" w:hAnsi="Cambria"/>
          <w:b/>
          <w:bCs/>
          <w:sz w:val="20"/>
          <w:szCs w:val="20"/>
          <w:lang w:val="es-ES"/>
        </w:rPr>
      </w:pPr>
      <w:r w:rsidRPr="00606E98">
        <w:rPr>
          <w:rFonts w:ascii="Cambria" w:hAnsi="Cambria"/>
          <w:b/>
          <w:bCs/>
          <w:sz w:val="20"/>
          <w:szCs w:val="20"/>
          <w:lang w:val="es-ES"/>
        </w:rPr>
        <w:lastRenderedPageBreak/>
        <w:t>I.</w:t>
      </w:r>
      <w:r w:rsidRPr="00606E98">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E772A3"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606E98" w:rsidRDefault="00D77503" w:rsidP="00C96A3F">
            <w:pPr>
              <w:jc w:val="center"/>
              <w:rPr>
                <w:rFonts w:ascii="Cambria" w:hAnsi="Cambria"/>
                <w:bCs/>
                <w:color w:val="FFFFFF" w:themeColor="background1"/>
                <w:sz w:val="20"/>
                <w:szCs w:val="20"/>
                <w:lang w:val="es-ES"/>
              </w:rPr>
            </w:pPr>
            <w:r w:rsidRPr="00606E98">
              <w:rPr>
                <w:rFonts w:ascii="Cambria" w:hAnsi="Cambria"/>
                <w:bCs/>
                <w:color w:val="FFFFFF" w:themeColor="background1"/>
                <w:sz w:val="20"/>
                <w:szCs w:val="20"/>
                <w:lang w:val="es-ES"/>
              </w:rPr>
              <w:t>Parte peticionaria</w:t>
            </w:r>
          </w:p>
        </w:tc>
        <w:tc>
          <w:tcPr>
            <w:tcW w:w="6570" w:type="dxa"/>
            <w:vAlign w:val="center"/>
          </w:tcPr>
          <w:p w14:paraId="3C5315D8" w14:textId="22A5C0C4" w:rsidR="003239B8" w:rsidRPr="00606E98" w:rsidRDefault="00163C44" w:rsidP="00C96A3F">
            <w:pPr>
              <w:jc w:val="both"/>
              <w:rPr>
                <w:rFonts w:ascii="Cambria" w:hAnsi="Cambria"/>
                <w:bCs/>
                <w:sz w:val="20"/>
                <w:szCs w:val="20"/>
                <w:lang w:val="es-ES"/>
              </w:rPr>
            </w:pPr>
            <w:r w:rsidRPr="00606E98">
              <w:rPr>
                <w:rFonts w:ascii="Cambria" w:hAnsi="Cambria"/>
                <w:bCs/>
                <w:sz w:val="20"/>
                <w:szCs w:val="20"/>
                <w:lang w:val="es-ES"/>
              </w:rPr>
              <w:t>Elpidio Vargas Briones</w:t>
            </w:r>
          </w:p>
        </w:tc>
      </w:tr>
      <w:tr w:rsidR="003239B8" w:rsidRPr="00E772A3"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606E98" w:rsidRDefault="00EF77CE" w:rsidP="00C96A3F">
            <w:pPr>
              <w:jc w:val="center"/>
              <w:rPr>
                <w:rFonts w:ascii="Cambria" w:hAnsi="Cambria"/>
                <w:bCs/>
                <w:color w:val="FFFFFF" w:themeColor="background1"/>
                <w:sz w:val="20"/>
                <w:szCs w:val="20"/>
                <w:lang w:val="es-ES"/>
              </w:rPr>
            </w:pPr>
            <w:sdt>
              <w:sdtPr>
                <w:rPr>
                  <w:rFonts w:ascii="Cambria" w:hAnsi="Cambria"/>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606E98">
                  <w:rPr>
                    <w:rFonts w:ascii="Cambria" w:hAnsi="Cambria"/>
                    <w:bCs/>
                    <w:color w:val="FFFFFF" w:themeColor="background1"/>
                    <w:sz w:val="20"/>
                    <w:szCs w:val="20"/>
                    <w:lang w:val="es-ES"/>
                  </w:rPr>
                  <w:t>Presunta víctima</w:t>
                </w:r>
              </w:sdtContent>
            </w:sdt>
          </w:p>
        </w:tc>
        <w:tc>
          <w:tcPr>
            <w:tcW w:w="6570" w:type="dxa"/>
            <w:vAlign w:val="center"/>
          </w:tcPr>
          <w:p w14:paraId="4AEBF59E" w14:textId="64E87F4F" w:rsidR="003239B8" w:rsidRPr="00606E98" w:rsidRDefault="00163C44" w:rsidP="005B6D22">
            <w:pPr>
              <w:jc w:val="both"/>
              <w:rPr>
                <w:rFonts w:ascii="Cambria" w:hAnsi="Cambria"/>
                <w:bCs/>
                <w:sz w:val="20"/>
                <w:szCs w:val="20"/>
                <w:lang w:val="es-ES"/>
              </w:rPr>
            </w:pPr>
            <w:r w:rsidRPr="00606E98">
              <w:rPr>
                <w:rFonts w:ascii="Cambria" w:hAnsi="Cambria"/>
                <w:bCs/>
                <w:sz w:val="20"/>
                <w:szCs w:val="20"/>
                <w:lang w:val="es-ES"/>
              </w:rPr>
              <w:t>Elpidio Vargas Briones</w:t>
            </w:r>
          </w:p>
        </w:tc>
      </w:tr>
      <w:tr w:rsidR="003239B8" w:rsidRPr="00E772A3"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606E98" w:rsidRDefault="00D77503" w:rsidP="00C96A3F">
            <w:pPr>
              <w:jc w:val="center"/>
              <w:rPr>
                <w:rFonts w:ascii="Cambria" w:hAnsi="Cambria"/>
                <w:bCs/>
                <w:color w:val="FFFFFF" w:themeColor="background1"/>
                <w:sz w:val="20"/>
                <w:szCs w:val="20"/>
                <w:lang w:val="es-ES"/>
              </w:rPr>
            </w:pPr>
            <w:r w:rsidRPr="00606E98">
              <w:rPr>
                <w:rFonts w:ascii="Cambria" w:hAnsi="Cambria"/>
                <w:bCs/>
                <w:color w:val="FFFFFF" w:themeColor="background1"/>
                <w:sz w:val="20"/>
                <w:szCs w:val="20"/>
                <w:lang w:val="es-ES"/>
              </w:rPr>
              <w:t>Estado denunciado</w:t>
            </w:r>
          </w:p>
        </w:tc>
        <w:tc>
          <w:tcPr>
            <w:tcW w:w="6570" w:type="dxa"/>
            <w:vAlign w:val="center"/>
          </w:tcPr>
          <w:p w14:paraId="274C8A50" w14:textId="3B8CE98C" w:rsidR="003239B8" w:rsidRPr="00606E98" w:rsidRDefault="00A07A4D" w:rsidP="00C96A3F">
            <w:pPr>
              <w:jc w:val="both"/>
              <w:rPr>
                <w:rFonts w:ascii="Cambria" w:hAnsi="Cambria"/>
                <w:bCs/>
                <w:sz w:val="20"/>
                <w:szCs w:val="20"/>
                <w:lang w:val="es-ES"/>
              </w:rPr>
            </w:pPr>
            <w:r w:rsidRPr="00606E98">
              <w:rPr>
                <w:rFonts w:ascii="Cambria" w:hAnsi="Cambria"/>
                <w:bCs/>
                <w:sz w:val="20"/>
                <w:szCs w:val="20"/>
                <w:lang w:val="es-ES"/>
              </w:rPr>
              <w:t>México</w:t>
            </w:r>
            <w:r w:rsidR="004A6A54" w:rsidRPr="00606E98">
              <w:rPr>
                <w:rStyle w:val="FootnoteReference"/>
                <w:rFonts w:ascii="Cambria" w:hAnsi="Cambria"/>
                <w:bCs/>
                <w:sz w:val="20"/>
                <w:szCs w:val="20"/>
                <w:lang w:val="es-ES"/>
              </w:rPr>
              <w:footnoteReference w:id="2"/>
            </w:r>
          </w:p>
        </w:tc>
      </w:tr>
      <w:tr w:rsidR="00223A29" w:rsidRPr="00A85CF6"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606E98" w:rsidRDefault="001B3A00" w:rsidP="00E4118C">
            <w:pPr>
              <w:jc w:val="center"/>
              <w:rPr>
                <w:rFonts w:ascii="Cambria" w:hAnsi="Cambria"/>
                <w:bCs/>
                <w:color w:val="FFFFFF" w:themeColor="background1"/>
                <w:sz w:val="20"/>
                <w:szCs w:val="20"/>
                <w:lang w:val="es-ES"/>
              </w:rPr>
            </w:pPr>
            <w:r w:rsidRPr="00606E98">
              <w:rPr>
                <w:rFonts w:ascii="Cambria" w:hAnsi="Cambria"/>
                <w:bCs/>
                <w:color w:val="FFFFFF" w:themeColor="background1"/>
                <w:sz w:val="20"/>
                <w:szCs w:val="20"/>
                <w:lang w:val="es-ES"/>
              </w:rPr>
              <w:t xml:space="preserve">Derechos </w:t>
            </w:r>
            <w:r w:rsidR="00E4118C" w:rsidRPr="00606E98">
              <w:rPr>
                <w:rFonts w:ascii="Cambria" w:hAnsi="Cambria"/>
                <w:bCs/>
                <w:color w:val="FFFFFF" w:themeColor="background1"/>
                <w:sz w:val="20"/>
                <w:szCs w:val="20"/>
                <w:lang w:val="es-ES"/>
              </w:rPr>
              <w:t>invocados</w:t>
            </w:r>
          </w:p>
        </w:tc>
        <w:tc>
          <w:tcPr>
            <w:tcW w:w="6570" w:type="dxa"/>
            <w:vAlign w:val="center"/>
          </w:tcPr>
          <w:p w14:paraId="6DEE1EEB" w14:textId="7F81B9ED" w:rsidR="00223A29" w:rsidRPr="00606E98" w:rsidRDefault="00163C44" w:rsidP="00163C44">
            <w:pPr>
              <w:jc w:val="both"/>
              <w:rPr>
                <w:rFonts w:ascii="Cambria" w:hAnsi="Cambria"/>
                <w:bCs/>
                <w:sz w:val="20"/>
                <w:szCs w:val="20"/>
                <w:lang w:val="es-ES"/>
              </w:rPr>
            </w:pPr>
            <w:r w:rsidRPr="00606E98">
              <w:rPr>
                <w:rFonts w:ascii="Cambria" w:hAnsi="Cambria"/>
                <w:bCs/>
                <w:sz w:val="20"/>
                <w:szCs w:val="20"/>
                <w:lang w:val="es-ES"/>
              </w:rPr>
              <w:t xml:space="preserve">La petición no hace referencia específica a ningún instrumento internacional </w:t>
            </w:r>
          </w:p>
        </w:tc>
      </w:tr>
    </w:tbl>
    <w:p w14:paraId="20263696" w14:textId="77777777" w:rsidR="003239B8" w:rsidRPr="00606E98" w:rsidRDefault="003239B8" w:rsidP="007C402A">
      <w:pPr>
        <w:spacing w:before="120" w:after="120"/>
        <w:ind w:firstLine="720"/>
        <w:jc w:val="both"/>
        <w:rPr>
          <w:rFonts w:ascii="Cambria" w:hAnsi="Cambria"/>
          <w:b/>
          <w:bCs/>
          <w:sz w:val="20"/>
          <w:szCs w:val="20"/>
          <w:lang w:val="es-ES"/>
        </w:rPr>
      </w:pPr>
      <w:r w:rsidRPr="00606E98">
        <w:rPr>
          <w:rFonts w:ascii="Cambria" w:hAnsi="Cambria"/>
          <w:b/>
          <w:bCs/>
          <w:sz w:val="20"/>
          <w:szCs w:val="20"/>
          <w:lang w:val="es-ES"/>
        </w:rPr>
        <w:t>II.</w:t>
      </w:r>
      <w:r w:rsidRPr="00606E98">
        <w:rPr>
          <w:rFonts w:ascii="Cambria" w:hAnsi="Cambria"/>
          <w:b/>
          <w:bCs/>
          <w:sz w:val="20"/>
          <w:szCs w:val="20"/>
          <w:lang w:val="es-ES"/>
        </w:rPr>
        <w:tab/>
        <w:t>TRÁMITE ANTE LA CIDH</w:t>
      </w:r>
      <w:r w:rsidR="008E3BFE" w:rsidRPr="00E772A3">
        <w:rPr>
          <w:rStyle w:val="FootnoteReference"/>
          <w:rFonts w:ascii="Cambria" w:hAnsi="Cambria"/>
          <w:b/>
          <w:sz w:val="20"/>
          <w:szCs w:val="20"/>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E772A3"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606E98" w:rsidRDefault="000C1C69" w:rsidP="004A6A54">
            <w:pPr>
              <w:jc w:val="center"/>
              <w:rPr>
                <w:rFonts w:ascii="Cambria" w:hAnsi="Cambria"/>
                <w:bCs/>
                <w:color w:val="FFFFFF" w:themeColor="background1"/>
                <w:sz w:val="20"/>
                <w:szCs w:val="20"/>
                <w:lang w:val="es-ES"/>
              </w:rPr>
            </w:pPr>
            <w:r w:rsidRPr="00606E98">
              <w:rPr>
                <w:rFonts w:ascii="Cambria" w:hAnsi="Cambria"/>
                <w:bCs/>
                <w:color w:val="FFFFFF" w:themeColor="background1"/>
                <w:sz w:val="20"/>
                <w:szCs w:val="20"/>
                <w:lang w:val="es-ES"/>
              </w:rPr>
              <w:t>Recepción</w:t>
            </w:r>
            <w:r w:rsidR="00D77503" w:rsidRPr="00606E98">
              <w:rPr>
                <w:rFonts w:ascii="Cambria" w:hAnsi="Cambria"/>
                <w:bCs/>
                <w:color w:val="FFFFFF" w:themeColor="background1"/>
                <w:sz w:val="20"/>
                <w:szCs w:val="20"/>
                <w:lang w:val="es-ES"/>
              </w:rPr>
              <w:t xml:space="preserve"> de la petición</w:t>
            </w:r>
          </w:p>
        </w:tc>
        <w:tc>
          <w:tcPr>
            <w:tcW w:w="6570" w:type="dxa"/>
            <w:vAlign w:val="center"/>
          </w:tcPr>
          <w:p w14:paraId="6E579153" w14:textId="3E1F27F7" w:rsidR="004C2312" w:rsidRPr="00606E98" w:rsidRDefault="00163C44" w:rsidP="00C96A3F">
            <w:pPr>
              <w:jc w:val="both"/>
              <w:rPr>
                <w:rFonts w:ascii="Cambria" w:hAnsi="Cambria"/>
                <w:bCs/>
                <w:sz w:val="20"/>
                <w:szCs w:val="20"/>
                <w:lang w:val="es-ES"/>
              </w:rPr>
            </w:pPr>
            <w:r w:rsidRPr="00606E98">
              <w:rPr>
                <w:rFonts w:ascii="Cambria" w:hAnsi="Cambria"/>
                <w:bCs/>
                <w:sz w:val="20"/>
                <w:szCs w:val="20"/>
                <w:lang w:val="es-ES"/>
              </w:rPr>
              <w:t>13 de abril de 2009</w:t>
            </w:r>
          </w:p>
        </w:tc>
      </w:tr>
      <w:tr w:rsidR="0050790C" w:rsidRPr="00E772A3" w14:paraId="3DCB897C" w14:textId="77777777" w:rsidTr="00954B82">
        <w:tc>
          <w:tcPr>
            <w:tcW w:w="2790" w:type="dxa"/>
            <w:tcBorders>
              <w:top w:val="single" w:sz="6" w:space="0" w:color="auto"/>
              <w:bottom w:val="single" w:sz="6" w:space="0" w:color="auto"/>
            </w:tcBorders>
            <w:shd w:val="clear" w:color="auto" w:fill="386294"/>
            <w:vAlign w:val="center"/>
          </w:tcPr>
          <w:p w14:paraId="3657FCBE" w14:textId="2B4A65F0" w:rsidR="0050790C" w:rsidRPr="00606E98" w:rsidRDefault="0050790C" w:rsidP="004A6A54">
            <w:pPr>
              <w:jc w:val="center"/>
              <w:rPr>
                <w:rFonts w:ascii="Cambria" w:hAnsi="Cambria"/>
                <w:bCs/>
                <w:color w:val="FFFFFF" w:themeColor="background1"/>
                <w:sz w:val="20"/>
                <w:szCs w:val="20"/>
                <w:lang w:val="es-ES"/>
              </w:rPr>
            </w:pPr>
            <w:r w:rsidRPr="00606E98">
              <w:rPr>
                <w:rFonts w:ascii="Cambria" w:hAnsi="Cambria"/>
                <w:bCs/>
                <w:color w:val="FFFFFF" w:themeColor="background1"/>
                <w:sz w:val="20"/>
                <w:szCs w:val="20"/>
                <w:lang w:val="es-ES"/>
              </w:rPr>
              <w:t>Información adicional recibida en la etapa de estudio</w:t>
            </w:r>
          </w:p>
        </w:tc>
        <w:tc>
          <w:tcPr>
            <w:tcW w:w="6570" w:type="dxa"/>
            <w:vAlign w:val="center"/>
          </w:tcPr>
          <w:p w14:paraId="6887D38C" w14:textId="50B1EFCB" w:rsidR="0050790C" w:rsidRPr="00606E98" w:rsidRDefault="00597D9F" w:rsidP="00C96A3F">
            <w:pPr>
              <w:jc w:val="both"/>
              <w:rPr>
                <w:rFonts w:ascii="Cambria" w:hAnsi="Cambria"/>
                <w:bCs/>
                <w:sz w:val="20"/>
                <w:szCs w:val="20"/>
              </w:rPr>
            </w:pPr>
            <w:r w:rsidRPr="00606E98">
              <w:rPr>
                <w:rFonts w:ascii="Cambria" w:hAnsi="Cambria"/>
                <w:bCs/>
                <w:sz w:val="20"/>
                <w:szCs w:val="20"/>
              </w:rPr>
              <w:t xml:space="preserve">16 de </w:t>
            </w:r>
            <w:proofErr w:type="spellStart"/>
            <w:r w:rsidRPr="00606E98">
              <w:rPr>
                <w:rFonts w:ascii="Cambria" w:hAnsi="Cambria"/>
                <w:bCs/>
                <w:sz w:val="20"/>
                <w:szCs w:val="20"/>
              </w:rPr>
              <w:t>octubre</w:t>
            </w:r>
            <w:proofErr w:type="spellEnd"/>
            <w:r w:rsidRPr="00606E98">
              <w:rPr>
                <w:rFonts w:ascii="Cambria" w:hAnsi="Cambria"/>
                <w:bCs/>
                <w:sz w:val="20"/>
                <w:szCs w:val="20"/>
              </w:rPr>
              <w:t xml:space="preserve"> de 2009</w:t>
            </w:r>
          </w:p>
        </w:tc>
      </w:tr>
      <w:tr w:rsidR="004C2312" w:rsidRPr="00E772A3"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606E98" w:rsidRDefault="004A6A54" w:rsidP="000C1C69">
            <w:pPr>
              <w:jc w:val="center"/>
              <w:rPr>
                <w:rFonts w:ascii="Cambria" w:hAnsi="Cambria"/>
                <w:bCs/>
                <w:color w:val="FFFFFF" w:themeColor="background1"/>
                <w:sz w:val="20"/>
                <w:szCs w:val="20"/>
                <w:lang w:val="es-ES"/>
              </w:rPr>
            </w:pPr>
            <w:r w:rsidRPr="00606E98">
              <w:rPr>
                <w:rFonts w:ascii="Cambria" w:hAnsi="Cambria"/>
                <w:color w:val="FFFFFF" w:themeColor="background1"/>
                <w:sz w:val="20"/>
                <w:szCs w:val="20"/>
                <w:lang w:val="es-ES"/>
              </w:rPr>
              <w:t>N</w:t>
            </w:r>
            <w:r w:rsidR="004C2312" w:rsidRPr="00606E98">
              <w:rPr>
                <w:rFonts w:ascii="Cambria" w:hAnsi="Cambria"/>
                <w:color w:val="FFFFFF" w:themeColor="background1"/>
                <w:sz w:val="20"/>
                <w:szCs w:val="20"/>
                <w:lang w:val="es-ES"/>
              </w:rPr>
              <w:t>otificación de la petición</w:t>
            </w:r>
          </w:p>
        </w:tc>
        <w:tc>
          <w:tcPr>
            <w:tcW w:w="6570" w:type="dxa"/>
            <w:vAlign w:val="center"/>
          </w:tcPr>
          <w:p w14:paraId="1519DA6A" w14:textId="754FA201" w:rsidR="004C2312" w:rsidRPr="00606E98" w:rsidRDefault="00CE5E70" w:rsidP="00C96A3F">
            <w:pPr>
              <w:jc w:val="both"/>
              <w:rPr>
                <w:rFonts w:ascii="Cambria" w:hAnsi="Cambria"/>
                <w:bCs/>
                <w:sz w:val="20"/>
                <w:szCs w:val="20"/>
                <w:lang w:val="es-ES"/>
              </w:rPr>
            </w:pPr>
            <w:r w:rsidRPr="00606E98">
              <w:rPr>
                <w:rFonts w:ascii="Cambria" w:hAnsi="Cambria"/>
                <w:bCs/>
                <w:sz w:val="20"/>
                <w:szCs w:val="20"/>
                <w:lang w:val="es-ES"/>
              </w:rPr>
              <w:t>15 de marzo de 2017</w:t>
            </w:r>
          </w:p>
        </w:tc>
      </w:tr>
      <w:tr w:rsidR="00F06354" w:rsidRPr="00E772A3"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606E98" w:rsidRDefault="00D77503" w:rsidP="00F06354">
            <w:pPr>
              <w:jc w:val="center"/>
              <w:rPr>
                <w:rFonts w:ascii="Cambria" w:hAnsi="Cambria"/>
                <w:bCs/>
                <w:color w:val="FFFFFF" w:themeColor="background1"/>
                <w:sz w:val="20"/>
                <w:szCs w:val="20"/>
                <w:lang w:val="es-ES"/>
              </w:rPr>
            </w:pPr>
            <w:r w:rsidRPr="00606E98">
              <w:rPr>
                <w:rFonts w:ascii="Cambria" w:hAnsi="Cambria"/>
                <w:color w:val="FFFFFF" w:themeColor="background1"/>
                <w:sz w:val="20"/>
                <w:szCs w:val="20"/>
                <w:lang w:val="es-ES"/>
              </w:rPr>
              <w:t>Primera respuesta del Estado</w:t>
            </w:r>
          </w:p>
        </w:tc>
        <w:tc>
          <w:tcPr>
            <w:tcW w:w="6570" w:type="dxa"/>
            <w:vAlign w:val="center"/>
          </w:tcPr>
          <w:p w14:paraId="1972B99E" w14:textId="3BFC3DA3" w:rsidR="00F06354" w:rsidRPr="00606E98" w:rsidRDefault="00CE5E70" w:rsidP="00F06354">
            <w:pPr>
              <w:jc w:val="both"/>
              <w:rPr>
                <w:rFonts w:ascii="Cambria" w:hAnsi="Cambria"/>
                <w:bCs/>
                <w:sz w:val="20"/>
                <w:szCs w:val="20"/>
                <w:lang w:val="es-ES"/>
              </w:rPr>
            </w:pPr>
            <w:r w:rsidRPr="00606E98">
              <w:rPr>
                <w:rFonts w:ascii="Cambria" w:hAnsi="Cambria"/>
                <w:bCs/>
                <w:sz w:val="20"/>
                <w:szCs w:val="20"/>
                <w:lang w:val="es-ES"/>
              </w:rPr>
              <w:t>20 de julio de 2017</w:t>
            </w:r>
          </w:p>
        </w:tc>
      </w:tr>
      <w:tr w:rsidR="00F06354" w:rsidRPr="00A85CF6"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606E98" w:rsidRDefault="00F06354" w:rsidP="00F06354">
            <w:pPr>
              <w:jc w:val="center"/>
              <w:rPr>
                <w:rFonts w:ascii="Cambria" w:hAnsi="Cambria"/>
                <w:bCs/>
                <w:color w:val="FFFFFF" w:themeColor="background1"/>
                <w:sz w:val="20"/>
                <w:szCs w:val="20"/>
                <w:lang w:val="es-ES"/>
              </w:rPr>
            </w:pPr>
            <w:r w:rsidRPr="00606E98">
              <w:rPr>
                <w:rFonts w:ascii="Cambria" w:hAnsi="Cambria"/>
                <w:bCs/>
                <w:color w:val="FFFFFF" w:themeColor="background1"/>
                <w:sz w:val="20"/>
                <w:szCs w:val="20"/>
                <w:lang w:val="es-ES"/>
              </w:rPr>
              <w:t>Observaciones adicionales de</w:t>
            </w:r>
            <w:r w:rsidR="00D77503" w:rsidRPr="00606E98">
              <w:rPr>
                <w:rFonts w:ascii="Cambria" w:hAnsi="Cambria"/>
                <w:bCs/>
                <w:color w:val="FFFFFF" w:themeColor="background1"/>
                <w:sz w:val="20"/>
                <w:szCs w:val="20"/>
                <w:lang w:val="es-ES"/>
              </w:rPr>
              <w:t xml:space="preserve"> la parte peticionaria</w:t>
            </w:r>
          </w:p>
        </w:tc>
        <w:tc>
          <w:tcPr>
            <w:tcW w:w="6570" w:type="dxa"/>
            <w:vAlign w:val="center"/>
          </w:tcPr>
          <w:p w14:paraId="41D8B862" w14:textId="2AEFDC18" w:rsidR="00F06354" w:rsidRPr="00606E98" w:rsidRDefault="00CE5E70" w:rsidP="0069376F">
            <w:pPr>
              <w:jc w:val="both"/>
              <w:rPr>
                <w:rFonts w:ascii="Cambria" w:hAnsi="Cambria"/>
                <w:bCs/>
                <w:sz w:val="20"/>
                <w:szCs w:val="20"/>
                <w:lang w:val="es-ES"/>
              </w:rPr>
            </w:pPr>
            <w:r w:rsidRPr="00606E98">
              <w:rPr>
                <w:rFonts w:ascii="Cambria" w:hAnsi="Cambria"/>
                <w:bCs/>
                <w:sz w:val="20"/>
                <w:szCs w:val="20"/>
                <w:lang w:val="es-ES"/>
              </w:rPr>
              <w:t>9 de agosto de 2017 y13 de febrero de 2018</w:t>
            </w:r>
          </w:p>
        </w:tc>
      </w:tr>
    </w:tbl>
    <w:p w14:paraId="21DAA666" w14:textId="5065046E" w:rsidR="003239B8" w:rsidRPr="00606E98" w:rsidRDefault="003239B8" w:rsidP="007C402A">
      <w:pPr>
        <w:spacing w:before="120" w:after="120"/>
        <w:ind w:firstLine="720"/>
        <w:jc w:val="both"/>
        <w:rPr>
          <w:rFonts w:ascii="Cambria" w:hAnsi="Cambria"/>
          <w:b/>
          <w:bCs/>
          <w:sz w:val="20"/>
          <w:szCs w:val="20"/>
          <w:lang w:val="es-ES"/>
        </w:rPr>
      </w:pPr>
      <w:r w:rsidRPr="00606E98">
        <w:rPr>
          <w:rFonts w:ascii="Cambria" w:hAnsi="Cambria"/>
          <w:b/>
          <w:bCs/>
          <w:sz w:val="20"/>
          <w:szCs w:val="20"/>
          <w:lang w:val="es-ES"/>
        </w:rPr>
        <w:t xml:space="preserve">III. </w:t>
      </w:r>
      <w:r w:rsidRPr="00606E98">
        <w:rPr>
          <w:rFonts w:ascii="Cambria" w:hAnsi="Cambria"/>
          <w:b/>
          <w:bCs/>
          <w:sz w:val="20"/>
          <w:szCs w:val="20"/>
          <w:lang w:val="es-ES"/>
        </w:rPr>
        <w:tab/>
        <w:t>COMPETENCIA</w:t>
      </w:r>
      <w:r w:rsidR="00EE00E9" w:rsidRPr="00606E98">
        <w:rPr>
          <w:rFonts w:ascii="Cambria" w:hAnsi="Cambria"/>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E772A3"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606E98" w:rsidRDefault="00D77503" w:rsidP="00C96A3F">
            <w:pPr>
              <w:jc w:val="center"/>
              <w:rPr>
                <w:rFonts w:ascii="Cambria" w:hAnsi="Cambria"/>
                <w:bCs/>
                <w:i/>
                <w:color w:val="FFFFFF" w:themeColor="background1"/>
                <w:sz w:val="20"/>
                <w:szCs w:val="20"/>
                <w:lang w:val="es-ES"/>
              </w:rPr>
            </w:pPr>
            <w:proofErr w:type="spellStart"/>
            <w:r w:rsidRPr="00606E98">
              <w:rPr>
                <w:rFonts w:ascii="Cambria" w:hAnsi="Cambria"/>
                <w:bCs/>
                <w:i/>
                <w:color w:val="FFFFFF" w:themeColor="background1"/>
                <w:sz w:val="20"/>
                <w:szCs w:val="20"/>
                <w:lang w:val="es-ES"/>
              </w:rPr>
              <w:t>Ratione</w:t>
            </w:r>
            <w:proofErr w:type="spellEnd"/>
            <w:r w:rsidRPr="00606E98">
              <w:rPr>
                <w:rFonts w:ascii="Cambria" w:hAnsi="Cambria"/>
                <w:bCs/>
                <w:i/>
                <w:color w:val="FFFFFF" w:themeColor="background1"/>
                <w:sz w:val="20"/>
                <w:szCs w:val="20"/>
                <w:lang w:val="es-ES"/>
              </w:rPr>
              <w:t xml:space="preserve"> </w:t>
            </w:r>
            <w:proofErr w:type="spellStart"/>
            <w:r w:rsidRPr="00606E98">
              <w:rPr>
                <w:rFonts w:ascii="Cambria" w:hAnsi="Cambria"/>
                <w:bCs/>
                <w:i/>
                <w:color w:val="FFFFFF" w:themeColor="background1"/>
                <w:sz w:val="20"/>
                <w:szCs w:val="20"/>
                <w:lang w:val="es-ES"/>
              </w:rPr>
              <w:t>personae</w:t>
            </w:r>
            <w:proofErr w:type="spellEnd"/>
          </w:p>
        </w:tc>
        <w:tc>
          <w:tcPr>
            <w:tcW w:w="6570" w:type="dxa"/>
            <w:vAlign w:val="center"/>
          </w:tcPr>
          <w:p w14:paraId="7707F3E9" w14:textId="5FE365AB" w:rsidR="003239B8" w:rsidRPr="00606E98" w:rsidRDefault="00A74C09" w:rsidP="00C96A3F">
            <w:pPr>
              <w:rPr>
                <w:rFonts w:ascii="Cambria" w:hAnsi="Cambria"/>
                <w:bCs/>
                <w:sz w:val="20"/>
                <w:szCs w:val="20"/>
                <w:lang w:val="es-ES"/>
              </w:rPr>
            </w:pPr>
            <w:r w:rsidRPr="00606E98">
              <w:rPr>
                <w:rFonts w:ascii="Cambria" w:hAnsi="Cambria"/>
                <w:bCs/>
                <w:sz w:val="20"/>
                <w:szCs w:val="20"/>
                <w:lang w:val="es-ES"/>
              </w:rPr>
              <w:t>Sí</w:t>
            </w:r>
          </w:p>
        </w:tc>
      </w:tr>
      <w:tr w:rsidR="003239B8" w:rsidRPr="00E772A3"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606E98" w:rsidRDefault="003239B8" w:rsidP="00D77503">
            <w:pPr>
              <w:jc w:val="center"/>
              <w:rPr>
                <w:rFonts w:ascii="Cambria" w:hAnsi="Cambria"/>
                <w:bCs/>
                <w:color w:val="FFFFFF" w:themeColor="background1"/>
                <w:sz w:val="20"/>
                <w:szCs w:val="20"/>
                <w:lang w:val="es-ES"/>
              </w:rPr>
            </w:pPr>
            <w:proofErr w:type="spellStart"/>
            <w:r w:rsidRPr="00606E98">
              <w:rPr>
                <w:rFonts w:ascii="Cambria" w:hAnsi="Cambria"/>
                <w:bCs/>
                <w:i/>
                <w:color w:val="FFFFFF" w:themeColor="background1"/>
                <w:sz w:val="20"/>
                <w:szCs w:val="20"/>
                <w:lang w:val="es-ES"/>
              </w:rPr>
              <w:t>Ratione</w:t>
            </w:r>
            <w:proofErr w:type="spellEnd"/>
            <w:r w:rsidRPr="00606E98">
              <w:rPr>
                <w:rFonts w:ascii="Cambria" w:hAnsi="Cambria"/>
                <w:bCs/>
                <w:i/>
                <w:color w:val="FFFFFF" w:themeColor="background1"/>
                <w:sz w:val="20"/>
                <w:szCs w:val="20"/>
                <w:lang w:val="es-ES"/>
              </w:rPr>
              <w:t xml:space="preserve"> </w:t>
            </w:r>
            <w:proofErr w:type="spellStart"/>
            <w:r w:rsidRPr="00606E98">
              <w:rPr>
                <w:rFonts w:ascii="Cambria" w:hAnsi="Cambria"/>
                <w:bCs/>
                <w:i/>
                <w:color w:val="FFFFFF" w:themeColor="background1"/>
                <w:sz w:val="20"/>
                <w:szCs w:val="20"/>
                <w:lang w:val="es-ES"/>
              </w:rPr>
              <w:t>loci</w:t>
            </w:r>
            <w:proofErr w:type="spellEnd"/>
          </w:p>
        </w:tc>
        <w:tc>
          <w:tcPr>
            <w:tcW w:w="6570" w:type="dxa"/>
            <w:vAlign w:val="center"/>
          </w:tcPr>
          <w:p w14:paraId="12C931CB" w14:textId="3764ACB3" w:rsidR="003239B8" w:rsidRPr="00606E98" w:rsidRDefault="00A74C09" w:rsidP="00C96A3F">
            <w:pPr>
              <w:rPr>
                <w:rFonts w:ascii="Cambria" w:hAnsi="Cambria"/>
                <w:bCs/>
                <w:sz w:val="20"/>
                <w:szCs w:val="20"/>
                <w:lang w:val="es-ES"/>
              </w:rPr>
            </w:pPr>
            <w:r w:rsidRPr="00606E98">
              <w:rPr>
                <w:rFonts w:ascii="Cambria" w:hAnsi="Cambria"/>
                <w:bCs/>
                <w:sz w:val="20"/>
                <w:szCs w:val="20"/>
                <w:lang w:val="es-ES"/>
              </w:rPr>
              <w:t>Sí</w:t>
            </w:r>
          </w:p>
        </w:tc>
      </w:tr>
      <w:tr w:rsidR="003239B8" w:rsidRPr="00E772A3"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606E98" w:rsidRDefault="003239B8" w:rsidP="00C96A3F">
            <w:pPr>
              <w:jc w:val="center"/>
              <w:rPr>
                <w:rFonts w:ascii="Cambria" w:hAnsi="Cambria"/>
                <w:bCs/>
                <w:color w:val="FFFFFF" w:themeColor="background1"/>
                <w:sz w:val="20"/>
                <w:szCs w:val="20"/>
                <w:lang w:val="es-ES"/>
              </w:rPr>
            </w:pPr>
            <w:proofErr w:type="spellStart"/>
            <w:r w:rsidRPr="00606E98">
              <w:rPr>
                <w:rFonts w:ascii="Cambria" w:hAnsi="Cambria"/>
                <w:bCs/>
                <w:i/>
                <w:color w:val="FFFFFF" w:themeColor="background1"/>
                <w:sz w:val="20"/>
                <w:szCs w:val="20"/>
                <w:lang w:val="es-ES"/>
              </w:rPr>
              <w:t>Ratione</w:t>
            </w:r>
            <w:proofErr w:type="spellEnd"/>
            <w:r w:rsidRPr="00606E98">
              <w:rPr>
                <w:rFonts w:ascii="Cambria" w:hAnsi="Cambria"/>
                <w:bCs/>
                <w:i/>
                <w:color w:val="FFFFFF" w:themeColor="background1"/>
                <w:sz w:val="20"/>
                <w:szCs w:val="20"/>
                <w:lang w:val="es-ES"/>
              </w:rPr>
              <w:t xml:space="preserve"> </w:t>
            </w:r>
            <w:proofErr w:type="spellStart"/>
            <w:r w:rsidRPr="00606E98">
              <w:rPr>
                <w:rFonts w:ascii="Cambria" w:hAnsi="Cambria"/>
                <w:bCs/>
                <w:i/>
                <w:color w:val="FFFFFF" w:themeColor="background1"/>
                <w:sz w:val="20"/>
                <w:szCs w:val="20"/>
                <w:lang w:val="es-ES"/>
              </w:rPr>
              <w:t>temporis</w:t>
            </w:r>
            <w:proofErr w:type="spellEnd"/>
          </w:p>
        </w:tc>
        <w:tc>
          <w:tcPr>
            <w:tcW w:w="6570" w:type="dxa"/>
            <w:vAlign w:val="center"/>
          </w:tcPr>
          <w:p w14:paraId="6F8B059B" w14:textId="00044B63" w:rsidR="003239B8" w:rsidRPr="00606E98" w:rsidRDefault="00A74C09" w:rsidP="00C96A3F">
            <w:pPr>
              <w:rPr>
                <w:rFonts w:ascii="Cambria" w:hAnsi="Cambria"/>
                <w:bCs/>
                <w:sz w:val="20"/>
                <w:szCs w:val="20"/>
                <w:lang w:val="es-ES"/>
              </w:rPr>
            </w:pPr>
            <w:r w:rsidRPr="00606E98">
              <w:rPr>
                <w:rFonts w:ascii="Cambria" w:hAnsi="Cambria"/>
                <w:bCs/>
                <w:sz w:val="20"/>
                <w:szCs w:val="20"/>
                <w:lang w:val="es-ES"/>
              </w:rPr>
              <w:t>Sí</w:t>
            </w:r>
          </w:p>
        </w:tc>
      </w:tr>
      <w:tr w:rsidR="003239B8" w:rsidRPr="00A85CF6"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606E98" w:rsidRDefault="003239B8" w:rsidP="00C96A3F">
            <w:pPr>
              <w:jc w:val="center"/>
              <w:rPr>
                <w:rFonts w:ascii="Cambria" w:hAnsi="Cambria"/>
                <w:bCs/>
                <w:color w:val="FFFFFF" w:themeColor="background1"/>
                <w:sz w:val="20"/>
                <w:szCs w:val="20"/>
                <w:lang w:val="es-ES"/>
              </w:rPr>
            </w:pPr>
            <w:proofErr w:type="spellStart"/>
            <w:r w:rsidRPr="00606E98">
              <w:rPr>
                <w:rFonts w:ascii="Cambria" w:hAnsi="Cambria"/>
                <w:bCs/>
                <w:i/>
                <w:color w:val="FFFFFF" w:themeColor="background1"/>
                <w:sz w:val="20"/>
                <w:szCs w:val="20"/>
                <w:lang w:val="es-ES"/>
              </w:rPr>
              <w:t>Ratione</w:t>
            </w:r>
            <w:proofErr w:type="spellEnd"/>
            <w:r w:rsidRPr="00606E98">
              <w:rPr>
                <w:rFonts w:ascii="Cambria" w:hAnsi="Cambria"/>
                <w:bCs/>
                <w:i/>
                <w:color w:val="FFFFFF" w:themeColor="background1"/>
                <w:sz w:val="20"/>
                <w:szCs w:val="20"/>
                <w:lang w:val="es-ES"/>
              </w:rPr>
              <w:t xml:space="preserve"> </w:t>
            </w:r>
            <w:proofErr w:type="spellStart"/>
            <w:r w:rsidRPr="00606E98">
              <w:rPr>
                <w:rFonts w:ascii="Cambria" w:hAnsi="Cambria"/>
                <w:bCs/>
                <w:i/>
                <w:color w:val="FFFFFF" w:themeColor="background1"/>
                <w:sz w:val="20"/>
                <w:szCs w:val="20"/>
                <w:lang w:val="es-ES"/>
              </w:rPr>
              <w:t>materia</w:t>
            </w:r>
            <w:r w:rsidR="00EE00E9" w:rsidRPr="00606E98">
              <w:rPr>
                <w:rFonts w:ascii="Cambria" w:hAnsi="Cambria"/>
                <w:bCs/>
                <w:i/>
                <w:color w:val="FFFFFF" w:themeColor="background1"/>
                <w:sz w:val="20"/>
                <w:szCs w:val="20"/>
                <w:lang w:val="es-ES"/>
              </w:rPr>
              <w:t>e</w:t>
            </w:r>
            <w:proofErr w:type="spellEnd"/>
          </w:p>
        </w:tc>
        <w:tc>
          <w:tcPr>
            <w:tcW w:w="6570" w:type="dxa"/>
            <w:vAlign w:val="center"/>
          </w:tcPr>
          <w:p w14:paraId="0C122F44" w14:textId="6A138D1C" w:rsidR="003239B8" w:rsidRPr="00606E98" w:rsidRDefault="00A74C09" w:rsidP="00C96A3F">
            <w:pPr>
              <w:jc w:val="both"/>
              <w:rPr>
                <w:rFonts w:ascii="Cambria" w:hAnsi="Cambria"/>
                <w:bCs/>
                <w:sz w:val="20"/>
                <w:szCs w:val="20"/>
                <w:lang w:val="es-ES"/>
              </w:rPr>
            </w:pPr>
            <w:r w:rsidRPr="00E772A3">
              <w:rPr>
                <w:rFonts w:ascii="Cambria" w:hAnsi="Cambria"/>
                <w:bCs/>
                <w:sz w:val="20"/>
                <w:szCs w:val="20"/>
                <w:lang w:val="es-ES"/>
              </w:rPr>
              <w:t>Sí, Convención Americana (depósito del instrumento de ratificación realizado el 24 de marzo de 1981)</w:t>
            </w:r>
          </w:p>
        </w:tc>
      </w:tr>
    </w:tbl>
    <w:p w14:paraId="4E92C444" w14:textId="221A83AC" w:rsidR="003239B8" w:rsidRPr="00606E98" w:rsidRDefault="003239B8" w:rsidP="007C402A">
      <w:pPr>
        <w:spacing w:before="120" w:after="120"/>
        <w:ind w:firstLine="720"/>
        <w:jc w:val="both"/>
        <w:rPr>
          <w:rFonts w:ascii="Cambria" w:hAnsi="Cambria"/>
          <w:b/>
          <w:bCs/>
          <w:sz w:val="20"/>
          <w:szCs w:val="20"/>
          <w:lang w:val="es-ES"/>
        </w:rPr>
      </w:pPr>
      <w:r w:rsidRPr="00606E98">
        <w:rPr>
          <w:rFonts w:ascii="Cambria" w:hAnsi="Cambria"/>
          <w:b/>
          <w:bCs/>
          <w:sz w:val="20"/>
          <w:szCs w:val="20"/>
          <w:lang w:val="es-ES"/>
        </w:rPr>
        <w:t xml:space="preserve">IV. </w:t>
      </w:r>
      <w:r w:rsidRPr="00606E98">
        <w:rPr>
          <w:rFonts w:ascii="Cambria" w:hAnsi="Cambria"/>
          <w:b/>
          <w:bCs/>
          <w:sz w:val="20"/>
          <w:szCs w:val="20"/>
          <w:lang w:val="es-ES"/>
        </w:rPr>
        <w:tab/>
      </w:r>
      <w:r w:rsidR="00EE00E9" w:rsidRPr="00606E98">
        <w:rPr>
          <w:rFonts w:ascii="Cambria" w:hAnsi="Cambria"/>
          <w:b/>
          <w:bCs/>
          <w:sz w:val="20"/>
          <w:szCs w:val="20"/>
          <w:lang w:val="es-ES"/>
        </w:rPr>
        <w:t>DUPLICACIÓN</w:t>
      </w:r>
      <w:r w:rsidR="00EE00E9" w:rsidRPr="00606E98">
        <w:rPr>
          <w:rFonts w:ascii="Cambria" w:hAnsi="Cambria"/>
          <w:b/>
          <w:bCs/>
          <w:color w:val="FFFFFF" w:themeColor="background1"/>
          <w:sz w:val="20"/>
          <w:szCs w:val="20"/>
          <w:lang w:val="es-ES"/>
        </w:rPr>
        <w:t xml:space="preserve"> </w:t>
      </w:r>
      <w:r w:rsidR="00EE00E9" w:rsidRPr="00606E98">
        <w:rPr>
          <w:rFonts w:ascii="Cambria" w:hAnsi="Cambria"/>
          <w:b/>
          <w:bCs/>
          <w:sz w:val="20"/>
          <w:szCs w:val="20"/>
          <w:lang w:val="es-ES"/>
        </w:rPr>
        <w:t>DE PROCEDIMIENTOS Y COSA JUZGADA</w:t>
      </w:r>
      <w:r w:rsidR="00EE00E9" w:rsidRPr="00606E98">
        <w:rPr>
          <w:rFonts w:ascii="Cambria" w:hAnsi="Cambria"/>
          <w:b/>
          <w:bCs/>
          <w:i/>
          <w:sz w:val="20"/>
          <w:szCs w:val="20"/>
          <w:lang w:val="es-ES"/>
        </w:rPr>
        <w:t xml:space="preserve"> </w:t>
      </w:r>
      <w:r w:rsidR="003518BD" w:rsidRPr="00606E98">
        <w:rPr>
          <w:rFonts w:ascii="Cambria" w:hAnsi="Cambria"/>
          <w:b/>
          <w:bCs/>
          <w:sz w:val="20"/>
          <w:szCs w:val="20"/>
          <w:lang w:val="es-ES"/>
        </w:rPr>
        <w:t>INTERNACIONAL, CARACTERIZACIÓN</w:t>
      </w:r>
      <w:r w:rsidRPr="00606E98">
        <w:rPr>
          <w:rFonts w:ascii="Cambria" w:hAnsi="Cambria"/>
          <w:b/>
          <w:bCs/>
          <w:sz w:val="20"/>
          <w:szCs w:val="20"/>
          <w:lang w:val="es-ES"/>
        </w:rPr>
        <w:t xml:space="preserve">, </w:t>
      </w:r>
      <w:r w:rsidRPr="00606E98">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5"/>
        <w:gridCol w:w="6477"/>
      </w:tblGrid>
      <w:tr w:rsidR="00EE00E9" w:rsidRPr="00E772A3"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606E98" w:rsidRDefault="00EE00E9" w:rsidP="00954B82">
            <w:pPr>
              <w:jc w:val="center"/>
              <w:rPr>
                <w:rFonts w:ascii="Cambria" w:hAnsi="Cambria"/>
                <w:bCs/>
                <w:color w:val="FFFFFF" w:themeColor="background1"/>
                <w:sz w:val="20"/>
                <w:szCs w:val="20"/>
                <w:lang w:val="es-ES"/>
              </w:rPr>
            </w:pPr>
            <w:r w:rsidRPr="00606E98">
              <w:rPr>
                <w:rFonts w:ascii="Cambria" w:hAnsi="Cambria"/>
                <w:bCs/>
                <w:color w:val="FFFFFF" w:themeColor="background1"/>
                <w:sz w:val="20"/>
                <w:szCs w:val="20"/>
                <w:lang w:val="es-ES"/>
              </w:rPr>
              <w:t xml:space="preserve">Duplicación </w:t>
            </w:r>
            <w:r w:rsidR="00D77503" w:rsidRPr="00606E98">
              <w:rPr>
                <w:rFonts w:ascii="Cambria" w:hAnsi="Cambria"/>
                <w:bCs/>
                <w:color w:val="FFFFFF" w:themeColor="background1"/>
                <w:sz w:val="20"/>
                <w:szCs w:val="20"/>
                <w:lang w:val="es-ES"/>
              </w:rPr>
              <w:t>y cosa juzgada internacional</w:t>
            </w:r>
          </w:p>
        </w:tc>
        <w:tc>
          <w:tcPr>
            <w:tcW w:w="6570" w:type="dxa"/>
            <w:vAlign w:val="center"/>
          </w:tcPr>
          <w:p w14:paraId="240941E6" w14:textId="0B196BFA" w:rsidR="00EE00E9" w:rsidRPr="00606E98" w:rsidRDefault="00A74C09" w:rsidP="00C96A3F">
            <w:pPr>
              <w:jc w:val="both"/>
              <w:rPr>
                <w:rFonts w:ascii="Cambria" w:hAnsi="Cambria"/>
                <w:bCs/>
                <w:sz w:val="20"/>
                <w:szCs w:val="20"/>
                <w:lang w:val="es-ES"/>
              </w:rPr>
            </w:pPr>
            <w:r w:rsidRPr="00606E98">
              <w:rPr>
                <w:rFonts w:ascii="Cambria" w:hAnsi="Cambria"/>
                <w:bCs/>
                <w:sz w:val="20"/>
                <w:szCs w:val="20"/>
                <w:lang w:val="es-ES"/>
              </w:rPr>
              <w:t>No</w:t>
            </w:r>
          </w:p>
        </w:tc>
      </w:tr>
      <w:tr w:rsidR="003239B8" w:rsidRPr="00A85CF6"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606E98" w:rsidRDefault="003239B8" w:rsidP="00954B82">
            <w:pPr>
              <w:jc w:val="center"/>
              <w:rPr>
                <w:rFonts w:ascii="Cambria" w:hAnsi="Cambria"/>
                <w:bCs/>
                <w:i/>
                <w:color w:val="FFFFFF" w:themeColor="background1"/>
                <w:sz w:val="20"/>
                <w:szCs w:val="20"/>
                <w:lang w:val="es-ES"/>
              </w:rPr>
            </w:pPr>
            <w:r w:rsidRPr="00606E98">
              <w:rPr>
                <w:rFonts w:ascii="Cambria" w:hAnsi="Cambria"/>
                <w:bCs/>
                <w:color w:val="FFFFFF" w:themeColor="background1"/>
                <w:sz w:val="20"/>
                <w:szCs w:val="20"/>
                <w:lang w:val="es-ES"/>
              </w:rPr>
              <w:t>Derechos admi</w:t>
            </w:r>
            <w:r w:rsidR="00954B82" w:rsidRPr="00606E98">
              <w:rPr>
                <w:rFonts w:ascii="Cambria" w:hAnsi="Cambria"/>
                <w:bCs/>
                <w:color w:val="FFFFFF" w:themeColor="background1"/>
                <w:sz w:val="20"/>
                <w:szCs w:val="20"/>
                <w:lang w:val="es-ES"/>
              </w:rPr>
              <w:t>tidos</w:t>
            </w:r>
          </w:p>
        </w:tc>
        <w:tc>
          <w:tcPr>
            <w:tcW w:w="6570" w:type="dxa"/>
            <w:vAlign w:val="center"/>
          </w:tcPr>
          <w:p w14:paraId="6310C8F7" w14:textId="6E3A2B08" w:rsidR="003239B8" w:rsidRPr="00606E98" w:rsidRDefault="00A74C09">
            <w:pPr>
              <w:jc w:val="both"/>
              <w:rPr>
                <w:rFonts w:ascii="Cambria" w:hAnsi="Cambria"/>
                <w:bCs/>
                <w:sz w:val="20"/>
                <w:szCs w:val="20"/>
                <w:lang w:val="es-PA"/>
              </w:rPr>
            </w:pPr>
            <w:r w:rsidRPr="00606E98">
              <w:rPr>
                <w:rFonts w:ascii="Cambria" w:hAnsi="Cambria"/>
                <w:bCs/>
                <w:sz w:val="20"/>
                <w:szCs w:val="20"/>
                <w:lang w:val="es-ES"/>
              </w:rPr>
              <w:t>Art</w:t>
            </w:r>
            <w:r w:rsidR="004A6875" w:rsidRPr="00606E98">
              <w:rPr>
                <w:rFonts w:ascii="Cambria" w:hAnsi="Cambria"/>
                <w:bCs/>
                <w:sz w:val="20"/>
                <w:szCs w:val="20"/>
                <w:lang w:val="es-ES"/>
              </w:rPr>
              <w:t xml:space="preserve">ículos 8 (garantías judiciales) y 25 (protección judicial) </w:t>
            </w:r>
            <w:r w:rsidR="00FF3503" w:rsidRPr="00606E98">
              <w:rPr>
                <w:rFonts w:ascii="Cambria" w:hAnsi="Cambria"/>
                <w:bCs/>
                <w:sz w:val="20"/>
                <w:szCs w:val="20"/>
                <w:lang w:val="es-PA"/>
              </w:rPr>
              <w:t xml:space="preserve"> de la Convención Americana </w:t>
            </w:r>
            <w:r w:rsidR="003518BD" w:rsidRPr="00606E98">
              <w:rPr>
                <w:rFonts w:ascii="Cambria" w:hAnsi="Cambria"/>
                <w:bCs/>
                <w:sz w:val="20"/>
                <w:szCs w:val="20"/>
                <w:lang w:val="es-PA"/>
              </w:rPr>
              <w:t>s</w:t>
            </w:r>
            <w:r w:rsidR="00FF3503" w:rsidRPr="00606E98">
              <w:rPr>
                <w:rFonts w:ascii="Cambria" w:hAnsi="Cambria"/>
                <w:bCs/>
                <w:sz w:val="20"/>
                <w:szCs w:val="20"/>
                <w:lang w:val="es-PA"/>
              </w:rPr>
              <w:t>obre Derechos Humanos</w:t>
            </w:r>
            <w:r w:rsidR="00FF3503" w:rsidRPr="00606E98">
              <w:rPr>
                <w:rStyle w:val="FootnoteReference"/>
                <w:rFonts w:ascii="Cambria" w:hAnsi="Cambria"/>
                <w:bCs/>
                <w:sz w:val="20"/>
                <w:szCs w:val="20"/>
                <w:lang w:val="es-PA"/>
              </w:rPr>
              <w:footnoteReference w:id="4"/>
            </w:r>
            <w:r w:rsidR="00FF3503" w:rsidRPr="00606E98">
              <w:rPr>
                <w:rFonts w:ascii="Cambria" w:hAnsi="Cambria"/>
                <w:bCs/>
                <w:sz w:val="20"/>
                <w:szCs w:val="20"/>
                <w:lang w:val="es-PA"/>
              </w:rPr>
              <w:t xml:space="preserve"> en relación con sus artículos 1.1. (obligación de respetar los derechos) y 26 (derechos económicos sociales y culturales)</w:t>
            </w:r>
          </w:p>
        </w:tc>
      </w:tr>
      <w:tr w:rsidR="003239B8" w:rsidRPr="00E772A3"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606E98" w:rsidRDefault="003239B8" w:rsidP="00D77503">
            <w:pPr>
              <w:jc w:val="center"/>
              <w:rPr>
                <w:rFonts w:ascii="Cambria" w:hAnsi="Cambria"/>
                <w:bCs/>
                <w:color w:val="FFFFFF" w:themeColor="background1"/>
                <w:sz w:val="20"/>
                <w:szCs w:val="20"/>
                <w:lang w:val="es-ES"/>
              </w:rPr>
            </w:pPr>
            <w:r w:rsidRPr="00606E98">
              <w:rPr>
                <w:rFonts w:ascii="Cambria" w:hAnsi="Cambria"/>
                <w:bCs/>
                <w:color w:val="FFFFFF" w:themeColor="background1"/>
                <w:sz w:val="20"/>
                <w:szCs w:val="20"/>
                <w:lang w:val="es-ES"/>
              </w:rPr>
              <w:t xml:space="preserve">Agotamiento de recursos </w:t>
            </w:r>
            <w:r w:rsidR="00D77503" w:rsidRPr="00606E98">
              <w:rPr>
                <w:rFonts w:ascii="Cambria" w:hAnsi="Cambria"/>
                <w:bCs/>
                <w:color w:val="FFFFFF" w:themeColor="background1"/>
                <w:sz w:val="20"/>
                <w:szCs w:val="20"/>
                <w:lang w:val="es-ES"/>
              </w:rPr>
              <w:t>o procedencia de una excepción</w:t>
            </w:r>
          </w:p>
        </w:tc>
        <w:tc>
          <w:tcPr>
            <w:tcW w:w="6570" w:type="dxa"/>
            <w:vAlign w:val="center"/>
          </w:tcPr>
          <w:p w14:paraId="69C53E8A" w14:textId="7E31567D" w:rsidR="003239B8" w:rsidRPr="00606E98" w:rsidRDefault="00FF3503" w:rsidP="00BB3FBD">
            <w:pPr>
              <w:rPr>
                <w:rFonts w:ascii="Cambria" w:hAnsi="Cambria"/>
                <w:bCs/>
                <w:sz w:val="20"/>
                <w:szCs w:val="20"/>
                <w:lang w:val="es-ES"/>
              </w:rPr>
            </w:pPr>
            <w:r w:rsidRPr="00606E98">
              <w:rPr>
                <w:rFonts w:ascii="Cambria" w:hAnsi="Cambria"/>
                <w:bCs/>
                <w:sz w:val="20"/>
                <w:szCs w:val="20"/>
                <w:lang w:val="es-ES"/>
              </w:rPr>
              <w:t xml:space="preserve">Sí, </w:t>
            </w:r>
            <w:r w:rsidR="00452B47" w:rsidRPr="00606E98">
              <w:rPr>
                <w:rFonts w:ascii="Cambria" w:hAnsi="Cambria"/>
                <w:bCs/>
                <w:sz w:val="20"/>
                <w:szCs w:val="20"/>
                <w:lang w:val="es-ES"/>
              </w:rPr>
              <w:t>11 de marzo de 2010</w:t>
            </w:r>
          </w:p>
        </w:tc>
      </w:tr>
      <w:tr w:rsidR="003239B8" w:rsidRPr="00E772A3"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606E98" w:rsidRDefault="00D77503" w:rsidP="00C96A3F">
            <w:pPr>
              <w:jc w:val="center"/>
              <w:rPr>
                <w:rFonts w:ascii="Cambria" w:hAnsi="Cambria"/>
                <w:bCs/>
                <w:color w:val="FFFFFF" w:themeColor="background1"/>
                <w:sz w:val="20"/>
                <w:szCs w:val="20"/>
                <w:lang w:val="es-ES"/>
              </w:rPr>
            </w:pPr>
            <w:r w:rsidRPr="00606E98">
              <w:rPr>
                <w:rFonts w:ascii="Cambria" w:hAnsi="Cambria"/>
                <w:bCs/>
                <w:color w:val="FFFFFF" w:themeColor="background1"/>
                <w:sz w:val="20"/>
                <w:szCs w:val="20"/>
                <w:lang w:val="es-ES"/>
              </w:rPr>
              <w:t>Presentación dentro de plazo</w:t>
            </w:r>
          </w:p>
        </w:tc>
        <w:tc>
          <w:tcPr>
            <w:tcW w:w="6570" w:type="dxa"/>
            <w:vAlign w:val="center"/>
          </w:tcPr>
          <w:p w14:paraId="4A2A4569" w14:textId="7EBC7E81" w:rsidR="003239B8" w:rsidRPr="00606E98" w:rsidRDefault="00452B47" w:rsidP="00C96A3F">
            <w:pPr>
              <w:rPr>
                <w:rFonts w:ascii="Cambria" w:hAnsi="Cambria"/>
                <w:bCs/>
                <w:sz w:val="20"/>
                <w:szCs w:val="20"/>
                <w:lang w:val="es-ES"/>
              </w:rPr>
            </w:pPr>
            <w:r w:rsidRPr="00606E98">
              <w:rPr>
                <w:rFonts w:ascii="Cambria" w:hAnsi="Cambria"/>
                <w:bCs/>
                <w:sz w:val="20"/>
                <w:szCs w:val="20"/>
                <w:lang w:val="es-ES"/>
              </w:rPr>
              <w:t xml:space="preserve">Sí, </w:t>
            </w:r>
            <w:r w:rsidRPr="00606E98">
              <w:rPr>
                <w:rFonts w:ascii="Cambria" w:hAnsi="Cambria"/>
                <w:bCs/>
                <w:sz w:val="20"/>
                <w:szCs w:val="20"/>
              </w:rPr>
              <w:t xml:space="preserve">16 de </w:t>
            </w:r>
            <w:proofErr w:type="spellStart"/>
            <w:r w:rsidRPr="00606E98">
              <w:rPr>
                <w:rFonts w:ascii="Cambria" w:hAnsi="Cambria"/>
                <w:bCs/>
                <w:sz w:val="20"/>
                <w:szCs w:val="20"/>
              </w:rPr>
              <w:t>octubre</w:t>
            </w:r>
            <w:proofErr w:type="spellEnd"/>
            <w:r w:rsidRPr="00606E98">
              <w:rPr>
                <w:rFonts w:ascii="Cambria" w:hAnsi="Cambria"/>
                <w:bCs/>
                <w:sz w:val="20"/>
                <w:szCs w:val="20"/>
              </w:rPr>
              <w:t xml:space="preserve"> de 2009</w:t>
            </w:r>
          </w:p>
        </w:tc>
      </w:tr>
    </w:tbl>
    <w:p w14:paraId="18E6423B" w14:textId="5FDE25B0" w:rsidR="003239B8" w:rsidRPr="00606E98" w:rsidRDefault="00223A29" w:rsidP="00647756">
      <w:pPr>
        <w:spacing w:before="120" w:after="120"/>
        <w:ind w:firstLine="720"/>
        <w:jc w:val="both"/>
        <w:rPr>
          <w:rFonts w:ascii="Cambria" w:hAnsi="Cambria"/>
          <w:b/>
          <w:sz w:val="20"/>
          <w:szCs w:val="20"/>
          <w:lang w:val="es-ES"/>
        </w:rPr>
      </w:pPr>
      <w:r w:rsidRPr="00606E98">
        <w:rPr>
          <w:rFonts w:ascii="Cambria" w:hAnsi="Cambria"/>
          <w:b/>
          <w:sz w:val="20"/>
          <w:szCs w:val="20"/>
          <w:lang w:val="es-ES"/>
        </w:rPr>
        <w:t xml:space="preserve">V. </w:t>
      </w:r>
      <w:r w:rsidRPr="00606E98">
        <w:rPr>
          <w:rFonts w:ascii="Cambria" w:hAnsi="Cambria"/>
          <w:b/>
          <w:sz w:val="20"/>
          <w:szCs w:val="20"/>
          <w:lang w:val="es-ES"/>
        </w:rPr>
        <w:tab/>
      </w:r>
      <w:r w:rsidR="0034224A" w:rsidRPr="00606E98">
        <w:rPr>
          <w:rFonts w:ascii="Cambria" w:hAnsi="Cambria"/>
          <w:b/>
          <w:sz w:val="20"/>
          <w:szCs w:val="20"/>
          <w:lang w:val="es-ES"/>
        </w:rPr>
        <w:t>RESUMEN DE LOS HECHOS ALEGADOS</w:t>
      </w:r>
    </w:p>
    <w:p w14:paraId="0D32F936" w14:textId="5B8CCC3D" w:rsidR="004C616A" w:rsidRPr="00E772A3" w:rsidRDefault="00452B47" w:rsidP="006477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772A3">
        <w:rPr>
          <w:rFonts w:ascii="Cambria" w:hAnsi="Cambria"/>
          <w:sz w:val="20"/>
          <w:szCs w:val="20"/>
          <w:lang w:val="es-ES"/>
        </w:rPr>
        <w:t>Elpidio Vargas Briones (en adelante “el peticionario”</w:t>
      </w:r>
      <w:r w:rsidR="00606E98">
        <w:rPr>
          <w:rFonts w:ascii="Cambria" w:hAnsi="Cambria"/>
          <w:sz w:val="20"/>
          <w:szCs w:val="20"/>
          <w:lang w:val="es-ES"/>
        </w:rPr>
        <w:t xml:space="preserve">) </w:t>
      </w:r>
      <w:r w:rsidR="003518BD" w:rsidRPr="00E772A3">
        <w:rPr>
          <w:rFonts w:ascii="Cambria" w:hAnsi="Cambria"/>
          <w:sz w:val="20"/>
          <w:szCs w:val="20"/>
          <w:lang w:val="es-ES"/>
        </w:rPr>
        <w:t xml:space="preserve">sostiene </w:t>
      </w:r>
      <w:r w:rsidR="00041C7A" w:rsidRPr="00E772A3">
        <w:rPr>
          <w:rFonts w:ascii="Cambria" w:hAnsi="Cambria"/>
          <w:sz w:val="20"/>
          <w:szCs w:val="20"/>
          <w:lang w:val="es-ES"/>
        </w:rPr>
        <w:t>que padece de condiciones serias de salud producto de un proce</w:t>
      </w:r>
      <w:r w:rsidR="003518BD" w:rsidRPr="00E772A3">
        <w:rPr>
          <w:rFonts w:ascii="Cambria" w:hAnsi="Cambria"/>
          <w:sz w:val="20"/>
          <w:szCs w:val="20"/>
          <w:lang w:val="es-ES"/>
        </w:rPr>
        <w:t>di</w:t>
      </w:r>
      <w:r w:rsidR="00041C7A" w:rsidRPr="00E772A3">
        <w:rPr>
          <w:rFonts w:ascii="Cambria" w:hAnsi="Cambria"/>
          <w:sz w:val="20"/>
          <w:szCs w:val="20"/>
          <w:lang w:val="es-ES"/>
        </w:rPr>
        <w:t xml:space="preserve">miento médico que se le realizó en un centro de salud privado sin </w:t>
      </w:r>
      <w:r w:rsidR="003518BD" w:rsidRPr="00E772A3">
        <w:rPr>
          <w:rFonts w:ascii="Cambria" w:hAnsi="Cambria"/>
          <w:sz w:val="20"/>
          <w:szCs w:val="20"/>
          <w:lang w:val="es-ES"/>
        </w:rPr>
        <w:t xml:space="preserve">que le hicieran saber </w:t>
      </w:r>
      <w:r w:rsidR="00041C7A" w:rsidRPr="00E772A3">
        <w:rPr>
          <w:rFonts w:ascii="Cambria" w:hAnsi="Cambria"/>
          <w:sz w:val="20"/>
          <w:szCs w:val="20"/>
          <w:lang w:val="es-ES"/>
        </w:rPr>
        <w:t>de los posibles riesgos</w:t>
      </w:r>
      <w:r w:rsidR="003518BD" w:rsidRPr="00E772A3">
        <w:rPr>
          <w:rFonts w:ascii="Cambria" w:hAnsi="Cambria"/>
          <w:sz w:val="20"/>
          <w:szCs w:val="20"/>
          <w:lang w:val="es-ES"/>
        </w:rPr>
        <w:t>,</w:t>
      </w:r>
      <w:r w:rsidR="00041C7A" w:rsidRPr="00E772A3">
        <w:rPr>
          <w:rFonts w:ascii="Cambria" w:hAnsi="Cambria"/>
          <w:sz w:val="20"/>
          <w:szCs w:val="20"/>
          <w:lang w:val="es-ES"/>
        </w:rPr>
        <w:t xml:space="preserve"> </w:t>
      </w:r>
      <w:r w:rsidR="003518BD" w:rsidRPr="00E772A3">
        <w:rPr>
          <w:rFonts w:ascii="Cambria" w:hAnsi="Cambria"/>
          <w:sz w:val="20"/>
          <w:szCs w:val="20"/>
          <w:lang w:val="es-ES"/>
        </w:rPr>
        <w:t>por lo que no hubo</w:t>
      </w:r>
      <w:r w:rsidR="00041C7A" w:rsidRPr="00E772A3">
        <w:rPr>
          <w:rFonts w:ascii="Cambria" w:hAnsi="Cambria"/>
          <w:sz w:val="20"/>
          <w:szCs w:val="20"/>
          <w:lang w:val="es-ES"/>
        </w:rPr>
        <w:t xml:space="preserve"> consentimiento </w:t>
      </w:r>
      <w:r w:rsidR="007735AE" w:rsidRPr="00E772A3">
        <w:rPr>
          <w:rFonts w:ascii="Cambria" w:hAnsi="Cambria"/>
          <w:sz w:val="20"/>
          <w:szCs w:val="20"/>
          <w:lang w:val="es-ES"/>
        </w:rPr>
        <w:t xml:space="preserve">previo e </w:t>
      </w:r>
      <w:r w:rsidR="00041C7A" w:rsidRPr="00E772A3">
        <w:rPr>
          <w:rFonts w:ascii="Cambria" w:hAnsi="Cambria"/>
          <w:sz w:val="20"/>
          <w:szCs w:val="20"/>
          <w:lang w:val="es-ES"/>
        </w:rPr>
        <w:t xml:space="preserve">informado. Denuncia que las autoridades competentes optaron por no ejercer la acción penal contra el doctor </w:t>
      </w:r>
      <w:r w:rsidR="003518BD" w:rsidRPr="00E772A3">
        <w:rPr>
          <w:rFonts w:ascii="Cambria" w:hAnsi="Cambria"/>
          <w:sz w:val="20"/>
          <w:szCs w:val="20"/>
          <w:lang w:val="es-ES"/>
        </w:rPr>
        <w:t>ni las autoridades del</w:t>
      </w:r>
      <w:r w:rsidR="00041C7A" w:rsidRPr="00E772A3">
        <w:rPr>
          <w:rFonts w:ascii="Cambria" w:hAnsi="Cambria"/>
          <w:sz w:val="20"/>
          <w:szCs w:val="20"/>
          <w:lang w:val="es-ES"/>
        </w:rPr>
        <w:t xml:space="preserve"> hospital por razón del poder e influencia </w:t>
      </w:r>
      <w:r w:rsidR="003518BD" w:rsidRPr="00E772A3">
        <w:rPr>
          <w:rFonts w:ascii="Cambria" w:hAnsi="Cambria"/>
          <w:sz w:val="20"/>
          <w:szCs w:val="20"/>
          <w:lang w:val="es-ES"/>
        </w:rPr>
        <w:t>que tendrían</w:t>
      </w:r>
      <w:r w:rsidR="00041C7A" w:rsidRPr="00E772A3">
        <w:rPr>
          <w:rFonts w:ascii="Cambria" w:hAnsi="Cambria"/>
          <w:sz w:val="20"/>
          <w:szCs w:val="20"/>
          <w:lang w:val="es-ES"/>
        </w:rPr>
        <w:t xml:space="preserve">. También alega que presentó una demanda civil que fue declarada desierta en segunda instancia a causa de la negligencia del defensor de oficio que le proporcionó el Estado.  </w:t>
      </w:r>
    </w:p>
    <w:p w14:paraId="4FE58DC0" w14:textId="43ECA843" w:rsidR="00CE7D0A" w:rsidRPr="00E772A3" w:rsidRDefault="009F4593" w:rsidP="001102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772A3">
        <w:rPr>
          <w:rFonts w:ascii="Cambria" w:hAnsi="Cambria"/>
          <w:sz w:val="20"/>
          <w:szCs w:val="20"/>
          <w:lang w:val="es-ES"/>
        </w:rPr>
        <w:t xml:space="preserve">El peticionario relata que el </w:t>
      </w:r>
      <w:r w:rsidRPr="00E772A3">
        <w:rPr>
          <w:rFonts w:ascii="Cambria" w:hAnsi="Cambria"/>
          <w:sz w:val="20"/>
          <w:szCs w:val="20"/>
          <w:lang w:val="es-PA"/>
        </w:rPr>
        <w:t>26 de junio de 2002 acudió a un centro de salud administrado por una sociedad comercial de capital variable</w:t>
      </w:r>
      <w:r w:rsidR="003518BD" w:rsidRPr="00E772A3">
        <w:rPr>
          <w:rFonts w:ascii="Cambria" w:hAnsi="Cambria"/>
          <w:sz w:val="20"/>
          <w:szCs w:val="20"/>
          <w:lang w:val="es-PA"/>
        </w:rPr>
        <w:t>,</w:t>
      </w:r>
      <w:r w:rsidRPr="00E772A3">
        <w:rPr>
          <w:rFonts w:ascii="Cambria" w:hAnsi="Cambria"/>
          <w:sz w:val="20"/>
          <w:szCs w:val="20"/>
          <w:lang w:val="es-PA"/>
        </w:rPr>
        <w:t xml:space="preserve"> </w:t>
      </w:r>
      <w:r w:rsidR="003518BD" w:rsidRPr="00E772A3">
        <w:rPr>
          <w:rFonts w:ascii="Cambria" w:hAnsi="Cambria"/>
          <w:sz w:val="20"/>
          <w:szCs w:val="20"/>
          <w:lang w:val="es-PA"/>
        </w:rPr>
        <w:t xml:space="preserve">donde </w:t>
      </w:r>
      <w:r w:rsidRPr="00E772A3">
        <w:rPr>
          <w:rFonts w:ascii="Cambria" w:hAnsi="Cambria"/>
          <w:sz w:val="20"/>
          <w:szCs w:val="20"/>
          <w:lang w:val="es-PA"/>
        </w:rPr>
        <w:t xml:space="preserve">fue atendido por un </w:t>
      </w:r>
      <w:r w:rsidR="00655B96">
        <w:rPr>
          <w:rFonts w:ascii="Cambria" w:hAnsi="Cambria"/>
          <w:sz w:val="20"/>
          <w:szCs w:val="20"/>
          <w:lang w:val="es-PA"/>
        </w:rPr>
        <w:t>médico</w:t>
      </w:r>
      <w:r w:rsidRPr="00E772A3">
        <w:rPr>
          <w:rFonts w:ascii="Cambria" w:hAnsi="Cambria"/>
          <w:sz w:val="20"/>
          <w:szCs w:val="20"/>
          <w:lang w:val="es-PA"/>
        </w:rPr>
        <w:t xml:space="preserve"> que revisó sus tomografías y le dijo que ten</w:t>
      </w:r>
      <w:r w:rsidR="0011020F" w:rsidRPr="00E772A3">
        <w:rPr>
          <w:rFonts w:ascii="Cambria" w:hAnsi="Cambria"/>
          <w:sz w:val="20"/>
          <w:szCs w:val="20"/>
          <w:lang w:val="es-PA"/>
        </w:rPr>
        <w:t xml:space="preserve">ía un tumor benigno en </w:t>
      </w:r>
      <w:r w:rsidR="003518BD" w:rsidRPr="00E772A3">
        <w:rPr>
          <w:rFonts w:ascii="Cambria" w:hAnsi="Cambria"/>
          <w:sz w:val="20"/>
          <w:szCs w:val="20"/>
          <w:lang w:val="es-PA"/>
        </w:rPr>
        <w:t>el</w:t>
      </w:r>
      <w:r w:rsidR="0011020F" w:rsidRPr="00E772A3">
        <w:rPr>
          <w:rFonts w:ascii="Cambria" w:hAnsi="Cambria"/>
          <w:sz w:val="20"/>
          <w:szCs w:val="20"/>
          <w:lang w:val="es-PA"/>
        </w:rPr>
        <w:t xml:space="preserve"> cráneo </w:t>
      </w:r>
      <w:r w:rsidRPr="00E772A3">
        <w:rPr>
          <w:rFonts w:ascii="Cambria" w:hAnsi="Cambria"/>
          <w:sz w:val="20"/>
          <w:szCs w:val="20"/>
          <w:lang w:val="es-PA"/>
        </w:rPr>
        <w:t xml:space="preserve">que requería ser operado. Sostiene que inquirió al doctor sobre </w:t>
      </w:r>
      <w:r w:rsidRPr="00E772A3">
        <w:rPr>
          <w:rFonts w:ascii="Cambria" w:hAnsi="Cambria"/>
          <w:sz w:val="20"/>
          <w:szCs w:val="20"/>
          <w:lang w:val="es-PA"/>
        </w:rPr>
        <w:lastRenderedPageBreak/>
        <w:t xml:space="preserve">los riesgos de la operación y que </w:t>
      </w:r>
      <w:r w:rsidR="00655B96">
        <w:rPr>
          <w:rFonts w:ascii="Cambria" w:hAnsi="Cambria"/>
          <w:sz w:val="20"/>
          <w:szCs w:val="20"/>
          <w:lang w:val="es-PA"/>
        </w:rPr>
        <w:t>e</w:t>
      </w:r>
      <w:r w:rsidRPr="00E772A3">
        <w:rPr>
          <w:rFonts w:ascii="Cambria" w:hAnsi="Cambria"/>
          <w:sz w:val="20"/>
          <w:szCs w:val="20"/>
          <w:lang w:val="es-PA"/>
        </w:rPr>
        <w:t xml:space="preserve">ste le dijo que </w:t>
      </w:r>
      <w:r w:rsidR="003518BD" w:rsidRPr="00E772A3">
        <w:rPr>
          <w:rFonts w:ascii="Cambria" w:hAnsi="Cambria"/>
          <w:sz w:val="20"/>
          <w:szCs w:val="20"/>
          <w:lang w:val="es-PA"/>
        </w:rPr>
        <w:t>sólo</w:t>
      </w:r>
      <w:r w:rsidRPr="00E772A3">
        <w:rPr>
          <w:rFonts w:ascii="Cambria" w:hAnsi="Cambria"/>
          <w:sz w:val="20"/>
          <w:szCs w:val="20"/>
          <w:lang w:val="es-PA"/>
        </w:rPr>
        <w:t xml:space="preserve"> había un 10% de riesgo en la anestesia y un 90% de posibilidades </w:t>
      </w:r>
      <w:r w:rsidR="008B1AD6" w:rsidRPr="00E772A3">
        <w:rPr>
          <w:rFonts w:ascii="Cambria" w:hAnsi="Cambria"/>
          <w:sz w:val="20"/>
          <w:szCs w:val="20"/>
          <w:lang w:val="es-PA"/>
        </w:rPr>
        <w:t>de que se recuperara y volviera a la vida cotidiana</w:t>
      </w:r>
      <w:r w:rsidR="0011020F" w:rsidRPr="00E772A3">
        <w:rPr>
          <w:rFonts w:ascii="Cambria" w:hAnsi="Cambria"/>
          <w:sz w:val="20"/>
          <w:szCs w:val="20"/>
          <w:lang w:val="es-PA"/>
        </w:rPr>
        <w:t xml:space="preserve">. Agrega que el </w:t>
      </w:r>
      <w:r w:rsidR="00C82833" w:rsidRPr="00E772A3">
        <w:rPr>
          <w:rFonts w:ascii="Cambria" w:hAnsi="Cambria"/>
          <w:sz w:val="20"/>
          <w:szCs w:val="20"/>
          <w:lang w:val="es-PA"/>
        </w:rPr>
        <w:t>médico</w:t>
      </w:r>
      <w:r w:rsidR="0011020F" w:rsidRPr="00E772A3">
        <w:rPr>
          <w:rFonts w:ascii="Cambria" w:hAnsi="Cambria"/>
          <w:sz w:val="20"/>
          <w:szCs w:val="20"/>
          <w:lang w:val="es-PA"/>
        </w:rPr>
        <w:t xml:space="preserve"> le indicó que estaría “molesto” para caminar y </w:t>
      </w:r>
      <w:r w:rsidR="003518BD" w:rsidRPr="00E772A3">
        <w:rPr>
          <w:rFonts w:ascii="Cambria" w:hAnsi="Cambria"/>
          <w:sz w:val="20"/>
          <w:szCs w:val="20"/>
          <w:lang w:val="es-PA"/>
        </w:rPr>
        <w:t>tomar</w:t>
      </w:r>
      <w:r w:rsidR="0011020F" w:rsidRPr="00E772A3">
        <w:rPr>
          <w:rFonts w:ascii="Cambria" w:hAnsi="Cambria"/>
          <w:sz w:val="20"/>
          <w:szCs w:val="20"/>
          <w:lang w:val="es-PA"/>
        </w:rPr>
        <w:t xml:space="preserve"> cosas </w:t>
      </w:r>
      <w:r w:rsidR="003518BD" w:rsidRPr="00E772A3">
        <w:rPr>
          <w:rFonts w:ascii="Cambria" w:hAnsi="Cambria"/>
          <w:sz w:val="20"/>
          <w:szCs w:val="20"/>
          <w:lang w:val="es-PA"/>
        </w:rPr>
        <w:t xml:space="preserve">con las manos </w:t>
      </w:r>
      <w:r w:rsidR="0011020F" w:rsidRPr="00E772A3">
        <w:rPr>
          <w:rFonts w:ascii="Cambria" w:hAnsi="Cambria"/>
          <w:sz w:val="20"/>
          <w:szCs w:val="20"/>
          <w:lang w:val="es-PA"/>
        </w:rPr>
        <w:t>por un máximo de 6 meses</w:t>
      </w:r>
      <w:r w:rsidR="007735AE" w:rsidRPr="00E772A3">
        <w:rPr>
          <w:rFonts w:ascii="Cambria" w:hAnsi="Cambria"/>
          <w:sz w:val="20"/>
          <w:szCs w:val="20"/>
          <w:lang w:val="es-PA"/>
        </w:rPr>
        <w:t>;</w:t>
      </w:r>
      <w:r w:rsidR="0011020F" w:rsidRPr="00E772A3">
        <w:rPr>
          <w:rFonts w:ascii="Cambria" w:hAnsi="Cambria"/>
          <w:sz w:val="20"/>
          <w:szCs w:val="20"/>
          <w:lang w:val="es-PA"/>
        </w:rPr>
        <w:t xml:space="preserve"> el </w:t>
      </w:r>
      <w:r w:rsidR="00C82833" w:rsidRPr="00E772A3">
        <w:rPr>
          <w:rFonts w:ascii="Cambria" w:hAnsi="Cambria"/>
          <w:sz w:val="20"/>
          <w:szCs w:val="20"/>
          <w:lang w:val="es-PA"/>
        </w:rPr>
        <w:t>médico</w:t>
      </w:r>
      <w:r w:rsidR="0011020F" w:rsidRPr="00E772A3">
        <w:rPr>
          <w:rFonts w:ascii="Cambria" w:hAnsi="Cambria"/>
          <w:sz w:val="20"/>
          <w:szCs w:val="20"/>
          <w:lang w:val="es-PA"/>
        </w:rPr>
        <w:t xml:space="preserve"> le indicó </w:t>
      </w:r>
      <w:r w:rsidR="007735AE" w:rsidRPr="00E772A3">
        <w:rPr>
          <w:rFonts w:ascii="Cambria" w:hAnsi="Cambria"/>
          <w:sz w:val="20"/>
          <w:szCs w:val="20"/>
          <w:lang w:val="es-PA"/>
        </w:rPr>
        <w:t xml:space="preserve">además </w:t>
      </w:r>
      <w:r w:rsidR="0011020F" w:rsidRPr="00E772A3">
        <w:rPr>
          <w:rFonts w:ascii="Cambria" w:hAnsi="Cambria"/>
          <w:sz w:val="20"/>
          <w:szCs w:val="20"/>
          <w:lang w:val="es-PA"/>
        </w:rPr>
        <w:t xml:space="preserve">que el tumor tendría que ser removido completamente o sino la cirugía no serviría. </w:t>
      </w:r>
    </w:p>
    <w:p w14:paraId="4305C83A" w14:textId="60E21BC0" w:rsidR="00CE7D0A" w:rsidRPr="00E772A3" w:rsidRDefault="007735AE" w:rsidP="001102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772A3">
        <w:rPr>
          <w:rFonts w:ascii="Cambria" w:hAnsi="Cambria"/>
          <w:sz w:val="20"/>
          <w:szCs w:val="20"/>
          <w:lang w:val="es-PA"/>
        </w:rPr>
        <w:t xml:space="preserve">Agrega el peticionario </w:t>
      </w:r>
      <w:r w:rsidR="00C67362" w:rsidRPr="00E772A3">
        <w:rPr>
          <w:rFonts w:ascii="Cambria" w:hAnsi="Cambria"/>
          <w:sz w:val="20"/>
          <w:szCs w:val="20"/>
          <w:lang w:val="es-PA"/>
        </w:rPr>
        <w:t xml:space="preserve">que la operación se realizó el 4 de julio de </w:t>
      </w:r>
      <w:r w:rsidR="00655B96" w:rsidRPr="00E772A3">
        <w:rPr>
          <w:rFonts w:ascii="Cambria" w:hAnsi="Cambria"/>
          <w:sz w:val="20"/>
          <w:szCs w:val="20"/>
          <w:lang w:val="es-PA"/>
        </w:rPr>
        <w:t>2002;</w:t>
      </w:r>
      <w:r w:rsidRPr="00E772A3">
        <w:rPr>
          <w:rFonts w:ascii="Cambria" w:hAnsi="Cambria"/>
          <w:sz w:val="20"/>
          <w:szCs w:val="20"/>
          <w:lang w:val="es-PA"/>
        </w:rPr>
        <w:t xml:space="preserve"> y </w:t>
      </w:r>
      <w:r w:rsidR="0011020F" w:rsidRPr="00E772A3">
        <w:rPr>
          <w:rFonts w:ascii="Cambria" w:hAnsi="Cambria"/>
          <w:sz w:val="20"/>
          <w:szCs w:val="20"/>
          <w:lang w:val="es-PA"/>
        </w:rPr>
        <w:t xml:space="preserve">que </w:t>
      </w:r>
      <w:r w:rsidR="00C67362" w:rsidRPr="00E772A3">
        <w:rPr>
          <w:rFonts w:ascii="Cambria" w:hAnsi="Cambria"/>
          <w:sz w:val="20"/>
          <w:szCs w:val="20"/>
          <w:lang w:val="es-PA"/>
        </w:rPr>
        <w:t xml:space="preserve">el </w:t>
      </w:r>
      <w:r w:rsidR="00C82833" w:rsidRPr="00E772A3">
        <w:rPr>
          <w:rFonts w:ascii="Cambria" w:hAnsi="Cambria"/>
          <w:sz w:val="20"/>
          <w:szCs w:val="20"/>
          <w:lang w:val="es-PA"/>
        </w:rPr>
        <w:t>médico</w:t>
      </w:r>
      <w:r w:rsidR="00C67362" w:rsidRPr="00E772A3">
        <w:rPr>
          <w:rFonts w:ascii="Cambria" w:hAnsi="Cambria"/>
          <w:sz w:val="20"/>
          <w:szCs w:val="20"/>
          <w:lang w:val="es-PA"/>
        </w:rPr>
        <w:t xml:space="preserve"> que lo atendió originalmente </w:t>
      </w:r>
      <w:r w:rsidR="0011020F" w:rsidRPr="00E772A3">
        <w:rPr>
          <w:rFonts w:ascii="Cambria" w:hAnsi="Cambria"/>
          <w:sz w:val="20"/>
          <w:szCs w:val="20"/>
          <w:lang w:val="es-PA"/>
        </w:rPr>
        <w:t xml:space="preserve">y </w:t>
      </w:r>
      <w:r w:rsidR="00C67362" w:rsidRPr="00E772A3">
        <w:rPr>
          <w:rFonts w:ascii="Cambria" w:hAnsi="Cambria"/>
          <w:sz w:val="20"/>
          <w:szCs w:val="20"/>
          <w:lang w:val="es-PA"/>
        </w:rPr>
        <w:t>los demás</w:t>
      </w:r>
      <w:r w:rsidR="0011020F" w:rsidRPr="00E772A3">
        <w:rPr>
          <w:rFonts w:ascii="Cambria" w:hAnsi="Cambria"/>
          <w:sz w:val="20"/>
          <w:szCs w:val="20"/>
          <w:lang w:val="es-PA"/>
        </w:rPr>
        <w:t xml:space="preserve"> que participaron </w:t>
      </w:r>
      <w:r w:rsidR="00C67362" w:rsidRPr="00E772A3">
        <w:rPr>
          <w:rFonts w:ascii="Cambria" w:hAnsi="Cambria"/>
          <w:sz w:val="20"/>
          <w:szCs w:val="20"/>
          <w:lang w:val="es-PA"/>
        </w:rPr>
        <w:t>en</w:t>
      </w:r>
      <w:r w:rsidR="0011020F" w:rsidRPr="00E772A3">
        <w:rPr>
          <w:rFonts w:ascii="Cambria" w:hAnsi="Cambria"/>
          <w:sz w:val="20"/>
          <w:szCs w:val="20"/>
          <w:lang w:val="es-PA"/>
        </w:rPr>
        <w:t xml:space="preserve"> la operación </w:t>
      </w:r>
      <w:r w:rsidR="00CE7D0A" w:rsidRPr="00E772A3">
        <w:rPr>
          <w:rFonts w:ascii="Cambria" w:hAnsi="Cambria"/>
          <w:sz w:val="20"/>
          <w:szCs w:val="20"/>
          <w:lang w:val="es-PA"/>
        </w:rPr>
        <w:t>actuaron negligentemente</w:t>
      </w:r>
      <w:r w:rsidR="00B34793" w:rsidRPr="00E772A3">
        <w:rPr>
          <w:rFonts w:ascii="Cambria" w:hAnsi="Cambria"/>
          <w:sz w:val="20"/>
          <w:szCs w:val="20"/>
          <w:lang w:val="es-PA"/>
        </w:rPr>
        <w:t>,</w:t>
      </w:r>
      <w:r w:rsidR="00CE7D0A" w:rsidRPr="00E772A3">
        <w:rPr>
          <w:rFonts w:ascii="Cambria" w:hAnsi="Cambria"/>
          <w:sz w:val="20"/>
          <w:szCs w:val="20"/>
          <w:lang w:val="es-PA"/>
        </w:rPr>
        <w:t xml:space="preserve"> porque le desconectaron los nervios centrales de su pierna y brazo derecho sin que él hubiera previamente dado su consentimiento informado por escrito</w:t>
      </w:r>
      <w:r w:rsidR="00B34793" w:rsidRPr="00E772A3">
        <w:rPr>
          <w:rFonts w:ascii="Cambria" w:hAnsi="Cambria"/>
          <w:sz w:val="20"/>
          <w:szCs w:val="20"/>
          <w:lang w:val="es-PA"/>
        </w:rPr>
        <w:t>,</w:t>
      </w:r>
      <w:r w:rsidR="00CE7D0A" w:rsidRPr="00E772A3">
        <w:rPr>
          <w:rFonts w:ascii="Cambria" w:hAnsi="Cambria"/>
          <w:sz w:val="20"/>
          <w:szCs w:val="20"/>
          <w:lang w:val="es-PA"/>
        </w:rPr>
        <w:t xml:space="preserve"> </w:t>
      </w:r>
      <w:r w:rsidR="00B34793" w:rsidRPr="00E772A3">
        <w:rPr>
          <w:rFonts w:ascii="Cambria" w:hAnsi="Cambria"/>
          <w:sz w:val="20"/>
          <w:szCs w:val="20"/>
          <w:lang w:val="es-PA"/>
        </w:rPr>
        <w:t>conforme a lo</w:t>
      </w:r>
      <w:r w:rsidR="00CE7D0A" w:rsidRPr="00E772A3">
        <w:rPr>
          <w:rFonts w:ascii="Cambria" w:hAnsi="Cambria"/>
          <w:sz w:val="20"/>
          <w:szCs w:val="20"/>
          <w:lang w:val="es-PA"/>
        </w:rPr>
        <w:t xml:space="preserve"> requerido por las leyes </w:t>
      </w:r>
      <w:r w:rsidR="00B34793" w:rsidRPr="00E772A3">
        <w:rPr>
          <w:rFonts w:ascii="Cambria" w:hAnsi="Cambria"/>
          <w:sz w:val="20"/>
          <w:szCs w:val="20"/>
          <w:lang w:val="es-PA"/>
        </w:rPr>
        <w:t>mexicanas. El</w:t>
      </w:r>
      <w:r w:rsidR="00C67362" w:rsidRPr="00E772A3">
        <w:rPr>
          <w:rFonts w:ascii="Cambria" w:hAnsi="Cambria"/>
          <w:sz w:val="20"/>
          <w:szCs w:val="20"/>
          <w:lang w:val="es-PA"/>
        </w:rPr>
        <w:t xml:space="preserve"> </w:t>
      </w:r>
      <w:r w:rsidR="00655B96">
        <w:rPr>
          <w:rFonts w:ascii="Cambria" w:hAnsi="Cambria"/>
          <w:sz w:val="20"/>
          <w:szCs w:val="20"/>
          <w:lang w:val="es-PA"/>
        </w:rPr>
        <w:t>médico</w:t>
      </w:r>
      <w:r w:rsidR="00C67362" w:rsidRPr="00E772A3">
        <w:rPr>
          <w:rFonts w:ascii="Cambria" w:hAnsi="Cambria"/>
          <w:sz w:val="20"/>
          <w:szCs w:val="20"/>
          <w:lang w:val="es-PA"/>
        </w:rPr>
        <w:t xml:space="preserve"> manifestó que se vio obligado a tomar la decisión por</w:t>
      </w:r>
      <w:r w:rsidR="00B34793" w:rsidRPr="00E772A3">
        <w:rPr>
          <w:rFonts w:ascii="Cambria" w:hAnsi="Cambria"/>
          <w:sz w:val="20"/>
          <w:szCs w:val="20"/>
          <w:lang w:val="es-PA"/>
        </w:rPr>
        <w:t>que</w:t>
      </w:r>
      <w:r w:rsidR="00C67362" w:rsidRPr="00E772A3">
        <w:rPr>
          <w:rFonts w:ascii="Cambria" w:hAnsi="Cambria"/>
          <w:sz w:val="20"/>
          <w:szCs w:val="20"/>
          <w:lang w:val="es-PA"/>
        </w:rPr>
        <w:t xml:space="preserve"> el paciente </w:t>
      </w:r>
      <w:r w:rsidR="00B34793" w:rsidRPr="00E772A3">
        <w:rPr>
          <w:rFonts w:ascii="Cambria" w:hAnsi="Cambria"/>
          <w:sz w:val="20"/>
          <w:szCs w:val="20"/>
          <w:lang w:val="es-PA"/>
        </w:rPr>
        <w:t xml:space="preserve">estaba dormido; sin embargo, el peticionario destaca </w:t>
      </w:r>
      <w:r w:rsidR="00C67362" w:rsidRPr="00E772A3">
        <w:rPr>
          <w:rFonts w:ascii="Cambria" w:hAnsi="Cambria"/>
          <w:sz w:val="20"/>
          <w:szCs w:val="20"/>
          <w:lang w:val="es-PA"/>
        </w:rPr>
        <w:t xml:space="preserve">que </w:t>
      </w:r>
      <w:r w:rsidR="00B34793" w:rsidRPr="00E772A3">
        <w:rPr>
          <w:rFonts w:ascii="Cambria" w:hAnsi="Cambria"/>
          <w:sz w:val="20"/>
          <w:szCs w:val="20"/>
          <w:lang w:val="es-PA"/>
        </w:rPr>
        <w:t>no</w:t>
      </w:r>
      <w:r w:rsidR="00C67362" w:rsidRPr="00E772A3">
        <w:rPr>
          <w:rFonts w:ascii="Cambria" w:hAnsi="Cambria"/>
          <w:sz w:val="20"/>
          <w:szCs w:val="20"/>
          <w:lang w:val="es-PA"/>
        </w:rPr>
        <w:t xml:space="preserve"> se buscó autorización de sus familiares antes de cortarle el nervio. </w:t>
      </w:r>
      <w:r w:rsidR="00CE7D0A" w:rsidRPr="00E772A3">
        <w:rPr>
          <w:rFonts w:ascii="Cambria" w:hAnsi="Cambria"/>
          <w:sz w:val="20"/>
          <w:szCs w:val="20"/>
          <w:lang w:val="es-PA"/>
        </w:rPr>
        <w:t>En adición, indica que su tumor no fue removido completamente</w:t>
      </w:r>
      <w:r w:rsidR="00BD66DC" w:rsidRPr="00E772A3">
        <w:rPr>
          <w:rFonts w:ascii="Cambria" w:hAnsi="Cambria"/>
          <w:sz w:val="20"/>
          <w:szCs w:val="20"/>
          <w:lang w:val="es-PA"/>
        </w:rPr>
        <w:t>,</w:t>
      </w:r>
      <w:r w:rsidR="00CE7D0A" w:rsidRPr="00E772A3">
        <w:rPr>
          <w:rFonts w:ascii="Cambria" w:hAnsi="Cambria"/>
          <w:sz w:val="20"/>
          <w:szCs w:val="20"/>
          <w:lang w:val="es-PA"/>
        </w:rPr>
        <w:t xml:space="preserve"> sino que quedó una </w:t>
      </w:r>
      <w:r w:rsidR="00B34793" w:rsidRPr="00E772A3">
        <w:rPr>
          <w:rFonts w:ascii="Cambria" w:hAnsi="Cambria"/>
          <w:sz w:val="20"/>
          <w:szCs w:val="20"/>
          <w:lang w:val="es-PA"/>
        </w:rPr>
        <w:t>recidiva</w:t>
      </w:r>
      <w:r w:rsidR="00CE7D0A" w:rsidRPr="00E772A3">
        <w:rPr>
          <w:rFonts w:ascii="Cambria" w:hAnsi="Cambria"/>
          <w:sz w:val="20"/>
          <w:szCs w:val="20"/>
          <w:lang w:val="es-PA"/>
        </w:rPr>
        <w:t xml:space="preserve"> alojada en la vena paterna principal de su cerebro</w:t>
      </w:r>
      <w:r w:rsidR="00B34793" w:rsidRPr="00E772A3">
        <w:rPr>
          <w:rFonts w:ascii="Cambria" w:hAnsi="Cambria"/>
          <w:sz w:val="20"/>
          <w:szCs w:val="20"/>
          <w:lang w:val="es-PA"/>
        </w:rPr>
        <w:t>,</w:t>
      </w:r>
      <w:r w:rsidR="00CE7D0A" w:rsidRPr="00E772A3">
        <w:rPr>
          <w:rFonts w:ascii="Cambria" w:hAnsi="Cambria"/>
          <w:sz w:val="20"/>
          <w:szCs w:val="20"/>
          <w:lang w:val="es-PA"/>
        </w:rPr>
        <w:t xml:space="preserve"> que luego fue tra</w:t>
      </w:r>
      <w:r w:rsidR="00BD66DC" w:rsidRPr="00E772A3">
        <w:rPr>
          <w:rFonts w:ascii="Cambria" w:hAnsi="Cambria"/>
          <w:sz w:val="20"/>
          <w:szCs w:val="20"/>
          <w:lang w:val="es-PA"/>
        </w:rPr>
        <w:t>tada con rayo lá</w:t>
      </w:r>
      <w:r w:rsidR="00CE7D0A" w:rsidRPr="00E772A3">
        <w:rPr>
          <w:rFonts w:ascii="Cambria" w:hAnsi="Cambria"/>
          <w:sz w:val="20"/>
          <w:szCs w:val="20"/>
          <w:lang w:val="es-PA"/>
        </w:rPr>
        <w:t>ser. Manifiesta que a raíz de estos actos de negligencia ha quedado</w:t>
      </w:r>
      <w:r w:rsidR="00C67362" w:rsidRPr="00E772A3">
        <w:rPr>
          <w:rFonts w:ascii="Cambria" w:hAnsi="Cambria"/>
          <w:sz w:val="20"/>
          <w:szCs w:val="20"/>
          <w:lang w:val="es-PA"/>
        </w:rPr>
        <w:t xml:space="preserve"> </w:t>
      </w:r>
      <w:r w:rsidR="00CE7D0A" w:rsidRPr="00E772A3">
        <w:rPr>
          <w:rFonts w:ascii="Cambria" w:hAnsi="Cambria"/>
          <w:sz w:val="20"/>
          <w:szCs w:val="20"/>
          <w:lang w:val="es-PA"/>
        </w:rPr>
        <w:t xml:space="preserve">con </w:t>
      </w:r>
      <w:r w:rsidR="00C67362" w:rsidRPr="00E772A3">
        <w:rPr>
          <w:rFonts w:ascii="Cambria" w:hAnsi="Cambria"/>
          <w:sz w:val="20"/>
          <w:szCs w:val="20"/>
          <w:lang w:val="es-PA"/>
        </w:rPr>
        <w:t>inmovilidad en el lado derecho de</w:t>
      </w:r>
      <w:r w:rsidR="00B34793" w:rsidRPr="00E772A3">
        <w:rPr>
          <w:rFonts w:ascii="Cambria" w:hAnsi="Cambria"/>
          <w:sz w:val="20"/>
          <w:szCs w:val="20"/>
          <w:lang w:val="es-PA"/>
        </w:rPr>
        <w:t>l</w:t>
      </w:r>
      <w:r w:rsidR="00C67362" w:rsidRPr="00E772A3">
        <w:rPr>
          <w:rFonts w:ascii="Cambria" w:hAnsi="Cambria"/>
          <w:sz w:val="20"/>
          <w:szCs w:val="20"/>
          <w:lang w:val="es-PA"/>
        </w:rPr>
        <w:t xml:space="preserve"> cuerpo</w:t>
      </w:r>
      <w:r w:rsidR="00B34793" w:rsidRPr="00E772A3">
        <w:rPr>
          <w:rFonts w:ascii="Cambria" w:hAnsi="Cambria"/>
          <w:sz w:val="20"/>
          <w:szCs w:val="20"/>
          <w:lang w:val="es-PA"/>
        </w:rPr>
        <w:t>;</w:t>
      </w:r>
      <w:r w:rsidR="00C67362" w:rsidRPr="00E772A3">
        <w:rPr>
          <w:rFonts w:ascii="Cambria" w:hAnsi="Cambria"/>
          <w:sz w:val="20"/>
          <w:szCs w:val="20"/>
          <w:lang w:val="es-PA"/>
        </w:rPr>
        <w:t xml:space="preserve"> </w:t>
      </w:r>
      <w:r w:rsidR="00B34793" w:rsidRPr="00E772A3">
        <w:rPr>
          <w:rFonts w:ascii="Cambria" w:hAnsi="Cambria"/>
          <w:sz w:val="20"/>
          <w:szCs w:val="20"/>
          <w:lang w:val="es-PA"/>
        </w:rPr>
        <w:t>asimismo, el</w:t>
      </w:r>
      <w:r w:rsidR="00CE7D0A" w:rsidRPr="00E772A3">
        <w:rPr>
          <w:rFonts w:ascii="Cambria" w:hAnsi="Cambria"/>
          <w:sz w:val="20"/>
          <w:szCs w:val="20"/>
          <w:lang w:val="es-PA"/>
        </w:rPr>
        <w:t xml:space="preserve"> daño neurológico </w:t>
      </w:r>
      <w:r w:rsidR="00B34793" w:rsidRPr="00E772A3">
        <w:rPr>
          <w:rFonts w:ascii="Cambria" w:hAnsi="Cambria"/>
          <w:sz w:val="20"/>
          <w:szCs w:val="20"/>
          <w:lang w:val="es-PA"/>
        </w:rPr>
        <w:t xml:space="preserve">sufrido </w:t>
      </w:r>
      <w:r w:rsidR="00CE7D0A" w:rsidRPr="00E772A3">
        <w:rPr>
          <w:rFonts w:ascii="Cambria" w:hAnsi="Cambria"/>
          <w:sz w:val="20"/>
          <w:szCs w:val="20"/>
          <w:lang w:val="es-PA"/>
        </w:rPr>
        <w:t xml:space="preserve">le ocasiona crisis convulsivas que le hacen perder </w:t>
      </w:r>
      <w:r w:rsidR="00B34793" w:rsidRPr="00E772A3">
        <w:rPr>
          <w:rFonts w:ascii="Cambria" w:hAnsi="Cambria"/>
          <w:sz w:val="20"/>
          <w:szCs w:val="20"/>
          <w:lang w:val="es-PA"/>
        </w:rPr>
        <w:t xml:space="preserve">totalmente </w:t>
      </w:r>
      <w:r w:rsidR="00CE7D0A" w:rsidRPr="00E772A3">
        <w:rPr>
          <w:rFonts w:ascii="Cambria" w:hAnsi="Cambria"/>
          <w:sz w:val="20"/>
          <w:szCs w:val="20"/>
          <w:lang w:val="es-PA"/>
        </w:rPr>
        <w:t xml:space="preserve">el conocimiento, </w:t>
      </w:r>
      <w:r w:rsidR="00B34793" w:rsidRPr="00E772A3">
        <w:rPr>
          <w:rFonts w:ascii="Cambria" w:hAnsi="Cambria"/>
          <w:sz w:val="20"/>
          <w:szCs w:val="20"/>
          <w:lang w:val="es-PA"/>
        </w:rPr>
        <w:t>por lo</w:t>
      </w:r>
      <w:r w:rsidR="00CE7D0A" w:rsidRPr="00E772A3">
        <w:rPr>
          <w:rFonts w:ascii="Cambria" w:hAnsi="Cambria"/>
          <w:sz w:val="20"/>
          <w:szCs w:val="20"/>
          <w:lang w:val="es-PA"/>
        </w:rPr>
        <w:t xml:space="preserve"> que deber</w:t>
      </w:r>
      <w:r w:rsidR="00C67362" w:rsidRPr="00E772A3">
        <w:rPr>
          <w:rFonts w:ascii="Cambria" w:hAnsi="Cambria"/>
          <w:sz w:val="20"/>
          <w:szCs w:val="20"/>
          <w:lang w:val="es-PA"/>
        </w:rPr>
        <w:t>á tomar un</w:t>
      </w:r>
      <w:r w:rsidR="00EF51F4" w:rsidRPr="00E772A3">
        <w:rPr>
          <w:rFonts w:ascii="Cambria" w:hAnsi="Cambria"/>
          <w:sz w:val="20"/>
          <w:szCs w:val="20"/>
          <w:lang w:val="es-PA"/>
        </w:rPr>
        <w:t xml:space="preserve"> medicamento </w:t>
      </w:r>
      <w:r w:rsidR="00CE7D0A" w:rsidRPr="00E772A3">
        <w:rPr>
          <w:rFonts w:ascii="Cambria" w:hAnsi="Cambria"/>
          <w:sz w:val="20"/>
          <w:szCs w:val="20"/>
          <w:lang w:val="es-PA"/>
        </w:rPr>
        <w:t xml:space="preserve">anticonvulsivo por el resto de su vida. </w:t>
      </w:r>
    </w:p>
    <w:p w14:paraId="6534074F" w14:textId="17C7192C" w:rsidR="001D1175" w:rsidRPr="00E772A3" w:rsidRDefault="00B34793" w:rsidP="001102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772A3">
        <w:rPr>
          <w:rFonts w:ascii="Cambria" w:hAnsi="Cambria"/>
          <w:sz w:val="20"/>
          <w:szCs w:val="20"/>
          <w:lang w:val="es-PA"/>
        </w:rPr>
        <w:t>El</w:t>
      </w:r>
      <w:r w:rsidR="00C67362" w:rsidRPr="00E772A3">
        <w:rPr>
          <w:rFonts w:ascii="Cambria" w:hAnsi="Cambria"/>
          <w:sz w:val="20"/>
          <w:szCs w:val="20"/>
          <w:lang w:val="es-PA"/>
        </w:rPr>
        <w:t xml:space="preserve"> 6 de febrero de 2004 interpuso una demanda penal contra el </w:t>
      </w:r>
      <w:r w:rsidR="00C82833" w:rsidRPr="00E772A3">
        <w:rPr>
          <w:rFonts w:ascii="Cambria" w:hAnsi="Cambria"/>
          <w:sz w:val="20"/>
          <w:szCs w:val="20"/>
          <w:lang w:val="es-PA"/>
        </w:rPr>
        <w:t>médico</w:t>
      </w:r>
      <w:r w:rsidR="00C67362" w:rsidRPr="00E772A3">
        <w:rPr>
          <w:rFonts w:ascii="Cambria" w:hAnsi="Cambria"/>
          <w:sz w:val="20"/>
          <w:szCs w:val="20"/>
          <w:lang w:val="es-PA"/>
        </w:rPr>
        <w:t xml:space="preserve"> que encabezó su operación y el hospital donde </w:t>
      </w:r>
      <w:r w:rsidRPr="00E772A3">
        <w:rPr>
          <w:rFonts w:ascii="Cambria" w:hAnsi="Cambria"/>
          <w:sz w:val="20"/>
          <w:szCs w:val="20"/>
          <w:lang w:val="es-PA"/>
        </w:rPr>
        <w:t>fue realizada</w:t>
      </w:r>
      <w:r w:rsidR="00C67362" w:rsidRPr="00E772A3">
        <w:rPr>
          <w:rFonts w:ascii="Cambria" w:hAnsi="Cambria"/>
          <w:sz w:val="20"/>
          <w:szCs w:val="20"/>
          <w:lang w:val="es-PA"/>
        </w:rPr>
        <w:t xml:space="preserve">, </w:t>
      </w:r>
      <w:r w:rsidRPr="00E772A3">
        <w:rPr>
          <w:rFonts w:ascii="Cambria" w:hAnsi="Cambria"/>
          <w:sz w:val="20"/>
          <w:szCs w:val="20"/>
          <w:lang w:val="es-PA"/>
        </w:rPr>
        <w:t>en que les acusó</w:t>
      </w:r>
      <w:r w:rsidR="00C67362" w:rsidRPr="00E772A3">
        <w:rPr>
          <w:rFonts w:ascii="Cambria" w:hAnsi="Cambria"/>
          <w:sz w:val="20"/>
          <w:szCs w:val="20"/>
          <w:lang w:val="es-PA"/>
        </w:rPr>
        <w:t xml:space="preserve"> de </w:t>
      </w:r>
      <w:r w:rsidRPr="00E772A3">
        <w:rPr>
          <w:rFonts w:ascii="Cambria" w:hAnsi="Cambria"/>
          <w:sz w:val="20"/>
          <w:szCs w:val="20"/>
          <w:lang w:val="es-PA"/>
        </w:rPr>
        <w:t xml:space="preserve">falta de </w:t>
      </w:r>
      <w:r w:rsidR="00C67362" w:rsidRPr="00E772A3">
        <w:rPr>
          <w:rFonts w:ascii="Cambria" w:hAnsi="Cambria"/>
          <w:sz w:val="20"/>
          <w:szCs w:val="20"/>
          <w:lang w:val="es-PA"/>
        </w:rPr>
        <w:t>fidelidad profesional y de daño moral, económico y f</w:t>
      </w:r>
      <w:r w:rsidR="002D471C" w:rsidRPr="00E772A3">
        <w:rPr>
          <w:rFonts w:ascii="Cambria" w:hAnsi="Cambria"/>
          <w:sz w:val="20"/>
          <w:szCs w:val="20"/>
          <w:lang w:val="es-PA"/>
        </w:rPr>
        <w:t xml:space="preserve">ísico. Sin embargo, el 18 de junio de 2004 el agente del </w:t>
      </w:r>
      <w:r w:rsidRPr="00E772A3">
        <w:rPr>
          <w:rFonts w:ascii="Cambria" w:hAnsi="Cambria"/>
          <w:sz w:val="20"/>
          <w:szCs w:val="20"/>
          <w:lang w:val="es-PA"/>
        </w:rPr>
        <w:t>M</w:t>
      </w:r>
      <w:r w:rsidR="002D471C" w:rsidRPr="00E772A3">
        <w:rPr>
          <w:rFonts w:ascii="Cambria" w:hAnsi="Cambria"/>
          <w:sz w:val="20"/>
          <w:szCs w:val="20"/>
          <w:lang w:val="es-PA"/>
        </w:rPr>
        <w:t xml:space="preserve">inisterio </w:t>
      </w:r>
      <w:r w:rsidRPr="00E772A3">
        <w:rPr>
          <w:rFonts w:ascii="Cambria" w:hAnsi="Cambria"/>
          <w:sz w:val="20"/>
          <w:szCs w:val="20"/>
          <w:lang w:val="es-PA"/>
        </w:rPr>
        <w:t>P</w:t>
      </w:r>
      <w:r w:rsidR="002D471C" w:rsidRPr="00E772A3">
        <w:rPr>
          <w:rFonts w:ascii="Cambria" w:hAnsi="Cambria"/>
          <w:sz w:val="20"/>
          <w:szCs w:val="20"/>
          <w:lang w:val="es-PA"/>
        </w:rPr>
        <w:t xml:space="preserve">úblico a cargo de su demanda decidió que no ejercería la acción penal, </w:t>
      </w:r>
      <w:r w:rsidRPr="00E772A3">
        <w:rPr>
          <w:rFonts w:ascii="Cambria" w:hAnsi="Cambria"/>
          <w:sz w:val="20"/>
          <w:szCs w:val="20"/>
          <w:lang w:val="es-PA"/>
        </w:rPr>
        <w:t>lo</w:t>
      </w:r>
      <w:r w:rsidR="002D471C" w:rsidRPr="00E772A3">
        <w:rPr>
          <w:rFonts w:ascii="Cambria" w:hAnsi="Cambria"/>
          <w:sz w:val="20"/>
          <w:szCs w:val="20"/>
          <w:lang w:val="es-PA"/>
        </w:rPr>
        <w:t xml:space="preserve"> que fue luego confirmad</w:t>
      </w:r>
      <w:r w:rsidRPr="00E772A3">
        <w:rPr>
          <w:rFonts w:ascii="Cambria" w:hAnsi="Cambria"/>
          <w:sz w:val="20"/>
          <w:szCs w:val="20"/>
          <w:lang w:val="es-PA"/>
        </w:rPr>
        <w:t>o</w:t>
      </w:r>
      <w:r w:rsidR="002D471C" w:rsidRPr="00E772A3">
        <w:rPr>
          <w:rFonts w:ascii="Cambria" w:hAnsi="Cambria"/>
          <w:sz w:val="20"/>
          <w:szCs w:val="20"/>
          <w:lang w:val="es-PA"/>
        </w:rPr>
        <w:t xml:space="preserve"> por el Procurador General de Justicia del Estado mediante resolución de 17 de agosto de 2004. </w:t>
      </w:r>
      <w:r w:rsidRPr="00E772A3">
        <w:rPr>
          <w:rFonts w:ascii="Cambria" w:hAnsi="Cambria"/>
          <w:sz w:val="20"/>
          <w:szCs w:val="20"/>
          <w:lang w:val="es-PA"/>
        </w:rPr>
        <w:t>I</w:t>
      </w:r>
      <w:r w:rsidR="002D471C" w:rsidRPr="00E772A3">
        <w:rPr>
          <w:rFonts w:ascii="Cambria" w:hAnsi="Cambria"/>
          <w:sz w:val="20"/>
          <w:szCs w:val="20"/>
          <w:lang w:val="es-PA"/>
        </w:rPr>
        <w:t xml:space="preserve">mpugnó </w:t>
      </w:r>
      <w:r w:rsidRPr="00E772A3">
        <w:rPr>
          <w:rFonts w:ascii="Cambria" w:hAnsi="Cambria"/>
          <w:sz w:val="20"/>
          <w:szCs w:val="20"/>
          <w:lang w:val="es-PA"/>
        </w:rPr>
        <w:t>dicha</w:t>
      </w:r>
      <w:r w:rsidR="002D471C" w:rsidRPr="00E772A3">
        <w:rPr>
          <w:rFonts w:ascii="Cambria" w:hAnsi="Cambria"/>
          <w:sz w:val="20"/>
          <w:szCs w:val="20"/>
          <w:lang w:val="es-PA"/>
        </w:rPr>
        <w:t xml:space="preserve"> resolución del procurador mediante un juicio de nulidad</w:t>
      </w:r>
      <w:r w:rsidRPr="00E772A3">
        <w:rPr>
          <w:rFonts w:ascii="Cambria" w:hAnsi="Cambria"/>
          <w:sz w:val="20"/>
          <w:szCs w:val="20"/>
          <w:lang w:val="es-PA"/>
        </w:rPr>
        <w:t>; el 21 de abril de 2005,</w:t>
      </w:r>
      <w:r w:rsidR="002D471C" w:rsidRPr="00E772A3">
        <w:rPr>
          <w:rFonts w:ascii="Cambria" w:hAnsi="Cambria"/>
          <w:sz w:val="20"/>
          <w:szCs w:val="20"/>
          <w:lang w:val="es-PA"/>
        </w:rPr>
        <w:t xml:space="preserve"> el Tribunal de lo Contencioso Administrativo declar</w:t>
      </w:r>
      <w:r w:rsidR="00C82833" w:rsidRPr="00E772A3">
        <w:rPr>
          <w:rFonts w:ascii="Cambria" w:hAnsi="Cambria"/>
          <w:sz w:val="20"/>
          <w:szCs w:val="20"/>
          <w:lang w:val="es-PA"/>
        </w:rPr>
        <w:t>ó</w:t>
      </w:r>
      <w:r w:rsidR="002D471C" w:rsidRPr="00E772A3">
        <w:rPr>
          <w:rFonts w:ascii="Cambria" w:hAnsi="Cambria"/>
          <w:sz w:val="20"/>
          <w:szCs w:val="20"/>
          <w:lang w:val="es-PA"/>
        </w:rPr>
        <w:t xml:space="preserve"> la legalidad y validez del acto impugnado. </w:t>
      </w:r>
      <w:r w:rsidR="00184DAE" w:rsidRPr="00E772A3">
        <w:rPr>
          <w:rFonts w:ascii="Cambria" w:hAnsi="Cambria"/>
          <w:sz w:val="20"/>
          <w:szCs w:val="20"/>
          <w:lang w:val="es-PA"/>
        </w:rPr>
        <w:t>Contra esta decisión interpuso una acción de amparo</w:t>
      </w:r>
      <w:r w:rsidR="00C82833" w:rsidRPr="00E772A3">
        <w:rPr>
          <w:rFonts w:ascii="Cambria" w:hAnsi="Cambria"/>
          <w:sz w:val="20"/>
          <w:szCs w:val="20"/>
          <w:lang w:val="es-PA"/>
        </w:rPr>
        <w:t>, que fue decidid</w:t>
      </w:r>
      <w:r w:rsidR="00655B96">
        <w:rPr>
          <w:rFonts w:ascii="Cambria" w:hAnsi="Cambria"/>
          <w:sz w:val="20"/>
          <w:szCs w:val="20"/>
          <w:lang w:val="es-PA"/>
        </w:rPr>
        <w:t>a</w:t>
      </w:r>
      <w:r w:rsidR="00C82833" w:rsidRPr="00E772A3">
        <w:rPr>
          <w:rFonts w:ascii="Cambria" w:hAnsi="Cambria"/>
          <w:sz w:val="20"/>
          <w:szCs w:val="20"/>
          <w:lang w:val="es-PA"/>
        </w:rPr>
        <w:t xml:space="preserve"> a su favor por</w:t>
      </w:r>
      <w:r w:rsidR="00184DAE" w:rsidRPr="00E772A3">
        <w:rPr>
          <w:rFonts w:ascii="Cambria" w:hAnsi="Cambria"/>
          <w:sz w:val="20"/>
          <w:szCs w:val="20"/>
          <w:lang w:val="es-PA"/>
        </w:rPr>
        <w:t xml:space="preserve"> el Segundo Tribunal Colegiado del Noveno Circuito concediera. Para llegar a esta decisión</w:t>
      </w:r>
      <w:r w:rsidR="00C82833" w:rsidRPr="00E772A3">
        <w:rPr>
          <w:rFonts w:ascii="Cambria" w:hAnsi="Cambria"/>
          <w:sz w:val="20"/>
          <w:szCs w:val="20"/>
          <w:lang w:val="es-PA"/>
        </w:rPr>
        <w:t>,</w:t>
      </w:r>
      <w:r w:rsidR="00184DAE" w:rsidRPr="00E772A3">
        <w:rPr>
          <w:rFonts w:ascii="Cambria" w:hAnsi="Cambria"/>
          <w:sz w:val="20"/>
          <w:szCs w:val="20"/>
          <w:lang w:val="es-PA"/>
        </w:rPr>
        <w:t xml:space="preserve"> el Segundo Tribunal valoró que el Tribunal de lo Contencioso Administrativo no había </w:t>
      </w:r>
      <w:r w:rsidR="00BD66DC" w:rsidRPr="00E772A3">
        <w:rPr>
          <w:rFonts w:ascii="Cambria" w:hAnsi="Cambria"/>
          <w:sz w:val="20"/>
          <w:szCs w:val="20"/>
          <w:lang w:val="es-PA"/>
        </w:rPr>
        <w:t>dado debida consideración</w:t>
      </w:r>
      <w:r w:rsidR="00C82833" w:rsidRPr="00E772A3">
        <w:rPr>
          <w:rFonts w:ascii="Cambria" w:hAnsi="Cambria"/>
          <w:sz w:val="20"/>
          <w:szCs w:val="20"/>
          <w:lang w:val="es-PA"/>
        </w:rPr>
        <w:t xml:space="preserve"> a la falta de</w:t>
      </w:r>
      <w:r w:rsidR="00BD66DC" w:rsidRPr="00E772A3">
        <w:rPr>
          <w:rFonts w:ascii="Cambria" w:hAnsi="Cambria"/>
          <w:sz w:val="20"/>
          <w:szCs w:val="20"/>
          <w:lang w:val="es-PA"/>
        </w:rPr>
        <w:t xml:space="preserve"> </w:t>
      </w:r>
      <w:r w:rsidR="00C82833" w:rsidRPr="00E772A3">
        <w:rPr>
          <w:rFonts w:ascii="Cambria" w:hAnsi="Cambria"/>
          <w:sz w:val="20"/>
          <w:szCs w:val="20"/>
          <w:lang w:val="es-PA"/>
        </w:rPr>
        <w:t xml:space="preserve">cumplimiento de las leyes aplicables debido a que </w:t>
      </w:r>
      <w:r w:rsidR="00BD66DC" w:rsidRPr="00E772A3">
        <w:rPr>
          <w:rFonts w:ascii="Cambria" w:hAnsi="Cambria"/>
          <w:sz w:val="20"/>
          <w:szCs w:val="20"/>
          <w:lang w:val="es-PA"/>
        </w:rPr>
        <w:t xml:space="preserve">el expediente clínico del demandante no </w:t>
      </w:r>
      <w:r w:rsidR="00C82833" w:rsidRPr="00E772A3">
        <w:rPr>
          <w:rFonts w:ascii="Cambria" w:hAnsi="Cambria"/>
          <w:sz w:val="20"/>
          <w:szCs w:val="20"/>
          <w:lang w:val="es-PA"/>
        </w:rPr>
        <w:t>incluía</w:t>
      </w:r>
      <w:r w:rsidR="00BD66DC" w:rsidRPr="00E772A3">
        <w:rPr>
          <w:rFonts w:ascii="Cambria" w:hAnsi="Cambria"/>
          <w:sz w:val="20"/>
          <w:szCs w:val="20"/>
          <w:lang w:val="es-PA"/>
        </w:rPr>
        <w:t xml:space="preserve"> una hoja de consentimiento con </w:t>
      </w:r>
      <w:r w:rsidR="00C82833" w:rsidRPr="00E772A3">
        <w:rPr>
          <w:rFonts w:ascii="Cambria" w:hAnsi="Cambria"/>
          <w:sz w:val="20"/>
          <w:szCs w:val="20"/>
          <w:lang w:val="es-PA"/>
        </w:rPr>
        <w:t>su</w:t>
      </w:r>
      <w:r w:rsidR="00BD66DC" w:rsidRPr="00E772A3">
        <w:rPr>
          <w:rFonts w:ascii="Cambria" w:hAnsi="Cambria"/>
          <w:sz w:val="20"/>
          <w:szCs w:val="20"/>
          <w:lang w:val="es-PA"/>
        </w:rPr>
        <w:t xml:space="preserve"> firma. Consecuentemente, el Tribunal de lo Contencioso Administrativo </w:t>
      </w:r>
      <w:r w:rsidR="001D1175" w:rsidRPr="00E772A3">
        <w:rPr>
          <w:rFonts w:ascii="Cambria" w:hAnsi="Cambria"/>
          <w:sz w:val="20"/>
          <w:szCs w:val="20"/>
          <w:lang w:val="es-PA"/>
        </w:rPr>
        <w:t xml:space="preserve">emitió el 12 de enero de 2006 una nueva decisión </w:t>
      </w:r>
      <w:r w:rsidR="00C82833" w:rsidRPr="00E772A3">
        <w:rPr>
          <w:rFonts w:ascii="Cambria" w:hAnsi="Cambria"/>
          <w:sz w:val="20"/>
          <w:szCs w:val="20"/>
          <w:lang w:val="es-PA"/>
        </w:rPr>
        <w:t xml:space="preserve">en la que </w:t>
      </w:r>
      <w:r w:rsidR="001D1175" w:rsidRPr="00E772A3">
        <w:rPr>
          <w:rFonts w:ascii="Cambria" w:hAnsi="Cambria"/>
          <w:sz w:val="20"/>
          <w:szCs w:val="20"/>
          <w:lang w:val="es-PA"/>
        </w:rPr>
        <w:t>declar</w:t>
      </w:r>
      <w:r w:rsidR="00C82833" w:rsidRPr="00E772A3">
        <w:rPr>
          <w:rFonts w:ascii="Cambria" w:hAnsi="Cambria"/>
          <w:sz w:val="20"/>
          <w:szCs w:val="20"/>
          <w:lang w:val="es-PA"/>
        </w:rPr>
        <w:t>ó</w:t>
      </w:r>
      <w:r w:rsidR="001D1175" w:rsidRPr="00E772A3">
        <w:rPr>
          <w:rFonts w:ascii="Cambria" w:hAnsi="Cambria"/>
          <w:sz w:val="20"/>
          <w:szCs w:val="20"/>
          <w:lang w:val="es-PA"/>
        </w:rPr>
        <w:t xml:space="preserve"> la nulidad de la resolución </w:t>
      </w:r>
      <w:r w:rsidR="00C82833" w:rsidRPr="00E772A3">
        <w:rPr>
          <w:rFonts w:ascii="Cambria" w:hAnsi="Cambria"/>
          <w:sz w:val="20"/>
          <w:szCs w:val="20"/>
          <w:lang w:val="es-PA"/>
        </w:rPr>
        <w:t>de 21 de abril de 2005</w:t>
      </w:r>
      <w:r w:rsidR="001D1175" w:rsidRPr="00E772A3">
        <w:rPr>
          <w:rFonts w:ascii="Cambria" w:hAnsi="Cambria"/>
          <w:sz w:val="20"/>
          <w:szCs w:val="20"/>
          <w:lang w:val="es-PA"/>
        </w:rPr>
        <w:t xml:space="preserve"> </w:t>
      </w:r>
      <w:r w:rsidR="00C82833" w:rsidRPr="00E772A3">
        <w:rPr>
          <w:rFonts w:ascii="Cambria" w:hAnsi="Cambria"/>
          <w:sz w:val="20"/>
          <w:szCs w:val="20"/>
          <w:lang w:val="es-PA"/>
        </w:rPr>
        <w:t>d</w:t>
      </w:r>
      <w:r w:rsidR="001D1175" w:rsidRPr="00E772A3">
        <w:rPr>
          <w:rFonts w:ascii="Cambria" w:hAnsi="Cambria"/>
          <w:sz w:val="20"/>
          <w:szCs w:val="20"/>
          <w:lang w:val="es-PA"/>
        </w:rPr>
        <w:t xml:space="preserve">el Procurador General.  Indica que el </w:t>
      </w:r>
      <w:r w:rsidR="00C82833" w:rsidRPr="00E772A3">
        <w:rPr>
          <w:rFonts w:ascii="Cambria" w:hAnsi="Cambria"/>
          <w:sz w:val="20"/>
          <w:szCs w:val="20"/>
          <w:lang w:val="es-PA"/>
        </w:rPr>
        <w:t>médico</w:t>
      </w:r>
      <w:r w:rsidR="001D1175" w:rsidRPr="00E772A3">
        <w:rPr>
          <w:rFonts w:ascii="Cambria" w:hAnsi="Cambria"/>
          <w:sz w:val="20"/>
          <w:szCs w:val="20"/>
          <w:lang w:val="es-PA"/>
        </w:rPr>
        <w:t xml:space="preserve"> demandado presentó </w:t>
      </w:r>
      <w:r w:rsidR="00C82833" w:rsidRPr="00E772A3">
        <w:rPr>
          <w:rFonts w:ascii="Cambria" w:hAnsi="Cambria"/>
          <w:sz w:val="20"/>
          <w:szCs w:val="20"/>
          <w:lang w:val="es-PA"/>
        </w:rPr>
        <w:t xml:space="preserve">una </w:t>
      </w:r>
      <w:r w:rsidR="001D1175" w:rsidRPr="00E772A3">
        <w:rPr>
          <w:rFonts w:ascii="Cambria" w:hAnsi="Cambria"/>
          <w:sz w:val="20"/>
          <w:szCs w:val="20"/>
          <w:lang w:val="es-PA"/>
        </w:rPr>
        <w:t xml:space="preserve">acción de amparo contra esta declaratoria de nulidad, </w:t>
      </w:r>
      <w:r w:rsidR="00C82833" w:rsidRPr="00E772A3">
        <w:rPr>
          <w:rFonts w:ascii="Cambria" w:hAnsi="Cambria"/>
          <w:sz w:val="20"/>
          <w:szCs w:val="20"/>
          <w:lang w:val="es-PA"/>
        </w:rPr>
        <w:t xml:space="preserve">que fue </w:t>
      </w:r>
      <w:r w:rsidR="001D1175" w:rsidRPr="00E772A3">
        <w:rPr>
          <w:rFonts w:ascii="Cambria" w:hAnsi="Cambria"/>
          <w:sz w:val="20"/>
          <w:szCs w:val="20"/>
          <w:lang w:val="es-PA"/>
        </w:rPr>
        <w:t xml:space="preserve">negada </w:t>
      </w:r>
      <w:r w:rsidR="00C82833" w:rsidRPr="00E772A3">
        <w:rPr>
          <w:rFonts w:ascii="Cambria" w:hAnsi="Cambria"/>
          <w:sz w:val="20"/>
          <w:szCs w:val="20"/>
          <w:lang w:val="es-PA"/>
        </w:rPr>
        <w:t xml:space="preserve">el 18 de agosto de 2006 </w:t>
      </w:r>
      <w:r w:rsidR="001D1175" w:rsidRPr="00E772A3">
        <w:rPr>
          <w:rFonts w:ascii="Cambria" w:hAnsi="Cambria"/>
          <w:sz w:val="20"/>
          <w:szCs w:val="20"/>
          <w:lang w:val="es-PA"/>
        </w:rPr>
        <w:t xml:space="preserve">por el Tercer Tribunal Colegiado del Noveno Circuito. </w:t>
      </w:r>
    </w:p>
    <w:p w14:paraId="7D983CAE" w14:textId="74921A47" w:rsidR="0011020F" w:rsidRPr="00E772A3" w:rsidRDefault="00C82833" w:rsidP="001102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772A3">
        <w:rPr>
          <w:rFonts w:ascii="Cambria" w:hAnsi="Cambria"/>
          <w:sz w:val="20"/>
          <w:szCs w:val="20"/>
          <w:lang w:val="es-PA"/>
        </w:rPr>
        <w:t>P</w:t>
      </w:r>
      <w:r w:rsidR="001D1175" w:rsidRPr="00E772A3">
        <w:rPr>
          <w:rFonts w:ascii="Cambria" w:hAnsi="Cambria"/>
          <w:sz w:val="20"/>
          <w:szCs w:val="20"/>
          <w:lang w:val="es-PA"/>
        </w:rPr>
        <w:t xml:space="preserve">ese a la sentencia de amparo a su favor y </w:t>
      </w:r>
      <w:r w:rsidRPr="00E772A3">
        <w:rPr>
          <w:rFonts w:ascii="Cambria" w:hAnsi="Cambria"/>
          <w:sz w:val="20"/>
          <w:szCs w:val="20"/>
          <w:lang w:val="es-PA"/>
        </w:rPr>
        <w:t>al</w:t>
      </w:r>
      <w:r w:rsidR="001D1175" w:rsidRPr="00E772A3">
        <w:rPr>
          <w:rFonts w:ascii="Cambria" w:hAnsi="Cambria"/>
          <w:sz w:val="20"/>
          <w:szCs w:val="20"/>
          <w:lang w:val="es-PA"/>
        </w:rPr>
        <w:t xml:space="preserve"> rechazo de la acción de amparo interpuesta por el </w:t>
      </w:r>
      <w:r w:rsidRPr="00E772A3">
        <w:rPr>
          <w:rFonts w:ascii="Cambria" w:hAnsi="Cambria"/>
          <w:sz w:val="20"/>
          <w:szCs w:val="20"/>
          <w:lang w:val="es-PA"/>
        </w:rPr>
        <w:t>médico</w:t>
      </w:r>
      <w:r w:rsidR="001D1175" w:rsidRPr="00E772A3">
        <w:rPr>
          <w:rFonts w:ascii="Cambria" w:hAnsi="Cambria"/>
          <w:sz w:val="20"/>
          <w:szCs w:val="20"/>
          <w:lang w:val="es-PA"/>
        </w:rPr>
        <w:t xml:space="preserve">, el </w:t>
      </w:r>
      <w:r w:rsidRPr="00E772A3">
        <w:rPr>
          <w:rFonts w:ascii="Cambria" w:hAnsi="Cambria"/>
          <w:sz w:val="20"/>
          <w:szCs w:val="20"/>
          <w:lang w:val="es-PA"/>
        </w:rPr>
        <w:t xml:space="preserve">6 de octubre de 2006 el </w:t>
      </w:r>
      <w:r w:rsidR="001D1175" w:rsidRPr="00E772A3">
        <w:rPr>
          <w:rFonts w:ascii="Cambria" w:hAnsi="Cambria"/>
          <w:sz w:val="20"/>
          <w:szCs w:val="20"/>
          <w:lang w:val="es-PA"/>
        </w:rPr>
        <w:t>Procurador General del Estado emiti</w:t>
      </w:r>
      <w:r w:rsidRPr="00E772A3">
        <w:rPr>
          <w:rFonts w:ascii="Cambria" w:hAnsi="Cambria"/>
          <w:sz w:val="20"/>
          <w:szCs w:val="20"/>
          <w:lang w:val="es-PA"/>
        </w:rPr>
        <w:t>ó</w:t>
      </w:r>
      <w:r w:rsidR="001D1175" w:rsidRPr="00E772A3">
        <w:rPr>
          <w:rFonts w:ascii="Cambria" w:hAnsi="Cambria"/>
          <w:sz w:val="20"/>
          <w:szCs w:val="20"/>
          <w:lang w:val="es-PA"/>
        </w:rPr>
        <w:t xml:space="preserve"> </w:t>
      </w:r>
      <w:r w:rsidRPr="00E772A3">
        <w:rPr>
          <w:rFonts w:ascii="Cambria" w:hAnsi="Cambria"/>
          <w:sz w:val="20"/>
          <w:szCs w:val="20"/>
          <w:lang w:val="es-PA"/>
        </w:rPr>
        <w:t xml:space="preserve">otra </w:t>
      </w:r>
      <w:r w:rsidR="001D1175" w:rsidRPr="00E772A3">
        <w:rPr>
          <w:rFonts w:ascii="Cambria" w:hAnsi="Cambria"/>
          <w:sz w:val="20"/>
          <w:szCs w:val="20"/>
          <w:lang w:val="es-PA"/>
        </w:rPr>
        <w:t xml:space="preserve">resolución </w:t>
      </w:r>
      <w:r w:rsidRPr="00E772A3">
        <w:rPr>
          <w:rFonts w:ascii="Cambria" w:hAnsi="Cambria"/>
          <w:sz w:val="20"/>
          <w:szCs w:val="20"/>
          <w:lang w:val="es-PA"/>
        </w:rPr>
        <w:t xml:space="preserve">en la que </w:t>
      </w:r>
      <w:r w:rsidR="001D1175" w:rsidRPr="00E772A3">
        <w:rPr>
          <w:rFonts w:ascii="Cambria" w:hAnsi="Cambria"/>
          <w:sz w:val="20"/>
          <w:szCs w:val="20"/>
          <w:lang w:val="es-PA"/>
        </w:rPr>
        <w:t>determin</w:t>
      </w:r>
      <w:r w:rsidRPr="00E772A3">
        <w:rPr>
          <w:rFonts w:ascii="Cambria" w:hAnsi="Cambria"/>
          <w:sz w:val="20"/>
          <w:szCs w:val="20"/>
          <w:lang w:val="es-PA"/>
        </w:rPr>
        <w:t>ó</w:t>
      </w:r>
      <w:r w:rsidR="001D1175" w:rsidRPr="00E772A3">
        <w:rPr>
          <w:rFonts w:ascii="Cambria" w:hAnsi="Cambria"/>
          <w:sz w:val="20"/>
          <w:szCs w:val="20"/>
          <w:lang w:val="es-PA"/>
        </w:rPr>
        <w:t xml:space="preserve"> nuevamente que no ejercitaría la acci</w:t>
      </w:r>
      <w:r w:rsidR="00310C8F" w:rsidRPr="00E772A3">
        <w:rPr>
          <w:rFonts w:ascii="Cambria" w:hAnsi="Cambria"/>
          <w:sz w:val="20"/>
          <w:szCs w:val="20"/>
          <w:lang w:val="es-PA"/>
        </w:rPr>
        <w:t xml:space="preserve">ón penal contra el </w:t>
      </w:r>
      <w:r w:rsidRPr="00E772A3">
        <w:rPr>
          <w:rFonts w:ascii="Cambria" w:hAnsi="Cambria"/>
          <w:sz w:val="20"/>
          <w:szCs w:val="20"/>
          <w:lang w:val="es-PA"/>
        </w:rPr>
        <w:t>médico</w:t>
      </w:r>
      <w:r w:rsidR="00310C8F" w:rsidRPr="00E772A3">
        <w:rPr>
          <w:rFonts w:ascii="Cambria" w:hAnsi="Cambria"/>
          <w:sz w:val="20"/>
          <w:szCs w:val="20"/>
          <w:lang w:val="es-PA"/>
        </w:rPr>
        <w:t xml:space="preserve"> y el hospital. El peticionario impugnó esta nueva resolución</w:t>
      </w:r>
      <w:r w:rsidRPr="00E772A3">
        <w:rPr>
          <w:rFonts w:ascii="Cambria" w:hAnsi="Cambria"/>
          <w:sz w:val="20"/>
          <w:szCs w:val="20"/>
          <w:lang w:val="es-PA"/>
        </w:rPr>
        <w:t>,</w:t>
      </w:r>
      <w:r w:rsidR="00310C8F" w:rsidRPr="00E772A3">
        <w:rPr>
          <w:rFonts w:ascii="Cambria" w:hAnsi="Cambria"/>
          <w:sz w:val="20"/>
          <w:szCs w:val="20"/>
          <w:lang w:val="es-PA"/>
        </w:rPr>
        <w:t xml:space="preserve"> </w:t>
      </w:r>
      <w:r w:rsidRPr="00E772A3">
        <w:rPr>
          <w:rFonts w:ascii="Cambria" w:hAnsi="Cambria"/>
          <w:sz w:val="20"/>
          <w:szCs w:val="20"/>
          <w:lang w:val="es-PA"/>
        </w:rPr>
        <w:t>pero</w:t>
      </w:r>
      <w:r w:rsidR="00310C8F" w:rsidRPr="00E772A3">
        <w:rPr>
          <w:rFonts w:ascii="Cambria" w:hAnsi="Cambria"/>
          <w:sz w:val="20"/>
          <w:szCs w:val="20"/>
          <w:lang w:val="es-PA"/>
        </w:rPr>
        <w:t xml:space="preserve"> el Tribunal de lo Contencioso Administrativo confirm</w:t>
      </w:r>
      <w:r w:rsidRPr="00E772A3">
        <w:rPr>
          <w:rFonts w:ascii="Cambria" w:hAnsi="Cambria"/>
          <w:sz w:val="20"/>
          <w:szCs w:val="20"/>
          <w:lang w:val="es-PA"/>
        </w:rPr>
        <w:t>ó</w:t>
      </w:r>
      <w:r w:rsidR="00310C8F" w:rsidRPr="00E772A3">
        <w:rPr>
          <w:rFonts w:ascii="Cambria" w:hAnsi="Cambria"/>
          <w:sz w:val="20"/>
          <w:szCs w:val="20"/>
          <w:lang w:val="es-PA"/>
        </w:rPr>
        <w:t xml:space="preserve"> el 7 de junio de 2007 la legalidad y validez de lo determinado </w:t>
      </w:r>
      <w:r w:rsidR="00BE7F46" w:rsidRPr="00E772A3">
        <w:rPr>
          <w:rFonts w:ascii="Cambria" w:hAnsi="Cambria"/>
          <w:sz w:val="20"/>
          <w:szCs w:val="20"/>
          <w:lang w:val="es-PA"/>
        </w:rPr>
        <w:t>por el Procurador</w:t>
      </w:r>
      <w:r w:rsidRPr="00E772A3">
        <w:rPr>
          <w:rFonts w:ascii="Cambria" w:hAnsi="Cambria"/>
          <w:sz w:val="20"/>
          <w:szCs w:val="20"/>
          <w:lang w:val="es-PA"/>
        </w:rPr>
        <w:t>;</w:t>
      </w:r>
      <w:r w:rsidR="00BE7F46" w:rsidRPr="00E772A3">
        <w:rPr>
          <w:rFonts w:ascii="Cambria" w:hAnsi="Cambria"/>
          <w:sz w:val="20"/>
          <w:szCs w:val="20"/>
          <w:lang w:val="es-PA"/>
        </w:rPr>
        <w:t xml:space="preserve"> </w:t>
      </w:r>
      <w:r w:rsidRPr="00E772A3">
        <w:rPr>
          <w:rFonts w:ascii="Cambria" w:hAnsi="Cambria"/>
          <w:sz w:val="20"/>
          <w:szCs w:val="20"/>
          <w:lang w:val="es-PA"/>
        </w:rPr>
        <w:t>el</w:t>
      </w:r>
      <w:r w:rsidR="00BE7F46" w:rsidRPr="00E772A3">
        <w:rPr>
          <w:rFonts w:ascii="Cambria" w:hAnsi="Cambria"/>
          <w:sz w:val="20"/>
          <w:szCs w:val="20"/>
          <w:lang w:val="es-PA"/>
        </w:rPr>
        <w:t xml:space="preserve"> </w:t>
      </w:r>
      <w:r w:rsidRPr="00E772A3">
        <w:rPr>
          <w:rFonts w:ascii="Cambria" w:hAnsi="Cambria"/>
          <w:sz w:val="20"/>
          <w:szCs w:val="20"/>
          <w:lang w:val="es-PA"/>
        </w:rPr>
        <w:t>p</w:t>
      </w:r>
      <w:r w:rsidR="00BE7F46" w:rsidRPr="00E772A3">
        <w:rPr>
          <w:rFonts w:ascii="Cambria" w:hAnsi="Cambria"/>
          <w:sz w:val="20"/>
          <w:szCs w:val="20"/>
          <w:lang w:val="es-PA"/>
        </w:rPr>
        <w:t xml:space="preserve">eticionario impugnó esta declaratoria de legalidad mediante una nueva acción de amparo, </w:t>
      </w:r>
      <w:r w:rsidRPr="00E772A3">
        <w:rPr>
          <w:rFonts w:ascii="Cambria" w:hAnsi="Cambria"/>
          <w:sz w:val="20"/>
          <w:szCs w:val="20"/>
          <w:lang w:val="es-PA"/>
        </w:rPr>
        <w:t>que le fue</w:t>
      </w:r>
      <w:r w:rsidR="00BE7F46" w:rsidRPr="00E772A3">
        <w:rPr>
          <w:rFonts w:ascii="Cambria" w:hAnsi="Cambria"/>
          <w:sz w:val="20"/>
          <w:szCs w:val="20"/>
          <w:lang w:val="es-PA"/>
        </w:rPr>
        <w:t xml:space="preserve"> negada el 31 de octubre de 2007 por el Primer Tribunal</w:t>
      </w:r>
      <w:r w:rsidR="00D24BA8" w:rsidRPr="00E772A3">
        <w:rPr>
          <w:rFonts w:ascii="Cambria" w:hAnsi="Cambria"/>
          <w:sz w:val="20"/>
          <w:szCs w:val="20"/>
          <w:lang w:val="es-PA"/>
        </w:rPr>
        <w:t xml:space="preserve"> Colegiado del Noveno Circuito. En cuanto a la ausencia </w:t>
      </w:r>
      <w:r w:rsidRPr="00E772A3">
        <w:rPr>
          <w:rFonts w:ascii="Cambria" w:hAnsi="Cambria"/>
          <w:sz w:val="20"/>
          <w:szCs w:val="20"/>
          <w:lang w:val="es-PA"/>
        </w:rPr>
        <w:t xml:space="preserve">de la hoja de consentimiento informado </w:t>
      </w:r>
      <w:r w:rsidR="00D24BA8" w:rsidRPr="00E772A3">
        <w:rPr>
          <w:rFonts w:ascii="Cambria" w:hAnsi="Cambria"/>
          <w:sz w:val="20"/>
          <w:szCs w:val="20"/>
          <w:lang w:val="es-PA"/>
        </w:rPr>
        <w:t>en el expediente clínico, el tribunal determinó que este elemento</w:t>
      </w:r>
      <w:r w:rsidRPr="00E772A3">
        <w:rPr>
          <w:rFonts w:ascii="Cambria" w:hAnsi="Cambria"/>
          <w:sz w:val="20"/>
          <w:szCs w:val="20"/>
          <w:lang w:val="es-PA"/>
        </w:rPr>
        <w:t xml:space="preserve"> era </w:t>
      </w:r>
      <w:r w:rsidR="00D24BA8" w:rsidRPr="00E772A3">
        <w:rPr>
          <w:rFonts w:ascii="Cambria" w:hAnsi="Cambria"/>
          <w:sz w:val="20"/>
          <w:szCs w:val="20"/>
          <w:lang w:val="es-PA"/>
        </w:rPr>
        <w:t xml:space="preserve">cierto, </w:t>
      </w:r>
      <w:r w:rsidRPr="00E772A3">
        <w:rPr>
          <w:rFonts w:ascii="Cambria" w:hAnsi="Cambria"/>
          <w:sz w:val="20"/>
          <w:szCs w:val="20"/>
          <w:lang w:val="es-PA"/>
        </w:rPr>
        <w:t xml:space="preserve">pero </w:t>
      </w:r>
      <w:r w:rsidR="00D24BA8" w:rsidRPr="00E772A3">
        <w:rPr>
          <w:rFonts w:ascii="Cambria" w:hAnsi="Cambria"/>
          <w:sz w:val="20"/>
          <w:szCs w:val="20"/>
          <w:lang w:val="es-PA"/>
        </w:rPr>
        <w:t xml:space="preserve">resultaba insuficiente para invalidar la decisión de no ejercicio de la acción penal. </w:t>
      </w:r>
      <w:r w:rsidRPr="00E772A3">
        <w:rPr>
          <w:rFonts w:ascii="Cambria" w:hAnsi="Cambria"/>
          <w:sz w:val="20"/>
          <w:szCs w:val="20"/>
          <w:lang w:val="es-PA"/>
        </w:rPr>
        <w:t>A</w:t>
      </w:r>
      <w:r w:rsidR="00D24BA8" w:rsidRPr="00E772A3">
        <w:rPr>
          <w:rFonts w:ascii="Cambria" w:hAnsi="Cambria"/>
          <w:sz w:val="20"/>
          <w:szCs w:val="20"/>
          <w:lang w:val="es-PA"/>
        </w:rPr>
        <w:t xml:space="preserve"> juicio del tribunal </w:t>
      </w:r>
      <w:r w:rsidRPr="00E772A3">
        <w:rPr>
          <w:rFonts w:ascii="Cambria" w:hAnsi="Cambria"/>
          <w:sz w:val="20"/>
          <w:szCs w:val="20"/>
          <w:lang w:val="es-PA"/>
        </w:rPr>
        <w:t xml:space="preserve">la falta de solicitud de </w:t>
      </w:r>
      <w:r w:rsidR="00D24BA8" w:rsidRPr="00E772A3">
        <w:rPr>
          <w:rFonts w:ascii="Cambria" w:hAnsi="Cambria"/>
          <w:sz w:val="20"/>
          <w:szCs w:val="20"/>
          <w:lang w:val="es-PA"/>
        </w:rPr>
        <w:t xml:space="preserve">consentimiento escrito no estaba tipificado como delito y solo podía acarrear responsabilidades administrativas para el </w:t>
      </w:r>
      <w:r w:rsidRPr="00E772A3">
        <w:rPr>
          <w:rFonts w:ascii="Cambria" w:hAnsi="Cambria"/>
          <w:sz w:val="20"/>
          <w:szCs w:val="20"/>
          <w:lang w:val="es-PA"/>
        </w:rPr>
        <w:t>médico</w:t>
      </w:r>
      <w:r w:rsidR="00D24BA8" w:rsidRPr="00E772A3">
        <w:rPr>
          <w:rFonts w:ascii="Cambria" w:hAnsi="Cambria"/>
          <w:sz w:val="20"/>
          <w:szCs w:val="20"/>
          <w:lang w:val="es-PA"/>
        </w:rPr>
        <w:t xml:space="preserve">.  </w:t>
      </w:r>
      <w:r w:rsidR="00694677" w:rsidRPr="00E772A3">
        <w:rPr>
          <w:rFonts w:ascii="Cambria" w:hAnsi="Cambria"/>
          <w:sz w:val="20"/>
          <w:szCs w:val="20"/>
          <w:lang w:val="es-PA"/>
        </w:rPr>
        <w:t>Posteriormente, el peticionario presentó una queja contra el Primer Tribunal ante el Consejo de la Judicatura Federal</w:t>
      </w:r>
      <w:r w:rsidR="00E772A3" w:rsidRPr="00E772A3">
        <w:rPr>
          <w:rFonts w:ascii="Cambria" w:hAnsi="Cambria"/>
          <w:sz w:val="20"/>
          <w:szCs w:val="20"/>
          <w:lang w:val="es-PA"/>
        </w:rPr>
        <w:t>;</w:t>
      </w:r>
      <w:r w:rsidR="00694677" w:rsidRPr="00E772A3">
        <w:rPr>
          <w:rFonts w:ascii="Cambria" w:hAnsi="Cambria"/>
          <w:sz w:val="20"/>
          <w:szCs w:val="20"/>
          <w:lang w:val="es-PA"/>
        </w:rPr>
        <w:t xml:space="preserve"> el 9 de enero de 2008 </w:t>
      </w:r>
      <w:r w:rsidR="00E772A3" w:rsidRPr="00E772A3">
        <w:rPr>
          <w:rFonts w:ascii="Cambria" w:hAnsi="Cambria"/>
          <w:sz w:val="20"/>
          <w:szCs w:val="20"/>
          <w:lang w:val="es-PA"/>
        </w:rPr>
        <w:t>dicho</w:t>
      </w:r>
      <w:r w:rsidR="00694677" w:rsidRPr="00E772A3">
        <w:rPr>
          <w:rFonts w:ascii="Cambria" w:hAnsi="Cambria"/>
          <w:sz w:val="20"/>
          <w:szCs w:val="20"/>
          <w:lang w:val="es-PA"/>
        </w:rPr>
        <w:t xml:space="preserve"> Consejo </w:t>
      </w:r>
      <w:r w:rsidR="00E772A3" w:rsidRPr="00E772A3">
        <w:rPr>
          <w:rFonts w:ascii="Cambria" w:hAnsi="Cambria"/>
          <w:sz w:val="20"/>
          <w:szCs w:val="20"/>
          <w:lang w:val="es-PA"/>
        </w:rPr>
        <w:t>resolvió</w:t>
      </w:r>
      <w:r w:rsidR="00694677" w:rsidRPr="00E772A3">
        <w:rPr>
          <w:rFonts w:ascii="Cambria" w:hAnsi="Cambria"/>
          <w:sz w:val="20"/>
          <w:szCs w:val="20"/>
          <w:lang w:val="es-PA"/>
        </w:rPr>
        <w:t xml:space="preserve"> que no procedía la revisión del expediente de amparo ni la aplicación de sanciones administrativas contra el Primer Tribunal. </w:t>
      </w:r>
      <w:proofErr w:type="gramStart"/>
      <w:r w:rsidR="00606E98">
        <w:rPr>
          <w:rFonts w:ascii="Cambria" w:hAnsi="Cambria"/>
          <w:sz w:val="20"/>
          <w:szCs w:val="20"/>
          <w:lang w:val="es-PA"/>
        </w:rPr>
        <w:t>El peticio</w:t>
      </w:r>
      <w:r w:rsidR="00E772A3" w:rsidRPr="00E772A3">
        <w:rPr>
          <w:rFonts w:ascii="Cambria" w:hAnsi="Cambria"/>
          <w:sz w:val="20"/>
          <w:szCs w:val="20"/>
          <w:lang w:val="es-PA"/>
        </w:rPr>
        <w:t>nario</w:t>
      </w:r>
      <w:proofErr w:type="gramEnd"/>
      <w:r w:rsidR="00E772A3" w:rsidRPr="00E772A3">
        <w:rPr>
          <w:rFonts w:ascii="Cambria" w:hAnsi="Cambria"/>
          <w:sz w:val="20"/>
          <w:szCs w:val="20"/>
          <w:lang w:val="es-PA"/>
        </w:rPr>
        <w:t xml:space="preserve"> s</w:t>
      </w:r>
      <w:r w:rsidR="00694677" w:rsidRPr="00E772A3">
        <w:rPr>
          <w:rFonts w:ascii="Cambria" w:hAnsi="Cambria"/>
          <w:sz w:val="20"/>
          <w:szCs w:val="20"/>
          <w:lang w:val="es-PA"/>
        </w:rPr>
        <w:t xml:space="preserve">eñala que </w:t>
      </w:r>
      <w:r w:rsidR="00E772A3" w:rsidRPr="00E772A3">
        <w:rPr>
          <w:rFonts w:ascii="Cambria" w:hAnsi="Cambria"/>
          <w:sz w:val="20"/>
          <w:szCs w:val="20"/>
          <w:lang w:val="es-PA"/>
        </w:rPr>
        <w:t xml:space="preserve">el 14 de diciembre de 2008 recibió </w:t>
      </w:r>
      <w:r w:rsidR="00694677" w:rsidRPr="00E772A3">
        <w:rPr>
          <w:rFonts w:ascii="Cambria" w:hAnsi="Cambria"/>
          <w:sz w:val="20"/>
          <w:szCs w:val="20"/>
          <w:lang w:val="es-PA"/>
        </w:rPr>
        <w:t xml:space="preserve">las últimas notificaciones </w:t>
      </w:r>
      <w:r w:rsidR="00E772A3" w:rsidRPr="00E772A3">
        <w:rPr>
          <w:rFonts w:ascii="Cambria" w:hAnsi="Cambria"/>
          <w:sz w:val="20"/>
          <w:szCs w:val="20"/>
          <w:lang w:val="es-PA"/>
        </w:rPr>
        <w:t>con</w:t>
      </w:r>
      <w:r w:rsidR="00694677" w:rsidRPr="00E772A3">
        <w:rPr>
          <w:rFonts w:ascii="Cambria" w:hAnsi="Cambria"/>
          <w:sz w:val="20"/>
          <w:szCs w:val="20"/>
          <w:lang w:val="es-PA"/>
        </w:rPr>
        <w:t xml:space="preserve"> relación a </w:t>
      </w:r>
      <w:r w:rsidR="00E772A3" w:rsidRPr="00E772A3">
        <w:rPr>
          <w:rFonts w:ascii="Cambria" w:hAnsi="Cambria"/>
          <w:sz w:val="20"/>
          <w:szCs w:val="20"/>
          <w:lang w:val="es-PA"/>
        </w:rPr>
        <w:t>dicho</w:t>
      </w:r>
      <w:r w:rsidR="00694677" w:rsidRPr="00E772A3">
        <w:rPr>
          <w:rFonts w:ascii="Cambria" w:hAnsi="Cambria"/>
          <w:sz w:val="20"/>
          <w:szCs w:val="20"/>
          <w:lang w:val="es-PA"/>
        </w:rPr>
        <w:t xml:space="preserve"> proceso, en las que el Consejo de la Judicatura Federal y la Corte Suprema de Justicia le citaron para devolverle los expedientes que había presentado para revisión</w:t>
      </w:r>
      <w:r w:rsidR="00BE2813" w:rsidRPr="00E772A3">
        <w:rPr>
          <w:rFonts w:ascii="Cambria" w:hAnsi="Cambria"/>
          <w:sz w:val="20"/>
          <w:szCs w:val="20"/>
          <w:lang w:val="es-PA"/>
        </w:rPr>
        <w:t xml:space="preserve">. En su escrito </w:t>
      </w:r>
      <w:r w:rsidR="00E772A3" w:rsidRPr="00E772A3">
        <w:rPr>
          <w:rFonts w:ascii="Cambria" w:hAnsi="Cambria"/>
          <w:sz w:val="20"/>
          <w:szCs w:val="20"/>
          <w:lang w:val="es-PA"/>
        </w:rPr>
        <w:t>de</w:t>
      </w:r>
      <w:r w:rsidR="00BE2813" w:rsidRPr="00E772A3">
        <w:rPr>
          <w:rFonts w:ascii="Cambria" w:hAnsi="Cambria"/>
          <w:sz w:val="20"/>
          <w:szCs w:val="20"/>
          <w:lang w:val="es-PA"/>
        </w:rPr>
        <w:t xml:space="preserve"> 13 de abril de 2009 expres</w:t>
      </w:r>
      <w:r w:rsidR="00E772A3" w:rsidRPr="00E772A3">
        <w:rPr>
          <w:rFonts w:ascii="Cambria" w:hAnsi="Cambria"/>
          <w:sz w:val="20"/>
          <w:szCs w:val="20"/>
          <w:lang w:val="es-PA"/>
        </w:rPr>
        <w:t>a</w:t>
      </w:r>
      <w:r w:rsidR="00BE2813" w:rsidRPr="00E772A3">
        <w:rPr>
          <w:rFonts w:ascii="Cambria" w:hAnsi="Cambria"/>
          <w:sz w:val="20"/>
          <w:szCs w:val="20"/>
          <w:lang w:val="es-PA"/>
        </w:rPr>
        <w:t xml:space="preserve"> que esta última notificación para la devolución de sus expedientes debía considerarse como la decisión definitiva para los efectos del cálculo del plazo previsto en el artículo </w:t>
      </w:r>
      <w:proofErr w:type="gramStart"/>
      <w:r w:rsidR="00BE2813" w:rsidRPr="00E772A3">
        <w:rPr>
          <w:rFonts w:ascii="Cambria" w:hAnsi="Cambria"/>
          <w:sz w:val="20"/>
          <w:szCs w:val="20"/>
          <w:lang w:val="es-PA"/>
        </w:rPr>
        <w:t>46.2(</w:t>
      </w:r>
      <w:proofErr w:type="gramEnd"/>
      <w:r w:rsidR="00BE2813" w:rsidRPr="00E772A3">
        <w:rPr>
          <w:rFonts w:ascii="Cambria" w:hAnsi="Cambria"/>
          <w:sz w:val="20"/>
          <w:szCs w:val="20"/>
          <w:lang w:val="es-PA"/>
        </w:rPr>
        <w:t xml:space="preserve">b) de la Convención Americana. </w:t>
      </w:r>
    </w:p>
    <w:p w14:paraId="61E3C30B" w14:textId="22739366" w:rsidR="00895A2A" w:rsidRPr="00E772A3" w:rsidRDefault="00E772A3" w:rsidP="00895A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772A3">
        <w:rPr>
          <w:rFonts w:ascii="Cambria" w:hAnsi="Cambria"/>
          <w:sz w:val="20"/>
          <w:szCs w:val="20"/>
          <w:lang w:val="es-PA"/>
        </w:rPr>
        <w:t xml:space="preserve">Por otra parte, </w:t>
      </w:r>
      <w:r w:rsidR="00BE2813" w:rsidRPr="00E772A3">
        <w:rPr>
          <w:rFonts w:ascii="Cambria" w:hAnsi="Cambria"/>
          <w:sz w:val="20"/>
          <w:szCs w:val="20"/>
          <w:lang w:val="es-PA"/>
        </w:rPr>
        <w:t xml:space="preserve">el 25 de mayo de 2005 </w:t>
      </w:r>
      <w:r w:rsidRPr="00E772A3">
        <w:rPr>
          <w:rFonts w:ascii="Cambria" w:hAnsi="Cambria"/>
          <w:sz w:val="20"/>
          <w:szCs w:val="20"/>
          <w:lang w:val="es-PA"/>
        </w:rPr>
        <w:t xml:space="preserve">el peticionario </w:t>
      </w:r>
      <w:r w:rsidR="00BE2813" w:rsidRPr="00E772A3">
        <w:rPr>
          <w:rFonts w:ascii="Cambria" w:hAnsi="Cambria"/>
          <w:sz w:val="20"/>
          <w:szCs w:val="20"/>
          <w:lang w:val="es-PA"/>
        </w:rPr>
        <w:t xml:space="preserve">promovió una demanda de daños y perjuicios contra el </w:t>
      </w:r>
      <w:r w:rsidRPr="00E772A3">
        <w:rPr>
          <w:rFonts w:ascii="Cambria" w:hAnsi="Cambria"/>
          <w:sz w:val="20"/>
          <w:szCs w:val="20"/>
          <w:lang w:val="es-PA"/>
        </w:rPr>
        <w:t>médico</w:t>
      </w:r>
      <w:r w:rsidR="00BE2813" w:rsidRPr="00E772A3">
        <w:rPr>
          <w:rFonts w:ascii="Cambria" w:hAnsi="Cambria"/>
          <w:sz w:val="20"/>
          <w:szCs w:val="20"/>
          <w:lang w:val="es-PA"/>
        </w:rPr>
        <w:t xml:space="preserve"> que encabezó su operación y el hospital en que se realizó. El 22 de noviembre de 2007 el Juez Sexto Civil rechazó la demanda y condenó al peticionario en costas tras considerar que no había probado sus alega</w:t>
      </w:r>
      <w:r w:rsidRPr="00E772A3">
        <w:rPr>
          <w:rFonts w:ascii="Cambria" w:hAnsi="Cambria"/>
          <w:sz w:val="20"/>
          <w:szCs w:val="20"/>
          <w:lang w:val="es-PA"/>
        </w:rPr>
        <w:t>tos;</w:t>
      </w:r>
      <w:r w:rsidR="00BE2813" w:rsidRPr="00E772A3">
        <w:rPr>
          <w:rFonts w:ascii="Cambria" w:hAnsi="Cambria"/>
          <w:sz w:val="20"/>
          <w:szCs w:val="20"/>
          <w:lang w:val="es-PA"/>
        </w:rPr>
        <w:t xml:space="preserve"> </w:t>
      </w:r>
      <w:r w:rsidRPr="00E772A3">
        <w:rPr>
          <w:rFonts w:ascii="Cambria" w:hAnsi="Cambria"/>
          <w:sz w:val="20"/>
          <w:szCs w:val="20"/>
          <w:lang w:val="es-PA"/>
        </w:rPr>
        <w:t>d</w:t>
      </w:r>
      <w:r w:rsidR="00BE2813" w:rsidRPr="00E772A3">
        <w:rPr>
          <w:rFonts w:ascii="Cambria" w:hAnsi="Cambria"/>
          <w:sz w:val="20"/>
          <w:szCs w:val="20"/>
          <w:lang w:val="es-PA"/>
        </w:rPr>
        <w:t xml:space="preserve">estaca que durante </w:t>
      </w:r>
      <w:r w:rsidRPr="00E772A3">
        <w:rPr>
          <w:rFonts w:ascii="Cambria" w:hAnsi="Cambria"/>
          <w:sz w:val="20"/>
          <w:szCs w:val="20"/>
          <w:lang w:val="es-PA"/>
        </w:rPr>
        <w:t>dicho</w:t>
      </w:r>
      <w:r w:rsidR="00BE2813" w:rsidRPr="00E772A3">
        <w:rPr>
          <w:rFonts w:ascii="Cambria" w:hAnsi="Cambria"/>
          <w:sz w:val="20"/>
          <w:szCs w:val="20"/>
          <w:lang w:val="es-PA"/>
        </w:rPr>
        <w:t xml:space="preserve"> proceso </w:t>
      </w:r>
      <w:r w:rsidR="002E4F6A" w:rsidRPr="00E772A3">
        <w:rPr>
          <w:rFonts w:ascii="Cambria" w:hAnsi="Cambria"/>
          <w:sz w:val="20"/>
          <w:szCs w:val="20"/>
          <w:lang w:val="es-PA"/>
        </w:rPr>
        <w:t xml:space="preserve">la parte demandada no presentó el expediente clínico del peticionario </w:t>
      </w:r>
      <w:r w:rsidRPr="00E772A3">
        <w:rPr>
          <w:rFonts w:ascii="Cambria" w:hAnsi="Cambria"/>
          <w:sz w:val="20"/>
          <w:szCs w:val="20"/>
          <w:lang w:val="es-PA"/>
        </w:rPr>
        <w:t xml:space="preserve">debido a </w:t>
      </w:r>
      <w:r w:rsidR="002E4F6A" w:rsidRPr="00E772A3">
        <w:rPr>
          <w:rFonts w:ascii="Cambria" w:hAnsi="Cambria"/>
          <w:sz w:val="20"/>
          <w:szCs w:val="20"/>
          <w:lang w:val="es-PA"/>
        </w:rPr>
        <w:t xml:space="preserve">que se </w:t>
      </w:r>
      <w:r w:rsidRPr="00E772A3">
        <w:rPr>
          <w:rFonts w:ascii="Cambria" w:hAnsi="Cambria"/>
          <w:sz w:val="20"/>
          <w:szCs w:val="20"/>
          <w:lang w:val="es-PA"/>
        </w:rPr>
        <w:t xml:space="preserve">habría </w:t>
      </w:r>
      <w:r w:rsidR="002E4F6A" w:rsidRPr="00E772A3">
        <w:rPr>
          <w:rFonts w:ascii="Cambria" w:hAnsi="Cambria"/>
          <w:sz w:val="20"/>
          <w:szCs w:val="20"/>
          <w:lang w:val="es-PA"/>
        </w:rPr>
        <w:t xml:space="preserve">extraviado o robado. </w:t>
      </w:r>
      <w:r w:rsidRPr="00E772A3">
        <w:rPr>
          <w:rFonts w:ascii="Cambria" w:hAnsi="Cambria"/>
          <w:sz w:val="20"/>
          <w:szCs w:val="20"/>
          <w:lang w:val="es-PA"/>
        </w:rPr>
        <w:t>El peticionario c</w:t>
      </w:r>
      <w:r w:rsidR="002E4F6A" w:rsidRPr="00E772A3">
        <w:rPr>
          <w:rFonts w:ascii="Cambria" w:hAnsi="Cambria"/>
          <w:sz w:val="20"/>
          <w:szCs w:val="20"/>
          <w:lang w:val="es-PA"/>
        </w:rPr>
        <w:t>onsidera que el Juez Sexto vulneró sus derechos al fallar en su contra pese a la clara conducta alevosa de la parte demandante</w:t>
      </w:r>
      <w:r w:rsidR="00412749">
        <w:rPr>
          <w:rFonts w:ascii="Cambria" w:hAnsi="Cambria"/>
          <w:sz w:val="20"/>
          <w:szCs w:val="20"/>
          <w:lang w:val="es-PA"/>
        </w:rPr>
        <w:t>, por lo que</w:t>
      </w:r>
      <w:r w:rsidR="002E4F6A" w:rsidRPr="00E772A3">
        <w:rPr>
          <w:rFonts w:ascii="Cambria" w:hAnsi="Cambria"/>
          <w:sz w:val="20"/>
          <w:szCs w:val="20"/>
          <w:lang w:val="es-PA"/>
        </w:rPr>
        <w:t xml:space="preserve"> apeló la </w:t>
      </w:r>
      <w:r w:rsidR="002E4F6A" w:rsidRPr="00E772A3">
        <w:rPr>
          <w:rFonts w:ascii="Cambria" w:hAnsi="Cambria"/>
          <w:sz w:val="20"/>
          <w:szCs w:val="20"/>
          <w:lang w:val="es-PA"/>
        </w:rPr>
        <w:lastRenderedPageBreak/>
        <w:t>decisión ante la Sala Cuarta del Supremo Tribunal de Justicia del Estado</w:t>
      </w:r>
      <w:r w:rsidR="00412749">
        <w:rPr>
          <w:rFonts w:ascii="Cambria" w:hAnsi="Cambria"/>
          <w:sz w:val="20"/>
          <w:szCs w:val="20"/>
          <w:lang w:val="es-PA"/>
        </w:rPr>
        <w:t>,</w:t>
      </w:r>
      <w:r w:rsidR="002E4F6A" w:rsidRPr="00E772A3">
        <w:rPr>
          <w:rFonts w:ascii="Cambria" w:hAnsi="Cambria"/>
          <w:sz w:val="20"/>
          <w:szCs w:val="20"/>
          <w:lang w:val="es-PA"/>
        </w:rPr>
        <w:t xml:space="preserve"> </w:t>
      </w:r>
      <w:r w:rsidR="00412749">
        <w:rPr>
          <w:rFonts w:ascii="Cambria" w:hAnsi="Cambria"/>
          <w:sz w:val="20"/>
          <w:szCs w:val="20"/>
          <w:lang w:val="es-PA"/>
        </w:rPr>
        <w:t xml:space="preserve">que </w:t>
      </w:r>
      <w:r w:rsidR="002E4F6A" w:rsidRPr="00E772A3">
        <w:rPr>
          <w:rFonts w:ascii="Cambria" w:hAnsi="Cambria"/>
          <w:sz w:val="20"/>
          <w:szCs w:val="20"/>
          <w:lang w:val="es-PA"/>
        </w:rPr>
        <w:t>result</w:t>
      </w:r>
      <w:r w:rsidR="00412749">
        <w:rPr>
          <w:rFonts w:ascii="Cambria" w:hAnsi="Cambria"/>
          <w:sz w:val="20"/>
          <w:szCs w:val="20"/>
          <w:lang w:val="es-PA"/>
        </w:rPr>
        <w:t>ó</w:t>
      </w:r>
      <w:r w:rsidR="002E4F6A" w:rsidRPr="00E772A3">
        <w:rPr>
          <w:rFonts w:ascii="Cambria" w:hAnsi="Cambria"/>
          <w:sz w:val="20"/>
          <w:szCs w:val="20"/>
          <w:lang w:val="es-PA"/>
        </w:rPr>
        <w:t xml:space="preserve"> en la revocatoria de la sentencia </w:t>
      </w:r>
      <w:r w:rsidR="00412749">
        <w:rPr>
          <w:rFonts w:ascii="Cambria" w:hAnsi="Cambria"/>
          <w:sz w:val="20"/>
          <w:szCs w:val="20"/>
          <w:lang w:val="es-PA"/>
        </w:rPr>
        <w:t>del</w:t>
      </w:r>
      <w:r w:rsidR="00323C1A" w:rsidRPr="00E772A3">
        <w:rPr>
          <w:rFonts w:ascii="Cambria" w:hAnsi="Cambria"/>
          <w:sz w:val="20"/>
          <w:szCs w:val="20"/>
          <w:lang w:val="es-PA"/>
        </w:rPr>
        <w:t xml:space="preserve"> Juez Sexto. Indica que una de las razones de la revocatoria fue que </w:t>
      </w:r>
      <w:r w:rsidR="00655B96">
        <w:rPr>
          <w:rFonts w:ascii="Cambria" w:hAnsi="Cambria"/>
          <w:sz w:val="20"/>
          <w:szCs w:val="20"/>
          <w:lang w:val="es-PA"/>
        </w:rPr>
        <w:t>e</w:t>
      </w:r>
      <w:r w:rsidR="00412749">
        <w:rPr>
          <w:rFonts w:ascii="Cambria" w:hAnsi="Cambria"/>
          <w:sz w:val="20"/>
          <w:szCs w:val="20"/>
          <w:lang w:val="es-PA"/>
        </w:rPr>
        <w:t>ste</w:t>
      </w:r>
      <w:r w:rsidR="00323C1A" w:rsidRPr="00E772A3">
        <w:rPr>
          <w:rFonts w:ascii="Cambria" w:hAnsi="Cambria"/>
          <w:sz w:val="20"/>
          <w:szCs w:val="20"/>
          <w:lang w:val="es-PA"/>
        </w:rPr>
        <w:t xml:space="preserve"> había errado </w:t>
      </w:r>
      <w:r w:rsidR="00412749">
        <w:rPr>
          <w:rFonts w:ascii="Cambria" w:hAnsi="Cambria"/>
          <w:sz w:val="20"/>
          <w:szCs w:val="20"/>
          <w:lang w:val="es-PA"/>
        </w:rPr>
        <w:t>al</w:t>
      </w:r>
      <w:r w:rsidR="00323C1A" w:rsidRPr="00E772A3">
        <w:rPr>
          <w:rFonts w:ascii="Cambria" w:hAnsi="Cambria"/>
          <w:sz w:val="20"/>
          <w:szCs w:val="20"/>
          <w:lang w:val="es-PA"/>
        </w:rPr>
        <w:t xml:space="preserve"> dar valor a un peritaje presentado por una persona que no estaba debidamente registrada en la Comisión de Peritos. Agrega que su búsqueda de justicia se ha visto dificultada porque no ha podido conseguir peritos dispuestos a hacer la evaluación que necesita para acreditar los daños que ha sufrido, </w:t>
      </w:r>
      <w:r w:rsidR="00412749">
        <w:rPr>
          <w:rFonts w:ascii="Cambria" w:hAnsi="Cambria"/>
          <w:sz w:val="20"/>
          <w:szCs w:val="20"/>
          <w:lang w:val="es-PA"/>
        </w:rPr>
        <w:t xml:space="preserve">y que </w:t>
      </w:r>
      <w:r w:rsidR="00323C1A" w:rsidRPr="00E772A3">
        <w:rPr>
          <w:rFonts w:ascii="Cambria" w:hAnsi="Cambria"/>
          <w:sz w:val="20"/>
          <w:szCs w:val="20"/>
          <w:lang w:val="es-PA"/>
        </w:rPr>
        <w:t xml:space="preserve">las autoridades de la vía civil </w:t>
      </w:r>
      <w:r w:rsidR="00412749">
        <w:rPr>
          <w:rFonts w:ascii="Cambria" w:hAnsi="Cambria"/>
          <w:sz w:val="20"/>
          <w:szCs w:val="20"/>
          <w:lang w:val="es-PA"/>
        </w:rPr>
        <w:t xml:space="preserve">carecen </w:t>
      </w:r>
      <w:r w:rsidR="00323C1A" w:rsidRPr="00E772A3">
        <w:rPr>
          <w:rFonts w:ascii="Cambria" w:hAnsi="Cambria"/>
          <w:sz w:val="20"/>
          <w:szCs w:val="20"/>
          <w:lang w:val="es-PA"/>
        </w:rPr>
        <w:t xml:space="preserve">de mecanismos para compeler a algún perito a emitir el dictamen de neurocirugía requerido. </w:t>
      </w:r>
      <w:r w:rsidR="00895A2A" w:rsidRPr="00E772A3">
        <w:rPr>
          <w:rFonts w:ascii="Cambria" w:hAnsi="Cambria"/>
          <w:sz w:val="20"/>
          <w:szCs w:val="20"/>
          <w:lang w:val="es-PA"/>
        </w:rPr>
        <w:t xml:space="preserve">Explica que, pese a la apelación exitosa, </w:t>
      </w:r>
      <w:r w:rsidR="00412749" w:rsidRPr="00C51C1E">
        <w:rPr>
          <w:rFonts w:ascii="Cambria" w:hAnsi="Cambria"/>
          <w:sz w:val="20"/>
          <w:szCs w:val="20"/>
          <w:lang w:val="es-PA"/>
        </w:rPr>
        <w:t xml:space="preserve">el 22 de enero de 2010 </w:t>
      </w:r>
      <w:r w:rsidR="00895A2A" w:rsidRPr="00E772A3">
        <w:rPr>
          <w:rFonts w:ascii="Cambria" w:hAnsi="Cambria"/>
          <w:sz w:val="20"/>
          <w:szCs w:val="20"/>
          <w:lang w:val="es-PA"/>
        </w:rPr>
        <w:t xml:space="preserve">el Juez Sexto emitió </w:t>
      </w:r>
      <w:r w:rsidR="00412749">
        <w:rPr>
          <w:rFonts w:ascii="Cambria" w:hAnsi="Cambria"/>
          <w:sz w:val="20"/>
          <w:szCs w:val="20"/>
          <w:lang w:val="es-PA"/>
        </w:rPr>
        <w:t xml:space="preserve">una </w:t>
      </w:r>
      <w:r w:rsidR="00895A2A" w:rsidRPr="00E772A3">
        <w:rPr>
          <w:rFonts w:ascii="Cambria" w:hAnsi="Cambria"/>
          <w:sz w:val="20"/>
          <w:szCs w:val="20"/>
          <w:lang w:val="es-PA"/>
        </w:rPr>
        <w:t xml:space="preserve">sentencia </w:t>
      </w:r>
      <w:r w:rsidR="00412749">
        <w:rPr>
          <w:rFonts w:ascii="Cambria" w:hAnsi="Cambria"/>
          <w:sz w:val="20"/>
          <w:szCs w:val="20"/>
          <w:lang w:val="es-PA"/>
        </w:rPr>
        <w:t xml:space="preserve">en la que </w:t>
      </w:r>
      <w:r w:rsidR="00895A2A" w:rsidRPr="00E772A3">
        <w:rPr>
          <w:rFonts w:ascii="Cambria" w:hAnsi="Cambria"/>
          <w:sz w:val="20"/>
          <w:szCs w:val="20"/>
          <w:lang w:val="es-PA"/>
        </w:rPr>
        <w:t xml:space="preserve">nuevamente </w:t>
      </w:r>
      <w:r w:rsidR="00412749">
        <w:rPr>
          <w:rFonts w:ascii="Cambria" w:hAnsi="Cambria"/>
          <w:sz w:val="20"/>
          <w:szCs w:val="20"/>
          <w:lang w:val="es-PA"/>
        </w:rPr>
        <w:t xml:space="preserve">absolvió </w:t>
      </w:r>
      <w:r w:rsidR="00895A2A" w:rsidRPr="00E772A3">
        <w:rPr>
          <w:rFonts w:ascii="Cambria" w:hAnsi="Cambria"/>
          <w:sz w:val="20"/>
          <w:szCs w:val="20"/>
          <w:lang w:val="es-PA"/>
        </w:rPr>
        <w:t xml:space="preserve">a las personas demandadas. </w:t>
      </w:r>
    </w:p>
    <w:p w14:paraId="6E213CA5" w14:textId="28EB4BB0" w:rsidR="00BE2813" w:rsidRPr="00E772A3" w:rsidRDefault="00412749" w:rsidP="00895A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El peticionario i</w:t>
      </w:r>
      <w:proofErr w:type="spellStart"/>
      <w:r w:rsidR="00895A2A" w:rsidRPr="00E772A3">
        <w:rPr>
          <w:rFonts w:ascii="Cambria" w:hAnsi="Cambria"/>
          <w:sz w:val="20"/>
          <w:szCs w:val="20"/>
          <w:lang w:val="es-PA"/>
        </w:rPr>
        <w:t>ndica</w:t>
      </w:r>
      <w:proofErr w:type="spellEnd"/>
      <w:r w:rsidR="00895A2A" w:rsidRPr="00E772A3">
        <w:rPr>
          <w:rFonts w:ascii="Cambria" w:hAnsi="Cambria"/>
          <w:sz w:val="20"/>
          <w:szCs w:val="20"/>
          <w:lang w:val="es-PA"/>
        </w:rPr>
        <w:t xml:space="preserve"> que perdió la oportunidad de impugnar la segunda sentencia del Juez Sexto porque el defensor de oficio que le representaba no presentó sus argumentos dentro del término que concedió el tribunal, </w:t>
      </w:r>
      <w:r>
        <w:rPr>
          <w:rFonts w:ascii="Cambria" w:hAnsi="Cambria"/>
          <w:sz w:val="20"/>
          <w:szCs w:val="20"/>
          <w:lang w:val="es-PA"/>
        </w:rPr>
        <w:t xml:space="preserve">por lo </w:t>
      </w:r>
      <w:r w:rsidR="00895A2A" w:rsidRPr="00E772A3">
        <w:rPr>
          <w:rFonts w:ascii="Cambria" w:hAnsi="Cambria"/>
          <w:sz w:val="20"/>
          <w:szCs w:val="20"/>
          <w:lang w:val="es-PA"/>
        </w:rPr>
        <w:t>que el recurso de apelación qued</w:t>
      </w:r>
      <w:r>
        <w:rPr>
          <w:rFonts w:ascii="Cambria" w:hAnsi="Cambria"/>
          <w:sz w:val="20"/>
          <w:szCs w:val="20"/>
          <w:lang w:val="es-PA"/>
        </w:rPr>
        <w:t>ó</w:t>
      </w:r>
      <w:r w:rsidR="00895A2A" w:rsidRPr="00E772A3">
        <w:rPr>
          <w:rFonts w:ascii="Cambria" w:hAnsi="Cambria"/>
          <w:sz w:val="20"/>
          <w:szCs w:val="20"/>
          <w:lang w:val="es-PA"/>
        </w:rPr>
        <w:t xml:space="preserve"> desierto. </w:t>
      </w:r>
      <w:r>
        <w:rPr>
          <w:rFonts w:ascii="Cambria" w:hAnsi="Cambria"/>
          <w:sz w:val="20"/>
          <w:szCs w:val="20"/>
          <w:lang w:val="es-PA"/>
        </w:rPr>
        <w:t>La</w:t>
      </w:r>
      <w:r w:rsidR="00895A2A" w:rsidRPr="00E772A3">
        <w:rPr>
          <w:rFonts w:ascii="Cambria" w:hAnsi="Cambria"/>
          <w:sz w:val="20"/>
          <w:szCs w:val="20"/>
          <w:lang w:val="es-PA"/>
        </w:rPr>
        <w:t xml:space="preserve"> Contraloría General del Estado determinó que el referido defensor de oficio había incurrido en responsabilidad administrativa, por lo que se le suspendió de sus labores y se le impulsó una multa económica. </w:t>
      </w:r>
      <w:r w:rsidR="00895A2A" w:rsidRPr="00412749">
        <w:rPr>
          <w:rFonts w:ascii="Cambria" w:hAnsi="Cambria"/>
          <w:sz w:val="20"/>
          <w:szCs w:val="20"/>
          <w:lang w:val="es-PA"/>
        </w:rPr>
        <w:t>M</w:t>
      </w:r>
      <w:r w:rsidR="00895A2A" w:rsidRPr="00E772A3">
        <w:rPr>
          <w:rFonts w:ascii="Cambria" w:hAnsi="Cambria"/>
          <w:sz w:val="20"/>
          <w:szCs w:val="20"/>
          <w:lang w:val="es-PA"/>
        </w:rPr>
        <w:t>anifiesta que</w:t>
      </w:r>
      <w:r>
        <w:rPr>
          <w:rFonts w:ascii="Cambria" w:hAnsi="Cambria"/>
          <w:sz w:val="20"/>
          <w:szCs w:val="20"/>
          <w:lang w:val="es-PA"/>
        </w:rPr>
        <w:t xml:space="preserve"> </w:t>
      </w:r>
      <w:r w:rsidR="00F41A6E" w:rsidRPr="00E772A3">
        <w:rPr>
          <w:rFonts w:ascii="Cambria" w:hAnsi="Cambria"/>
          <w:sz w:val="20"/>
          <w:szCs w:val="20"/>
          <w:lang w:val="es-PA"/>
        </w:rPr>
        <w:t>el recurso de apelación no prosper</w:t>
      </w:r>
      <w:r>
        <w:rPr>
          <w:rFonts w:ascii="Cambria" w:hAnsi="Cambria"/>
          <w:sz w:val="20"/>
          <w:szCs w:val="20"/>
          <w:lang w:val="es-PA"/>
        </w:rPr>
        <w:t>ó</w:t>
      </w:r>
      <w:r w:rsidR="00F41A6E" w:rsidRPr="00E772A3">
        <w:rPr>
          <w:rFonts w:ascii="Cambria" w:hAnsi="Cambria"/>
          <w:sz w:val="20"/>
          <w:szCs w:val="20"/>
          <w:lang w:val="es-PA"/>
        </w:rPr>
        <w:t xml:space="preserve"> por </w:t>
      </w:r>
      <w:r>
        <w:rPr>
          <w:rFonts w:ascii="Cambria" w:hAnsi="Cambria"/>
          <w:sz w:val="20"/>
          <w:szCs w:val="20"/>
          <w:lang w:val="es-PA"/>
        </w:rPr>
        <w:t xml:space="preserve">la conducta de </w:t>
      </w:r>
      <w:r w:rsidR="00F41A6E" w:rsidRPr="00E772A3">
        <w:rPr>
          <w:rFonts w:ascii="Cambria" w:hAnsi="Cambria"/>
          <w:sz w:val="20"/>
          <w:szCs w:val="20"/>
          <w:lang w:val="es-PA"/>
        </w:rPr>
        <w:t>su propio defensor de oficio</w:t>
      </w:r>
      <w:r>
        <w:rPr>
          <w:rFonts w:ascii="Cambria" w:hAnsi="Cambria"/>
          <w:sz w:val="20"/>
          <w:szCs w:val="20"/>
          <w:lang w:val="es-PA"/>
        </w:rPr>
        <w:t>; como este hecho no le es imputable al peticionario, sostiene que debe tenerse por cumplido el requisito de agotamiento de</w:t>
      </w:r>
      <w:r w:rsidR="00984A34">
        <w:rPr>
          <w:rFonts w:ascii="Cambria" w:hAnsi="Cambria"/>
          <w:sz w:val="20"/>
          <w:szCs w:val="20"/>
          <w:lang w:val="es-PA"/>
        </w:rPr>
        <w:t xml:space="preserve"> </w:t>
      </w:r>
      <w:r>
        <w:rPr>
          <w:rFonts w:ascii="Cambria" w:hAnsi="Cambria"/>
          <w:sz w:val="20"/>
          <w:szCs w:val="20"/>
          <w:lang w:val="es-PA"/>
        </w:rPr>
        <w:t>los recursos internos</w:t>
      </w:r>
      <w:r w:rsidR="00F41A6E" w:rsidRPr="00E772A3">
        <w:rPr>
          <w:rFonts w:ascii="Cambria" w:hAnsi="Cambria"/>
          <w:sz w:val="20"/>
          <w:szCs w:val="20"/>
          <w:lang w:val="es-PA"/>
        </w:rPr>
        <w:t>. También señala que no se le debe exigir la presentación de un nuevo juicio de amparo contra la decisión del Juez Sexto</w:t>
      </w:r>
      <w:r>
        <w:rPr>
          <w:rFonts w:ascii="Cambria" w:hAnsi="Cambria"/>
          <w:sz w:val="20"/>
          <w:szCs w:val="20"/>
          <w:lang w:val="es-PA"/>
        </w:rPr>
        <w:t>,</w:t>
      </w:r>
      <w:r w:rsidR="00F41A6E" w:rsidRPr="00E772A3">
        <w:rPr>
          <w:rFonts w:ascii="Cambria" w:hAnsi="Cambria"/>
          <w:sz w:val="20"/>
          <w:szCs w:val="20"/>
          <w:lang w:val="es-PA"/>
        </w:rPr>
        <w:t xml:space="preserve"> dado que ya había </w:t>
      </w:r>
      <w:r>
        <w:rPr>
          <w:rFonts w:ascii="Cambria" w:hAnsi="Cambria"/>
          <w:sz w:val="20"/>
          <w:szCs w:val="20"/>
          <w:lang w:val="es-PA"/>
        </w:rPr>
        <w:t xml:space="preserve">planteado y </w:t>
      </w:r>
      <w:r w:rsidR="00F41A6E" w:rsidRPr="00E772A3">
        <w:rPr>
          <w:rFonts w:ascii="Cambria" w:hAnsi="Cambria"/>
          <w:sz w:val="20"/>
          <w:szCs w:val="20"/>
          <w:lang w:val="es-PA"/>
        </w:rPr>
        <w:t xml:space="preserve">agotado </w:t>
      </w:r>
      <w:r>
        <w:rPr>
          <w:rFonts w:ascii="Cambria" w:hAnsi="Cambria"/>
          <w:sz w:val="20"/>
          <w:szCs w:val="20"/>
          <w:lang w:val="es-PA"/>
        </w:rPr>
        <w:t>dicho</w:t>
      </w:r>
      <w:r w:rsidR="00F41A6E" w:rsidRPr="00E772A3">
        <w:rPr>
          <w:rFonts w:ascii="Cambria" w:hAnsi="Cambria"/>
          <w:sz w:val="20"/>
          <w:szCs w:val="20"/>
          <w:lang w:val="es-PA"/>
        </w:rPr>
        <w:t xml:space="preserve"> recurso en varias ocasiones. </w:t>
      </w:r>
    </w:p>
    <w:p w14:paraId="12E70608" w14:textId="0AE0A574" w:rsidR="00F41A6E" w:rsidRPr="00E772A3" w:rsidRDefault="00F41A6E" w:rsidP="00895A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772A3">
        <w:rPr>
          <w:rFonts w:ascii="Cambria" w:hAnsi="Cambria"/>
          <w:sz w:val="20"/>
          <w:szCs w:val="20"/>
          <w:lang w:val="es-PA"/>
        </w:rPr>
        <w:t>El Estado, por su parte, considera que la petición debe ser inadmitida porque es extemporánea en relación con la demanda penal promovida por el peticionario, porque los recursos internos no fueron debidamente agotados con respecto al proceso de indemnización por daños y perjuicios</w:t>
      </w:r>
      <w:r w:rsidR="00412749">
        <w:rPr>
          <w:rFonts w:ascii="Cambria" w:hAnsi="Cambria"/>
          <w:sz w:val="20"/>
          <w:szCs w:val="20"/>
          <w:lang w:val="es-PA"/>
        </w:rPr>
        <w:t>.</w:t>
      </w:r>
      <w:r w:rsidRPr="00E772A3">
        <w:rPr>
          <w:rFonts w:ascii="Cambria" w:hAnsi="Cambria"/>
          <w:sz w:val="20"/>
          <w:szCs w:val="20"/>
          <w:lang w:val="es-PA"/>
        </w:rPr>
        <w:t xml:space="preserve"> </w:t>
      </w:r>
      <w:r w:rsidR="00412749">
        <w:rPr>
          <w:rFonts w:ascii="Cambria" w:hAnsi="Cambria"/>
          <w:sz w:val="20"/>
          <w:szCs w:val="20"/>
          <w:lang w:val="es-PA"/>
        </w:rPr>
        <w:t xml:space="preserve">Alega igualmente </w:t>
      </w:r>
      <w:r w:rsidRPr="00E772A3">
        <w:rPr>
          <w:rFonts w:ascii="Cambria" w:hAnsi="Cambria"/>
          <w:sz w:val="20"/>
          <w:szCs w:val="20"/>
          <w:lang w:val="es-PA"/>
        </w:rPr>
        <w:t xml:space="preserve">que los hechos expuestos por el peticionario no caracterizan violaciones </w:t>
      </w:r>
      <w:r w:rsidR="00412749">
        <w:rPr>
          <w:rFonts w:ascii="Cambria" w:hAnsi="Cambria"/>
          <w:sz w:val="20"/>
          <w:szCs w:val="20"/>
          <w:lang w:val="es-PA"/>
        </w:rPr>
        <w:t>de</w:t>
      </w:r>
      <w:r w:rsidRPr="00E772A3">
        <w:rPr>
          <w:rFonts w:ascii="Cambria" w:hAnsi="Cambria"/>
          <w:sz w:val="20"/>
          <w:szCs w:val="20"/>
          <w:lang w:val="es-PA"/>
        </w:rPr>
        <w:t xml:space="preserve"> derechos humanos, y que </w:t>
      </w:r>
      <w:r w:rsidR="00655B96">
        <w:rPr>
          <w:rFonts w:ascii="Cambria" w:hAnsi="Cambria"/>
          <w:sz w:val="20"/>
          <w:szCs w:val="20"/>
          <w:lang w:val="es-PA"/>
        </w:rPr>
        <w:t>e</w:t>
      </w:r>
      <w:r w:rsidR="00412749">
        <w:rPr>
          <w:rFonts w:ascii="Cambria" w:hAnsi="Cambria"/>
          <w:sz w:val="20"/>
          <w:szCs w:val="20"/>
          <w:lang w:val="es-PA"/>
        </w:rPr>
        <w:t>ste</w:t>
      </w:r>
      <w:r w:rsidRPr="00E772A3">
        <w:rPr>
          <w:rFonts w:ascii="Cambria" w:hAnsi="Cambria"/>
          <w:sz w:val="20"/>
          <w:szCs w:val="20"/>
          <w:lang w:val="es-PA"/>
        </w:rPr>
        <w:t xml:space="preserve"> pretende improcedentemente que la Comisión act</w:t>
      </w:r>
      <w:r w:rsidR="00412749">
        <w:rPr>
          <w:rFonts w:ascii="Cambria" w:hAnsi="Cambria"/>
          <w:sz w:val="20"/>
          <w:szCs w:val="20"/>
          <w:lang w:val="es-PA"/>
        </w:rPr>
        <w:t>úe</w:t>
      </w:r>
      <w:r w:rsidRPr="00E772A3">
        <w:rPr>
          <w:rFonts w:ascii="Cambria" w:hAnsi="Cambria"/>
          <w:sz w:val="20"/>
          <w:szCs w:val="20"/>
          <w:lang w:val="es-PA"/>
        </w:rPr>
        <w:t xml:space="preserve"> como una cuarta instancia. </w:t>
      </w:r>
    </w:p>
    <w:p w14:paraId="6658D0A0" w14:textId="40936390" w:rsidR="00F41A6E" w:rsidRPr="00E772A3" w:rsidRDefault="00E562D2" w:rsidP="00895A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772A3">
        <w:rPr>
          <w:rFonts w:ascii="Cambria" w:hAnsi="Cambria"/>
          <w:sz w:val="20"/>
          <w:szCs w:val="20"/>
          <w:lang w:val="es-PA"/>
        </w:rPr>
        <w:t xml:space="preserve">Indica </w:t>
      </w:r>
      <w:r w:rsidR="00412749">
        <w:rPr>
          <w:rFonts w:ascii="Cambria" w:hAnsi="Cambria"/>
          <w:sz w:val="20"/>
          <w:szCs w:val="20"/>
          <w:lang w:val="es-PA"/>
        </w:rPr>
        <w:t xml:space="preserve">el Estado </w:t>
      </w:r>
      <w:r w:rsidRPr="00E772A3">
        <w:rPr>
          <w:rFonts w:ascii="Cambria" w:hAnsi="Cambria"/>
          <w:sz w:val="20"/>
          <w:szCs w:val="20"/>
          <w:lang w:val="es-PA"/>
        </w:rPr>
        <w:t xml:space="preserve">que la decisión final con respecto al proceso penal fue la emitida el 17 de junio de 2007 mediante la cual se determinó definitivamente el no ejercicio de la acción penal contra el </w:t>
      </w:r>
      <w:r w:rsidR="00412749">
        <w:rPr>
          <w:rFonts w:ascii="Cambria" w:hAnsi="Cambria"/>
          <w:sz w:val="20"/>
          <w:szCs w:val="20"/>
          <w:lang w:val="es-PA"/>
        </w:rPr>
        <w:t>médico</w:t>
      </w:r>
      <w:r w:rsidRPr="00E772A3">
        <w:rPr>
          <w:rFonts w:ascii="Cambria" w:hAnsi="Cambria"/>
          <w:sz w:val="20"/>
          <w:szCs w:val="20"/>
          <w:lang w:val="es-PA"/>
        </w:rPr>
        <w:t xml:space="preserve"> y el hospital. Destaca que el peticionario no presentó su petición ante la Comisión Interamericana sino hasta 13 de abril de 2009, es decir cerca de un año luego de la decisión definitiva. Por esta razón</w:t>
      </w:r>
      <w:r w:rsidR="00412749">
        <w:rPr>
          <w:rFonts w:ascii="Cambria" w:hAnsi="Cambria"/>
          <w:sz w:val="20"/>
          <w:szCs w:val="20"/>
          <w:lang w:val="es-PA"/>
        </w:rPr>
        <w:t>,</w:t>
      </w:r>
      <w:r w:rsidRPr="00E772A3">
        <w:rPr>
          <w:rFonts w:ascii="Cambria" w:hAnsi="Cambria"/>
          <w:sz w:val="20"/>
          <w:szCs w:val="20"/>
          <w:lang w:val="es-PA"/>
        </w:rPr>
        <w:t xml:space="preserve"> considera que en lo referente al proceso penal la petición no cumple con los requisitos del artículo </w:t>
      </w:r>
      <w:proofErr w:type="gramStart"/>
      <w:r w:rsidRPr="00E772A3">
        <w:rPr>
          <w:rFonts w:ascii="Cambria" w:hAnsi="Cambria"/>
          <w:sz w:val="20"/>
          <w:szCs w:val="20"/>
          <w:lang w:val="es-PA"/>
        </w:rPr>
        <w:t>46.1(</w:t>
      </w:r>
      <w:proofErr w:type="gramEnd"/>
      <w:r w:rsidRPr="00E772A3">
        <w:rPr>
          <w:rFonts w:ascii="Cambria" w:hAnsi="Cambria"/>
          <w:sz w:val="20"/>
          <w:szCs w:val="20"/>
          <w:lang w:val="es-PA"/>
        </w:rPr>
        <w:t xml:space="preserve">b) de la Convención Americana. </w:t>
      </w:r>
    </w:p>
    <w:p w14:paraId="15BF8604" w14:textId="05EDCF06" w:rsidR="0099668D" w:rsidRPr="00E772A3" w:rsidRDefault="00E562D2" w:rsidP="00895A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772A3">
        <w:rPr>
          <w:rFonts w:ascii="Cambria" w:hAnsi="Cambria"/>
          <w:sz w:val="20"/>
          <w:szCs w:val="20"/>
          <w:lang w:val="es-PA"/>
        </w:rPr>
        <w:t>En cuanto al proceso civil,</w:t>
      </w:r>
      <w:r w:rsidR="00B43B75" w:rsidRPr="00E772A3">
        <w:rPr>
          <w:rFonts w:ascii="Cambria" w:hAnsi="Cambria"/>
          <w:sz w:val="20"/>
          <w:szCs w:val="20"/>
          <w:lang w:val="es-PA"/>
        </w:rPr>
        <w:t xml:space="preserve"> </w:t>
      </w:r>
      <w:r w:rsidR="00412749">
        <w:rPr>
          <w:rFonts w:ascii="Cambria" w:hAnsi="Cambria"/>
          <w:sz w:val="20"/>
          <w:szCs w:val="20"/>
          <w:lang w:val="es-PA"/>
        </w:rPr>
        <w:t xml:space="preserve">el Estado </w:t>
      </w:r>
      <w:r w:rsidR="00B43B75" w:rsidRPr="00E772A3">
        <w:rPr>
          <w:rFonts w:ascii="Cambria" w:hAnsi="Cambria"/>
          <w:sz w:val="20"/>
          <w:szCs w:val="20"/>
          <w:lang w:val="es-PA"/>
        </w:rPr>
        <w:t xml:space="preserve">señala </w:t>
      </w:r>
      <w:r w:rsidRPr="00E772A3">
        <w:rPr>
          <w:rFonts w:ascii="Cambria" w:hAnsi="Cambria"/>
          <w:sz w:val="20"/>
          <w:szCs w:val="20"/>
          <w:lang w:val="es-PA"/>
        </w:rPr>
        <w:t xml:space="preserve">que </w:t>
      </w:r>
      <w:r w:rsidR="00412749">
        <w:rPr>
          <w:rFonts w:ascii="Cambria" w:hAnsi="Cambria"/>
          <w:sz w:val="20"/>
          <w:szCs w:val="20"/>
          <w:lang w:val="es-PA"/>
        </w:rPr>
        <w:t xml:space="preserve">cuando </w:t>
      </w:r>
      <w:r w:rsidRPr="00E772A3">
        <w:rPr>
          <w:rFonts w:ascii="Cambria" w:hAnsi="Cambria"/>
          <w:sz w:val="20"/>
          <w:szCs w:val="20"/>
          <w:lang w:val="es-PA"/>
        </w:rPr>
        <w:t>se presentó la petición todavía no se había emitido la resolución que finalizó este juicio en segunda instancia</w:t>
      </w:r>
      <w:r w:rsidR="00FA3C57" w:rsidRPr="00E772A3">
        <w:rPr>
          <w:rFonts w:ascii="Cambria" w:hAnsi="Cambria"/>
          <w:sz w:val="20"/>
          <w:szCs w:val="20"/>
          <w:lang w:val="es-PA"/>
        </w:rPr>
        <w:t xml:space="preserve">, pues esta no se emitió </w:t>
      </w:r>
      <w:r w:rsidR="00412749">
        <w:rPr>
          <w:rFonts w:ascii="Cambria" w:hAnsi="Cambria"/>
          <w:sz w:val="20"/>
          <w:szCs w:val="20"/>
          <w:lang w:val="es-PA"/>
        </w:rPr>
        <w:t xml:space="preserve">sino </w:t>
      </w:r>
      <w:r w:rsidR="00FA3C57" w:rsidRPr="00E772A3">
        <w:rPr>
          <w:rFonts w:ascii="Cambria" w:hAnsi="Cambria"/>
          <w:sz w:val="20"/>
          <w:szCs w:val="20"/>
          <w:lang w:val="es-PA"/>
        </w:rPr>
        <w:t>hasta el 11 de marzo de 2010</w:t>
      </w:r>
      <w:r w:rsidRPr="00E772A3">
        <w:rPr>
          <w:rFonts w:ascii="Cambria" w:hAnsi="Cambria"/>
          <w:sz w:val="20"/>
          <w:szCs w:val="20"/>
          <w:lang w:val="es-PA"/>
        </w:rPr>
        <w:t>. Por esta razón, considera que se privó al Estado de su oportunidad resolver la materia objeto de la petición en su jurisdicci</w:t>
      </w:r>
      <w:r w:rsidR="0099668D" w:rsidRPr="00E772A3">
        <w:rPr>
          <w:rFonts w:ascii="Cambria" w:hAnsi="Cambria"/>
          <w:sz w:val="20"/>
          <w:szCs w:val="20"/>
          <w:lang w:val="es-PA"/>
        </w:rPr>
        <w:t>ón interna antes de ser demandado internacional</w:t>
      </w:r>
      <w:r w:rsidR="00A27616">
        <w:rPr>
          <w:rFonts w:ascii="Cambria" w:hAnsi="Cambria"/>
          <w:sz w:val="20"/>
          <w:szCs w:val="20"/>
          <w:lang w:val="es-PA"/>
        </w:rPr>
        <w:t>mente</w:t>
      </w:r>
      <w:r w:rsidR="0099668D" w:rsidRPr="00E772A3">
        <w:rPr>
          <w:rFonts w:ascii="Cambria" w:hAnsi="Cambria"/>
          <w:sz w:val="20"/>
          <w:szCs w:val="20"/>
          <w:lang w:val="es-PA"/>
        </w:rPr>
        <w:t>. Agrega que el peticionario no hizo uso de los medios que el ordenamiento jurídico mexicano puso a su disposición, pues no impugnó la decisión de segunda instancia med</w:t>
      </w:r>
      <w:r w:rsidR="006A31F1">
        <w:rPr>
          <w:rFonts w:ascii="Cambria" w:hAnsi="Cambria"/>
          <w:sz w:val="20"/>
          <w:szCs w:val="20"/>
          <w:lang w:val="es-PA"/>
        </w:rPr>
        <w:t xml:space="preserve">iante juicio de amparo indirecto. </w:t>
      </w:r>
      <w:r w:rsidR="00A27616">
        <w:rPr>
          <w:rFonts w:ascii="Cambria" w:hAnsi="Cambria"/>
          <w:sz w:val="20"/>
          <w:szCs w:val="20"/>
          <w:lang w:val="es-PA"/>
        </w:rPr>
        <w:t>Asimismo, d</w:t>
      </w:r>
      <w:r w:rsidR="0099668D" w:rsidRPr="00E772A3">
        <w:rPr>
          <w:rFonts w:ascii="Cambria" w:hAnsi="Cambria"/>
          <w:sz w:val="20"/>
          <w:szCs w:val="20"/>
          <w:lang w:val="es-PA"/>
        </w:rPr>
        <w:t>estaca que la Comisión ha reconocido la eficacia del recurso de amparo para la protección de los derechos individuales de las personas en México.</w:t>
      </w:r>
    </w:p>
    <w:p w14:paraId="4AC1E071" w14:textId="68908522" w:rsidR="007D2472" w:rsidRPr="00606E98" w:rsidRDefault="00B43B75" w:rsidP="00B43B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b/>
          <w:bCs/>
          <w:sz w:val="20"/>
          <w:szCs w:val="20"/>
          <w:lang w:val="es-ES"/>
        </w:rPr>
      </w:pPr>
      <w:r w:rsidRPr="00E772A3">
        <w:rPr>
          <w:rFonts w:ascii="Cambria" w:hAnsi="Cambria"/>
          <w:sz w:val="20"/>
          <w:szCs w:val="20"/>
          <w:lang w:val="es-ES"/>
        </w:rPr>
        <w:t>Explica</w:t>
      </w:r>
      <w:r w:rsidRPr="00E772A3">
        <w:rPr>
          <w:rFonts w:ascii="Cambria" w:hAnsi="Cambria"/>
          <w:sz w:val="20"/>
          <w:szCs w:val="20"/>
          <w:lang w:val="es-PA"/>
        </w:rPr>
        <w:t xml:space="preserve"> además que al peticionario se le permitió acceder a todos los recursos contemplados en la legislación mexicana</w:t>
      </w:r>
      <w:r w:rsidR="00A27616">
        <w:rPr>
          <w:rFonts w:ascii="Cambria" w:hAnsi="Cambria"/>
          <w:sz w:val="20"/>
          <w:szCs w:val="20"/>
          <w:lang w:val="es-PA"/>
        </w:rPr>
        <w:t>, y que</w:t>
      </w:r>
      <w:r w:rsidRPr="00E772A3">
        <w:rPr>
          <w:rFonts w:ascii="Cambria" w:hAnsi="Cambria"/>
          <w:sz w:val="20"/>
          <w:szCs w:val="20"/>
          <w:lang w:val="es-PA"/>
        </w:rPr>
        <w:t xml:space="preserve"> </w:t>
      </w:r>
      <w:r w:rsidR="00A27616">
        <w:rPr>
          <w:rFonts w:ascii="Cambria" w:hAnsi="Cambria"/>
          <w:sz w:val="20"/>
          <w:szCs w:val="20"/>
          <w:lang w:val="es-PA"/>
        </w:rPr>
        <w:t xml:space="preserve">éstos fueron </w:t>
      </w:r>
      <w:r w:rsidR="006A31F1">
        <w:rPr>
          <w:rFonts w:ascii="Cambria" w:hAnsi="Cambria"/>
          <w:sz w:val="20"/>
          <w:szCs w:val="20"/>
          <w:lang w:val="es-PA"/>
        </w:rPr>
        <w:t>siempre sustanciado</w:t>
      </w:r>
      <w:r w:rsidRPr="00E772A3">
        <w:rPr>
          <w:rFonts w:ascii="Cambria" w:hAnsi="Cambria"/>
          <w:sz w:val="20"/>
          <w:szCs w:val="20"/>
          <w:lang w:val="es-PA"/>
        </w:rPr>
        <w:t>s con estricto apego a las leyes aplicables y con pleno respeto de las garantías individuales y los derechos humanos. Resalta que la Convención Americana s</w:t>
      </w:r>
      <w:r w:rsidR="00A27616">
        <w:rPr>
          <w:rFonts w:ascii="Cambria" w:hAnsi="Cambria"/>
          <w:sz w:val="20"/>
          <w:szCs w:val="20"/>
          <w:lang w:val="es-PA"/>
        </w:rPr>
        <w:t>ólo</w:t>
      </w:r>
      <w:r w:rsidRPr="00E772A3">
        <w:rPr>
          <w:rFonts w:ascii="Cambria" w:hAnsi="Cambria"/>
          <w:sz w:val="20"/>
          <w:szCs w:val="20"/>
          <w:lang w:val="es-PA"/>
        </w:rPr>
        <w:t xml:space="preserve"> contempla el derecho a procesos justos e imparciales y rápidos que brinden la </w:t>
      </w:r>
      <w:r w:rsidR="00412749" w:rsidRPr="00E772A3">
        <w:rPr>
          <w:rFonts w:ascii="Cambria" w:hAnsi="Cambria"/>
          <w:sz w:val="20"/>
          <w:szCs w:val="20"/>
          <w:lang w:val="es-PA"/>
        </w:rPr>
        <w:t>posibilidad,</w:t>
      </w:r>
      <w:r w:rsidRPr="00E772A3">
        <w:rPr>
          <w:rFonts w:ascii="Cambria" w:hAnsi="Cambria"/>
          <w:sz w:val="20"/>
          <w:szCs w:val="20"/>
          <w:lang w:val="es-PA"/>
        </w:rPr>
        <w:t xml:space="preserve"> pero nunca la garantía</w:t>
      </w:r>
      <w:r w:rsidR="00412749">
        <w:rPr>
          <w:rFonts w:ascii="Cambria" w:hAnsi="Cambria"/>
          <w:sz w:val="20"/>
          <w:szCs w:val="20"/>
          <w:lang w:val="es-PA"/>
        </w:rPr>
        <w:t>,</w:t>
      </w:r>
      <w:r w:rsidRPr="00E772A3">
        <w:rPr>
          <w:rFonts w:ascii="Cambria" w:hAnsi="Cambria"/>
          <w:sz w:val="20"/>
          <w:szCs w:val="20"/>
          <w:lang w:val="es-PA"/>
        </w:rPr>
        <w:t xml:space="preserve"> de un resultado favorable. Considera que los hechos de la petición se refieren a resultados que fueron negativos a los intereses del </w:t>
      </w:r>
      <w:r w:rsidR="00A27616" w:rsidRPr="00E772A3">
        <w:rPr>
          <w:rFonts w:ascii="Cambria" w:hAnsi="Cambria"/>
          <w:sz w:val="20"/>
          <w:szCs w:val="20"/>
          <w:lang w:val="es-PA"/>
        </w:rPr>
        <w:t>peticionario,</w:t>
      </w:r>
      <w:r w:rsidR="00B47769" w:rsidRPr="00E772A3">
        <w:rPr>
          <w:rFonts w:ascii="Cambria" w:hAnsi="Cambria"/>
          <w:sz w:val="20"/>
          <w:szCs w:val="20"/>
          <w:lang w:val="es-PA"/>
        </w:rPr>
        <w:t xml:space="preserve"> </w:t>
      </w:r>
      <w:r w:rsidRPr="00E772A3">
        <w:rPr>
          <w:rFonts w:ascii="Cambria" w:hAnsi="Cambria"/>
          <w:sz w:val="20"/>
          <w:szCs w:val="20"/>
          <w:lang w:val="es-PA"/>
        </w:rPr>
        <w:t xml:space="preserve">pero emanados de un juicio justo, por lo que no caracterizan violaciones </w:t>
      </w:r>
      <w:r w:rsidR="00A27616">
        <w:rPr>
          <w:rFonts w:ascii="Cambria" w:hAnsi="Cambria"/>
          <w:sz w:val="20"/>
          <w:szCs w:val="20"/>
          <w:lang w:val="es-PA"/>
        </w:rPr>
        <w:t>de</w:t>
      </w:r>
      <w:r w:rsidRPr="00E772A3">
        <w:rPr>
          <w:rFonts w:ascii="Cambria" w:hAnsi="Cambria"/>
          <w:sz w:val="20"/>
          <w:szCs w:val="20"/>
          <w:lang w:val="es-PA"/>
        </w:rPr>
        <w:t xml:space="preserve"> sus derechos humanos, Agrega que los tribunales penales y administrativos locales y federales negaron ejercitar la acción penal conforme a las pretensiones del peticionario porque no encontraron indicios suficientes de que los denunciados fueran responsables de delito </w:t>
      </w:r>
      <w:r w:rsidR="00A27616">
        <w:rPr>
          <w:rFonts w:ascii="Cambria" w:hAnsi="Cambria"/>
          <w:sz w:val="20"/>
          <w:szCs w:val="20"/>
          <w:lang w:val="es-PA"/>
        </w:rPr>
        <w:t>contra la</w:t>
      </w:r>
      <w:r w:rsidRPr="00E772A3">
        <w:rPr>
          <w:rFonts w:ascii="Cambria" w:hAnsi="Cambria"/>
          <w:sz w:val="20"/>
          <w:szCs w:val="20"/>
          <w:lang w:val="es-PA"/>
        </w:rPr>
        <w:t xml:space="preserve"> fidelidad profesional. Por esta raz</w:t>
      </w:r>
      <w:r w:rsidR="007D2472" w:rsidRPr="00E772A3">
        <w:rPr>
          <w:rFonts w:ascii="Cambria" w:hAnsi="Cambria"/>
          <w:sz w:val="20"/>
          <w:szCs w:val="20"/>
          <w:lang w:val="es-PA"/>
        </w:rPr>
        <w:t>ón, sostiene que la admisión de la presente petición implicaría que la Comisión actúe como una cuarta instancia</w:t>
      </w:r>
      <w:r w:rsidR="00A27616">
        <w:rPr>
          <w:rFonts w:ascii="Cambria" w:hAnsi="Cambria"/>
          <w:sz w:val="20"/>
          <w:szCs w:val="20"/>
          <w:lang w:val="es-PA"/>
        </w:rPr>
        <w:t>,</w:t>
      </w:r>
      <w:r w:rsidR="007D2472" w:rsidRPr="00E772A3">
        <w:rPr>
          <w:rFonts w:ascii="Cambria" w:hAnsi="Cambria"/>
          <w:sz w:val="20"/>
          <w:szCs w:val="20"/>
          <w:lang w:val="es-PA"/>
        </w:rPr>
        <w:t xml:space="preserve"> en trasgresión </w:t>
      </w:r>
      <w:r w:rsidR="00A27616">
        <w:rPr>
          <w:rFonts w:ascii="Cambria" w:hAnsi="Cambria"/>
          <w:sz w:val="20"/>
          <w:szCs w:val="20"/>
          <w:lang w:val="es-PA"/>
        </w:rPr>
        <w:t>del</w:t>
      </w:r>
      <w:r w:rsidR="00A27616" w:rsidRPr="00E772A3">
        <w:rPr>
          <w:rFonts w:ascii="Cambria" w:hAnsi="Cambria"/>
          <w:sz w:val="20"/>
          <w:szCs w:val="20"/>
          <w:lang w:val="es-PA"/>
        </w:rPr>
        <w:t xml:space="preserve"> </w:t>
      </w:r>
      <w:r w:rsidR="007D2472" w:rsidRPr="00E772A3">
        <w:rPr>
          <w:rFonts w:ascii="Cambria" w:hAnsi="Cambria"/>
          <w:sz w:val="20"/>
          <w:szCs w:val="20"/>
          <w:lang w:val="es-PA"/>
        </w:rPr>
        <w:t xml:space="preserve">principio de subsidiariedad que la rige. </w:t>
      </w:r>
    </w:p>
    <w:p w14:paraId="73B2FFFA" w14:textId="59A4FC43" w:rsidR="007D2472" w:rsidRPr="00E772A3" w:rsidRDefault="007D2472" w:rsidP="00B47769">
      <w:pPr>
        <w:pStyle w:val="ListParagraph"/>
        <w:pBdr>
          <w:top w:val="none" w:sz="0" w:space="0" w:color="auto"/>
          <w:left w:val="none" w:sz="0" w:space="0" w:color="auto"/>
          <w:bottom w:val="none" w:sz="0" w:space="0" w:color="auto"/>
          <w:right w:val="none" w:sz="0" w:space="0" w:color="auto"/>
          <w:bar w:val="none" w:sz="0" w:color="auto"/>
        </w:pBdr>
        <w:suppressAutoHyphens/>
        <w:spacing w:after="120"/>
        <w:jc w:val="both"/>
        <w:rPr>
          <w:b/>
          <w:bCs/>
          <w:sz w:val="20"/>
          <w:szCs w:val="20"/>
          <w:lang w:val="es-ES"/>
        </w:rPr>
      </w:pPr>
      <w:r w:rsidRPr="00E772A3">
        <w:rPr>
          <w:b/>
          <w:bCs/>
          <w:sz w:val="20"/>
          <w:szCs w:val="20"/>
          <w:lang w:val="es-ES"/>
        </w:rPr>
        <w:t xml:space="preserve">VI. </w:t>
      </w:r>
      <w:r w:rsidRPr="00E772A3">
        <w:rPr>
          <w:b/>
          <w:bCs/>
          <w:sz w:val="20"/>
          <w:szCs w:val="20"/>
          <w:lang w:val="es-ES"/>
        </w:rPr>
        <w:tab/>
        <w:t>AGOTAMIENTO DE LOS RECURSOS INTERNOS Y PLAZO DE PRESENTACIÓN</w:t>
      </w:r>
    </w:p>
    <w:p w14:paraId="2AD091DC" w14:textId="0A1502C3" w:rsidR="007D2472" w:rsidRPr="00E772A3" w:rsidRDefault="00237DC2" w:rsidP="00C96A3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b/>
          <w:bCs/>
          <w:sz w:val="20"/>
          <w:szCs w:val="20"/>
          <w:lang w:val="es-ES"/>
        </w:rPr>
      </w:pPr>
      <w:r>
        <w:rPr>
          <w:rFonts w:ascii="Cambria" w:hAnsi="Cambria"/>
          <w:sz w:val="20"/>
          <w:szCs w:val="20"/>
          <w:lang w:val="es-PA"/>
        </w:rPr>
        <w:t>El</w:t>
      </w:r>
      <w:r w:rsidR="007D2472" w:rsidRPr="00E772A3">
        <w:rPr>
          <w:rFonts w:ascii="Cambria" w:hAnsi="Cambria"/>
          <w:sz w:val="20"/>
          <w:szCs w:val="20"/>
          <w:lang w:val="es-PA"/>
        </w:rPr>
        <w:t xml:space="preserve"> peticionario </w:t>
      </w:r>
      <w:r>
        <w:rPr>
          <w:rFonts w:ascii="Cambria" w:hAnsi="Cambria"/>
          <w:sz w:val="20"/>
          <w:szCs w:val="20"/>
          <w:lang w:val="es-PA"/>
        </w:rPr>
        <w:t>sostiene</w:t>
      </w:r>
      <w:r w:rsidR="007D2472" w:rsidRPr="00E772A3">
        <w:rPr>
          <w:rFonts w:ascii="Cambria" w:hAnsi="Cambria"/>
          <w:sz w:val="20"/>
          <w:szCs w:val="20"/>
          <w:lang w:val="es-PA"/>
        </w:rPr>
        <w:t xml:space="preserve"> que </w:t>
      </w:r>
      <w:r>
        <w:rPr>
          <w:rFonts w:ascii="Cambria" w:hAnsi="Cambria"/>
          <w:sz w:val="20"/>
          <w:szCs w:val="20"/>
          <w:lang w:val="es-PA"/>
        </w:rPr>
        <w:t>ha cumplido</w:t>
      </w:r>
      <w:r w:rsidR="007D2472" w:rsidRPr="00E772A3">
        <w:rPr>
          <w:rFonts w:ascii="Cambria" w:hAnsi="Cambria"/>
          <w:sz w:val="20"/>
          <w:szCs w:val="20"/>
          <w:lang w:val="es-PA"/>
        </w:rPr>
        <w:t xml:space="preserve"> con el requisito de agotamiento de los recursos internos y que </w:t>
      </w:r>
      <w:r>
        <w:rPr>
          <w:rFonts w:ascii="Cambria" w:hAnsi="Cambria"/>
          <w:sz w:val="20"/>
          <w:szCs w:val="20"/>
          <w:lang w:val="es-PA"/>
        </w:rPr>
        <w:t xml:space="preserve">la petición </w:t>
      </w:r>
      <w:r w:rsidR="007D2472" w:rsidRPr="00E772A3">
        <w:rPr>
          <w:rFonts w:ascii="Cambria" w:hAnsi="Cambria"/>
          <w:sz w:val="20"/>
          <w:szCs w:val="20"/>
          <w:lang w:val="es-PA"/>
        </w:rPr>
        <w:t xml:space="preserve">fue presentada oportunamente, </w:t>
      </w:r>
      <w:r>
        <w:rPr>
          <w:rFonts w:ascii="Cambria" w:hAnsi="Cambria"/>
          <w:sz w:val="20"/>
          <w:szCs w:val="20"/>
          <w:lang w:val="es-PA"/>
        </w:rPr>
        <w:t>ya que</w:t>
      </w:r>
      <w:r w:rsidR="007D2472" w:rsidRPr="00E772A3">
        <w:rPr>
          <w:rFonts w:ascii="Cambria" w:hAnsi="Cambria"/>
          <w:sz w:val="20"/>
          <w:szCs w:val="20"/>
          <w:lang w:val="es-PA"/>
        </w:rPr>
        <w:t xml:space="preserve"> </w:t>
      </w:r>
      <w:r>
        <w:rPr>
          <w:rFonts w:ascii="Cambria" w:hAnsi="Cambria"/>
          <w:sz w:val="20"/>
          <w:szCs w:val="20"/>
          <w:lang w:val="es-PA"/>
        </w:rPr>
        <w:t xml:space="preserve">deben </w:t>
      </w:r>
      <w:r w:rsidR="007D2472" w:rsidRPr="00E772A3">
        <w:rPr>
          <w:rFonts w:ascii="Cambria" w:hAnsi="Cambria"/>
          <w:sz w:val="20"/>
          <w:szCs w:val="20"/>
          <w:lang w:val="es-PA"/>
        </w:rPr>
        <w:t xml:space="preserve">contarse </w:t>
      </w:r>
      <w:r>
        <w:rPr>
          <w:rFonts w:ascii="Cambria" w:hAnsi="Cambria"/>
          <w:sz w:val="20"/>
          <w:szCs w:val="20"/>
          <w:lang w:val="es-PA"/>
        </w:rPr>
        <w:t>los 6 meses de</w:t>
      </w:r>
      <w:r w:rsidR="007D2472" w:rsidRPr="00E772A3">
        <w:rPr>
          <w:rFonts w:ascii="Cambria" w:hAnsi="Cambria"/>
          <w:sz w:val="20"/>
          <w:szCs w:val="20"/>
          <w:lang w:val="es-PA"/>
        </w:rPr>
        <w:t xml:space="preserve"> plazo de presentación desde la última notificación que </w:t>
      </w:r>
      <w:r>
        <w:rPr>
          <w:rFonts w:ascii="Cambria" w:hAnsi="Cambria"/>
          <w:sz w:val="20"/>
          <w:szCs w:val="20"/>
          <w:lang w:val="es-PA"/>
        </w:rPr>
        <w:t xml:space="preserve">recibió </w:t>
      </w:r>
      <w:r w:rsidR="007D2472" w:rsidRPr="00E772A3">
        <w:rPr>
          <w:rFonts w:ascii="Cambria" w:hAnsi="Cambria"/>
          <w:sz w:val="20"/>
          <w:szCs w:val="20"/>
          <w:lang w:val="es-PA"/>
        </w:rPr>
        <w:t xml:space="preserve">para retirar los expedientes que había aportado para la </w:t>
      </w:r>
      <w:r w:rsidR="007D2472" w:rsidRPr="00E772A3">
        <w:rPr>
          <w:rFonts w:ascii="Cambria" w:hAnsi="Cambria"/>
          <w:sz w:val="20"/>
          <w:szCs w:val="20"/>
          <w:lang w:val="es-PA"/>
        </w:rPr>
        <w:lastRenderedPageBreak/>
        <w:t>revisión del Consejo de la Judicatura Federal. A su vez, el Estado indica que la petición es extemporánea en lo referente al proceso penal porque fue presentada más de 6 meses luego de la decisión definitiva respecto al no ejercicio de la acción penal. En adición, el Estado manif</w:t>
      </w:r>
      <w:r>
        <w:rPr>
          <w:rFonts w:ascii="Cambria" w:hAnsi="Cambria"/>
          <w:sz w:val="20"/>
          <w:szCs w:val="20"/>
          <w:lang w:val="es-PA"/>
        </w:rPr>
        <w:t>iesta</w:t>
      </w:r>
      <w:r w:rsidR="007D2472" w:rsidRPr="00E772A3">
        <w:rPr>
          <w:rFonts w:ascii="Cambria" w:hAnsi="Cambria"/>
          <w:sz w:val="20"/>
          <w:szCs w:val="20"/>
          <w:lang w:val="es-PA"/>
        </w:rPr>
        <w:t xml:space="preserve"> que la petición no cumple con el requisito de agotamiento de los recursos internos en </w:t>
      </w:r>
      <w:r>
        <w:rPr>
          <w:rFonts w:ascii="Cambria" w:hAnsi="Cambria"/>
          <w:sz w:val="20"/>
          <w:szCs w:val="20"/>
          <w:lang w:val="es-PA"/>
        </w:rPr>
        <w:t>lo</w:t>
      </w:r>
      <w:r w:rsidR="007D2472" w:rsidRPr="00E772A3">
        <w:rPr>
          <w:rFonts w:ascii="Cambria" w:hAnsi="Cambria"/>
          <w:sz w:val="20"/>
          <w:szCs w:val="20"/>
          <w:lang w:val="es-PA"/>
        </w:rPr>
        <w:t xml:space="preserve"> referente a la demanda civil, porque el peticionario no interpuso un juicio de amparo directo contra la decisión final de segunda instancia y porque dicha decisión final </w:t>
      </w:r>
      <w:r>
        <w:rPr>
          <w:rFonts w:ascii="Cambria" w:hAnsi="Cambria"/>
          <w:sz w:val="20"/>
          <w:szCs w:val="20"/>
          <w:lang w:val="es-PA"/>
        </w:rPr>
        <w:t xml:space="preserve">aún </w:t>
      </w:r>
      <w:r w:rsidR="007D2472" w:rsidRPr="00E772A3">
        <w:rPr>
          <w:rFonts w:ascii="Cambria" w:hAnsi="Cambria"/>
          <w:sz w:val="20"/>
          <w:szCs w:val="20"/>
          <w:lang w:val="es-PA"/>
        </w:rPr>
        <w:t xml:space="preserve">no había sido emitida en el momento de la presentación de la petición. </w:t>
      </w:r>
    </w:p>
    <w:p w14:paraId="5AA474D8" w14:textId="13654ABE" w:rsidR="0014779F" w:rsidRPr="00E772A3" w:rsidRDefault="00237DC2" w:rsidP="00C96A3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b/>
          <w:bCs/>
          <w:sz w:val="20"/>
          <w:szCs w:val="20"/>
          <w:lang w:val="es-ES"/>
        </w:rPr>
      </w:pPr>
      <w:r>
        <w:rPr>
          <w:rFonts w:ascii="Cambria" w:hAnsi="Cambria"/>
          <w:sz w:val="20"/>
          <w:szCs w:val="20"/>
          <w:lang w:val="es-PA"/>
        </w:rPr>
        <w:t>El</w:t>
      </w:r>
      <w:r w:rsidR="0014779F" w:rsidRPr="00E772A3">
        <w:rPr>
          <w:rFonts w:ascii="Cambria" w:hAnsi="Cambria"/>
          <w:sz w:val="20"/>
          <w:szCs w:val="20"/>
          <w:lang w:val="es-PA"/>
        </w:rPr>
        <w:t xml:space="preserve"> Estado alega que la decisión definitiva con respecto a la demanda penal interpuesta por el peticionario fue el rechazo de la acción de amparo que interpuso contra la segunda sentencia del Tribunal Contencioso Administrativo</w:t>
      </w:r>
      <w:r>
        <w:rPr>
          <w:rFonts w:ascii="Cambria" w:hAnsi="Cambria"/>
          <w:sz w:val="20"/>
          <w:szCs w:val="20"/>
          <w:lang w:val="es-PA"/>
        </w:rPr>
        <w:t>,</w:t>
      </w:r>
      <w:r w:rsidR="0014779F" w:rsidRPr="00E772A3">
        <w:rPr>
          <w:rFonts w:ascii="Cambria" w:hAnsi="Cambria"/>
          <w:sz w:val="20"/>
          <w:szCs w:val="20"/>
          <w:lang w:val="es-PA"/>
        </w:rPr>
        <w:t xml:space="preserve"> que se habría emitido más de 6 meses antes </w:t>
      </w:r>
      <w:r>
        <w:rPr>
          <w:rFonts w:ascii="Cambria" w:hAnsi="Cambria"/>
          <w:sz w:val="20"/>
          <w:szCs w:val="20"/>
          <w:lang w:val="es-PA"/>
        </w:rPr>
        <w:t>de</w:t>
      </w:r>
      <w:r w:rsidR="0014779F" w:rsidRPr="00E772A3">
        <w:rPr>
          <w:rFonts w:ascii="Cambria" w:hAnsi="Cambria"/>
          <w:sz w:val="20"/>
          <w:szCs w:val="20"/>
          <w:lang w:val="es-PA"/>
        </w:rPr>
        <w:t xml:space="preserve"> la presentación de la petición. Sin embargo, el Estado no ha controvertido lo señalado por el peticionario en el sentido de que interpuso acciones adicionales ante el Consejo de la Judicatura Federal y la Corte Suprema de Justicia </w:t>
      </w:r>
      <w:r w:rsidRPr="00E772A3">
        <w:rPr>
          <w:rFonts w:ascii="Cambria" w:hAnsi="Cambria"/>
          <w:sz w:val="20"/>
          <w:szCs w:val="20"/>
          <w:lang w:val="es-PA"/>
        </w:rPr>
        <w:t>con posterioridad a la decisión de amparo</w:t>
      </w:r>
      <w:r>
        <w:rPr>
          <w:rFonts w:ascii="Cambria" w:hAnsi="Cambria"/>
          <w:sz w:val="20"/>
          <w:szCs w:val="20"/>
          <w:lang w:val="es-PA"/>
        </w:rPr>
        <w:t>,</w:t>
      </w:r>
      <w:r w:rsidRPr="00E772A3">
        <w:rPr>
          <w:rFonts w:ascii="Cambria" w:hAnsi="Cambria"/>
          <w:sz w:val="20"/>
          <w:szCs w:val="20"/>
          <w:lang w:val="es-PA"/>
        </w:rPr>
        <w:t xml:space="preserve"> </w:t>
      </w:r>
      <w:r w:rsidR="0014779F" w:rsidRPr="00E772A3">
        <w:rPr>
          <w:rFonts w:ascii="Cambria" w:hAnsi="Cambria"/>
          <w:sz w:val="20"/>
          <w:szCs w:val="20"/>
          <w:lang w:val="es-PA"/>
        </w:rPr>
        <w:t>que habrían tenido una decisión final dentro del plazo de presentación. El Estado tampo</w:t>
      </w:r>
      <w:r w:rsidR="009C2DF9" w:rsidRPr="00E772A3">
        <w:rPr>
          <w:rFonts w:ascii="Cambria" w:hAnsi="Cambria"/>
          <w:sz w:val="20"/>
          <w:szCs w:val="20"/>
          <w:lang w:val="es-PA"/>
        </w:rPr>
        <w:t xml:space="preserve">co indica que estas acciones posteriores del peticionario fueran manifiestamente ineficaces ni </w:t>
      </w:r>
      <w:r>
        <w:rPr>
          <w:rFonts w:ascii="Cambria" w:hAnsi="Cambria"/>
          <w:sz w:val="20"/>
          <w:szCs w:val="20"/>
          <w:lang w:val="es-PA"/>
        </w:rPr>
        <w:t>expone alguna</w:t>
      </w:r>
      <w:r w:rsidR="009C2DF9" w:rsidRPr="00E772A3">
        <w:rPr>
          <w:rFonts w:ascii="Cambria" w:hAnsi="Cambria"/>
          <w:sz w:val="20"/>
          <w:szCs w:val="20"/>
          <w:lang w:val="es-PA"/>
        </w:rPr>
        <w:t xml:space="preserve"> otra razón por las </w:t>
      </w:r>
      <w:r>
        <w:rPr>
          <w:rFonts w:ascii="Cambria" w:hAnsi="Cambria"/>
          <w:sz w:val="20"/>
          <w:szCs w:val="20"/>
          <w:lang w:val="es-PA"/>
        </w:rPr>
        <w:t>que</w:t>
      </w:r>
      <w:r w:rsidR="009C2DF9" w:rsidRPr="00E772A3">
        <w:rPr>
          <w:rFonts w:ascii="Cambria" w:hAnsi="Cambria"/>
          <w:sz w:val="20"/>
          <w:szCs w:val="20"/>
          <w:lang w:val="es-PA"/>
        </w:rPr>
        <w:t xml:space="preserve"> no </w:t>
      </w:r>
      <w:r>
        <w:rPr>
          <w:rFonts w:ascii="Cambria" w:hAnsi="Cambria"/>
          <w:sz w:val="20"/>
          <w:szCs w:val="20"/>
          <w:lang w:val="es-PA"/>
        </w:rPr>
        <w:t xml:space="preserve">deberían </w:t>
      </w:r>
      <w:r w:rsidR="009C2DF9" w:rsidRPr="00E772A3">
        <w:rPr>
          <w:rFonts w:ascii="Cambria" w:hAnsi="Cambria"/>
          <w:sz w:val="20"/>
          <w:szCs w:val="20"/>
          <w:lang w:val="es-PA"/>
        </w:rPr>
        <w:t xml:space="preserve">ser valoradas para efectos del cálculo del plazo para la presentación de la petición. </w:t>
      </w:r>
    </w:p>
    <w:p w14:paraId="1375E9BE" w14:textId="2154E71D" w:rsidR="009C2DF9" w:rsidRPr="00E772A3" w:rsidRDefault="006A31F1" w:rsidP="00C96A3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b/>
          <w:bCs/>
          <w:sz w:val="20"/>
          <w:szCs w:val="20"/>
          <w:lang w:val="es-ES"/>
        </w:rPr>
      </w:pPr>
      <w:r>
        <w:rPr>
          <w:rFonts w:ascii="Cambria" w:hAnsi="Cambria"/>
          <w:sz w:val="20"/>
          <w:szCs w:val="20"/>
          <w:lang w:val="es-PA"/>
        </w:rPr>
        <w:t>L</w:t>
      </w:r>
      <w:r w:rsidR="009C2DF9" w:rsidRPr="00E772A3">
        <w:rPr>
          <w:rFonts w:ascii="Cambria" w:hAnsi="Cambria"/>
          <w:sz w:val="20"/>
          <w:szCs w:val="20"/>
          <w:lang w:val="es-PA"/>
        </w:rPr>
        <w:t xml:space="preserve">a Comisión recuerda que para efectos de determinar la vía adecuada que debe ser agotada en el ordenamiento interno resulta necesario establecer preliminarmente el objeto de la petición presentada </w:t>
      </w:r>
      <w:r w:rsidR="0017608F" w:rsidRPr="00E772A3">
        <w:rPr>
          <w:rFonts w:ascii="Cambria" w:hAnsi="Cambria"/>
          <w:sz w:val="20"/>
          <w:szCs w:val="20"/>
          <w:lang w:val="es-PA"/>
        </w:rPr>
        <w:t xml:space="preserve">a su conocimiento. </w:t>
      </w:r>
      <w:r w:rsidR="0017608F" w:rsidRPr="00E772A3">
        <w:rPr>
          <w:rFonts w:ascii="Cambria" w:hAnsi="Cambria" w:cs="Calibri"/>
          <w:sz w:val="20"/>
          <w:szCs w:val="20"/>
          <w:lang w:val="es-PA"/>
        </w:rPr>
        <w:t>En este sentido,</w:t>
      </w:r>
      <w:r w:rsidR="009C2DF9" w:rsidRPr="00E772A3">
        <w:rPr>
          <w:rFonts w:ascii="Cambria" w:hAnsi="Cambria" w:cs="Calibri"/>
          <w:sz w:val="20"/>
          <w:szCs w:val="20"/>
          <w:lang w:val="es-ES_tradnl"/>
        </w:rPr>
        <w:t xml:space="preserve"> la Comisión entiende que el objeto de la presente petición</w:t>
      </w:r>
      <w:r w:rsidR="0017608F" w:rsidRPr="00E772A3">
        <w:rPr>
          <w:rFonts w:ascii="Cambria" w:hAnsi="Cambria" w:cs="Calibri"/>
          <w:sz w:val="20"/>
          <w:szCs w:val="20"/>
          <w:lang w:val="es-ES_tradnl"/>
        </w:rPr>
        <w:t xml:space="preserve"> no es la determinación </w:t>
      </w:r>
      <w:r w:rsidR="00F80C1A">
        <w:rPr>
          <w:rFonts w:ascii="Cambria" w:hAnsi="Cambria" w:cs="Calibri"/>
          <w:sz w:val="20"/>
          <w:szCs w:val="20"/>
          <w:lang w:val="es-ES_tradnl"/>
        </w:rPr>
        <w:t xml:space="preserve">de la </w:t>
      </w:r>
      <w:r w:rsidR="00F80C1A" w:rsidRPr="00E772A3">
        <w:rPr>
          <w:rFonts w:ascii="Cambria" w:hAnsi="Cambria" w:cs="Calibri"/>
          <w:sz w:val="20"/>
          <w:szCs w:val="20"/>
          <w:lang w:val="es-ES_tradnl"/>
        </w:rPr>
        <w:t xml:space="preserve">responsabilidad penal </w:t>
      </w:r>
      <w:r w:rsidR="0017608F" w:rsidRPr="00E772A3">
        <w:rPr>
          <w:rFonts w:ascii="Cambria" w:hAnsi="Cambria" w:cs="Calibri"/>
          <w:sz w:val="20"/>
          <w:szCs w:val="20"/>
          <w:lang w:val="es-ES_tradnl"/>
        </w:rPr>
        <w:t xml:space="preserve">del </w:t>
      </w:r>
      <w:r w:rsidR="00F80C1A">
        <w:rPr>
          <w:rFonts w:ascii="Cambria" w:hAnsi="Cambria" w:cs="Calibri"/>
          <w:sz w:val="20"/>
          <w:szCs w:val="20"/>
          <w:lang w:val="es-ES_tradnl"/>
        </w:rPr>
        <w:t>médico</w:t>
      </w:r>
      <w:r w:rsidR="0017608F" w:rsidRPr="00E772A3">
        <w:rPr>
          <w:rFonts w:ascii="Cambria" w:hAnsi="Cambria" w:cs="Calibri"/>
          <w:sz w:val="20"/>
          <w:szCs w:val="20"/>
          <w:lang w:val="es-ES_tradnl"/>
        </w:rPr>
        <w:t xml:space="preserve"> demandado </w:t>
      </w:r>
      <w:r w:rsidR="00F80C1A">
        <w:rPr>
          <w:rFonts w:ascii="Cambria" w:hAnsi="Cambria" w:cs="Calibri"/>
          <w:sz w:val="20"/>
          <w:szCs w:val="20"/>
          <w:lang w:val="es-ES_tradnl"/>
        </w:rPr>
        <w:t>o de las autoridades del</w:t>
      </w:r>
      <w:r w:rsidR="0017608F" w:rsidRPr="00E772A3">
        <w:rPr>
          <w:rFonts w:ascii="Cambria" w:hAnsi="Cambria" w:cs="Calibri"/>
          <w:sz w:val="20"/>
          <w:szCs w:val="20"/>
          <w:lang w:val="es-ES_tradnl"/>
        </w:rPr>
        <w:t xml:space="preserve"> hospital. Por el contrario, el objeto</w:t>
      </w:r>
      <w:r w:rsidR="009C2DF9" w:rsidRPr="00E772A3">
        <w:rPr>
          <w:rFonts w:ascii="Cambria" w:hAnsi="Cambria" w:cs="Calibri"/>
          <w:sz w:val="20"/>
          <w:szCs w:val="20"/>
          <w:lang w:val="es-ES_tradnl"/>
        </w:rPr>
        <w:t xml:space="preserve"> </w:t>
      </w:r>
      <w:r w:rsidR="0017608F" w:rsidRPr="00E772A3">
        <w:rPr>
          <w:rFonts w:ascii="Cambria" w:hAnsi="Cambria" w:cs="Calibri"/>
          <w:sz w:val="20"/>
          <w:szCs w:val="20"/>
          <w:lang w:val="es-ES_tradnl"/>
        </w:rPr>
        <w:t xml:space="preserve">se refiere a la posible responsabilidad internacional de las autoridades estatales por no brindar </w:t>
      </w:r>
      <w:proofErr w:type="gramStart"/>
      <w:r w:rsidR="0017608F" w:rsidRPr="00E772A3">
        <w:rPr>
          <w:rFonts w:ascii="Cambria" w:hAnsi="Cambria" w:cs="Calibri"/>
          <w:sz w:val="20"/>
          <w:szCs w:val="20"/>
          <w:lang w:val="es-ES_tradnl"/>
        </w:rPr>
        <w:t>al peticionario recursos eficaces</w:t>
      </w:r>
      <w:proofErr w:type="gramEnd"/>
      <w:r w:rsidR="0017608F" w:rsidRPr="00E772A3">
        <w:rPr>
          <w:rFonts w:ascii="Cambria" w:hAnsi="Cambria" w:cs="Calibri"/>
          <w:sz w:val="20"/>
          <w:szCs w:val="20"/>
          <w:lang w:val="es-ES_tradnl"/>
        </w:rPr>
        <w:t xml:space="preserve"> que le permitieran obtener reparación por daños que le </w:t>
      </w:r>
      <w:r w:rsidR="00F80C1A">
        <w:rPr>
          <w:rFonts w:ascii="Cambria" w:hAnsi="Cambria" w:cs="Calibri"/>
          <w:sz w:val="20"/>
          <w:szCs w:val="20"/>
          <w:lang w:val="es-ES_tradnl"/>
        </w:rPr>
        <w:t xml:space="preserve">habrían </w:t>
      </w:r>
      <w:r w:rsidR="0017608F" w:rsidRPr="00E772A3">
        <w:rPr>
          <w:rFonts w:ascii="Cambria" w:hAnsi="Cambria" w:cs="Calibri"/>
          <w:sz w:val="20"/>
          <w:szCs w:val="20"/>
          <w:lang w:val="es-ES_tradnl"/>
        </w:rPr>
        <w:t xml:space="preserve">ocasionado personas particulares. </w:t>
      </w:r>
      <w:r w:rsidR="00F80C1A">
        <w:rPr>
          <w:rFonts w:ascii="Cambria" w:hAnsi="Cambria" w:cs="Calibri"/>
          <w:sz w:val="20"/>
          <w:szCs w:val="20"/>
          <w:lang w:val="es-ES_tradnl"/>
        </w:rPr>
        <w:t>La</w:t>
      </w:r>
      <w:r w:rsidR="0017608F" w:rsidRPr="00E772A3">
        <w:rPr>
          <w:rFonts w:ascii="Cambria" w:hAnsi="Cambria" w:cs="Calibri"/>
          <w:sz w:val="20"/>
          <w:szCs w:val="20"/>
          <w:lang w:val="es-ES_tradnl"/>
        </w:rPr>
        <w:t xml:space="preserve"> </w:t>
      </w:r>
      <w:r w:rsidR="00F80C1A">
        <w:rPr>
          <w:rFonts w:ascii="Cambria" w:hAnsi="Cambria" w:cs="Calibri"/>
          <w:sz w:val="20"/>
          <w:szCs w:val="20"/>
          <w:lang w:val="es-ES_tradnl"/>
        </w:rPr>
        <w:t>C</w:t>
      </w:r>
      <w:r w:rsidR="0017608F" w:rsidRPr="00E772A3">
        <w:rPr>
          <w:rFonts w:ascii="Cambria" w:hAnsi="Cambria" w:cs="Calibri"/>
          <w:sz w:val="20"/>
          <w:szCs w:val="20"/>
          <w:lang w:val="es-ES_tradnl"/>
        </w:rPr>
        <w:t xml:space="preserve">omisión ya ha </w:t>
      </w:r>
      <w:r w:rsidR="00F80C1A">
        <w:rPr>
          <w:rFonts w:ascii="Cambria" w:hAnsi="Cambria" w:cs="Calibri"/>
          <w:sz w:val="20"/>
          <w:szCs w:val="20"/>
          <w:lang w:val="es-ES_tradnl"/>
        </w:rPr>
        <w:t>indicado con anterioridad que</w:t>
      </w:r>
      <w:r w:rsidR="0017608F" w:rsidRPr="00E772A3">
        <w:rPr>
          <w:rFonts w:ascii="Cambria" w:hAnsi="Cambria"/>
          <w:sz w:val="20"/>
          <w:szCs w:val="20"/>
          <w:lang w:val="es-PA"/>
        </w:rPr>
        <w:t>“</w:t>
      </w:r>
      <w:r w:rsidR="0017608F" w:rsidRPr="00E772A3">
        <w:rPr>
          <w:rFonts w:ascii="Cambria" w:hAnsi="Cambria" w:cs="Calibri"/>
          <w:sz w:val="20"/>
          <w:szCs w:val="20"/>
          <w:lang w:val="es-ES_tradnl"/>
        </w:rPr>
        <w:t>[E]l mecanismo establecido en los artículos 44 a 51 de la Convención Americana no tiene por propósito establecer la responsabilidad penal individual de las personas que, ya sea como civiles o agentes del Estado, puedan haber estado involucradas en la comisión de un crimen, sino el de establecer la responsabilidad estatal por la violación de la Convención Americana y otros instrumentos aplicables”</w:t>
      </w:r>
      <w:r w:rsidR="0017608F" w:rsidRPr="00E772A3">
        <w:rPr>
          <w:rStyle w:val="FootnoteReference"/>
          <w:rFonts w:ascii="Cambria" w:hAnsi="Cambria" w:cs="Calibri"/>
          <w:sz w:val="20"/>
          <w:szCs w:val="20"/>
        </w:rPr>
        <w:footnoteReference w:id="5"/>
      </w:r>
      <w:r w:rsidR="0017608F" w:rsidRPr="00E772A3">
        <w:rPr>
          <w:rFonts w:ascii="Cambria" w:hAnsi="Cambria" w:cs="Calibri"/>
          <w:sz w:val="20"/>
          <w:szCs w:val="20"/>
          <w:lang w:val="es-ES_tradnl"/>
        </w:rPr>
        <w:t>.</w:t>
      </w:r>
      <w:r w:rsidR="006F582C" w:rsidRPr="00E772A3">
        <w:rPr>
          <w:rFonts w:ascii="Cambria" w:hAnsi="Cambria" w:cs="Calibri"/>
          <w:sz w:val="20"/>
          <w:szCs w:val="20"/>
          <w:lang w:val="es-ES_tradnl"/>
        </w:rPr>
        <w:t xml:space="preserve"> Por estas razones y </w:t>
      </w:r>
      <w:r w:rsidR="00F80C1A">
        <w:rPr>
          <w:rFonts w:ascii="Cambria" w:hAnsi="Cambria" w:cs="Calibri"/>
          <w:sz w:val="20"/>
          <w:szCs w:val="20"/>
          <w:lang w:val="es-ES_tradnl"/>
        </w:rPr>
        <w:t xml:space="preserve">en consideración de </w:t>
      </w:r>
      <w:r w:rsidR="006F582C" w:rsidRPr="00E772A3">
        <w:rPr>
          <w:rFonts w:ascii="Cambria" w:hAnsi="Cambria" w:cs="Calibri"/>
          <w:sz w:val="20"/>
          <w:szCs w:val="20"/>
          <w:lang w:val="es-ES_tradnl"/>
        </w:rPr>
        <w:t xml:space="preserve">que el peticionario agotó dos vías distintas dentro de la jurisdicción interna buscando reparación, </w:t>
      </w:r>
      <w:r w:rsidR="00CB10A0" w:rsidRPr="00E772A3">
        <w:rPr>
          <w:rFonts w:ascii="Cambria" w:hAnsi="Cambria" w:cs="Calibri"/>
          <w:sz w:val="20"/>
          <w:szCs w:val="20"/>
          <w:lang w:val="es-ES_tradnl"/>
        </w:rPr>
        <w:t>no resulta pertinente para efectos del análisis de la admisibilidad de la presente petición realizar una distinción entre estas dos vías</w:t>
      </w:r>
      <w:r w:rsidR="00F80C1A">
        <w:rPr>
          <w:rFonts w:ascii="Cambria" w:hAnsi="Cambria" w:cs="Calibri"/>
          <w:sz w:val="20"/>
          <w:szCs w:val="20"/>
          <w:lang w:val="es-ES_tradnl"/>
        </w:rPr>
        <w:t>;</w:t>
      </w:r>
      <w:r w:rsidR="00CB10A0" w:rsidRPr="00E772A3">
        <w:rPr>
          <w:rFonts w:ascii="Cambria" w:hAnsi="Cambria" w:cs="Calibri"/>
          <w:sz w:val="20"/>
          <w:szCs w:val="20"/>
          <w:lang w:val="es-ES_tradnl"/>
        </w:rPr>
        <w:t xml:space="preserve"> </w:t>
      </w:r>
      <w:r>
        <w:rPr>
          <w:rFonts w:ascii="Cambria" w:hAnsi="Cambria" w:cs="Calibri"/>
          <w:sz w:val="20"/>
          <w:szCs w:val="20"/>
          <w:lang w:val="es-ES_tradnl"/>
        </w:rPr>
        <w:t>estas</w:t>
      </w:r>
      <w:r w:rsidR="00CB10A0" w:rsidRPr="00E772A3">
        <w:rPr>
          <w:rFonts w:ascii="Cambria" w:hAnsi="Cambria" w:cs="Calibri"/>
          <w:sz w:val="20"/>
          <w:szCs w:val="20"/>
          <w:lang w:val="es-ES_tradnl"/>
        </w:rPr>
        <w:t xml:space="preserve"> deben verse como un todo. Consecuentemente, la decisión definitiva que agotó la jurisdicción doméstica con respecto a la presente petición fue la que declaró desierto el recurso de apelación interpuesto </w:t>
      </w:r>
      <w:r w:rsidR="00D821AC" w:rsidRPr="00E772A3">
        <w:rPr>
          <w:rFonts w:ascii="Cambria" w:hAnsi="Cambria" w:cs="Calibri"/>
          <w:sz w:val="20"/>
          <w:szCs w:val="20"/>
          <w:lang w:val="es-ES_tradnl"/>
        </w:rPr>
        <w:t>contra la sentencia del Juzgado Sexto Civil que denegó por segunda vez la demanda de daños y perjuicios presentada por el peticionario.</w:t>
      </w:r>
    </w:p>
    <w:p w14:paraId="1E2588EB" w14:textId="433C2E8C" w:rsidR="00D821AC" w:rsidRPr="00E772A3" w:rsidRDefault="00F80C1A" w:rsidP="00C96A3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b/>
          <w:bCs/>
          <w:sz w:val="20"/>
          <w:szCs w:val="20"/>
          <w:lang w:val="es-ES"/>
        </w:rPr>
      </w:pPr>
      <w:r>
        <w:rPr>
          <w:rFonts w:ascii="Cambria" w:hAnsi="Cambria" w:cs="Calibri"/>
          <w:sz w:val="20"/>
          <w:szCs w:val="20"/>
          <w:lang w:val="es-ES"/>
        </w:rPr>
        <w:t>El</w:t>
      </w:r>
      <w:r w:rsidR="00C96A3F" w:rsidRPr="00E772A3">
        <w:rPr>
          <w:rFonts w:ascii="Cambria" w:hAnsi="Cambria" w:cs="Calibri"/>
          <w:sz w:val="20"/>
          <w:szCs w:val="20"/>
          <w:lang w:val="es-ES"/>
        </w:rPr>
        <w:t xml:space="preserve"> referido recurso de apelación fue declarado desierto porque la parte demandante no cumplió con </w:t>
      </w:r>
      <w:r>
        <w:rPr>
          <w:rFonts w:ascii="Cambria" w:hAnsi="Cambria" w:cs="Calibri"/>
          <w:sz w:val="20"/>
          <w:szCs w:val="20"/>
          <w:lang w:val="es-ES"/>
        </w:rPr>
        <w:t xml:space="preserve">el requisito de </w:t>
      </w:r>
      <w:r w:rsidR="00C96A3F" w:rsidRPr="00E772A3">
        <w:rPr>
          <w:rFonts w:ascii="Cambria" w:hAnsi="Cambria" w:cs="Calibri"/>
          <w:sz w:val="20"/>
          <w:szCs w:val="20"/>
          <w:lang w:val="es-ES"/>
        </w:rPr>
        <w:t xml:space="preserve">presentar sus alegatos dentro de los términos previstos en </w:t>
      </w:r>
      <w:r>
        <w:rPr>
          <w:rFonts w:ascii="Cambria" w:hAnsi="Cambria" w:cs="Calibri"/>
          <w:sz w:val="20"/>
          <w:szCs w:val="20"/>
          <w:lang w:val="es-ES"/>
        </w:rPr>
        <w:t xml:space="preserve">el </w:t>
      </w:r>
      <w:r w:rsidR="00C96A3F" w:rsidRPr="00E772A3">
        <w:rPr>
          <w:rFonts w:ascii="Cambria" w:hAnsi="Cambria" w:cs="Calibri"/>
          <w:sz w:val="20"/>
          <w:szCs w:val="20"/>
          <w:lang w:val="es-ES"/>
        </w:rPr>
        <w:t xml:space="preserve">ordenamiento doméstico. Ante esta circunstancia, la Comisión ha determinado </w:t>
      </w:r>
      <w:r>
        <w:rPr>
          <w:rFonts w:ascii="Cambria" w:hAnsi="Cambria" w:cs="Calibri"/>
          <w:sz w:val="20"/>
          <w:szCs w:val="20"/>
          <w:lang w:val="es-ES"/>
        </w:rPr>
        <w:t xml:space="preserve">anteriormente </w:t>
      </w:r>
      <w:r w:rsidR="00C96A3F" w:rsidRPr="00E772A3">
        <w:rPr>
          <w:rFonts w:ascii="Cambria" w:hAnsi="Cambria" w:cs="Calibri"/>
          <w:sz w:val="20"/>
          <w:szCs w:val="20"/>
          <w:lang w:val="es-ES"/>
        </w:rPr>
        <w:t xml:space="preserve">que la </w:t>
      </w:r>
      <w:r>
        <w:rPr>
          <w:rFonts w:ascii="Cambria" w:hAnsi="Cambria" w:cs="Calibri"/>
          <w:sz w:val="20"/>
          <w:szCs w:val="20"/>
          <w:lang w:val="es-ES"/>
        </w:rPr>
        <w:t xml:space="preserve">parte </w:t>
      </w:r>
      <w:r w:rsidR="00C96A3F" w:rsidRPr="00E772A3">
        <w:rPr>
          <w:rFonts w:ascii="Cambria" w:hAnsi="Cambria" w:cs="Calibri"/>
          <w:sz w:val="20"/>
          <w:szCs w:val="20"/>
          <w:lang w:val="es-ES"/>
        </w:rPr>
        <w:t>peticionaria debe “</w:t>
      </w:r>
      <w:r w:rsidR="00C96A3F" w:rsidRPr="00E772A3">
        <w:rPr>
          <w:rFonts w:ascii="Cambria" w:hAnsi="Cambria" w:cs="Calibri"/>
          <w:sz w:val="20"/>
          <w:szCs w:val="20"/>
          <w:lang w:val="es-ES_tradnl"/>
        </w:rPr>
        <w:t>agotar los recursos internos de conformidad con la legislación procesal interna. La Comisión no puede considerar que el peticionario ha cumplido debidamente con el requisito del agotamiento previo de los recursos internos si los mismos han sido rechazados con fundamentos procesales razonables y no arbitrarios”</w:t>
      </w:r>
      <w:r w:rsidR="00C96A3F" w:rsidRPr="00E772A3">
        <w:rPr>
          <w:rStyle w:val="FootnoteReference"/>
          <w:rFonts w:ascii="Cambria" w:hAnsi="Cambria" w:cs="Calibri"/>
          <w:sz w:val="20"/>
          <w:szCs w:val="20"/>
        </w:rPr>
        <w:footnoteReference w:id="6"/>
      </w:r>
      <w:r w:rsidR="00C96A3F" w:rsidRPr="00E772A3">
        <w:rPr>
          <w:rFonts w:ascii="Cambria" w:hAnsi="Cambria" w:cs="Calibri"/>
          <w:sz w:val="20"/>
          <w:szCs w:val="20"/>
          <w:lang w:val="es-ES"/>
        </w:rPr>
        <w:t>. Sin embargo, en el presente caso</w:t>
      </w:r>
      <w:r w:rsidR="00D821AC" w:rsidRPr="00E772A3">
        <w:rPr>
          <w:rFonts w:ascii="Cambria" w:hAnsi="Cambria" w:cs="Calibri"/>
          <w:sz w:val="20"/>
          <w:szCs w:val="20"/>
          <w:lang w:val="es-ES"/>
        </w:rPr>
        <w:t xml:space="preserve"> </w:t>
      </w:r>
      <w:r w:rsidR="00133E5D" w:rsidRPr="00E772A3">
        <w:rPr>
          <w:rFonts w:ascii="Cambria" w:hAnsi="Cambria" w:cs="Calibri"/>
          <w:sz w:val="20"/>
          <w:szCs w:val="20"/>
          <w:lang w:val="es-ES"/>
        </w:rPr>
        <w:t xml:space="preserve">el peticionario </w:t>
      </w:r>
      <w:r w:rsidR="00133E5D">
        <w:rPr>
          <w:rFonts w:ascii="Cambria" w:hAnsi="Cambria" w:cs="Calibri"/>
          <w:sz w:val="20"/>
          <w:szCs w:val="20"/>
          <w:lang w:val="es-ES"/>
        </w:rPr>
        <w:t xml:space="preserve">sostiene </w:t>
      </w:r>
      <w:r w:rsidR="00133E5D" w:rsidRPr="00E772A3">
        <w:rPr>
          <w:rFonts w:ascii="Cambria" w:hAnsi="Cambria" w:cs="Calibri"/>
          <w:sz w:val="20"/>
          <w:szCs w:val="20"/>
          <w:lang w:val="es-ES"/>
        </w:rPr>
        <w:t>que la sustentación extemporánea del recurso se debió a una deficiencia de la defensa pública proporcionada por el Estado</w:t>
      </w:r>
      <w:r w:rsidR="006A31F1">
        <w:rPr>
          <w:rFonts w:ascii="Cambria" w:hAnsi="Cambria" w:cs="Calibri"/>
          <w:sz w:val="20"/>
          <w:szCs w:val="20"/>
          <w:lang w:val="es-ES"/>
        </w:rPr>
        <w:t>, y e</w:t>
      </w:r>
      <w:r w:rsidR="00133E5D">
        <w:rPr>
          <w:rFonts w:ascii="Cambria" w:hAnsi="Cambria" w:cs="Calibri"/>
          <w:sz w:val="20"/>
          <w:szCs w:val="20"/>
          <w:lang w:val="es-ES"/>
        </w:rPr>
        <w:t>ste no lo controvierte</w:t>
      </w:r>
      <w:r w:rsidR="00D821AC" w:rsidRPr="00E772A3">
        <w:rPr>
          <w:rFonts w:ascii="Cambria" w:hAnsi="Cambria" w:cs="Calibri"/>
          <w:sz w:val="20"/>
          <w:szCs w:val="20"/>
          <w:lang w:val="es-ES"/>
        </w:rPr>
        <w:t xml:space="preserve">. </w:t>
      </w:r>
      <w:r w:rsidR="00133E5D">
        <w:rPr>
          <w:rFonts w:ascii="Cambria" w:hAnsi="Cambria" w:cs="Calibri"/>
          <w:sz w:val="20"/>
          <w:szCs w:val="20"/>
          <w:lang w:val="es-ES"/>
        </w:rPr>
        <w:t>C</w:t>
      </w:r>
      <w:r w:rsidR="00C96A3F" w:rsidRPr="00E772A3">
        <w:rPr>
          <w:rFonts w:ascii="Cambria" w:hAnsi="Cambria" w:cs="Calibri"/>
          <w:sz w:val="20"/>
          <w:szCs w:val="20"/>
          <w:lang w:val="es-ES"/>
        </w:rPr>
        <w:t>omo lo ha hecho en otros casos</w:t>
      </w:r>
      <w:r w:rsidR="00133E5D">
        <w:rPr>
          <w:rFonts w:ascii="Cambria" w:hAnsi="Cambria" w:cs="Calibri"/>
          <w:sz w:val="20"/>
          <w:szCs w:val="20"/>
          <w:lang w:val="es-ES"/>
        </w:rPr>
        <w:t>,</w:t>
      </w:r>
      <w:r w:rsidR="00C96A3F" w:rsidRPr="00E772A3">
        <w:rPr>
          <w:rFonts w:ascii="Cambria" w:hAnsi="Cambria" w:cs="Calibri"/>
          <w:sz w:val="20"/>
          <w:szCs w:val="20"/>
          <w:lang w:val="es-ES"/>
        </w:rPr>
        <w:t xml:space="preserve"> </w:t>
      </w:r>
      <w:r w:rsidR="00133E5D">
        <w:rPr>
          <w:rFonts w:ascii="Cambria" w:hAnsi="Cambria"/>
          <w:sz w:val="20"/>
          <w:szCs w:val="20"/>
          <w:lang w:val="es-PA"/>
        </w:rPr>
        <w:t xml:space="preserve">la Comisión considera </w:t>
      </w:r>
      <w:r w:rsidR="00C96A3F" w:rsidRPr="00606E98">
        <w:rPr>
          <w:rFonts w:ascii="Cambria" w:hAnsi="Cambria"/>
          <w:sz w:val="20"/>
          <w:szCs w:val="20"/>
          <w:lang w:val="es-PA"/>
        </w:rPr>
        <w:t>que los posibles errores en la presentación de recursos por parte de un defensor oficial</w:t>
      </w:r>
      <w:r w:rsidR="00133E5D">
        <w:rPr>
          <w:rFonts w:ascii="Cambria" w:hAnsi="Cambria"/>
          <w:sz w:val="20"/>
          <w:szCs w:val="20"/>
          <w:lang w:val="es-PA"/>
        </w:rPr>
        <w:t xml:space="preserve">, </w:t>
      </w:r>
      <w:r w:rsidR="00C96A3F" w:rsidRPr="00606E98">
        <w:rPr>
          <w:rFonts w:ascii="Cambria" w:hAnsi="Cambria"/>
          <w:sz w:val="20"/>
          <w:szCs w:val="20"/>
          <w:lang w:val="es-PA"/>
        </w:rPr>
        <w:t>no pueden invocarse para desacreditar el agotamiento de los recursos internos por parte de una presunta víctima</w:t>
      </w:r>
      <w:r w:rsidR="00133E5D">
        <w:rPr>
          <w:rFonts w:ascii="Cambria" w:hAnsi="Cambria"/>
          <w:sz w:val="20"/>
          <w:szCs w:val="20"/>
          <w:lang w:val="es-PA"/>
        </w:rPr>
        <w:t>. Por el contrario</w:t>
      </w:r>
      <w:r w:rsidR="00C96A3F" w:rsidRPr="00606E98">
        <w:rPr>
          <w:rFonts w:ascii="Cambria" w:hAnsi="Cambria"/>
          <w:sz w:val="20"/>
          <w:szCs w:val="20"/>
          <w:lang w:val="es-PA"/>
        </w:rPr>
        <w:t xml:space="preserve">, se </w:t>
      </w:r>
      <w:r w:rsidR="00133E5D">
        <w:rPr>
          <w:rFonts w:ascii="Cambria" w:hAnsi="Cambria"/>
          <w:sz w:val="20"/>
          <w:szCs w:val="20"/>
          <w:lang w:val="es-PA"/>
        </w:rPr>
        <w:t>trata</w:t>
      </w:r>
      <w:r w:rsidR="00C96A3F" w:rsidRPr="00606E98">
        <w:rPr>
          <w:rFonts w:ascii="Cambria" w:hAnsi="Cambria"/>
          <w:sz w:val="20"/>
          <w:szCs w:val="20"/>
          <w:lang w:val="es-PA"/>
        </w:rPr>
        <w:t xml:space="preserve"> </w:t>
      </w:r>
      <w:r w:rsidR="00133E5D">
        <w:rPr>
          <w:rFonts w:ascii="Cambria" w:hAnsi="Cambria"/>
          <w:sz w:val="20"/>
          <w:szCs w:val="20"/>
          <w:lang w:val="es-PA"/>
        </w:rPr>
        <w:t>d</w:t>
      </w:r>
      <w:r w:rsidR="00C96A3F" w:rsidRPr="00606E98">
        <w:rPr>
          <w:rFonts w:ascii="Cambria" w:hAnsi="Cambria"/>
          <w:sz w:val="20"/>
          <w:szCs w:val="20"/>
          <w:lang w:val="es-PA"/>
        </w:rPr>
        <w:t xml:space="preserve">el derecho de </w:t>
      </w:r>
      <w:r w:rsidR="006A31F1">
        <w:rPr>
          <w:rFonts w:ascii="Cambria" w:hAnsi="Cambria"/>
          <w:sz w:val="20"/>
          <w:szCs w:val="20"/>
          <w:lang w:val="es-PA"/>
        </w:rPr>
        <w:t>e</w:t>
      </w:r>
      <w:r w:rsidR="00133E5D">
        <w:rPr>
          <w:rFonts w:ascii="Cambria" w:hAnsi="Cambria"/>
          <w:sz w:val="20"/>
          <w:szCs w:val="20"/>
          <w:lang w:val="es-PA"/>
        </w:rPr>
        <w:t>sta</w:t>
      </w:r>
      <w:r w:rsidR="00C96A3F" w:rsidRPr="00606E98">
        <w:rPr>
          <w:rFonts w:ascii="Cambria" w:hAnsi="Cambria"/>
          <w:sz w:val="20"/>
          <w:szCs w:val="20"/>
          <w:lang w:val="es-PA"/>
        </w:rPr>
        <w:t xml:space="preserve"> a una defensa técnica adecuada y constituyen una cuestió</w:t>
      </w:r>
      <w:r w:rsidR="006A31F1">
        <w:rPr>
          <w:rFonts w:ascii="Cambria" w:hAnsi="Cambria"/>
          <w:sz w:val="20"/>
          <w:szCs w:val="20"/>
          <w:lang w:val="es-PA"/>
        </w:rPr>
        <w:t>n</w:t>
      </w:r>
      <w:r w:rsidR="00C96A3F" w:rsidRPr="00606E98">
        <w:rPr>
          <w:rFonts w:ascii="Cambria" w:hAnsi="Cambria"/>
          <w:sz w:val="20"/>
          <w:szCs w:val="20"/>
          <w:lang w:val="es-PA"/>
        </w:rPr>
        <w:t xml:space="preserve"> sustantiva que la Comisión </w:t>
      </w:r>
      <w:r w:rsidR="00133E5D">
        <w:rPr>
          <w:rFonts w:ascii="Cambria" w:hAnsi="Cambria"/>
          <w:sz w:val="20"/>
          <w:szCs w:val="20"/>
          <w:lang w:val="es-PA"/>
        </w:rPr>
        <w:t xml:space="preserve">debe </w:t>
      </w:r>
      <w:r w:rsidR="00C96A3F" w:rsidRPr="00606E98">
        <w:rPr>
          <w:rFonts w:ascii="Cambria" w:hAnsi="Cambria"/>
          <w:sz w:val="20"/>
          <w:szCs w:val="20"/>
          <w:lang w:val="es-PA"/>
        </w:rPr>
        <w:t xml:space="preserve">examinar en la etapa </w:t>
      </w:r>
      <w:r w:rsidR="00133E5D">
        <w:rPr>
          <w:rFonts w:ascii="Cambria" w:hAnsi="Cambria"/>
          <w:sz w:val="20"/>
          <w:szCs w:val="20"/>
          <w:lang w:val="es-PA"/>
        </w:rPr>
        <w:t>de fondo</w:t>
      </w:r>
      <w:r w:rsidR="00C96A3F" w:rsidRPr="00606E98">
        <w:rPr>
          <w:rFonts w:ascii="Cambria" w:hAnsi="Cambria"/>
          <w:sz w:val="20"/>
          <w:szCs w:val="20"/>
          <w:lang w:val="es-PA"/>
        </w:rPr>
        <w:t xml:space="preserve"> del presente caso</w:t>
      </w:r>
      <w:r w:rsidR="00C96A3F" w:rsidRPr="00606E98">
        <w:rPr>
          <w:rStyle w:val="FootnoteReference"/>
          <w:rFonts w:ascii="Cambria" w:hAnsi="Cambria"/>
          <w:sz w:val="20"/>
          <w:szCs w:val="20"/>
          <w:lang w:val="es-PA"/>
        </w:rPr>
        <w:footnoteReference w:id="7"/>
      </w:r>
      <w:r w:rsidR="00C96A3F" w:rsidRPr="00606E98">
        <w:rPr>
          <w:rFonts w:ascii="Cambria" w:hAnsi="Cambria"/>
          <w:sz w:val="20"/>
          <w:szCs w:val="20"/>
          <w:lang w:val="es-PA"/>
        </w:rPr>
        <w:t xml:space="preserve">. </w:t>
      </w:r>
    </w:p>
    <w:p w14:paraId="65CF36E2" w14:textId="19743227" w:rsidR="00FA3C57" w:rsidRPr="00606E98" w:rsidRDefault="00C96A3F" w:rsidP="00FA3C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b/>
          <w:bCs/>
          <w:sz w:val="20"/>
          <w:szCs w:val="20"/>
          <w:lang w:val="es-ES"/>
        </w:rPr>
      </w:pPr>
      <w:r w:rsidRPr="00606E98">
        <w:rPr>
          <w:rFonts w:ascii="Cambria" w:hAnsi="Cambria"/>
          <w:sz w:val="20"/>
          <w:szCs w:val="20"/>
          <w:lang w:val="es-PA"/>
        </w:rPr>
        <w:t xml:space="preserve"> </w:t>
      </w:r>
      <w:r w:rsidR="00133E5D">
        <w:rPr>
          <w:rFonts w:ascii="Cambria" w:hAnsi="Cambria"/>
          <w:sz w:val="20"/>
          <w:szCs w:val="20"/>
          <w:lang w:val="es-PA"/>
        </w:rPr>
        <w:t xml:space="preserve">Por otra parte, </w:t>
      </w:r>
      <w:r w:rsidRPr="00606E98">
        <w:rPr>
          <w:rFonts w:ascii="Cambria" w:hAnsi="Cambria"/>
          <w:sz w:val="20"/>
          <w:szCs w:val="20"/>
          <w:lang w:val="es-PA"/>
        </w:rPr>
        <w:t xml:space="preserve">el Estado </w:t>
      </w:r>
      <w:r w:rsidR="00133E5D">
        <w:rPr>
          <w:rFonts w:ascii="Cambria" w:hAnsi="Cambria"/>
          <w:sz w:val="20"/>
          <w:szCs w:val="20"/>
          <w:lang w:val="es-PA"/>
        </w:rPr>
        <w:t>sostiene</w:t>
      </w:r>
      <w:r w:rsidRPr="00606E98">
        <w:rPr>
          <w:rFonts w:ascii="Cambria" w:hAnsi="Cambria"/>
          <w:sz w:val="20"/>
          <w:szCs w:val="20"/>
          <w:lang w:val="es-PA"/>
        </w:rPr>
        <w:t xml:space="preserve"> que el peticionario no interpuso una demanda de amparo directo contra la decisión que declaró desierto su recurso de apelación. En cuanto a este punto, la Comisión </w:t>
      </w:r>
      <w:r w:rsidR="00133E5D">
        <w:rPr>
          <w:rFonts w:ascii="Cambria" w:hAnsi="Cambria"/>
          <w:sz w:val="20"/>
          <w:szCs w:val="20"/>
          <w:lang w:val="es-PA"/>
        </w:rPr>
        <w:t>ha</w:t>
      </w:r>
      <w:r w:rsidR="00317DBE" w:rsidRPr="00606E98">
        <w:rPr>
          <w:rFonts w:ascii="Cambria" w:hAnsi="Cambria"/>
          <w:sz w:val="20"/>
          <w:szCs w:val="20"/>
          <w:lang w:val="es-PA"/>
        </w:rPr>
        <w:t xml:space="preserve"> sostenido </w:t>
      </w:r>
      <w:r w:rsidR="00133E5D">
        <w:rPr>
          <w:rFonts w:ascii="Cambria" w:hAnsi="Cambria"/>
          <w:sz w:val="20"/>
          <w:szCs w:val="20"/>
          <w:lang w:val="es-PA"/>
        </w:rPr>
        <w:t xml:space="preserve">anteriormente </w:t>
      </w:r>
      <w:r w:rsidR="00317DBE" w:rsidRPr="00606E98">
        <w:rPr>
          <w:rFonts w:ascii="Cambria" w:hAnsi="Cambria"/>
          <w:sz w:val="20"/>
          <w:szCs w:val="20"/>
          <w:lang w:val="es-PA"/>
        </w:rPr>
        <w:t xml:space="preserve">que los requisitos del artículo 46.1(a) de la Convención Americana </w:t>
      </w:r>
      <w:r w:rsidR="005A7C11">
        <w:rPr>
          <w:rFonts w:ascii="Cambria" w:hAnsi="Cambria"/>
          <w:sz w:val="20"/>
          <w:szCs w:val="20"/>
          <w:lang w:val="es-PA"/>
        </w:rPr>
        <w:t>so</w:t>
      </w:r>
      <w:r w:rsidR="00133E5D">
        <w:rPr>
          <w:rFonts w:ascii="Cambria" w:hAnsi="Cambria"/>
          <w:sz w:val="20"/>
          <w:szCs w:val="20"/>
          <w:lang w:val="es-PA"/>
        </w:rPr>
        <w:t>lo</w:t>
      </w:r>
      <w:r w:rsidR="00317DBE" w:rsidRPr="00606E98">
        <w:rPr>
          <w:rFonts w:ascii="Cambria" w:hAnsi="Cambria"/>
          <w:sz w:val="20"/>
          <w:szCs w:val="20"/>
          <w:lang w:val="es-PA"/>
        </w:rPr>
        <w:t xml:space="preserve"> exigen el </w:t>
      </w:r>
      <w:r w:rsidR="00317DBE" w:rsidRPr="00606E98">
        <w:rPr>
          <w:rFonts w:ascii="Cambria" w:hAnsi="Cambria"/>
          <w:sz w:val="20"/>
          <w:szCs w:val="20"/>
          <w:lang w:val="es-PA"/>
        </w:rPr>
        <w:lastRenderedPageBreak/>
        <w:t>agotamiento de los recursos ordinarios previstos en la legislación doméstica, no así los extraordinarios</w:t>
      </w:r>
      <w:r w:rsidR="00317DBE" w:rsidRPr="00606E98">
        <w:rPr>
          <w:rStyle w:val="FootnoteReference"/>
          <w:rFonts w:ascii="Cambria" w:hAnsi="Cambria" w:cs="Calibri"/>
          <w:sz w:val="20"/>
          <w:szCs w:val="20"/>
        </w:rPr>
        <w:footnoteReference w:id="8"/>
      </w:r>
      <w:r w:rsidR="00317DBE" w:rsidRPr="00606E98">
        <w:rPr>
          <w:rFonts w:ascii="Cambria" w:hAnsi="Cambria" w:cs="Calibri"/>
          <w:sz w:val="20"/>
          <w:szCs w:val="20"/>
          <w:lang w:val="es-ES_tradnl"/>
        </w:rPr>
        <w:t>.</w:t>
      </w:r>
      <w:r w:rsidR="00317DBE" w:rsidRPr="00606E98">
        <w:rPr>
          <w:rFonts w:ascii="Cambria" w:hAnsi="Cambria"/>
          <w:sz w:val="20"/>
          <w:szCs w:val="20"/>
          <w:lang w:val="es-ES_tradnl"/>
        </w:rPr>
        <w:t xml:space="preserve"> En el presente </w:t>
      </w:r>
      <w:r w:rsidR="00133E5D">
        <w:rPr>
          <w:rFonts w:ascii="Cambria" w:hAnsi="Cambria"/>
          <w:sz w:val="20"/>
          <w:szCs w:val="20"/>
          <w:lang w:val="es-ES_tradnl"/>
        </w:rPr>
        <w:t>asunto</w:t>
      </w:r>
      <w:r w:rsidR="00317DBE" w:rsidRPr="00606E98">
        <w:rPr>
          <w:rFonts w:ascii="Cambria" w:hAnsi="Cambria"/>
          <w:sz w:val="20"/>
          <w:szCs w:val="20"/>
          <w:lang w:val="es-ES_tradnl"/>
        </w:rPr>
        <w:t xml:space="preserve">, el peticionario agotó las vías ordinarias </w:t>
      </w:r>
      <w:r w:rsidR="00133E5D">
        <w:rPr>
          <w:rFonts w:ascii="Cambria" w:hAnsi="Cambria"/>
          <w:sz w:val="20"/>
          <w:szCs w:val="20"/>
          <w:lang w:val="es-ES_tradnl"/>
        </w:rPr>
        <w:t>en materia</w:t>
      </w:r>
      <w:r w:rsidR="00317DBE" w:rsidRPr="00606E98">
        <w:rPr>
          <w:rFonts w:ascii="Cambria" w:hAnsi="Cambria"/>
          <w:sz w:val="20"/>
          <w:szCs w:val="20"/>
          <w:lang w:val="es-ES_tradnl"/>
        </w:rPr>
        <w:t xml:space="preserve"> penal y civil</w:t>
      </w:r>
      <w:r w:rsidR="00133E5D">
        <w:rPr>
          <w:rFonts w:ascii="Cambria" w:hAnsi="Cambria"/>
          <w:sz w:val="20"/>
          <w:szCs w:val="20"/>
          <w:lang w:val="es-ES_tradnl"/>
        </w:rPr>
        <w:t>,</w:t>
      </w:r>
      <w:r w:rsidR="00317DBE" w:rsidRPr="00606E98">
        <w:rPr>
          <w:rFonts w:ascii="Cambria" w:hAnsi="Cambria"/>
          <w:sz w:val="20"/>
          <w:szCs w:val="20"/>
          <w:lang w:val="es-ES_tradnl"/>
        </w:rPr>
        <w:t xml:space="preserve"> y además presentó varios recursos extraordinarios de naturaleza constitucional</w:t>
      </w:r>
      <w:r w:rsidR="00133E5D">
        <w:rPr>
          <w:rFonts w:ascii="Cambria" w:hAnsi="Cambria"/>
          <w:sz w:val="20"/>
          <w:szCs w:val="20"/>
          <w:lang w:val="es-ES_tradnl"/>
        </w:rPr>
        <w:t>;</w:t>
      </w:r>
      <w:r w:rsidR="00317DBE" w:rsidRPr="00606E98">
        <w:rPr>
          <w:rFonts w:ascii="Cambria" w:hAnsi="Cambria"/>
          <w:sz w:val="20"/>
          <w:szCs w:val="20"/>
          <w:lang w:val="es-ES_tradnl"/>
        </w:rPr>
        <w:t xml:space="preserve"> la Comisión estima que no sería razonable exigir</w:t>
      </w:r>
      <w:r w:rsidR="00133E5D">
        <w:rPr>
          <w:rFonts w:ascii="Cambria" w:hAnsi="Cambria"/>
          <w:sz w:val="20"/>
          <w:szCs w:val="20"/>
          <w:lang w:val="es-ES_tradnl"/>
        </w:rPr>
        <w:t>le</w:t>
      </w:r>
      <w:r w:rsidR="00317DBE" w:rsidRPr="00606E98">
        <w:rPr>
          <w:rFonts w:ascii="Cambria" w:hAnsi="Cambria"/>
          <w:sz w:val="20"/>
          <w:szCs w:val="20"/>
          <w:lang w:val="es-ES_tradnl"/>
        </w:rPr>
        <w:t xml:space="preserve"> el agotamiento de un recurso extraordinario adicional</w:t>
      </w:r>
      <w:r w:rsidR="00133E5D">
        <w:rPr>
          <w:rFonts w:ascii="Cambria" w:hAnsi="Cambria"/>
          <w:sz w:val="20"/>
          <w:szCs w:val="20"/>
          <w:lang w:val="es-ES_tradnl"/>
        </w:rPr>
        <w:t>.</w:t>
      </w:r>
      <w:r w:rsidR="00317DBE" w:rsidRPr="00606E98">
        <w:rPr>
          <w:rFonts w:ascii="Cambria" w:hAnsi="Cambria"/>
          <w:sz w:val="20"/>
          <w:szCs w:val="20"/>
          <w:lang w:val="es-ES_tradnl"/>
        </w:rPr>
        <w:t xml:space="preserve"> </w:t>
      </w:r>
      <w:r w:rsidR="00FA3C57" w:rsidRPr="00606E98">
        <w:rPr>
          <w:rFonts w:ascii="Cambria" w:hAnsi="Cambria"/>
          <w:sz w:val="20"/>
          <w:szCs w:val="20"/>
          <w:lang w:val="es-ES_tradnl"/>
        </w:rPr>
        <w:t>En este sentido</w:t>
      </w:r>
      <w:r w:rsidR="002C4B1B" w:rsidRPr="00606E98">
        <w:rPr>
          <w:rFonts w:ascii="Cambria" w:hAnsi="Cambria"/>
          <w:sz w:val="20"/>
          <w:szCs w:val="20"/>
          <w:lang w:val="es-ES_tradnl"/>
        </w:rPr>
        <w:t>,</w:t>
      </w:r>
      <w:r w:rsidR="00FA3C57" w:rsidRPr="00606E98">
        <w:rPr>
          <w:rFonts w:ascii="Cambria" w:hAnsi="Cambria"/>
          <w:sz w:val="20"/>
          <w:szCs w:val="20"/>
          <w:lang w:val="es-ES_tradnl"/>
        </w:rPr>
        <w:t xml:space="preserve"> </w:t>
      </w:r>
      <w:r w:rsidR="00FA3C57" w:rsidRPr="00606E98">
        <w:rPr>
          <w:rFonts w:ascii="Cambria" w:hAnsi="Cambria"/>
          <w:sz w:val="20"/>
          <w:szCs w:val="20"/>
          <w:lang w:val="es-PA"/>
        </w:rPr>
        <w:t>la Corte Interamericana de Derechos Humanos ha mantenido que la regla del previo agotamiento nunca debe “</w:t>
      </w:r>
      <w:r w:rsidR="00FA3C57" w:rsidRPr="00606E98">
        <w:rPr>
          <w:rFonts w:ascii="Cambria" w:eastAsia="Times New Roman" w:hAnsi="Cambria" w:cs="Verdana"/>
          <w:sz w:val="20"/>
          <w:szCs w:val="20"/>
          <w:lang w:val="es-PA"/>
        </w:rPr>
        <w:t>conducir a que se detenga o se demore hasta la inutilidad la actuación internacional en auxilio de la víctima indefensa</w:t>
      </w:r>
      <w:r w:rsidR="00FA3C57" w:rsidRPr="00606E98">
        <w:rPr>
          <w:rFonts w:ascii="Cambria" w:hAnsi="Cambria"/>
          <w:sz w:val="20"/>
          <w:szCs w:val="20"/>
          <w:lang w:val="es-PA"/>
        </w:rPr>
        <w:t>”</w:t>
      </w:r>
      <w:r w:rsidR="00FA3C57" w:rsidRPr="00606E98">
        <w:rPr>
          <w:rStyle w:val="FootnoteReference"/>
          <w:rFonts w:ascii="Cambria" w:hAnsi="Cambria"/>
          <w:sz w:val="20"/>
          <w:szCs w:val="20"/>
        </w:rPr>
        <w:footnoteReference w:id="9"/>
      </w:r>
      <w:r w:rsidR="00FA3C57" w:rsidRPr="00606E98">
        <w:rPr>
          <w:rFonts w:ascii="Cambria" w:hAnsi="Cambria"/>
          <w:sz w:val="20"/>
          <w:szCs w:val="20"/>
          <w:lang w:val="es-PA"/>
        </w:rPr>
        <w:t>.</w:t>
      </w:r>
      <w:r w:rsidR="00317DBE" w:rsidRPr="00606E98">
        <w:rPr>
          <w:rFonts w:ascii="Cambria" w:hAnsi="Cambria"/>
          <w:sz w:val="20"/>
          <w:szCs w:val="20"/>
          <w:lang w:val="es-PA"/>
        </w:rPr>
        <w:t xml:space="preserve"> </w:t>
      </w:r>
      <w:r w:rsidR="00FA3C57" w:rsidRPr="00606E98">
        <w:rPr>
          <w:rFonts w:ascii="Cambria" w:hAnsi="Cambria"/>
          <w:sz w:val="20"/>
          <w:szCs w:val="20"/>
          <w:lang w:val="es-PA"/>
        </w:rPr>
        <w:t xml:space="preserve"> </w:t>
      </w:r>
      <w:r w:rsidR="00133E5D">
        <w:rPr>
          <w:rFonts w:ascii="Cambria" w:hAnsi="Cambria"/>
          <w:sz w:val="20"/>
          <w:szCs w:val="20"/>
          <w:lang w:val="es-PA"/>
        </w:rPr>
        <w:t>En</w:t>
      </w:r>
      <w:r w:rsidR="00FA3C57" w:rsidRPr="00606E98">
        <w:rPr>
          <w:rFonts w:ascii="Cambria" w:hAnsi="Cambria" w:cs="Calibri"/>
          <w:sz w:val="20"/>
          <w:szCs w:val="20"/>
          <w:lang w:val="es-ES_tradnl"/>
        </w:rPr>
        <w:t xml:space="preserve"> cuanto al cuestionamiento del Estado de que el agotamiento de los recursos internos se produjo con posterioridad a la presentación de la petición, la Comisión reitera </w:t>
      </w:r>
      <w:r w:rsidR="00133E5D">
        <w:rPr>
          <w:rFonts w:ascii="Cambria" w:hAnsi="Cambria" w:cs="Calibri"/>
          <w:sz w:val="20"/>
          <w:szCs w:val="20"/>
          <w:lang w:val="es-ES_tradnl"/>
        </w:rPr>
        <w:t xml:space="preserve">que </w:t>
      </w:r>
      <w:r w:rsidR="00FA3C57" w:rsidRPr="00606E98">
        <w:rPr>
          <w:rFonts w:ascii="Cambria" w:hAnsi="Cambria" w:cs="Calibri"/>
          <w:sz w:val="20"/>
          <w:szCs w:val="20"/>
          <w:lang w:val="es-ES_tradnl"/>
        </w:rPr>
        <w:t xml:space="preserve">la situación que debe tenerse en cuenta para establecer si se han agotado los recursos de la jurisdicción interna es </w:t>
      </w:r>
      <w:r w:rsidR="007D6FAD">
        <w:rPr>
          <w:rFonts w:ascii="Cambria" w:hAnsi="Cambria" w:cs="Calibri"/>
          <w:sz w:val="20"/>
          <w:szCs w:val="20"/>
          <w:lang w:val="es-ES_tradnl"/>
        </w:rPr>
        <w:t>la vigente</w:t>
      </w:r>
      <w:r w:rsidR="00FA3C57" w:rsidRPr="00606E98">
        <w:rPr>
          <w:rFonts w:ascii="Cambria" w:hAnsi="Cambria" w:cs="Calibri"/>
          <w:sz w:val="20"/>
          <w:szCs w:val="20"/>
          <w:lang w:val="es-ES_tradnl"/>
        </w:rPr>
        <w:t xml:space="preserve"> al momento de decidir sobre la admisibilidad</w:t>
      </w:r>
      <w:r w:rsidR="00FA3C57" w:rsidRPr="00606E98">
        <w:rPr>
          <w:rStyle w:val="FootnoteReference"/>
          <w:rFonts w:ascii="Cambria" w:hAnsi="Cambria" w:cs="Calibri"/>
          <w:sz w:val="20"/>
          <w:szCs w:val="20"/>
        </w:rPr>
        <w:footnoteReference w:id="10"/>
      </w:r>
      <w:r w:rsidR="00FA3C57" w:rsidRPr="00606E98">
        <w:rPr>
          <w:rFonts w:ascii="Cambria" w:hAnsi="Cambria" w:cs="Calibri"/>
          <w:sz w:val="20"/>
          <w:szCs w:val="20"/>
          <w:lang w:val="es-ES_tradnl"/>
        </w:rPr>
        <w:t>.</w:t>
      </w:r>
    </w:p>
    <w:p w14:paraId="4920AE53" w14:textId="53EC7189" w:rsidR="00FA3C57" w:rsidRPr="00377063" w:rsidRDefault="00FA3C57" w:rsidP="00C96A3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b/>
          <w:bCs/>
          <w:sz w:val="20"/>
          <w:szCs w:val="20"/>
          <w:lang w:val="es-ES"/>
        </w:rPr>
      </w:pPr>
      <w:r w:rsidRPr="00E772A3">
        <w:rPr>
          <w:rFonts w:ascii="Cambria" w:hAnsi="Cambria"/>
          <w:bCs/>
          <w:sz w:val="20"/>
          <w:szCs w:val="20"/>
          <w:lang w:val="es-ES"/>
        </w:rPr>
        <w:t xml:space="preserve">Por las razones expuestas, la Comisión estima que la presente petición cumple con los requisitos del artículo 46.1(a) de la Convención Americana. Dado que la decisión definitiva que declaró desierto el recurso de apelación contra la segunda sentencia del Juzgado Sexto Civil se emitió el 11 de marzo de 2010 y la petición </w:t>
      </w:r>
      <w:r w:rsidR="00A903F7" w:rsidRPr="00E772A3">
        <w:rPr>
          <w:rFonts w:ascii="Cambria" w:hAnsi="Cambria"/>
          <w:bCs/>
          <w:sz w:val="20"/>
          <w:szCs w:val="20"/>
          <w:lang w:val="es-ES"/>
        </w:rPr>
        <w:t xml:space="preserve">fue presentada el </w:t>
      </w:r>
      <w:r w:rsidR="00A903F7" w:rsidRPr="00606E98">
        <w:rPr>
          <w:rFonts w:ascii="Cambria" w:hAnsi="Cambria"/>
          <w:bCs/>
          <w:sz w:val="20"/>
          <w:szCs w:val="20"/>
          <w:lang w:val="es-PA"/>
        </w:rPr>
        <w:t xml:space="preserve">16 de octubre de 2009, la Comisión concluye que también cumple con los requisitos del artículo </w:t>
      </w:r>
      <w:proofErr w:type="gramStart"/>
      <w:r w:rsidR="00A903F7" w:rsidRPr="00606E98">
        <w:rPr>
          <w:rFonts w:ascii="Cambria" w:hAnsi="Cambria"/>
          <w:bCs/>
          <w:sz w:val="20"/>
          <w:szCs w:val="20"/>
          <w:lang w:val="es-PA"/>
        </w:rPr>
        <w:t>46.1(</w:t>
      </w:r>
      <w:proofErr w:type="gramEnd"/>
      <w:r w:rsidR="00A903F7" w:rsidRPr="00606E98">
        <w:rPr>
          <w:rFonts w:ascii="Cambria" w:hAnsi="Cambria"/>
          <w:bCs/>
          <w:sz w:val="20"/>
          <w:szCs w:val="20"/>
          <w:lang w:val="es-PA"/>
        </w:rPr>
        <w:t xml:space="preserve">b) de la Convención Americana. </w:t>
      </w:r>
    </w:p>
    <w:p w14:paraId="6E809D18" w14:textId="77777777" w:rsidR="00A903F7" w:rsidRPr="00606E98" w:rsidRDefault="00A903F7" w:rsidP="00A903F7">
      <w:pPr>
        <w:pStyle w:val="ListParagraph"/>
        <w:spacing w:before="120" w:after="120"/>
        <w:jc w:val="both"/>
        <w:rPr>
          <w:b/>
          <w:bCs/>
          <w:sz w:val="20"/>
          <w:szCs w:val="20"/>
          <w:lang w:val="es-ES"/>
        </w:rPr>
      </w:pPr>
      <w:r w:rsidRPr="00606E98">
        <w:rPr>
          <w:b/>
          <w:bCs/>
          <w:sz w:val="20"/>
          <w:szCs w:val="20"/>
          <w:lang w:val="es-ES"/>
        </w:rPr>
        <w:t xml:space="preserve">VII. </w:t>
      </w:r>
      <w:r w:rsidRPr="00606E98">
        <w:rPr>
          <w:b/>
          <w:bCs/>
          <w:sz w:val="20"/>
          <w:szCs w:val="20"/>
          <w:lang w:val="es-ES"/>
        </w:rPr>
        <w:tab/>
        <w:t>CARACTERIZACIÓN</w:t>
      </w:r>
    </w:p>
    <w:p w14:paraId="5798A647" w14:textId="48770C16" w:rsidR="00A903F7" w:rsidRPr="00E772A3" w:rsidRDefault="00A903F7" w:rsidP="00C96A3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b/>
          <w:bCs/>
          <w:sz w:val="20"/>
          <w:szCs w:val="20"/>
          <w:lang w:val="es-ES"/>
        </w:rPr>
      </w:pPr>
      <w:r w:rsidRPr="00E772A3">
        <w:rPr>
          <w:rFonts w:ascii="Cambria" w:hAnsi="Cambria"/>
          <w:bCs/>
          <w:sz w:val="20"/>
          <w:szCs w:val="20"/>
          <w:lang w:val="es-ES"/>
        </w:rPr>
        <w:t xml:space="preserve"> </w:t>
      </w:r>
      <w:r w:rsidR="007D6FAD">
        <w:rPr>
          <w:rFonts w:ascii="Cambria" w:hAnsi="Cambria"/>
          <w:bCs/>
          <w:sz w:val="20"/>
          <w:szCs w:val="20"/>
          <w:lang w:val="es-ES"/>
        </w:rPr>
        <w:t xml:space="preserve">El </w:t>
      </w:r>
      <w:r w:rsidRPr="00E772A3">
        <w:rPr>
          <w:rFonts w:ascii="Cambria" w:hAnsi="Cambria"/>
          <w:bCs/>
          <w:sz w:val="20"/>
          <w:szCs w:val="20"/>
          <w:lang w:val="es-ES"/>
        </w:rPr>
        <w:t xml:space="preserve">peticionario </w:t>
      </w:r>
      <w:r w:rsidR="007D6FAD">
        <w:rPr>
          <w:rFonts w:ascii="Cambria" w:hAnsi="Cambria"/>
          <w:bCs/>
          <w:sz w:val="20"/>
          <w:szCs w:val="20"/>
          <w:lang w:val="es-ES"/>
        </w:rPr>
        <w:t xml:space="preserve">alega que </w:t>
      </w:r>
      <w:r w:rsidRPr="00E772A3">
        <w:rPr>
          <w:rFonts w:ascii="Cambria" w:hAnsi="Cambria"/>
          <w:bCs/>
          <w:sz w:val="20"/>
          <w:szCs w:val="20"/>
          <w:lang w:val="es-ES"/>
        </w:rPr>
        <w:t xml:space="preserve">se vio perjudicado en su salud e integridad personal </w:t>
      </w:r>
      <w:r w:rsidR="007D6FAD">
        <w:rPr>
          <w:rFonts w:ascii="Cambria" w:hAnsi="Cambria"/>
          <w:bCs/>
          <w:sz w:val="20"/>
          <w:szCs w:val="20"/>
          <w:lang w:val="es-ES"/>
        </w:rPr>
        <w:t xml:space="preserve">debido a </w:t>
      </w:r>
      <w:r w:rsidRPr="00E772A3">
        <w:rPr>
          <w:rFonts w:ascii="Cambria" w:hAnsi="Cambria"/>
          <w:bCs/>
          <w:sz w:val="20"/>
          <w:szCs w:val="20"/>
          <w:lang w:val="es-ES"/>
        </w:rPr>
        <w:t xml:space="preserve">procedimientos médicos que le </w:t>
      </w:r>
      <w:r w:rsidR="007D6FAD">
        <w:rPr>
          <w:rFonts w:ascii="Cambria" w:hAnsi="Cambria"/>
          <w:bCs/>
          <w:sz w:val="20"/>
          <w:szCs w:val="20"/>
          <w:lang w:val="es-ES"/>
        </w:rPr>
        <w:t>practicaron</w:t>
      </w:r>
      <w:r w:rsidRPr="00E772A3">
        <w:rPr>
          <w:rFonts w:ascii="Cambria" w:hAnsi="Cambria"/>
          <w:bCs/>
          <w:sz w:val="20"/>
          <w:szCs w:val="20"/>
          <w:lang w:val="es-ES"/>
        </w:rPr>
        <w:t xml:space="preserve"> particulares sin su c</w:t>
      </w:r>
      <w:r w:rsidR="00043943" w:rsidRPr="00E772A3">
        <w:rPr>
          <w:rFonts w:ascii="Cambria" w:hAnsi="Cambria"/>
          <w:bCs/>
          <w:sz w:val="20"/>
          <w:szCs w:val="20"/>
          <w:lang w:val="es-ES"/>
        </w:rPr>
        <w:t>onsentimiento previo e informado</w:t>
      </w:r>
      <w:r w:rsidRPr="00E772A3">
        <w:rPr>
          <w:rFonts w:ascii="Cambria" w:hAnsi="Cambria"/>
          <w:bCs/>
          <w:sz w:val="20"/>
          <w:szCs w:val="20"/>
          <w:lang w:val="es-ES"/>
        </w:rPr>
        <w:t xml:space="preserve">; que el ordenamiento doméstico no le proveyó mecanismos eficaces para obtener reparación por el daño sufrido; que </w:t>
      </w:r>
      <w:r w:rsidR="007D6FAD">
        <w:rPr>
          <w:rFonts w:ascii="Cambria" w:hAnsi="Cambria"/>
          <w:bCs/>
          <w:sz w:val="20"/>
          <w:szCs w:val="20"/>
          <w:lang w:val="es-ES"/>
        </w:rPr>
        <w:t>su</w:t>
      </w:r>
      <w:r w:rsidRPr="00E772A3">
        <w:rPr>
          <w:rFonts w:ascii="Cambria" w:hAnsi="Cambria"/>
          <w:bCs/>
          <w:sz w:val="20"/>
          <w:szCs w:val="20"/>
          <w:lang w:val="es-ES"/>
        </w:rPr>
        <w:t xml:space="preserve"> expediente clínico fue reportado robado o extraviado</w:t>
      </w:r>
      <w:r w:rsidR="007D6FAD">
        <w:rPr>
          <w:rFonts w:ascii="Cambria" w:hAnsi="Cambria"/>
          <w:bCs/>
          <w:sz w:val="20"/>
          <w:szCs w:val="20"/>
          <w:lang w:val="es-ES"/>
        </w:rPr>
        <w:t>, situación que no fue atendida ni valorada</w:t>
      </w:r>
      <w:r w:rsidRPr="00E772A3">
        <w:rPr>
          <w:rFonts w:ascii="Cambria" w:hAnsi="Cambria"/>
          <w:bCs/>
          <w:sz w:val="20"/>
          <w:szCs w:val="20"/>
          <w:lang w:val="es-ES"/>
        </w:rPr>
        <w:t xml:space="preserve"> </w:t>
      </w:r>
      <w:r w:rsidR="007D6FAD">
        <w:rPr>
          <w:rFonts w:ascii="Cambria" w:hAnsi="Cambria"/>
          <w:bCs/>
          <w:sz w:val="20"/>
          <w:szCs w:val="20"/>
          <w:lang w:val="es-ES"/>
        </w:rPr>
        <w:t xml:space="preserve">por </w:t>
      </w:r>
      <w:r w:rsidRPr="00E772A3">
        <w:rPr>
          <w:rFonts w:ascii="Cambria" w:hAnsi="Cambria"/>
          <w:bCs/>
          <w:sz w:val="20"/>
          <w:szCs w:val="20"/>
          <w:lang w:val="es-ES"/>
        </w:rPr>
        <w:t xml:space="preserve">las autoridades a cargo de resolver la demanda civil interpuesta; y que perdió la oportunidad de que una decisión contraria a sus intereses fuera revisada en segunda instancia por razón de una deficiencia de la defensa pública proporcionada por el Estado. </w:t>
      </w:r>
    </w:p>
    <w:p w14:paraId="301A07D1" w14:textId="4FAB962A" w:rsidR="00687B2B" w:rsidRPr="00E772A3" w:rsidRDefault="007D6FAD" w:rsidP="00687B2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b/>
          <w:bCs/>
          <w:sz w:val="20"/>
          <w:szCs w:val="20"/>
          <w:lang w:val="es-ES"/>
        </w:rPr>
      </w:pPr>
      <w:r>
        <w:rPr>
          <w:rFonts w:ascii="Cambria" w:hAnsi="Cambria"/>
          <w:bCs/>
          <w:sz w:val="20"/>
          <w:szCs w:val="20"/>
          <w:lang w:val="es-ES"/>
        </w:rPr>
        <w:t>La</w:t>
      </w:r>
      <w:r w:rsidR="00984A34">
        <w:rPr>
          <w:rFonts w:ascii="Cambria" w:hAnsi="Cambria"/>
          <w:bCs/>
          <w:sz w:val="20"/>
          <w:szCs w:val="20"/>
          <w:lang w:val="es-ES"/>
        </w:rPr>
        <w:t xml:space="preserve"> Corte</w:t>
      </w:r>
      <w:r w:rsidR="007F7401" w:rsidRPr="00606E98">
        <w:rPr>
          <w:rFonts w:ascii="Cambria" w:hAnsi="Cambria"/>
          <w:bCs/>
          <w:sz w:val="20"/>
          <w:szCs w:val="20"/>
          <w:lang w:val="es-ES"/>
        </w:rPr>
        <w:t xml:space="preserve"> Interamericana ha </w:t>
      </w:r>
      <w:r>
        <w:rPr>
          <w:rFonts w:ascii="Cambria" w:hAnsi="Cambria"/>
          <w:bCs/>
          <w:sz w:val="20"/>
          <w:szCs w:val="20"/>
          <w:lang w:val="es-ES"/>
        </w:rPr>
        <w:t>indicado</w:t>
      </w:r>
      <w:r w:rsidR="007F7401" w:rsidRPr="00606E98">
        <w:rPr>
          <w:rFonts w:ascii="Cambria" w:hAnsi="Cambria"/>
          <w:bCs/>
          <w:sz w:val="20"/>
          <w:szCs w:val="20"/>
          <w:lang w:val="es-ES"/>
        </w:rPr>
        <w:t xml:space="preserve"> que “</w:t>
      </w:r>
      <w:r w:rsidR="007F7401" w:rsidRPr="00606E98">
        <w:rPr>
          <w:rFonts w:ascii="Cambria" w:hAnsi="Cambria"/>
          <w:sz w:val="20"/>
          <w:szCs w:val="20"/>
          <w:lang w:val="es-ES_tradnl"/>
        </w:rPr>
        <w:t>los Estados tienen el deber de regular y fiscalizar toda la asistencia de salud prestada a las personas bajo su jurisdicción, como deber especial de protección a la vida y a la integridad personal, independientemente de si la entidad que presta tales servicios es de carácter público o privado</w:t>
      </w:r>
      <w:r w:rsidR="00043943" w:rsidRPr="00606E98">
        <w:rPr>
          <w:rFonts w:ascii="Cambria" w:hAnsi="Cambria"/>
          <w:sz w:val="20"/>
          <w:szCs w:val="20"/>
          <w:lang w:val="es-ES_tradnl"/>
        </w:rPr>
        <w:t>”</w:t>
      </w:r>
      <w:r w:rsidR="00043943" w:rsidRPr="00606E98">
        <w:rPr>
          <w:rStyle w:val="FootnoteReference"/>
          <w:rFonts w:ascii="Cambria" w:hAnsi="Cambria"/>
          <w:sz w:val="20"/>
          <w:szCs w:val="20"/>
          <w:lang w:val="es-ES_tradnl"/>
        </w:rPr>
        <w:footnoteReference w:id="11"/>
      </w:r>
      <w:r w:rsidR="007F7401" w:rsidRPr="00606E98">
        <w:rPr>
          <w:rFonts w:ascii="Cambria" w:hAnsi="Cambria"/>
          <w:sz w:val="20"/>
          <w:szCs w:val="20"/>
          <w:lang w:val="es-ES_tradnl"/>
        </w:rPr>
        <w:t>.</w:t>
      </w:r>
      <w:r w:rsidR="007F7401" w:rsidRPr="00606E98">
        <w:rPr>
          <w:rFonts w:ascii="Cambria" w:hAnsi="Cambria"/>
          <w:b/>
          <w:bCs/>
          <w:sz w:val="20"/>
          <w:szCs w:val="20"/>
          <w:lang w:val="es-ES"/>
        </w:rPr>
        <w:t xml:space="preserve">  </w:t>
      </w:r>
      <w:r w:rsidR="00043943" w:rsidRPr="00606E98">
        <w:rPr>
          <w:rFonts w:ascii="Cambria" w:hAnsi="Cambria"/>
          <w:bCs/>
          <w:sz w:val="20"/>
          <w:szCs w:val="20"/>
          <w:lang w:val="es-ES"/>
        </w:rPr>
        <w:t xml:space="preserve">De </w:t>
      </w:r>
      <w:r w:rsidR="007A25A6" w:rsidRPr="00606E98">
        <w:rPr>
          <w:rFonts w:ascii="Cambria" w:hAnsi="Cambria"/>
          <w:bCs/>
          <w:sz w:val="20"/>
          <w:szCs w:val="20"/>
          <w:lang w:val="es-ES"/>
        </w:rPr>
        <w:t>igual manera, la Corte Interamericana ha establecido que “</w:t>
      </w:r>
      <w:r w:rsidR="007A25A6" w:rsidRPr="00606E98">
        <w:rPr>
          <w:rFonts w:ascii="Cambria" w:eastAsia="MS Mincho" w:hAnsi="Cambria"/>
          <w:sz w:val="20"/>
          <w:szCs w:val="20"/>
          <w:lang w:val="es-PA" w:bidi="en-US"/>
        </w:rPr>
        <w:t>los Estados tienen la obligación internacional de asegurar la obtención del consentimiento informado antes de la realización de</w:t>
      </w:r>
      <w:r w:rsidR="00655B96">
        <w:rPr>
          <w:rFonts w:ascii="Cambria" w:eastAsia="MS Mincho" w:hAnsi="Cambria"/>
          <w:sz w:val="20"/>
          <w:szCs w:val="20"/>
          <w:lang w:val="es-PA" w:bidi="en-US"/>
        </w:rPr>
        <w:t xml:space="preserve"> cualquier acto médico, ya que e</w:t>
      </w:r>
      <w:r w:rsidR="007A25A6" w:rsidRPr="00606E98">
        <w:rPr>
          <w:rFonts w:ascii="Cambria" w:eastAsia="MS Mincho" w:hAnsi="Cambria"/>
          <w:sz w:val="20"/>
          <w:szCs w:val="20"/>
          <w:lang w:val="es-PA" w:bidi="en-US"/>
        </w:rPr>
        <w:t>ste se fundamenta principalmente en la autonomía y la auto-determinación del individuo, como parte del respeto y garantía de la dignidad de todo ser humano, así como en su derecho a la libertad. A su vez, esto implica que el individuo pueda actuar conforme a sus deseos, su capacidad para considerar opciones, adoptar decisiones y actuar sin la injerencia arbitraria de terceras personas”</w:t>
      </w:r>
      <w:r w:rsidR="007A25A6" w:rsidRPr="00606E98">
        <w:rPr>
          <w:rStyle w:val="FootnoteReference"/>
          <w:rFonts w:ascii="Cambria" w:eastAsia="MS Mincho" w:hAnsi="Cambria"/>
          <w:sz w:val="20"/>
          <w:szCs w:val="20"/>
          <w:lang w:val="es-PA" w:bidi="en-US"/>
        </w:rPr>
        <w:footnoteReference w:id="12"/>
      </w:r>
      <w:r w:rsidR="007A25A6" w:rsidRPr="00606E98">
        <w:rPr>
          <w:rFonts w:ascii="Cambria" w:eastAsia="MS Mincho" w:hAnsi="Cambria"/>
          <w:sz w:val="20"/>
          <w:szCs w:val="20"/>
          <w:lang w:val="es-PA" w:bidi="en-US"/>
        </w:rPr>
        <w:t>.</w:t>
      </w:r>
      <w:r w:rsidR="006F3E4F" w:rsidRPr="00606E98">
        <w:rPr>
          <w:rFonts w:ascii="Cambria" w:hAnsi="Cambria"/>
          <w:bCs/>
          <w:sz w:val="20"/>
          <w:szCs w:val="20"/>
          <w:lang w:val="es-ES"/>
        </w:rPr>
        <w:t xml:space="preserve"> </w:t>
      </w:r>
      <w:r>
        <w:rPr>
          <w:rFonts w:ascii="Cambria" w:hAnsi="Cambria"/>
          <w:bCs/>
          <w:sz w:val="20"/>
          <w:szCs w:val="20"/>
          <w:lang w:val="es-ES"/>
        </w:rPr>
        <w:t>Por su parte, la</w:t>
      </w:r>
      <w:r w:rsidR="006F3E4F" w:rsidRPr="00606E98">
        <w:rPr>
          <w:rFonts w:ascii="Cambria" w:hAnsi="Cambria"/>
          <w:bCs/>
          <w:sz w:val="20"/>
          <w:szCs w:val="20"/>
          <w:lang w:val="es-ES"/>
        </w:rPr>
        <w:t xml:space="preserve"> Comisión</w:t>
      </w:r>
      <w:r w:rsidR="00687B2B" w:rsidRPr="00606E98">
        <w:rPr>
          <w:rFonts w:ascii="Cambria" w:hAnsi="Cambria"/>
          <w:bCs/>
          <w:sz w:val="20"/>
          <w:szCs w:val="20"/>
          <w:lang w:val="es-ES"/>
        </w:rPr>
        <w:t xml:space="preserve"> </w:t>
      </w:r>
      <w:r w:rsidR="006F3E4F" w:rsidRPr="00606E98">
        <w:rPr>
          <w:rFonts w:ascii="Cambria" w:hAnsi="Cambria"/>
          <w:bCs/>
          <w:sz w:val="20"/>
          <w:szCs w:val="20"/>
          <w:lang w:val="es-ES"/>
        </w:rPr>
        <w:t>ha manifestado que “</w:t>
      </w:r>
      <w:r w:rsidR="006F3E4F" w:rsidRPr="00606E98">
        <w:rPr>
          <w:rFonts w:ascii="Cambria" w:hAnsi="Cambria"/>
          <w:sz w:val="20"/>
          <w:szCs w:val="20"/>
          <w:lang w:val="es-PA"/>
        </w:rPr>
        <w:t>el derecho al acceso a la información también se ve afectado ante la negativa de acceso a inform</w:t>
      </w:r>
      <w:r w:rsidR="00B14E8C" w:rsidRPr="00606E98">
        <w:rPr>
          <w:rFonts w:ascii="Cambria" w:hAnsi="Cambria"/>
          <w:sz w:val="20"/>
          <w:szCs w:val="20"/>
          <w:lang w:val="es-PA"/>
        </w:rPr>
        <w:t xml:space="preserve">ación de la historia médica. </w:t>
      </w:r>
      <w:r w:rsidR="006F3E4F" w:rsidRPr="00606E98">
        <w:rPr>
          <w:rFonts w:ascii="Cambria" w:hAnsi="Cambria"/>
          <w:sz w:val="20"/>
          <w:szCs w:val="20"/>
          <w:lang w:val="es-PA"/>
        </w:rPr>
        <w:t>En consecuencia, los Estados americanos deben garantizar a las personas acceder a la información contenida en sus historias clínicas, bajo apercibimiento de sanción</w:t>
      </w:r>
      <w:r w:rsidR="00B14E8C" w:rsidRPr="00606E98">
        <w:rPr>
          <w:rFonts w:ascii="Cambria" w:hAnsi="Cambria"/>
          <w:sz w:val="20"/>
          <w:szCs w:val="20"/>
          <w:lang w:val="es-PA"/>
        </w:rPr>
        <w:t>”</w:t>
      </w:r>
      <w:r w:rsidR="00B14E8C" w:rsidRPr="00606E98">
        <w:rPr>
          <w:rStyle w:val="FootnoteReference"/>
          <w:rFonts w:ascii="Cambria" w:hAnsi="Cambria"/>
          <w:sz w:val="20"/>
          <w:szCs w:val="20"/>
          <w:lang w:val="es-PA"/>
        </w:rPr>
        <w:footnoteReference w:id="13"/>
      </w:r>
      <w:r w:rsidR="006F3E4F" w:rsidRPr="00606E98">
        <w:rPr>
          <w:rFonts w:ascii="Cambria" w:hAnsi="Cambria"/>
          <w:sz w:val="20"/>
          <w:szCs w:val="20"/>
          <w:lang w:val="es-PA"/>
        </w:rPr>
        <w:t>.  </w:t>
      </w:r>
      <w:r w:rsidR="00687B2B" w:rsidRPr="00606E98">
        <w:rPr>
          <w:rFonts w:ascii="Cambria" w:hAnsi="Cambria"/>
          <w:sz w:val="20"/>
          <w:szCs w:val="20"/>
          <w:lang w:val="es-PA"/>
        </w:rPr>
        <w:t>Adicionalmente, la Corte Interamericana ha reconocido que el derecho de una persona a ser oída con las debidas garantías se puede ver vulnerado por "fallas manifiestas en la actuación de los defensores públicos y la falta de respuesta adecuada y efectiva por parte de las autoridades judiciales”</w:t>
      </w:r>
      <w:r w:rsidR="00687B2B" w:rsidRPr="00606E98">
        <w:rPr>
          <w:rStyle w:val="FootnoteReference"/>
          <w:rFonts w:ascii="Cambria" w:hAnsi="Cambria"/>
          <w:sz w:val="20"/>
          <w:szCs w:val="20"/>
          <w:lang w:val="es-PA"/>
        </w:rPr>
        <w:footnoteReference w:id="14"/>
      </w:r>
    </w:p>
    <w:p w14:paraId="430E74A2" w14:textId="3471DB75" w:rsidR="00687B2B" w:rsidRPr="00606E98" w:rsidRDefault="00687B2B" w:rsidP="00687B2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Cs/>
          <w:sz w:val="20"/>
          <w:szCs w:val="20"/>
          <w:lang w:val="es-ES"/>
        </w:rPr>
      </w:pPr>
      <w:r w:rsidRPr="00606E98">
        <w:rPr>
          <w:rFonts w:ascii="Cambria" w:hAnsi="Cambria"/>
          <w:sz w:val="20"/>
          <w:szCs w:val="20"/>
          <w:lang w:val="es-ES"/>
        </w:rPr>
        <w:t xml:space="preserve">En atención </w:t>
      </w:r>
      <w:r w:rsidR="007D6FAD">
        <w:rPr>
          <w:rFonts w:ascii="Cambria" w:hAnsi="Cambria"/>
          <w:sz w:val="20"/>
          <w:szCs w:val="20"/>
          <w:lang w:val="es-ES"/>
        </w:rPr>
        <w:t>de</w:t>
      </w:r>
      <w:r w:rsidRPr="00606E98">
        <w:rPr>
          <w:rFonts w:ascii="Cambria" w:hAnsi="Cambria"/>
          <w:sz w:val="20"/>
          <w:szCs w:val="20"/>
          <w:lang w:val="es-ES"/>
        </w:rPr>
        <w:t xml:space="preserve"> estas consideraciones y tras examinar los elementos de hecho y de derecho expuestos por las partes</w:t>
      </w:r>
      <w:r w:rsidR="007D6FAD">
        <w:rPr>
          <w:rFonts w:ascii="Cambria" w:hAnsi="Cambria"/>
          <w:sz w:val="20"/>
          <w:szCs w:val="20"/>
          <w:lang w:val="es-ES"/>
        </w:rPr>
        <w:t>,</w:t>
      </w:r>
      <w:r w:rsidRPr="00606E98">
        <w:rPr>
          <w:rFonts w:ascii="Cambria" w:hAnsi="Cambria"/>
          <w:sz w:val="20"/>
          <w:szCs w:val="20"/>
          <w:lang w:val="es-ES"/>
        </w:rPr>
        <w:t xml:space="preserve"> la Comisión estima que </w:t>
      </w:r>
      <w:r w:rsidR="007D6FAD">
        <w:rPr>
          <w:rFonts w:ascii="Cambria" w:hAnsi="Cambria"/>
          <w:sz w:val="20"/>
          <w:szCs w:val="20"/>
          <w:lang w:val="es-ES"/>
        </w:rPr>
        <w:t xml:space="preserve">los alegatos </w:t>
      </w:r>
      <w:r w:rsidRPr="00606E98">
        <w:rPr>
          <w:rFonts w:ascii="Cambria" w:hAnsi="Cambria"/>
          <w:sz w:val="20"/>
          <w:szCs w:val="20"/>
          <w:lang w:val="es-ES"/>
        </w:rPr>
        <w:t>de</w:t>
      </w:r>
      <w:r w:rsidR="007D6FAD">
        <w:rPr>
          <w:rFonts w:ascii="Cambria" w:hAnsi="Cambria"/>
          <w:sz w:val="20"/>
          <w:szCs w:val="20"/>
          <w:lang w:val="es-ES"/>
        </w:rPr>
        <w:t>l</w:t>
      </w:r>
      <w:r w:rsidRPr="00606E98">
        <w:rPr>
          <w:rFonts w:ascii="Cambria" w:hAnsi="Cambria"/>
          <w:sz w:val="20"/>
          <w:szCs w:val="20"/>
          <w:lang w:val="es-ES"/>
        </w:rPr>
        <w:t xml:space="preserve"> peticionari</w:t>
      </w:r>
      <w:r w:rsidR="007D6FAD">
        <w:rPr>
          <w:rFonts w:ascii="Cambria" w:hAnsi="Cambria"/>
          <w:sz w:val="20"/>
          <w:szCs w:val="20"/>
          <w:lang w:val="es-ES"/>
        </w:rPr>
        <w:t>o</w:t>
      </w:r>
      <w:r w:rsidRPr="00606E98">
        <w:rPr>
          <w:rFonts w:ascii="Cambria" w:hAnsi="Cambria"/>
          <w:sz w:val="20"/>
          <w:szCs w:val="20"/>
          <w:lang w:val="es-ES"/>
        </w:rPr>
        <w:t xml:space="preserve"> no resultan manifiestamente infundad</w:t>
      </w:r>
      <w:r w:rsidR="007D6FAD">
        <w:rPr>
          <w:rFonts w:ascii="Cambria" w:hAnsi="Cambria"/>
          <w:sz w:val="20"/>
          <w:szCs w:val="20"/>
          <w:lang w:val="es-ES"/>
        </w:rPr>
        <w:t>o</w:t>
      </w:r>
      <w:r w:rsidRPr="00606E98">
        <w:rPr>
          <w:rFonts w:ascii="Cambria" w:hAnsi="Cambria"/>
          <w:sz w:val="20"/>
          <w:szCs w:val="20"/>
          <w:lang w:val="es-ES"/>
        </w:rPr>
        <w:t>s y requieren un estudio de fondo pues los hechos, de corroborarse como ciertos</w:t>
      </w:r>
      <w:r w:rsidR="007D6FAD">
        <w:rPr>
          <w:rFonts w:ascii="Cambria" w:hAnsi="Cambria"/>
          <w:sz w:val="20"/>
          <w:szCs w:val="20"/>
          <w:lang w:val="es-ES"/>
        </w:rPr>
        <w:t>,</w:t>
      </w:r>
      <w:r w:rsidRPr="00606E98">
        <w:rPr>
          <w:rFonts w:ascii="Cambria" w:hAnsi="Cambria"/>
          <w:sz w:val="20"/>
          <w:szCs w:val="20"/>
          <w:lang w:val="es-ES"/>
        </w:rPr>
        <w:t xml:space="preserve"> podrían caracterizar violaciones </w:t>
      </w:r>
      <w:r w:rsidR="007D6FAD">
        <w:rPr>
          <w:rFonts w:ascii="Cambria" w:hAnsi="Cambria"/>
          <w:sz w:val="20"/>
          <w:szCs w:val="20"/>
          <w:lang w:val="es-ES"/>
        </w:rPr>
        <w:t>de</w:t>
      </w:r>
      <w:r w:rsidRPr="00606E98">
        <w:rPr>
          <w:rFonts w:ascii="Cambria" w:hAnsi="Cambria"/>
          <w:sz w:val="20"/>
          <w:szCs w:val="20"/>
          <w:lang w:val="es-ES"/>
        </w:rPr>
        <w:t xml:space="preserve"> los </w:t>
      </w:r>
      <w:r w:rsidRPr="00606E98">
        <w:rPr>
          <w:rFonts w:ascii="Cambria" w:hAnsi="Cambria"/>
          <w:bCs/>
          <w:sz w:val="20"/>
          <w:szCs w:val="20"/>
          <w:lang w:val="es-ES"/>
        </w:rPr>
        <w:t xml:space="preserve">artículos </w:t>
      </w:r>
      <w:r w:rsidRPr="00606E98">
        <w:rPr>
          <w:rFonts w:ascii="Cambria" w:hAnsi="Cambria"/>
          <w:bCs/>
          <w:sz w:val="20"/>
          <w:szCs w:val="20"/>
          <w:lang w:val="es-ES" w:eastAsia="es-ES"/>
        </w:rPr>
        <w:t>8 (</w:t>
      </w:r>
      <w:proofErr w:type="spellStart"/>
      <w:r w:rsidRPr="00606E98">
        <w:rPr>
          <w:rFonts w:ascii="Cambria" w:hAnsi="Cambria"/>
          <w:bCs/>
          <w:sz w:val="20"/>
          <w:szCs w:val="20"/>
          <w:lang w:val="es-ES" w:eastAsia="es-ES"/>
        </w:rPr>
        <w:t>garant</w:t>
      </w:r>
      <w:r w:rsidRPr="00606E98">
        <w:rPr>
          <w:rFonts w:ascii="Cambria" w:hAnsi="Cambria"/>
          <w:bCs/>
          <w:sz w:val="20"/>
          <w:szCs w:val="20"/>
          <w:lang w:val="es-PA" w:eastAsia="es-ES"/>
        </w:rPr>
        <w:t>ías</w:t>
      </w:r>
      <w:proofErr w:type="spellEnd"/>
      <w:r w:rsidRPr="00606E98">
        <w:rPr>
          <w:rFonts w:ascii="Cambria" w:hAnsi="Cambria"/>
          <w:bCs/>
          <w:sz w:val="20"/>
          <w:szCs w:val="20"/>
          <w:lang w:val="es-PA" w:eastAsia="es-ES"/>
        </w:rPr>
        <w:t xml:space="preserve"> judiciales) y 25 (protección judicial) de la Convención </w:t>
      </w:r>
      <w:r w:rsidRPr="00606E98">
        <w:rPr>
          <w:rFonts w:ascii="Cambria" w:hAnsi="Cambria"/>
          <w:bCs/>
          <w:sz w:val="20"/>
          <w:szCs w:val="20"/>
          <w:lang w:val="es-PA" w:eastAsia="es-ES"/>
        </w:rPr>
        <w:lastRenderedPageBreak/>
        <w:t>Americana en relación con sus artículos 1.1. (obligación de respetar los derechos) y 26 (derechos económicos, sociales y culturales).</w:t>
      </w:r>
    </w:p>
    <w:p w14:paraId="6DBCD0BF" w14:textId="51119666" w:rsidR="00A903F7" w:rsidRPr="005A7C11" w:rsidRDefault="00687B2B" w:rsidP="005A7C11">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MX"/>
        </w:rPr>
      </w:pPr>
      <w:r w:rsidRPr="00E772A3">
        <w:rPr>
          <w:rFonts w:cs="Calibri"/>
          <w:sz w:val="20"/>
          <w:szCs w:val="20"/>
          <w:lang w:val="es-ES_tradnl"/>
        </w:rPr>
        <w:t>Con respecto a los alegatos del Estado referidos a la llamada fórmula de “cuarta instancia”</w:t>
      </w:r>
      <w:r w:rsidRPr="00E772A3">
        <w:rPr>
          <w:sz w:val="20"/>
          <w:szCs w:val="20"/>
          <w:lang w:val="es-ES_tradnl"/>
        </w:rPr>
        <w:t xml:space="preserve">, </w:t>
      </w:r>
      <w:r w:rsidR="007D6FAD">
        <w:rPr>
          <w:sz w:val="20"/>
          <w:szCs w:val="20"/>
          <w:lang w:val="es-ES_tradnl"/>
        </w:rPr>
        <w:t>a</w:t>
      </w:r>
      <w:r w:rsidRPr="00E772A3">
        <w:rPr>
          <w:sz w:val="20"/>
          <w:szCs w:val="20"/>
          <w:lang w:val="es-ES_tradnl"/>
        </w:rPr>
        <w:t xml:space="preserve"> efectos de la admisibilidad </w:t>
      </w:r>
      <w:r w:rsidR="007D6FAD">
        <w:rPr>
          <w:sz w:val="20"/>
          <w:szCs w:val="20"/>
          <w:lang w:val="es-ES_tradnl"/>
        </w:rPr>
        <w:t xml:space="preserve">la Comisión </w:t>
      </w:r>
      <w:r w:rsidRPr="00E772A3">
        <w:rPr>
          <w:sz w:val="20"/>
          <w:szCs w:val="20"/>
          <w:lang w:val="es-ES_tradnl"/>
        </w:rPr>
        <w:t xml:space="preserve">debe decidir si los hechos pueden caracterizar una violación de derechos, según lo estipulado en el artículo 47(b) de la Convención Americana, o si la petición es manifiestamente infundada o </w:t>
      </w:r>
      <w:r w:rsidR="007D6FAD">
        <w:rPr>
          <w:sz w:val="20"/>
          <w:szCs w:val="20"/>
          <w:lang w:val="es-ES_tradnl"/>
        </w:rPr>
        <w:t xml:space="preserve">si </w:t>
      </w:r>
      <w:r w:rsidRPr="00E772A3">
        <w:rPr>
          <w:sz w:val="20"/>
          <w:szCs w:val="20"/>
          <w:lang w:val="es-ES_tradnl"/>
        </w:rPr>
        <w:t xml:space="preserve">es evidente su total improcedencia, conforme al inciso (c) de dicho artículo. El criterio de evaluación de esos requisitos difiere del que se utiliza para pronunciarse sobre el fondo de una petición. Asimismo, </w:t>
      </w:r>
      <w:r w:rsidR="007D6FAD">
        <w:rPr>
          <w:sz w:val="20"/>
          <w:szCs w:val="20"/>
          <w:lang w:val="es-ES_tradnl"/>
        </w:rPr>
        <w:t xml:space="preserve">en el </w:t>
      </w:r>
      <w:r w:rsidRPr="00E772A3">
        <w:rPr>
          <w:sz w:val="20"/>
          <w:szCs w:val="20"/>
          <w:lang w:val="es-ES_tradnl"/>
        </w:rPr>
        <w:t>marco de su mandato</w:t>
      </w:r>
      <w:r w:rsidR="007D6FAD">
        <w:rPr>
          <w:sz w:val="20"/>
          <w:szCs w:val="20"/>
          <w:lang w:val="es-ES_tradnl"/>
        </w:rPr>
        <w:t>, la Comisión</w:t>
      </w:r>
      <w:r w:rsidRPr="00E772A3">
        <w:rPr>
          <w:sz w:val="20"/>
          <w:szCs w:val="20"/>
          <w:lang w:val="es-ES_tradnl"/>
        </w:rPr>
        <w:t xml:space="preserve"> es competente para declarar admisible una petición cuando se refiere a procesos internos que podrían ser violatorios de derechos garantizados por la Convención Americana. </w:t>
      </w:r>
      <w:r w:rsidR="007D6FAD" w:rsidRPr="005A7C11">
        <w:rPr>
          <w:sz w:val="20"/>
          <w:szCs w:val="20"/>
          <w:lang w:val="es-ES_tradnl"/>
        </w:rPr>
        <w:t xml:space="preserve">De </w:t>
      </w:r>
      <w:r w:rsidRPr="005A7C11">
        <w:rPr>
          <w:sz w:val="20"/>
          <w:szCs w:val="20"/>
          <w:lang w:val="es-ES_tradnl"/>
        </w:rPr>
        <w:t xml:space="preserve">acuerdo con las normas convencionales citadas, </w:t>
      </w:r>
      <w:r w:rsidR="007D6FAD" w:rsidRPr="005A7C11">
        <w:rPr>
          <w:sz w:val="20"/>
          <w:szCs w:val="20"/>
          <w:lang w:val="es-ES_tradnl"/>
        </w:rPr>
        <w:t xml:space="preserve">y </w:t>
      </w:r>
      <w:r w:rsidRPr="005A7C11">
        <w:rPr>
          <w:sz w:val="20"/>
          <w:szCs w:val="20"/>
          <w:lang w:val="es-ES_tradnl"/>
        </w:rPr>
        <w:t>en concordancia con el artículo 34 de</w:t>
      </w:r>
      <w:r w:rsidR="007D6FAD" w:rsidRPr="005A7C11">
        <w:rPr>
          <w:sz w:val="20"/>
          <w:szCs w:val="20"/>
          <w:lang w:val="es-ES_tradnl"/>
        </w:rPr>
        <w:t xml:space="preserve">l </w:t>
      </w:r>
      <w:r w:rsidRPr="005A7C11">
        <w:rPr>
          <w:sz w:val="20"/>
          <w:szCs w:val="20"/>
          <w:lang w:val="es-ES_tradnl"/>
        </w:rPr>
        <w:t>Reglamento</w:t>
      </w:r>
      <w:r w:rsidR="007D6FAD" w:rsidRPr="005A7C11">
        <w:rPr>
          <w:sz w:val="20"/>
          <w:szCs w:val="20"/>
          <w:lang w:val="es-ES_tradnl"/>
        </w:rPr>
        <w:t xml:space="preserve"> de la Comisión</w:t>
      </w:r>
      <w:r w:rsidRPr="005A7C11">
        <w:rPr>
          <w:sz w:val="20"/>
          <w:szCs w:val="20"/>
          <w:lang w:val="es-ES_tradnl"/>
        </w:rPr>
        <w:t xml:space="preserve">, el análisis de admisibilidad se centra en la verificación de tales requisitos, </w:t>
      </w:r>
      <w:r w:rsidR="007D6FAD" w:rsidRPr="005A7C11">
        <w:rPr>
          <w:sz w:val="20"/>
          <w:szCs w:val="20"/>
          <w:lang w:val="es-ES_tradnl"/>
        </w:rPr>
        <w:t>que</w:t>
      </w:r>
      <w:r w:rsidRPr="005A7C11">
        <w:rPr>
          <w:sz w:val="20"/>
          <w:szCs w:val="20"/>
          <w:lang w:val="es-ES_tradnl"/>
        </w:rPr>
        <w:t xml:space="preserve"> se refieren a la </w:t>
      </w:r>
      <w:r w:rsidR="007D6FAD" w:rsidRPr="005A7C11">
        <w:rPr>
          <w:sz w:val="20"/>
          <w:szCs w:val="20"/>
          <w:lang w:val="es-ES_tradnl"/>
        </w:rPr>
        <w:t>presencia</w:t>
      </w:r>
      <w:r w:rsidRPr="005A7C11">
        <w:rPr>
          <w:sz w:val="20"/>
          <w:szCs w:val="20"/>
          <w:lang w:val="es-ES_tradnl"/>
        </w:rPr>
        <w:t xml:space="preserve"> de elementos que, de ser ciertos, podrían constituir </w:t>
      </w:r>
      <w:r w:rsidRPr="005A7C11">
        <w:rPr>
          <w:i/>
          <w:sz w:val="20"/>
          <w:szCs w:val="20"/>
          <w:lang w:val="es-ES_tradnl"/>
        </w:rPr>
        <w:t>prima facie</w:t>
      </w:r>
      <w:r w:rsidRPr="005A7C11">
        <w:rPr>
          <w:sz w:val="20"/>
          <w:szCs w:val="20"/>
          <w:lang w:val="es-ES_tradnl"/>
        </w:rPr>
        <w:t xml:space="preserve"> violaciones a la Convención Americana.</w:t>
      </w:r>
      <w:r w:rsidRPr="00E772A3">
        <w:rPr>
          <w:rStyle w:val="FootnoteReference"/>
          <w:rFonts w:cs="Calibri"/>
          <w:sz w:val="20"/>
          <w:szCs w:val="20"/>
          <w:lang w:val="es-ES_tradnl"/>
        </w:rPr>
        <w:footnoteReference w:id="15"/>
      </w:r>
    </w:p>
    <w:p w14:paraId="29BB41F5" w14:textId="2851F5F9" w:rsidR="003239B8" w:rsidRPr="00606E98"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Cambria" w:hAnsi="Cambria"/>
          <w:b/>
          <w:bCs/>
          <w:sz w:val="20"/>
          <w:szCs w:val="20"/>
          <w:lang w:val="es-ES"/>
        </w:rPr>
      </w:pPr>
      <w:r w:rsidRPr="00606E98">
        <w:rPr>
          <w:rFonts w:ascii="Cambria" w:hAnsi="Cambria"/>
          <w:b/>
          <w:bCs/>
          <w:sz w:val="20"/>
          <w:szCs w:val="20"/>
          <w:lang w:val="es-ES"/>
        </w:rPr>
        <w:t>VI</w:t>
      </w:r>
      <w:r w:rsidR="00F04591" w:rsidRPr="00606E98">
        <w:rPr>
          <w:rFonts w:ascii="Cambria" w:hAnsi="Cambria"/>
          <w:b/>
          <w:bCs/>
          <w:sz w:val="20"/>
          <w:szCs w:val="20"/>
          <w:lang w:val="es-ES"/>
        </w:rPr>
        <w:t>II</w:t>
      </w:r>
      <w:r w:rsidR="003239B8" w:rsidRPr="00606E98">
        <w:rPr>
          <w:rFonts w:ascii="Cambria" w:hAnsi="Cambria"/>
          <w:b/>
          <w:bCs/>
          <w:sz w:val="20"/>
          <w:szCs w:val="20"/>
          <w:lang w:val="es-ES"/>
        </w:rPr>
        <w:t xml:space="preserve">. </w:t>
      </w:r>
      <w:r w:rsidR="003239B8" w:rsidRPr="00606E98">
        <w:rPr>
          <w:rFonts w:ascii="Cambria" w:hAnsi="Cambria"/>
          <w:b/>
          <w:bCs/>
          <w:sz w:val="20"/>
          <w:szCs w:val="20"/>
          <w:lang w:val="es-ES"/>
        </w:rPr>
        <w:tab/>
        <w:t>DECISIÓN</w:t>
      </w:r>
    </w:p>
    <w:p w14:paraId="0FDE1D10" w14:textId="10791CB2" w:rsidR="003239B8" w:rsidRPr="00E772A3" w:rsidRDefault="003239B8"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color w:val="FF0000"/>
          <w:sz w:val="20"/>
          <w:szCs w:val="20"/>
          <w:lang w:val="es-ES"/>
        </w:rPr>
      </w:pPr>
      <w:r w:rsidRPr="00606E98">
        <w:rPr>
          <w:rFonts w:ascii="Cambria" w:hAnsi="Cambria"/>
          <w:sz w:val="20"/>
          <w:szCs w:val="20"/>
          <w:lang w:val="es-ES"/>
        </w:rPr>
        <w:t xml:space="preserve">Declarar admisible la presente petición </w:t>
      </w:r>
      <w:r w:rsidR="00520959">
        <w:rPr>
          <w:rFonts w:ascii="Cambria" w:hAnsi="Cambria"/>
          <w:sz w:val="20"/>
          <w:szCs w:val="20"/>
          <w:lang w:val="es-ES"/>
        </w:rPr>
        <w:t>respecto a</w:t>
      </w:r>
      <w:r w:rsidR="003A6337" w:rsidRPr="00606E98">
        <w:rPr>
          <w:rFonts w:ascii="Cambria" w:hAnsi="Cambria"/>
          <w:sz w:val="20"/>
          <w:szCs w:val="20"/>
          <w:lang w:val="es-ES"/>
        </w:rPr>
        <w:t xml:space="preserve"> los </w:t>
      </w:r>
      <w:r w:rsidR="003A6337" w:rsidRPr="00E772A3">
        <w:rPr>
          <w:rFonts w:ascii="Cambria" w:hAnsi="Cambria"/>
          <w:bCs/>
          <w:sz w:val="20"/>
          <w:szCs w:val="20"/>
          <w:lang w:val="es-ES"/>
        </w:rPr>
        <w:t xml:space="preserve">artículos </w:t>
      </w:r>
      <w:r w:rsidR="00687B2B" w:rsidRPr="00E772A3">
        <w:rPr>
          <w:rFonts w:ascii="Cambria" w:hAnsi="Cambria"/>
          <w:bCs/>
          <w:sz w:val="20"/>
          <w:szCs w:val="20"/>
          <w:lang w:val="es-ES"/>
        </w:rPr>
        <w:t>8 y 25 de la Convención Americana en relación con sus artículos 1.1. y 26</w:t>
      </w:r>
      <w:r w:rsidR="00CA567F" w:rsidRPr="00E772A3">
        <w:rPr>
          <w:rFonts w:ascii="Cambria" w:hAnsi="Cambria"/>
          <w:bCs/>
          <w:color w:val="FF0000"/>
          <w:sz w:val="20"/>
          <w:szCs w:val="20"/>
          <w:lang w:val="es-ES"/>
        </w:rPr>
        <w:t>.</w:t>
      </w:r>
    </w:p>
    <w:p w14:paraId="7CD4DFBD" w14:textId="0E9B3D14" w:rsidR="003239B8" w:rsidRDefault="004A6A54" w:rsidP="004A59C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606E98">
        <w:rPr>
          <w:rFonts w:ascii="Cambria" w:hAnsi="Cambria"/>
          <w:sz w:val="20"/>
          <w:szCs w:val="20"/>
          <w:lang w:val="es-ES"/>
        </w:rPr>
        <w:t xml:space="preserve">Notificar a las partes la presente decisión; </w:t>
      </w:r>
      <w:r w:rsidR="00687B2B" w:rsidRPr="00606E98">
        <w:rPr>
          <w:rFonts w:ascii="Cambria" w:hAnsi="Cambria"/>
          <w:sz w:val="20"/>
          <w:szCs w:val="20"/>
          <w:lang w:val="es-ES"/>
        </w:rPr>
        <w:t>proceder</w:t>
      </w:r>
      <w:r w:rsidRPr="00606E98">
        <w:rPr>
          <w:rFonts w:ascii="Cambria" w:hAnsi="Cambria"/>
          <w:sz w:val="20"/>
          <w:szCs w:val="20"/>
          <w:lang w:val="es-ES"/>
        </w:rPr>
        <w:t xml:space="preserve"> con el análisis del fondo de la cuestión; y publicar esta decisión e incluirla en su Informe Anual a la Asamblea General de la Organización de los Estados Americanos.</w:t>
      </w:r>
    </w:p>
    <w:p w14:paraId="7482DF56" w14:textId="33847A66" w:rsidR="00377063" w:rsidRPr="009D5514" w:rsidRDefault="00377063" w:rsidP="009D5514">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377063" w:rsidRPr="009D551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4347A" w14:textId="77777777" w:rsidR="00EF77CE" w:rsidRDefault="00EF77CE">
      <w:r>
        <w:separator/>
      </w:r>
    </w:p>
  </w:endnote>
  <w:endnote w:type="continuationSeparator" w:id="0">
    <w:p w14:paraId="4F15CC83" w14:textId="77777777" w:rsidR="00EF77CE" w:rsidRDefault="00EF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F5127" w14:textId="77777777" w:rsidR="00867E57" w:rsidRDefault="00867E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5B572753" w:rsidR="00C96A3F" w:rsidRPr="00934A2C" w:rsidRDefault="00C96A3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67E57">
          <w:rPr>
            <w:noProof/>
            <w:sz w:val="16"/>
            <w:szCs w:val="22"/>
          </w:rPr>
          <w:t>1</w:t>
        </w:r>
        <w:r w:rsidRPr="00934A2C">
          <w:rPr>
            <w:noProof/>
            <w:sz w:val="16"/>
            <w:szCs w:val="22"/>
          </w:rPr>
          <w:fldChar w:fldCharType="end"/>
        </w:r>
      </w:p>
    </w:sdtContent>
  </w:sdt>
  <w:p w14:paraId="68530E6A" w14:textId="77777777" w:rsidR="00C96A3F" w:rsidRDefault="00C96A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C96A3F" w:rsidRPr="00934A2C" w:rsidRDefault="00C96A3F">
    <w:pPr>
      <w:pStyle w:val="Footer"/>
      <w:jc w:val="center"/>
      <w:rPr>
        <w:sz w:val="16"/>
        <w:szCs w:val="22"/>
      </w:rPr>
    </w:pPr>
  </w:p>
  <w:p w14:paraId="49059CE3" w14:textId="77777777" w:rsidR="00C96A3F" w:rsidRDefault="00C96A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BC0BF" w14:textId="77777777" w:rsidR="00EF77CE" w:rsidRPr="000F35ED" w:rsidRDefault="00EF77C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4B50D66" w14:textId="77777777" w:rsidR="00EF77CE" w:rsidRPr="000F35ED" w:rsidRDefault="00EF77CE" w:rsidP="000F35ED">
      <w:pPr>
        <w:rPr>
          <w:rFonts w:asciiTheme="majorHAnsi" w:hAnsiTheme="majorHAnsi"/>
          <w:sz w:val="16"/>
          <w:szCs w:val="16"/>
        </w:rPr>
      </w:pPr>
      <w:r w:rsidRPr="000F35ED">
        <w:rPr>
          <w:rFonts w:asciiTheme="majorHAnsi" w:hAnsiTheme="majorHAnsi"/>
          <w:sz w:val="16"/>
          <w:szCs w:val="16"/>
        </w:rPr>
        <w:separator/>
      </w:r>
    </w:p>
    <w:p w14:paraId="50CFD96C" w14:textId="77777777" w:rsidR="00EF77CE" w:rsidRPr="000F35ED" w:rsidRDefault="00EF77C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0279E49" w14:textId="77777777" w:rsidR="00EF77CE" w:rsidRPr="000F35ED" w:rsidRDefault="00EF77CE"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5E73CB39" w:rsidR="00C96A3F" w:rsidRPr="00B22CD0" w:rsidRDefault="00C96A3F" w:rsidP="00B22CD0">
      <w:pPr>
        <w:pStyle w:val="FootnoteText"/>
        <w:ind w:firstLine="720"/>
        <w:jc w:val="both"/>
        <w:rPr>
          <w:rFonts w:asciiTheme="majorHAnsi" w:hAnsiTheme="majorHAnsi"/>
          <w:sz w:val="16"/>
          <w:szCs w:val="16"/>
          <w:lang w:val="es-ES"/>
        </w:rPr>
      </w:pPr>
      <w:r w:rsidRPr="00B22CD0">
        <w:rPr>
          <w:rStyle w:val="FootnoteReference"/>
          <w:rFonts w:asciiTheme="majorHAnsi" w:hAnsiTheme="majorHAnsi"/>
          <w:color w:val="auto"/>
          <w:sz w:val="16"/>
          <w:szCs w:val="16"/>
        </w:rPr>
        <w:footnoteRef/>
      </w:r>
      <w:r w:rsidRPr="00B22CD0">
        <w:rPr>
          <w:rFonts w:asciiTheme="majorHAnsi" w:hAnsiTheme="majorHAnsi"/>
          <w:color w:val="auto"/>
          <w:sz w:val="16"/>
          <w:szCs w:val="16"/>
          <w:lang w:val="es-ES"/>
        </w:rPr>
        <w:t xml:space="preserve"> Conforme a lo dispuesto en el artículo 17.2.a del Reglamento de la Comisión, el Comisionado Joel Hernández García, de nacionalidad </w:t>
      </w:r>
      <w:r w:rsidR="003518BD" w:rsidRPr="00B22CD0">
        <w:rPr>
          <w:rFonts w:asciiTheme="majorHAnsi" w:hAnsiTheme="majorHAnsi"/>
          <w:color w:val="auto"/>
          <w:sz w:val="16"/>
          <w:szCs w:val="16"/>
          <w:lang w:val="es-ES"/>
        </w:rPr>
        <w:t>mexicana</w:t>
      </w:r>
      <w:r w:rsidRPr="00B22CD0">
        <w:rPr>
          <w:rFonts w:asciiTheme="majorHAnsi" w:hAnsiTheme="majorHAnsi"/>
          <w:color w:val="auto"/>
          <w:sz w:val="16"/>
          <w:szCs w:val="16"/>
          <w:lang w:val="es-ES"/>
        </w:rPr>
        <w:t>, no participó en el debate ni en la decisión del presente asunto.</w:t>
      </w:r>
    </w:p>
  </w:footnote>
  <w:footnote w:id="3">
    <w:p w14:paraId="79F07139" w14:textId="77777777" w:rsidR="00C96A3F" w:rsidRPr="00B22CD0" w:rsidRDefault="00C96A3F" w:rsidP="00B22CD0">
      <w:pPr>
        <w:pStyle w:val="FootnoteText"/>
        <w:ind w:firstLine="720"/>
        <w:jc w:val="both"/>
        <w:rPr>
          <w:rFonts w:asciiTheme="majorHAnsi" w:hAnsiTheme="majorHAnsi"/>
          <w:sz w:val="16"/>
          <w:szCs w:val="16"/>
          <w:lang w:val="es-ES"/>
        </w:rPr>
      </w:pPr>
      <w:r w:rsidRPr="00B22CD0">
        <w:rPr>
          <w:rStyle w:val="FootnoteReference"/>
          <w:rFonts w:asciiTheme="majorHAnsi" w:hAnsiTheme="majorHAnsi"/>
          <w:sz w:val="16"/>
          <w:szCs w:val="16"/>
        </w:rPr>
        <w:footnoteRef/>
      </w:r>
      <w:r w:rsidRPr="00B22CD0">
        <w:rPr>
          <w:rFonts w:asciiTheme="majorHAnsi" w:hAnsiTheme="majorHAnsi"/>
          <w:sz w:val="16"/>
          <w:szCs w:val="16"/>
          <w:lang w:val="es-ES"/>
        </w:rPr>
        <w:t xml:space="preserve"> Las observaciones de cada parte fueron debidamente trasladadas a la parte contraria.</w:t>
      </w:r>
    </w:p>
  </w:footnote>
  <w:footnote w:id="4">
    <w:p w14:paraId="0B18D7D6" w14:textId="060839D7" w:rsidR="00C96A3F" w:rsidRPr="00FF3503" w:rsidRDefault="00C96A3F" w:rsidP="00FF3503">
      <w:pPr>
        <w:pStyle w:val="FootnoteText"/>
        <w:ind w:firstLine="720"/>
        <w:jc w:val="both"/>
        <w:rPr>
          <w:rFonts w:asciiTheme="majorHAnsi" w:hAnsiTheme="majorHAnsi"/>
          <w:sz w:val="16"/>
          <w:szCs w:val="16"/>
          <w:lang w:val="es-PA"/>
        </w:rPr>
      </w:pPr>
      <w:r>
        <w:rPr>
          <w:rStyle w:val="FootnoteReference"/>
        </w:rPr>
        <w:footnoteRef/>
      </w:r>
      <w:r w:rsidRPr="00FF3503">
        <w:rPr>
          <w:lang w:val="es-PA"/>
        </w:rPr>
        <w:t xml:space="preserve"> </w:t>
      </w:r>
      <w:r>
        <w:rPr>
          <w:rFonts w:asciiTheme="majorHAnsi" w:hAnsiTheme="majorHAnsi"/>
          <w:sz w:val="16"/>
          <w:szCs w:val="16"/>
          <w:lang w:val="es-PA"/>
        </w:rPr>
        <w:t>En adelante “la Convención Americana”</w:t>
      </w:r>
    </w:p>
  </w:footnote>
  <w:footnote w:id="5">
    <w:p w14:paraId="4CBB09EE" w14:textId="77777777" w:rsidR="00C96A3F" w:rsidRPr="006132CC" w:rsidRDefault="00C96A3F" w:rsidP="0017608F">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86/06</w:t>
      </w:r>
      <w:r>
        <w:rPr>
          <w:rFonts w:ascii="Cambria" w:hAnsi="Cambria"/>
          <w:sz w:val="16"/>
          <w:szCs w:val="16"/>
          <w:lang w:val="es-ES"/>
        </w:rPr>
        <w:t xml:space="preserve">, </w:t>
      </w:r>
      <w:r>
        <w:rPr>
          <w:rFonts w:ascii="Cambria" w:hAnsi="Cambria"/>
          <w:sz w:val="16"/>
          <w:szCs w:val="16"/>
          <w:lang w:val="es-ES_tradnl"/>
        </w:rPr>
        <w:t>Petición</w:t>
      </w:r>
      <w:r>
        <w:rPr>
          <w:rFonts w:ascii="Cambria" w:hAnsi="Cambria"/>
          <w:sz w:val="16"/>
          <w:szCs w:val="16"/>
          <w:lang w:val="es-ES"/>
        </w:rPr>
        <w:t xml:space="preserve"> 499-04</w:t>
      </w:r>
      <w:r w:rsidRPr="006132CC">
        <w:rPr>
          <w:rFonts w:ascii="Cambria" w:hAnsi="Cambria"/>
          <w:sz w:val="16"/>
          <w:szCs w:val="16"/>
          <w:lang w:val="es-ES"/>
        </w:rPr>
        <w:t>. Admisibilidad. Marino López y otros (Operación Génesis). Colombia. 21 de octubre de 2006, párr. 57.</w:t>
      </w:r>
    </w:p>
  </w:footnote>
  <w:footnote w:id="6">
    <w:p w14:paraId="17E5B548" w14:textId="77777777" w:rsidR="00C96A3F" w:rsidRPr="006132CC" w:rsidRDefault="00C96A3F" w:rsidP="00C96A3F">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90/03</w:t>
      </w:r>
      <w:r>
        <w:rPr>
          <w:rFonts w:ascii="Cambria" w:hAnsi="Cambria"/>
          <w:sz w:val="16"/>
          <w:szCs w:val="16"/>
          <w:lang w:val="es-ES_tradnl"/>
        </w:rPr>
        <w:t>, Petición 0581/1999</w:t>
      </w:r>
      <w:r w:rsidRPr="006132CC">
        <w:rPr>
          <w:rFonts w:ascii="Cambria" w:hAnsi="Cambria"/>
          <w:sz w:val="16"/>
          <w:szCs w:val="16"/>
          <w:lang w:val="es-ES_tradnl"/>
        </w:rPr>
        <w:t>. Inadmisibilidad. Gustavo Trujillo González. Perú. 22 de octubre de 2003, párr. 32.</w:t>
      </w:r>
    </w:p>
  </w:footnote>
  <w:footnote w:id="7">
    <w:p w14:paraId="7101C40E" w14:textId="77777777" w:rsidR="00C96A3F" w:rsidRPr="00A6509F" w:rsidRDefault="00C96A3F" w:rsidP="00C96A3F">
      <w:pPr>
        <w:pStyle w:val="FootnoteText"/>
        <w:ind w:firstLine="720"/>
        <w:jc w:val="both"/>
        <w:rPr>
          <w:lang w:val="es-PA"/>
        </w:rPr>
      </w:pPr>
      <w:r w:rsidRPr="00212B2B">
        <w:rPr>
          <w:rStyle w:val="FootnoteReference"/>
          <w:rFonts w:asciiTheme="majorHAnsi" w:hAnsiTheme="majorHAnsi"/>
          <w:sz w:val="16"/>
          <w:szCs w:val="16"/>
        </w:rPr>
        <w:footnoteRef/>
      </w:r>
      <w:r w:rsidRPr="00212B2B">
        <w:rPr>
          <w:rFonts w:asciiTheme="majorHAnsi" w:hAnsiTheme="majorHAnsi"/>
          <w:sz w:val="16"/>
          <w:szCs w:val="16"/>
          <w:lang w:val="es-PA"/>
        </w:rPr>
        <w:t xml:space="preserve"> </w:t>
      </w:r>
      <w:r w:rsidRPr="00212B2B">
        <w:rPr>
          <w:rFonts w:asciiTheme="majorHAnsi" w:hAnsiTheme="majorHAnsi"/>
          <w:sz w:val="16"/>
          <w:szCs w:val="16"/>
          <w:lang w:val="es-ES"/>
        </w:rPr>
        <w:t>CIDH, Informe No. 3/18, Petición 1173-08. Admisibilidad. Diego Fabián Montesino. Argentina. 24 de febrero de 2018, párr. 12</w:t>
      </w:r>
      <w:r w:rsidRPr="006132CC">
        <w:rPr>
          <w:rFonts w:ascii="Cambria" w:hAnsi="Cambria"/>
          <w:sz w:val="16"/>
          <w:szCs w:val="16"/>
          <w:lang w:val="es-ES"/>
        </w:rPr>
        <w:t>.</w:t>
      </w:r>
    </w:p>
  </w:footnote>
  <w:footnote w:id="8">
    <w:p w14:paraId="5FBF14DB" w14:textId="77777777" w:rsidR="00317DBE" w:rsidRPr="00A85CF6" w:rsidRDefault="00317DBE" w:rsidP="00317DBE">
      <w:pPr>
        <w:pStyle w:val="FootnoteText"/>
        <w:jc w:val="both"/>
        <w:rPr>
          <w:rFonts w:ascii="Cambria" w:hAnsi="Cambria"/>
          <w:sz w:val="16"/>
          <w:szCs w:val="16"/>
          <w:lang w:val="es-U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161/17</w:t>
      </w:r>
      <w:r>
        <w:rPr>
          <w:rFonts w:ascii="Cambria" w:hAnsi="Cambria"/>
          <w:sz w:val="16"/>
          <w:szCs w:val="16"/>
          <w:lang w:val="es-ES"/>
        </w:rPr>
        <w:t>, Petición 29-07</w:t>
      </w:r>
      <w:r w:rsidRPr="006132CC">
        <w:rPr>
          <w:rFonts w:ascii="Cambria" w:hAnsi="Cambria"/>
          <w:sz w:val="16"/>
          <w:szCs w:val="16"/>
          <w:lang w:val="es-ES"/>
        </w:rPr>
        <w:t xml:space="preserve">. Admisibilidad. </w:t>
      </w:r>
      <w:r w:rsidRPr="00A85CF6">
        <w:rPr>
          <w:rFonts w:ascii="Cambria" w:hAnsi="Cambria"/>
          <w:sz w:val="16"/>
          <w:szCs w:val="16"/>
          <w:lang w:val="es-US"/>
        </w:rPr>
        <w:t>Andy Williams Garcés Suárez y familia. Perú. 30 de noviembre de 2017, párr. 12.</w:t>
      </w:r>
    </w:p>
  </w:footnote>
  <w:footnote w:id="9">
    <w:p w14:paraId="02DB391B" w14:textId="77777777" w:rsidR="00FA3C57" w:rsidRPr="00A85CF6" w:rsidRDefault="00FA3C57" w:rsidP="00FA3C57">
      <w:pPr>
        <w:pStyle w:val="FootnoteText"/>
        <w:spacing w:after="120"/>
        <w:ind w:firstLine="720"/>
        <w:jc w:val="both"/>
        <w:rPr>
          <w:rFonts w:asciiTheme="majorHAnsi" w:hAnsiTheme="majorHAnsi"/>
          <w:sz w:val="16"/>
          <w:szCs w:val="16"/>
          <w:lang w:val="es-US"/>
        </w:rPr>
      </w:pPr>
      <w:r w:rsidRPr="00B769FB">
        <w:rPr>
          <w:rStyle w:val="FootnoteReference"/>
          <w:rFonts w:asciiTheme="majorHAnsi" w:hAnsiTheme="majorHAnsi"/>
          <w:sz w:val="16"/>
          <w:szCs w:val="16"/>
        </w:rPr>
        <w:footnoteRef/>
      </w:r>
      <w:r w:rsidRPr="00A85CF6">
        <w:rPr>
          <w:rFonts w:asciiTheme="majorHAnsi" w:hAnsiTheme="majorHAnsi"/>
          <w:sz w:val="16"/>
          <w:szCs w:val="16"/>
          <w:lang w:val="es-US"/>
        </w:rPr>
        <w:t xml:space="preserve"> Corte I.D.H., </w:t>
      </w:r>
      <w:r w:rsidRPr="00A85CF6">
        <w:rPr>
          <w:rFonts w:asciiTheme="majorHAnsi" w:hAnsiTheme="majorHAnsi"/>
          <w:iCs/>
          <w:sz w:val="16"/>
          <w:szCs w:val="16"/>
          <w:lang w:val="es-US"/>
        </w:rPr>
        <w:t>Caso Velásquez Rodríguez.</w:t>
      </w:r>
      <w:r w:rsidRPr="00A85CF6">
        <w:rPr>
          <w:rFonts w:asciiTheme="majorHAnsi" w:hAnsiTheme="majorHAnsi"/>
          <w:i/>
          <w:iCs/>
          <w:sz w:val="16"/>
          <w:szCs w:val="16"/>
          <w:lang w:val="es-US"/>
        </w:rPr>
        <w:t xml:space="preserve"> </w:t>
      </w:r>
      <w:r w:rsidRPr="00A85CF6">
        <w:rPr>
          <w:rFonts w:asciiTheme="majorHAnsi" w:hAnsiTheme="majorHAnsi"/>
          <w:iCs/>
          <w:sz w:val="16"/>
          <w:szCs w:val="16"/>
          <w:lang w:val="es-US"/>
        </w:rPr>
        <w:t>Excepciones Preliminares</w:t>
      </w:r>
      <w:r w:rsidRPr="00A85CF6">
        <w:rPr>
          <w:rFonts w:asciiTheme="majorHAnsi" w:hAnsiTheme="majorHAnsi"/>
          <w:sz w:val="16"/>
          <w:szCs w:val="16"/>
          <w:lang w:val="es-US"/>
        </w:rPr>
        <w:t>, Sentencia de 26 de junio de 1987, Serie C No. 1, párr. 93.</w:t>
      </w:r>
    </w:p>
  </w:footnote>
  <w:footnote w:id="10">
    <w:p w14:paraId="3D6157B9" w14:textId="77777777" w:rsidR="00FA3C57" w:rsidRPr="006132CC" w:rsidRDefault="00FA3C57" w:rsidP="00FA3C57">
      <w:pPr>
        <w:pStyle w:val="FootnoteText"/>
        <w:jc w:val="both"/>
        <w:rPr>
          <w:rFonts w:ascii="Cambria" w:hAnsi="Cambria"/>
          <w:sz w:val="16"/>
          <w:szCs w:val="16"/>
          <w:lang w:val="es-ES"/>
        </w:rPr>
      </w:pPr>
      <w:r w:rsidRPr="00A85CF6">
        <w:rPr>
          <w:rFonts w:ascii="Cambria" w:hAnsi="Cambria"/>
          <w:sz w:val="16"/>
          <w:szCs w:val="16"/>
          <w:lang w:val="es-U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15/15</w:t>
      </w:r>
      <w:r>
        <w:rPr>
          <w:rFonts w:ascii="Cambria" w:hAnsi="Cambria"/>
          <w:sz w:val="16"/>
          <w:szCs w:val="16"/>
          <w:lang w:val="es-ES"/>
        </w:rPr>
        <w:t xml:space="preserve">, </w:t>
      </w:r>
      <w:r>
        <w:rPr>
          <w:rFonts w:ascii="Cambria" w:hAnsi="Cambria"/>
          <w:sz w:val="16"/>
          <w:szCs w:val="16"/>
          <w:lang w:val="es-ES_tradnl"/>
        </w:rPr>
        <w:t>Petición</w:t>
      </w:r>
      <w:r>
        <w:rPr>
          <w:rFonts w:ascii="Cambria" w:hAnsi="Cambria"/>
          <w:sz w:val="16"/>
          <w:szCs w:val="16"/>
          <w:lang w:val="es-ES"/>
        </w:rPr>
        <w:t xml:space="preserve"> 374-05</w:t>
      </w:r>
      <w:r w:rsidRPr="006132CC">
        <w:rPr>
          <w:rFonts w:ascii="Cambria" w:hAnsi="Cambria"/>
          <w:sz w:val="16"/>
          <w:szCs w:val="16"/>
          <w:lang w:val="es-ES"/>
        </w:rPr>
        <w:t>. Admisibilidad. Trabajadores del Sindicato de Trabajadores de la Federación Nacional de Cafeteros de Colombia. Colombia. 24 de marzo de 2015, párr. 39.</w:t>
      </w:r>
    </w:p>
  </w:footnote>
  <w:footnote w:id="11">
    <w:p w14:paraId="20128389" w14:textId="1B482DD0" w:rsidR="00043943" w:rsidRPr="00043943" w:rsidRDefault="00043943" w:rsidP="00043943">
      <w:pPr>
        <w:pStyle w:val="FootnoteText"/>
        <w:ind w:firstLine="720"/>
        <w:jc w:val="both"/>
        <w:rPr>
          <w:rFonts w:asciiTheme="majorHAnsi" w:hAnsiTheme="majorHAnsi"/>
          <w:sz w:val="16"/>
          <w:szCs w:val="16"/>
          <w:lang w:val="es-PA"/>
        </w:rPr>
      </w:pPr>
      <w:r>
        <w:rPr>
          <w:rStyle w:val="FootnoteReference"/>
        </w:rPr>
        <w:footnoteRef/>
      </w:r>
      <w:r w:rsidRPr="00377063">
        <w:rPr>
          <w:lang w:val="pt-BR"/>
        </w:rPr>
        <w:t xml:space="preserve"> </w:t>
      </w:r>
      <w:r w:rsidRPr="00377063">
        <w:rPr>
          <w:rFonts w:asciiTheme="majorHAnsi" w:hAnsiTheme="majorHAnsi"/>
          <w:sz w:val="16"/>
          <w:szCs w:val="16"/>
          <w:lang w:val="pt-BR"/>
        </w:rPr>
        <w:t>Corte I.D.H., Ximenes Lope</w:t>
      </w:r>
      <w:r w:rsidR="00E772A3" w:rsidRPr="00377063">
        <w:rPr>
          <w:rFonts w:asciiTheme="majorHAnsi" w:hAnsiTheme="majorHAnsi"/>
          <w:sz w:val="16"/>
          <w:szCs w:val="16"/>
          <w:lang w:val="pt-BR"/>
        </w:rPr>
        <w:t>s</w:t>
      </w:r>
      <w:r w:rsidRPr="00377063">
        <w:rPr>
          <w:rFonts w:asciiTheme="majorHAnsi" w:hAnsiTheme="majorHAnsi"/>
          <w:sz w:val="16"/>
          <w:szCs w:val="16"/>
          <w:lang w:val="pt-BR"/>
        </w:rPr>
        <w:t xml:space="preserve"> v. Brasil. </w:t>
      </w:r>
      <w:r>
        <w:rPr>
          <w:rFonts w:asciiTheme="majorHAnsi" w:hAnsiTheme="majorHAnsi"/>
          <w:sz w:val="16"/>
          <w:szCs w:val="16"/>
          <w:lang w:val="es-PA"/>
        </w:rPr>
        <w:t>Sentencia</w:t>
      </w:r>
      <w:r w:rsidR="007A25A6">
        <w:rPr>
          <w:rFonts w:asciiTheme="majorHAnsi" w:hAnsiTheme="majorHAnsi"/>
          <w:sz w:val="16"/>
          <w:szCs w:val="16"/>
          <w:lang w:val="es-PA"/>
        </w:rPr>
        <w:t>.</w:t>
      </w:r>
      <w:r>
        <w:rPr>
          <w:rFonts w:asciiTheme="majorHAnsi" w:hAnsiTheme="majorHAnsi"/>
          <w:sz w:val="16"/>
          <w:szCs w:val="16"/>
          <w:lang w:val="es-PA"/>
        </w:rPr>
        <w:t xml:space="preserve"> 4 de julio de 2006, párr. 89. </w:t>
      </w:r>
    </w:p>
  </w:footnote>
  <w:footnote w:id="12">
    <w:p w14:paraId="34D13453" w14:textId="7BC9D55D" w:rsidR="007A25A6" w:rsidRPr="007A25A6" w:rsidRDefault="007A25A6" w:rsidP="007A25A6">
      <w:pPr>
        <w:pStyle w:val="FootnoteText"/>
        <w:ind w:firstLine="720"/>
        <w:jc w:val="both"/>
        <w:rPr>
          <w:rFonts w:asciiTheme="majorHAnsi" w:hAnsiTheme="majorHAnsi"/>
          <w:sz w:val="16"/>
          <w:szCs w:val="16"/>
          <w:lang w:val="es-PA"/>
        </w:rPr>
      </w:pPr>
      <w:r>
        <w:rPr>
          <w:rStyle w:val="FootnoteReference"/>
        </w:rPr>
        <w:footnoteRef/>
      </w:r>
      <w:r w:rsidRPr="00377063">
        <w:rPr>
          <w:lang w:val="pt-BR"/>
        </w:rPr>
        <w:t xml:space="preserve"> </w:t>
      </w:r>
      <w:r w:rsidRPr="00377063">
        <w:rPr>
          <w:rFonts w:asciiTheme="majorHAnsi" w:hAnsiTheme="majorHAnsi"/>
          <w:sz w:val="16"/>
          <w:szCs w:val="16"/>
          <w:lang w:val="pt-BR"/>
        </w:rPr>
        <w:t xml:space="preserve">Corte I.D.H., I.V. vs. Bolivia. </w:t>
      </w:r>
      <w:r>
        <w:rPr>
          <w:rFonts w:asciiTheme="majorHAnsi" w:hAnsiTheme="majorHAnsi"/>
          <w:sz w:val="16"/>
          <w:szCs w:val="16"/>
          <w:lang w:val="es-PA"/>
        </w:rPr>
        <w:t xml:space="preserve">Sentencia de Fondo, Reparaciones y Costas. 30 de noviembre de 2016, párr. 165. </w:t>
      </w:r>
    </w:p>
  </w:footnote>
  <w:footnote w:id="13">
    <w:p w14:paraId="36D1186C" w14:textId="5B96435E" w:rsidR="00B14E8C" w:rsidRPr="00B14E8C" w:rsidRDefault="00B14E8C" w:rsidP="00B14E8C">
      <w:pPr>
        <w:pStyle w:val="FootnoteText"/>
        <w:ind w:firstLine="720"/>
        <w:jc w:val="both"/>
        <w:rPr>
          <w:lang w:val="es-PA"/>
        </w:rPr>
      </w:pPr>
      <w:r>
        <w:rPr>
          <w:rStyle w:val="FootnoteReference"/>
        </w:rPr>
        <w:footnoteRef/>
      </w:r>
      <w:r w:rsidRPr="00B14E8C">
        <w:rPr>
          <w:lang w:val="es-PA"/>
        </w:rPr>
        <w:t xml:space="preserve"> </w:t>
      </w:r>
      <w:r w:rsidRPr="00B14E8C">
        <w:rPr>
          <w:rFonts w:asciiTheme="majorHAnsi" w:hAnsiTheme="majorHAnsi"/>
          <w:sz w:val="16"/>
          <w:szCs w:val="16"/>
          <w:lang w:val="es-PA"/>
        </w:rPr>
        <w:t>CIDH, Acceso a la Información en Materia Reproductiva desde una Perspectiva de Derechos Humanos. OEA/Ser. L/V/II. Doc. 61. 22 de noviembre de 2011, párr. 106.</w:t>
      </w:r>
    </w:p>
  </w:footnote>
  <w:footnote w:id="14">
    <w:p w14:paraId="29EBF587" w14:textId="6F5E0543" w:rsidR="00687B2B" w:rsidRPr="002C4B1B" w:rsidRDefault="00687B2B" w:rsidP="00687B2B">
      <w:pPr>
        <w:pStyle w:val="FootnoteText"/>
        <w:ind w:firstLine="720"/>
        <w:jc w:val="both"/>
        <w:rPr>
          <w:rFonts w:asciiTheme="majorHAnsi" w:hAnsiTheme="majorHAnsi"/>
          <w:sz w:val="16"/>
          <w:szCs w:val="16"/>
          <w:lang w:val="es-PA"/>
        </w:rPr>
      </w:pPr>
      <w:r w:rsidRPr="002C4B1B">
        <w:rPr>
          <w:rStyle w:val="FootnoteReference"/>
          <w:rFonts w:asciiTheme="majorHAnsi" w:hAnsiTheme="majorHAnsi"/>
          <w:sz w:val="16"/>
          <w:szCs w:val="16"/>
        </w:rPr>
        <w:footnoteRef/>
      </w:r>
      <w:r w:rsidRPr="002C4B1B">
        <w:rPr>
          <w:rFonts w:asciiTheme="majorHAnsi" w:hAnsiTheme="majorHAnsi"/>
          <w:sz w:val="16"/>
          <w:szCs w:val="16"/>
          <w:lang w:val="es-PA"/>
        </w:rPr>
        <w:t xml:space="preserve"> Corte I.D.H., Ruano Torres y otros vs. El Salvador. Sentencia de Fondo, Reparaciones y Costas. 5 de octubre de 2015, párr. 174.</w:t>
      </w:r>
    </w:p>
  </w:footnote>
  <w:footnote w:id="15">
    <w:p w14:paraId="0986E508" w14:textId="273D0C56" w:rsidR="00687B2B" w:rsidRPr="00C5191D" w:rsidRDefault="00687B2B" w:rsidP="00687B2B">
      <w:pPr>
        <w:pStyle w:val="FootnoteText"/>
        <w:ind w:firstLine="720"/>
        <w:jc w:val="both"/>
        <w:rPr>
          <w:rFonts w:ascii="Cambria" w:hAnsi="Cambria"/>
          <w:sz w:val="16"/>
          <w:szCs w:val="16"/>
          <w:lang w:val="es-ES"/>
        </w:rPr>
      </w:pPr>
      <w:r w:rsidRPr="002C4B1B">
        <w:rPr>
          <w:rStyle w:val="FootnoteReference"/>
          <w:rFonts w:asciiTheme="majorHAnsi" w:hAnsiTheme="majorHAnsi"/>
          <w:sz w:val="16"/>
          <w:szCs w:val="16"/>
        </w:rPr>
        <w:footnoteRef/>
      </w:r>
      <w:r w:rsidRPr="002C4B1B">
        <w:rPr>
          <w:rFonts w:asciiTheme="majorHAnsi" w:hAnsiTheme="majorHAnsi"/>
          <w:sz w:val="16"/>
          <w:szCs w:val="16"/>
          <w:lang w:val="es-ES"/>
        </w:rPr>
        <w:t xml:space="preserve"> CIDH, Informe No. 143/18, Petición 940-08. Admisibilidad. Luis Américo Ayala Gonzales. Perú</w:t>
      </w:r>
      <w:r w:rsidR="002C4B1B">
        <w:rPr>
          <w:rFonts w:asciiTheme="majorHAnsi" w:hAnsiTheme="majorHAnsi"/>
          <w:sz w:val="16"/>
          <w:szCs w:val="16"/>
          <w:lang w:val="es-ES"/>
        </w:rPr>
        <w:t xml:space="preserve">. 4 de diciembre de 2018, párr. </w:t>
      </w:r>
      <w:r w:rsidRPr="002C4B1B">
        <w:rPr>
          <w:rFonts w:asciiTheme="majorHAnsi" w:hAnsiTheme="majorHAnsi"/>
          <w:sz w:val="16"/>
          <w:szCs w:val="16"/>
          <w:lang w:val="es-ES"/>
        </w:rPr>
        <w:t>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C96A3F" w:rsidRDefault="00C96A3F" w:rsidP="00C96A3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C96A3F" w:rsidRDefault="00C96A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C96A3F" w:rsidRDefault="00C96A3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C96A3F" w:rsidRPr="00EC7D62" w:rsidRDefault="00EF77CE"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A351D" w14:textId="77777777" w:rsidR="00867E57" w:rsidRDefault="00867E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38B26184"/>
    <w:lvl w:ilvl="0" w:tplc="9A16A6FA">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0DDB"/>
    <w:rsid w:val="000065D0"/>
    <w:rsid w:val="000068CF"/>
    <w:rsid w:val="00006B74"/>
    <w:rsid w:val="00006E1F"/>
    <w:rsid w:val="000070D7"/>
    <w:rsid w:val="000104F5"/>
    <w:rsid w:val="00015701"/>
    <w:rsid w:val="0001788C"/>
    <w:rsid w:val="000200F1"/>
    <w:rsid w:val="0002186F"/>
    <w:rsid w:val="000337EF"/>
    <w:rsid w:val="00040C3A"/>
    <w:rsid w:val="000419AD"/>
    <w:rsid w:val="00041C7A"/>
    <w:rsid w:val="00043943"/>
    <w:rsid w:val="0006118A"/>
    <w:rsid w:val="000716C5"/>
    <w:rsid w:val="00075E23"/>
    <w:rsid w:val="0009344A"/>
    <w:rsid w:val="00093FB1"/>
    <w:rsid w:val="000948C2"/>
    <w:rsid w:val="000A3254"/>
    <w:rsid w:val="000A392E"/>
    <w:rsid w:val="000A575F"/>
    <w:rsid w:val="000B0579"/>
    <w:rsid w:val="000C1C69"/>
    <w:rsid w:val="000D10DB"/>
    <w:rsid w:val="000E2789"/>
    <w:rsid w:val="000E5BB5"/>
    <w:rsid w:val="000E5EB5"/>
    <w:rsid w:val="000F35ED"/>
    <w:rsid w:val="00107131"/>
    <w:rsid w:val="0010736F"/>
    <w:rsid w:val="00107FCD"/>
    <w:rsid w:val="0011020F"/>
    <w:rsid w:val="00111A8A"/>
    <w:rsid w:val="00113F73"/>
    <w:rsid w:val="00115166"/>
    <w:rsid w:val="00121CC2"/>
    <w:rsid w:val="00124865"/>
    <w:rsid w:val="00131D8B"/>
    <w:rsid w:val="00133E5D"/>
    <w:rsid w:val="00133EE5"/>
    <w:rsid w:val="00136E3D"/>
    <w:rsid w:val="00143EFE"/>
    <w:rsid w:val="0014779F"/>
    <w:rsid w:val="001479C0"/>
    <w:rsid w:val="0015330B"/>
    <w:rsid w:val="00160599"/>
    <w:rsid w:val="00163C44"/>
    <w:rsid w:val="00167A34"/>
    <w:rsid w:val="0017386B"/>
    <w:rsid w:val="0017608F"/>
    <w:rsid w:val="001778E9"/>
    <w:rsid w:val="00177EEF"/>
    <w:rsid w:val="00184DAE"/>
    <w:rsid w:val="001A7870"/>
    <w:rsid w:val="001B3A00"/>
    <w:rsid w:val="001B5EEA"/>
    <w:rsid w:val="001C1B41"/>
    <w:rsid w:val="001D1175"/>
    <w:rsid w:val="001D65EF"/>
    <w:rsid w:val="001D6F39"/>
    <w:rsid w:val="001D704F"/>
    <w:rsid w:val="001E31D4"/>
    <w:rsid w:val="001E49E7"/>
    <w:rsid w:val="001F271B"/>
    <w:rsid w:val="001F4849"/>
    <w:rsid w:val="001F7201"/>
    <w:rsid w:val="00204931"/>
    <w:rsid w:val="00223A29"/>
    <w:rsid w:val="002250A3"/>
    <w:rsid w:val="00231294"/>
    <w:rsid w:val="00235217"/>
    <w:rsid w:val="00237DC2"/>
    <w:rsid w:val="00246D1F"/>
    <w:rsid w:val="00247403"/>
    <w:rsid w:val="00247542"/>
    <w:rsid w:val="00266B61"/>
    <w:rsid w:val="0026712A"/>
    <w:rsid w:val="002704DB"/>
    <w:rsid w:val="002710E4"/>
    <w:rsid w:val="00277BDA"/>
    <w:rsid w:val="002836A2"/>
    <w:rsid w:val="0029575A"/>
    <w:rsid w:val="002A0AAE"/>
    <w:rsid w:val="002A5820"/>
    <w:rsid w:val="002C3350"/>
    <w:rsid w:val="002C4B1B"/>
    <w:rsid w:val="002D2B26"/>
    <w:rsid w:val="002D471C"/>
    <w:rsid w:val="002D7EA2"/>
    <w:rsid w:val="002E187C"/>
    <w:rsid w:val="002E4F6A"/>
    <w:rsid w:val="002E6A91"/>
    <w:rsid w:val="002E7512"/>
    <w:rsid w:val="00302733"/>
    <w:rsid w:val="00305C1D"/>
    <w:rsid w:val="00310C8F"/>
    <w:rsid w:val="003121D5"/>
    <w:rsid w:val="00314078"/>
    <w:rsid w:val="0031535D"/>
    <w:rsid w:val="00317DBE"/>
    <w:rsid w:val="003239B8"/>
    <w:rsid w:val="00323C1A"/>
    <w:rsid w:val="0033169F"/>
    <w:rsid w:val="0034224A"/>
    <w:rsid w:val="00343438"/>
    <w:rsid w:val="00344977"/>
    <w:rsid w:val="00346C95"/>
    <w:rsid w:val="00351155"/>
    <w:rsid w:val="003518BD"/>
    <w:rsid w:val="00352066"/>
    <w:rsid w:val="00356185"/>
    <w:rsid w:val="00360380"/>
    <w:rsid w:val="00360D1D"/>
    <w:rsid w:val="0037519E"/>
    <w:rsid w:val="00377063"/>
    <w:rsid w:val="00386C6C"/>
    <w:rsid w:val="00386CF0"/>
    <w:rsid w:val="003A6337"/>
    <w:rsid w:val="003B4FF6"/>
    <w:rsid w:val="003B70FB"/>
    <w:rsid w:val="003C4052"/>
    <w:rsid w:val="003C676B"/>
    <w:rsid w:val="003D0A55"/>
    <w:rsid w:val="003D3BC2"/>
    <w:rsid w:val="003D57B4"/>
    <w:rsid w:val="003E61B7"/>
    <w:rsid w:val="003E6CA1"/>
    <w:rsid w:val="0040421B"/>
    <w:rsid w:val="004065A8"/>
    <w:rsid w:val="00412749"/>
    <w:rsid w:val="004165C2"/>
    <w:rsid w:val="004304AD"/>
    <w:rsid w:val="0043594C"/>
    <w:rsid w:val="00441ECB"/>
    <w:rsid w:val="00445193"/>
    <w:rsid w:val="00447CCF"/>
    <w:rsid w:val="00452B47"/>
    <w:rsid w:val="004565BA"/>
    <w:rsid w:val="00462C1B"/>
    <w:rsid w:val="00467B7E"/>
    <w:rsid w:val="00473BB4"/>
    <w:rsid w:val="00477592"/>
    <w:rsid w:val="00486F1C"/>
    <w:rsid w:val="0049419D"/>
    <w:rsid w:val="004A4B11"/>
    <w:rsid w:val="004A59CC"/>
    <w:rsid w:val="004A6875"/>
    <w:rsid w:val="004A6A54"/>
    <w:rsid w:val="004B5A8D"/>
    <w:rsid w:val="004C20D2"/>
    <w:rsid w:val="004C2312"/>
    <w:rsid w:val="004C4B62"/>
    <w:rsid w:val="004C54C9"/>
    <w:rsid w:val="004C616A"/>
    <w:rsid w:val="004D4ABA"/>
    <w:rsid w:val="004D6025"/>
    <w:rsid w:val="004E19B1"/>
    <w:rsid w:val="004E2649"/>
    <w:rsid w:val="004F3567"/>
    <w:rsid w:val="004F5290"/>
    <w:rsid w:val="00501399"/>
    <w:rsid w:val="00501652"/>
    <w:rsid w:val="0050633D"/>
    <w:rsid w:val="0050790C"/>
    <w:rsid w:val="00507BC4"/>
    <w:rsid w:val="005128E4"/>
    <w:rsid w:val="00512979"/>
    <w:rsid w:val="005133DB"/>
    <w:rsid w:val="00520959"/>
    <w:rsid w:val="00525560"/>
    <w:rsid w:val="005415E6"/>
    <w:rsid w:val="00544216"/>
    <w:rsid w:val="00544C49"/>
    <w:rsid w:val="005516A1"/>
    <w:rsid w:val="00563557"/>
    <w:rsid w:val="0057402A"/>
    <w:rsid w:val="00574CB7"/>
    <w:rsid w:val="005771D0"/>
    <w:rsid w:val="00586CBA"/>
    <w:rsid w:val="0059191A"/>
    <w:rsid w:val="005921FF"/>
    <w:rsid w:val="00597D9F"/>
    <w:rsid w:val="005A24ED"/>
    <w:rsid w:val="005A6D0E"/>
    <w:rsid w:val="005A7C11"/>
    <w:rsid w:val="005B14E4"/>
    <w:rsid w:val="005B37CC"/>
    <w:rsid w:val="005B52B0"/>
    <w:rsid w:val="005B6806"/>
    <w:rsid w:val="005B6D22"/>
    <w:rsid w:val="005C261A"/>
    <w:rsid w:val="005C38C4"/>
    <w:rsid w:val="005C4225"/>
    <w:rsid w:val="005C7989"/>
    <w:rsid w:val="005D4739"/>
    <w:rsid w:val="005E0B65"/>
    <w:rsid w:val="005E11B2"/>
    <w:rsid w:val="005F0DAD"/>
    <w:rsid w:val="005F0F33"/>
    <w:rsid w:val="005F2D35"/>
    <w:rsid w:val="00600DEB"/>
    <w:rsid w:val="00606E98"/>
    <w:rsid w:val="00607300"/>
    <w:rsid w:val="00624667"/>
    <w:rsid w:val="006277DE"/>
    <w:rsid w:val="00627C9F"/>
    <w:rsid w:val="006311E9"/>
    <w:rsid w:val="00632354"/>
    <w:rsid w:val="006357C1"/>
    <w:rsid w:val="00642810"/>
    <w:rsid w:val="00647756"/>
    <w:rsid w:val="006509DA"/>
    <w:rsid w:val="00652333"/>
    <w:rsid w:val="00655B96"/>
    <w:rsid w:val="0068009E"/>
    <w:rsid w:val="006819E9"/>
    <w:rsid w:val="00681EA6"/>
    <w:rsid w:val="006852D0"/>
    <w:rsid w:val="00686471"/>
    <w:rsid w:val="00687B2B"/>
    <w:rsid w:val="00691BBE"/>
    <w:rsid w:val="00692219"/>
    <w:rsid w:val="0069376F"/>
    <w:rsid w:val="00694677"/>
    <w:rsid w:val="006A17D2"/>
    <w:rsid w:val="006A31F1"/>
    <w:rsid w:val="006A73E6"/>
    <w:rsid w:val="006B2D5C"/>
    <w:rsid w:val="006C4EB1"/>
    <w:rsid w:val="006C643A"/>
    <w:rsid w:val="006E0166"/>
    <w:rsid w:val="006E76BE"/>
    <w:rsid w:val="006E7B34"/>
    <w:rsid w:val="006F3E4F"/>
    <w:rsid w:val="006F582C"/>
    <w:rsid w:val="007056AB"/>
    <w:rsid w:val="0070697F"/>
    <w:rsid w:val="007070B4"/>
    <w:rsid w:val="00720FBC"/>
    <w:rsid w:val="0072199C"/>
    <w:rsid w:val="00722C9F"/>
    <w:rsid w:val="007253B8"/>
    <w:rsid w:val="0073598C"/>
    <w:rsid w:val="007372D9"/>
    <w:rsid w:val="0073741F"/>
    <w:rsid w:val="00747514"/>
    <w:rsid w:val="00760AD1"/>
    <w:rsid w:val="0076643F"/>
    <w:rsid w:val="0077330B"/>
    <w:rsid w:val="007735AE"/>
    <w:rsid w:val="00777F63"/>
    <w:rsid w:val="007848F7"/>
    <w:rsid w:val="007852B5"/>
    <w:rsid w:val="00792EB3"/>
    <w:rsid w:val="007A25A6"/>
    <w:rsid w:val="007A5817"/>
    <w:rsid w:val="007B05C4"/>
    <w:rsid w:val="007B60E9"/>
    <w:rsid w:val="007B6CC3"/>
    <w:rsid w:val="007C3334"/>
    <w:rsid w:val="007C402A"/>
    <w:rsid w:val="007D2472"/>
    <w:rsid w:val="007D2B98"/>
    <w:rsid w:val="007D3CA2"/>
    <w:rsid w:val="007D63C9"/>
    <w:rsid w:val="007D6FAD"/>
    <w:rsid w:val="007D7C02"/>
    <w:rsid w:val="007E21BC"/>
    <w:rsid w:val="007E58FE"/>
    <w:rsid w:val="007E7C82"/>
    <w:rsid w:val="007F588D"/>
    <w:rsid w:val="007F7401"/>
    <w:rsid w:val="00802748"/>
    <w:rsid w:val="00803F1C"/>
    <w:rsid w:val="0080600E"/>
    <w:rsid w:val="00817612"/>
    <w:rsid w:val="00830A12"/>
    <w:rsid w:val="008338A4"/>
    <w:rsid w:val="00834D49"/>
    <w:rsid w:val="00837C45"/>
    <w:rsid w:val="008411F0"/>
    <w:rsid w:val="00844730"/>
    <w:rsid w:val="008457C2"/>
    <w:rsid w:val="00857A82"/>
    <w:rsid w:val="00867E57"/>
    <w:rsid w:val="00871526"/>
    <w:rsid w:val="00873836"/>
    <w:rsid w:val="00885737"/>
    <w:rsid w:val="00890650"/>
    <w:rsid w:val="00895A2A"/>
    <w:rsid w:val="00897E12"/>
    <w:rsid w:val="008A0EFC"/>
    <w:rsid w:val="008A0F81"/>
    <w:rsid w:val="008A7E0F"/>
    <w:rsid w:val="008B12F5"/>
    <w:rsid w:val="008B1AD6"/>
    <w:rsid w:val="008B5932"/>
    <w:rsid w:val="008B75AA"/>
    <w:rsid w:val="008C5751"/>
    <w:rsid w:val="008D768D"/>
    <w:rsid w:val="008E328A"/>
    <w:rsid w:val="008E3759"/>
    <w:rsid w:val="008E3BFE"/>
    <w:rsid w:val="008E7900"/>
    <w:rsid w:val="008F1912"/>
    <w:rsid w:val="0090270B"/>
    <w:rsid w:val="009041DC"/>
    <w:rsid w:val="00911BDC"/>
    <w:rsid w:val="00917B5A"/>
    <w:rsid w:val="00920A58"/>
    <w:rsid w:val="00920A8C"/>
    <w:rsid w:val="00934A2C"/>
    <w:rsid w:val="00935F06"/>
    <w:rsid w:val="00937B3A"/>
    <w:rsid w:val="00954B82"/>
    <w:rsid w:val="00962436"/>
    <w:rsid w:val="0096706E"/>
    <w:rsid w:val="00974491"/>
    <w:rsid w:val="00975C4E"/>
    <w:rsid w:val="00981FBA"/>
    <w:rsid w:val="00984A34"/>
    <w:rsid w:val="009859B4"/>
    <w:rsid w:val="0099668D"/>
    <w:rsid w:val="00997BC5"/>
    <w:rsid w:val="009A4F41"/>
    <w:rsid w:val="009B381B"/>
    <w:rsid w:val="009C2DF9"/>
    <w:rsid w:val="009C2FC5"/>
    <w:rsid w:val="009D1753"/>
    <w:rsid w:val="009D5514"/>
    <w:rsid w:val="009D6502"/>
    <w:rsid w:val="009D7611"/>
    <w:rsid w:val="009D78A5"/>
    <w:rsid w:val="009E0B61"/>
    <w:rsid w:val="009E53DE"/>
    <w:rsid w:val="009E7C00"/>
    <w:rsid w:val="009F4593"/>
    <w:rsid w:val="00A0691C"/>
    <w:rsid w:val="00A07A4D"/>
    <w:rsid w:val="00A11E44"/>
    <w:rsid w:val="00A22397"/>
    <w:rsid w:val="00A27616"/>
    <w:rsid w:val="00A31CB7"/>
    <w:rsid w:val="00A328B3"/>
    <w:rsid w:val="00A42CFB"/>
    <w:rsid w:val="00A50F99"/>
    <w:rsid w:val="00A50FCF"/>
    <w:rsid w:val="00A528D1"/>
    <w:rsid w:val="00A610CD"/>
    <w:rsid w:val="00A625E0"/>
    <w:rsid w:val="00A74947"/>
    <w:rsid w:val="00A74C09"/>
    <w:rsid w:val="00A758AA"/>
    <w:rsid w:val="00A85CF6"/>
    <w:rsid w:val="00A903F7"/>
    <w:rsid w:val="00AA09A2"/>
    <w:rsid w:val="00AA1177"/>
    <w:rsid w:val="00AA7996"/>
    <w:rsid w:val="00AC19CB"/>
    <w:rsid w:val="00AD1886"/>
    <w:rsid w:val="00AE2779"/>
    <w:rsid w:val="00AE5488"/>
    <w:rsid w:val="00AE6F91"/>
    <w:rsid w:val="00AF5571"/>
    <w:rsid w:val="00B06B4E"/>
    <w:rsid w:val="00B072F7"/>
    <w:rsid w:val="00B07341"/>
    <w:rsid w:val="00B14E8C"/>
    <w:rsid w:val="00B202B5"/>
    <w:rsid w:val="00B22CD0"/>
    <w:rsid w:val="00B30539"/>
    <w:rsid w:val="00B314DB"/>
    <w:rsid w:val="00B34793"/>
    <w:rsid w:val="00B361F2"/>
    <w:rsid w:val="00B3718B"/>
    <w:rsid w:val="00B42F31"/>
    <w:rsid w:val="00B43B75"/>
    <w:rsid w:val="00B4632A"/>
    <w:rsid w:val="00B47769"/>
    <w:rsid w:val="00B5067D"/>
    <w:rsid w:val="00B530F1"/>
    <w:rsid w:val="00B736AF"/>
    <w:rsid w:val="00B97946"/>
    <w:rsid w:val="00BA276C"/>
    <w:rsid w:val="00BA5544"/>
    <w:rsid w:val="00BB306F"/>
    <w:rsid w:val="00BB31CF"/>
    <w:rsid w:val="00BB3FBD"/>
    <w:rsid w:val="00BC44C7"/>
    <w:rsid w:val="00BC6CD0"/>
    <w:rsid w:val="00BD4B89"/>
    <w:rsid w:val="00BD5922"/>
    <w:rsid w:val="00BD66DC"/>
    <w:rsid w:val="00BD76D9"/>
    <w:rsid w:val="00BE2813"/>
    <w:rsid w:val="00BE7F46"/>
    <w:rsid w:val="00BF02CB"/>
    <w:rsid w:val="00BF514A"/>
    <w:rsid w:val="00BF6FD8"/>
    <w:rsid w:val="00BF775D"/>
    <w:rsid w:val="00C03680"/>
    <w:rsid w:val="00C054DF"/>
    <w:rsid w:val="00C10AFC"/>
    <w:rsid w:val="00C21562"/>
    <w:rsid w:val="00C21762"/>
    <w:rsid w:val="00C21FEF"/>
    <w:rsid w:val="00C24543"/>
    <w:rsid w:val="00C256A2"/>
    <w:rsid w:val="00C336BE"/>
    <w:rsid w:val="00C35A26"/>
    <w:rsid w:val="00C36087"/>
    <w:rsid w:val="00C51515"/>
    <w:rsid w:val="00C53143"/>
    <w:rsid w:val="00C53910"/>
    <w:rsid w:val="00C5660B"/>
    <w:rsid w:val="00C56854"/>
    <w:rsid w:val="00C5788A"/>
    <w:rsid w:val="00C66B72"/>
    <w:rsid w:val="00C67362"/>
    <w:rsid w:val="00C7343D"/>
    <w:rsid w:val="00C7592D"/>
    <w:rsid w:val="00C82833"/>
    <w:rsid w:val="00C87AC4"/>
    <w:rsid w:val="00C94A3E"/>
    <w:rsid w:val="00C9567A"/>
    <w:rsid w:val="00C96A3F"/>
    <w:rsid w:val="00CA48A3"/>
    <w:rsid w:val="00CA567F"/>
    <w:rsid w:val="00CB10A0"/>
    <w:rsid w:val="00CB212D"/>
    <w:rsid w:val="00CB2660"/>
    <w:rsid w:val="00CC5E90"/>
    <w:rsid w:val="00CD046C"/>
    <w:rsid w:val="00CE076C"/>
    <w:rsid w:val="00CE5199"/>
    <w:rsid w:val="00CE5E70"/>
    <w:rsid w:val="00CE66D5"/>
    <w:rsid w:val="00CE7D0A"/>
    <w:rsid w:val="00CF3344"/>
    <w:rsid w:val="00CF637A"/>
    <w:rsid w:val="00CF770F"/>
    <w:rsid w:val="00D059DE"/>
    <w:rsid w:val="00D05ABD"/>
    <w:rsid w:val="00D13FCE"/>
    <w:rsid w:val="00D24BA8"/>
    <w:rsid w:val="00D306D1"/>
    <w:rsid w:val="00D30800"/>
    <w:rsid w:val="00D34786"/>
    <w:rsid w:val="00D37BFC"/>
    <w:rsid w:val="00D42822"/>
    <w:rsid w:val="00D47A8E"/>
    <w:rsid w:val="00D51C70"/>
    <w:rsid w:val="00D52D14"/>
    <w:rsid w:val="00D55256"/>
    <w:rsid w:val="00D712D3"/>
    <w:rsid w:val="00D71422"/>
    <w:rsid w:val="00D72DC6"/>
    <w:rsid w:val="00D73F5E"/>
    <w:rsid w:val="00D7558D"/>
    <w:rsid w:val="00D77503"/>
    <w:rsid w:val="00D81D92"/>
    <w:rsid w:val="00D821AC"/>
    <w:rsid w:val="00D8460B"/>
    <w:rsid w:val="00D84E35"/>
    <w:rsid w:val="00D876F9"/>
    <w:rsid w:val="00D877B6"/>
    <w:rsid w:val="00DA64E3"/>
    <w:rsid w:val="00DA7B5F"/>
    <w:rsid w:val="00DC11E7"/>
    <w:rsid w:val="00DC7023"/>
    <w:rsid w:val="00DC769A"/>
    <w:rsid w:val="00DD3D86"/>
    <w:rsid w:val="00DE12F0"/>
    <w:rsid w:val="00DF1EC4"/>
    <w:rsid w:val="00E01943"/>
    <w:rsid w:val="00E0340B"/>
    <w:rsid w:val="00E04A90"/>
    <w:rsid w:val="00E0551F"/>
    <w:rsid w:val="00E0682E"/>
    <w:rsid w:val="00E1693D"/>
    <w:rsid w:val="00E219C7"/>
    <w:rsid w:val="00E21B39"/>
    <w:rsid w:val="00E26CCA"/>
    <w:rsid w:val="00E4118C"/>
    <w:rsid w:val="00E43157"/>
    <w:rsid w:val="00E461CE"/>
    <w:rsid w:val="00E562D2"/>
    <w:rsid w:val="00E71518"/>
    <w:rsid w:val="00E720CA"/>
    <w:rsid w:val="00E772A3"/>
    <w:rsid w:val="00E77D8C"/>
    <w:rsid w:val="00E84AD9"/>
    <w:rsid w:val="00E84EB5"/>
    <w:rsid w:val="00E85662"/>
    <w:rsid w:val="00E8789F"/>
    <w:rsid w:val="00E93F06"/>
    <w:rsid w:val="00E97B71"/>
    <w:rsid w:val="00EA3D34"/>
    <w:rsid w:val="00EB454D"/>
    <w:rsid w:val="00EC72AB"/>
    <w:rsid w:val="00ED2F03"/>
    <w:rsid w:val="00ED549D"/>
    <w:rsid w:val="00ED76BE"/>
    <w:rsid w:val="00ED7F05"/>
    <w:rsid w:val="00EE00E9"/>
    <w:rsid w:val="00EE014D"/>
    <w:rsid w:val="00EE5383"/>
    <w:rsid w:val="00EF35AB"/>
    <w:rsid w:val="00EF39AD"/>
    <w:rsid w:val="00EF4C44"/>
    <w:rsid w:val="00EF51F4"/>
    <w:rsid w:val="00EF5535"/>
    <w:rsid w:val="00EF619B"/>
    <w:rsid w:val="00EF77CE"/>
    <w:rsid w:val="00F00B55"/>
    <w:rsid w:val="00F019C5"/>
    <w:rsid w:val="00F02AD1"/>
    <w:rsid w:val="00F04591"/>
    <w:rsid w:val="00F06354"/>
    <w:rsid w:val="00F13DD1"/>
    <w:rsid w:val="00F20FDA"/>
    <w:rsid w:val="00F253CC"/>
    <w:rsid w:val="00F332EF"/>
    <w:rsid w:val="00F37106"/>
    <w:rsid w:val="00F41A6E"/>
    <w:rsid w:val="00F519CF"/>
    <w:rsid w:val="00F56BA5"/>
    <w:rsid w:val="00F60E22"/>
    <w:rsid w:val="00F63B39"/>
    <w:rsid w:val="00F80C1A"/>
    <w:rsid w:val="00F81395"/>
    <w:rsid w:val="00F81887"/>
    <w:rsid w:val="00F81BB8"/>
    <w:rsid w:val="00F862A1"/>
    <w:rsid w:val="00F917D1"/>
    <w:rsid w:val="00F9342C"/>
    <w:rsid w:val="00F947EA"/>
    <w:rsid w:val="00F9653B"/>
    <w:rsid w:val="00FA1DC1"/>
    <w:rsid w:val="00FA3C57"/>
    <w:rsid w:val="00FA56EA"/>
    <w:rsid w:val="00FB62CF"/>
    <w:rsid w:val="00FC0F4A"/>
    <w:rsid w:val="00FC3330"/>
    <w:rsid w:val="00FC50FE"/>
    <w:rsid w:val="00FD3C3B"/>
    <w:rsid w:val="00FD42E7"/>
    <w:rsid w:val="00FE07DD"/>
    <w:rsid w:val="00FE6B45"/>
    <w:rsid w:val="00FF350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87B2B"/>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741484805">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83D45"/>
    <w:rsid w:val="000C2FC9"/>
    <w:rsid w:val="00183B6F"/>
    <w:rsid w:val="00200821"/>
    <w:rsid w:val="0026168E"/>
    <w:rsid w:val="0030679E"/>
    <w:rsid w:val="00394049"/>
    <w:rsid w:val="004E636C"/>
    <w:rsid w:val="004F2DF8"/>
    <w:rsid w:val="0060533A"/>
    <w:rsid w:val="006732AF"/>
    <w:rsid w:val="006D04F8"/>
    <w:rsid w:val="006E2B51"/>
    <w:rsid w:val="00771849"/>
    <w:rsid w:val="007B2E28"/>
    <w:rsid w:val="00942213"/>
    <w:rsid w:val="0097453C"/>
    <w:rsid w:val="00996AE3"/>
    <w:rsid w:val="009A261B"/>
    <w:rsid w:val="00A024D3"/>
    <w:rsid w:val="00A25ACF"/>
    <w:rsid w:val="00AC15A4"/>
    <w:rsid w:val="00B0336C"/>
    <w:rsid w:val="00C11833"/>
    <w:rsid w:val="00C56634"/>
    <w:rsid w:val="00C868F9"/>
    <w:rsid w:val="00D46351"/>
    <w:rsid w:val="00E77140"/>
    <w:rsid w:val="00E907ED"/>
    <w:rsid w:val="00EC5ECB"/>
    <w:rsid w:val="00F00D2F"/>
    <w:rsid w:val="00F128DF"/>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E100B-F06C-437A-B679-33C6D8E7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3546</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36/21</dc:title>
  <dc:creator/>
  <cp:lastModifiedBy/>
  <cp:revision>1</cp:revision>
  <dcterms:created xsi:type="dcterms:W3CDTF">2021-04-12T19:49:00Z</dcterms:created>
  <dcterms:modified xsi:type="dcterms:W3CDTF">2021-04-12T19:50:00Z</dcterms:modified>
</cp:coreProperties>
</file>