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C0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BEB5AE" wp14:editId="514C89E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4B3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5478BC" wp14:editId="43A86EC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D37E5" w14:textId="77777777" w:rsidR="00CB2660" w:rsidRDefault="00AE5488" w:rsidP="00AE5488">
                            <w:r>
                              <w:rPr>
                                <w:noProof/>
                              </w:rPr>
                              <w:drawing>
                                <wp:inline distT="0" distB="0" distL="0" distR="0" wp14:anchorId="7778A4F1" wp14:editId="6A5CA87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478B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62D37E5" w14:textId="77777777" w:rsidR="00CB2660" w:rsidRDefault="00AE5488" w:rsidP="00AE5488">
                      <w:r>
                        <w:rPr>
                          <w:noProof/>
                        </w:rPr>
                        <w:drawing>
                          <wp:inline distT="0" distB="0" distL="0" distR="0" wp14:anchorId="7778A4F1" wp14:editId="6A5CA87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1E8C4BE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7488C8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542CB1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E75FAD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F25AB0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31F14F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A74375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77D2A1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7C410C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C3FE5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500AF2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4C9F2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48233F8"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FAEC820" wp14:editId="5F4030D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882FD" w14:textId="2144560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31F2">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13E5FDAD" w14:textId="7455E48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4990">
                              <w:rPr>
                                <w:rFonts w:asciiTheme="majorHAnsi" w:hAnsiTheme="majorHAnsi" w:cs="Arial"/>
                                <w:b/>
                                <w:color w:val="0D0D0D" w:themeColor="text1" w:themeTint="F2"/>
                                <w:sz w:val="36"/>
                                <w:szCs w:val="22"/>
                                <w:lang w:val="es-ES_tradnl"/>
                              </w:rPr>
                              <w:t>45</w:t>
                            </w:r>
                            <w:r w:rsidR="007D51FC">
                              <w:rPr>
                                <w:rFonts w:asciiTheme="majorHAnsi" w:hAnsiTheme="majorHAnsi" w:cs="Arial"/>
                                <w:b/>
                                <w:color w:val="0D0D0D" w:themeColor="text1" w:themeTint="F2"/>
                                <w:sz w:val="36"/>
                                <w:szCs w:val="22"/>
                                <w:lang w:val="es-ES_tradnl"/>
                              </w:rPr>
                              <w:t>7-1</w:t>
                            </w:r>
                            <w:r w:rsidR="000F4990">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941A08C" w14:textId="411A5E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5B91EB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9DCE027" w14:textId="118E99B7" w:rsidR="005B52B0" w:rsidRPr="002C2DCB" w:rsidRDefault="000F4990"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GEMMA MÁVIL HERNÁNDEZ Y FAMILIA</w:t>
                            </w:r>
                            <w:r w:rsidR="00AB2373">
                              <w:rPr>
                                <w:rFonts w:asciiTheme="majorHAnsi" w:hAnsiTheme="majorHAnsi" w:cs="Arial"/>
                                <w:color w:val="0D0D0D" w:themeColor="text1" w:themeTint="F2"/>
                                <w:sz w:val="28"/>
                                <w:szCs w:val="28"/>
                                <w:lang w:val="es-ES_tradnl"/>
                              </w:rPr>
                              <w:t>RES</w:t>
                            </w:r>
                          </w:p>
                          <w:bookmarkEnd w:id="0"/>
                          <w:p w14:paraId="1FBA9CDA" w14:textId="58121960" w:rsidR="005B52B0" w:rsidRPr="00AE5488" w:rsidRDefault="000F4990" w:rsidP="007A5817">
                            <w:pPr>
                              <w:rPr>
                                <w:color w:val="0D0D0D" w:themeColor="text1" w:themeTint="F2"/>
                                <w:lang w:val="es-ES_tradnl"/>
                              </w:rPr>
                            </w:pPr>
                            <w:r>
                              <w:rPr>
                                <w:rFonts w:asciiTheme="majorHAnsi" w:hAnsiTheme="majorHAnsi" w:cs="Arial"/>
                                <w:color w:val="0D0D0D" w:themeColor="text1" w:themeTint="F2"/>
                                <w:sz w:val="28"/>
                                <w:szCs w:val="28"/>
                                <w:lang w:val="es-ES_tradnl"/>
                              </w:rPr>
                              <w:t>M</w:t>
                            </w:r>
                            <w:r w:rsidR="00F8346A">
                              <w:rPr>
                                <w:rFonts w:asciiTheme="majorHAnsi" w:hAnsiTheme="majorHAnsi" w:cs="Arial"/>
                                <w:color w:val="0D0D0D" w:themeColor="text1" w:themeTint="F2"/>
                                <w:sz w:val="28"/>
                                <w:szCs w:val="28"/>
                                <w:lang w:val="es-ES_tradnl"/>
                              </w:rPr>
                              <w:t>É</w:t>
                            </w:r>
                            <w:r>
                              <w:rPr>
                                <w:rFonts w:asciiTheme="majorHAnsi" w:hAnsiTheme="majorHAnsi" w:cs="Arial"/>
                                <w:color w:val="0D0D0D" w:themeColor="text1" w:themeTint="F2"/>
                                <w:sz w:val="28"/>
                                <w:szCs w:val="28"/>
                                <w:lang w:val="es-ES_tradnl"/>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EC820"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69882FD" w14:textId="2144560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31F2">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13E5FDAD" w14:textId="7455E48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4990">
                        <w:rPr>
                          <w:rFonts w:asciiTheme="majorHAnsi" w:hAnsiTheme="majorHAnsi" w:cs="Arial"/>
                          <w:b/>
                          <w:color w:val="0D0D0D" w:themeColor="text1" w:themeTint="F2"/>
                          <w:sz w:val="36"/>
                          <w:szCs w:val="22"/>
                          <w:lang w:val="es-ES_tradnl"/>
                        </w:rPr>
                        <w:t>45</w:t>
                      </w:r>
                      <w:r w:rsidR="007D51FC">
                        <w:rPr>
                          <w:rFonts w:asciiTheme="majorHAnsi" w:hAnsiTheme="majorHAnsi" w:cs="Arial"/>
                          <w:b/>
                          <w:color w:val="0D0D0D" w:themeColor="text1" w:themeTint="F2"/>
                          <w:sz w:val="36"/>
                          <w:szCs w:val="22"/>
                          <w:lang w:val="es-ES_tradnl"/>
                        </w:rPr>
                        <w:t>7-1</w:t>
                      </w:r>
                      <w:r w:rsidR="000F4990">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941A08C" w14:textId="411A5E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5B91EB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9DCE027" w14:textId="118E99B7" w:rsidR="005B52B0" w:rsidRPr="002C2DCB" w:rsidRDefault="000F4990"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GEMMA MÁVIL HERNÁNDEZ Y FAMILIA</w:t>
                      </w:r>
                      <w:r w:rsidR="00AB2373">
                        <w:rPr>
                          <w:rFonts w:asciiTheme="majorHAnsi" w:hAnsiTheme="majorHAnsi" w:cs="Arial"/>
                          <w:color w:val="0D0D0D" w:themeColor="text1" w:themeTint="F2"/>
                          <w:sz w:val="28"/>
                          <w:szCs w:val="28"/>
                          <w:lang w:val="es-ES_tradnl"/>
                        </w:rPr>
                        <w:t>RES</w:t>
                      </w:r>
                    </w:p>
                    <w:bookmarkEnd w:id="1"/>
                    <w:p w14:paraId="1FBA9CDA" w14:textId="58121960" w:rsidR="005B52B0" w:rsidRPr="00AE5488" w:rsidRDefault="000F4990" w:rsidP="007A5817">
                      <w:pPr>
                        <w:rPr>
                          <w:color w:val="0D0D0D" w:themeColor="text1" w:themeTint="F2"/>
                          <w:lang w:val="es-ES_tradnl"/>
                        </w:rPr>
                      </w:pPr>
                      <w:r>
                        <w:rPr>
                          <w:rFonts w:asciiTheme="majorHAnsi" w:hAnsiTheme="majorHAnsi" w:cs="Arial"/>
                          <w:color w:val="0D0D0D" w:themeColor="text1" w:themeTint="F2"/>
                          <w:sz w:val="28"/>
                          <w:szCs w:val="28"/>
                          <w:lang w:val="es-ES_tradnl"/>
                        </w:rPr>
                        <w:t>M</w:t>
                      </w:r>
                      <w:r w:rsidR="00F8346A">
                        <w:rPr>
                          <w:rFonts w:asciiTheme="majorHAnsi" w:hAnsiTheme="majorHAnsi" w:cs="Arial"/>
                          <w:color w:val="0D0D0D" w:themeColor="text1" w:themeTint="F2"/>
                          <w:sz w:val="28"/>
                          <w:szCs w:val="28"/>
                          <w:lang w:val="es-ES_tradnl"/>
                        </w:rPr>
                        <w:t>É</w:t>
                      </w:r>
                      <w:r>
                        <w:rPr>
                          <w:rFonts w:asciiTheme="majorHAnsi" w:hAnsiTheme="majorHAnsi" w:cs="Arial"/>
                          <w:color w:val="0D0D0D" w:themeColor="text1" w:themeTint="F2"/>
                          <w:sz w:val="28"/>
                          <w:szCs w:val="28"/>
                          <w:lang w:val="es-ES_tradnl"/>
                        </w:rPr>
                        <w:t>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C9E914E" wp14:editId="2A39381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F711A" w14:textId="31F483B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D72DE44" w14:textId="0E065561" w:rsidR="00627C9F" w:rsidRPr="004331F2" w:rsidRDefault="00627C9F" w:rsidP="007A5817">
                            <w:pPr>
                              <w:spacing w:line="276" w:lineRule="auto"/>
                              <w:jc w:val="right"/>
                              <w:rPr>
                                <w:rFonts w:asciiTheme="minorHAnsi" w:hAnsiTheme="minorHAnsi"/>
                                <w:color w:val="FFFFFF" w:themeColor="background1"/>
                                <w:sz w:val="22"/>
                                <w:lang w:val="es-419"/>
                              </w:rPr>
                            </w:pPr>
                            <w:r w:rsidRPr="004331F2">
                              <w:rPr>
                                <w:rFonts w:asciiTheme="minorHAnsi" w:hAnsiTheme="minorHAnsi"/>
                                <w:color w:val="FFFFFF" w:themeColor="background1"/>
                                <w:sz w:val="22"/>
                                <w:lang w:val="es-419"/>
                              </w:rPr>
                              <w:t xml:space="preserve">Doc. </w:t>
                            </w:r>
                            <w:r w:rsidR="004331F2">
                              <w:rPr>
                                <w:rFonts w:asciiTheme="minorHAnsi" w:hAnsiTheme="minorHAnsi"/>
                                <w:color w:val="FFFFFF" w:themeColor="background1"/>
                                <w:sz w:val="22"/>
                                <w:lang w:val="es-419"/>
                              </w:rPr>
                              <w:t>196</w:t>
                            </w:r>
                          </w:p>
                          <w:p w14:paraId="4AC5BF27" w14:textId="4C508126" w:rsidR="00627C9F" w:rsidRPr="00C25ADB" w:rsidRDefault="004331F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agosto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F431CF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914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A0F711A" w14:textId="31F483B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D72DE44" w14:textId="0E065561" w:rsidR="00627C9F" w:rsidRPr="004331F2" w:rsidRDefault="00627C9F" w:rsidP="007A5817">
                      <w:pPr>
                        <w:spacing w:line="276" w:lineRule="auto"/>
                        <w:jc w:val="right"/>
                        <w:rPr>
                          <w:rFonts w:asciiTheme="minorHAnsi" w:hAnsiTheme="minorHAnsi"/>
                          <w:color w:val="FFFFFF" w:themeColor="background1"/>
                          <w:sz w:val="22"/>
                          <w:lang w:val="es-419"/>
                        </w:rPr>
                      </w:pPr>
                      <w:r w:rsidRPr="004331F2">
                        <w:rPr>
                          <w:rFonts w:asciiTheme="minorHAnsi" w:hAnsiTheme="minorHAnsi"/>
                          <w:color w:val="FFFFFF" w:themeColor="background1"/>
                          <w:sz w:val="22"/>
                          <w:lang w:val="es-419"/>
                        </w:rPr>
                        <w:t xml:space="preserve">Doc. </w:t>
                      </w:r>
                      <w:r w:rsidR="004331F2">
                        <w:rPr>
                          <w:rFonts w:asciiTheme="minorHAnsi" w:hAnsiTheme="minorHAnsi"/>
                          <w:color w:val="FFFFFF" w:themeColor="background1"/>
                          <w:sz w:val="22"/>
                          <w:lang w:val="es-419"/>
                        </w:rPr>
                        <w:t>196</w:t>
                      </w:r>
                    </w:p>
                    <w:p w14:paraId="4AC5BF27" w14:textId="4C508126" w:rsidR="00627C9F" w:rsidRPr="00C25ADB" w:rsidRDefault="004331F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agosto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F431CF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2108FA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63DC5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0924A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3CF7E0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235D5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C18BC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11D41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9287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F41964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2ED4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9A46AA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9C0BD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47E1C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5194B7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6703D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F5AAE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AA3C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E3D4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51D80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D9D4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AD5BF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AE3D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8B22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EAE4AC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7726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12D29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2704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DE6EA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B535D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290977" wp14:editId="715D0EE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56A36" w14:textId="0A2412D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331F2">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4331F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B0DD5">
                              <w:rPr>
                                <w:rFonts w:asciiTheme="majorHAnsi" w:hAnsiTheme="majorHAnsi"/>
                                <w:color w:val="0D0D0D" w:themeColor="text1" w:themeTint="F2"/>
                                <w:sz w:val="18"/>
                                <w:szCs w:val="22"/>
                                <w:lang w:val="es-ES"/>
                              </w:rPr>
                              <w:t>1</w:t>
                            </w:r>
                            <w:r w:rsidR="00A307F9">
                              <w:rPr>
                                <w:rFonts w:asciiTheme="majorHAnsi" w:hAnsiTheme="majorHAnsi"/>
                                <w:color w:val="0D0D0D" w:themeColor="text1" w:themeTint="F2"/>
                                <w:sz w:val="18"/>
                                <w:szCs w:val="22"/>
                                <w:lang w:val="es-ES"/>
                              </w:rPr>
                              <w:t>.</w:t>
                            </w:r>
                          </w:p>
                          <w:p w14:paraId="3368505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3DDFDD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097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1256A36" w14:textId="0A2412D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331F2">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4331F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B0DD5">
                        <w:rPr>
                          <w:rFonts w:asciiTheme="majorHAnsi" w:hAnsiTheme="majorHAnsi"/>
                          <w:color w:val="0D0D0D" w:themeColor="text1" w:themeTint="F2"/>
                          <w:sz w:val="18"/>
                          <w:szCs w:val="22"/>
                          <w:lang w:val="es-ES"/>
                        </w:rPr>
                        <w:t>1</w:t>
                      </w:r>
                      <w:r w:rsidR="00A307F9">
                        <w:rPr>
                          <w:rFonts w:asciiTheme="majorHAnsi" w:hAnsiTheme="majorHAnsi"/>
                          <w:color w:val="0D0D0D" w:themeColor="text1" w:themeTint="F2"/>
                          <w:sz w:val="18"/>
                          <w:szCs w:val="22"/>
                          <w:lang w:val="es-ES"/>
                        </w:rPr>
                        <w:t>.</w:t>
                      </w:r>
                    </w:p>
                    <w:p w14:paraId="3368505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3DDFDD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8E094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AB40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9851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6ED1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676D5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A1139FD" wp14:editId="21EA6DD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AF5CB" w14:textId="54BD80B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31F2" w:rsidRPr="004331F2">
                              <w:rPr>
                                <w:rFonts w:asciiTheme="majorHAnsi" w:hAnsiTheme="majorHAnsi"/>
                                <w:color w:val="595959" w:themeColor="text1" w:themeTint="A6"/>
                                <w:sz w:val="18"/>
                                <w:szCs w:val="18"/>
                                <w:lang w:val="pt-BR"/>
                              </w:rPr>
                              <w:t>187/21</w:t>
                            </w:r>
                            <w:r w:rsidRPr="004331F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C18EB">
                              <w:rPr>
                                <w:rFonts w:asciiTheme="majorHAnsi" w:hAnsiTheme="majorHAnsi"/>
                                <w:color w:val="595959" w:themeColor="text1" w:themeTint="A6"/>
                                <w:sz w:val="18"/>
                                <w:szCs w:val="18"/>
                                <w:lang w:val="es-ES"/>
                              </w:rPr>
                              <w:t>457</w:t>
                            </w:r>
                            <w:r w:rsidR="00785EF3">
                              <w:rPr>
                                <w:rFonts w:asciiTheme="majorHAnsi" w:hAnsiTheme="majorHAnsi"/>
                                <w:color w:val="595959" w:themeColor="text1" w:themeTint="A6"/>
                                <w:sz w:val="18"/>
                                <w:szCs w:val="18"/>
                                <w:lang w:val="es-ES"/>
                              </w:rPr>
                              <w:t>-1</w:t>
                            </w:r>
                            <w:r w:rsidR="00AC18EB">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C18EB">
                              <w:rPr>
                                <w:rFonts w:asciiTheme="majorHAnsi" w:hAnsiTheme="majorHAnsi"/>
                                <w:color w:val="595959" w:themeColor="text1" w:themeTint="A6"/>
                                <w:sz w:val="18"/>
                                <w:szCs w:val="18"/>
                                <w:lang w:val="es-ES_tradnl"/>
                              </w:rPr>
                              <w:t xml:space="preserve">Gemma </w:t>
                            </w:r>
                            <w:proofErr w:type="spellStart"/>
                            <w:r w:rsidR="00AC18EB">
                              <w:rPr>
                                <w:rFonts w:asciiTheme="majorHAnsi" w:hAnsiTheme="majorHAnsi"/>
                                <w:color w:val="595959" w:themeColor="text1" w:themeTint="A6"/>
                                <w:sz w:val="18"/>
                                <w:szCs w:val="18"/>
                                <w:lang w:val="es-ES_tradnl"/>
                              </w:rPr>
                              <w:t>Mávil</w:t>
                            </w:r>
                            <w:proofErr w:type="spellEnd"/>
                            <w:r w:rsidR="00AC18EB">
                              <w:rPr>
                                <w:rFonts w:asciiTheme="majorHAnsi" w:hAnsiTheme="majorHAnsi"/>
                                <w:color w:val="595959" w:themeColor="text1" w:themeTint="A6"/>
                                <w:sz w:val="18"/>
                                <w:szCs w:val="18"/>
                                <w:lang w:val="es-ES_tradnl"/>
                              </w:rPr>
                              <w:t xml:space="preserve"> Hernández</w:t>
                            </w:r>
                            <w:r w:rsidR="00F03702">
                              <w:rPr>
                                <w:rFonts w:asciiTheme="majorHAnsi" w:hAnsiTheme="majorHAnsi"/>
                                <w:color w:val="595959" w:themeColor="text1" w:themeTint="A6"/>
                                <w:sz w:val="18"/>
                                <w:szCs w:val="18"/>
                                <w:lang w:val="es-ES_tradnl"/>
                              </w:rPr>
                              <w:t xml:space="preserve"> y familia</w:t>
                            </w:r>
                            <w:r w:rsidR="00AB2373">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4331F2">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4331F2">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139F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0AF5CB" w14:textId="54BD80B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31F2" w:rsidRPr="004331F2">
                        <w:rPr>
                          <w:rFonts w:asciiTheme="majorHAnsi" w:hAnsiTheme="majorHAnsi"/>
                          <w:color w:val="595959" w:themeColor="text1" w:themeTint="A6"/>
                          <w:sz w:val="18"/>
                          <w:szCs w:val="18"/>
                          <w:lang w:val="pt-BR"/>
                        </w:rPr>
                        <w:t>187/21</w:t>
                      </w:r>
                      <w:r w:rsidRPr="004331F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C18EB">
                        <w:rPr>
                          <w:rFonts w:asciiTheme="majorHAnsi" w:hAnsiTheme="majorHAnsi"/>
                          <w:color w:val="595959" w:themeColor="text1" w:themeTint="A6"/>
                          <w:sz w:val="18"/>
                          <w:szCs w:val="18"/>
                          <w:lang w:val="es-ES"/>
                        </w:rPr>
                        <w:t>457</w:t>
                      </w:r>
                      <w:r w:rsidR="00785EF3">
                        <w:rPr>
                          <w:rFonts w:asciiTheme="majorHAnsi" w:hAnsiTheme="majorHAnsi"/>
                          <w:color w:val="595959" w:themeColor="text1" w:themeTint="A6"/>
                          <w:sz w:val="18"/>
                          <w:szCs w:val="18"/>
                          <w:lang w:val="es-ES"/>
                        </w:rPr>
                        <w:t>-1</w:t>
                      </w:r>
                      <w:r w:rsidR="00AC18EB">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C18EB">
                        <w:rPr>
                          <w:rFonts w:asciiTheme="majorHAnsi" w:hAnsiTheme="majorHAnsi"/>
                          <w:color w:val="595959" w:themeColor="text1" w:themeTint="A6"/>
                          <w:sz w:val="18"/>
                          <w:szCs w:val="18"/>
                          <w:lang w:val="es-ES_tradnl"/>
                        </w:rPr>
                        <w:t xml:space="preserve">Gemma </w:t>
                      </w:r>
                      <w:proofErr w:type="spellStart"/>
                      <w:r w:rsidR="00AC18EB">
                        <w:rPr>
                          <w:rFonts w:asciiTheme="majorHAnsi" w:hAnsiTheme="majorHAnsi"/>
                          <w:color w:val="595959" w:themeColor="text1" w:themeTint="A6"/>
                          <w:sz w:val="18"/>
                          <w:szCs w:val="18"/>
                          <w:lang w:val="es-ES_tradnl"/>
                        </w:rPr>
                        <w:t>Mávil</w:t>
                      </w:r>
                      <w:proofErr w:type="spellEnd"/>
                      <w:r w:rsidR="00AC18EB">
                        <w:rPr>
                          <w:rFonts w:asciiTheme="majorHAnsi" w:hAnsiTheme="majorHAnsi"/>
                          <w:color w:val="595959" w:themeColor="text1" w:themeTint="A6"/>
                          <w:sz w:val="18"/>
                          <w:szCs w:val="18"/>
                          <w:lang w:val="es-ES_tradnl"/>
                        </w:rPr>
                        <w:t xml:space="preserve"> Hernández</w:t>
                      </w:r>
                      <w:r w:rsidR="00F03702">
                        <w:rPr>
                          <w:rFonts w:asciiTheme="majorHAnsi" w:hAnsiTheme="majorHAnsi"/>
                          <w:color w:val="595959" w:themeColor="text1" w:themeTint="A6"/>
                          <w:sz w:val="18"/>
                          <w:szCs w:val="18"/>
                          <w:lang w:val="es-ES_tradnl"/>
                        </w:rPr>
                        <w:t xml:space="preserve"> y familia</w:t>
                      </w:r>
                      <w:r w:rsidR="00AB2373">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4331F2">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4331F2">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DAA7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45A9A0"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983824E" wp14:editId="052AB79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63134" w14:textId="202987B9" w:rsidR="00D72DC6" w:rsidRPr="00D72DC6" w:rsidRDefault="004331F2" w:rsidP="00F02AD1">
                            <w:pPr>
                              <w:rPr>
                                <w:color w:val="FFFFFF" w:themeColor="background1"/>
                                <w14:textFill>
                                  <w14:noFill/>
                                </w14:textFill>
                              </w:rPr>
                            </w:pPr>
                            <w:r>
                              <w:rPr>
                                <w:noProof/>
                                <w:color w:val="FFFFFF" w:themeColor="background1"/>
                              </w:rPr>
                              <w:drawing>
                                <wp:inline distT="0" distB="0" distL="0" distR="0" wp14:anchorId="744894AD" wp14:editId="1F7CB43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824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5063134" w14:textId="202987B9" w:rsidR="00D72DC6" w:rsidRPr="00D72DC6" w:rsidRDefault="004331F2" w:rsidP="00F02AD1">
                      <w:pPr>
                        <w:rPr>
                          <w:color w:val="FFFFFF" w:themeColor="background1"/>
                          <w14:textFill>
                            <w14:noFill/>
                          </w14:textFill>
                        </w:rPr>
                      </w:pPr>
                      <w:r>
                        <w:rPr>
                          <w:noProof/>
                          <w:color w:val="FFFFFF" w:themeColor="background1"/>
                        </w:rPr>
                        <w:drawing>
                          <wp:inline distT="0" distB="0" distL="0" distR="0" wp14:anchorId="744894AD" wp14:editId="1F7CB43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2D1D9BF" wp14:editId="579B4F9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AF41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D9B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0EAF41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895E48"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3F2AD13" w14:textId="77777777" w:rsidR="003239B8" w:rsidRPr="000419AD" w:rsidRDefault="003239B8" w:rsidP="00611207">
      <w:pPr>
        <w:spacing w:before="12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4FD67750" w14:textId="77777777" w:rsidTr="004A6A54">
        <w:tc>
          <w:tcPr>
            <w:tcW w:w="3600" w:type="dxa"/>
            <w:tcBorders>
              <w:top w:val="single" w:sz="4" w:space="0" w:color="auto"/>
              <w:bottom w:val="single" w:sz="6" w:space="0" w:color="auto"/>
            </w:tcBorders>
            <w:shd w:val="clear" w:color="auto" w:fill="386294"/>
            <w:vAlign w:val="center"/>
          </w:tcPr>
          <w:p w14:paraId="4FE67F3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58ABBF4B" w14:textId="0D4504CC" w:rsidR="003239B8" w:rsidRPr="000D05CB" w:rsidRDefault="003323B1" w:rsidP="008D2290">
            <w:pPr>
              <w:jc w:val="both"/>
              <w:rPr>
                <w:rFonts w:ascii="Cambria" w:hAnsi="Cambria"/>
                <w:bCs/>
                <w:sz w:val="20"/>
                <w:szCs w:val="20"/>
              </w:rPr>
            </w:pPr>
            <w:r>
              <w:rPr>
                <w:rFonts w:ascii="Cambria" w:hAnsi="Cambria"/>
                <w:bCs/>
                <w:sz w:val="20"/>
                <w:szCs w:val="20"/>
              </w:rPr>
              <w:t xml:space="preserve">Pedro Manuel </w:t>
            </w:r>
            <w:proofErr w:type="spellStart"/>
            <w:r>
              <w:rPr>
                <w:rFonts w:ascii="Cambria" w:hAnsi="Cambria"/>
                <w:bCs/>
                <w:sz w:val="20"/>
                <w:szCs w:val="20"/>
              </w:rPr>
              <w:t>Mávil</w:t>
            </w:r>
            <w:proofErr w:type="spellEnd"/>
            <w:r>
              <w:rPr>
                <w:rFonts w:ascii="Cambria" w:hAnsi="Cambria"/>
                <w:bCs/>
                <w:sz w:val="20"/>
                <w:szCs w:val="20"/>
              </w:rPr>
              <w:t xml:space="preserve"> Martínez y </w:t>
            </w:r>
            <w:r w:rsidRPr="006726A3">
              <w:rPr>
                <w:rFonts w:ascii="Cambria" w:hAnsi="Cambria"/>
                <w:bCs/>
                <w:i/>
                <w:iCs/>
                <w:sz w:val="20"/>
                <w:szCs w:val="20"/>
              </w:rPr>
              <w:t>United for Justice</w:t>
            </w:r>
          </w:p>
        </w:tc>
      </w:tr>
      <w:tr w:rsidR="003239B8" w:rsidRPr="001E49E7" w14:paraId="22D93688" w14:textId="77777777" w:rsidTr="004A6A54">
        <w:tc>
          <w:tcPr>
            <w:tcW w:w="3600" w:type="dxa"/>
            <w:tcBorders>
              <w:top w:val="single" w:sz="6" w:space="0" w:color="auto"/>
              <w:bottom w:val="single" w:sz="6" w:space="0" w:color="auto"/>
            </w:tcBorders>
            <w:shd w:val="clear" w:color="auto" w:fill="386294"/>
            <w:vAlign w:val="center"/>
          </w:tcPr>
          <w:p w14:paraId="71AC1472" w14:textId="77777777" w:rsidR="003239B8" w:rsidRPr="000D05CB" w:rsidRDefault="008B119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71995831" w14:textId="070522B9" w:rsidR="003239B8" w:rsidRPr="000D05CB" w:rsidRDefault="00A870D6" w:rsidP="008D2290">
            <w:pPr>
              <w:jc w:val="both"/>
              <w:rPr>
                <w:rFonts w:ascii="Cambria" w:hAnsi="Cambria"/>
                <w:bCs/>
                <w:sz w:val="20"/>
                <w:szCs w:val="20"/>
                <w:lang w:val="es-ES"/>
              </w:rPr>
            </w:pPr>
            <w:r>
              <w:rPr>
                <w:rFonts w:ascii="Cambria" w:hAnsi="Cambria"/>
                <w:bCs/>
                <w:sz w:val="20"/>
                <w:szCs w:val="20"/>
                <w:lang w:val="es-ES"/>
              </w:rPr>
              <w:t xml:space="preserve">Gemma </w:t>
            </w:r>
            <w:proofErr w:type="spellStart"/>
            <w:r>
              <w:rPr>
                <w:rFonts w:ascii="Cambria" w:hAnsi="Cambria"/>
                <w:bCs/>
                <w:sz w:val="20"/>
                <w:szCs w:val="20"/>
                <w:lang w:val="es-ES"/>
              </w:rPr>
              <w:t>Mávil</w:t>
            </w:r>
            <w:proofErr w:type="spellEnd"/>
            <w:r>
              <w:rPr>
                <w:rFonts w:ascii="Cambria" w:hAnsi="Cambria"/>
                <w:bCs/>
                <w:sz w:val="20"/>
                <w:szCs w:val="20"/>
                <w:lang w:val="es-ES"/>
              </w:rPr>
              <w:t xml:space="preserve"> Hernández</w:t>
            </w:r>
          </w:p>
        </w:tc>
      </w:tr>
      <w:tr w:rsidR="003239B8" w14:paraId="54AB7892" w14:textId="77777777" w:rsidTr="004A6A54">
        <w:tc>
          <w:tcPr>
            <w:tcW w:w="3600" w:type="dxa"/>
            <w:tcBorders>
              <w:top w:val="single" w:sz="6" w:space="0" w:color="auto"/>
              <w:bottom w:val="single" w:sz="6" w:space="0" w:color="auto"/>
            </w:tcBorders>
            <w:shd w:val="clear" w:color="auto" w:fill="386294"/>
            <w:vAlign w:val="center"/>
          </w:tcPr>
          <w:p w14:paraId="020DB416"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2C257B4" w14:textId="5F2841FD" w:rsidR="003239B8" w:rsidRPr="000D05CB" w:rsidRDefault="004331F2" w:rsidP="008D2290">
            <w:pPr>
              <w:jc w:val="both"/>
              <w:rPr>
                <w:rFonts w:ascii="Cambria" w:hAnsi="Cambria"/>
                <w:bCs/>
                <w:sz w:val="20"/>
                <w:szCs w:val="20"/>
              </w:rPr>
            </w:pPr>
            <w:r>
              <w:rPr>
                <w:rFonts w:ascii="Cambria" w:hAnsi="Cambria"/>
                <w:bCs/>
                <w:sz w:val="20"/>
                <w:szCs w:val="20"/>
              </w:rPr>
              <w:t>México</w:t>
            </w:r>
            <w:r w:rsidR="004A6A54" w:rsidRPr="000D05CB">
              <w:rPr>
                <w:rStyle w:val="FootnoteReference"/>
                <w:rFonts w:ascii="Cambria" w:hAnsi="Cambria"/>
                <w:bCs/>
                <w:sz w:val="20"/>
                <w:szCs w:val="20"/>
              </w:rPr>
              <w:footnoteReference w:id="2"/>
            </w:r>
          </w:p>
        </w:tc>
      </w:tr>
      <w:tr w:rsidR="00223A29" w:rsidRPr="00611207" w14:paraId="0FD9B32C" w14:textId="77777777" w:rsidTr="004A6A54">
        <w:tc>
          <w:tcPr>
            <w:tcW w:w="3600" w:type="dxa"/>
            <w:tcBorders>
              <w:top w:val="single" w:sz="6" w:space="0" w:color="auto"/>
              <w:bottom w:val="single" w:sz="6" w:space="0" w:color="auto"/>
            </w:tcBorders>
            <w:shd w:val="clear" w:color="auto" w:fill="386294"/>
            <w:vAlign w:val="center"/>
          </w:tcPr>
          <w:p w14:paraId="513D6443"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3B3C3568" w14:textId="0EDF1344" w:rsidR="00223A29" w:rsidRPr="009346B0" w:rsidRDefault="009346B0" w:rsidP="008D2290">
            <w:pPr>
              <w:jc w:val="both"/>
              <w:rPr>
                <w:rFonts w:ascii="Cambria" w:hAnsi="Cambria"/>
                <w:bCs/>
                <w:sz w:val="20"/>
                <w:szCs w:val="20"/>
                <w:lang w:val="es-CO"/>
              </w:rPr>
            </w:pPr>
            <w:r w:rsidRPr="003B19AC">
              <w:rPr>
                <w:rFonts w:ascii="Cambria" w:hAnsi="Cambria"/>
                <w:bCs/>
                <w:sz w:val="20"/>
                <w:szCs w:val="20"/>
                <w:lang w:val="es-CO"/>
              </w:rPr>
              <w:t>Artículo</w:t>
            </w:r>
            <w:r>
              <w:rPr>
                <w:rFonts w:ascii="Cambria" w:hAnsi="Cambria"/>
                <w:bCs/>
                <w:sz w:val="20"/>
                <w:szCs w:val="20"/>
                <w:lang w:val="es-CO"/>
              </w:rPr>
              <w:t xml:space="preserve"> 4 (vida), 5 (integridad personal),</w:t>
            </w:r>
            <w:r w:rsidRPr="003B19AC">
              <w:rPr>
                <w:rFonts w:ascii="Cambria" w:hAnsi="Cambria"/>
                <w:bCs/>
                <w:sz w:val="20"/>
                <w:szCs w:val="20"/>
                <w:lang w:val="es-CO"/>
              </w:rPr>
              <w:t xml:space="preserve"> </w:t>
            </w:r>
            <w:r>
              <w:rPr>
                <w:rFonts w:ascii="Cambria" w:hAnsi="Cambria"/>
                <w:bCs/>
                <w:sz w:val="20"/>
                <w:szCs w:val="20"/>
                <w:lang w:val="es-CO"/>
              </w:rPr>
              <w:t xml:space="preserve">7 (libertad personal), </w:t>
            </w:r>
            <w:r w:rsidRPr="003B19AC">
              <w:rPr>
                <w:rFonts w:ascii="Cambria" w:hAnsi="Cambria"/>
                <w:bCs/>
                <w:sz w:val="20"/>
                <w:szCs w:val="20"/>
                <w:lang w:val="es-CO"/>
              </w:rPr>
              <w:t>8 (garantías judiciales)</w:t>
            </w:r>
            <w:r>
              <w:rPr>
                <w:rFonts w:ascii="Cambria" w:hAnsi="Cambria"/>
                <w:bCs/>
                <w:sz w:val="20"/>
                <w:szCs w:val="20"/>
                <w:lang w:val="es-CO"/>
              </w:rPr>
              <w:t xml:space="preserve"> </w:t>
            </w:r>
            <w:r w:rsidRPr="003B19AC">
              <w:rPr>
                <w:rFonts w:ascii="Cambria" w:hAnsi="Cambria"/>
                <w:bCs/>
                <w:sz w:val="20"/>
                <w:szCs w:val="20"/>
                <w:lang w:val="es-CO"/>
              </w:rPr>
              <w:t>y 25 (protección judicial) de la Convención Americana sobre Derechos Humanos</w:t>
            </w:r>
            <w:r>
              <w:rPr>
                <w:rStyle w:val="FootnoteReference"/>
                <w:rFonts w:ascii="Cambria" w:hAnsi="Cambria"/>
                <w:bCs/>
                <w:sz w:val="20"/>
                <w:szCs w:val="20"/>
                <w:lang w:val="es-CO"/>
              </w:rPr>
              <w:footnoteReference w:id="3"/>
            </w:r>
            <w:r w:rsidR="006726A3">
              <w:rPr>
                <w:rFonts w:ascii="Cambria" w:hAnsi="Cambria"/>
                <w:bCs/>
                <w:sz w:val="20"/>
                <w:szCs w:val="20"/>
                <w:lang w:val="es-CO"/>
              </w:rPr>
              <w:t xml:space="preserve">, </w:t>
            </w:r>
            <w:r w:rsidRPr="003B19AC">
              <w:rPr>
                <w:rFonts w:ascii="Cambria" w:hAnsi="Cambria"/>
                <w:bCs/>
                <w:sz w:val="20"/>
                <w:szCs w:val="20"/>
                <w:lang w:val="es-CO"/>
              </w:rPr>
              <w:t>en relación con el artículo 1.1 (obligación de respetar los derechos) del mismo instrumento</w:t>
            </w:r>
            <w:r>
              <w:rPr>
                <w:rFonts w:ascii="Cambria" w:hAnsi="Cambria"/>
                <w:bCs/>
                <w:sz w:val="20"/>
                <w:szCs w:val="20"/>
                <w:lang w:val="es-CO"/>
              </w:rPr>
              <w:t>;</w:t>
            </w:r>
            <w:r w:rsidR="00B41829">
              <w:rPr>
                <w:rFonts w:ascii="Cambria" w:hAnsi="Cambria"/>
                <w:bCs/>
                <w:sz w:val="20"/>
                <w:szCs w:val="20"/>
                <w:lang w:val="es-CO"/>
              </w:rPr>
              <w:t xml:space="preserve"> y</w:t>
            </w:r>
            <w:r>
              <w:rPr>
                <w:rFonts w:ascii="Cambria" w:hAnsi="Cambria"/>
                <w:bCs/>
                <w:sz w:val="20"/>
                <w:szCs w:val="20"/>
                <w:lang w:val="es-CO"/>
              </w:rPr>
              <w:t xml:space="preserve"> artículo 7 de la Convención Interamericana para Prevenir y Erradicar la Violencia contra la Mujer</w:t>
            </w:r>
            <w:r>
              <w:rPr>
                <w:rStyle w:val="FootnoteReference"/>
                <w:rFonts w:ascii="Cambria" w:hAnsi="Cambria"/>
                <w:bCs/>
                <w:sz w:val="20"/>
                <w:szCs w:val="20"/>
                <w:lang w:val="es-CO"/>
              </w:rPr>
              <w:footnoteReference w:id="4"/>
            </w:r>
          </w:p>
        </w:tc>
      </w:tr>
    </w:tbl>
    <w:p w14:paraId="2DBB510A" w14:textId="77777777" w:rsidR="003239B8" w:rsidRPr="00E4118C" w:rsidRDefault="003239B8" w:rsidP="00611207">
      <w:pPr>
        <w:spacing w:before="12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53DA140D" w14:textId="77777777" w:rsidTr="004A6A54">
        <w:tc>
          <w:tcPr>
            <w:tcW w:w="3600" w:type="dxa"/>
            <w:tcBorders>
              <w:top w:val="single" w:sz="6" w:space="0" w:color="auto"/>
              <w:bottom w:val="single" w:sz="6" w:space="0" w:color="auto"/>
            </w:tcBorders>
            <w:shd w:val="clear" w:color="auto" w:fill="386294"/>
            <w:vAlign w:val="center"/>
          </w:tcPr>
          <w:p w14:paraId="0620AD0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E998D9A" w14:textId="7D671DB8" w:rsidR="004C2312" w:rsidRPr="003239B8" w:rsidRDefault="0097570D" w:rsidP="002625EA">
            <w:pPr>
              <w:jc w:val="both"/>
              <w:rPr>
                <w:rFonts w:ascii="Cambria" w:hAnsi="Cambria"/>
                <w:bCs/>
                <w:sz w:val="20"/>
                <w:szCs w:val="20"/>
                <w:lang w:val="es-ES"/>
              </w:rPr>
            </w:pPr>
            <w:r>
              <w:rPr>
                <w:rFonts w:ascii="Cambria" w:hAnsi="Cambria"/>
                <w:bCs/>
                <w:sz w:val="20"/>
                <w:szCs w:val="20"/>
                <w:lang w:val="es-ES"/>
              </w:rPr>
              <w:t>15 de marzo de 2013</w:t>
            </w:r>
          </w:p>
        </w:tc>
      </w:tr>
      <w:tr w:rsidR="00131425" w:rsidRPr="00611207" w14:paraId="12E1B2EA" w14:textId="77777777" w:rsidTr="004A6A54">
        <w:tc>
          <w:tcPr>
            <w:tcW w:w="3600" w:type="dxa"/>
            <w:tcBorders>
              <w:top w:val="single" w:sz="6" w:space="0" w:color="auto"/>
              <w:bottom w:val="single" w:sz="6" w:space="0" w:color="auto"/>
            </w:tcBorders>
            <w:shd w:val="clear" w:color="auto" w:fill="386294"/>
            <w:vAlign w:val="center"/>
          </w:tcPr>
          <w:p w14:paraId="70401F05"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6F2FD06" w14:textId="05D7A5ED" w:rsidR="00131425" w:rsidRPr="003239B8" w:rsidRDefault="00D53B30" w:rsidP="002625EA">
            <w:pPr>
              <w:jc w:val="both"/>
              <w:rPr>
                <w:rFonts w:ascii="Cambria" w:hAnsi="Cambria"/>
                <w:bCs/>
                <w:sz w:val="20"/>
                <w:szCs w:val="20"/>
                <w:lang w:val="es-ES"/>
              </w:rPr>
            </w:pPr>
            <w:r>
              <w:rPr>
                <w:rFonts w:ascii="Cambria" w:hAnsi="Cambria"/>
                <w:bCs/>
                <w:sz w:val="20"/>
                <w:szCs w:val="20"/>
                <w:lang w:val="es-ES"/>
              </w:rPr>
              <w:t>24 de mayo de 2017, 14 de junio de 2018</w:t>
            </w:r>
            <w:r w:rsidR="00B34438">
              <w:rPr>
                <w:rFonts w:ascii="Cambria" w:hAnsi="Cambria"/>
                <w:bCs/>
                <w:sz w:val="20"/>
                <w:szCs w:val="20"/>
                <w:lang w:val="es-ES"/>
              </w:rPr>
              <w:t xml:space="preserve"> y 26 de marzo de 2019</w:t>
            </w:r>
          </w:p>
        </w:tc>
      </w:tr>
      <w:tr w:rsidR="004C2312" w:rsidRPr="000F4990" w14:paraId="3F19CB8A" w14:textId="77777777" w:rsidTr="004A6A54">
        <w:tc>
          <w:tcPr>
            <w:tcW w:w="3600" w:type="dxa"/>
            <w:tcBorders>
              <w:top w:val="single" w:sz="6" w:space="0" w:color="auto"/>
              <w:bottom w:val="single" w:sz="6" w:space="0" w:color="auto"/>
            </w:tcBorders>
            <w:shd w:val="clear" w:color="auto" w:fill="386294"/>
            <w:vAlign w:val="center"/>
          </w:tcPr>
          <w:p w14:paraId="7799656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2D48C5E" w14:textId="5D505BEA" w:rsidR="004C2312" w:rsidRPr="003239B8" w:rsidRDefault="00750F01" w:rsidP="008D2290">
            <w:pPr>
              <w:jc w:val="both"/>
              <w:rPr>
                <w:rFonts w:ascii="Cambria" w:hAnsi="Cambria"/>
                <w:bCs/>
                <w:sz w:val="20"/>
                <w:szCs w:val="20"/>
                <w:lang w:val="es-ES"/>
              </w:rPr>
            </w:pPr>
            <w:r>
              <w:rPr>
                <w:rFonts w:ascii="Cambria" w:hAnsi="Cambria"/>
                <w:bCs/>
                <w:sz w:val="20"/>
                <w:szCs w:val="20"/>
                <w:lang w:val="es-ES"/>
              </w:rPr>
              <w:t>19 de abril de 2018</w:t>
            </w:r>
          </w:p>
        </w:tc>
      </w:tr>
      <w:tr w:rsidR="004C2312" w:rsidRPr="004A6A54" w14:paraId="22C8FE54" w14:textId="77777777" w:rsidTr="004A6A54">
        <w:tc>
          <w:tcPr>
            <w:tcW w:w="3600" w:type="dxa"/>
            <w:tcBorders>
              <w:top w:val="single" w:sz="6" w:space="0" w:color="auto"/>
              <w:bottom w:val="single" w:sz="6" w:space="0" w:color="auto"/>
            </w:tcBorders>
            <w:shd w:val="clear" w:color="auto" w:fill="386294"/>
            <w:vAlign w:val="center"/>
          </w:tcPr>
          <w:p w14:paraId="5BA23B5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79CC042C" w14:textId="236D4E34" w:rsidR="004C2312" w:rsidRPr="003239B8" w:rsidRDefault="00EB1AA3" w:rsidP="008D2290">
            <w:pPr>
              <w:jc w:val="both"/>
              <w:rPr>
                <w:rFonts w:ascii="Cambria" w:hAnsi="Cambria"/>
                <w:bCs/>
                <w:sz w:val="20"/>
                <w:szCs w:val="20"/>
                <w:lang w:val="es-ES"/>
              </w:rPr>
            </w:pPr>
            <w:r>
              <w:rPr>
                <w:rFonts w:ascii="Cambria" w:hAnsi="Cambria"/>
                <w:bCs/>
                <w:sz w:val="20"/>
                <w:szCs w:val="20"/>
                <w:lang w:val="es-ES"/>
              </w:rPr>
              <w:t>22 de enero de 2020</w:t>
            </w:r>
          </w:p>
        </w:tc>
      </w:tr>
      <w:tr w:rsidR="004C2312" w:rsidRPr="000F4990" w14:paraId="5B96D6CE" w14:textId="77777777" w:rsidTr="004A6A54">
        <w:tc>
          <w:tcPr>
            <w:tcW w:w="3600" w:type="dxa"/>
            <w:tcBorders>
              <w:top w:val="single" w:sz="6" w:space="0" w:color="auto"/>
              <w:bottom w:val="single" w:sz="6" w:space="0" w:color="auto"/>
            </w:tcBorders>
            <w:shd w:val="clear" w:color="auto" w:fill="386294"/>
            <w:vAlign w:val="center"/>
          </w:tcPr>
          <w:p w14:paraId="13D1973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AA1C887" w14:textId="22F95EB5" w:rsidR="004C2312" w:rsidRPr="003239B8" w:rsidRDefault="00792933" w:rsidP="008D2290">
            <w:pPr>
              <w:jc w:val="both"/>
              <w:rPr>
                <w:rFonts w:ascii="Cambria" w:hAnsi="Cambria"/>
                <w:bCs/>
                <w:sz w:val="20"/>
                <w:szCs w:val="20"/>
                <w:lang w:val="es-ES"/>
              </w:rPr>
            </w:pPr>
            <w:r>
              <w:rPr>
                <w:rFonts w:ascii="Cambria" w:hAnsi="Cambria"/>
                <w:bCs/>
                <w:sz w:val="20"/>
                <w:szCs w:val="20"/>
                <w:lang w:val="es-ES"/>
              </w:rPr>
              <w:t>12 de febrero de 2021</w:t>
            </w:r>
          </w:p>
        </w:tc>
      </w:tr>
      <w:tr w:rsidR="001E49E7" w:rsidRPr="007B76D3" w14:paraId="2A78CFC2" w14:textId="77777777" w:rsidTr="004A6A54">
        <w:tc>
          <w:tcPr>
            <w:tcW w:w="3600" w:type="dxa"/>
            <w:tcBorders>
              <w:top w:val="single" w:sz="6" w:space="0" w:color="auto"/>
              <w:bottom w:val="single" w:sz="6" w:space="0" w:color="auto"/>
            </w:tcBorders>
            <w:shd w:val="clear" w:color="auto" w:fill="386294"/>
            <w:vAlign w:val="center"/>
          </w:tcPr>
          <w:p w14:paraId="3F0686E1"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87137DB" w14:textId="00EFE6E1" w:rsidR="001E49E7" w:rsidRPr="003239B8" w:rsidRDefault="00756C4B" w:rsidP="002625EA">
            <w:pPr>
              <w:jc w:val="both"/>
              <w:rPr>
                <w:rFonts w:ascii="Cambria" w:hAnsi="Cambria"/>
                <w:bCs/>
                <w:sz w:val="20"/>
                <w:szCs w:val="20"/>
                <w:lang w:val="es-ES"/>
              </w:rPr>
            </w:pPr>
            <w:r>
              <w:rPr>
                <w:rFonts w:ascii="Cambria" w:hAnsi="Cambria"/>
                <w:bCs/>
                <w:sz w:val="20"/>
                <w:szCs w:val="20"/>
                <w:lang w:val="es-ES"/>
              </w:rPr>
              <w:t>1 de mayo de 2017</w:t>
            </w:r>
          </w:p>
        </w:tc>
      </w:tr>
      <w:tr w:rsidR="001E49E7" w:rsidRPr="000F4990" w14:paraId="656D858F" w14:textId="77777777" w:rsidTr="004A6A54">
        <w:tc>
          <w:tcPr>
            <w:tcW w:w="3600" w:type="dxa"/>
            <w:tcBorders>
              <w:top w:val="single" w:sz="6" w:space="0" w:color="auto"/>
              <w:bottom w:val="single" w:sz="6" w:space="0" w:color="auto"/>
            </w:tcBorders>
            <w:shd w:val="clear" w:color="auto" w:fill="386294"/>
            <w:vAlign w:val="center"/>
          </w:tcPr>
          <w:p w14:paraId="77C7216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D59B47A" w14:textId="36437219" w:rsidR="001E49E7" w:rsidRPr="003239B8" w:rsidRDefault="00484EBE" w:rsidP="002625EA">
            <w:pPr>
              <w:jc w:val="both"/>
              <w:rPr>
                <w:rFonts w:ascii="Cambria" w:hAnsi="Cambria"/>
                <w:bCs/>
                <w:sz w:val="20"/>
                <w:szCs w:val="20"/>
                <w:lang w:val="es-ES"/>
              </w:rPr>
            </w:pPr>
            <w:r>
              <w:rPr>
                <w:rFonts w:ascii="Cambria" w:hAnsi="Cambria"/>
                <w:bCs/>
                <w:sz w:val="20"/>
                <w:szCs w:val="20"/>
                <w:lang w:val="es-ES"/>
              </w:rPr>
              <w:t>24 de mayo de 2017</w:t>
            </w:r>
          </w:p>
        </w:tc>
      </w:tr>
    </w:tbl>
    <w:p w14:paraId="455B2E20" w14:textId="77777777" w:rsidR="003239B8" w:rsidRPr="003239B8" w:rsidRDefault="003239B8" w:rsidP="00611207">
      <w:pPr>
        <w:spacing w:before="12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7E72358" w14:textId="77777777" w:rsidTr="004A6A54">
        <w:trPr>
          <w:cantSplit/>
        </w:trPr>
        <w:tc>
          <w:tcPr>
            <w:tcW w:w="3600" w:type="dxa"/>
            <w:tcBorders>
              <w:top w:val="single" w:sz="4" w:space="0" w:color="auto"/>
              <w:bottom w:val="single" w:sz="6" w:space="0" w:color="auto"/>
            </w:tcBorders>
            <w:shd w:val="clear" w:color="auto" w:fill="386294"/>
            <w:vAlign w:val="center"/>
          </w:tcPr>
          <w:p w14:paraId="5605619B"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77E6B4D" w14:textId="4A7D9513" w:rsidR="003239B8" w:rsidRPr="00B3745F" w:rsidRDefault="00D65AF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02207481" w14:textId="77777777" w:rsidTr="004A6A54">
        <w:trPr>
          <w:cantSplit/>
        </w:trPr>
        <w:tc>
          <w:tcPr>
            <w:tcW w:w="3600" w:type="dxa"/>
            <w:tcBorders>
              <w:top w:val="single" w:sz="6" w:space="0" w:color="auto"/>
              <w:bottom w:val="single" w:sz="6" w:space="0" w:color="auto"/>
            </w:tcBorders>
            <w:shd w:val="clear" w:color="auto" w:fill="386294"/>
            <w:vAlign w:val="center"/>
          </w:tcPr>
          <w:p w14:paraId="3943AD8D"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465D81B" w14:textId="23204EFB" w:rsidR="003239B8" w:rsidRPr="00B3745F" w:rsidRDefault="00D65AF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0FB664B1" w14:textId="77777777" w:rsidTr="004A6A54">
        <w:trPr>
          <w:cantSplit/>
        </w:trPr>
        <w:tc>
          <w:tcPr>
            <w:tcW w:w="3600" w:type="dxa"/>
            <w:tcBorders>
              <w:top w:val="single" w:sz="6" w:space="0" w:color="auto"/>
              <w:bottom w:val="single" w:sz="6" w:space="0" w:color="auto"/>
            </w:tcBorders>
            <w:shd w:val="clear" w:color="auto" w:fill="386294"/>
            <w:vAlign w:val="center"/>
          </w:tcPr>
          <w:p w14:paraId="32223389"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51FCADD" w14:textId="18766292" w:rsidR="003239B8" w:rsidRPr="00B3745F" w:rsidRDefault="00D65AF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611207" w14:paraId="348E2AD1" w14:textId="77777777" w:rsidTr="004A6A54">
        <w:trPr>
          <w:cantSplit/>
        </w:trPr>
        <w:tc>
          <w:tcPr>
            <w:tcW w:w="3600" w:type="dxa"/>
            <w:tcBorders>
              <w:top w:val="single" w:sz="6" w:space="0" w:color="auto"/>
              <w:bottom w:val="single" w:sz="6" w:space="0" w:color="auto"/>
            </w:tcBorders>
            <w:shd w:val="clear" w:color="auto" w:fill="386294"/>
            <w:vAlign w:val="center"/>
          </w:tcPr>
          <w:p w14:paraId="63419D0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67334295" w14:textId="367A5BD2" w:rsidR="003239B8" w:rsidRPr="00B3745F" w:rsidRDefault="00D65AF8" w:rsidP="008D2290">
            <w:pPr>
              <w:jc w:val="both"/>
              <w:rPr>
                <w:rFonts w:ascii="Cambria" w:hAnsi="Cambria"/>
                <w:bCs/>
                <w:sz w:val="20"/>
                <w:szCs w:val="20"/>
                <w:lang w:val="es-ES"/>
              </w:rPr>
            </w:pPr>
            <w:r w:rsidRPr="00D65AF8">
              <w:rPr>
                <w:rFonts w:ascii="Cambria" w:hAnsi="Cambria"/>
                <w:bCs/>
                <w:sz w:val="20"/>
                <w:szCs w:val="20"/>
                <w:lang w:val="es-ES"/>
              </w:rPr>
              <w:t>Sí, Convención Americana (</w:t>
            </w:r>
            <w:r w:rsidR="00925C3A">
              <w:rPr>
                <w:rFonts w:ascii="Cambria" w:hAnsi="Cambria"/>
                <w:bCs/>
                <w:sz w:val="20"/>
                <w:szCs w:val="20"/>
                <w:lang w:val="es-ES"/>
              </w:rPr>
              <w:t xml:space="preserve">depósito del instrumento de adhesión </w:t>
            </w:r>
            <w:r w:rsidRPr="00D65AF8">
              <w:rPr>
                <w:rFonts w:ascii="Cambria" w:hAnsi="Cambria"/>
                <w:bCs/>
                <w:sz w:val="20"/>
                <w:szCs w:val="20"/>
                <w:lang w:val="es-ES"/>
              </w:rPr>
              <w:t>el 24 de marzo de 1981);</w:t>
            </w:r>
            <w:r w:rsidR="00D5587D">
              <w:rPr>
                <w:rFonts w:ascii="Cambria" w:hAnsi="Cambria"/>
                <w:bCs/>
                <w:sz w:val="20"/>
                <w:szCs w:val="20"/>
                <w:lang w:val="es-ES"/>
              </w:rPr>
              <w:t xml:space="preserve"> </w:t>
            </w:r>
            <w:r w:rsidR="003F6F6D">
              <w:rPr>
                <w:rFonts w:ascii="Cambria" w:hAnsi="Cambria"/>
                <w:bCs/>
                <w:sz w:val="20"/>
                <w:szCs w:val="20"/>
                <w:lang w:val="es-ES"/>
              </w:rPr>
              <w:t xml:space="preserve">y </w:t>
            </w:r>
            <w:r w:rsidR="00D5587D">
              <w:rPr>
                <w:rFonts w:ascii="Cambria" w:hAnsi="Cambria"/>
                <w:bCs/>
                <w:sz w:val="20"/>
                <w:szCs w:val="20"/>
                <w:lang w:val="es-ES"/>
              </w:rPr>
              <w:t xml:space="preserve">Convención de </w:t>
            </w:r>
            <w:r w:rsidR="00B63A36">
              <w:rPr>
                <w:rFonts w:ascii="Cambria" w:hAnsi="Cambria"/>
                <w:bCs/>
                <w:sz w:val="20"/>
                <w:szCs w:val="20"/>
                <w:lang w:val="es-ES"/>
              </w:rPr>
              <w:t>Belém</w:t>
            </w:r>
            <w:r w:rsidR="00D5587D">
              <w:rPr>
                <w:rFonts w:ascii="Cambria" w:hAnsi="Cambria"/>
                <w:bCs/>
                <w:sz w:val="20"/>
                <w:szCs w:val="20"/>
                <w:lang w:val="es-ES"/>
              </w:rPr>
              <w:t xml:space="preserve"> do Pará (depósito del instrumento de ratificación el 11 de diciembre de 1998)</w:t>
            </w:r>
          </w:p>
        </w:tc>
      </w:tr>
    </w:tbl>
    <w:p w14:paraId="4D0D61DA" w14:textId="799E15FD" w:rsidR="003239B8" w:rsidRPr="003239B8" w:rsidRDefault="003239B8" w:rsidP="00611207">
      <w:pPr>
        <w:spacing w:before="12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A9504F" w:rsidRPr="003239B8">
        <w:rPr>
          <w:rFonts w:asciiTheme="majorHAnsi" w:hAnsiTheme="majorHAnsi"/>
          <w:b/>
          <w:bCs/>
          <w:sz w:val="20"/>
          <w:szCs w:val="20"/>
          <w:lang w:val="es-ES"/>
        </w:rPr>
        <w:t>INTERNACIONAL</w:t>
      </w:r>
      <w:r w:rsidR="00A9504F">
        <w:rPr>
          <w:rFonts w:asciiTheme="majorHAnsi" w:hAnsiTheme="majorHAnsi"/>
          <w:b/>
          <w:bCs/>
          <w:sz w:val="20"/>
          <w:szCs w:val="20"/>
          <w:lang w:val="es-ES"/>
        </w:rPr>
        <w:t xml:space="preserve">, </w:t>
      </w:r>
      <w:r w:rsidR="00A9504F"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F4990" w14:paraId="7157B030" w14:textId="77777777" w:rsidTr="004A6A54">
        <w:trPr>
          <w:cantSplit/>
        </w:trPr>
        <w:tc>
          <w:tcPr>
            <w:tcW w:w="3600" w:type="dxa"/>
            <w:tcBorders>
              <w:top w:val="single" w:sz="4" w:space="0" w:color="auto"/>
              <w:bottom w:val="single" w:sz="6" w:space="0" w:color="auto"/>
            </w:tcBorders>
            <w:shd w:val="clear" w:color="auto" w:fill="386294"/>
            <w:vAlign w:val="center"/>
          </w:tcPr>
          <w:p w14:paraId="156FBE71"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AE9AB25" w14:textId="7D8ED1D4" w:rsidR="00EE00E9" w:rsidRPr="00DC24E3" w:rsidRDefault="00844E7D" w:rsidP="008D2290">
            <w:pPr>
              <w:jc w:val="both"/>
              <w:rPr>
                <w:rFonts w:ascii="Cambria" w:hAnsi="Cambria"/>
                <w:bCs/>
                <w:sz w:val="20"/>
                <w:szCs w:val="20"/>
                <w:lang w:val="es-ES"/>
              </w:rPr>
            </w:pPr>
            <w:r>
              <w:rPr>
                <w:rFonts w:ascii="Cambria" w:hAnsi="Cambria"/>
                <w:bCs/>
                <w:sz w:val="20"/>
                <w:szCs w:val="20"/>
                <w:lang w:val="es-ES"/>
              </w:rPr>
              <w:t>No</w:t>
            </w:r>
          </w:p>
        </w:tc>
      </w:tr>
      <w:tr w:rsidR="003239B8" w:rsidRPr="00611207" w14:paraId="4E8BF197" w14:textId="77777777" w:rsidTr="004A6A54">
        <w:trPr>
          <w:cantSplit/>
        </w:trPr>
        <w:tc>
          <w:tcPr>
            <w:tcW w:w="3600" w:type="dxa"/>
            <w:tcBorders>
              <w:top w:val="single" w:sz="4" w:space="0" w:color="auto"/>
              <w:bottom w:val="single" w:sz="6" w:space="0" w:color="auto"/>
            </w:tcBorders>
            <w:shd w:val="clear" w:color="auto" w:fill="386294"/>
            <w:vAlign w:val="center"/>
          </w:tcPr>
          <w:p w14:paraId="4C0F041E"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771DD547" w14:textId="15666818" w:rsidR="003239B8" w:rsidRPr="00844E7D" w:rsidRDefault="00844E7D" w:rsidP="008D2290">
            <w:pPr>
              <w:jc w:val="both"/>
              <w:rPr>
                <w:rFonts w:ascii="Cambria" w:hAnsi="Cambria"/>
                <w:bCs/>
                <w:sz w:val="20"/>
                <w:szCs w:val="20"/>
                <w:lang w:val="es-CO"/>
              </w:rPr>
            </w:pPr>
            <w:r w:rsidRPr="00844E7D">
              <w:rPr>
                <w:rFonts w:ascii="Cambria" w:hAnsi="Cambria"/>
                <w:bCs/>
                <w:sz w:val="20"/>
                <w:szCs w:val="20"/>
                <w:lang w:val="es-CO"/>
              </w:rPr>
              <w:t>Artículo</w:t>
            </w:r>
            <w:r>
              <w:rPr>
                <w:rFonts w:ascii="Cambria" w:hAnsi="Cambria"/>
                <w:bCs/>
                <w:sz w:val="20"/>
                <w:szCs w:val="20"/>
                <w:lang w:val="es-CO"/>
              </w:rPr>
              <w:t xml:space="preserve"> </w:t>
            </w:r>
            <w:r w:rsidRPr="00844E7D">
              <w:rPr>
                <w:rFonts w:ascii="Cambria" w:hAnsi="Cambria"/>
                <w:bCs/>
                <w:sz w:val="20"/>
                <w:szCs w:val="20"/>
                <w:lang w:val="es-CO"/>
              </w:rPr>
              <w:t>4 (derecho a la vida), 5 (integridad personal), 7 (libertad personal), 8 (garantías judiciales)</w:t>
            </w:r>
            <w:r w:rsidR="003B7DA7">
              <w:rPr>
                <w:rFonts w:ascii="Cambria" w:hAnsi="Cambria"/>
                <w:bCs/>
                <w:sz w:val="20"/>
                <w:szCs w:val="20"/>
                <w:lang w:val="es-CO"/>
              </w:rPr>
              <w:t xml:space="preserve">, </w:t>
            </w:r>
            <w:r w:rsidR="004B3B5D">
              <w:rPr>
                <w:rFonts w:ascii="Cambria" w:hAnsi="Cambria"/>
                <w:bCs/>
                <w:sz w:val="20"/>
                <w:szCs w:val="20"/>
                <w:lang w:val="es-CO"/>
              </w:rPr>
              <w:t xml:space="preserve">17 (protección a la familia), </w:t>
            </w:r>
            <w:r w:rsidR="003B7DA7">
              <w:rPr>
                <w:rFonts w:ascii="Cambria" w:hAnsi="Cambria"/>
                <w:bCs/>
                <w:sz w:val="20"/>
                <w:szCs w:val="20"/>
                <w:lang w:val="es-CO"/>
              </w:rPr>
              <w:t>24 (igualdad ante la ley)</w:t>
            </w:r>
            <w:r w:rsidRPr="00844E7D">
              <w:rPr>
                <w:rFonts w:ascii="Cambria" w:hAnsi="Cambria"/>
                <w:bCs/>
                <w:sz w:val="20"/>
                <w:szCs w:val="20"/>
                <w:lang w:val="es-CO"/>
              </w:rPr>
              <w:t xml:space="preserve"> y 25 (protección judicial) de la Convención American</w:t>
            </w:r>
            <w:r w:rsidR="0042467F">
              <w:rPr>
                <w:rFonts w:ascii="Cambria" w:hAnsi="Cambria"/>
                <w:bCs/>
                <w:sz w:val="20"/>
                <w:szCs w:val="20"/>
                <w:lang w:val="es-CO"/>
              </w:rPr>
              <w:t>a</w:t>
            </w:r>
            <w:r w:rsidR="00B41829">
              <w:rPr>
                <w:rFonts w:ascii="Cambria" w:hAnsi="Cambria"/>
                <w:bCs/>
                <w:sz w:val="20"/>
                <w:szCs w:val="20"/>
                <w:lang w:val="es-CO"/>
              </w:rPr>
              <w:t>,</w:t>
            </w:r>
            <w:r w:rsidRPr="00844E7D">
              <w:rPr>
                <w:rFonts w:ascii="Cambria" w:hAnsi="Cambria"/>
                <w:bCs/>
                <w:sz w:val="20"/>
                <w:szCs w:val="20"/>
                <w:lang w:val="es-CO"/>
              </w:rPr>
              <w:t xml:space="preserve"> en relación con </w:t>
            </w:r>
            <w:r w:rsidR="00B41829">
              <w:rPr>
                <w:rFonts w:ascii="Cambria" w:hAnsi="Cambria"/>
                <w:bCs/>
                <w:sz w:val="20"/>
                <w:szCs w:val="20"/>
                <w:lang w:val="es-CO"/>
              </w:rPr>
              <w:t>su</w:t>
            </w:r>
            <w:r w:rsidRPr="00844E7D">
              <w:rPr>
                <w:rFonts w:ascii="Cambria" w:hAnsi="Cambria"/>
                <w:bCs/>
                <w:sz w:val="20"/>
                <w:szCs w:val="20"/>
                <w:lang w:val="es-CO"/>
              </w:rPr>
              <w:t xml:space="preserve"> artículo 1.1 (obligación de respetar los derechos);</w:t>
            </w:r>
            <w:r w:rsidR="00B41829">
              <w:rPr>
                <w:rFonts w:ascii="Cambria" w:hAnsi="Cambria"/>
                <w:bCs/>
                <w:sz w:val="20"/>
                <w:szCs w:val="20"/>
                <w:lang w:val="es-CO"/>
              </w:rPr>
              <w:t xml:space="preserve"> y</w:t>
            </w:r>
            <w:r w:rsidRPr="00844E7D">
              <w:rPr>
                <w:rFonts w:ascii="Cambria" w:hAnsi="Cambria"/>
                <w:bCs/>
                <w:sz w:val="20"/>
                <w:szCs w:val="20"/>
                <w:lang w:val="es-CO"/>
              </w:rPr>
              <w:t xml:space="preserve"> artículo 7 de la Convención </w:t>
            </w:r>
            <w:r w:rsidR="003841CF">
              <w:rPr>
                <w:rFonts w:ascii="Cambria" w:hAnsi="Cambria"/>
                <w:bCs/>
                <w:sz w:val="20"/>
                <w:szCs w:val="20"/>
                <w:lang w:val="es-CO"/>
              </w:rPr>
              <w:t xml:space="preserve">de </w:t>
            </w:r>
            <w:r w:rsidR="00B63A36">
              <w:rPr>
                <w:rFonts w:ascii="Cambria" w:hAnsi="Cambria"/>
                <w:bCs/>
                <w:sz w:val="20"/>
                <w:szCs w:val="20"/>
                <w:lang w:val="es-CO"/>
              </w:rPr>
              <w:t>Belém</w:t>
            </w:r>
            <w:r w:rsidR="003841CF">
              <w:rPr>
                <w:rFonts w:ascii="Cambria" w:hAnsi="Cambria"/>
                <w:bCs/>
                <w:sz w:val="20"/>
                <w:szCs w:val="20"/>
                <w:lang w:val="es-CO"/>
              </w:rPr>
              <w:t xml:space="preserve"> do Pará</w:t>
            </w:r>
          </w:p>
        </w:tc>
      </w:tr>
      <w:tr w:rsidR="003239B8" w:rsidRPr="00611207" w14:paraId="7EC86810" w14:textId="77777777" w:rsidTr="004A6A54">
        <w:trPr>
          <w:cantSplit/>
        </w:trPr>
        <w:tc>
          <w:tcPr>
            <w:tcW w:w="3600" w:type="dxa"/>
            <w:tcBorders>
              <w:top w:val="single" w:sz="6" w:space="0" w:color="auto"/>
              <w:bottom w:val="single" w:sz="6" w:space="0" w:color="auto"/>
            </w:tcBorders>
            <w:shd w:val="clear" w:color="auto" w:fill="386294"/>
            <w:vAlign w:val="center"/>
          </w:tcPr>
          <w:p w14:paraId="69BFFDC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05789A69" w14:textId="62223CDD" w:rsidR="003239B8" w:rsidRPr="00DC24E3" w:rsidRDefault="003B148F" w:rsidP="008D2290">
            <w:pPr>
              <w:rPr>
                <w:rFonts w:ascii="Cambria" w:hAnsi="Cambria"/>
                <w:bCs/>
                <w:sz w:val="20"/>
                <w:szCs w:val="20"/>
                <w:lang w:val="es-ES"/>
              </w:rPr>
            </w:pPr>
            <w:r>
              <w:rPr>
                <w:rFonts w:ascii="Cambria" w:hAnsi="Cambria"/>
                <w:bCs/>
                <w:sz w:val="20"/>
                <w:szCs w:val="20"/>
                <w:lang w:val="es-ES"/>
              </w:rPr>
              <w:t>Sí, en los término</w:t>
            </w:r>
            <w:r w:rsidR="001B1639">
              <w:rPr>
                <w:rFonts w:ascii="Cambria" w:hAnsi="Cambria"/>
                <w:bCs/>
                <w:sz w:val="20"/>
                <w:szCs w:val="20"/>
                <w:lang w:val="es-ES"/>
              </w:rPr>
              <w:t>s</w:t>
            </w:r>
            <w:r>
              <w:rPr>
                <w:rFonts w:ascii="Cambria" w:hAnsi="Cambria"/>
                <w:bCs/>
                <w:sz w:val="20"/>
                <w:szCs w:val="20"/>
                <w:lang w:val="es-ES"/>
              </w:rPr>
              <w:t xml:space="preserve"> de la sección </w:t>
            </w:r>
            <w:r w:rsidR="001B1639">
              <w:rPr>
                <w:rFonts w:ascii="Cambria" w:hAnsi="Cambria"/>
                <w:bCs/>
                <w:sz w:val="20"/>
                <w:szCs w:val="20"/>
                <w:lang w:val="es-ES"/>
              </w:rPr>
              <w:t>VI</w:t>
            </w:r>
          </w:p>
        </w:tc>
      </w:tr>
      <w:tr w:rsidR="003239B8" w:rsidRPr="00611207" w14:paraId="620B4D24" w14:textId="77777777" w:rsidTr="004A6A54">
        <w:trPr>
          <w:cantSplit/>
        </w:trPr>
        <w:tc>
          <w:tcPr>
            <w:tcW w:w="3600" w:type="dxa"/>
            <w:tcBorders>
              <w:top w:val="single" w:sz="6" w:space="0" w:color="auto"/>
              <w:bottom w:val="single" w:sz="6" w:space="0" w:color="auto"/>
            </w:tcBorders>
            <w:shd w:val="clear" w:color="auto" w:fill="386294"/>
            <w:vAlign w:val="center"/>
          </w:tcPr>
          <w:p w14:paraId="694D174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D84284F" w14:textId="4D18C93F" w:rsidR="003239B8" w:rsidRPr="001B1639" w:rsidRDefault="001B1639"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669B543D"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1AACDBF" w14:textId="4C05F0DE" w:rsidR="00517016" w:rsidRDefault="00AE25F5" w:rsidP="00D85B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1.</w:t>
      </w:r>
      <w:r>
        <w:rPr>
          <w:sz w:val="20"/>
          <w:szCs w:val="20"/>
          <w:lang w:val="es-AR"/>
        </w:rPr>
        <w:tab/>
      </w:r>
      <w:r w:rsidR="00517016">
        <w:rPr>
          <w:sz w:val="20"/>
          <w:szCs w:val="20"/>
          <w:lang w:val="es-AR"/>
        </w:rPr>
        <w:t>L</w:t>
      </w:r>
      <w:r w:rsidR="000E28C0">
        <w:rPr>
          <w:sz w:val="20"/>
          <w:szCs w:val="20"/>
          <w:lang w:val="es-AR"/>
        </w:rPr>
        <w:t>a parte</w:t>
      </w:r>
      <w:r w:rsidR="00517016">
        <w:rPr>
          <w:sz w:val="20"/>
          <w:szCs w:val="20"/>
          <w:lang w:val="es-AR"/>
        </w:rPr>
        <w:t xml:space="preserve"> peticionari</w:t>
      </w:r>
      <w:r w:rsidR="000E28C0">
        <w:rPr>
          <w:sz w:val="20"/>
          <w:szCs w:val="20"/>
          <w:lang w:val="es-AR"/>
        </w:rPr>
        <w:t>a</w:t>
      </w:r>
      <w:r w:rsidR="00517016">
        <w:rPr>
          <w:sz w:val="20"/>
          <w:szCs w:val="20"/>
          <w:lang w:val="es-AR"/>
        </w:rPr>
        <w:t xml:space="preserve"> denuncia el secuestro </w:t>
      </w:r>
      <w:r>
        <w:rPr>
          <w:sz w:val="20"/>
          <w:szCs w:val="20"/>
          <w:lang w:val="es-AR"/>
        </w:rPr>
        <w:t xml:space="preserve">extorsivo </w:t>
      </w:r>
      <w:r w:rsidR="00517016">
        <w:rPr>
          <w:sz w:val="20"/>
          <w:szCs w:val="20"/>
          <w:lang w:val="es-AR"/>
        </w:rPr>
        <w:t xml:space="preserve">de la joven Gemma </w:t>
      </w:r>
      <w:proofErr w:type="spellStart"/>
      <w:r w:rsidR="00517016">
        <w:rPr>
          <w:sz w:val="20"/>
          <w:szCs w:val="20"/>
          <w:lang w:val="es-AR"/>
        </w:rPr>
        <w:t>Mávil</w:t>
      </w:r>
      <w:proofErr w:type="spellEnd"/>
      <w:r w:rsidR="00517016">
        <w:rPr>
          <w:sz w:val="20"/>
          <w:szCs w:val="20"/>
          <w:lang w:val="es-AR"/>
        </w:rPr>
        <w:t xml:space="preserve"> Hernández</w:t>
      </w:r>
      <w:r>
        <w:rPr>
          <w:sz w:val="20"/>
          <w:szCs w:val="20"/>
          <w:lang w:val="es-AR"/>
        </w:rPr>
        <w:t>,</w:t>
      </w:r>
      <w:r w:rsidR="001805FE">
        <w:rPr>
          <w:sz w:val="20"/>
          <w:szCs w:val="20"/>
          <w:lang w:val="es-AR"/>
        </w:rPr>
        <w:t xml:space="preserve"> así como</w:t>
      </w:r>
      <w:r>
        <w:rPr>
          <w:sz w:val="20"/>
          <w:szCs w:val="20"/>
          <w:lang w:val="es-AR"/>
        </w:rPr>
        <w:t xml:space="preserve"> </w:t>
      </w:r>
      <w:r w:rsidR="001805FE">
        <w:rPr>
          <w:sz w:val="20"/>
          <w:szCs w:val="20"/>
          <w:lang w:val="es-AR"/>
        </w:rPr>
        <w:t>la falta de debida diligencia en la investigación</w:t>
      </w:r>
      <w:r w:rsidR="00293461">
        <w:rPr>
          <w:sz w:val="20"/>
          <w:szCs w:val="20"/>
          <w:lang w:val="es-AR"/>
        </w:rPr>
        <w:t xml:space="preserve"> del hecho</w:t>
      </w:r>
      <w:r w:rsidR="00DA6D81">
        <w:rPr>
          <w:sz w:val="20"/>
          <w:szCs w:val="20"/>
          <w:lang w:val="es-AR"/>
        </w:rPr>
        <w:t xml:space="preserve">, la desaparición de </w:t>
      </w:r>
      <w:r w:rsidR="005E2385">
        <w:rPr>
          <w:sz w:val="20"/>
          <w:szCs w:val="20"/>
          <w:lang w:val="es-AR"/>
        </w:rPr>
        <w:t>su</w:t>
      </w:r>
      <w:r w:rsidR="00DA6D81">
        <w:rPr>
          <w:sz w:val="20"/>
          <w:szCs w:val="20"/>
          <w:lang w:val="es-AR"/>
        </w:rPr>
        <w:t xml:space="preserve">s restos </w:t>
      </w:r>
      <w:r w:rsidR="001805FE">
        <w:rPr>
          <w:sz w:val="20"/>
          <w:szCs w:val="20"/>
          <w:lang w:val="es-AR"/>
        </w:rPr>
        <w:t>y la impunidad</w:t>
      </w:r>
      <w:r w:rsidR="000924AF">
        <w:rPr>
          <w:sz w:val="20"/>
          <w:szCs w:val="20"/>
          <w:lang w:val="es-AR"/>
        </w:rPr>
        <w:t xml:space="preserve"> </w:t>
      </w:r>
      <w:r w:rsidR="00FA1853">
        <w:rPr>
          <w:sz w:val="20"/>
          <w:szCs w:val="20"/>
          <w:lang w:val="es-AR"/>
        </w:rPr>
        <w:t xml:space="preserve">sobre </w:t>
      </w:r>
      <w:r w:rsidR="000924AF">
        <w:rPr>
          <w:sz w:val="20"/>
          <w:szCs w:val="20"/>
          <w:lang w:val="es-AR"/>
        </w:rPr>
        <w:t>su</w:t>
      </w:r>
      <w:r w:rsidR="00B2445E">
        <w:rPr>
          <w:sz w:val="20"/>
          <w:szCs w:val="20"/>
          <w:lang w:val="es-AR"/>
        </w:rPr>
        <w:t xml:space="preserve"> alegada</w:t>
      </w:r>
      <w:r w:rsidR="000924AF">
        <w:rPr>
          <w:sz w:val="20"/>
          <w:szCs w:val="20"/>
          <w:lang w:val="es-AR"/>
        </w:rPr>
        <w:t xml:space="preserve"> violación sexual y posterior asesinato</w:t>
      </w:r>
      <w:r w:rsidR="001805FE">
        <w:rPr>
          <w:sz w:val="20"/>
          <w:szCs w:val="20"/>
          <w:lang w:val="es-AR"/>
        </w:rPr>
        <w:t>.</w:t>
      </w:r>
    </w:p>
    <w:p w14:paraId="2ABE3E34" w14:textId="5A464172" w:rsidR="0039274C" w:rsidRDefault="0039274C" w:rsidP="00D85B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2.</w:t>
      </w:r>
      <w:r>
        <w:rPr>
          <w:sz w:val="20"/>
          <w:szCs w:val="20"/>
          <w:lang w:val="es-AR"/>
        </w:rPr>
        <w:tab/>
      </w:r>
      <w:r w:rsidR="00B22BCB">
        <w:rPr>
          <w:sz w:val="20"/>
          <w:szCs w:val="20"/>
          <w:lang w:val="es-AR"/>
        </w:rPr>
        <w:t>L</w:t>
      </w:r>
      <w:r w:rsidR="002035A0">
        <w:rPr>
          <w:sz w:val="20"/>
          <w:szCs w:val="20"/>
          <w:lang w:val="es-AR"/>
        </w:rPr>
        <w:t>a parte</w:t>
      </w:r>
      <w:r w:rsidR="00B22BCB">
        <w:rPr>
          <w:sz w:val="20"/>
          <w:szCs w:val="20"/>
          <w:lang w:val="es-AR"/>
        </w:rPr>
        <w:t xml:space="preserve"> peticionari</w:t>
      </w:r>
      <w:r w:rsidR="002035A0">
        <w:rPr>
          <w:sz w:val="20"/>
          <w:szCs w:val="20"/>
          <w:lang w:val="es-AR"/>
        </w:rPr>
        <w:t>a</w:t>
      </w:r>
      <w:r w:rsidR="00B22BCB">
        <w:rPr>
          <w:sz w:val="20"/>
          <w:szCs w:val="20"/>
          <w:lang w:val="es-AR"/>
        </w:rPr>
        <w:t xml:space="preserve"> </w:t>
      </w:r>
      <w:r w:rsidR="00B76406">
        <w:rPr>
          <w:sz w:val="20"/>
          <w:szCs w:val="20"/>
          <w:lang w:val="es-AR"/>
        </w:rPr>
        <w:t>narra</w:t>
      </w:r>
      <w:r w:rsidR="00CA2F76">
        <w:rPr>
          <w:sz w:val="20"/>
          <w:szCs w:val="20"/>
          <w:lang w:val="es-AR"/>
        </w:rPr>
        <w:t xml:space="preserve"> que el 3 de mayo de 2011 </w:t>
      </w:r>
      <w:r w:rsidR="00486617">
        <w:rPr>
          <w:sz w:val="20"/>
          <w:szCs w:val="20"/>
          <w:lang w:val="es-AR"/>
        </w:rPr>
        <w:t>el señor Pedro</w:t>
      </w:r>
      <w:r w:rsidR="00057F8A">
        <w:rPr>
          <w:sz w:val="20"/>
          <w:szCs w:val="20"/>
          <w:lang w:val="es-AR"/>
        </w:rPr>
        <w:t xml:space="preserve"> Manuel</w:t>
      </w:r>
      <w:r w:rsidR="00486617">
        <w:rPr>
          <w:sz w:val="20"/>
          <w:szCs w:val="20"/>
          <w:lang w:val="es-AR"/>
        </w:rPr>
        <w:t xml:space="preserve"> </w:t>
      </w:r>
      <w:r w:rsidR="00057F8A">
        <w:rPr>
          <w:sz w:val="20"/>
          <w:szCs w:val="20"/>
          <w:lang w:val="es-AR"/>
        </w:rPr>
        <w:t xml:space="preserve">Martínez </w:t>
      </w:r>
      <w:proofErr w:type="spellStart"/>
      <w:r w:rsidR="00486617">
        <w:rPr>
          <w:sz w:val="20"/>
          <w:szCs w:val="20"/>
          <w:lang w:val="es-AR"/>
        </w:rPr>
        <w:t>Mávil</w:t>
      </w:r>
      <w:proofErr w:type="spellEnd"/>
      <w:r w:rsidR="00486617">
        <w:rPr>
          <w:sz w:val="20"/>
          <w:szCs w:val="20"/>
          <w:lang w:val="es-AR"/>
        </w:rPr>
        <w:t xml:space="preserve"> recibió una llamada en la que le anunciaban que habían secuestrado a su hija</w:t>
      </w:r>
      <w:r w:rsidR="00E22430">
        <w:rPr>
          <w:sz w:val="20"/>
          <w:szCs w:val="20"/>
          <w:lang w:val="es-AR"/>
        </w:rPr>
        <w:t>,</w:t>
      </w:r>
      <w:r w:rsidR="00486617">
        <w:rPr>
          <w:sz w:val="20"/>
          <w:szCs w:val="20"/>
          <w:lang w:val="es-AR"/>
        </w:rPr>
        <w:t xml:space="preserve"> </w:t>
      </w:r>
      <w:r w:rsidR="00E22430">
        <w:rPr>
          <w:sz w:val="20"/>
          <w:szCs w:val="20"/>
          <w:lang w:val="es-AR"/>
        </w:rPr>
        <w:t xml:space="preserve">Gemma </w:t>
      </w:r>
      <w:proofErr w:type="spellStart"/>
      <w:r w:rsidR="00E22430">
        <w:rPr>
          <w:sz w:val="20"/>
          <w:szCs w:val="20"/>
          <w:lang w:val="es-AR"/>
        </w:rPr>
        <w:t>Mávil</w:t>
      </w:r>
      <w:proofErr w:type="spellEnd"/>
      <w:r w:rsidR="00E22430">
        <w:rPr>
          <w:sz w:val="20"/>
          <w:szCs w:val="20"/>
          <w:lang w:val="es-AR"/>
        </w:rPr>
        <w:t xml:space="preserve"> Hernández, </w:t>
      </w:r>
      <w:r w:rsidR="00486617">
        <w:rPr>
          <w:sz w:val="20"/>
          <w:szCs w:val="20"/>
          <w:lang w:val="es-AR"/>
        </w:rPr>
        <w:t>en el estado de Veracruz</w:t>
      </w:r>
      <w:r w:rsidR="00E21B05">
        <w:rPr>
          <w:sz w:val="20"/>
          <w:szCs w:val="20"/>
          <w:lang w:val="es-AR"/>
        </w:rPr>
        <w:t>,</w:t>
      </w:r>
      <w:r w:rsidR="00486617">
        <w:rPr>
          <w:sz w:val="20"/>
          <w:szCs w:val="20"/>
          <w:lang w:val="es-AR"/>
        </w:rPr>
        <w:t xml:space="preserve"> cuando </w:t>
      </w:r>
      <w:r w:rsidR="00DF0155">
        <w:rPr>
          <w:sz w:val="20"/>
          <w:szCs w:val="20"/>
          <w:lang w:val="es-AR"/>
        </w:rPr>
        <w:t xml:space="preserve">esta </w:t>
      </w:r>
      <w:r w:rsidR="00486617">
        <w:rPr>
          <w:sz w:val="20"/>
          <w:szCs w:val="20"/>
          <w:lang w:val="es-AR"/>
        </w:rPr>
        <w:t xml:space="preserve">se dirigía de la ciudad de Xico a Xalapa para atender una supuesta entrevista de trabajo. </w:t>
      </w:r>
      <w:r w:rsidR="00012703">
        <w:rPr>
          <w:sz w:val="20"/>
          <w:szCs w:val="20"/>
          <w:lang w:val="es-AR"/>
        </w:rPr>
        <w:t xml:space="preserve">En </w:t>
      </w:r>
      <w:r w:rsidR="00C81888">
        <w:rPr>
          <w:sz w:val="20"/>
          <w:szCs w:val="20"/>
          <w:lang w:val="es-AR"/>
        </w:rPr>
        <w:t xml:space="preserve">la llamada, </w:t>
      </w:r>
      <w:r w:rsidR="00A40CF9">
        <w:rPr>
          <w:sz w:val="20"/>
          <w:szCs w:val="20"/>
          <w:lang w:val="es-AR"/>
        </w:rPr>
        <w:t xml:space="preserve">le </w:t>
      </w:r>
      <w:r w:rsidR="00C81888">
        <w:rPr>
          <w:sz w:val="20"/>
          <w:szCs w:val="20"/>
          <w:lang w:val="es-AR"/>
        </w:rPr>
        <w:t xml:space="preserve">exigían el pago de un millón de pesos mexicanos (alrededor de </w:t>
      </w:r>
      <w:r w:rsidR="00A40CF9">
        <w:rPr>
          <w:sz w:val="20"/>
          <w:szCs w:val="20"/>
          <w:lang w:val="es-AR"/>
        </w:rPr>
        <w:t>USD</w:t>
      </w:r>
      <w:r w:rsidR="00C81888">
        <w:rPr>
          <w:sz w:val="20"/>
          <w:szCs w:val="20"/>
          <w:lang w:val="es-AR"/>
        </w:rPr>
        <w:t>$</w:t>
      </w:r>
      <w:r w:rsidR="00A40CF9">
        <w:rPr>
          <w:sz w:val="20"/>
          <w:szCs w:val="20"/>
          <w:lang w:val="es-AR"/>
        </w:rPr>
        <w:t xml:space="preserve">. </w:t>
      </w:r>
      <w:r w:rsidR="00C81888">
        <w:rPr>
          <w:sz w:val="20"/>
          <w:szCs w:val="20"/>
          <w:lang w:val="es-AR"/>
        </w:rPr>
        <w:t xml:space="preserve">80.700 </w:t>
      </w:r>
      <w:r w:rsidR="00A40CF9">
        <w:rPr>
          <w:sz w:val="20"/>
          <w:szCs w:val="20"/>
          <w:lang w:val="es-AR"/>
        </w:rPr>
        <w:t>en</w:t>
      </w:r>
      <w:r w:rsidR="00C81888">
        <w:rPr>
          <w:sz w:val="20"/>
          <w:szCs w:val="20"/>
          <w:lang w:val="es-AR"/>
        </w:rPr>
        <w:t xml:space="preserve"> </w:t>
      </w:r>
      <w:r w:rsidR="00254DF9">
        <w:rPr>
          <w:sz w:val="20"/>
          <w:szCs w:val="20"/>
          <w:lang w:val="es-AR"/>
        </w:rPr>
        <w:t>esa época</w:t>
      </w:r>
      <w:r w:rsidR="00C81888">
        <w:rPr>
          <w:sz w:val="20"/>
          <w:szCs w:val="20"/>
          <w:lang w:val="es-AR"/>
        </w:rPr>
        <w:t>) por la liberación de la presunta víctima. En</w:t>
      </w:r>
      <w:r w:rsidR="00012703">
        <w:rPr>
          <w:sz w:val="20"/>
          <w:szCs w:val="20"/>
          <w:lang w:val="es-AR"/>
        </w:rPr>
        <w:t xml:space="preserve">seguida la familia </w:t>
      </w:r>
      <w:r w:rsidR="006017C0">
        <w:rPr>
          <w:sz w:val="20"/>
          <w:szCs w:val="20"/>
          <w:lang w:val="es-AR"/>
        </w:rPr>
        <w:t>a</w:t>
      </w:r>
      <w:r w:rsidR="00C81888">
        <w:rPr>
          <w:sz w:val="20"/>
          <w:szCs w:val="20"/>
          <w:lang w:val="es-AR"/>
        </w:rPr>
        <w:t>cudi</w:t>
      </w:r>
      <w:r w:rsidR="006017C0">
        <w:rPr>
          <w:sz w:val="20"/>
          <w:szCs w:val="20"/>
          <w:lang w:val="es-AR"/>
        </w:rPr>
        <w:t xml:space="preserve">ó a la </w:t>
      </w:r>
      <w:r w:rsidR="00C81888">
        <w:rPr>
          <w:sz w:val="20"/>
          <w:szCs w:val="20"/>
          <w:lang w:val="es-AR"/>
        </w:rPr>
        <w:t>Procuraduría General del Estado para denunciar el secuestro</w:t>
      </w:r>
      <w:r w:rsidR="00CD1EBB">
        <w:rPr>
          <w:sz w:val="20"/>
          <w:szCs w:val="20"/>
          <w:lang w:val="es-AR"/>
        </w:rPr>
        <w:t>,</w:t>
      </w:r>
      <w:r w:rsidR="00C81888">
        <w:rPr>
          <w:sz w:val="20"/>
          <w:szCs w:val="20"/>
          <w:lang w:val="es-AR"/>
        </w:rPr>
        <w:t xml:space="preserve"> lo que </w:t>
      </w:r>
      <w:r w:rsidR="00CD1EBB">
        <w:rPr>
          <w:sz w:val="20"/>
          <w:szCs w:val="20"/>
          <w:lang w:val="es-AR"/>
        </w:rPr>
        <w:t>condujo a</w:t>
      </w:r>
      <w:r w:rsidR="00C81888">
        <w:rPr>
          <w:sz w:val="20"/>
          <w:szCs w:val="20"/>
          <w:lang w:val="es-AR"/>
        </w:rPr>
        <w:t xml:space="preserve"> un operativo</w:t>
      </w:r>
      <w:r w:rsidR="002D1EDE">
        <w:rPr>
          <w:sz w:val="20"/>
          <w:szCs w:val="20"/>
          <w:lang w:val="es-AR"/>
        </w:rPr>
        <w:t>,</w:t>
      </w:r>
      <w:r w:rsidR="00C81888">
        <w:rPr>
          <w:sz w:val="20"/>
          <w:szCs w:val="20"/>
          <w:lang w:val="es-AR"/>
        </w:rPr>
        <w:t xml:space="preserve"> llevado a cabo </w:t>
      </w:r>
      <w:r w:rsidR="002D1EDE">
        <w:rPr>
          <w:sz w:val="20"/>
          <w:szCs w:val="20"/>
          <w:lang w:val="es-AR"/>
        </w:rPr>
        <w:t xml:space="preserve">el 4 de mayo de 2011 </w:t>
      </w:r>
      <w:r w:rsidR="00C81888">
        <w:rPr>
          <w:sz w:val="20"/>
          <w:szCs w:val="20"/>
          <w:lang w:val="es-AR"/>
        </w:rPr>
        <w:t>por la Unidad Especializada en Combate al Secuestro</w:t>
      </w:r>
      <w:r w:rsidR="002D1EDE">
        <w:rPr>
          <w:sz w:val="20"/>
          <w:szCs w:val="20"/>
          <w:lang w:val="es-AR"/>
        </w:rPr>
        <w:t>,</w:t>
      </w:r>
      <w:r w:rsidR="00C81888">
        <w:rPr>
          <w:sz w:val="20"/>
          <w:szCs w:val="20"/>
          <w:lang w:val="es-AR"/>
        </w:rPr>
        <w:t xml:space="preserve"> </w:t>
      </w:r>
      <w:r w:rsidR="002D344D">
        <w:rPr>
          <w:sz w:val="20"/>
          <w:szCs w:val="20"/>
          <w:lang w:val="es-AR"/>
        </w:rPr>
        <w:t xml:space="preserve">en el que detuvieron a tres personas que pretendían recibir el pago de la extorsión. </w:t>
      </w:r>
      <w:r w:rsidR="00974DA9">
        <w:rPr>
          <w:sz w:val="20"/>
          <w:szCs w:val="20"/>
          <w:lang w:val="es-AR"/>
        </w:rPr>
        <w:t>L</w:t>
      </w:r>
      <w:r w:rsidR="00E75E90">
        <w:rPr>
          <w:sz w:val="20"/>
          <w:szCs w:val="20"/>
          <w:lang w:val="es-AR"/>
        </w:rPr>
        <w:t>a parte</w:t>
      </w:r>
      <w:r w:rsidR="00B44A99">
        <w:rPr>
          <w:sz w:val="20"/>
          <w:szCs w:val="20"/>
          <w:lang w:val="es-AR"/>
        </w:rPr>
        <w:t xml:space="preserve"> peticionari</w:t>
      </w:r>
      <w:r w:rsidR="00E75E90">
        <w:rPr>
          <w:sz w:val="20"/>
          <w:szCs w:val="20"/>
          <w:lang w:val="es-AR"/>
        </w:rPr>
        <w:t>a</w:t>
      </w:r>
      <w:r w:rsidR="00B44A99">
        <w:rPr>
          <w:sz w:val="20"/>
          <w:szCs w:val="20"/>
          <w:lang w:val="es-AR"/>
        </w:rPr>
        <w:t xml:space="preserve"> </w:t>
      </w:r>
      <w:r w:rsidR="00B76406">
        <w:rPr>
          <w:sz w:val="20"/>
          <w:szCs w:val="20"/>
          <w:lang w:val="es-AR"/>
        </w:rPr>
        <w:t>alega</w:t>
      </w:r>
      <w:r w:rsidR="00B44A99">
        <w:rPr>
          <w:sz w:val="20"/>
          <w:szCs w:val="20"/>
          <w:lang w:val="es-AR"/>
        </w:rPr>
        <w:t xml:space="preserve"> que después del operativo las autoridades co</w:t>
      </w:r>
      <w:r w:rsidR="00B47144">
        <w:rPr>
          <w:sz w:val="20"/>
          <w:szCs w:val="20"/>
          <w:lang w:val="es-AR"/>
        </w:rPr>
        <w:t>metie</w:t>
      </w:r>
      <w:r w:rsidR="00B44A99">
        <w:rPr>
          <w:sz w:val="20"/>
          <w:szCs w:val="20"/>
          <w:lang w:val="es-AR"/>
        </w:rPr>
        <w:t xml:space="preserve">ron </w:t>
      </w:r>
      <w:r w:rsidR="00B47144">
        <w:rPr>
          <w:sz w:val="20"/>
          <w:szCs w:val="20"/>
          <w:lang w:val="es-AR"/>
        </w:rPr>
        <w:t xml:space="preserve">una serie de irregularidades en </w:t>
      </w:r>
      <w:r w:rsidR="00B44A99">
        <w:rPr>
          <w:sz w:val="20"/>
          <w:szCs w:val="20"/>
          <w:lang w:val="es-AR"/>
        </w:rPr>
        <w:t xml:space="preserve">la investigación del paradero de la presunta víctima, </w:t>
      </w:r>
      <w:r w:rsidR="00A97391">
        <w:rPr>
          <w:sz w:val="20"/>
          <w:szCs w:val="20"/>
          <w:lang w:val="es-AR"/>
        </w:rPr>
        <w:t>pues libera</w:t>
      </w:r>
      <w:r w:rsidR="00642D93">
        <w:rPr>
          <w:sz w:val="20"/>
          <w:szCs w:val="20"/>
          <w:lang w:val="es-AR"/>
        </w:rPr>
        <w:t>ron</w:t>
      </w:r>
      <w:r w:rsidR="00A97391">
        <w:rPr>
          <w:sz w:val="20"/>
          <w:szCs w:val="20"/>
          <w:lang w:val="es-AR"/>
        </w:rPr>
        <w:t xml:space="preserve"> a una </w:t>
      </w:r>
      <w:r w:rsidR="00B47144">
        <w:rPr>
          <w:sz w:val="20"/>
          <w:szCs w:val="20"/>
          <w:lang w:val="es-AR"/>
        </w:rPr>
        <w:t xml:space="preserve">mujer que fue </w:t>
      </w:r>
      <w:r w:rsidR="00A97391">
        <w:rPr>
          <w:sz w:val="20"/>
          <w:szCs w:val="20"/>
          <w:lang w:val="es-AR"/>
        </w:rPr>
        <w:t xml:space="preserve">detenida, </w:t>
      </w:r>
      <w:r w:rsidR="00B839A0">
        <w:rPr>
          <w:sz w:val="20"/>
          <w:szCs w:val="20"/>
          <w:lang w:val="es-AR"/>
        </w:rPr>
        <w:t>un hombre habría fallecido durante el interrogatorio</w:t>
      </w:r>
      <w:r w:rsidR="0003425F">
        <w:rPr>
          <w:sz w:val="20"/>
          <w:szCs w:val="20"/>
          <w:lang w:val="es-AR"/>
        </w:rPr>
        <w:t>,</w:t>
      </w:r>
      <w:r w:rsidR="00B839A0">
        <w:rPr>
          <w:sz w:val="20"/>
          <w:szCs w:val="20"/>
          <w:lang w:val="es-AR"/>
        </w:rPr>
        <w:t xml:space="preserve"> y sólo el último </w:t>
      </w:r>
      <w:r w:rsidR="00642D93">
        <w:rPr>
          <w:sz w:val="20"/>
          <w:szCs w:val="20"/>
          <w:lang w:val="es-AR"/>
        </w:rPr>
        <w:t xml:space="preserve">fue </w:t>
      </w:r>
      <w:r w:rsidR="00B839A0">
        <w:rPr>
          <w:sz w:val="20"/>
          <w:szCs w:val="20"/>
          <w:lang w:val="es-AR"/>
        </w:rPr>
        <w:t>puesto a disposición del Ministerio Público</w:t>
      </w:r>
      <w:r w:rsidR="00B47144">
        <w:rPr>
          <w:sz w:val="20"/>
          <w:szCs w:val="20"/>
          <w:lang w:val="es-AR"/>
        </w:rPr>
        <w:t xml:space="preserve"> y condenado </w:t>
      </w:r>
      <w:r w:rsidR="00F02B82">
        <w:rPr>
          <w:sz w:val="20"/>
          <w:szCs w:val="20"/>
          <w:lang w:val="es-AR"/>
        </w:rPr>
        <w:t xml:space="preserve">a </w:t>
      </w:r>
      <w:r w:rsidR="0003425F">
        <w:rPr>
          <w:sz w:val="20"/>
          <w:szCs w:val="20"/>
          <w:lang w:val="es-AR"/>
        </w:rPr>
        <w:t>veinticinco</w:t>
      </w:r>
      <w:r w:rsidR="00F02B82">
        <w:rPr>
          <w:sz w:val="20"/>
          <w:szCs w:val="20"/>
          <w:lang w:val="es-AR"/>
        </w:rPr>
        <w:t xml:space="preserve"> años </w:t>
      </w:r>
      <w:r w:rsidR="0003425F">
        <w:rPr>
          <w:sz w:val="20"/>
          <w:szCs w:val="20"/>
          <w:lang w:val="es-AR"/>
        </w:rPr>
        <w:t xml:space="preserve">de prisión </w:t>
      </w:r>
      <w:r w:rsidR="00F02B82">
        <w:rPr>
          <w:sz w:val="20"/>
          <w:szCs w:val="20"/>
          <w:lang w:val="es-AR"/>
        </w:rPr>
        <w:t>por el delito de secuestro</w:t>
      </w:r>
      <w:r w:rsidR="00E12C25">
        <w:rPr>
          <w:sz w:val="20"/>
          <w:szCs w:val="20"/>
          <w:lang w:val="es-AR"/>
        </w:rPr>
        <w:t xml:space="preserve"> agravado</w:t>
      </w:r>
      <w:r w:rsidR="00B839A0">
        <w:rPr>
          <w:sz w:val="20"/>
          <w:szCs w:val="20"/>
          <w:lang w:val="es-AR"/>
        </w:rPr>
        <w:t>.</w:t>
      </w:r>
    </w:p>
    <w:p w14:paraId="6A05042B" w14:textId="5EBCA7E5" w:rsidR="0060650B" w:rsidRDefault="0060650B" w:rsidP="00D85B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3.</w:t>
      </w:r>
      <w:r>
        <w:rPr>
          <w:sz w:val="20"/>
          <w:szCs w:val="20"/>
          <w:lang w:val="es-AR"/>
        </w:rPr>
        <w:tab/>
      </w:r>
      <w:r w:rsidR="006C627D">
        <w:rPr>
          <w:sz w:val="20"/>
          <w:szCs w:val="20"/>
          <w:lang w:val="es-AR"/>
        </w:rPr>
        <w:t xml:space="preserve">El señor Pedro </w:t>
      </w:r>
      <w:proofErr w:type="spellStart"/>
      <w:r w:rsidR="006C627D">
        <w:rPr>
          <w:sz w:val="20"/>
          <w:szCs w:val="20"/>
          <w:lang w:val="es-AR"/>
        </w:rPr>
        <w:t>Mávil</w:t>
      </w:r>
      <w:proofErr w:type="spellEnd"/>
      <w:r w:rsidR="006C627D">
        <w:rPr>
          <w:sz w:val="20"/>
          <w:szCs w:val="20"/>
          <w:lang w:val="es-AR"/>
        </w:rPr>
        <w:t xml:space="preserve"> manifiesta que pese a que la Unidad Especializada en Combate al Secuestro inici</w:t>
      </w:r>
      <w:r w:rsidR="000665D4">
        <w:rPr>
          <w:sz w:val="20"/>
          <w:szCs w:val="20"/>
          <w:lang w:val="es-AR"/>
        </w:rPr>
        <w:t>ó</w:t>
      </w:r>
      <w:r w:rsidR="006C627D">
        <w:rPr>
          <w:sz w:val="20"/>
          <w:szCs w:val="20"/>
          <w:lang w:val="es-AR"/>
        </w:rPr>
        <w:t xml:space="preserve"> la investigación ministerial número 32/UECS-DIM/2011 por la desaparición de la joven </w:t>
      </w:r>
      <w:proofErr w:type="spellStart"/>
      <w:r w:rsidR="006C627D">
        <w:rPr>
          <w:sz w:val="20"/>
          <w:szCs w:val="20"/>
          <w:lang w:val="es-AR"/>
        </w:rPr>
        <w:t>Máv</w:t>
      </w:r>
      <w:r w:rsidR="00C73E7B">
        <w:rPr>
          <w:sz w:val="20"/>
          <w:szCs w:val="20"/>
          <w:lang w:val="es-AR"/>
        </w:rPr>
        <w:t>i</w:t>
      </w:r>
      <w:r w:rsidR="006C627D">
        <w:rPr>
          <w:sz w:val="20"/>
          <w:szCs w:val="20"/>
          <w:lang w:val="es-AR"/>
        </w:rPr>
        <w:t>l</w:t>
      </w:r>
      <w:proofErr w:type="spellEnd"/>
      <w:r w:rsidR="006C627D">
        <w:rPr>
          <w:sz w:val="20"/>
          <w:szCs w:val="20"/>
          <w:lang w:val="es-AR"/>
        </w:rPr>
        <w:t xml:space="preserve"> Hernández, </w:t>
      </w:r>
      <w:r w:rsidR="000665D4">
        <w:rPr>
          <w:sz w:val="20"/>
          <w:szCs w:val="20"/>
          <w:lang w:val="es-AR"/>
        </w:rPr>
        <w:t>su</w:t>
      </w:r>
      <w:r w:rsidR="006C627D">
        <w:rPr>
          <w:sz w:val="20"/>
          <w:szCs w:val="20"/>
          <w:lang w:val="es-AR"/>
        </w:rPr>
        <w:t xml:space="preserve"> familia se sintió obligada a investigar por cuenta propia </w:t>
      </w:r>
      <w:r w:rsidR="000665D4">
        <w:rPr>
          <w:sz w:val="20"/>
          <w:szCs w:val="20"/>
          <w:lang w:val="es-AR"/>
        </w:rPr>
        <w:t>su</w:t>
      </w:r>
      <w:r w:rsidR="00253013">
        <w:rPr>
          <w:sz w:val="20"/>
          <w:szCs w:val="20"/>
          <w:lang w:val="es-AR"/>
        </w:rPr>
        <w:t xml:space="preserve"> </w:t>
      </w:r>
      <w:r w:rsidR="006C627D">
        <w:rPr>
          <w:sz w:val="20"/>
          <w:szCs w:val="20"/>
          <w:lang w:val="es-AR"/>
        </w:rPr>
        <w:t>paradero</w:t>
      </w:r>
      <w:r w:rsidR="000665D4">
        <w:rPr>
          <w:sz w:val="20"/>
          <w:szCs w:val="20"/>
          <w:lang w:val="es-AR"/>
        </w:rPr>
        <w:t>.</w:t>
      </w:r>
      <w:r w:rsidR="00253013">
        <w:rPr>
          <w:sz w:val="20"/>
          <w:szCs w:val="20"/>
          <w:lang w:val="es-AR"/>
        </w:rPr>
        <w:t xml:space="preserve"> </w:t>
      </w:r>
      <w:r w:rsidR="000665D4">
        <w:rPr>
          <w:sz w:val="20"/>
          <w:szCs w:val="20"/>
          <w:lang w:val="es-AR"/>
        </w:rPr>
        <w:t>Así</w:t>
      </w:r>
      <w:r w:rsidR="006C627D">
        <w:rPr>
          <w:sz w:val="20"/>
          <w:szCs w:val="20"/>
          <w:lang w:val="es-AR"/>
        </w:rPr>
        <w:t>, un mes y medio después de</w:t>
      </w:r>
      <w:r w:rsidR="000665D4">
        <w:rPr>
          <w:sz w:val="20"/>
          <w:szCs w:val="20"/>
          <w:lang w:val="es-AR"/>
        </w:rPr>
        <w:t>l</w:t>
      </w:r>
      <w:r w:rsidR="006C627D">
        <w:rPr>
          <w:sz w:val="20"/>
          <w:szCs w:val="20"/>
          <w:lang w:val="es-AR"/>
        </w:rPr>
        <w:t xml:space="preserve"> secuestro, la familia </w:t>
      </w:r>
      <w:r w:rsidR="00AB367F">
        <w:rPr>
          <w:sz w:val="20"/>
          <w:szCs w:val="20"/>
          <w:lang w:val="es-AR"/>
        </w:rPr>
        <w:t>fue contactada</w:t>
      </w:r>
      <w:r w:rsidR="006C627D">
        <w:rPr>
          <w:sz w:val="20"/>
          <w:szCs w:val="20"/>
          <w:lang w:val="es-AR"/>
        </w:rPr>
        <w:t xml:space="preserve"> nuevamente con </w:t>
      </w:r>
      <w:r w:rsidR="00AB367F">
        <w:rPr>
          <w:sz w:val="20"/>
          <w:szCs w:val="20"/>
          <w:lang w:val="es-AR"/>
        </w:rPr>
        <w:t>una</w:t>
      </w:r>
      <w:r w:rsidR="006C627D">
        <w:rPr>
          <w:sz w:val="20"/>
          <w:szCs w:val="20"/>
          <w:lang w:val="es-AR"/>
        </w:rPr>
        <w:t xml:space="preserve"> solicitud del pago de una nueva extorsión mediante depósito bancario, por lo que el señor Pedro </w:t>
      </w:r>
      <w:proofErr w:type="spellStart"/>
      <w:r w:rsidR="006C627D">
        <w:rPr>
          <w:sz w:val="20"/>
          <w:szCs w:val="20"/>
          <w:lang w:val="es-AR"/>
        </w:rPr>
        <w:t>Mávil</w:t>
      </w:r>
      <w:proofErr w:type="spellEnd"/>
      <w:r w:rsidR="006C627D">
        <w:rPr>
          <w:sz w:val="20"/>
          <w:szCs w:val="20"/>
          <w:lang w:val="es-AR"/>
        </w:rPr>
        <w:t xml:space="preserve"> </w:t>
      </w:r>
      <w:r w:rsidR="000665D4">
        <w:rPr>
          <w:sz w:val="20"/>
          <w:szCs w:val="20"/>
          <w:lang w:val="es-AR"/>
        </w:rPr>
        <w:t>solicitó</w:t>
      </w:r>
      <w:r w:rsidR="006C627D">
        <w:rPr>
          <w:sz w:val="20"/>
          <w:szCs w:val="20"/>
          <w:lang w:val="es-AR"/>
        </w:rPr>
        <w:t xml:space="preserve"> al gerente del banco el nombre de la persona titular de la cuenta</w:t>
      </w:r>
      <w:r w:rsidR="000665D4">
        <w:rPr>
          <w:sz w:val="20"/>
          <w:szCs w:val="20"/>
          <w:lang w:val="es-AR"/>
        </w:rPr>
        <w:t>,</w:t>
      </w:r>
      <w:r w:rsidR="006C627D">
        <w:rPr>
          <w:sz w:val="20"/>
          <w:szCs w:val="20"/>
          <w:lang w:val="es-AR"/>
        </w:rPr>
        <w:t xml:space="preserve"> </w:t>
      </w:r>
      <w:r w:rsidR="000665D4">
        <w:rPr>
          <w:sz w:val="20"/>
          <w:szCs w:val="20"/>
          <w:lang w:val="es-AR"/>
        </w:rPr>
        <w:t>descubriendo</w:t>
      </w:r>
      <w:r w:rsidR="006C627D">
        <w:rPr>
          <w:sz w:val="20"/>
          <w:szCs w:val="20"/>
          <w:lang w:val="es-AR"/>
        </w:rPr>
        <w:t xml:space="preserve"> que se trataba de una mujer que tenía antecedentes penales. El </w:t>
      </w:r>
      <w:r w:rsidR="00B13BF9">
        <w:rPr>
          <w:sz w:val="20"/>
          <w:szCs w:val="20"/>
          <w:lang w:val="es-AR"/>
        </w:rPr>
        <w:t xml:space="preserve">señor Pedro </w:t>
      </w:r>
      <w:proofErr w:type="spellStart"/>
      <w:r w:rsidR="00B13BF9">
        <w:rPr>
          <w:sz w:val="20"/>
          <w:szCs w:val="20"/>
          <w:lang w:val="es-AR"/>
        </w:rPr>
        <w:t>Mávil</w:t>
      </w:r>
      <w:proofErr w:type="spellEnd"/>
      <w:r w:rsidR="00B13BF9">
        <w:rPr>
          <w:sz w:val="20"/>
          <w:szCs w:val="20"/>
          <w:lang w:val="es-AR"/>
        </w:rPr>
        <w:t xml:space="preserve"> </w:t>
      </w:r>
      <w:r w:rsidR="000665D4">
        <w:rPr>
          <w:sz w:val="20"/>
          <w:szCs w:val="20"/>
          <w:lang w:val="es-AR"/>
        </w:rPr>
        <w:t>solicitó</w:t>
      </w:r>
      <w:r w:rsidR="00B13BF9">
        <w:rPr>
          <w:sz w:val="20"/>
          <w:szCs w:val="20"/>
          <w:lang w:val="es-AR"/>
        </w:rPr>
        <w:t xml:space="preserve"> al Ministerio Público que emitiera una orden de presentación de la titular de la cuenta bancaria y que se practicara prueba pericial sobre los audios de las llamadas que había recibido por el secuestro de su hija, sin que la </w:t>
      </w:r>
      <w:r w:rsidR="00D72BB6">
        <w:rPr>
          <w:sz w:val="20"/>
          <w:szCs w:val="20"/>
          <w:lang w:val="es-AR"/>
        </w:rPr>
        <w:t xml:space="preserve">fiscalía </w:t>
      </w:r>
      <w:r w:rsidR="00B13BF9">
        <w:rPr>
          <w:sz w:val="20"/>
          <w:szCs w:val="20"/>
          <w:lang w:val="es-AR"/>
        </w:rPr>
        <w:t>le brindara respuesta</w:t>
      </w:r>
      <w:r w:rsidR="00613F62">
        <w:rPr>
          <w:sz w:val="20"/>
          <w:szCs w:val="20"/>
          <w:lang w:val="es-AR"/>
        </w:rPr>
        <w:t xml:space="preserve"> alguna</w:t>
      </w:r>
      <w:r w:rsidR="00B13BF9">
        <w:rPr>
          <w:sz w:val="20"/>
          <w:szCs w:val="20"/>
          <w:lang w:val="es-AR"/>
        </w:rPr>
        <w:t xml:space="preserve">. </w:t>
      </w:r>
      <w:r w:rsidR="005B7788">
        <w:rPr>
          <w:sz w:val="20"/>
          <w:szCs w:val="20"/>
          <w:lang w:val="es-AR"/>
        </w:rPr>
        <w:t xml:space="preserve">Por </w:t>
      </w:r>
      <w:r w:rsidR="00A70E5F">
        <w:rPr>
          <w:sz w:val="20"/>
          <w:szCs w:val="20"/>
          <w:lang w:val="es-AR"/>
        </w:rPr>
        <w:t>estas</w:t>
      </w:r>
      <w:r w:rsidR="005B7788">
        <w:rPr>
          <w:sz w:val="20"/>
          <w:szCs w:val="20"/>
          <w:lang w:val="es-AR"/>
        </w:rPr>
        <w:t xml:space="preserve"> omisiones </w:t>
      </w:r>
      <w:r w:rsidR="00F925C0">
        <w:rPr>
          <w:sz w:val="20"/>
          <w:szCs w:val="20"/>
          <w:lang w:val="es-AR"/>
        </w:rPr>
        <w:t>evidentes y la</w:t>
      </w:r>
      <w:r w:rsidR="005B7788">
        <w:rPr>
          <w:sz w:val="20"/>
          <w:szCs w:val="20"/>
          <w:lang w:val="es-AR"/>
        </w:rPr>
        <w:t xml:space="preserve"> inactividad del Ministerio Público, el señor Pedro </w:t>
      </w:r>
      <w:proofErr w:type="spellStart"/>
      <w:r w:rsidR="005B7788">
        <w:rPr>
          <w:sz w:val="20"/>
          <w:szCs w:val="20"/>
          <w:lang w:val="es-AR"/>
        </w:rPr>
        <w:t>Mávil</w:t>
      </w:r>
      <w:proofErr w:type="spellEnd"/>
      <w:r w:rsidR="005B7788">
        <w:rPr>
          <w:sz w:val="20"/>
          <w:szCs w:val="20"/>
          <w:lang w:val="es-AR"/>
        </w:rPr>
        <w:t xml:space="preserve"> </w:t>
      </w:r>
      <w:r w:rsidR="00A70E5F">
        <w:rPr>
          <w:sz w:val="20"/>
          <w:szCs w:val="20"/>
          <w:lang w:val="es-AR"/>
        </w:rPr>
        <w:t>presentó</w:t>
      </w:r>
      <w:r w:rsidR="005B7788">
        <w:rPr>
          <w:sz w:val="20"/>
          <w:szCs w:val="20"/>
          <w:lang w:val="es-AR"/>
        </w:rPr>
        <w:t xml:space="preserve"> dos quejas ante la Comisión Estatal de Derechos Humanos, que derivaría</w:t>
      </w:r>
      <w:r w:rsidR="00B32157">
        <w:rPr>
          <w:sz w:val="20"/>
          <w:szCs w:val="20"/>
          <w:lang w:val="es-AR"/>
        </w:rPr>
        <w:t>n</w:t>
      </w:r>
      <w:r w:rsidR="005B7788">
        <w:rPr>
          <w:sz w:val="20"/>
          <w:szCs w:val="20"/>
          <w:lang w:val="es-AR"/>
        </w:rPr>
        <w:t xml:space="preserve"> en la emisión de las Recomendaciones </w:t>
      </w:r>
      <w:r w:rsidR="00120AD3">
        <w:rPr>
          <w:sz w:val="20"/>
          <w:szCs w:val="20"/>
          <w:lang w:val="es-AR"/>
        </w:rPr>
        <w:t xml:space="preserve">No. </w:t>
      </w:r>
      <w:r w:rsidR="005B7788">
        <w:rPr>
          <w:sz w:val="20"/>
          <w:szCs w:val="20"/>
          <w:lang w:val="es-AR"/>
        </w:rPr>
        <w:t xml:space="preserve">02 de 2017 y </w:t>
      </w:r>
      <w:r w:rsidR="00120AD3">
        <w:rPr>
          <w:sz w:val="20"/>
          <w:szCs w:val="20"/>
          <w:lang w:val="es-AR"/>
        </w:rPr>
        <w:t xml:space="preserve">No. </w:t>
      </w:r>
      <w:r w:rsidR="005B7788">
        <w:rPr>
          <w:sz w:val="20"/>
          <w:szCs w:val="20"/>
          <w:lang w:val="es-AR"/>
        </w:rPr>
        <w:t>53 de 2019.</w:t>
      </w:r>
    </w:p>
    <w:p w14:paraId="64E9AD27" w14:textId="4668C1BC" w:rsidR="00253013" w:rsidRDefault="00A86E50" w:rsidP="00D85B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4.</w:t>
      </w:r>
      <w:r>
        <w:rPr>
          <w:sz w:val="20"/>
          <w:szCs w:val="20"/>
          <w:lang w:val="es-AR"/>
        </w:rPr>
        <w:tab/>
      </w:r>
      <w:r w:rsidR="00F73CB5">
        <w:rPr>
          <w:sz w:val="20"/>
          <w:szCs w:val="20"/>
          <w:lang w:val="es-AR"/>
        </w:rPr>
        <w:t>E</w:t>
      </w:r>
      <w:r w:rsidR="00057F8A">
        <w:rPr>
          <w:sz w:val="20"/>
          <w:szCs w:val="20"/>
          <w:lang w:val="es-AR"/>
        </w:rPr>
        <w:t xml:space="preserve">n octubre de 2016 la familia de la joven </w:t>
      </w:r>
      <w:proofErr w:type="spellStart"/>
      <w:r w:rsidR="00057F8A">
        <w:rPr>
          <w:sz w:val="20"/>
          <w:szCs w:val="20"/>
          <w:lang w:val="es-AR"/>
        </w:rPr>
        <w:t>Mávil</w:t>
      </w:r>
      <w:proofErr w:type="spellEnd"/>
      <w:r w:rsidR="00057F8A">
        <w:rPr>
          <w:sz w:val="20"/>
          <w:szCs w:val="20"/>
          <w:lang w:val="es-AR"/>
        </w:rPr>
        <w:t xml:space="preserve"> Hernández recibió la noticia de que en agosto de 2011 el Ministerio Público había encontrado </w:t>
      </w:r>
      <w:r w:rsidR="000D6210">
        <w:rPr>
          <w:sz w:val="20"/>
          <w:szCs w:val="20"/>
          <w:lang w:val="es-AR"/>
        </w:rPr>
        <w:t>el</w:t>
      </w:r>
      <w:r w:rsidR="00057F8A">
        <w:rPr>
          <w:sz w:val="20"/>
          <w:szCs w:val="20"/>
          <w:lang w:val="es-AR"/>
        </w:rPr>
        <w:t xml:space="preserve"> cuerpo de una mujer cuyas características físicas se asemejaban a las de la presunta víctima. La </w:t>
      </w:r>
      <w:r w:rsidR="000D6210">
        <w:rPr>
          <w:sz w:val="20"/>
          <w:szCs w:val="20"/>
          <w:lang w:val="es-AR"/>
        </w:rPr>
        <w:t>F</w:t>
      </w:r>
      <w:r w:rsidR="006259FC">
        <w:rPr>
          <w:sz w:val="20"/>
          <w:szCs w:val="20"/>
          <w:lang w:val="es-AR"/>
        </w:rPr>
        <w:t xml:space="preserve">iscalía </w:t>
      </w:r>
      <w:r w:rsidR="000D6210">
        <w:rPr>
          <w:sz w:val="20"/>
          <w:szCs w:val="20"/>
          <w:lang w:val="es-AR"/>
        </w:rPr>
        <w:t>G</w:t>
      </w:r>
      <w:r w:rsidR="006259FC">
        <w:rPr>
          <w:sz w:val="20"/>
          <w:szCs w:val="20"/>
          <w:lang w:val="es-AR"/>
        </w:rPr>
        <w:t>eneral</w:t>
      </w:r>
      <w:r w:rsidR="00B00805">
        <w:rPr>
          <w:sz w:val="20"/>
          <w:szCs w:val="20"/>
          <w:lang w:val="es-AR"/>
        </w:rPr>
        <w:t xml:space="preserve"> del </w:t>
      </w:r>
      <w:r w:rsidR="00D51AF9">
        <w:rPr>
          <w:sz w:val="20"/>
          <w:szCs w:val="20"/>
          <w:lang w:val="es-AR"/>
        </w:rPr>
        <w:t>e</w:t>
      </w:r>
      <w:r w:rsidR="00B00805">
        <w:rPr>
          <w:sz w:val="20"/>
          <w:szCs w:val="20"/>
          <w:lang w:val="es-AR"/>
        </w:rPr>
        <w:t xml:space="preserve">stado </w:t>
      </w:r>
      <w:r w:rsidR="00553C5C">
        <w:rPr>
          <w:sz w:val="20"/>
          <w:szCs w:val="20"/>
          <w:lang w:val="es-AR"/>
        </w:rPr>
        <w:t xml:space="preserve">de Veracruz </w:t>
      </w:r>
      <w:r w:rsidR="00F73CB5">
        <w:rPr>
          <w:sz w:val="20"/>
          <w:szCs w:val="20"/>
          <w:lang w:val="es-AR"/>
        </w:rPr>
        <w:t>abrió así</w:t>
      </w:r>
      <w:r w:rsidR="00057F8A">
        <w:rPr>
          <w:sz w:val="20"/>
          <w:szCs w:val="20"/>
          <w:lang w:val="es-AR"/>
        </w:rPr>
        <w:t xml:space="preserve"> la investigación </w:t>
      </w:r>
      <w:r w:rsidR="00793D4D">
        <w:rPr>
          <w:sz w:val="20"/>
          <w:szCs w:val="20"/>
          <w:lang w:val="es-AR"/>
        </w:rPr>
        <w:t xml:space="preserve">No. </w:t>
      </w:r>
      <w:r w:rsidR="00057F8A">
        <w:rPr>
          <w:sz w:val="20"/>
          <w:szCs w:val="20"/>
          <w:lang w:val="es-AR"/>
        </w:rPr>
        <w:t>844/2011</w:t>
      </w:r>
      <w:r w:rsidR="000D6210">
        <w:rPr>
          <w:sz w:val="20"/>
          <w:szCs w:val="20"/>
          <w:lang w:val="es-AR"/>
        </w:rPr>
        <w:t>,</w:t>
      </w:r>
      <w:r w:rsidR="00057F8A">
        <w:rPr>
          <w:sz w:val="20"/>
          <w:szCs w:val="20"/>
          <w:lang w:val="es-AR"/>
        </w:rPr>
        <w:t xml:space="preserve"> </w:t>
      </w:r>
      <w:r w:rsidR="001F2013">
        <w:rPr>
          <w:sz w:val="20"/>
          <w:szCs w:val="20"/>
          <w:lang w:val="es-AR"/>
        </w:rPr>
        <w:t>en</w:t>
      </w:r>
      <w:r w:rsidR="00057F8A">
        <w:rPr>
          <w:sz w:val="20"/>
          <w:szCs w:val="20"/>
          <w:lang w:val="es-AR"/>
        </w:rPr>
        <w:t xml:space="preserve"> la </w:t>
      </w:r>
      <w:r w:rsidR="001F2013">
        <w:rPr>
          <w:sz w:val="20"/>
          <w:szCs w:val="20"/>
          <w:lang w:val="es-AR"/>
        </w:rPr>
        <w:t>cual</w:t>
      </w:r>
      <w:r w:rsidR="00057F8A">
        <w:rPr>
          <w:sz w:val="20"/>
          <w:szCs w:val="20"/>
          <w:lang w:val="es-AR"/>
        </w:rPr>
        <w:t xml:space="preserve"> recolectó el perfil genético del cuerpo</w:t>
      </w:r>
      <w:r w:rsidR="008760E1">
        <w:rPr>
          <w:sz w:val="20"/>
          <w:szCs w:val="20"/>
          <w:lang w:val="es-AR"/>
        </w:rPr>
        <w:t>, pero no habría avisado a la familia, ni habría realizado mayores pesquisas</w:t>
      </w:r>
      <w:r w:rsidR="001F2013">
        <w:rPr>
          <w:sz w:val="20"/>
          <w:szCs w:val="20"/>
          <w:lang w:val="es-AR"/>
        </w:rPr>
        <w:t xml:space="preserve">. </w:t>
      </w:r>
      <w:r w:rsidR="000D6210">
        <w:rPr>
          <w:sz w:val="20"/>
          <w:szCs w:val="20"/>
          <w:lang w:val="es-AR"/>
        </w:rPr>
        <w:t>E</w:t>
      </w:r>
      <w:r w:rsidR="00916126">
        <w:rPr>
          <w:sz w:val="20"/>
          <w:szCs w:val="20"/>
          <w:lang w:val="es-AR"/>
        </w:rPr>
        <w:t>n 2016</w:t>
      </w:r>
      <w:r w:rsidR="000D6210">
        <w:rPr>
          <w:sz w:val="20"/>
          <w:szCs w:val="20"/>
          <w:lang w:val="es-US"/>
        </w:rPr>
        <w:t>,</w:t>
      </w:r>
      <w:r w:rsidR="000A5D39">
        <w:rPr>
          <w:sz w:val="20"/>
          <w:szCs w:val="20"/>
          <w:lang w:val="es-AR"/>
        </w:rPr>
        <w:t xml:space="preserve"> a</w:t>
      </w:r>
      <w:r w:rsidR="001F2013">
        <w:rPr>
          <w:sz w:val="20"/>
          <w:szCs w:val="20"/>
          <w:lang w:val="es-AR"/>
        </w:rPr>
        <w:t xml:space="preserve"> solicitud de la familia, el Ministerio Público </w:t>
      </w:r>
      <w:r w:rsidR="00057F8A">
        <w:rPr>
          <w:sz w:val="20"/>
          <w:szCs w:val="20"/>
          <w:lang w:val="es-AR"/>
        </w:rPr>
        <w:t xml:space="preserve">cotejó </w:t>
      </w:r>
      <w:r w:rsidR="001F2013">
        <w:rPr>
          <w:sz w:val="20"/>
          <w:szCs w:val="20"/>
          <w:lang w:val="es-AR"/>
        </w:rPr>
        <w:t xml:space="preserve">el perfil genético del cuerpo </w:t>
      </w:r>
      <w:r w:rsidR="00057F8A">
        <w:rPr>
          <w:sz w:val="20"/>
          <w:szCs w:val="20"/>
          <w:lang w:val="es-AR"/>
        </w:rPr>
        <w:t xml:space="preserve">con el del señor Pedro </w:t>
      </w:r>
      <w:proofErr w:type="spellStart"/>
      <w:r w:rsidR="00057F8A">
        <w:rPr>
          <w:sz w:val="20"/>
          <w:szCs w:val="20"/>
          <w:lang w:val="es-AR"/>
        </w:rPr>
        <w:t>Mávil</w:t>
      </w:r>
      <w:proofErr w:type="spellEnd"/>
      <w:r w:rsidR="00057F8A">
        <w:rPr>
          <w:sz w:val="20"/>
          <w:szCs w:val="20"/>
          <w:lang w:val="es-AR"/>
        </w:rPr>
        <w:t xml:space="preserve"> </w:t>
      </w:r>
      <w:r w:rsidR="001F2013">
        <w:rPr>
          <w:sz w:val="20"/>
          <w:szCs w:val="20"/>
          <w:lang w:val="es-AR"/>
        </w:rPr>
        <w:t xml:space="preserve">y </w:t>
      </w:r>
      <w:r w:rsidR="000D6210">
        <w:rPr>
          <w:sz w:val="20"/>
          <w:szCs w:val="20"/>
          <w:lang w:val="es-AR"/>
        </w:rPr>
        <w:t xml:space="preserve">el </w:t>
      </w:r>
      <w:r w:rsidR="001F2013">
        <w:rPr>
          <w:sz w:val="20"/>
          <w:szCs w:val="20"/>
          <w:lang w:val="es-AR"/>
        </w:rPr>
        <w:t xml:space="preserve">de la señora Gema Hernández Rechy, cuyo resultado arrojó que los restos correspondían a los de la presunta víctima. No obstante, </w:t>
      </w:r>
      <w:r w:rsidR="00664AC0">
        <w:rPr>
          <w:sz w:val="20"/>
          <w:szCs w:val="20"/>
          <w:lang w:val="es-AR"/>
        </w:rPr>
        <w:t xml:space="preserve">el cuerpo de la joven </w:t>
      </w:r>
      <w:proofErr w:type="spellStart"/>
      <w:r w:rsidR="00664AC0">
        <w:rPr>
          <w:sz w:val="20"/>
          <w:szCs w:val="20"/>
          <w:lang w:val="es-AR"/>
        </w:rPr>
        <w:t>Mávil</w:t>
      </w:r>
      <w:proofErr w:type="spellEnd"/>
      <w:r w:rsidR="00664AC0">
        <w:rPr>
          <w:sz w:val="20"/>
          <w:szCs w:val="20"/>
          <w:lang w:val="es-AR"/>
        </w:rPr>
        <w:t xml:space="preserve"> Hernández habría sido inhumado en una fosa común, y a la fecha permanec</w:t>
      </w:r>
      <w:r w:rsidR="00203CB2">
        <w:rPr>
          <w:sz w:val="20"/>
          <w:szCs w:val="20"/>
          <w:lang w:val="es-AR"/>
        </w:rPr>
        <w:t>e</w:t>
      </w:r>
      <w:r w:rsidR="00664AC0">
        <w:rPr>
          <w:sz w:val="20"/>
          <w:szCs w:val="20"/>
          <w:lang w:val="es-AR"/>
        </w:rPr>
        <w:t xml:space="preserve"> desaparecido pese a las labores de exhumación llevadas a cabo por la fiscalía en 2016. </w:t>
      </w:r>
      <w:r w:rsidR="00707024">
        <w:rPr>
          <w:sz w:val="20"/>
          <w:szCs w:val="20"/>
          <w:lang w:val="es-AR"/>
        </w:rPr>
        <w:t xml:space="preserve">Los peticionarios sostienen que </w:t>
      </w:r>
      <w:r w:rsidR="000D6210">
        <w:rPr>
          <w:sz w:val="20"/>
          <w:szCs w:val="20"/>
          <w:lang w:val="es-AR"/>
        </w:rPr>
        <w:t>esto</w:t>
      </w:r>
      <w:r w:rsidR="00707024">
        <w:rPr>
          <w:sz w:val="20"/>
          <w:szCs w:val="20"/>
          <w:lang w:val="es-AR"/>
        </w:rPr>
        <w:t xml:space="preserve"> evidencia la existencia de un contexto de irregularidades en la inhumación de cadáveres que afecta gravemente el derecho a la verdad de familiares de personas desaparecidas.</w:t>
      </w:r>
    </w:p>
    <w:p w14:paraId="052B7C51" w14:textId="3B196966" w:rsidR="004967F2" w:rsidRDefault="00F25735" w:rsidP="0098709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5.</w:t>
      </w:r>
      <w:r>
        <w:rPr>
          <w:sz w:val="20"/>
          <w:szCs w:val="20"/>
          <w:lang w:val="es-AR"/>
        </w:rPr>
        <w:tab/>
      </w:r>
      <w:r w:rsidR="000D6210">
        <w:rPr>
          <w:sz w:val="20"/>
          <w:szCs w:val="20"/>
          <w:lang w:val="es-AR"/>
        </w:rPr>
        <w:t>Asimismo</w:t>
      </w:r>
      <w:r w:rsidR="00E879A5">
        <w:rPr>
          <w:sz w:val="20"/>
          <w:szCs w:val="20"/>
          <w:lang w:val="es-AR"/>
        </w:rPr>
        <w:t>, l</w:t>
      </w:r>
      <w:r w:rsidR="000F574F">
        <w:rPr>
          <w:sz w:val="20"/>
          <w:szCs w:val="20"/>
          <w:lang w:val="es-AR"/>
        </w:rPr>
        <w:t>a</w:t>
      </w:r>
      <w:r w:rsidR="004D1C28">
        <w:rPr>
          <w:sz w:val="20"/>
          <w:szCs w:val="20"/>
          <w:lang w:val="es-AR"/>
        </w:rPr>
        <w:t xml:space="preserve"> </w:t>
      </w:r>
      <w:r w:rsidR="000F574F">
        <w:rPr>
          <w:sz w:val="20"/>
          <w:szCs w:val="20"/>
          <w:lang w:val="es-AR"/>
        </w:rPr>
        <w:t xml:space="preserve">parte </w:t>
      </w:r>
      <w:r w:rsidR="004D1C28">
        <w:rPr>
          <w:sz w:val="20"/>
          <w:szCs w:val="20"/>
          <w:lang w:val="es-AR"/>
        </w:rPr>
        <w:t>peticionari</w:t>
      </w:r>
      <w:r w:rsidR="000F574F">
        <w:rPr>
          <w:sz w:val="20"/>
          <w:szCs w:val="20"/>
          <w:lang w:val="es-AR"/>
        </w:rPr>
        <w:t>a</w:t>
      </w:r>
      <w:r w:rsidR="004D1C28">
        <w:rPr>
          <w:sz w:val="20"/>
          <w:szCs w:val="20"/>
          <w:lang w:val="es-AR"/>
        </w:rPr>
        <w:t xml:space="preserve"> alega la </w:t>
      </w:r>
      <w:r w:rsidR="00632C6A">
        <w:rPr>
          <w:sz w:val="20"/>
          <w:szCs w:val="20"/>
          <w:lang w:val="es-AR"/>
        </w:rPr>
        <w:t xml:space="preserve">falta de </w:t>
      </w:r>
      <w:r w:rsidR="004D1C28">
        <w:rPr>
          <w:sz w:val="20"/>
          <w:szCs w:val="20"/>
          <w:lang w:val="es-AR"/>
        </w:rPr>
        <w:t>debid</w:t>
      </w:r>
      <w:r w:rsidR="00632C6A">
        <w:rPr>
          <w:sz w:val="20"/>
          <w:szCs w:val="20"/>
          <w:lang w:val="es-AR"/>
        </w:rPr>
        <w:t>a</w:t>
      </w:r>
      <w:r w:rsidR="004D1C28">
        <w:rPr>
          <w:sz w:val="20"/>
          <w:szCs w:val="20"/>
          <w:lang w:val="es-AR"/>
        </w:rPr>
        <w:t xml:space="preserve"> </w:t>
      </w:r>
      <w:r w:rsidR="00632C6A">
        <w:rPr>
          <w:sz w:val="20"/>
          <w:szCs w:val="20"/>
          <w:lang w:val="es-AR"/>
        </w:rPr>
        <w:t xml:space="preserve">diligencia y de enfoque de género </w:t>
      </w:r>
      <w:r w:rsidR="00445242">
        <w:rPr>
          <w:sz w:val="20"/>
          <w:szCs w:val="20"/>
          <w:lang w:val="es-AR"/>
        </w:rPr>
        <w:t>por</w:t>
      </w:r>
      <w:r w:rsidR="004D1C28">
        <w:rPr>
          <w:sz w:val="20"/>
          <w:szCs w:val="20"/>
          <w:lang w:val="es-AR"/>
        </w:rPr>
        <w:t xml:space="preserve"> la </w:t>
      </w:r>
      <w:r w:rsidR="00632C6A">
        <w:rPr>
          <w:sz w:val="20"/>
          <w:szCs w:val="20"/>
          <w:lang w:val="es-AR"/>
        </w:rPr>
        <w:t xml:space="preserve">omisión </w:t>
      </w:r>
      <w:r w:rsidR="004D1C28">
        <w:rPr>
          <w:sz w:val="20"/>
          <w:szCs w:val="20"/>
          <w:lang w:val="es-AR"/>
        </w:rPr>
        <w:t>investiga</w:t>
      </w:r>
      <w:r w:rsidR="002C1DF5">
        <w:rPr>
          <w:sz w:val="20"/>
          <w:szCs w:val="20"/>
          <w:lang w:val="es-AR"/>
        </w:rPr>
        <w:t>r</w:t>
      </w:r>
      <w:r w:rsidR="004D1C28">
        <w:rPr>
          <w:sz w:val="20"/>
          <w:szCs w:val="20"/>
          <w:lang w:val="es-AR"/>
        </w:rPr>
        <w:t xml:space="preserve"> </w:t>
      </w:r>
      <w:r w:rsidR="002C1DF5">
        <w:rPr>
          <w:sz w:val="20"/>
          <w:szCs w:val="20"/>
          <w:lang w:val="es-AR"/>
        </w:rPr>
        <w:t xml:space="preserve">hechos de posible </w:t>
      </w:r>
      <w:r w:rsidR="00445242">
        <w:rPr>
          <w:sz w:val="20"/>
          <w:szCs w:val="20"/>
          <w:lang w:val="es-AR"/>
        </w:rPr>
        <w:t xml:space="preserve">violencia sexual </w:t>
      </w:r>
      <w:r w:rsidR="00D723F1">
        <w:rPr>
          <w:sz w:val="20"/>
          <w:szCs w:val="20"/>
          <w:lang w:val="es-AR"/>
        </w:rPr>
        <w:t xml:space="preserve">y el asesinato </w:t>
      </w:r>
      <w:r w:rsidR="00671884">
        <w:rPr>
          <w:sz w:val="20"/>
          <w:szCs w:val="20"/>
          <w:lang w:val="es-AR"/>
        </w:rPr>
        <w:t>de Ge</w:t>
      </w:r>
      <w:r w:rsidR="00E8047E">
        <w:rPr>
          <w:sz w:val="20"/>
          <w:szCs w:val="20"/>
          <w:lang w:val="es-AR"/>
        </w:rPr>
        <w:t>m</w:t>
      </w:r>
      <w:r w:rsidR="00671884">
        <w:rPr>
          <w:sz w:val="20"/>
          <w:szCs w:val="20"/>
          <w:lang w:val="es-AR"/>
        </w:rPr>
        <w:t xml:space="preserve">ma </w:t>
      </w:r>
      <w:proofErr w:type="spellStart"/>
      <w:r w:rsidR="00671884">
        <w:rPr>
          <w:sz w:val="20"/>
          <w:szCs w:val="20"/>
          <w:lang w:val="es-AR"/>
        </w:rPr>
        <w:t>Mávil</w:t>
      </w:r>
      <w:proofErr w:type="spellEnd"/>
      <w:r w:rsidR="00671884">
        <w:rPr>
          <w:sz w:val="20"/>
          <w:szCs w:val="20"/>
          <w:lang w:val="es-AR"/>
        </w:rPr>
        <w:t xml:space="preserve"> Hernández</w:t>
      </w:r>
      <w:r w:rsidR="004D1C28">
        <w:rPr>
          <w:sz w:val="20"/>
          <w:szCs w:val="20"/>
          <w:lang w:val="es-AR"/>
        </w:rPr>
        <w:t xml:space="preserve">, </w:t>
      </w:r>
      <w:r w:rsidR="000E28C0">
        <w:rPr>
          <w:sz w:val="20"/>
          <w:szCs w:val="20"/>
          <w:lang w:val="es-AR"/>
        </w:rPr>
        <w:t xml:space="preserve">así como las </w:t>
      </w:r>
      <w:r w:rsidR="00445242">
        <w:rPr>
          <w:sz w:val="20"/>
          <w:szCs w:val="20"/>
          <w:lang w:val="es-AR"/>
        </w:rPr>
        <w:t xml:space="preserve">irregularidades </w:t>
      </w:r>
      <w:r w:rsidR="004D1C28">
        <w:rPr>
          <w:sz w:val="20"/>
          <w:szCs w:val="20"/>
          <w:lang w:val="es-AR"/>
        </w:rPr>
        <w:t xml:space="preserve">en el procesamiento de presuntos responsables de la desaparición del </w:t>
      </w:r>
      <w:r w:rsidR="000E28C0">
        <w:rPr>
          <w:sz w:val="20"/>
          <w:szCs w:val="20"/>
          <w:lang w:val="es-AR"/>
        </w:rPr>
        <w:t>cadáver</w:t>
      </w:r>
      <w:r w:rsidR="009F6D5A">
        <w:rPr>
          <w:sz w:val="20"/>
          <w:szCs w:val="20"/>
          <w:lang w:val="es-AR"/>
        </w:rPr>
        <w:t>;</w:t>
      </w:r>
      <w:r w:rsidR="000E28C0">
        <w:rPr>
          <w:sz w:val="20"/>
          <w:szCs w:val="20"/>
          <w:lang w:val="es-AR"/>
        </w:rPr>
        <w:t xml:space="preserve"> y </w:t>
      </w:r>
      <w:r w:rsidR="004D1C28">
        <w:rPr>
          <w:sz w:val="20"/>
          <w:szCs w:val="20"/>
          <w:lang w:val="es-AR"/>
        </w:rPr>
        <w:t xml:space="preserve">en </w:t>
      </w:r>
      <w:r w:rsidR="009F6D5A">
        <w:rPr>
          <w:sz w:val="20"/>
          <w:szCs w:val="20"/>
          <w:lang w:val="es-AR"/>
        </w:rPr>
        <w:t>la falta de</w:t>
      </w:r>
      <w:r w:rsidR="004D1C28">
        <w:rPr>
          <w:sz w:val="20"/>
          <w:szCs w:val="20"/>
          <w:lang w:val="es-AR"/>
        </w:rPr>
        <w:t xml:space="preserve"> otorgamiento de la reparación administrativa </w:t>
      </w:r>
      <w:r w:rsidR="009F6D5A">
        <w:rPr>
          <w:sz w:val="20"/>
          <w:szCs w:val="20"/>
          <w:lang w:val="es-AR"/>
        </w:rPr>
        <w:t xml:space="preserve">integral </w:t>
      </w:r>
      <w:r w:rsidR="004D1C28">
        <w:rPr>
          <w:sz w:val="20"/>
          <w:szCs w:val="20"/>
          <w:lang w:val="es-AR"/>
        </w:rPr>
        <w:t xml:space="preserve">a sus familiares. </w:t>
      </w:r>
      <w:r w:rsidR="000E28C0">
        <w:rPr>
          <w:sz w:val="20"/>
          <w:szCs w:val="20"/>
          <w:lang w:val="es-AR"/>
        </w:rPr>
        <w:t>L</w:t>
      </w:r>
      <w:r w:rsidR="006C0EB6">
        <w:rPr>
          <w:sz w:val="20"/>
          <w:szCs w:val="20"/>
          <w:lang w:val="es-AR"/>
        </w:rPr>
        <w:t>a</w:t>
      </w:r>
      <w:r w:rsidR="000E28C0">
        <w:rPr>
          <w:sz w:val="20"/>
          <w:szCs w:val="20"/>
          <w:lang w:val="es-AR"/>
        </w:rPr>
        <w:t xml:space="preserve"> </w:t>
      </w:r>
      <w:r w:rsidR="006C0EB6">
        <w:rPr>
          <w:sz w:val="20"/>
          <w:szCs w:val="20"/>
          <w:lang w:val="es-AR"/>
        </w:rPr>
        <w:t xml:space="preserve">parte </w:t>
      </w:r>
      <w:r w:rsidR="000E28C0">
        <w:rPr>
          <w:sz w:val="20"/>
          <w:szCs w:val="20"/>
          <w:lang w:val="es-AR"/>
        </w:rPr>
        <w:t>peticionari</w:t>
      </w:r>
      <w:r w:rsidR="006C0EB6">
        <w:rPr>
          <w:sz w:val="20"/>
          <w:szCs w:val="20"/>
          <w:lang w:val="es-AR"/>
        </w:rPr>
        <w:t>a</w:t>
      </w:r>
      <w:r w:rsidR="000E28C0">
        <w:rPr>
          <w:sz w:val="20"/>
          <w:szCs w:val="20"/>
          <w:lang w:val="es-AR"/>
        </w:rPr>
        <w:t xml:space="preserve"> </w:t>
      </w:r>
      <w:r w:rsidR="00896771">
        <w:rPr>
          <w:sz w:val="20"/>
          <w:szCs w:val="20"/>
          <w:lang w:val="es-AR"/>
        </w:rPr>
        <w:t>enfatiza que</w:t>
      </w:r>
      <w:r w:rsidR="00DF0125" w:rsidRPr="00DF0125">
        <w:rPr>
          <w:sz w:val="20"/>
          <w:szCs w:val="20"/>
          <w:lang w:val="es-AR"/>
        </w:rPr>
        <w:t xml:space="preserve"> </w:t>
      </w:r>
      <w:r w:rsidR="00DF0125">
        <w:rPr>
          <w:sz w:val="20"/>
          <w:szCs w:val="20"/>
          <w:lang w:val="es-AR"/>
        </w:rPr>
        <w:t xml:space="preserve">no se practicó ningún estudio sobre la </w:t>
      </w:r>
      <w:r w:rsidR="00924CAA">
        <w:rPr>
          <w:sz w:val="20"/>
          <w:szCs w:val="20"/>
          <w:lang w:val="es-AR"/>
        </w:rPr>
        <w:t xml:space="preserve">posible comisión de </w:t>
      </w:r>
      <w:r w:rsidR="00DF0125">
        <w:rPr>
          <w:sz w:val="20"/>
          <w:szCs w:val="20"/>
          <w:lang w:val="es-AR"/>
        </w:rPr>
        <w:t>violencia sexual</w:t>
      </w:r>
      <w:r w:rsidR="00924CAA">
        <w:rPr>
          <w:sz w:val="20"/>
          <w:szCs w:val="20"/>
          <w:lang w:val="es-AR"/>
        </w:rPr>
        <w:t xml:space="preserve"> en perjuicio de la presunta víctima</w:t>
      </w:r>
      <w:r w:rsidR="007E3E2D">
        <w:rPr>
          <w:sz w:val="20"/>
          <w:szCs w:val="20"/>
          <w:lang w:val="es-AR"/>
        </w:rPr>
        <w:t>, pues la</w:t>
      </w:r>
      <w:r w:rsidR="00896771">
        <w:rPr>
          <w:sz w:val="20"/>
          <w:szCs w:val="20"/>
          <w:lang w:val="es-AR"/>
        </w:rPr>
        <w:t xml:space="preserve"> necropsia </w:t>
      </w:r>
      <w:r w:rsidR="007E3E2D">
        <w:rPr>
          <w:sz w:val="20"/>
          <w:szCs w:val="20"/>
          <w:lang w:val="es-AR"/>
        </w:rPr>
        <w:t xml:space="preserve">se limitó a señalar que presentaba contusiones y </w:t>
      </w:r>
      <w:r w:rsidR="00896771">
        <w:rPr>
          <w:sz w:val="20"/>
          <w:szCs w:val="20"/>
          <w:lang w:val="es-AR"/>
        </w:rPr>
        <w:t>no identificó la causa de la muerte de la joven.</w:t>
      </w:r>
      <w:r w:rsidR="00911344">
        <w:rPr>
          <w:sz w:val="20"/>
          <w:szCs w:val="20"/>
          <w:lang w:val="es-AR"/>
        </w:rPr>
        <w:t xml:space="preserve"> </w:t>
      </w:r>
      <w:r w:rsidR="004220FC">
        <w:rPr>
          <w:sz w:val="20"/>
          <w:szCs w:val="20"/>
          <w:lang w:val="es-AR"/>
        </w:rPr>
        <w:t>Indican los peticionarios</w:t>
      </w:r>
      <w:r w:rsidR="00911344">
        <w:rPr>
          <w:sz w:val="20"/>
          <w:szCs w:val="20"/>
          <w:lang w:val="es-AR"/>
        </w:rPr>
        <w:t xml:space="preserve"> que el 90% de las mujeres secuestradas en México sufre violencia sexual, por lo que la fiscalía tenía el deber de investigar con perspectiva de género si el cadáver de la joven </w:t>
      </w:r>
      <w:proofErr w:type="spellStart"/>
      <w:r w:rsidR="00911344">
        <w:rPr>
          <w:sz w:val="20"/>
          <w:szCs w:val="20"/>
          <w:lang w:val="es-AR"/>
        </w:rPr>
        <w:t>Mávil</w:t>
      </w:r>
      <w:proofErr w:type="spellEnd"/>
      <w:r w:rsidR="00911344">
        <w:rPr>
          <w:sz w:val="20"/>
          <w:szCs w:val="20"/>
          <w:lang w:val="es-AR"/>
        </w:rPr>
        <w:t xml:space="preserve"> presentaba signos de este tipo de violencia.</w:t>
      </w:r>
    </w:p>
    <w:p w14:paraId="110348ED" w14:textId="3391E664" w:rsidR="00987092" w:rsidRDefault="004967F2" w:rsidP="008D7E8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6.</w:t>
      </w:r>
      <w:r>
        <w:rPr>
          <w:sz w:val="20"/>
          <w:szCs w:val="20"/>
          <w:lang w:val="es-AR"/>
        </w:rPr>
        <w:tab/>
        <w:t>L</w:t>
      </w:r>
      <w:r w:rsidR="00911344">
        <w:rPr>
          <w:sz w:val="20"/>
          <w:szCs w:val="20"/>
          <w:lang w:val="es-AR"/>
        </w:rPr>
        <w:t xml:space="preserve">a </w:t>
      </w:r>
      <w:r w:rsidR="00AA2C9A">
        <w:rPr>
          <w:sz w:val="20"/>
          <w:szCs w:val="20"/>
          <w:lang w:val="es-AR"/>
        </w:rPr>
        <w:t>parte</w:t>
      </w:r>
      <w:r w:rsidR="00911344">
        <w:rPr>
          <w:sz w:val="20"/>
          <w:szCs w:val="20"/>
          <w:lang w:val="es-AR"/>
        </w:rPr>
        <w:t xml:space="preserve"> peticionaria relata que se inició una investigación penal contra dos funcionarias </w:t>
      </w:r>
      <w:r w:rsidR="00A04F76">
        <w:rPr>
          <w:sz w:val="20"/>
          <w:szCs w:val="20"/>
          <w:lang w:val="es-AR"/>
        </w:rPr>
        <w:t>del Servicio Médico Forense que debían realizar la inhumación del cadáver de la presunta víctima, la cual culminó en la decisión de no vincularlas al proceso por falta de pruebas</w:t>
      </w:r>
      <w:r w:rsidR="00140F4D">
        <w:rPr>
          <w:sz w:val="20"/>
          <w:szCs w:val="20"/>
          <w:lang w:val="es-AR"/>
        </w:rPr>
        <w:t>. Decisión</w:t>
      </w:r>
      <w:r w:rsidR="00A04F76">
        <w:rPr>
          <w:sz w:val="20"/>
          <w:szCs w:val="20"/>
          <w:lang w:val="es-AR"/>
        </w:rPr>
        <w:t xml:space="preserve"> adoptada en primera instancia el </w:t>
      </w:r>
      <w:r w:rsidR="00F402A5">
        <w:rPr>
          <w:sz w:val="20"/>
          <w:szCs w:val="20"/>
          <w:lang w:val="es-AR"/>
        </w:rPr>
        <w:t xml:space="preserve">13 </w:t>
      </w:r>
      <w:r w:rsidR="00F402A5">
        <w:rPr>
          <w:sz w:val="20"/>
          <w:szCs w:val="20"/>
          <w:lang w:val="es-AR"/>
        </w:rPr>
        <w:lastRenderedPageBreak/>
        <w:t>de febrero de 2018</w:t>
      </w:r>
      <w:r w:rsidR="00737A24">
        <w:rPr>
          <w:sz w:val="20"/>
          <w:szCs w:val="20"/>
          <w:lang w:val="es-AR"/>
        </w:rPr>
        <w:t>,</w:t>
      </w:r>
      <w:r w:rsidR="00A04F76">
        <w:rPr>
          <w:sz w:val="20"/>
          <w:szCs w:val="20"/>
          <w:lang w:val="es-AR"/>
        </w:rPr>
        <w:t xml:space="preserve"> y confirmada en segunda</w:t>
      </w:r>
      <w:r w:rsidR="00737A24">
        <w:rPr>
          <w:sz w:val="20"/>
          <w:szCs w:val="20"/>
          <w:lang w:val="es-AR"/>
        </w:rPr>
        <w:t xml:space="preserve"> </w:t>
      </w:r>
      <w:r w:rsidR="00A04F76">
        <w:rPr>
          <w:sz w:val="20"/>
          <w:szCs w:val="20"/>
          <w:lang w:val="es-AR"/>
        </w:rPr>
        <w:t xml:space="preserve">instancia el </w:t>
      </w:r>
      <w:r w:rsidR="00737A24">
        <w:rPr>
          <w:sz w:val="20"/>
          <w:szCs w:val="20"/>
          <w:lang w:val="es-AR"/>
        </w:rPr>
        <w:t>24 de agosto de 2018</w:t>
      </w:r>
      <w:r w:rsidR="002912ED">
        <w:rPr>
          <w:sz w:val="20"/>
          <w:szCs w:val="20"/>
          <w:lang w:val="es-AR"/>
        </w:rPr>
        <w:t>.</w:t>
      </w:r>
      <w:r w:rsidR="00D22386">
        <w:rPr>
          <w:sz w:val="20"/>
          <w:szCs w:val="20"/>
          <w:lang w:val="es-AR"/>
        </w:rPr>
        <w:t xml:space="preserve"> </w:t>
      </w:r>
      <w:r w:rsidR="00EE0374">
        <w:rPr>
          <w:sz w:val="20"/>
          <w:szCs w:val="20"/>
          <w:lang w:val="es-AR"/>
        </w:rPr>
        <w:t xml:space="preserve">Además, </w:t>
      </w:r>
      <w:r w:rsidR="009C54E7">
        <w:rPr>
          <w:sz w:val="20"/>
          <w:szCs w:val="20"/>
          <w:lang w:val="es-AR"/>
        </w:rPr>
        <w:t xml:space="preserve">el 31 de enero de 2018 </w:t>
      </w:r>
      <w:r w:rsidR="00044317">
        <w:rPr>
          <w:sz w:val="20"/>
          <w:szCs w:val="20"/>
          <w:lang w:val="es-AR"/>
        </w:rPr>
        <w:t xml:space="preserve">la Comisión Ejecutiva de Atención a Víctimas inició el trámite administrativo para otorgar la reparación a los familiares de la joven </w:t>
      </w:r>
      <w:proofErr w:type="spellStart"/>
      <w:r w:rsidR="00044317">
        <w:rPr>
          <w:sz w:val="20"/>
          <w:szCs w:val="20"/>
          <w:lang w:val="es-AR"/>
        </w:rPr>
        <w:t>Mávil</w:t>
      </w:r>
      <w:proofErr w:type="spellEnd"/>
      <w:r w:rsidR="00D22386">
        <w:rPr>
          <w:sz w:val="20"/>
          <w:szCs w:val="20"/>
          <w:lang w:val="es-AR"/>
        </w:rPr>
        <w:t>.</w:t>
      </w:r>
      <w:r w:rsidR="008A4BAA">
        <w:rPr>
          <w:sz w:val="20"/>
          <w:szCs w:val="20"/>
          <w:lang w:val="es-AR"/>
        </w:rPr>
        <w:t xml:space="preserve"> </w:t>
      </w:r>
      <w:r w:rsidR="00E8047E">
        <w:rPr>
          <w:sz w:val="20"/>
          <w:szCs w:val="20"/>
          <w:lang w:val="es-AR"/>
        </w:rPr>
        <w:t>Representado por la Comisión Estatal de Derechos Humanos</w:t>
      </w:r>
      <w:r w:rsidR="00E23CC5">
        <w:rPr>
          <w:sz w:val="20"/>
          <w:szCs w:val="20"/>
          <w:lang w:val="es-AR"/>
        </w:rPr>
        <w:t xml:space="preserve"> de </w:t>
      </w:r>
      <w:r w:rsidR="007C30CC">
        <w:rPr>
          <w:sz w:val="20"/>
          <w:szCs w:val="20"/>
          <w:lang w:val="es-AR"/>
        </w:rPr>
        <w:t>Veracruz</w:t>
      </w:r>
      <w:r w:rsidR="00E8047E">
        <w:rPr>
          <w:sz w:val="20"/>
          <w:szCs w:val="20"/>
          <w:lang w:val="es-AR"/>
        </w:rPr>
        <w:t xml:space="preserve">, el señor Pedro </w:t>
      </w:r>
      <w:proofErr w:type="spellStart"/>
      <w:r w:rsidR="00E8047E">
        <w:rPr>
          <w:sz w:val="20"/>
          <w:szCs w:val="20"/>
          <w:lang w:val="es-AR"/>
        </w:rPr>
        <w:t>Mávil</w:t>
      </w:r>
      <w:proofErr w:type="spellEnd"/>
      <w:r w:rsidR="00E63C79">
        <w:rPr>
          <w:sz w:val="20"/>
          <w:szCs w:val="20"/>
          <w:lang w:val="es-AR"/>
        </w:rPr>
        <w:t xml:space="preserve"> promovió una demanda de amparo</w:t>
      </w:r>
      <w:r w:rsidR="00E8047E">
        <w:rPr>
          <w:sz w:val="20"/>
          <w:szCs w:val="20"/>
          <w:lang w:val="es-AR"/>
        </w:rPr>
        <w:t xml:space="preserve"> </w:t>
      </w:r>
      <w:r w:rsidR="00C80EFE">
        <w:rPr>
          <w:sz w:val="20"/>
          <w:szCs w:val="20"/>
          <w:lang w:val="es-AR"/>
        </w:rPr>
        <w:t xml:space="preserve">por considerar que la reparación no era integral. </w:t>
      </w:r>
      <w:r w:rsidR="005F7259">
        <w:rPr>
          <w:sz w:val="20"/>
          <w:szCs w:val="20"/>
          <w:lang w:val="es-AR"/>
        </w:rPr>
        <w:t xml:space="preserve">Los peticionarios alegan la violación del derecho al acceso a la justicia del señor </w:t>
      </w:r>
      <w:r w:rsidR="00060C24">
        <w:rPr>
          <w:sz w:val="20"/>
          <w:szCs w:val="20"/>
          <w:lang w:val="es-AR"/>
        </w:rPr>
        <w:t xml:space="preserve">Pedro </w:t>
      </w:r>
      <w:proofErr w:type="spellStart"/>
      <w:r w:rsidR="005F7259">
        <w:rPr>
          <w:sz w:val="20"/>
          <w:szCs w:val="20"/>
          <w:lang w:val="es-AR"/>
        </w:rPr>
        <w:t>Mávil</w:t>
      </w:r>
      <w:proofErr w:type="spellEnd"/>
      <w:r w:rsidR="00882B1D">
        <w:rPr>
          <w:sz w:val="20"/>
          <w:szCs w:val="20"/>
          <w:lang w:val="es-AR"/>
        </w:rPr>
        <w:t>,</w:t>
      </w:r>
      <w:r w:rsidR="005F7259">
        <w:rPr>
          <w:sz w:val="20"/>
          <w:szCs w:val="20"/>
          <w:lang w:val="es-AR"/>
        </w:rPr>
        <w:t xml:space="preserve"> </w:t>
      </w:r>
      <w:r w:rsidR="00060C24">
        <w:rPr>
          <w:sz w:val="20"/>
          <w:szCs w:val="20"/>
          <w:lang w:val="es-AR"/>
        </w:rPr>
        <w:t xml:space="preserve">porque </w:t>
      </w:r>
      <w:r w:rsidR="00DB5498">
        <w:rPr>
          <w:sz w:val="20"/>
          <w:szCs w:val="20"/>
          <w:lang w:val="es-AR"/>
        </w:rPr>
        <w:t xml:space="preserve">el juez tuvo por no presentada </w:t>
      </w:r>
      <w:r w:rsidR="00C80EFE">
        <w:rPr>
          <w:sz w:val="20"/>
          <w:szCs w:val="20"/>
          <w:lang w:val="es-AR"/>
        </w:rPr>
        <w:t xml:space="preserve">la demanda </w:t>
      </w:r>
      <w:r w:rsidR="00060C24">
        <w:rPr>
          <w:sz w:val="20"/>
          <w:szCs w:val="20"/>
          <w:lang w:val="es-AR"/>
        </w:rPr>
        <w:t>de amparo</w:t>
      </w:r>
      <w:r w:rsidR="00987092">
        <w:rPr>
          <w:sz w:val="20"/>
          <w:szCs w:val="20"/>
          <w:lang w:val="es-AR"/>
        </w:rPr>
        <w:t>. Refieren que</w:t>
      </w:r>
      <w:r w:rsidR="00060C24">
        <w:rPr>
          <w:sz w:val="20"/>
          <w:szCs w:val="20"/>
          <w:lang w:val="es-AR"/>
        </w:rPr>
        <w:t xml:space="preserve"> </w:t>
      </w:r>
      <w:r w:rsidR="00987092" w:rsidRPr="00987092">
        <w:rPr>
          <w:sz w:val="20"/>
          <w:szCs w:val="20"/>
          <w:lang w:val="es-AR"/>
        </w:rPr>
        <w:t>el 23 de febrero de 2018, el juzgado encargado</w:t>
      </w:r>
      <w:r w:rsidR="00987092">
        <w:rPr>
          <w:sz w:val="20"/>
          <w:szCs w:val="20"/>
          <w:lang w:val="es-AR"/>
        </w:rPr>
        <w:t xml:space="preserve"> </w:t>
      </w:r>
      <w:r w:rsidR="00987092" w:rsidRPr="00987092">
        <w:rPr>
          <w:sz w:val="20"/>
          <w:szCs w:val="20"/>
          <w:lang w:val="es-AR"/>
        </w:rPr>
        <w:t>de resolver el amparo ordenó diligencia de aclaración de la demanda de amparo,</w:t>
      </w:r>
      <w:r w:rsidR="00987092">
        <w:rPr>
          <w:sz w:val="20"/>
          <w:szCs w:val="20"/>
          <w:lang w:val="es-AR"/>
        </w:rPr>
        <w:t xml:space="preserve"> </w:t>
      </w:r>
      <w:r w:rsidR="00987092" w:rsidRPr="00987092">
        <w:rPr>
          <w:sz w:val="20"/>
          <w:szCs w:val="20"/>
          <w:lang w:val="es-AR"/>
        </w:rPr>
        <w:t>por lo cual, el 27 de febrero de 2018 un funcionario judicial se acercó a la dirección</w:t>
      </w:r>
      <w:r w:rsidR="00987092">
        <w:rPr>
          <w:sz w:val="20"/>
          <w:szCs w:val="20"/>
          <w:lang w:val="es-AR"/>
        </w:rPr>
        <w:t xml:space="preserve"> </w:t>
      </w:r>
      <w:r w:rsidR="00987092" w:rsidRPr="00987092">
        <w:rPr>
          <w:sz w:val="20"/>
          <w:szCs w:val="20"/>
          <w:lang w:val="es-AR"/>
        </w:rPr>
        <w:t>de notificación establecida en el escrito de juicio de amparo, quien decidió culminar</w:t>
      </w:r>
      <w:r w:rsidR="00987092">
        <w:rPr>
          <w:sz w:val="20"/>
          <w:szCs w:val="20"/>
          <w:lang w:val="es-AR"/>
        </w:rPr>
        <w:t xml:space="preserve"> </w:t>
      </w:r>
      <w:r w:rsidR="00987092" w:rsidRPr="00987092">
        <w:rPr>
          <w:sz w:val="20"/>
          <w:szCs w:val="20"/>
          <w:lang w:val="es-AR"/>
        </w:rPr>
        <w:t>su diligencia debido a que el vigilante de la CEDHV le manifestó que no conocía al</w:t>
      </w:r>
      <w:r w:rsidR="00987092">
        <w:rPr>
          <w:sz w:val="20"/>
          <w:szCs w:val="20"/>
          <w:lang w:val="es-AR"/>
        </w:rPr>
        <w:t xml:space="preserve"> </w:t>
      </w:r>
      <w:r w:rsidR="00987092" w:rsidRPr="00987092">
        <w:rPr>
          <w:sz w:val="20"/>
          <w:szCs w:val="20"/>
          <w:lang w:val="es-AR"/>
        </w:rPr>
        <w:t xml:space="preserve">señor Pedro </w:t>
      </w:r>
      <w:proofErr w:type="spellStart"/>
      <w:r w:rsidR="00987092" w:rsidRPr="00987092">
        <w:rPr>
          <w:sz w:val="20"/>
          <w:szCs w:val="20"/>
          <w:lang w:val="es-AR"/>
        </w:rPr>
        <w:t>Mávil</w:t>
      </w:r>
      <w:proofErr w:type="spellEnd"/>
      <w:r w:rsidR="00987092">
        <w:rPr>
          <w:sz w:val="20"/>
          <w:szCs w:val="20"/>
          <w:lang w:val="es-AR"/>
        </w:rPr>
        <w:t xml:space="preserve">. El señor </w:t>
      </w:r>
      <w:proofErr w:type="spellStart"/>
      <w:r w:rsidR="00987092">
        <w:rPr>
          <w:sz w:val="20"/>
          <w:szCs w:val="20"/>
          <w:lang w:val="es-AR"/>
        </w:rPr>
        <w:t>Mávil</w:t>
      </w:r>
      <w:proofErr w:type="spellEnd"/>
      <w:r w:rsidR="00987092">
        <w:rPr>
          <w:sz w:val="20"/>
          <w:szCs w:val="20"/>
          <w:lang w:val="es-AR"/>
        </w:rPr>
        <w:t xml:space="preserve"> manifestó mediante oficio su inconformidad con las medidas de reparación reconocidas</w:t>
      </w:r>
      <w:r w:rsidR="00331578">
        <w:rPr>
          <w:sz w:val="20"/>
          <w:szCs w:val="20"/>
          <w:lang w:val="es-AR"/>
        </w:rPr>
        <w:t xml:space="preserve"> a favor de su familia</w:t>
      </w:r>
      <w:r w:rsidR="00987092">
        <w:rPr>
          <w:sz w:val="20"/>
          <w:szCs w:val="20"/>
          <w:lang w:val="es-AR"/>
        </w:rPr>
        <w:t>.</w:t>
      </w:r>
      <w:r w:rsidR="00331578">
        <w:rPr>
          <w:sz w:val="20"/>
          <w:szCs w:val="20"/>
          <w:lang w:val="es-AR"/>
        </w:rPr>
        <w:t xml:space="preserve"> Por último, los peticionarios solicitan a la Comisión Interamericana que acumule las etapas de admisibilidad y de fondo porque las excepciones planteadas por el Estado están relacionadas con el fondo del asunto y porque los padres de la presunta víctima son adultos mayores.</w:t>
      </w:r>
    </w:p>
    <w:p w14:paraId="5972F1F3" w14:textId="20CE3A9F" w:rsidR="001859B9" w:rsidRDefault="00246589" w:rsidP="00D85B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7</w:t>
      </w:r>
      <w:r w:rsidR="006E2B55" w:rsidRPr="00940B65">
        <w:rPr>
          <w:sz w:val="20"/>
          <w:szCs w:val="20"/>
          <w:lang w:val="es-AR"/>
        </w:rPr>
        <w:t>.</w:t>
      </w:r>
      <w:r w:rsidR="006E2B55" w:rsidRPr="00940B65">
        <w:rPr>
          <w:sz w:val="20"/>
          <w:szCs w:val="20"/>
          <w:lang w:val="es-AR"/>
        </w:rPr>
        <w:tab/>
      </w:r>
      <w:r w:rsidR="00DC2DBA">
        <w:rPr>
          <w:sz w:val="20"/>
          <w:szCs w:val="20"/>
          <w:lang w:val="es-AR"/>
        </w:rPr>
        <w:t>Por su parte, e</w:t>
      </w:r>
      <w:r w:rsidR="00615DC5" w:rsidRPr="00940B65">
        <w:rPr>
          <w:sz w:val="20"/>
          <w:szCs w:val="20"/>
          <w:lang w:val="es-AR"/>
        </w:rPr>
        <w:t xml:space="preserve">l Estado mexicano </w:t>
      </w:r>
      <w:r w:rsidR="00A64FD2">
        <w:rPr>
          <w:sz w:val="20"/>
          <w:szCs w:val="20"/>
          <w:lang w:val="es-AR"/>
        </w:rPr>
        <w:t xml:space="preserve">reseña </w:t>
      </w:r>
      <w:r w:rsidR="008549BF">
        <w:rPr>
          <w:sz w:val="20"/>
          <w:szCs w:val="20"/>
          <w:lang w:val="es-AR"/>
        </w:rPr>
        <w:t xml:space="preserve">las actuaciones </w:t>
      </w:r>
      <w:r w:rsidR="00E446E9">
        <w:rPr>
          <w:sz w:val="20"/>
          <w:szCs w:val="20"/>
          <w:lang w:val="es-AR"/>
        </w:rPr>
        <w:t xml:space="preserve">desde el inicio de la investigación ministerial por el secuestro de Gemma </w:t>
      </w:r>
      <w:proofErr w:type="spellStart"/>
      <w:r w:rsidR="00E446E9">
        <w:rPr>
          <w:sz w:val="20"/>
          <w:szCs w:val="20"/>
          <w:lang w:val="es-AR"/>
        </w:rPr>
        <w:t>Mávil</w:t>
      </w:r>
      <w:proofErr w:type="spellEnd"/>
      <w:r w:rsidR="00E446E9">
        <w:rPr>
          <w:sz w:val="20"/>
          <w:szCs w:val="20"/>
          <w:lang w:val="es-AR"/>
        </w:rPr>
        <w:t xml:space="preserve"> Hernández. </w:t>
      </w:r>
      <w:r w:rsidR="00E379A9">
        <w:rPr>
          <w:sz w:val="20"/>
          <w:szCs w:val="20"/>
          <w:lang w:val="es-AR"/>
        </w:rPr>
        <w:t xml:space="preserve">Refiere que </w:t>
      </w:r>
      <w:r w:rsidR="00841FE8">
        <w:rPr>
          <w:sz w:val="20"/>
          <w:szCs w:val="20"/>
          <w:lang w:val="es-AR"/>
        </w:rPr>
        <w:t>el 6 de mayo de 2011 el Estado ejerció acción penal y reparadora del daño en contra de dos hombres que habrían participado el secuestro de la presunta víctima, uno de los cuales fue condenado.</w:t>
      </w:r>
      <w:r w:rsidR="007565D0">
        <w:rPr>
          <w:sz w:val="20"/>
          <w:szCs w:val="20"/>
          <w:lang w:val="es-AR"/>
        </w:rPr>
        <w:t xml:space="preserve"> </w:t>
      </w:r>
      <w:r w:rsidR="00A71E55">
        <w:rPr>
          <w:sz w:val="20"/>
          <w:szCs w:val="20"/>
          <w:lang w:val="es-AR"/>
        </w:rPr>
        <w:t>E</w:t>
      </w:r>
      <w:r w:rsidR="007565D0">
        <w:rPr>
          <w:sz w:val="20"/>
          <w:szCs w:val="20"/>
          <w:lang w:val="es-AR"/>
        </w:rPr>
        <w:t xml:space="preserve">n noviembre de 2012 y en junio de 2013 se dictó auto de formal prisión contra uno de los procesados y ambos fueron condenados en primera y en segunda instancia </w:t>
      </w:r>
      <w:r w:rsidR="00A71E55">
        <w:rPr>
          <w:sz w:val="20"/>
          <w:szCs w:val="20"/>
          <w:lang w:val="es-AR"/>
        </w:rPr>
        <w:t xml:space="preserve">en el </w:t>
      </w:r>
      <w:r w:rsidR="007565D0">
        <w:rPr>
          <w:sz w:val="20"/>
          <w:szCs w:val="20"/>
          <w:lang w:val="es-AR"/>
        </w:rPr>
        <w:t>2014.</w:t>
      </w:r>
      <w:r w:rsidR="00621934">
        <w:rPr>
          <w:sz w:val="20"/>
          <w:szCs w:val="20"/>
          <w:lang w:val="es-AR"/>
        </w:rPr>
        <w:t xml:space="preserve"> Los procesados promovieron demanda de amparo contra la condena, lo que derivó en la ab</w:t>
      </w:r>
      <w:r w:rsidR="003220FD">
        <w:rPr>
          <w:sz w:val="20"/>
          <w:szCs w:val="20"/>
          <w:lang w:val="es-AR"/>
        </w:rPr>
        <w:t>s</w:t>
      </w:r>
      <w:r w:rsidR="00621934">
        <w:rPr>
          <w:sz w:val="20"/>
          <w:szCs w:val="20"/>
          <w:lang w:val="es-AR"/>
        </w:rPr>
        <w:t>olución de uno de ellos.</w:t>
      </w:r>
      <w:r w:rsidR="003220FD">
        <w:rPr>
          <w:sz w:val="20"/>
          <w:szCs w:val="20"/>
          <w:lang w:val="es-AR"/>
        </w:rPr>
        <w:t xml:space="preserve"> </w:t>
      </w:r>
      <w:r w:rsidR="00A71E55">
        <w:rPr>
          <w:sz w:val="20"/>
          <w:szCs w:val="20"/>
          <w:lang w:val="es-AR"/>
        </w:rPr>
        <w:t>E</w:t>
      </w:r>
      <w:r w:rsidR="003220FD">
        <w:rPr>
          <w:sz w:val="20"/>
          <w:szCs w:val="20"/>
          <w:lang w:val="es-AR"/>
        </w:rPr>
        <w:t xml:space="preserve">l 8 de julio de 2015 el señor Pedro </w:t>
      </w:r>
      <w:proofErr w:type="spellStart"/>
      <w:r w:rsidR="003220FD">
        <w:rPr>
          <w:sz w:val="20"/>
          <w:szCs w:val="20"/>
          <w:lang w:val="es-AR"/>
        </w:rPr>
        <w:t>Mávil</w:t>
      </w:r>
      <w:proofErr w:type="spellEnd"/>
      <w:r w:rsidR="003220FD">
        <w:rPr>
          <w:sz w:val="20"/>
          <w:szCs w:val="20"/>
          <w:lang w:val="es-AR"/>
        </w:rPr>
        <w:t xml:space="preserve"> fue reconocido</w:t>
      </w:r>
      <w:r w:rsidR="0025118F">
        <w:rPr>
          <w:sz w:val="20"/>
          <w:szCs w:val="20"/>
          <w:lang w:val="es-AR"/>
        </w:rPr>
        <w:t xml:space="preserve"> </w:t>
      </w:r>
      <w:r w:rsidR="00A25221">
        <w:rPr>
          <w:sz w:val="20"/>
          <w:szCs w:val="20"/>
          <w:lang w:val="es-AR"/>
        </w:rPr>
        <w:t xml:space="preserve">como víctima indirecta del delito </w:t>
      </w:r>
      <w:r w:rsidR="0025118F">
        <w:rPr>
          <w:sz w:val="20"/>
          <w:szCs w:val="20"/>
          <w:lang w:val="es-AR"/>
        </w:rPr>
        <w:t xml:space="preserve">por el </w:t>
      </w:r>
      <w:r w:rsidR="00A25221">
        <w:rPr>
          <w:sz w:val="20"/>
          <w:szCs w:val="20"/>
          <w:lang w:val="es-AR"/>
        </w:rPr>
        <w:t>juzgado de primera instancia que llevaba el proceso penal</w:t>
      </w:r>
      <w:r w:rsidR="003220FD">
        <w:rPr>
          <w:sz w:val="20"/>
          <w:szCs w:val="20"/>
          <w:lang w:val="es-AR"/>
        </w:rPr>
        <w:t xml:space="preserve"> </w:t>
      </w:r>
      <w:r w:rsidR="00D05C36">
        <w:rPr>
          <w:sz w:val="20"/>
          <w:szCs w:val="20"/>
          <w:lang w:val="es-AR"/>
        </w:rPr>
        <w:t>en atención a su solicitud radicada en junio de 2015</w:t>
      </w:r>
      <w:r w:rsidR="00E329A9">
        <w:rPr>
          <w:sz w:val="20"/>
          <w:szCs w:val="20"/>
          <w:lang w:val="es-AR"/>
        </w:rPr>
        <w:t xml:space="preserve">. Sin embargo, el reconocimiento </w:t>
      </w:r>
      <w:r w:rsidR="00A25221">
        <w:rPr>
          <w:sz w:val="20"/>
          <w:szCs w:val="20"/>
          <w:lang w:val="es-AR"/>
        </w:rPr>
        <w:t>no le fue notificad</w:t>
      </w:r>
      <w:r w:rsidR="00E329A9">
        <w:rPr>
          <w:sz w:val="20"/>
          <w:szCs w:val="20"/>
          <w:lang w:val="es-AR"/>
        </w:rPr>
        <w:t>o</w:t>
      </w:r>
      <w:r w:rsidR="00A25221">
        <w:rPr>
          <w:sz w:val="20"/>
          <w:szCs w:val="20"/>
          <w:lang w:val="es-AR"/>
        </w:rPr>
        <w:t xml:space="preserve"> por lo que interpuso una demanda de</w:t>
      </w:r>
      <w:r w:rsidR="001F62DE">
        <w:rPr>
          <w:sz w:val="20"/>
          <w:szCs w:val="20"/>
          <w:lang w:val="es-AR"/>
        </w:rPr>
        <w:t xml:space="preserve"> amparo </w:t>
      </w:r>
      <w:r w:rsidR="00A25221">
        <w:rPr>
          <w:sz w:val="20"/>
          <w:szCs w:val="20"/>
          <w:lang w:val="es-AR"/>
        </w:rPr>
        <w:t>que fue sobreseída e</w:t>
      </w:r>
      <w:r w:rsidR="005460FB">
        <w:rPr>
          <w:sz w:val="20"/>
          <w:szCs w:val="20"/>
          <w:lang w:val="es-AR"/>
        </w:rPr>
        <w:t>l 4 de septiembre de 2015</w:t>
      </w:r>
      <w:r w:rsidR="00FD5115">
        <w:rPr>
          <w:sz w:val="20"/>
          <w:szCs w:val="20"/>
          <w:lang w:val="es-AR"/>
        </w:rPr>
        <w:t xml:space="preserve"> visto que él ya había sido reconocido como víctima indirecta en el proceso</w:t>
      </w:r>
      <w:r w:rsidR="00D05C36">
        <w:rPr>
          <w:sz w:val="20"/>
          <w:szCs w:val="20"/>
          <w:lang w:val="es-AR"/>
        </w:rPr>
        <w:t>.</w:t>
      </w:r>
    </w:p>
    <w:p w14:paraId="6676B748" w14:textId="61C3DF48" w:rsidR="00EE16CC" w:rsidRDefault="00EE16CC" w:rsidP="00EE16C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579"/>
        </w:tabs>
        <w:suppressAutoHyphens/>
        <w:spacing w:after="240"/>
        <w:ind w:left="0" w:firstLine="720"/>
        <w:jc w:val="both"/>
        <w:rPr>
          <w:sz w:val="20"/>
          <w:szCs w:val="20"/>
          <w:lang w:val="es-AR"/>
        </w:rPr>
      </w:pPr>
      <w:r>
        <w:rPr>
          <w:sz w:val="20"/>
          <w:szCs w:val="20"/>
          <w:lang w:val="es-AR"/>
        </w:rPr>
        <w:t>8.</w:t>
      </w:r>
      <w:r>
        <w:rPr>
          <w:sz w:val="20"/>
          <w:szCs w:val="20"/>
          <w:lang w:val="es-AR"/>
        </w:rPr>
        <w:tab/>
        <w:t xml:space="preserve">Respecto de la desaparición del cadáver de la presunta víctima, el Estado relata que el </w:t>
      </w:r>
      <w:r w:rsidR="006816A9">
        <w:rPr>
          <w:sz w:val="20"/>
          <w:szCs w:val="20"/>
          <w:lang w:val="es-AR"/>
        </w:rPr>
        <w:t xml:space="preserve">3 de junio de 2016 el </w:t>
      </w:r>
      <w:r>
        <w:rPr>
          <w:sz w:val="20"/>
          <w:szCs w:val="20"/>
          <w:lang w:val="es-AR"/>
        </w:rPr>
        <w:t xml:space="preserve">señor Pedro </w:t>
      </w:r>
      <w:proofErr w:type="spellStart"/>
      <w:r>
        <w:rPr>
          <w:sz w:val="20"/>
          <w:szCs w:val="20"/>
          <w:lang w:val="es-AR"/>
        </w:rPr>
        <w:t>Mávil</w:t>
      </w:r>
      <w:proofErr w:type="spellEnd"/>
      <w:r>
        <w:rPr>
          <w:sz w:val="20"/>
          <w:szCs w:val="20"/>
          <w:lang w:val="es-AR"/>
        </w:rPr>
        <w:t xml:space="preserve"> informó al Ministerio Público </w:t>
      </w:r>
      <w:r w:rsidR="006816A9">
        <w:rPr>
          <w:sz w:val="20"/>
          <w:szCs w:val="20"/>
          <w:lang w:val="es-AR"/>
        </w:rPr>
        <w:t xml:space="preserve">sobre la posible relación con el hallazgo del cuerpo en la investigación </w:t>
      </w:r>
      <w:r w:rsidR="00487155">
        <w:rPr>
          <w:sz w:val="20"/>
          <w:szCs w:val="20"/>
          <w:lang w:val="es-AR"/>
        </w:rPr>
        <w:t xml:space="preserve">No. </w:t>
      </w:r>
      <w:r w:rsidR="006816A9">
        <w:rPr>
          <w:sz w:val="20"/>
          <w:szCs w:val="20"/>
          <w:lang w:val="es-AR"/>
        </w:rPr>
        <w:t>844/2011</w:t>
      </w:r>
      <w:r w:rsidR="00487155">
        <w:rPr>
          <w:sz w:val="20"/>
          <w:szCs w:val="20"/>
          <w:lang w:val="es-AR"/>
        </w:rPr>
        <w:t>,</w:t>
      </w:r>
      <w:r w:rsidR="006816A9">
        <w:rPr>
          <w:sz w:val="20"/>
          <w:szCs w:val="20"/>
          <w:lang w:val="es-AR"/>
        </w:rPr>
        <w:t xml:space="preserve"> que había iniciado el 13 de agosto de 2011.</w:t>
      </w:r>
      <w:r w:rsidR="00180206">
        <w:rPr>
          <w:sz w:val="20"/>
          <w:szCs w:val="20"/>
          <w:lang w:val="es-AR"/>
        </w:rPr>
        <w:t xml:space="preserve"> El 9 de junio de 2016 se practicó la diligencia de exhumación de cadáver, en la que se verificó que el cuerpo de la joven </w:t>
      </w:r>
      <w:proofErr w:type="spellStart"/>
      <w:r w:rsidR="00180206">
        <w:rPr>
          <w:sz w:val="20"/>
          <w:szCs w:val="20"/>
          <w:lang w:val="es-AR"/>
        </w:rPr>
        <w:t>Mávil</w:t>
      </w:r>
      <w:proofErr w:type="spellEnd"/>
      <w:r w:rsidR="00180206">
        <w:rPr>
          <w:sz w:val="20"/>
          <w:szCs w:val="20"/>
          <w:lang w:val="es-AR"/>
        </w:rPr>
        <w:t xml:space="preserve"> Hernández no se encontraba en el panteón municipal.</w:t>
      </w:r>
      <w:r w:rsidR="00A060BF">
        <w:rPr>
          <w:sz w:val="20"/>
          <w:szCs w:val="20"/>
          <w:lang w:val="es-AR"/>
        </w:rPr>
        <w:t xml:space="preserve"> El 21 de julio y el 2 de septiembre de 2016 se llevaron a cabo dos diligencias de exhumación de cadáver sin obtener el cuerpo.</w:t>
      </w:r>
      <w:r w:rsidR="00830BD7">
        <w:rPr>
          <w:sz w:val="20"/>
          <w:szCs w:val="20"/>
          <w:lang w:val="es-AR"/>
        </w:rPr>
        <w:t xml:space="preserve"> El Estado enfatiza que en cada una de las diligencias de exhumación se siguieron los protocolos </w:t>
      </w:r>
      <w:r w:rsidR="00C870AE">
        <w:rPr>
          <w:sz w:val="20"/>
          <w:szCs w:val="20"/>
          <w:lang w:val="es-AR"/>
        </w:rPr>
        <w:t xml:space="preserve">y </w:t>
      </w:r>
      <w:r w:rsidR="00487155">
        <w:rPr>
          <w:sz w:val="20"/>
          <w:szCs w:val="20"/>
          <w:lang w:val="es-AR"/>
        </w:rPr>
        <w:t>se cumplió con el</w:t>
      </w:r>
      <w:r w:rsidR="00C870AE">
        <w:rPr>
          <w:sz w:val="20"/>
          <w:szCs w:val="20"/>
          <w:lang w:val="es-AR"/>
        </w:rPr>
        <w:t xml:space="preserve"> debido manejo e identificación de cadáveres.</w:t>
      </w:r>
      <w:r w:rsidR="00C47A8F">
        <w:rPr>
          <w:sz w:val="20"/>
          <w:szCs w:val="20"/>
          <w:lang w:val="es-AR"/>
        </w:rPr>
        <w:t xml:space="preserve"> Indica que el 7 de noviembre de 2016 el señor Pedro </w:t>
      </w:r>
      <w:proofErr w:type="spellStart"/>
      <w:r w:rsidR="00C47A8F">
        <w:rPr>
          <w:sz w:val="20"/>
          <w:szCs w:val="20"/>
          <w:lang w:val="es-AR"/>
        </w:rPr>
        <w:t>Mávil</w:t>
      </w:r>
      <w:proofErr w:type="spellEnd"/>
      <w:r w:rsidR="00C47A8F">
        <w:rPr>
          <w:sz w:val="20"/>
          <w:szCs w:val="20"/>
          <w:lang w:val="es-AR"/>
        </w:rPr>
        <w:t xml:space="preserve"> promovió juicio de amparo indirecto por la falta de exhumación y entrega del cuerpo de su hija, </w:t>
      </w:r>
      <w:r w:rsidR="00BA7110">
        <w:rPr>
          <w:sz w:val="20"/>
          <w:szCs w:val="20"/>
          <w:lang w:val="es-AR"/>
        </w:rPr>
        <w:t>pero éste sería desechado por extemporáneo.</w:t>
      </w:r>
    </w:p>
    <w:p w14:paraId="00A18A08" w14:textId="122E4835" w:rsidR="001C5AAA" w:rsidRDefault="00EE16CC" w:rsidP="00D85B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9</w:t>
      </w:r>
      <w:r w:rsidR="00A64FD2">
        <w:rPr>
          <w:sz w:val="20"/>
          <w:szCs w:val="20"/>
          <w:lang w:val="es-AR"/>
        </w:rPr>
        <w:t>.</w:t>
      </w:r>
      <w:r w:rsidR="00A64FD2">
        <w:rPr>
          <w:sz w:val="20"/>
          <w:szCs w:val="20"/>
          <w:lang w:val="es-AR"/>
        </w:rPr>
        <w:tab/>
        <w:t xml:space="preserve">El Estado </w:t>
      </w:r>
      <w:r w:rsidR="004D5904" w:rsidRPr="00940B65">
        <w:rPr>
          <w:sz w:val="20"/>
          <w:szCs w:val="20"/>
          <w:lang w:val="es-AR"/>
        </w:rPr>
        <w:t>considera que la petición es inadmisible en tanto</w:t>
      </w:r>
      <w:r w:rsidR="003C6777">
        <w:rPr>
          <w:sz w:val="20"/>
          <w:szCs w:val="20"/>
          <w:lang w:val="es-AR"/>
        </w:rPr>
        <w:t>, a su juicio,</w:t>
      </w:r>
      <w:r w:rsidR="004D5904" w:rsidRPr="00940B65">
        <w:rPr>
          <w:sz w:val="20"/>
          <w:szCs w:val="20"/>
          <w:lang w:val="es-AR"/>
        </w:rPr>
        <w:t xml:space="preserve"> no presenta </w:t>
      </w:r>
      <w:r w:rsidR="00E271BC" w:rsidRPr="00940B65">
        <w:rPr>
          <w:sz w:val="20"/>
          <w:szCs w:val="20"/>
          <w:lang w:val="es-AR"/>
        </w:rPr>
        <w:t xml:space="preserve">hechos que </w:t>
      </w:r>
      <w:r w:rsidR="003C6777">
        <w:rPr>
          <w:sz w:val="20"/>
          <w:szCs w:val="20"/>
          <w:lang w:val="es-AR"/>
        </w:rPr>
        <w:t>constituyan</w:t>
      </w:r>
      <w:r w:rsidR="00E271BC" w:rsidRPr="00940B65">
        <w:rPr>
          <w:sz w:val="20"/>
          <w:szCs w:val="20"/>
          <w:lang w:val="es-AR"/>
        </w:rPr>
        <w:t xml:space="preserve"> </w:t>
      </w:r>
      <w:r w:rsidR="004D5904" w:rsidRPr="00940B65">
        <w:rPr>
          <w:sz w:val="20"/>
          <w:szCs w:val="20"/>
          <w:lang w:val="es-AR"/>
        </w:rPr>
        <w:t xml:space="preserve">violaciones de derechos humanos </w:t>
      </w:r>
      <w:r w:rsidR="00E271BC" w:rsidRPr="00940B65">
        <w:rPr>
          <w:sz w:val="20"/>
          <w:szCs w:val="20"/>
          <w:lang w:val="es-AR"/>
        </w:rPr>
        <w:t xml:space="preserve">en el marco </w:t>
      </w:r>
      <w:r w:rsidR="004D5904" w:rsidRPr="00940B65">
        <w:rPr>
          <w:sz w:val="20"/>
          <w:szCs w:val="20"/>
          <w:lang w:val="es-AR"/>
        </w:rPr>
        <w:t xml:space="preserve">del proceso penal llevado a cabo por el secuestro de Gemma </w:t>
      </w:r>
      <w:proofErr w:type="spellStart"/>
      <w:r w:rsidR="004D5904" w:rsidRPr="00940B65">
        <w:rPr>
          <w:sz w:val="20"/>
          <w:szCs w:val="20"/>
          <w:lang w:val="es-AR"/>
        </w:rPr>
        <w:t>Mávil</w:t>
      </w:r>
      <w:proofErr w:type="spellEnd"/>
      <w:r w:rsidR="004D5904" w:rsidRPr="00940B65">
        <w:rPr>
          <w:sz w:val="20"/>
          <w:szCs w:val="20"/>
          <w:lang w:val="es-AR"/>
        </w:rPr>
        <w:t xml:space="preserve"> Hernández.</w:t>
      </w:r>
      <w:r w:rsidR="00C6358A" w:rsidRPr="00940B65">
        <w:rPr>
          <w:sz w:val="20"/>
          <w:szCs w:val="20"/>
          <w:lang w:val="es-CO"/>
        </w:rPr>
        <w:t xml:space="preserve"> </w:t>
      </w:r>
      <w:r w:rsidR="00940B65" w:rsidRPr="00940B65">
        <w:rPr>
          <w:sz w:val="20"/>
          <w:szCs w:val="20"/>
          <w:lang w:val="es-CO"/>
        </w:rPr>
        <w:t>Argumenta q</w:t>
      </w:r>
      <w:r w:rsidR="00940B65">
        <w:rPr>
          <w:sz w:val="20"/>
          <w:szCs w:val="20"/>
          <w:lang w:val="es-CO"/>
        </w:rPr>
        <w:t xml:space="preserve">ue </w:t>
      </w:r>
      <w:r w:rsidR="00844FFB">
        <w:rPr>
          <w:sz w:val="20"/>
          <w:szCs w:val="20"/>
          <w:lang w:val="es-CO"/>
        </w:rPr>
        <w:t xml:space="preserve">en </w:t>
      </w:r>
      <w:r w:rsidR="006054DA">
        <w:rPr>
          <w:sz w:val="20"/>
          <w:szCs w:val="20"/>
          <w:lang w:val="es-CO"/>
        </w:rPr>
        <w:t xml:space="preserve">el proceso </w:t>
      </w:r>
      <w:r w:rsidR="00844FFB">
        <w:rPr>
          <w:sz w:val="20"/>
          <w:szCs w:val="20"/>
          <w:lang w:val="es-CO"/>
        </w:rPr>
        <w:t xml:space="preserve">penal dos personas fueron condenadas por el secuestro de </w:t>
      </w:r>
      <w:r w:rsidR="00B43DE0">
        <w:rPr>
          <w:sz w:val="20"/>
          <w:szCs w:val="20"/>
          <w:lang w:val="es-CO"/>
        </w:rPr>
        <w:t xml:space="preserve">la joven </w:t>
      </w:r>
      <w:proofErr w:type="spellStart"/>
      <w:r w:rsidR="00B43DE0">
        <w:rPr>
          <w:sz w:val="20"/>
          <w:szCs w:val="20"/>
          <w:lang w:val="es-CO"/>
        </w:rPr>
        <w:t>Mávil</w:t>
      </w:r>
      <w:proofErr w:type="spellEnd"/>
      <w:r w:rsidR="00B43DE0">
        <w:rPr>
          <w:sz w:val="20"/>
          <w:szCs w:val="20"/>
          <w:lang w:val="es-CO"/>
        </w:rPr>
        <w:t xml:space="preserve"> Hernández</w:t>
      </w:r>
      <w:r w:rsidR="003F3037">
        <w:rPr>
          <w:sz w:val="20"/>
          <w:szCs w:val="20"/>
          <w:lang w:val="es-CO"/>
        </w:rPr>
        <w:t>, aunque una de ellas fue absuelta posteriormente mediante juicio de am</w:t>
      </w:r>
      <w:r w:rsidR="005F0589">
        <w:rPr>
          <w:sz w:val="20"/>
          <w:szCs w:val="20"/>
          <w:lang w:val="es-CO"/>
        </w:rPr>
        <w:t>p</w:t>
      </w:r>
      <w:r w:rsidR="003F3037">
        <w:rPr>
          <w:sz w:val="20"/>
          <w:szCs w:val="20"/>
          <w:lang w:val="es-CO"/>
        </w:rPr>
        <w:t>aro</w:t>
      </w:r>
      <w:r w:rsidR="00B43DE0">
        <w:rPr>
          <w:sz w:val="20"/>
          <w:szCs w:val="20"/>
          <w:lang w:val="es-CO"/>
        </w:rPr>
        <w:t xml:space="preserve">. </w:t>
      </w:r>
      <w:r w:rsidR="00E22D1F">
        <w:rPr>
          <w:sz w:val="20"/>
          <w:szCs w:val="20"/>
          <w:lang w:val="es-CO"/>
        </w:rPr>
        <w:t xml:space="preserve">El Estado aduce </w:t>
      </w:r>
      <w:r w:rsidR="006B3CE4">
        <w:rPr>
          <w:sz w:val="20"/>
          <w:szCs w:val="20"/>
          <w:lang w:val="es-CO"/>
        </w:rPr>
        <w:t>que el peticionario participó y presentó recursos en el proceso penal y fue reconocido como víctima indirecta del delito</w:t>
      </w:r>
      <w:r w:rsidR="00282C02">
        <w:rPr>
          <w:sz w:val="20"/>
          <w:szCs w:val="20"/>
          <w:lang w:val="es-CO"/>
        </w:rPr>
        <w:t xml:space="preserve"> para que pudiese acceder a la reparación</w:t>
      </w:r>
      <w:r w:rsidR="006B3CE4">
        <w:rPr>
          <w:sz w:val="20"/>
          <w:szCs w:val="20"/>
          <w:lang w:val="es-CO"/>
        </w:rPr>
        <w:t>.</w:t>
      </w:r>
      <w:r w:rsidR="007E3C17">
        <w:rPr>
          <w:sz w:val="20"/>
          <w:szCs w:val="20"/>
          <w:lang w:val="es-CO"/>
        </w:rPr>
        <w:t xml:space="preserve"> Con ello, el Estado considera que </w:t>
      </w:r>
      <w:r w:rsidR="00CF6229">
        <w:rPr>
          <w:sz w:val="20"/>
          <w:szCs w:val="20"/>
          <w:lang w:val="es-CO"/>
        </w:rPr>
        <w:t>cumplió con</w:t>
      </w:r>
      <w:r w:rsidR="007E3C17">
        <w:rPr>
          <w:sz w:val="20"/>
          <w:szCs w:val="20"/>
          <w:lang w:val="es-CO"/>
        </w:rPr>
        <w:t xml:space="preserve"> sus obligaciones en derechos humanos conforme al principio de subsidiariedad</w:t>
      </w:r>
      <w:r w:rsidR="00C6358A" w:rsidRPr="00C6358A">
        <w:rPr>
          <w:sz w:val="20"/>
          <w:szCs w:val="20"/>
          <w:lang w:val="es-AR"/>
        </w:rPr>
        <w:t>.</w:t>
      </w:r>
    </w:p>
    <w:p w14:paraId="5B40C3E6" w14:textId="1B2A6636" w:rsidR="00D85B15" w:rsidRPr="001A1F80" w:rsidRDefault="00EE16CC" w:rsidP="001A1F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10</w:t>
      </w:r>
      <w:r w:rsidR="001C5AAA">
        <w:rPr>
          <w:sz w:val="20"/>
          <w:szCs w:val="20"/>
          <w:lang w:val="es-AR"/>
        </w:rPr>
        <w:t>.</w:t>
      </w:r>
      <w:r w:rsidR="001C5AAA">
        <w:rPr>
          <w:sz w:val="20"/>
          <w:szCs w:val="20"/>
          <w:lang w:val="es-AR"/>
        </w:rPr>
        <w:tab/>
      </w:r>
      <w:r w:rsidR="001A1F80">
        <w:rPr>
          <w:sz w:val="20"/>
          <w:szCs w:val="20"/>
          <w:lang w:val="es-AR"/>
        </w:rPr>
        <w:t xml:space="preserve">Por otro lado, </w:t>
      </w:r>
      <w:r w:rsidR="00EF64BB">
        <w:rPr>
          <w:sz w:val="20"/>
          <w:szCs w:val="20"/>
          <w:lang w:val="es-AR"/>
        </w:rPr>
        <w:t>aduce</w:t>
      </w:r>
      <w:r w:rsidR="001C5AAA">
        <w:rPr>
          <w:sz w:val="20"/>
          <w:szCs w:val="20"/>
          <w:lang w:val="es-AR"/>
        </w:rPr>
        <w:t xml:space="preserve"> la excepción de falta de agotamie</w:t>
      </w:r>
      <w:r w:rsidR="00372F50">
        <w:rPr>
          <w:sz w:val="20"/>
          <w:szCs w:val="20"/>
          <w:lang w:val="es-AR"/>
        </w:rPr>
        <w:t>n</w:t>
      </w:r>
      <w:r w:rsidR="001C5AAA">
        <w:rPr>
          <w:sz w:val="20"/>
          <w:szCs w:val="20"/>
          <w:lang w:val="es-AR"/>
        </w:rPr>
        <w:t>to de los recursos internos</w:t>
      </w:r>
      <w:r w:rsidR="00EC6493">
        <w:rPr>
          <w:sz w:val="20"/>
          <w:szCs w:val="20"/>
          <w:lang w:val="es-AR"/>
        </w:rPr>
        <w:t xml:space="preserve">, </w:t>
      </w:r>
      <w:r w:rsidR="00EF64BB">
        <w:rPr>
          <w:sz w:val="20"/>
          <w:szCs w:val="20"/>
          <w:lang w:val="es-AR"/>
        </w:rPr>
        <w:t>ya</w:t>
      </w:r>
      <w:r w:rsidR="00EC6493">
        <w:rPr>
          <w:sz w:val="20"/>
          <w:szCs w:val="20"/>
          <w:lang w:val="es-AR"/>
        </w:rPr>
        <w:t xml:space="preserve"> que las autoridades continúan llevando a cabo las investigaciones para encontrar el cuerpo de la presunta víctima e identificar a las personas responsables del delito.</w:t>
      </w:r>
      <w:r w:rsidR="0045509E">
        <w:rPr>
          <w:sz w:val="20"/>
          <w:szCs w:val="20"/>
          <w:lang w:val="es-AR"/>
        </w:rPr>
        <w:t xml:space="preserve"> En ese sentido, el Estado </w:t>
      </w:r>
      <w:r w:rsidR="00081BD9">
        <w:rPr>
          <w:sz w:val="20"/>
          <w:szCs w:val="20"/>
          <w:lang w:val="es-AR"/>
        </w:rPr>
        <w:t>sostien</w:t>
      </w:r>
      <w:r w:rsidR="0045509E">
        <w:rPr>
          <w:sz w:val="20"/>
          <w:szCs w:val="20"/>
          <w:lang w:val="es-AR"/>
        </w:rPr>
        <w:t xml:space="preserve">e que la parte peticionaria no ha agotado los recursos internos respecto de la búsqueda y entrega del cuerpo de Gemma </w:t>
      </w:r>
      <w:proofErr w:type="spellStart"/>
      <w:r w:rsidR="0045509E">
        <w:rPr>
          <w:sz w:val="20"/>
          <w:szCs w:val="20"/>
          <w:lang w:val="es-AR"/>
        </w:rPr>
        <w:t>Mávil</w:t>
      </w:r>
      <w:proofErr w:type="spellEnd"/>
      <w:r w:rsidR="0045509E">
        <w:rPr>
          <w:sz w:val="20"/>
          <w:szCs w:val="20"/>
          <w:lang w:val="es-AR"/>
        </w:rPr>
        <w:t xml:space="preserve"> Hernández.</w:t>
      </w:r>
    </w:p>
    <w:p w14:paraId="5A1E8216" w14:textId="3C576C6A"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7499756" w14:textId="49FF45BD" w:rsidR="00E3515C" w:rsidRDefault="00031C87" w:rsidP="00031C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008549BF">
        <w:rPr>
          <w:rFonts w:asciiTheme="majorHAnsi" w:hAnsiTheme="majorHAnsi"/>
          <w:sz w:val="20"/>
          <w:szCs w:val="20"/>
          <w:lang w:val="es-ES"/>
        </w:rPr>
        <w:t>1</w:t>
      </w:r>
      <w:r w:rsidR="00EE16CC">
        <w:rPr>
          <w:rFonts w:asciiTheme="majorHAnsi" w:hAnsiTheme="majorHAnsi"/>
          <w:sz w:val="20"/>
          <w:szCs w:val="20"/>
          <w:lang w:val="es-ES"/>
        </w:rPr>
        <w:t>1</w:t>
      </w:r>
      <w:r w:rsidR="00E3515C">
        <w:rPr>
          <w:rFonts w:asciiTheme="majorHAnsi" w:hAnsiTheme="majorHAnsi"/>
          <w:sz w:val="20"/>
          <w:szCs w:val="20"/>
          <w:lang w:val="es-ES"/>
        </w:rPr>
        <w:t>.</w:t>
      </w:r>
      <w:r w:rsidR="00E3515C">
        <w:rPr>
          <w:rFonts w:asciiTheme="majorHAnsi" w:hAnsiTheme="majorHAnsi"/>
          <w:sz w:val="20"/>
          <w:szCs w:val="20"/>
          <w:lang w:val="es-ES"/>
        </w:rPr>
        <w:tab/>
      </w:r>
      <w:r w:rsidR="00B35772">
        <w:rPr>
          <w:rFonts w:asciiTheme="majorHAnsi" w:hAnsiTheme="majorHAnsi"/>
          <w:sz w:val="20"/>
          <w:szCs w:val="20"/>
          <w:lang w:val="es-ES"/>
        </w:rPr>
        <w:t xml:space="preserve">La </w:t>
      </w:r>
      <w:r w:rsidR="001E1664">
        <w:rPr>
          <w:rFonts w:asciiTheme="majorHAnsi" w:hAnsiTheme="majorHAnsi"/>
          <w:sz w:val="20"/>
          <w:szCs w:val="20"/>
          <w:lang w:val="es-ES"/>
        </w:rPr>
        <w:t xml:space="preserve">Comisión observa que la </w:t>
      </w:r>
      <w:r w:rsidR="00B35772">
        <w:rPr>
          <w:rFonts w:asciiTheme="majorHAnsi" w:hAnsiTheme="majorHAnsi"/>
          <w:sz w:val="20"/>
          <w:szCs w:val="20"/>
          <w:lang w:val="es-ES"/>
        </w:rPr>
        <w:t xml:space="preserve">organización peticionaria </w:t>
      </w:r>
      <w:r w:rsidR="001E1664">
        <w:rPr>
          <w:rFonts w:asciiTheme="majorHAnsi" w:hAnsiTheme="majorHAnsi"/>
          <w:sz w:val="20"/>
          <w:szCs w:val="20"/>
          <w:lang w:val="es-ES"/>
        </w:rPr>
        <w:t xml:space="preserve">alega la falta de debida diligencia en la investigación por el secuestro de la presunta víctima; </w:t>
      </w:r>
      <w:r w:rsidR="00E14CD1">
        <w:rPr>
          <w:rFonts w:asciiTheme="majorHAnsi" w:hAnsiTheme="majorHAnsi"/>
          <w:sz w:val="20"/>
          <w:szCs w:val="20"/>
          <w:lang w:val="es-ES"/>
        </w:rPr>
        <w:t xml:space="preserve">la existencia de </w:t>
      </w:r>
      <w:r w:rsidR="001E1664">
        <w:rPr>
          <w:rFonts w:asciiTheme="majorHAnsi" w:hAnsiTheme="majorHAnsi"/>
          <w:sz w:val="20"/>
          <w:szCs w:val="20"/>
          <w:lang w:val="es-ES"/>
        </w:rPr>
        <w:t>irregularidades en el marco de la inhumación del cadáver</w:t>
      </w:r>
      <w:r w:rsidR="00D3667B">
        <w:rPr>
          <w:rFonts w:asciiTheme="majorHAnsi" w:hAnsiTheme="majorHAnsi"/>
          <w:sz w:val="20"/>
          <w:szCs w:val="20"/>
          <w:lang w:val="es-ES"/>
        </w:rPr>
        <w:t xml:space="preserve"> y</w:t>
      </w:r>
      <w:r w:rsidR="001E1664">
        <w:rPr>
          <w:rFonts w:asciiTheme="majorHAnsi" w:hAnsiTheme="majorHAnsi"/>
          <w:sz w:val="20"/>
          <w:szCs w:val="20"/>
          <w:lang w:val="es-ES"/>
        </w:rPr>
        <w:t xml:space="preserve"> </w:t>
      </w:r>
      <w:r w:rsidR="00865DAD">
        <w:rPr>
          <w:rFonts w:asciiTheme="majorHAnsi" w:hAnsiTheme="majorHAnsi"/>
          <w:sz w:val="20"/>
          <w:szCs w:val="20"/>
          <w:lang w:val="es-ES"/>
        </w:rPr>
        <w:t xml:space="preserve">en </w:t>
      </w:r>
      <w:r w:rsidR="001E1664">
        <w:rPr>
          <w:rFonts w:asciiTheme="majorHAnsi" w:hAnsiTheme="majorHAnsi"/>
          <w:sz w:val="20"/>
          <w:szCs w:val="20"/>
          <w:lang w:val="es-ES"/>
        </w:rPr>
        <w:t xml:space="preserve">el proceso </w:t>
      </w:r>
      <w:r w:rsidR="007054AF">
        <w:rPr>
          <w:rFonts w:asciiTheme="majorHAnsi" w:hAnsiTheme="majorHAnsi"/>
          <w:sz w:val="20"/>
          <w:szCs w:val="20"/>
          <w:lang w:val="es-ES"/>
        </w:rPr>
        <w:t xml:space="preserve">penal </w:t>
      </w:r>
      <w:r w:rsidR="001E1664">
        <w:rPr>
          <w:rFonts w:asciiTheme="majorHAnsi" w:hAnsiTheme="majorHAnsi"/>
          <w:sz w:val="20"/>
          <w:szCs w:val="20"/>
          <w:lang w:val="es-ES"/>
        </w:rPr>
        <w:t>por el manejo indebido del cuerpo</w:t>
      </w:r>
      <w:r w:rsidR="00233415">
        <w:rPr>
          <w:rFonts w:asciiTheme="majorHAnsi" w:hAnsiTheme="majorHAnsi"/>
          <w:sz w:val="20"/>
          <w:szCs w:val="20"/>
          <w:lang w:val="es-ES"/>
        </w:rPr>
        <w:t>;</w:t>
      </w:r>
      <w:r w:rsidR="001E1664">
        <w:rPr>
          <w:rFonts w:asciiTheme="majorHAnsi" w:hAnsiTheme="majorHAnsi"/>
          <w:sz w:val="20"/>
          <w:szCs w:val="20"/>
          <w:lang w:val="es-ES"/>
        </w:rPr>
        <w:t xml:space="preserve"> y</w:t>
      </w:r>
      <w:r w:rsidR="00233415">
        <w:rPr>
          <w:rFonts w:asciiTheme="majorHAnsi" w:hAnsiTheme="majorHAnsi"/>
          <w:sz w:val="20"/>
          <w:szCs w:val="20"/>
          <w:lang w:val="es-ES"/>
        </w:rPr>
        <w:t>,</w:t>
      </w:r>
      <w:r w:rsidR="001E1664">
        <w:rPr>
          <w:rFonts w:asciiTheme="majorHAnsi" w:hAnsiTheme="majorHAnsi"/>
          <w:sz w:val="20"/>
          <w:szCs w:val="20"/>
          <w:lang w:val="es-ES"/>
        </w:rPr>
        <w:t xml:space="preserve"> la falta de acceso a la justicia y de </w:t>
      </w:r>
      <w:r w:rsidR="00865DAD">
        <w:rPr>
          <w:rFonts w:asciiTheme="majorHAnsi" w:hAnsiTheme="majorHAnsi"/>
          <w:sz w:val="20"/>
          <w:szCs w:val="20"/>
          <w:lang w:val="es-ES"/>
        </w:rPr>
        <w:t xml:space="preserve">una </w:t>
      </w:r>
      <w:r w:rsidR="001E1664">
        <w:rPr>
          <w:rFonts w:asciiTheme="majorHAnsi" w:hAnsiTheme="majorHAnsi"/>
          <w:sz w:val="20"/>
          <w:szCs w:val="20"/>
          <w:lang w:val="es-ES"/>
        </w:rPr>
        <w:t>reparación integral</w:t>
      </w:r>
      <w:r w:rsidR="00865DAD">
        <w:rPr>
          <w:rFonts w:asciiTheme="majorHAnsi" w:hAnsiTheme="majorHAnsi"/>
          <w:sz w:val="20"/>
          <w:szCs w:val="20"/>
          <w:lang w:val="es-ES"/>
        </w:rPr>
        <w:t xml:space="preserve"> para los familiares de Gemma </w:t>
      </w:r>
      <w:proofErr w:type="spellStart"/>
      <w:r w:rsidR="00865DAD">
        <w:rPr>
          <w:rFonts w:asciiTheme="majorHAnsi" w:hAnsiTheme="majorHAnsi"/>
          <w:sz w:val="20"/>
          <w:szCs w:val="20"/>
          <w:lang w:val="es-ES"/>
        </w:rPr>
        <w:t>Mávil</w:t>
      </w:r>
      <w:proofErr w:type="spellEnd"/>
      <w:r w:rsidR="00865DAD">
        <w:rPr>
          <w:rFonts w:asciiTheme="majorHAnsi" w:hAnsiTheme="majorHAnsi"/>
          <w:sz w:val="20"/>
          <w:szCs w:val="20"/>
          <w:lang w:val="es-ES"/>
        </w:rPr>
        <w:t xml:space="preserve"> Hernández</w:t>
      </w:r>
      <w:r w:rsidR="001E1664">
        <w:rPr>
          <w:rFonts w:asciiTheme="majorHAnsi" w:hAnsiTheme="majorHAnsi"/>
          <w:sz w:val="20"/>
          <w:szCs w:val="20"/>
          <w:lang w:val="es-ES"/>
        </w:rPr>
        <w:t>.</w:t>
      </w:r>
      <w:r w:rsidR="00B96727">
        <w:rPr>
          <w:rFonts w:asciiTheme="majorHAnsi" w:hAnsiTheme="majorHAnsi"/>
          <w:sz w:val="20"/>
          <w:szCs w:val="20"/>
          <w:lang w:val="es-ES"/>
        </w:rPr>
        <w:t xml:space="preserve"> </w:t>
      </w:r>
      <w:r w:rsidR="00B510EC">
        <w:rPr>
          <w:rFonts w:asciiTheme="majorHAnsi" w:hAnsiTheme="majorHAnsi"/>
          <w:sz w:val="20"/>
          <w:szCs w:val="20"/>
          <w:lang w:val="es-ES"/>
        </w:rPr>
        <w:t>L</w:t>
      </w:r>
      <w:r w:rsidR="00B96727">
        <w:rPr>
          <w:rFonts w:asciiTheme="majorHAnsi" w:hAnsiTheme="majorHAnsi"/>
          <w:sz w:val="20"/>
          <w:szCs w:val="20"/>
          <w:lang w:val="es-ES"/>
        </w:rPr>
        <w:t xml:space="preserve">os peticionarios invocan la </w:t>
      </w:r>
      <w:r w:rsidR="00B96727">
        <w:rPr>
          <w:rFonts w:asciiTheme="majorHAnsi" w:hAnsiTheme="majorHAnsi"/>
          <w:sz w:val="20"/>
          <w:szCs w:val="20"/>
          <w:lang w:val="es-ES"/>
        </w:rPr>
        <w:lastRenderedPageBreak/>
        <w:t xml:space="preserve">excepción de </w:t>
      </w:r>
      <w:r w:rsidR="00886ED2">
        <w:rPr>
          <w:rFonts w:asciiTheme="majorHAnsi" w:hAnsiTheme="majorHAnsi"/>
          <w:sz w:val="20"/>
          <w:szCs w:val="20"/>
          <w:lang w:val="es-ES"/>
        </w:rPr>
        <w:t xml:space="preserve">retardo injustificado en la emisión de una decisión </w:t>
      </w:r>
      <w:r w:rsidR="00AF1888">
        <w:rPr>
          <w:rFonts w:asciiTheme="majorHAnsi" w:hAnsiTheme="majorHAnsi"/>
          <w:sz w:val="20"/>
          <w:szCs w:val="20"/>
          <w:lang w:val="es-ES"/>
        </w:rPr>
        <w:t xml:space="preserve">respecto de los recursos </w:t>
      </w:r>
      <w:r w:rsidR="00886ED2">
        <w:rPr>
          <w:rFonts w:asciiTheme="majorHAnsi" w:hAnsiTheme="majorHAnsi"/>
          <w:sz w:val="20"/>
          <w:szCs w:val="20"/>
          <w:lang w:val="es-ES"/>
        </w:rPr>
        <w:t>interno</w:t>
      </w:r>
      <w:r w:rsidR="00AF1888">
        <w:rPr>
          <w:rFonts w:asciiTheme="majorHAnsi" w:hAnsiTheme="majorHAnsi"/>
          <w:sz w:val="20"/>
          <w:szCs w:val="20"/>
          <w:lang w:val="es-ES"/>
        </w:rPr>
        <w:t>s</w:t>
      </w:r>
      <w:r w:rsidR="00886ED2">
        <w:rPr>
          <w:rFonts w:asciiTheme="majorHAnsi" w:hAnsiTheme="majorHAnsi"/>
          <w:sz w:val="20"/>
          <w:szCs w:val="20"/>
          <w:lang w:val="es-ES"/>
        </w:rPr>
        <w:t>.</w:t>
      </w:r>
      <w:r w:rsidR="00B510EC">
        <w:rPr>
          <w:rFonts w:asciiTheme="majorHAnsi" w:hAnsiTheme="majorHAnsi"/>
          <w:sz w:val="20"/>
          <w:szCs w:val="20"/>
          <w:lang w:val="es-ES"/>
        </w:rPr>
        <w:t xml:space="preserve"> </w:t>
      </w:r>
      <w:r w:rsidR="002F2FAF">
        <w:rPr>
          <w:rFonts w:asciiTheme="majorHAnsi" w:hAnsiTheme="majorHAnsi"/>
          <w:sz w:val="20"/>
          <w:szCs w:val="20"/>
          <w:lang w:val="es-ES"/>
        </w:rPr>
        <w:t xml:space="preserve">El Estado replica que las investigaciones para dar con el paradero del cadáver de la presunta víctima siguen en curso, por </w:t>
      </w:r>
      <w:r w:rsidR="00393FC6">
        <w:rPr>
          <w:rFonts w:asciiTheme="majorHAnsi" w:hAnsiTheme="majorHAnsi"/>
          <w:sz w:val="20"/>
          <w:szCs w:val="20"/>
          <w:lang w:val="es-ES"/>
        </w:rPr>
        <w:t>lo cual</w:t>
      </w:r>
      <w:r w:rsidR="002F2FAF">
        <w:rPr>
          <w:rFonts w:asciiTheme="majorHAnsi" w:hAnsiTheme="majorHAnsi"/>
          <w:sz w:val="20"/>
          <w:szCs w:val="20"/>
          <w:lang w:val="es-ES"/>
        </w:rPr>
        <w:t xml:space="preserve"> no se habría agotado </w:t>
      </w:r>
      <w:r w:rsidR="0037256D">
        <w:rPr>
          <w:rFonts w:asciiTheme="majorHAnsi" w:hAnsiTheme="majorHAnsi"/>
          <w:sz w:val="20"/>
          <w:szCs w:val="20"/>
          <w:lang w:val="es-ES"/>
        </w:rPr>
        <w:t>dicho</w:t>
      </w:r>
      <w:r w:rsidR="002F2FAF">
        <w:rPr>
          <w:rFonts w:asciiTheme="majorHAnsi" w:hAnsiTheme="majorHAnsi"/>
          <w:sz w:val="20"/>
          <w:szCs w:val="20"/>
          <w:lang w:val="es-ES"/>
        </w:rPr>
        <w:t xml:space="preserve"> recurso interno.</w:t>
      </w:r>
    </w:p>
    <w:p w14:paraId="0996469D" w14:textId="16A7F312" w:rsidR="00C40153" w:rsidRDefault="001535B7" w:rsidP="006C7B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00EE16CC">
        <w:rPr>
          <w:rFonts w:asciiTheme="majorHAnsi" w:hAnsiTheme="majorHAnsi"/>
          <w:sz w:val="20"/>
          <w:szCs w:val="20"/>
          <w:lang w:val="es-ES"/>
        </w:rPr>
        <w:t>12</w:t>
      </w:r>
      <w:r>
        <w:rPr>
          <w:rFonts w:asciiTheme="majorHAnsi" w:hAnsiTheme="majorHAnsi"/>
          <w:sz w:val="20"/>
          <w:szCs w:val="20"/>
          <w:lang w:val="es-ES"/>
        </w:rPr>
        <w:t>.</w:t>
      </w:r>
      <w:r>
        <w:rPr>
          <w:rFonts w:asciiTheme="majorHAnsi" w:hAnsiTheme="majorHAnsi"/>
          <w:sz w:val="20"/>
          <w:szCs w:val="20"/>
          <w:lang w:val="es-ES"/>
        </w:rPr>
        <w:tab/>
      </w:r>
      <w:r w:rsidR="009D0ED4">
        <w:rPr>
          <w:rFonts w:asciiTheme="majorHAnsi" w:hAnsiTheme="majorHAnsi"/>
          <w:sz w:val="20"/>
          <w:szCs w:val="20"/>
          <w:lang w:val="es-ES"/>
        </w:rPr>
        <w:t>A este respecto, l</w:t>
      </w:r>
      <w:r w:rsidR="00903F6E" w:rsidRPr="00903F6E">
        <w:rPr>
          <w:rFonts w:asciiTheme="majorHAnsi" w:hAnsiTheme="majorHAnsi"/>
          <w:sz w:val="20"/>
          <w:szCs w:val="20"/>
          <w:lang w:val="es-ES"/>
        </w:rPr>
        <w:t xml:space="preserve">a Comisión </w:t>
      </w:r>
      <w:r w:rsidR="009D0ED4">
        <w:rPr>
          <w:rFonts w:asciiTheme="majorHAnsi" w:hAnsiTheme="majorHAnsi"/>
          <w:sz w:val="20"/>
          <w:szCs w:val="20"/>
          <w:lang w:val="es-ES"/>
        </w:rPr>
        <w:t>recuerda</w:t>
      </w:r>
      <w:r w:rsidR="00903F6E" w:rsidRPr="00903F6E">
        <w:rPr>
          <w:rFonts w:asciiTheme="majorHAnsi" w:hAnsiTheme="majorHAnsi"/>
          <w:sz w:val="20"/>
          <w:szCs w:val="20"/>
          <w:lang w:val="es-ES"/>
        </w:rPr>
        <w:t xml:space="preserve"> que</w:t>
      </w:r>
      <w:r w:rsidR="006C3911">
        <w:rPr>
          <w:rFonts w:asciiTheme="majorHAnsi" w:hAnsiTheme="majorHAnsi"/>
          <w:sz w:val="20"/>
          <w:szCs w:val="20"/>
          <w:lang w:val="es-ES"/>
        </w:rPr>
        <w:t>,</w:t>
      </w:r>
      <w:r w:rsidR="00903F6E" w:rsidRPr="00903F6E">
        <w:rPr>
          <w:rFonts w:asciiTheme="majorHAnsi" w:hAnsiTheme="majorHAnsi"/>
          <w:sz w:val="20"/>
          <w:szCs w:val="20"/>
          <w:lang w:val="es-ES"/>
        </w:rPr>
        <w:t xml:space="preserve"> </w:t>
      </w:r>
      <w:r w:rsidR="009D0ED4">
        <w:rPr>
          <w:rFonts w:asciiTheme="majorHAnsi" w:hAnsiTheme="majorHAnsi"/>
          <w:sz w:val="20"/>
          <w:szCs w:val="20"/>
          <w:lang w:val="es-ES"/>
        </w:rPr>
        <w:t>en</w:t>
      </w:r>
      <w:r w:rsidR="00CE3E11">
        <w:rPr>
          <w:rFonts w:asciiTheme="majorHAnsi" w:hAnsiTheme="majorHAnsi"/>
          <w:sz w:val="20"/>
          <w:szCs w:val="20"/>
          <w:lang w:val="es-ES"/>
        </w:rPr>
        <w:t xml:space="preserve"> casos de </w:t>
      </w:r>
      <w:r w:rsidR="00903F6E">
        <w:rPr>
          <w:rFonts w:asciiTheme="majorHAnsi" w:hAnsiTheme="majorHAnsi"/>
          <w:sz w:val="20"/>
          <w:szCs w:val="20"/>
          <w:lang w:val="es-ES"/>
        </w:rPr>
        <w:t>graves violaciones de derechos humanos, como el secuestro o la desaparición forzada</w:t>
      </w:r>
      <w:r w:rsidR="006C7BA4" w:rsidRPr="006C7BA4">
        <w:rPr>
          <w:rFonts w:asciiTheme="majorHAnsi" w:hAnsiTheme="majorHAnsi"/>
          <w:sz w:val="20"/>
          <w:szCs w:val="20"/>
          <w:lang w:val="es-ES"/>
        </w:rPr>
        <w:t>, los recursos internos que deben tomarse en cuenta a efectos de la admisibilidad de una petición son los relacionados con el proceso penal, ya que es la vía idónea para esclarecer los hechos y establecer las sanciones penales correspondientes, además de posibilitar</w:t>
      </w:r>
      <w:r w:rsidR="006C7BA4">
        <w:rPr>
          <w:rFonts w:asciiTheme="majorHAnsi" w:hAnsiTheme="majorHAnsi"/>
          <w:sz w:val="20"/>
          <w:szCs w:val="20"/>
          <w:lang w:val="es-ES"/>
        </w:rPr>
        <w:t xml:space="preserve"> </w:t>
      </w:r>
      <w:r w:rsidR="006C7BA4" w:rsidRPr="006C7BA4">
        <w:rPr>
          <w:rFonts w:asciiTheme="majorHAnsi" w:hAnsiTheme="majorHAnsi"/>
          <w:sz w:val="20"/>
          <w:szCs w:val="20"/>
          <w:lang w:val="es-ES"/>
        </w:rPr>
        <w:t>otros modos de reparación de tipo pecuniario</w:t>
      </w:r>
      <w:r w:rsidR="005F4796">
        <w:rPr>
          <w:rStyle w:val="FootnoteReference"/>
          <w:rFonts w:asciiTheme="majorHAnsi" w:hAnsiTheme="majorHAnsi"/>
          <w:sz w:val="20"/>
          <w:szCs w:val="20"/>
          <w:lang w:val="es-ES"/>
        </w:rPr>
        <w:footnoteReference w:id="6"/>
      </w:r>
      <w:r w:rsidR="006C7BA4" w:rsidRPr="006C7BA4">
        <w:rPr>
          <w:rFonts w:asciiTheme="majorHAnsi" w:hAnsiTheme="majorHAnsi"/>
          <w:sz w:val="20"/>
          <w:szCs w:val="20"/>
          <w:lang w:val="es-ES"/>
        </w:rPr>
        <w:t>.</w:t>
      </w:r>
      <w:r w:rsidR="00091BCD">
        <w:rPr>
          <w:rFonts w:asciiTheme="majorHAnsi" w:hAnsiTheme="majorHAnsi"/>
          <w:sz w:val="20"/>
          <w:szCs w:val="20"/>
          <w:lang w:val="es-ES"/>
        </w:rPr>
        <w:t xml:space="preserve"> En ese sentido, </w:t>
      </w:r>
      <w:r w:rsidR="002B64C5">
        <w:rPr>
          <w:rFonts w:asciiTheme="majorHAnsi" w:hAnsiTheme="majorHAnsi"/>
          <w:sz w:val="20"/>
          <w:szCs w:val="20"/>
          <w:lang w:val="es-ES"/>
        </w:rPr>
        <w:t xml:space="preserve">la </w:t>
      </w:r>
      <w:r w:rsidR="00091BCD">
        <w:rPr>
          <w:rFonts w:asciiTheme="majorHAnsi" w:hAnsiTheme="majorHAnsi"/>
          <w:sz w:val="20"/>
          <w:szCs w:val="20"/>
          <w:lang w:val="es-ES"/>
        </w:rPr>
        <w:t xml:space="preserve">investigación penal por el secuestro de Gemma </w:t>
      </w:r>
      <w:proofErr w:type="spellStart"/>
      <w:r w:rsidR="00091BCD">
        <w:rPr>
          <w:rFonts w:asciiTheme="majorHAnsi" w:hAnsiTheme="majorHAnsi"/>
          <w:sz w:val="20"/>
          <w:szCs w:val="20"/>
          <w:lang w:val="es-ES"/>
        </w:rPr>
        <w:t>Mávil</w:t>
      </w:r>
      <w:proofErr w:type="spellEnd"/>
      <w:r w:rsidR="00091BCD">
        <w:rPr>
          <w:rFonts w:asciiTheme="majorHAnsi" w:hAnsiTheme="majorHAnsi"/>
          <w:sz w:val="20"/>
          <w:szCs w:val="20"/>
          <w:lang w:val="es-ES"/>
        </w:rPr>
        <w:t xml:space="preserve"> Hernández </w:t>
      </w:r>
      <w:r w:rsidR="003756F2">
        <w:rPr>
          <w:rFonts w:asciiTheme="majorHAnsi" w:hAnsiTheme="majorHAnsi"/>
          <w:sz w:val="20"/>
          <w:szCs w:val="20"/>
          <w:lang w:val="es-ES"/>
        </w:rPr>
        <w:t xml:space="preserve">inició en mayo de 2011, </w:t>
      </w:r>
      <w:r w:rsidR="00127904">
        <w:rPr>
          <w:rFonts w:asciiTheme="majorHAnsi" w:hAnsiTheme="majorHAnsi"/>
          <w:sz w:val="20"/>
          <w:szCs w:val="20"/>
          <w:lang w:val="es-ES"/>
        </w:rPr>
        <w:t xml:space="preserve">y </w:t>
      </w:r>
      <w:r w:rsidR="00A5616C">
        <w:rPr>
          <w:rFonts w:asciiTheme="majorHAnsi" w:hAnsiTheme="majorHAnsi"/>
          <w:sz w:val="20"/>
          <w:szCs w:val="20"/>
          <w:lang w:val="es-ES"/>
        </w:rPr>
        <w:t>tras</w:t>
      </w:r>
      <w:r w:rsidR="00127904">
        <w:rPr>
          <w:rFonts w:asciiTheme="majorHAnsi" w:hAnsiTheme="majorHAnsi"/>
          <w:sz w:val="20"/>
          <w:szCs w:val="20"/>
          <w:lang w:val="es-ES"/>
        </w:rPr>
        <w:t xml:space="preserve"> </w:t>
      </w:r>
      <w:r w:rsidR="003756F2">
        <w:rPr>
          <w:rFonts w:asciiTheme="majorHAnsi" w:hAnsiTheme="majorHAnsi"/>
          <w:sz w:val="20"/>
          <w:szCs w:val="20"/>
          <w:lang w:val="es-ES"/>
        </w:rPr>
        <w:t>diez años sólo cuenta con una sentencia condenatoria e</w:t>
      </w:r>
      <w:r w:rsidR="00B7280E">
        <w:rPr>
          <w:rFonts w:asciiTheme="majorHAnsi" w:hAnsiTheme="majorHAnsi"/>
          <w:sz w:val="20"/>
          <w:szCs w:val="20"/>
          <w:lang w:val="es-ES"/>
        </w:rPr>
        <w:t xml:space="preserve">n firme </w:t>
      </w:r>
      <w:r w:rsidR="003756F2">
        <w:rPr>
          <w:rFonts w:asciiTheme="majorHAnsi" w:hAnsiTheme="majorHAnsi"/>
          <w:sz w:val="20"/>
          <w:szCs w:val="20"/>
          <w:lang w:val="es-ES"/>
        </w:rPr>
        <w:t>contra uno de los responsables</w:t>
      </w:r>
      <w:r w:rsidR="00D74376">
        <w:rPr>
          <w:rFonts w:asciiTheme="majorHAnsi" w:hAnsiTheme="majorHAnsi"/>
          <w:sz w:val="20"/>
          <w:szCs w:val="20"/>
          <w:lang w:val="es-ES"/>
        </w:rPr>
        <w:t>,</w:t>
      </w:r>
      <w:r w:rsidR="003756F2">
        <w:rPr>
          <w:rFonts w:asciiTheme="majorHAnsi" w:hAnsiTheme="majorHAnsi"/>
          <w:sz w:val="20"/>
          <w:szCs w:val="20"/>
          <w:lang w:val="es-ES"/>
        </w:rPr>
        <w:t xml:space="preserve"> qu</w:t>
      </w:r>
      <w:r w:rsidR="00D74376">
        <w:rPr>
          <w:rFonts w:asciiTheme="majorHAnsi" w:hAnsiTheme="majorHAnsi"/>
          <w:sz w:val="20"/>
          <w:szCs w:val="20"/>
          <w:lang w:val="es-ES"/>
        </w:rPr>
        <w:t>i</w:t>
      </w:r>
      <w:r w:rsidR="003756F2">
        <w:rPr>
          <w:rFonts w:asciiTheme="majorHAnsi" w:hAnsiTheme="majorHAnsi"/>
          <w:sz w:val="20"/>
          <w:szCs w:val="20"/>
          <w:lang w:val="es-ES"/>
        </w:rPr>
        <w:t>e</w:t>
      </w:r>
      <w:r w:rsidR="00D74376">
        <w:rPr>
          <w:rFonts w:asciiTheme="majorHAnsi" w:hAnsiTheme="majorHAnsi"/>
          <w:sz w:val="20"/>
          <w:szCs w:val="20"/>
          <w:lang w:val="es-ES"/>
        </w:rPr>
        <w:t>n</w:t>
      </w:r>
      <w:r w:rsidR="003756F2">
        <w:rPr>
          <w:rFonts w:asciiTheme="majorHAnsi" w:hAnsiTheme="majorHAnsi"/>
          <w:sz w:val="20"/>
          <w:szCs w:val="20"/>
          <w:lang w:val="es-ES"/>
        </w:rPr>
        <w:t xml:space="preserve"> confesó su participación en el hecho. </w:t>
      </w:r>
      <w:r w:rsidR="00F605F2">
        <w:rPr>
          <w:rFonts w:asciiTheme="majorHAnsi" w:hAnsiTheme="majorHAnsi"/>
          <w:sz w:val="20"/>
          <w:szCs w:val="20"/>
          <w:lang w:val="es-ES"/>
        </w:rPr>
        <w:t>S</w:t>
      </w:r>
      <w:r w:rsidR="00EF4E7C">
        <w:rPr>
          <w:rFonts w:asciiTheme="majorHAnsi" w:hAnsiTheme="majorHAnsi"/>
          <w:sz w:val="20"/>
          <w:szCs w:val="20"/>
          <w:lang w:val="es-ES"/>
        </w:rPr>
        <w:t>i bien el Estado ha logrado identificar a uno de los responsables</w:t>
      </w:r>
      <w:r w:rsidR="00474DDD">
        <w:rPr>
          <w:rFonts w:asciiTheme="majorHAnsi" w:hAnsiTheme="majorHAnsi"/>
          <w:sz w:val="20"/>
          <w:szCs w:val="20"/>
          <w:lang w:val="es-ES"/>
        </w:rPr>
        <w:t xml:space="preserve"> del suceso</w:t>
      </w:r>
      <w:r w:rsidR="00EF4E7C">
        <w:rPr>
          <w:rFonts w:asciiTheme="majorHAnsi" w:hAnsiTheme="majorHAnsi"/>
          <w:sz w:val="20"/>
          <w:szCs w:val="20"/>
          <w:lang w:val="es-ES"/>
        </w:rPr>
        <w:t>, existe un retardo injustificado en el esclarecimiento de los hechos en los que murió la presunta víctima, y la sanción del resto de personas involucradas en dicho suceso.</w:t>
      </w:r>
    </w:p>
    <w:p w14:paraId="52DA461D" w14:textId="39EC7BC1" w:rsidR="001535B7" w:rsidRDefault="00C40153" w:rsidP="00C40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EE16CC">
        <w:rPr>
          <w:rFonts w:asciiTheme="majorHAnsi" w:hAnsiTheme="majorHAnsi"/>
          <w:sz w:val="20"/>
          <w:szCs w:val="20"/>
          <w:lang w:val="es-ES"/>
        </w:rPr>
        <w:t>3</w:t>
      </w:r>
      <w:r>
        <w:rPr>
          <w:rFonts w:asciiTheme="majorHAnsi" w:hAnsiTheme="majorHAnsi"/>
          <w:sz w:val="20"/>
          <w:szCs w:val="20"/>
          <w:lang w:val="es-ES"/>
        </w:rPr>
        <w:t>.</w:t>
      </w:r>
      <w:r>
        <w:rPr>
          <w:rFonts w:asciiTheme="majorHAnsi" w:hAnsiTheme="majorHAnsi"/>
          <w:sz w:val="20"/>
          <w:szCs w:val="20"/>
          <w:lang w:val="es-ES"/>
        </w:rPr>
        <w:tab/>
      </w:r>
      <w:r w:rsidR="00690BE0">
        <w:rPr>
          <w:rFonts w:asciiTheme="majorHAnsi" w:hAnsiTheme="majorHAnsi"/>
          <w:sz w:val="20"/>
          <w:szCs w:val="20"/>
          <w:lang w:val="es-ES"/>
        </w:rPr>
        <w:t>C</w:t>
      </w:r>
      <w:r w:rsidR="00D61B06">
        <w:rPr>
          <w:rFonts w:asciiTheme="majorHAnsi" w:hAnsiTheme="majorHAnsi"/>
          <w:sz w:val="20"/>
          <w:szCs w:val="20"/>
          <w:lang w:val="es-ES"/>
        </w:rPr>
        <w:t xml:space="preserve">uando se </w:t>
      </w:r>
      <w:r w:rsidR="009D0ED4">
        <w:rPr>
          <w:rFonts w:asciiTheme="majorHAnsi" w:hAnsiTheme="majorHAnsi"/>
          <w:sz w:val="20"/>
          <w:szCs w:val="20"/>
          <w:lang w:val="es-ES"/>
        </w:rPr>
        <w:t>presentan elementos concretos de</w:t>
      </w:r>
      <w:r w:rsidR="001A45A3" w:rsidRPr="001A45A3">
        <w:rPr>
          <w:rFonts w:asciiTheme="majorHAnsi" w:hAnsiTheme="majorHAnsi"/>
          <w:sz w:val="20"/>
          <w:szCs w:val="20"/>
          <w:lang w:val="es-ES"/>
        </w:rPr>
        <w:t xml:space="preserve"> impunidad parcial</w:t>
      </w:r>
      <w:r w:rsidR="00D61B06">
        <w:rPr>
          <w:rFonts w:asciiTheme="majorHAnsi" w:hAnsiTheme="majorHAnsi"/>
          <w:sz w:val="20"/>
          <w:szCs w:val="20"/>
          <w:lang w:val="es-ES"/>
        </w:rPr>
        <w:t xml:space="preserve"> en casos de graves violaciones de derechos humanos</w:t>
      </w:r>
      <w:r w:rsidR="00B52F6A">
        <w:rPr>
          <w:rFonts w:asciiTheme="majorHAnsi" w:hAnsiTheme="majorHAnsi"/>
          <w:sz w:val="20"/>
          <w:szCs w:val="20"/>
          <w:lang w:val="es-ES"/>
        </w:rPr>
        <w:t>,</w:t>
      </w:r>
      <w:r w:rsidR="00D61B06">
        <w:rPr>
          <w:rFonts w:asciiTheme="majorHAnsi" w:hAnsiTheme="majorHAnsi"/>
          <w:sz w:val="20"/>
          <w:szCs w:val="20"/>
          <w:lang w:val="es-ES"/>
        </w:rPr>
        <w:t xml:space="preserve"> </w:t>
      </w:r>
      <w:r w:rsidR="009D0ED4">
        <w:rPr>
          <w:rFonts w:asciiTheme="majorHAnsi" w:hAnsiTheme="majorHAnsi"/>
          <w:sz w:val="20"/>
          <w:szCs w:val="20"/>
          <w:lang w:val="es-ES"/>
        </w:rPr>
        <w:t xml:space="preserve">como en el presente caso, </w:t>
      </w:r>
      <w:r w:rsidR="00803293">
        <w:rPr>
          <w:rFonts w:asciiTheme="majorHAnsi" w:hAnsiTheme="majorHAnsi"/>
          <w:sz w:val="20"/>
          <w:szCs w:val="20"/>
          <w:lang w:val="es-ES"/>
        </w:rPr>
        <w:t>result</w:t>
      </w:r>
      <w:r w:rsidR="00D61B06">
        <w:rPr>
          <w:rFonts w:asciiTheme="majorHAnsi" w:hAnsiTheme="majorHAnsi"/>
          <w:sz w:val="20"/>
          <w:szCs w:val="20"/>
          <w:lang w:val="es-ES"/>
        </w:rPr>
        <w:t>a</w:t>
      </w:r>
      <w:r w:rsidR="001A45A3" w:rsidRPr="001A45A3">
        <w:rPr>
          <w:rFonts w:asciiTheme="majorHAnsi" w:hAnsiTheme="majorHAnsi"/>
          <w:sz w:val="20"/>
          <w:szCs w:val="20"/>
          <w:lang w:val="es-ES"/>
        </w:rPr>
        <w:t xml:space="preserve"> aplica</w:t>
      </w:r>
      <w:r w:rsidR="00D61B06">
        <w:rPr>
          <w:rFonts w:asciiTheme="majorHAnsi" w:hAnsiTheme="majorHAnsi"/>
          <w:sz w:val="20"/>
          <w:szCs w:val="20"/>
          <w:lang w:val="es-ES"/>
        </w:rPr>
        <w:t>ble</w:t>
      </w:r>
      <w:r w:rsidR="001A45A3" w:rsidRPr="001A45A3">
        <w:rPr>
          <w:rFonts w:asciiTheme="majorHAnsi" w:hAnsiTheme="majorHAnsi"/>
          <w:sz w:val="20"/>
          <w:szCs w:val="20"/>
          <w:lang w:val="es-ES"/>
        </w:rPr>
        <w:t xml:space="preserve"> la excepción al agotamiento de los recursos internos prevista en el artículo 46.2</w:t>
      </w:r>
      <w:r w:rsidR="009D0ED4">
        <w:rPr>
          <w:rFonts w:asciiTheme="majorHAnsi" w:hAnsiTheme="majorHAnsi"/>
          <w:sz w:val="20"/>
          <w:szCs w:val="20"/>
          <w:lang w:val="es-ES"/>
        </w:rPr>
        <w:t>.</w:t>
      </w:r>
      <w:r w:rsidR="001A45A3" w:rsidRPr="001A45A3">
        <w:rPr>
          <w:rFonts w:asciiTheme="majorHAnsi" w:hAnsiTheme="majorHAnsi"/>
          <w:sz w:val="20"/>
          <w:szCs w:val="20"/>
          <w:lang w:val="es-ES"/>
        </w:rPr>
        <w:t>c</w:t>
      </w:r>
      <w:r w:rsidR="00DE62E4">
        <w:rPr>
          <w:rFonts w:asciiTheme="majorHAnsi" w:hAnsiTheme="majorHAnsi"/>
          <w:sz w:val="20"/>
          <w:szCs w:val="20"/>
          <w:lang w:val="es-ES"/>
        </w:rPr>
        <w:t>)</w:t>
      </w:r>
      <w:r w:rsidR="001A45A3" w:rsidRPr="001A45A3">
        <w:rPr>
          <w:rFonts w:asciiTheme="majorHAnsi" w:hAnsiTheme="majorHAnsi"/>
          <w:sz w:val="20"/>
          <w:szCs w:val="20"/>
          <w:lang w:val="es-ES"/>
        </w:rPr>
        <w:t xml:space="preserve"> de la Convención Americana</w:t>
      </w:r>
      <w:r w:rsidR="00BA7A59">
        <w:rPr>
          <w:rStyle w:val="FootnoteReference"/>
          <w:rFonts w:asciiTheme="majorHAnsi" w:hAnsiTheme="majorHAnsi"/>
          <w:sz w:val="20"/>
          <w:szCs w:val="20"/>
          <w:lang w:val="es-ES"/>
        </w:rPr>
        <w:footnoteReference w:id="7"/>
      </w:r>
      <w:r w:rsidR="001A45A3" w:rsidRPr="001A45A3">
        <w:rPr>
          <w:rFonts w:asciiTheme="majorHAnsi" w:hAnsiTheme="majorHAnsi"/>
          <w:sz w:val="20"/>
          <w:szCs w:val="20"/>
          <w:lang w:val="es-ES"/>
        </w:rPr>
        <w:t>.</w:t>
      </w:r>
      <w:r w:rsidR="0058160C">
        <w:rPr>
          <w:rFonts w:asciiTheme="majorHAnsi" w:hAnsiTheme="majorHAnsi"/>
          <w:sz w:val="20"/>
          <w:szCs w:val="20"/>
          <w:lang w:val="es-ES"/>
        </w:rPr>
        <w:t xml:space="preserve"> Además, la Comisión </w:t>
      </w:r>
      <w:r w:rsidR="003C6B71">
        <w:rPr>
          <w:rFonts w:asciiTheme="majorHAnsi" w:hAnsiTheme="majorHAnsi"/>
          <w:sz w:val="20"/>
          <w:szCs w:val="20"/>
          <w:lang w:val="es-ES"/>
        </w:rPr>
        <w:t>nota</w:t>
      </w:r>
      <w:r w:rsidR="0058160C">
        <w:rPr>
          <w:rFonts w:asciiTheme="majorHAnsi" w:hAnsiTheme="majorHAnsi"/>
          <w:sz w:val="20"/>
          <w:szCs w:val="20"/>
          <w:lang w:val="es-ES"/>
        </w:rPr>
        <w:t xml:space="preserve"> que la parte peticionaria aduce la inexistencia de una investigación por </w:t>
      </w:r>
      <w:r w:rsidR="008F086B">
        <w:rPr>
          <w:rFonts w:asciiTheme="majorHAnsi" w:hAnsiTheme="majorHAnsi"/>
          <w:sz w:val="20"/>
          <w:szCs w:val="20"/>
          <w:lang w:val="es-ES"/>
        </w:rPr>
        <w:t>posibles hechos</w:t>
      </w:r>
      <w:r w:rsidR="0058160C">
        <w:rPr>
          <w:rFonts w:asciiTheme="majorHAnsi" w:hAnsiTheme="majorHAnsi"/>
          <w:sz w:val="20"/>
          <w:szCs w:val="20"/>
          <w:lang w:val="es-ES"/>
        </w:rPr>
        <w:t xml:space="preserve"> de violencia sexual y por el asesinato de la presunta víctima. </w:t>
      </w:r>
      <w:r w:rsidR="008F086B">
        <w:rPr>
          <w:rFonts w:asciiTheme="majorHAnsi" w:hAnsiTheme="majorHAnsi"/>
          <w:sz w:val="20"/>
          <w:szCs w:val="20"/>
          <w:lang w:val="es-ES"/>
        </w:rPr>
        <w:t>El Es</w:t>
      </w:r>
      <w:r w:rsidR="004349F4">
        <w:rPr>
          <w:rFonts w:asciiTheme="majorHAnsi" w:hAnsiTheme="majorHAnsi"/>
          <w:sz w:val="20"/>
          <w:szCs w:val="20"/>
          <w:lang w:val="es-ES"/>
        </w:rPr>
        <w:t xml:space="preserve">tado no ha controvertido esta afirmación, ni ha brindado elementos a la Comisión que demuestren que se está investigando el </w:t>
      </w:r>
      <w:r w:rsidR="009D0ED4">
        <w:rPr>
          <w:rFonts w:asciiTheme="majorHAnsi" w:hAnsiTheme="majorHAnsi"/>
          <w:sz w:val="20"/>
          <w:szCs w:val="20"/>
          <w:lang w:val="es-ES"/>
        </w:rPr>
        <w:t xml:space="preserve">alegado </w:t>
      </w:r>
      <w:r w:rsidR="004349F4">
        <w:rPr>
          <w:rFonts w:asciiTheme="majorHAnsi" w:hAnsiTheme="majorHAnsi"/>
          <w:sz w:val="20"/>
          <w:szCs w:val="20"/>
          <w:lang w:val="es-ES"/>
        </w:rPr>
        <w:t xml:space="preserve">feminicidio de Gemma </w:t>
      </w:r>
      <w:proofErr w:type="spellStart"/>
      <w:r w:rsidR="004349F4">
        <w:rPr>
          <w:rFonts w:asciiTheme="majorHAnsi" w:hAnsiTheme="majorHAnsi"/>
          <w:sz w:val="20"/>
          <w:szCs w:val="20"/>
          <w:lang w:val="es-ES"/>
        </w:rPr>
        <w:t>Mávil</w:t>
      </w:r>
      <w:proofErr w:type="spellEnd"/>
      <w:r w:rsidR="004349F4">
        <w:rPr>
          <w:rFonts w:asciiTheme="majorHAnsi" w:hAnsiTheme="majorHAnsi"/>
          <w:sz w:val="20"/>
          <w:szCs w:val="20"/>
          <w:lang w:val="es-ES"/>
        </w:rPr>
        <w:t xml:space="preserve"> Hernández. </w:t>
      </w:r>
    </w:p>
    <w:p w14:paraId="49410A69" w14:textId="65F38989" w:rsidR="00866140" w:rsidRDefault="00037573" w:rsidP="00C40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
        </w:rPr>
        <w:t>1</w:t>
      </w:r>
      <w:r w:rsidR="00EE16CC">
        <w:rPr>
          <w:rFonts w:asciiTheme="majorHAnsi" w:hAnsiTheme="majorHAnsi"/>
          <w:sz w:val="20"/>
          <w:szCs w:val="20"/>
          <w:lang w:val="es-ES"/>
        </w:rPr>
        <w:t>4</w:t>
      </w:r>
      <w:r>
        <w:rPr>
          <w:rFonts w:asciiTheme="majorHAnsi" w:hAnsiTheme="majorHAnsi"/>
          <w:sz w:val="20"/>
          <w:szCs w:val="20"/>
          <w:lang w:val="es-ES"/>
        </w:rPr>
        <w:t>.</w:t>
      </w:r>
      <w:r>
        <w:rPr>
          <w:rFonts w:asciiTheme="majorHAnsi" w:hAnsiTheme="majorHAnsi"/>
          <w:sz w:val="20"/>
          <w:szCs w:val="20"/>
          <w:lang w:val="es-ES"/>
        </w:rPr>
        <w:tab/>
      </w:r>
      <w:r w:rsidR="00F94BBA">
        <w:rPr>
          <w:rFonts w:asciiTheme="majorHAnsi" w:hAnsiTheme="majorHAnsi"/>
          <w:sz w:val="20"/>
          <w:szCs w:val="20"/>
          <w:lang w:val="es-ES"/>
        </w:rPr>
        <w:t xml:space="preserve">Respecto de </w:t>
      </w:r>
      <w:r w:rsidR="00A30B73">
        <w:rPr>
          <w:rFonts w:asciiTheme="majorHAnsi" w:hAnsiTheme="majorHAnsi"/>
          <w:sz w:val="20"/>
          <w:szCs w:val="20"/>
          <w:lang w:val="es-ES"/>
        </w:rPr>
        <w:t xml:space="preserve">los alegatos de falta de debida diligencia en la investigación de la desaparición del cadáver de la presunta víctima, la Comisión encuentra igualmente aplicable la excepción de retardo injustificado en la resolución de los recursos internos. Pese a que el Estado </w:t>
      </w:r>
      <w:r w:rsidR="001467BB">
        <w:rPr>
          <w:rFonts w:asciiTheme="majorHAnsi" w:hAnsiTheme="majorHAnsi"/>
          <w:sz w:val="20"/>
          <w:szCs w:val="20"/>
          <w:lang w:val="es-ES"/>
        </w:rPr>
        <w:t xml:space="preserve">sostiene que está realizando la investigación para dar con el paradero del cuerpo de la joven </w:t>
      </w:r>
      <w:proofErr w:type="spellStart"/>
      <w:r w:rsidR="001467BB">
        <w:rPr>
          <w:rFonts w:asciiTheme="majorHAnsi" w:hAnsiTheme="majorHAnsi"/>
          <w:sz w:val="20"/>
          <w:szCs w:val="20"/>
          <w:lang w:val="es-ES"/>
        </w:rPr>
        <w:t>Mávil</w:t>
      </w:r>
      <w:proofErr w:type="spellEnd"/>
      <w:r w:rsidR="001467BB">
        <w:rPr>
          <w:rFonts w:asciiTheme="majorHAnsi" w:hAnsiTheme="majorHAnsi"/>
          <w:sz w:val="20"/>
          <w:szCs w:val="20"/>
          <w:lang w:val="es-ES"/>
        </w:rPr>
        <w:t xml:space="preserve"> Hernández</w:t>
      </w:r>
      <w:r w:rsidR="007428C7">
        <w:rPr>
          <w:rFonts w:asciiTheme="majorHAnsi" w:hAnsiTheme="majorHAnsi"/>
          <w:sz w:val="20"/>
          <w:szCs w:val="20"/>
          <w:lang w:val="es-ES"/>
        </w:rPr>
        <w:t xml:space="preserve">, </w:t>
      </w:r>
      <w:r w:rsidR="00743653">
        <w:rPr>
          <w:rFonts w:asciiTheme="majorHAnsi" w:hAnsiTheme="majorHAnsi"/>
          <w:sz w:val="20"/>
          <w:szCs w:val="20"/>
          <w:lang w:val="es-ES"/>
        </w:rPr>
        <w:t xml:space="preserve">no ha especificado qué diligencias ha realizado a partir del 2016 para encontrar el cadáver, y para sancionar a las personas responsables de su extravío. </w:t>
      </w:r>
      <w:r w:rsidR="000C6E76">
        <w:rPr>
          <w:rFonts w:asciiTheme="majorHAnsi" w:hAnsiTheme="majorHAnsi"/>
          <w:sz w:val="20"/>
          <w:szCs w:val="20"/>
          <w:lang w:val="es-CO"/>
        </w:rPr>
        <w:t>Por lo tanto,</w:t>
      </w:r>
      <w:r w:rsidR="00690BE0">
        <w:rPr>
          <w:rFonts w:asciiTheme="majorHAnsi" w:hAnsiTheme="majorHAnsi"/>
          <w:sz w:val="20"/>
          <w:szCs w:val="20"/>
          <w:lang w:val="es-CO"/>
        </w:rPr>
        <w:t xml:space="preserve"> desde esta perspectiva, también</w:t>
      </w:r>
      <w:r w:rsidR="000C6E76">
        <w:rPr>
          <w:rFonts w:asciiTheme="majorHAnsi" w:hAnsiTheme="majorHAnsi"/>
          <w:sz w:val="20"/>
          <w:szCs w:val="20"/>
          <w:lang w:val="es-CO"/>
        </w:rPr>
        <w:t xml:space="preserve"> </w:t>
      </w:r>
      <w:r w:rsidR="00152C9F">
        <w:rPr>
          <w:rFonts w:asciiTheme="majorHAnsi" w:hAnsiTheme="majorHAnsi"/>
          <w:sz w:val="20"/>
          <w:szCs w:val="20"/>
          <w:lang w:val="es-CO"/>
        </w:rPr>
        <w:t>resulta aplicable</w:t>
      </w:r>
      <w:r w:rsidR="000C6E76">
        <w:rPr>
          <w:rFonts w:asciiTheme="majorHAnsi" w:hAnsiTheme="majorHAnsi"/>
          <w:sz w:val="20"/>
          <w:szCs w:val="20"/>
          <w:lang w:val="es-CO"/>
        </w:rPr>
        <w:t xml:space="preserve"> la excepción al agotamiento de recursos internos prevista en el </w:t>
      </w:r>
      <w:r w:rsidR="000C6E76" w:rsidRPr="00C83FB2">
        <w:rPr>
          <w:rFonts w:asciiTheme="majorHAnsi" w:hAnsiTheme="majorHAnsi"/>
          <w:sz w:val="20"/>
          <w:szCs w:val="20"/>
          <w:lang w:val="es-CO"/>
        </w:rPr>
        <w:t>artículo 46.</w:t>
      </w:r>
      <w:r w:rsidR="000C6E76">
        <w:rPr>
          <w:rFonts w:asciiTheme="majorHAnsi" w:hAnsiTheme="majorHAnsi"/>
          <w:sz w:val="20"/>
          <w:szCs w:val="20"/>
          <w:lang w:val="es-CO"/>
        </w:rPr>
        <w:t>2</w:t>
      </w:r>
      <w:r w:rsidR="00126869">
        <w:rPr>
          <w:rFonts w:asciiTheme="majorHAnsi" w:hAnsiTheme="majorHAnsi"/>
          <w:sz w:val="20"/>
          <w:szCs w:val="20"/>
          <w:lang w:val="es-CO"/>
        </w:rPr>
        <w:t>.</w:t>
      </w:r>
      <w:r w:rsidR="000C6E76">
        <w:rPr>
          <w:rFonts w:asciiTheme="majorHAnsi" w:hAnsiTheme="majorHAnsi"/>
          <w:sz w:val="20"/>
          <w:szCs w:val="20"/>
          <w:lang w:val="es-CO"/>
        </w:rPr>
        <w:t>c</w:t>
      </w:r>
      <w:r w:rsidR="000C6E76" w:rsidRPr="00C83FB2">
        <w:rPr>
          <w:rFonts w:asciiTheme="majorHAnsi" w:hAnsiTheme="majorHAnsi"/>
          <w:sz w:val="20"/>
          <w:szCs w:val="20"/>
          <w:lang w:val="es-CO"/>
        </w:rPr>
        <w:t>) de la Convención Americana</w:t>
      </w:r>
      <w:r w:rsidR="00866140">
        <w:rPr>
          <w:rFonts w:asciiTheme="majorHAnsi" w:hAnsiTheme="majorHAnsi"/>
          <w:sz w:val="20"/>
          <w:szCs w:val="20"/>
          <w:lang w:val="es-CO"/>
        </w:rPr>
        <w:t>.</w:t>
      </w:r>
    </w:p>
    <w:p w14:paraId="06664493" w14:textId="7C8F7857" w:rsidR="00037573" w:rsidRDefault="00866140" w:rsidP="00C40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w:t>
      </w:r>
      <w:r w:rsidR="00EE16CC">
        <w:rPr>
          <w:rFonts w:asciiTheme="majorHAnsi" w:hAnsiTheme="majorHAnsi"/>
          <w:sz w:val="20"/>
          <w:szCs w:val="20"/>
          <w:lang w:val="es-CO"/>
        </w:rPr>
        <w:t>5</w:t>
      </w:r>
      <w:r>
        <w:rPr>
          <w:rFonts w:asciiTheme="majorHAnsi" w:hAnsiTheme="majorHAnsi"/>
          <w:sz w:val="20"/>
          <w:szCs w:val="20"/>
          <w:lang w:val="es-CO"/>
        </w:rPr>
        <w:t>.</w:t>
      </w:r>
      <w:r>
        <w:rPr>
          <w:rFonts w:asciiTheme="majorHAnsi" w:hAnsiTheme="majorHAnsi"/>
          <w:sz w:val="20"/>
          <w:szCs w:val="20"/>
          <w:lang w:val="es-CO"/>
        </w:rPr>
        <w:tab/>
      </w:r>
      <w:r w:rsidR="009C15CA">
        <w:rPr>
          <w:rFonts w:asciiTheme="majorHAnsi" w:hAnsiTheme="majorHAnsi"/>
          <w:sz w:val="20"/>
          <w:szCs w:val="20"/>
          <w:lang w:val="es-CO"/>
        </w:rPr>
        <w:t>En el presente caso</w:t>
      </w:r>
      <w:r w:rsidR="00093D64">
        <w:rPr>
          <w:rFonts w:asciiTheme="majorHAnsi" w:hAnsiTheme="majorHAnsi"/>
          <w:sz w:val="20"/>
          <w:szCs w:val="20"/>
          <w:lang w:val="es-CO"/>
        </w:rPr>
        <w:t xml:space="preserve"> los peticionarios han realizado gestiones como la solicitud de cotejo genético en 2016, el recurso de amparo </w:t>
      </w:r>
      <w:r w:rsidR="00011213">
        <w:rPr>
          <w:rFonts w:asciiTheme="majorHAnsi" w:hAnsiTheme="majorHAnsi"/>
          <w:sz w:val="20"/>
          <w:szCs w:val="20"/>
          <w:lang w:val="es-CO"/>
        </w:rPr>
        <w:t xml:space="preserve">para la exhumación y entrega del cuerpo </w:t>
      </w:r>
      <w:r w:rsidR="00093D64">
        <w:rPr>
          <w:rFonts w:asciiTheme="majorHAnsi" w:hAnsiTheme="majorHAnsi"/>
          <w:sz w:val="20"/>
          <w:szCs w:val="20"/>
          <w:lang w:val="es-CO"/>
        </w:rPr>
        <w:t>en 2016, el trámite de la reparación administrativa en 2018, y la queja ante la Comisión Estatal que culminó en 2019. E</w:t>
      </w:r>
      <w:r>
        <w:rPr>
          <w:rFonts w:asciiTheme="majorHAnsi" w:hAnsiTheme="majorHAnsi"/>
          <w:sz w:val="20"/>
          <w:szCs w:val="20"/>
          <w:lang w:val="es-CO"/>
        </w:rPr>
        <w:t xml:space="preserve">n atención a que los hechos denunciados comenzaron a ocurrir a mediados de 2011; que la presente petición fue presentada </w:t>
      </w:r>
      <w:r w:rsidRPr="00287DA3">
        <w:rPr>
          <w:rFonts w:asciiTheme="majorHAnsi" w:hAnsiTheme="majorHAnsi"/>
          <w:sz w:val="20"/>
          <w:szCs w:val="20"/>
          <w:lang w:val="es-CO"/>
        </w:rPr>
        <w:t>e</w:t>
      </w:r>
      <w:r w:rsidR="00287DA3">
        <w:rPr>
          <w:rFonts w:asciiTheme="majorHAnsi" w:hAnsiTheme="majorHAnsi"/>
          <w:sz w:val="20"/>
          <w:szCs w:val="20"/>
          <w:lang w:val="es-CO"/>
        </w:rPr>
        <w:t>l 15 de marzo de</w:t>
      </w:r>
      <w:r w:rsidRPr="00287DA3">
        <w:rPr>
          <w:rFonts w:asciiTheme="majorHAnsi" w:hAnsiTheme="majorHAnsi"/>
          <w:sz w:val="20"/>
          <w:szCs w:val="20"/>
          <w:lang w:val="es-CO"/>
        </w:rPr>
        <w:t xml:space="preserve"> 2013</w:t>
      </w:r>
      <w:r>
        <w:rPr>
          <w:rFonts w:asciiTheme="majorHAnsi" w:hAnsiTheme="majorHAnsi"/>
          <w:sz w:val="20"/>
          <w:szCs w:val="20"/>
          <w:lang w:val="es-CO"/>
        </w:rPr>
        <w:t xml:space="preserve">; y que los efectos de las violaciones alegadas permanecerían hasta el presente, la Comisión </w:t>
      </w:r>
      <w:r w:rsidR="000C6E76" w:rsidRPr="006C076F">
        <w:rPr>
          <w:rFonts w:asciiTheme="majorHAnsi" w:hAnsiTheme="majorHAnsi"/>
          <w:sz w:val="20"/>
          <w:szCs w:val="20"/>
          <w:lang w:val="es-CO"/>
        </w:rPr>
        <w:t>concluye que la presente petición fue presentada dentro de un plazo razonable en los términos del artículo 32.2 del Reglamento de la CIDH</w:t>
      </w:r>
      <w:r>
        <w:rPr>
          <w:rFonts w:asciiTheme="majorHAnsi" w:hAnsiTheme="majorHAnsi"/>
          <w:sz w:val="20"/>
          <w:szCs w:val="20"/>
          <w:lang w:val="es-CO"/>
        </w:rPr>
        <w:t xml:space="preserve"> en relación con los reclamos arriba mencionados</w:t>
      </w:r>
      <w:r w:rsidR="000C6E76">
        <w:rPr>
          <w:rFonts w:asciiTheme="majorHAnsi" w:hAnsiTheme="majorHAnsi"/>
          <w:sz w:val="20"/>
          <w:szCs w:val="20"/>
          <w:lang w:val="es-CO"/>
        </w:rPr>
        <w:t>.</w:t>
      </w:r>
      <w:r w:rsidR="00EE3791">
        <w:rPr>
          <w:rFonts w:asciiTheme="majorHAnsi" w:hAnsiTheme="majorHAnsi"/>
          <w:sz w:val="20"/>
          <w:szCs w:val="20"/>
          <w:lang w:val="es-CO"/>
        </w:rPr>
        <w:t xml:space="preserve"> </w:t>
      </w:r>
    </w:p>
    <w:p w14:paraId="1BE94DB1" w14:textId="77B99CAA" w:rsidR="00676D1B" w:rsidRDefault="0094302B" w:rsidP="000279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w:t>
      </w:r>
      <w:r w:rsidR="00EE16CC">
        <w:rPr>
          <w:rFonts w:asciiTheme="majorHAnsi" w:hAnsiTheme="majorHAnsi"/>
          <w:sz w:val="20"/>
          <w:szCs w:val="20"/>
          <w:lang w:val="es-CO"/>
        </w:rPr>
        <w:t>6</w:t>
      </w:r>
      <w:r>
        <w:rPr>
          <w:rFonts w:asciiTheme="majorHAnsi" w:hAnsiTheme="majorHAnsi"/>
          <w:sz w:val="20"/>
          <w:szCs w:val="20"/>
          <w:lang w:val="es-CO"/>
        </w:rPr>
        <w:t>.</w:t>
      </w:r>
      <w:r>
        <w:rPr>
          <w:rFonts w:asciiTheme="majorHAnsi" w:hAnsiTheme="majorHAnsi"/>
          <w:sz w:val="20"/>
          <w:szCs w:val="20"/>
          <w:lang w:val="es-CO"/>
        </w:rPr>
        <w:tab/>
      </w:r>
      <w:r w:rsidR="008C69BF">
        <w:rPr>
          <w:rFonts w:asciiTheme="majorHAnsi" w:hAnsiTheme="majorHAnsi"/>
          <w:sz w:val="20"/>
          <w:szCs w:val="20"/>
          <w:lang w:val="es-CO"/>
        </w:rPr>
        <w:t>Por otro lado</w:t>
      </w:r>
      <w:r w:rsidR="008F07EC">
        <w:rPr>
          <w:rFonts w:asciiTheme="majorHAnsi" w:hAnsiTheme="majorHAnsi"/>
          <w:sz w:val="20"/>
          <w:szCs w:val="20"/>
          <w:lang w:val="es-CO"/>
        </w:rPr>
        <w:t xml:space="preserve">, </w:t>
      </w:r>
      <w:r w:rsidR="008C69BF">
        <w:rPr>
          <w:rFonts w:asciiTheme="majorHAnsi" w:hAnsiTheme="majorHAnsi"/>
          <w:sz w:val="20"/>
          <w:szCs w:val="20"/>
          <w:lang w:val="es-CO"/>
        </w:rPr>
        <w:t>los peticionarios alegan que la reparación no fue integral, y</w:t>
      </w:r>
      <w:r w:rsidR="005D727E">
        <w:rPr>
          <w:rFonts w:asciiTheme="majorHAnsi" w:hAnsiTheme="majorHAnsi"/>
          <w:sz w:val="20"/>
          <w:szCs w:val="20"/>
          <w:lang w:val="es-CO"/>
        </w:rPr>
        <w:t xml:space="preserve"> que</w:t>
      </w:r>
      <w:r w:rsidR="008C69BF">
        <w:rPr>
          <w:rFonts w:asciiTheme="majorHAnsi" w:hAnsiTheme="majorHAnsi"/>
          <w:sz w:val="20"/>
          <w:szCs w:val="20"/>
          <w:lang w:val="es-CO"/>
        </w:rPr>
        <w:t xml:space="preserve"> no tuvieron acceso a la justicia mediante el recurso de amparo. </w:t>
      </w:r>
      <w:r w:rsidR="00675472">
        <w:rPr>
          <w:rFonts w:asciiTheme="majorHAnsi" w:hAnsiTheme="majorHAnsi"/>
          <w:sz w:val="20"/>
          <w:szCs w:val="20"/>
          <w:lang w:val="es-CO"/>
        </w:rPr>
        <w:t>En esa medida, s</w:t>
      </w:r>
      <w:r w:rsidR="00651784">
        <w:rPr>
          <w:rFonts w:asciiTheme="majorHAnsi" w:hAnsiTheme="majorHAnsi"/>
          <w:sz w:val="20"/>
          <w:szCs w:val="20"/>
          <w:lang w:val="es-CO"/>
        </w:rPr>
        <w:t xml:space="preserve">i bien el recurso idóneo para el reclamo por la impunidad del secuestro, violencia sexual y </w:t>
      </w:r>
      <w:r w:rsidR="003E5024">
        <w:rPr>
          <w:rFonts w:asciiTheme="majorHAnsi" w:hAnsiTheme="majorHAnsi"/>
          <w:sz w:val="20"/>
          <w:szCs w:val="20"/>
          <w:lang w:val="es-CO"/>
        </w:rPr>
        <w:t>feminicidio</w:t>
      </w:r>
      <w:r w:rsidR="00651784">
        <w:rPr>
          <w:rFonts w:asciiTheme="majorHAnsi" w:hAnsiTheme="majorHAnsi"/>
          <w:sz w:val="20"/>
          <w:szCs w:val="20"/>
          <w:lang w:val="es-CO"/>
        </w:rPr>
        <w:t xml:space="preserve"> de la presunta víctima </w:t>
      </w:r>
      <w:r w:rsidR="00C033FE">
        <w:rPr>
          <w:rFonts w:asciiTheme="majorHAnsi" w:hAnsiTheme="majorHAnsi"/>
          <w:sz w:val="20"/>
          <w:szCs w:val="20"/>
          <w:lang w:val="es-CO"/>
        </w:rPr>
        <w:t xml:space="preserve">es la vía penal, dado que se alegan </w:t>
      </w:r>
      <w:r w:rsidR="003B312D">
        <w:rPr>
          <w:rFonts w:asciiTheme="majorHAnsi" w:hAnsiTheme="majorHAnsi"/>
          <w:sz w:val="20"/>
          <w:szCs w:val="20"/>
          <w:lang w:val="es-CO"/>
        </w:rPr>
        <w:t xml:space="preserve">además </w:t>
      </w:r>
      <w:r w:rsidR="00C033FE">
        <w:rPr>
          <w:rFonts w:asciiTheme="majorHAnsi" w:hAnsiTheme="majorHAnsi"/>
          <w:sz w:val="20"/>
          <w:szCs w:val="20"/>
          <w:lang w:val="es-CO"/>
        </w:rPr>
        <w:t xml:space="preserve">violaciones específicas </w:t>
      </w:r>
      <w:r w:rsidR="003B312D">
        <w:rPr>
          <w:rFonts w:asciiTheme="majorHAnsi" w:hAnsiTheme="majorHAnsi"/>
          <w:sz w:val="20"/>
          <w:szCs w:val="20"/>
          <w:lang w:val="es-CO"/>
        </w:rPr>
        <w:t>relativas a</w:t>
      </w:r>
      <w:r w:rsidR="00C033FE">
        <w:rPr>
          <w:rFonts w:asciiTheme="majorHAnsi" w:hAnsiTheme="majorHAnsi"/>
          <w:sz w:val="20"/>
          <w:szCs w:val="20"/>
          <w:lang w:val="es-CO"/>
        </w:rPr>
        <w:t>l proceso administrativo de compensación a víctimas</w:t>
      </w:r>
      <w:r w:rsidR="00992416">
        <w:rPr>
          <w:rFonts w:asciiTheme="majorHAnsi" w:hAnsiTheme="majorHAnsi"/>
          <w:sz w:val="20"/>
          <w:szCs w:val="20"/>
          <w:lang w:val="es-CO"/>
        </w:rPr>
        <w:t xml:space="preserve"> y del consiguiente juicio de amparo</w:t>
      </w:r>
      <w:r w:rsidR="00C033FE">
        <w:rPr>
          <w:rFonts w:asciiTheme="majorHAnsi" w:hAnsiTheme="majorHAnsi"/>
          <w:sz w:val="20"/>
          <w:szCs w:val="20"/>
          <w:lang w:val="es-CO"/>
        </w:rPr>
        <w:t xml:space="preserve">, la Comisión </w:t>
      </w:r>
      <w:r w:rsidR="003B312D">
        <w:rPr>
          <w:rFonts w:asciiTheme="majorHAnsi" w:hAnsiTheme="majorHAnsi"/>
          <w:sz w:val="20"/>
          <w:szCs w:val="20"/>
          <w:lang w:val="es-CO"/>
        </w:rPr>
        <w:t>debe evaluar respecto este reclamo el cumplimiento de los requisitos de admisibilidad.</w:t>
      </w:r>
    </w:p>
    <w:p w14:paraId="5D0D596D" w14:textId="6E91205F" w:rsidR="000279CB" w:rsidRPr="001A45A3" w:rsidRDefault="00676D1B" w:rsidP="000279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17.</w:t>
      </w:r>
      <w:r>
        <w:rPr>
          <w:rFonts w:asciiTheme="majorHAnsi" w:hAnsiTheme="majorHAnsi"/>
          <w:sz w:val="20"/>
          <w:szCs w:val="20"/>
          <w:lang w:val="es-CO"/>
        </w:rPr>
        <w:tab/>
      </w:r>
      <w:r w:rsidR="008C18D9">
        <w:rPr>
          <w:rFonts w:asciiTheme="majorHAnsi" w:hAnsiTheme="majorHAnsi"/>
          <w:sz w:val="20"/>
          <w:szCs w:val="20"/>
          <w:lang w:val="es-CO"/>
        </w:rPr>
        <w:t>E</w:t>
      </w:r>
      <w:r w:rsidR="000279CB">
        <w:rPr>
          <w:rFonts w:asciiTheme="majorHAnsi" w:hAnsiTheme="majorHAnsi"/>
          <w:sz w:val="20"/>
          <w:szCs w:val="20"/>
          <w:lang w:val="es-CO"/>
        </w:rPr>
        <w:t xml:space="preserve">l trámite administrativo de reparación a favor de la familia de Gemma </w:t>
      </w:r>
      <w:proofErr w:type="spellStart"/>
      <w:r w:rsidR="000279CB">
        <w:rPr>
          <w:rFonts w:asciiTheme="majorHAnsi" w:hAnsiTheme="majorHAnsi"/>
          <w:sz w:val="20"/>
          <w:szCs w:val="20"/>
          <w:lang w:val="es-CO"/>
        </w:rPr>
        <w:t>Mávil</w:t>
      </w:r>
      <w:proofErr w:type="spellEnd"/>
      <w:r w:rsidR="000279CB">
        <w:rPr>
          <w:rFonts w:asciiTheme="majorHAnsi" w:hAnsiTheme="majorHAnsi"/>
          <w:sz w:val="20"/>
          <w:szCs w:val="20"/>
          <w:lang w:val="es-CO"/>
        </w:rPr>
        <w:t xml:space="preserve"> Hernández inició el 31 de enero de 2018 mediante un auto emitido por la Comisión Ejecutiva de Atención a Víctimas.</w:t>
      </w:r>
      <w:r w:rsidR="00B821EF">
        <w:rPr>
          <w:rFonts w:asciiTheme="majorHAnsi" w:hAnsiTheme="majorHAnsi"/>
          <w:sz w:val="20"/>
          <w:szCs w:val="20"/>
          <w:lang w:val="es-CO"/>
        </w:rPr>
        <w:t xml:space="preserve"> El 21 de febrero de 2018 el señor Pedro </w:t>
      </w:r>
      <w:proofErr w:type="spellStart"/>
      <w:r w:rsidR="00B821EF">
        <w:rPr>
          <w:rFonts w:asciiTheme="majorHAnsi" w:hAnsiTheme="majorHAnsi"/>
          <w:sz w:val="20"/>
          <w:szCs w:val="20"/>
          <w:lang w:val="es-CO"/>
        </w:rPr>
        <w:t>Mávil</w:t>
      </w:r>
      <w:proofErr w:type="spellEnd"/>
      <w:r w:rsidR="00B821EF">
        <w:rPr>
          <w:rFonts w:asciiTheme="majorHAnsi" w:hAnsiTheme="majorHAnsi"/>
          <w:sz w:val="20"/>
          <w:szCs w:val="20"/>
          <w:lang w:val="es-CO"/>
        </w:rPr>
        <w:t xml:space="preserve"> promovió juicio de amparo contra dicho auto por considerar que desconocía la reparación a la víctima directa y no tenía en cuenta la documentación del daño material y en equidad aportado por la familia. El recurso de amparo fue tenido como no presentado el 9 de marzo de 2018, </w:t>
      </w:r>
      <w:r w:rsidR="00B821EF">
        <w:rPr>
          <w:rFonts w:asciiTheme="majorHAnsi" w:hAnsiTheme="majorHAnsi"/>
          <w:sz w:val="20"/>
          <w:szCs w:val="20"/>
          <w:lang w:val="es-CO"/>
        </w:rPr>
        <w:lastRenderedPageBreak/>
        <w:t xml:space="preserve">decisión que fue confirmada el 23 de marzo de 2018. </w:t>
      </w:r>
      <w:r w:rsidR="00D4465C">
        <w:rPr>
          <w:rFonts w:asciiTheme="majorHAnsi" w:hAnsiTheme="majorHAnsi"/>
          <w:sz w:val="20"/>
          <w:szCs w:val="20"/>
          <w:lang w:val="es-CO"/>
        </w:rPr>
        <w:t xml:space="preserve">La Comisión considera que esa última decisión agotó los recursos internos </w:t>
      </w:r>
      <w:r w:rsidR="005F2122">
        <w:rPr>
          <w:rFonts w:asciiTheme="majorHAnsi" w:hAnsiTheme="majorHAnsi"/>
          <w:sz w:val="20"/>
          <w:szCs w:val="20"/>
          <w:lang w:val="es-CO"/>
        </w:rPr>
        <w:t xml:space="preserve">a este </w:t>
      </w:r>
      <w:r w:rsidR="00D4465C">
        <w:rPr>
          <w:rFonts w:asciiTheme="majorHAnsi" w:hAnsiTheme="majorHAnsi"/>
          <w:sz w:val="20"/>
          <w:szCs w:val="20"/>
          <w:lang w:val="es-CO"/>
        </w:rPr>
        <w:t>respecto</w:t>
      </w:r>
      <w:r w:rsidR="005F2122">
        <w:rPr>
          <w:rFonts w:asciiTheme="majorHAnsi" w:hAnsiTheme="majorHAnsi"/>
          <w:sz w:val="20"/>
          <w:szCs w:val="20"/>
          <w:lang w:val="es-CO"/>
        </w:rPr>
        <w:t>;</w:t>
      </w:r>
      <w:r w:rsidR="00105561">
        <w:rPr>
          <w:rFonts w:asciiTheme="majorHAnsi" w:hAnsiTheme="majorHAnsi"/>
          <w:sz w:val="20"/>
          <w:szCs w:val="20"/>
          <w:lang w:val="es-CO"/>
        </w:rPr>
        <w:t xml:space="preserve"> </w:t>
      </w:r>
      <w:r w:rsidR="005F2122">
        <w:rPr>
          <w:rFonts w:asciiTheme="majorHAnsi" w:hAnsiTheme="majorHAnsi"/>
          <w:sz w:val="20"/>
          <w:szCs w:val="20"/>
          <w:lang w:val="es-CO"/>
        </w:rPr>
        <w:t>así</w:t>
      </w:r>
      <w:r w:rsidR="00105561">
        <w:rPr>
          <w:rFonts w:asciiTheme="majorHAnsi" w:hAnsiTheme="majorHAnsi"/>
          <w:sz w:val="20"/>
          <w:szCs w:val="20"/>
          <w:lang w:val="es-CO"/>
        </w:rPr>
        <w:t xml:space="preserve">, en vista de que la petición fue presentada el 15 de marzo de 2013, se estima que cumple con los requisitos contemplados en los artículos </w:t>
      </w:r>
      <w:r w:rsidR="007A2524" w:rsidRPr="00FA001A">
        <w:rPr>
          <w:rFonts w:asciiTheme="majorHAnsi" w:hAnsiTheme="majorHAnsi"/>
          <w:sz w:val="20"/>
          <w:szCs w:val="20"/>
          <w:lang w:val="es-ES"/>
        </w:rPr>
        <w:t>46.1</w:t>
      </w:r>
      <w:r w:rsidR="005F2122">
        <w:rPr>
          <w:rFonts w:asciiTheme="majorHAnsi" w:hAnsiTheme="majorHAnsi"/>
          <w:sz w:val="20"/>
          <w:szCs w:val="20"/>
          <w:lang w:val="es-ES"/>
        </w:rPr>
        <w:t>.</w:t>
      </w:r>
      <w:r w:rsidR="007A2524" w:rsidRPr="00FA001A">
        <w:rPr>
          <w:rFonts w:asciiTheme="majorHAnsi" w:hAnsiTheme="majorHAnsi"/>
          <w:sz w:val="20"/>
          <w:szCs w:val="20"/>
          <w:lang w:val="es-ES"/>
        </w:rPr>
        <w:t>a) y (b)</w:t>
      </w:r>
      <w:r w:rsidR="007A2524">
        <w:rPr>
          <w:rFonts w:asciiTheme="majorHAnsi" w:hAnsiTheme="majorHAnsi"/>
          <w:sz w:val="20"/>
          <w:szCs w:val="20"/>
          <w:lang w:val="es-ES"/>
        </w:rPr>
        <w:t xml:space="preserve"> </w:t>
      </w:r>
      <w:r w:rsidR="00105561">
        <w:rPr>
          <w:rFonts w:asciiTheme="majorHAnsi" w:hAnsiTheme="majorHAnsi"/>
          <w:sz w:val="20"/>
          <w:szCs w:val="20"/>
          <w:lang w:val="es-CO"/>
        </w:rPr>
        <w:t>de la Convención Americana</w:t>
      </w:r>
      <w:r w:rsidR="00D4465C">
        <w:rPr>
          <w:rFonts w:asciiTheme="majorHAnsi" w:hAnsiTheme="majorHAnsi"/>
          <w:sz w:val="20"/>
          <w:szCs w:val="20"/>
          <w:lang w:val="es-CO"/>
        </w:rPr>
        <w:t>.</w:t>
      </w:r>
    </w:p>
    <w:p w14:paraId="0915D649" w14:textId="4FB195AC"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1E2E4E2D" w14:textId="42083E42" w:rsidR="00582264" w:rsidRDefault="00B61632" w:rsidP="00C712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FD225A">
        <w:rPr>
          <w:rFonts w:asciiTheme="majorHAnsi" w:hAnsiTheme="majorHAnsi"/>
          <w:sz w:val="20"/>
          <w:szCs w:val="20"/>
          <w:lang w:val="es-ES"/>
        </w:rPr>
        <w:t>8</w:t>
      </w:r>
      <w:r>
        <w:rPr>
          <w:rFonts w:asciiTheme="majorHAnsi" w:hAnsiTheme="majorHAnsi"/>
          <w:sz w:val="20"/>
          <w:szCs w:val="20"/>
          <w:lang w:val="es-ES"/>
        </w:rPr>
        <w:t>.</w:t>
      </w:r>
      <w:r>
        <w:rPr>
          <w:rFonts w:asciiTheme="majorHAnsi" w:hAnsiTheme="majorHAnsi"/>
          <w:sz w:val="20"/>
          <w:szCs w:val="20"/>
          <w:lang w:val="es-ES"/>
        </w:rPr>
        <w:tab/>
      </w:r>
      <w:r w:rsidR="00DE69B1">
        <w:rPr>
          <w:rFonts w:asciiTheme="majorHAnsi" w:hAnsiTheme="majorHAnsi"/>
          <w:sz w:val="20"/>
          <w:szCs w:val="20"/>
          <w:lang w:val="es-ES"/>
        </w:rPr>
        <w:t>La CIDH observa que e</w:t>
      </w:r>
      <w:r w:rsidR="009B43D4">
        <w:rPr>
          <w:rFonts w:asciiTheme="majorHAnsi" w:hAnsiTheme="majorHAnsi"/>
          <w:sz w:val="20"/>
          <w:szCs w:val="20"/>
          <w:lang w:val="es-ES"/>
        </w:rPr>
        <w:t xml:space="preserve">l objeto principal de </w:t>
      </w:r>
      <w:r w:rsidR="00C52E94">
        <w:rPr>
          <w:rFonts w:asciiTheme="majorHAnsi" w:hAnsiTheme="majorHAnsi"/>
          <w:sz w:val="20"/>
          <w:szCs w:val="20"/>
          <w:lang w:val="es-ES"/>
        </w:rPr>
        <w:t>la</w:t>
      </w:r>
      <w:r w:rsidR="009B43D4">
        <w:rPr>
          <w:rFonts w:asciiTheme="majorHAnsi" w:hAnsiTheme="majorHAnsi"/>
          <w:sz w:val="20"/>
          <w:szCs w:val="20"/>
          <w:lang w:val="es-ES"/>
        </w:rPr>
        <w:t xml:space="preserve"> petición </w:t>
      </w:r>
      <w:r w:rsidR="00C52E94">
        <w:rPr>
          <w:rFonts w:asciiTheme="majorHAnsi" w:hAnsiTheme="majorHAnsi"/>
          <w:sz w:val="20"/>
          <w:szCs w:val="20"/>
          <w:lang w:val="es-ES"/>
        </w:rPr>
        <w:t>es</w:t>
      </w:r>
      <w:r w:rsidR="009B43D4">
        <w:rPr>
          <w:rFonts w:asciiTheme="majorHAnsi" w:hAnsiTheme="majorHAnsi"/>
          <w:sz w:val="20"/>
          <w:szCs w:val="20"/>
          <w:lang w:val="es-ES"/>
        </w:rPr>
        <w:t xml:space="preserve"> la impunidad </w:t>
      </w:r>
      <w:r w:rsidR="002D1E53">
        <w:rPr>
          <w:rFonts w:asciiTheme="majorHAnsi" w:hAnsiTheme="majorHAnsi"/>
          <w:sz w:val="20"/>
          <w:szCs w:val="20"/>
          <w:lang w:val="es-ES"/>
        </w:rPr>
        <w:t>d</w:t>
      </w:r>
      <w:r w:rsidR="00AA7B78">
        <w:rPr>
          <w:rFonts w:asciiTheme="majorHAnsi" w:hAnsiTheme="majorHAnsi"/>
          <w:sz w:val="20"/>
          <w:szCs w:val="20"/>
          <w:lang w:val="es-ES"/>
        </w:rPr>
        <w:t>e</w:t>
      </w:r>
      <w:r w:rsidR="009B43D4">
        <w:rPr>
          <w:rFonts w:asciiTheme="majorHAnsi" w:hAnsiTheme="majorHAnsi"/>
          <w:sz w:val="20"/>
          <w:szCs w:val="20"/>
          <w:lang w:val="es-ES"/>
        </w:rPr>
        <w:t>l</w:t>
      </w:r>
      <w:r w:rsidR="002D1E53">
        <w:rPr>
          <w:rFonts w:asciiTheme="majorHAnsi" w:hAnsiTheme="majorHAnsi"/>
          <w:sz w:val="20"/>
          <w:szCs w:val="20"/>
          <w:lang w:val="es-ES"/>
        </w:rPr>
        <w:t xml:space="preserve"> secuestro y posterior </w:t>
      </w:r>
      <w:r w:rsidR="00FD4896">
        <w:rPr>
          <w:rFonts w:asciiTheme="majorHAnsi" w:hAnsiTheme="majorHAnsi"/>
          <w:sz w:val="20"/>
          <w:szCs w:val="20"/>
          <w:lang w:val="es-ES"/>
        </w:rPr>
        <w:t>femicidio</w:t>
      </w:r>
      <w:r w:rsidR="002D1E53">
        <w:rPr>
          <w:rFonts w:asciiTheme="majorHAnsi" w:hAnsiTheme="majorHAnsi"/>
          <w:sz w:val="20"/>
          <w:szCs w:val="20"/>
          <w:lang w:val="es-ES"/>
        </w:rPr>
        <w:t xml:space="preserve"> de</w:t>
      </w:r>
      <w:r w:rsidR="009B43D4">
        <w:rPr>
          <w:rFonts w:asciiTheme="majorHAnsi" w:hAnsiTheme="majorHAnsi"/>
          <w:sz w:val="20"/>
          <w:szCs w:val="20"/>
          <w:lang w:val="es-ES"/>
        </w:rPr>
        <w:t xml:space="preserve"> la joven </w:t>
      </w:r>
      <w:proofErr w:type="spellStart"/>
      <w:r w:rsidR="009B43D4">
        <w:rPr>
          <w:rFonts w:asciiTheme="majorHAnsi" w:hAnsiTheme="majorHAnsi"/>
          <w:sz w:val="20"/>
          <w:szCs w:val="20"/>
          <w:lang w:val="es-ES"/>
        </w:rPr>
        <w:t>Mávil</w:t>
      </w:r>
      <w:proofErr w:type="spellEnd"/>
      <w:r w:rsidR="009B43D4">
        <w:rPr>
          <w:rFonts w:asciiTheme="majorHAnsi" w:hAnsiTheme="majorHAnsi"/>
          <w:sz w:val="20"/>
          <w:szCs w:val="20"/>
          <w:lang w:val="es-ES"/>
        </w:rPr>
        <w:t xml:space="preserve"> Hernández, </w:t>
      </w:r>
      <w:r w:rsidR="00DB0504">
        <w:rPr>
          <w:rFonts w:asciiTheme="majorHAnsi" w:hAnsiTheme="majorHAnsi"/>
          <w:sz w:val="20"/>
          <w:szCs w:val="20"/>
          <w:lang w:val="es-ES"/>
        </w:rPr>
        <w:t xml:space="preserve">así como </w:t>
      </w:r>
      <w:r w:rsidR="009B43D4">
        <w:rPr>
          <w:rFonts w:asciiTheme="majorHAnsi" w:hAnsiTheme="majorHAnsi"/>
          <w:sz w:val="20"/>
          <w:szCs w:val="20"/>
          <w:lang w:val="es-ES"/>
        </w:rPr>
        <w:t>la falta de debida diligencia durante la investigación de su secuestro</w:t>
      </w:r>
      <w:r w:rsidR="00DA4026">
        <w:rPr>
          <w:rFonts w:asciiTheme="majorHAnsi" w:hAnsiTheme="majorHAnsi"/>
          <w:sz w:val="20"/>
          <w:szCs w:val="20"/>
          <w:lang w:val="es-ES"/>
        </w:rPr>
        <w:t xml:space="preserve"> y asesinato</w:t>
      </w:r>
      <w:r w:rsidR="009B43D4">
        <w:rPr>
          <w:rFonts w:asciiTheme="majorHAnsi" w:hAnsiTheme="majorHAnsi"/>
          <w:sz w:val="20"/>
          <w:szCs w:val="20"/>
          <w:lang w:val="es-ES"/>
        </w:rPr>
        <w:t xml:space="preserve"> y la posterior desaparición de</w:t>
      </w:r>
      <w:r w:rsidR="00DA4026">
        <w:rPr>
          <w:rFonts w:asciiTheme="majorHAnsi" w:hAnsiTheme="majorHAnsi"/>
          <w:sz w:val="20"/>
          <w:szCs w:val="20"/>
          <w:lang w:val="es-ES"/>
        </w:rPr>
        <w:t xml:space="preserve"> su</w:t>
      </w:r>
      <w:r w:rsidR="009B43D4">
        <w:rPr>
          <w:rFonts w:asciiTheme="majorHAnsi" w:hAnsiTheme="majorHAnsi"/>
          <w:sz w:val="20"/>
          <w:szCs w:val="20"/>
          <w:lang w:val="es-ES"/>
        </w:rPr>
        <w:t xml:space="preserve"> c</w:t>
      </w:r>
      <w:r w:rsidR="005947E0">
        <w:rPr>
          <w:rFonts w:asciiTheme="majorHAnsi" w:hAnsiTheme="majorHAnsi"/>
          <w:sz w:val="20"/>
          <w:szCs w:val="20"/>
          <w:lang w:val="es-ES"/>
        </w:rPr>
        <w:t>uerpo</w:t>
      </w:r>
      <w:r w:rsidR="009B43D4">
        <w:rPr>
          <w:rFonts w:asciiTheme="majorHAnsi" w:hAnsiTheme="majorHAnsi"/>
          <w:sz w:val="20"/>
          <w:szCs w:val="20"/>
          <w:lang w:val="es-ES"/>
        </w:rPr>
        <w:t>.</w:t>
      </w:r>
      <w:r w:rsidR="00DB0504">
        <w:rPr>
          <w:rFonts w:asciiTheme="majorHAnsi" w:hAnsiTheme="majorHAnsi"/>
          <w:sz w:val="20"/>
          <w:szCs w:val="20"/>
          <w:lang w:val="es-ES"/>
        </w:rPr>
        <w:t xml:space="preserve"> La parte peticionaria también incluye alegaciones respecto d</w:t>
      </w:r>
      <w:r w:rsidR="00287941">
        <w:rPr>
          <w:rFonts w:asciiTheme="majorHAnsi" w:hAnsiTheme="majorHAnsi"/>
          <w:sz w:val="20"/>
          <w:szCs w:val="20"/>
          <w:lang w:val="es-ES"/>
        </w:rPr>
        <w:t xml:space="preserve">e falta de imparcialidad en </w:t>
      </w:r>
      <w:r w:rsidR="00DB0504">
        <w:rPr>
          <w:rFonts w:asciiTheme="majorHAnsi" w:hAnsiTheme="majorHAnsi"/>
          <w:sz w:val="20"/>
          <w:szCs w:val="20"/>
          <w:lang w:val="es-ES"/>
        </w:rPr>
        <w:t>el proceso penal iniciado con ocasión del extravío del cadáver</w:t>
      </w:r>
      <w:r w:rsidR="00287941">
        <w:rPr>
          <w:rFonts w:asciiTheme="majorHAnsi" w:hAnsiTheme="majorHAnsi"/>
          <w:sz w:val="20"/>
          <w:szCs w:val="20"/>
          <w:lang w:val="es-ES"/>
        </w:rPr>
        <w:t>, violación del derecho a la integridad personal de los familiares</w:t>
      </w:r>
      <w:r w:rsidR="00DB0504">
        <w:rPr>
          <w:rFonts w:asciiTheme="majorHAnsi" w:hAnsiTheme="majorHAnsi"/>
          <w:sz w:val="20"/>
          <w:szCs w:val="20"/>
          <w:lang w:val="es-ES"/>
        </w:rPr>
        <w:t xml:space="preserve"> y la falta de acceso a una reparación integral. </w:t>
      </w:r>
      <w:r w:rsidR="00083343">
        <w:rPr>
          <w:rFonts w:asciiTheme="majorHAnsi" w:hAnsiTheme="majorHAnsi"/>
          <w:sz w:val="20"/>
          <w:szCs w:val="20"/>
          <w:lang w:val="es-ES"/>
        </w:rPr>
        <w:t xml:space="preserve">Por su parte, </w:t>
      </w:r>
      <w:r w:rsidR="0018540C">
        <w:rPr>
          <w:rFonts w:asciiTheme="majorHAnsi" w:hAnsiTheme="majorHAnsi"/>
          <w:sz w:val="20"/>
          <w:szCs w:val="20"/>
          <w:lang w:val="es-ES"/>
        </w:rPr>
        <w:t xml:space="preserve">México </w:t>
      </w:r>
      <w:r w:rsidR="00C52E94">
        <w:rPr>
          <w:rFonts w:asciiTheme="majorHAnsi" w:hAnsiTheme="majorHAnsi"/>
          <w:sz w:val="20"/>
          <w:szCs w:val="20"/>
          <w:lang w:val="es-ES"/>
        </w:rPr>
        <w:t>aduce</w:t>
      </w:r>
      <w:r w:rsidR="00582264" w:rsidRPr="00582264">
        <w:rPr>
          <w:rFonts w:asciiTheme="majorHAnsi" w:hAnsiTheme="majorHAnsi"/>
          <w:sz w:val="20"/>
          <w:szCs w:val="20"/>
          <w:lang w:val="es-ES"/>
        </w:rPr>
        <w:t xml:space="preserve"> que </w:t>
      </w:r>
      <w:r w:rsidR="00C52E94">
        <w:rPr>
          <w:rFonts w:asciiTheme="majorHAnsi" w:hAnsiTheme="majorHAnsi"/>
          <w:sz w:val="20"/>
          <w:szCs w:val="20"/>
          <w:lang w:val="es-ES"/>
        </w:rPr>
        <w:t>la</w:t>
      </w:r>
      <w:r w:rsidR="00582264" w:rsidRPr="00582264">
        <w:rPr>
          <w:rFonts w:asciiTheme="majorHAnsi" w:hAnsiTheme="majorHAnsi"/>
          <w:sz w:val="20"/>
          <w:szCs w:val="20"/>
          <w:lang w:val="es-ES"/>
        </w:rPr>
        <w:t xml:space="preserve"> petición </w:t>
      </w:r>
      <w:r w:rsidR="00C52E94">
        <w:rPr>
          <w:rFonts w:asciiTheme="majorHAnsi" w:hAnsiTheme="majorHAnsi"/>
          <w:sz w:val="20"/>
          <w:szCs w:val="20"/>
          <w:lang w:val="es-ES"/>
        </w:rPr>
        <w:t>no contiene violaciones a derechos humanos</w:t>
      </w:r>
      <w:r w:rsidR="000A180A">
        <w:rPr>
          <w:rFonts w:asciiTheme="majorHAnsi" w:hAnsiTheme="majorHAnsi"/>
          <w:sz w:val="20"/>
          <w:szCs w:val="20"/>
          <w:lang w:val="es-ES"/>
        </w:rPr>
        <w:t xml:space="preserve">, </w:t>
      </w:r>
      <w:r w:rsidR="00C52E94">
        <w:rPr>
          <w:rFonts w:asciiTheme="majorHAnsi" w:hAnsiTheme="majorHAnsi"/>
          <w:sz w:val="20"/>
          <w:szCs w:val="20"/>
          <w:lang w:val="es-ES"/>
        </w:rPr>
        <w:t>ya que las autoridades</w:t>
      </w:r>
      <w:r w:rsidR="000A180A">
        <w:rPr>
          <w:rFonts w:asciiTheme="majorHAnsi" w:hAnsiTheme="majorHAnsi"/>
          <w:sz w:val="20"/>
          <w:szCs w:val="20"/>
          <w:lang w:val="es-ES"/>
        </w:rPr>
        <w:t xml:space="preserve"> condena</w:t>
      </w:r>
      <w:r w:rsidR="00C52E94">
        <w:rPr>
          <w:rFonts w:asciiTheme="majorHAnsi" w:hAnsiTheme="majorHAnsi"/>
          <w:sz w:val="20"/>
          <w:szCs w:val="20"/>
          <w:lang w:val="es-ES"/>
        </w:rPr>
        <w:t>ron</w:t>
      </w:r>
      <w:r w:rsidR="000A180A">
        <w:rPr>
          <w:rFonts w:asciiTheme="majorHAnsi" w:hAnsiTheme="majorHAnsi"/>
          <w:sz w:val="20"/>
          <w:szCs w:val="20"/>
          <w:lang w:val="es-ES"/>
        </w:rPr>
        <w:t xml:space="preserve"> a una persona por el secuestro de la presunta víctima</w:t>
      </w:r>
      <w:r w:rsidR="00C52E94">
        <w:rPr>
          <w:rFonts w:asciiTheme="majorHAnsi" w:hAnsiTheme="majorHAnsi"/>
          <w:sz w:val="20"/>
          <w:szCs w:val="20"/>
          <w:lang w:val="es-ES"/>
        </w:rPr>
        <w:t>;</w:t>
      </w:r>
      <w:r w:rsidR="000A180A">
        <w:rPr>
          <w:rFonts w:asciiTheme="majorHAnsi" w:hAnsiTheme="majorHAnsi"/>
          <w:sz w:val="20"/>
          <w:szCs w:val="20"/>
          <w:lang w:val="es-ES"/>
        </w:rPr>
        <w:t xml:space="preserve"> </w:t>
      </w:r>
      <w:r w:rsidR="00740852">
        <w:rPr>
          <w:rFonts w:asciiTheme="majorHAnsi" w:hAnsiTheme="majorHAnsi"/>
          <w:sz w:val="20"/>
          <w:szCs w:val="20"/>
          <w:lang w:val="es-ES"/>
        </w:rPr>
        <w:t xml:space="preserve">y </w:t>
      </w:r>
      <w:r w:rsidR="00C52E94">
        <w:rPr>
          <w:rFonts w:asciiTheme="majorHAnsi" w:hAnsiTheme="majorHAnsi"/>
          <w:sz w:val="20"/>
          <w:szCs w:val="20"/>
          <w:lang w:val="es-ES"/>
        </w:rPr>
        <w:t xml:space="preserve">a que </w:t>
      </w:r>
      <w:r w:rsidR="00740852">
        <w:rPr>
          <w:rFonts w:asciiTheme="majorHAnsi" w:hAnsiTheme="majorHAnsi"/>
          <w:sz w:val="20"/>
          <w:szCs w:val="20"/>
          <w:lang w:val="es-ES"/>
        </w:rPr>
        <w:t>el peticionario habría accedido y participado en la investigación penal y habría obtenido una reparación administrativa</w:t>
      </w:r>
      <w:r w:rsidR="00083343">
        <w:rPr>
          <w:rFonts w:asciiTheme="majorHAnsi" w:hAnsiTheme="majorHAnsi"/>
          <w:sz w:val="20"/>
          <w:szCs w:val="20"/>
          <w:lang w:val="es-ES"/>
        </w:rPr>
        <w:t>.</w:t>
      </w:r>
    </w:p>
    <w:p w14:paraId="4D0CA812" w14:textId="77777777" w:rsidR="00DA17B8" w:rsidRDefault="00FD4896" w:rsidP="001518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FD225A">
        <w:rPr>
          <w:rFonts w:asciiTheme="majorHAnsi" w:hAnsiTheme="majorHAnsi"/>
          <w:sz w:val="20"/>
          <w:szCs w:val="20"/>
          <w:lang w:val="es-ES"/>
        </w:rPr>
        <w:t>9</w:t>
      </w:r>
      <w:r>
        <w:rPr>
          <w:rFonts w:asciiTheme="majorHAnsi" w:hAnsiTheme="majorHAnsi"/>
          <w:sz w:val="20"/>
          <w:szCs w:val="20"/>
          <w:lang w:val="es-ES"/>
        </w:rPr>
        <w:t>.</w:t>
      </w:r>
      <w:r>
        <w:rPr>
          <w:rFonts w:asciiTheme="majorHAnsi" w:hAnsiTheme="majorHAnsi"/>
          <w:sz w:val="20"/>
          <w:szCs w:val="20"/>
          <w:lang w:val="es-ES"/>
        </w:rPr>
        <w:tab/>
      </w:r>
      <w:r w:rsidR="0080383C" w:rsidRPr="0007236A">
        <w:rPr>
          <w:rFonts w:asciiTheme="majorHAnsi" w:hAnsiTheme="majorHAnsi"/>
          <w:sz w:val="20"/>
          <w:szCs w:val="20"/>
          <w:lang w:val="es-ES"/>
        </w:rPr>
        <w:t xml:space="preserve">En el presente caso, </w:t>
      </w:r>
      <w:r>
        <w:rPr>
          <w:rFonts w:asciiTheme="majorHAnsi" w:hAnsiTheme="majorHAnsi"/>
          <w:sz w:val="20"/>
          <w:szCs w:val="20"/>
          <w:lang w:val="es-ES"/>
        </w:rPr>
        <w:t xml:space="preserve">la Comisión recuerda que los Estados tienen la obligación de impulsar una investigación </w:t>
      </w:r>
      <w:r w:rsidRPr="009D795D">
        <w:rPr>
          <w:rFonts w:asciiTheme="majorHAnsi" w:hAnsiTheme="majorHAnsi"/>
          <w:i/>
          <w:iCs/>
          <w:sz w:val="20"/>
          <w:szCs w:val="20"/>
          <w:lang w:val="es-ES"/>
        </w:rPr>
        <w:t xml:space="preserve">ex </w:t>
      </w:r>
      <w:proofErr w:type="spellStart"/>
      <w:r w:rsidRPr="009D795D">
        <w:rPr>
          <w:rFonts w:asciiTheme="majorHAnsi" w:hAnsiTheme="majorHAnsi"/>
          <w:i/>
          <w:iCs/>
          <w:sz w:val="20"/>
          <w:szCs w:val="20"/>
          <w:lang w:val="es-ES"/>
        </w:rPr>
        <w:t>officio</w:t>
      </w:r>
      <w:proofErr w:type="spellEnd"/>
      <w:r>
        <w:rPr>
          <w:rFonts w:asciiTheme="majorHAnsi" w:hAnsiTheme="majorHAnsi"/>
          <w:sz w:val="20"/>
          <w:szCs w:val="20"/>
          <w:lang w:val="es-ES"/>
        </w:rPr>
        <w:t xml:space="preserve"> en los casos de desaparición de personas, como un deber jurídico propio, y no pueden reposar esta carga en la iniciativa de los familiares</w:t>
      </w:r>
      <w:r>
        <w:rPr>
          <w:rStyle w:val="FootnoteReference"/>
          <w:rFonts w:asciiTheme="majorHAnsi" w:hAnsiTheme="majorHAnsi"/>
          <w:sz w:val="20"/>
          <w:szCs w:val="20"/>
          <w:lang w:val="es-ES"/>
        </w:rPr>
        <w:footnoteReference w:id="8"/>
      </w:r>
      <w:r>
        <w:rPr>
          <w:rFonts w:asciiTheme="majorHAnsi" w:hAnsiTheme="majorHAnsi"/>
          <w:sz w:val="20"/>
          <w:szCs w:val="20"/>
          <w:lang w:val="es-ES"/>
        </w:rPr>
        <w:t xml:space="preserve">. </w:t>
      </w:r>
      <w:r w:rsidR="001518AB">
        <w:rPr>
          <w:rFonts w:asciiTheme="majorHAnsi" w:hAnsiTheme="majorHAnsi"/>
          <w:sz w:val="20"/>
          <w:szCs w:val="20"/>
          <w:lang w:val="es-ES"/>
        </w:rPr>
        <w:t>U</w:t>
      </w:r>
      <w:r>
        <w:rPr>
          <w:rFonts w:asciiTheme="majorHAnsi" w:hAnsiTheme="majorHAnsi"/>
          <w:sz w:val="20"/>
          <w:szCs w:val="20"/>
          <w:lang w:val="es-ES"/>
        </w:rPr>
        <w:t>no de los principios rectores del deber de debida diligencia consiste en dar seguimiento a las líneas lógicas de investigación en las indagaciones penales relativas a violaciones de derechos humanos</w:t>
      </w:r>
      <w:r>
        <w:rPr>
          <w:rStyle w:val="FootnoteReference"/>
          <w:rFonts w:asciiTheme="majorHAnsi" w:hAnsiTheme="majorHAnsi"/>
          <w:sz w:val="20"/>
          <w:szCs w:val="20"/>
          <w:lang w:val="es-ES"/>
        </w:rPr>
        <w:footnoteReference w:id="9"/>
      </w:r>
      <w:r>
        <w:rPr>
          <w:rFonts w:asciiTheme="majorHAnsi" w:hAnsiTheme="majorHAnsi"/>
          <w:sz w:val="20"/>
          <w:szCs w:val="20"/>
          <w:lang w:val="es-ES"/>
        </w:rPr>
        <w:t>.</w:t>
      </w:r>
      <w:r w:rsidR="001518AB">
        <w:rPr>
          <w:rFonts w:asciiTheme="majorHAnsi" w:hAnsiTheme="majorHAnsi"/>
          <w:sz w:val="20"/>
          <w:szCs w:val="20"/>
          <w:lang w:val="es-ES"/>
        </w:rPr>
        <w:t xml:space="preserve"> </w:t>
      </w:r>
    </w:p>
    <w:p w14:paraId="00FBDA29" w14:textId="54879AF7" w:rsidR="00FD4896" w:rsidRDefault="00DA17B8" w:rsidP="001518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20.</w:t>
      </w:r>
      <w:r>
        <w:rPr>
          <w:rFonts w:asciiTheme="majorHAnsi" w:hAnsiTheme="majorHAnsi"/>
          <w:sz w:val="20"/>
          <w:szCs w:val="20"/>
          <w:lang w:val="es-ES"/>
        </w:rPr>
        <w:tab/>
      </w:r>
      <w:r w:rsidR="00FD4896">
        <w:rPr>
          <w:rFonts w:asciiTheme="majorHAnsi" w:hAnsiTheme="majorHAnsi"/>
          <w:sz w:val="20"/>
          <w:szCs w:val="20"/>
          <w:lang w:val="es-ES"/>
        </w:rPr>
        <w:t>A ello se suma que, en casos de violencia contra la mujer, las obligaciones generales de los artículos 8.1 y 25 de la Convención Americana se ven reforzadas por las disposiciones de la Convención de Belém do Pará, cuyo artículo 7.b) impone el deber específico de utilizar la debida diligencia para prevenir, sancionar y erradicar la violencia contra la mujer</w:t>
      </w:r>
      <w:r w:rsidR="00FD4896">
        <w:rPr>
          <w:rStyle w:val="FootnoteReference"/>
          <w:rFonts w:asciiTheme="majorHAnsi" w:hAnsiTheme="majorHAnsi"/>
          <w:sz w:val="20"/>
          <w:szCs w:val="20"/>
          <w:lang w:val="es-ES"/>
        </w:rPr>
        <w:footnoteReference w:id="10"/>
      </w:r>
      <w:r w:rsidR="00FD4896">
        <w:rPr>
          <w:rFonts w:asciiTheme="majorHAnsi" w:hAnsiTheme="majorHAnsi"/>
          <w:sz w:val="20"/>
          <w:szCs w:val="20"/>
          <w:lang w:val="es-ES"/>
        </w:rPr>
        <w:t>.</w:t>
      </w:r>
      <w:r w:rsidR="00FD4896" w:rsidRPr="009D1F86">
        <w:rPr>
          <w:rFonts w:asciiTheme="majorHAnsi" w:hAnsiTheme="majorHAnsi"/>
          <w:sz w:val="20"/>
          <w:szCs w:val="20"/>
          <w:lang w:val="es-ES"/>
        </w:rPr>
        <w:t xml:space="preserve"> </w:t>
      </w:r>
      <w:r w:rsidR="00FD4896">
        <w:rPr>
          <w:rFonts w:asciiTheme="majorHAnsi" w:hAnsiTheme="majorHAnsi"/>
          <w:sz w:val="20"/>
          <w:szCs w:val="20"/>
          <w:lang w:val="es-ES"/>
        </w:rPr>
        <w:t>En efecto, el deber de investigar tiene alcances adicionales cuando se trata de una mujer que sufre una muerte violenta, maltrato o afectación a su libertad personal, pues se requiere que el Estado esclarezca si el acto fue perpetrado por razón del género</w:t>
      </w:r>
      <w:r w:rsidR="00FD4896">
        <w:rPr>
          <w:rStyle w:val="FootnoteReference"/>
          <w:rFonts w:asciiTheme="majorHAnsi" w:hAnsiTheme="majorHAnsi"/>
          <w:sz w:val="20"/>
          <w:szCs w:val="20"/>
          <w:lang w:val="es-ES"/>
        </w:rPr>
        <w:footnoteReference w:id="11"/>
      </w:r>
      <w:r w:rsidR="00FD4896">
        <w:rPr>
          <w:rFonts w:asciiTheme="majorHAnsi" w:hAnsiTheme="majorHAnsi"/>
          <w:sz w:val="20"/>
          <w:szCs w:val="20"/>
          <w:lang w:val="es-ES"/>
        </w:rPr>
        <w:t>.</w:t>
      </w:r>
      <w:r w:rsidR="00E17DB7">
        <w:rPr>
          <w:rFonts w:asciiTheme="majorHAnsi" w:hAnsiTheme="majorHAnsi"/>
          <w:sz w:val="20"/>
          <w:szCs w:val="20"/>
          <w:lang w:val="es-ES"/>
        </w:rPr>
        <w:t xml:space="preserve"> E</w:t>
      </w:r>
      <w:r w:rsidR="00C27843">
        <w:rPr>
          <w:rFonts w:asciiTheme="majorHAnsi" w:hAnsiTheme="majorHAnsi"/>
          <w:sz w:val="20"/>
          <w:szCs w:val="20"/>
          <w:lang w:val="es-ES"/>
        </w:rPr>
        <w:t>ste deber cobra particular importancia en contextos generalizados de violencia contra la mujer</w:t>
      </w:r>
      <w:r w:rsidR="007321F6">
        <w:rPr>
          <w:rFonts w:asciiTheme="majorHAnsi" w:hAnsiTheme="majorHAnsi"/>
          <w:sz w:val="20"/>
          <w:szCs w:val="20"/>
          <w:lang w:val="es-ES"/>
        </w:rPr>
        <w:t xml:space="preserve">. </w:t>
      </w:r>
      <w:r>
        <w:rPr>
          <w:rFonts w:asciiTheme="majorHAnsi" w:hAnsiTheme="majorHAnsi"/>
          <w:sz w:val="20"/>
          <w:szCs w:val="20"/>
          <w:lang w:val="es-ES"/>
        </w:rPr>
        <w:t>En este sentido, l</w:t>
      </w:r>
      <w:r w:rsidR="001F0890">
        <w:rPr>
          <w:rFonts w:asciiTheme="majorHAnsi" w:hAnsiTheme="majorHAnsi"/>
          <w:sz w:val="20"/>
          <w:szCs w:val="20"/>
          <w:lang w:val="es-ES"/>
        </w:rPr>
        <w:t xml:space="preserve">a Comisión ha </w:t>
      </w:r>
      <w:r>
        <w:rPr>
          <w:rFonts w:asciiTheme="majorHAnsi" w:hAnsiTheme="majorHAnsi"/>
          <w:sz w:val="20"/>
          <w:szCs w:val="20"/>
          <w:lang w:val="es-ES"/>
        </w:rPr>
        <w:t>encontrado</w:t>
      </w:r>
      <w:r w:rsidR="001F0890">
        <w:rPr>
          <w:rFonts w:asciiTheme="majorHAnsi" w:hAnsiTheme="majorHAnsi"/>
          <w:sz w:val="20"/>
          <w:szCs w:val="20"/>
          <w:lang w:val="es-ES"/>
        </w:rPr>
        <w:t xml:space="preserve"> que </w:t>
      </w:r>
      <w:r w:rsidR="00854D1F">
        <w:rPr>
          <w:rFonts w:asciiTheme="majorHAnsi" w:hAnsiTheme="majorHAnsi"/>
          <w:sz w:val="20"/>
          <w:szCs w:val="20"/>
          <w:lang w:val="es-ES"/>
        </w:rPr>
        <w:t>la desaparición forzada de mujeres</w:t>
      </w:r>
      <w:r w:rsidR="000C23FD">
        <w:rPr>
          <w:rFonts w:asciiTheme="majorHAnsi" w:hAnsiTheme="majorHAnsi"/>
          <w:sz w:val="20"/>
          <w:szCs w:val="20"/>
          <w:lang w:val="es-ES"/>
        </w:rPr>
        <w:t>,</w:t>
      </w:r>
      <w:r w:rsidR="00854D1F">
        <w:rPr>
          <w:rFonts w:asciiTheme="majorHAnsi" w:hAnsiTheme="majorHAnsi"/>
          <w:sz w:val="20"/>
          <w:szCs w:val="20"/>
          <w:lang w:val="es-ES"/>
        </w:rPr>
        <w:t xml:space="preserve"> niñas </w:t>
      </w:r>
      <w:r w:rsidR="000C23FD">
        <w:rPr>
          <w:rFonts w:asciiTheme="majorHAnsi" w:hAnsiTheme="majorHAnsi"/>
          <w:sz w:val="20"/>
          <w:szCs w:val="20"/>
          <w:lang w:val="es-ES"/>
        </w:rPr>
        <w:t xml:space="preserve">y adolescentes </w:t>
      </w:r>
      <w:r w:rsidR="007321F6">
        <w:rPr>
          <w:rFonts w:asciiTheme="majorHAnsi" w:hAnsiTheme="majorHAnsi"/>
          <w:sz w:val="20"/>
          <w:szCs w:val="20"/>
          <w:lang w:val="es-ES"/>
        </w:rPr>
        <w:t>ha sido un fenómeno</w:t>
      </w:r>
      <w:r w:rsidR="00854D1F">
        <w:rPr>
          <w:rFonts w:asciiTheme="majorHAnsi" w:hAnsiTheme="majorHAnsi"/>
          <w:sz w:val="20"/>
          <w:szCs w:val="20"/>
          <w:lang w:val="es-ES"/>
        </w:rPr>
        <w:t xml:space="preserve"> recurrente en diferentes zonas d</w:t>
      </w:r>
      <w:r w:rsidR="001F0890">
        <w:rPr>
          <w:rFonts w:asciiTheme="majorHAnsi" w:hAnsiTheme="majorHAnsi"/>
          <w:sz w:val="20"/>
          <w:szCs w:val="20"/>
          <w:lang w:val="es-ES"/>
        </w:rPr>
        <w:t>e México</w:t>
      </w:r>
      <w:r w:rsidR="00B20A70">
        <w:rPr>
          <w:rFonts w:asciiTheme="majorHAnsi" w:hAnsiTheme="majorHAnsi"/>
          <w:sz w:val="20"/>
          <w:szCs w:val="20"/>
          <w:lang w:val="es-ES"/>
        </w:rPr>
        <w:t>.</w:t>
      </w:r>
      <w:r w:rsidR="00283F6C">
        <w:rPr>
          <w:rStyle w:val="FootnoteReference"/>
          <w:rFonts w:asciiTheme="majorHAnsi" w:hAnsiTheme="majorHAnsi"/>
          <w:sz w:val="20"/>
          <w:szCs w:val="20"/>
          <w:lang w:val="es-ES"/>
        </w:rPr>
        <w:footnoteReference w:id="12"/>
      </w:r>
      <w:r w:rsidR="00283F6C">
        <w:rPr>
          <w:rFonts w:asciiTheme="majorHAnsi" w:hAnsiTheme="majorHAnsi"/>
          <w:sz w:val="20"/>
          <w:szCs w:val="20"/>
          <w:lang w:val="es-ES"/>
        </w:rPr>
        <w:t xml:space="preserve"> </w:t>
      </w:r>
      <w:r w:rsidR="00B20A70">
        <w:rPr>
          <w:rFonts w:asciiTheme="majorHAnsi" w:hAnsiTheme="majorHAnsi"/>
          <w:sz w:val="20"/>
          <w:szCs w:val="20"/>
          <w:lang w:val="es-ES"/>
        </w:rPr>
        <w:t>De manera que, s</w:t>
      </w:r>
      <w:r w:rsidR="007321F6">
        <w:rPr>
          <w:rFonts w:asciiTheme="majorHAnsi" w:hAnsiTheme="majorHAnsi"/>
          <w:sz w:val="20"/>
          <w:szCs w:val="20"/>
          <w:lang w:val="es-ES"/>
        </w:rPr>
        <w:t xml:space="preserve">i bien la falta de prevención de una desaparición forzada en un contexto generalizado no implica </w:t>
      </w:r>
      <w:r w:rsidR="007321F6" w:rsidRPr="007321F6">
        <w:rPr>
          <w:rFonts w:asciiTheme="majorHAnsi" w:hAnsiTheme="majorHAnsi"/>
          <w:i/>
          <w:iCs/>
          <w:sz w:val="20"/>
          <w:szCs w:val="20"/>
          <w:lang w:val="es-ES"/>
        </w:rPr>
        <w:t>per se</w:t>
      </w:r>
      <w:r w:rsidR="007321F6">
        <w:rPr>
          <w:rFonts w:asciiTheme="majorHAnsi" w:hAnsiTheme="majorHAnsi"/>
          <w:sz w:val="20"/>
          <w:szCs w:val="20"/>
          <w:lang w:val="es-ES"/>
        </w:rPr>
        <w:t xml:space="preserve"> la responsabilidad del Estado en </w:t>
      </w:r>
      <w:r w:rsidR="00B20A70">
        <w:rPr>
          <w:rFonts w:asciiTheme="majorHAnsi" w:hAnsiTheme="majorHAnsi"/>
          <w:sz w:val="20"/>
          <w:szCs w:val="20"/>
          <w:lang w:val="es-ES"/>
        </w:rPr>
        <w:t xml:space="preserve">un </w:t>
      </w:r>
      <w:r w:rsidR="007321F6">
        <w:rPr>
          <w:rFonts w:asciiTheme="majorHAnsi" w:hAnsiTheme="majorHAnsi"/>
          <w:sz w:val="20"/>
          <w:szCs w:val="20"/>
          <w:lang w:val="es-ES"/>
        </w:rPr>
        <w:t xml:space="preserve">caso concreto; </w:t>
      </w:r>
      <w:r w:rsidR="00F51FC1">
        <w:rPr>
          <w:rFonts w:asciiTheme="majorHAnsi" w:hAnsiTheme="majorHAnsi"/>
          <w:sz w:val="20"/>
          <w:szCs w:val="20"/>
          <w:lang w:val="es-ES"/>
        </w:rPr>
        <w:t xml:space="preserve">cuando el Estado toma conocimiento de la desaparición forzada bajo este contexto, tiene un deber de debida diligencia reforzado a sabiendas de </w:t>
      </w:r>
      <w:r w:rsidR="00F51FC1" w:rsidRPr="00F51FC1">
        <w:rPr>
          <w:rFonts w:asciiTheme="majorHAnsi" w:hAnsiTheme="majorHAnsi"/>
          <w:sz w:val="20"/>
          <w:szCs w:val="20"/>
          <w:lang w:val="es-ES"/>
        </w:rPr>
        <w:t>que exist</w:t>
      </w:r>
      <w:r w:rsidR="00F51FC1">
        <w:rPr>
          <w:rFonts w:asciiTheme="majorHAnsi" w:hAnsiTheme="majorHAnsi"/>
          <w:sz w:val="20"/>
          <w:szCs w:val="20"/>
          <w:lang w:val="es-ES"/>
        </w:rPr>
        <w:t>e</w:t>
      </w:r>
      <w:r w:rsidR="00F51FC1" w:rsidRPr="00F51FC1">
        <w:rPr>
          <w:rFonts w:asciiTheme="majorHAnsi" w:hAnsiTheme="majorHAnsi"/>
          <w:sz w:val="20"/>
          <w:szCs w:val="20"/>
          <w:lang w:val="es-ES"/>
        </w:rPr>
        <w:t xml:space="preserve"> un riesgo real e inmediato</w:t>
      </w:r>
      <w:r w:rsidR="00F51FC1">
        <w:rPr>
          <w:rFonts w:asciiTheme="majorHAnsi" w:hAnsiTheme="majorHAnsi"/>
          <w:sz w:val="20"/>
          <w:szCs w:val="20"/>
          <w:lang w:val="es-ES"/>
        </w:rPr>
        <w:t xml:space="preserve"> </w:t>
      </w:r>
      <w:r w:rsidR="00F51FC1" w:rsidRPr="00F51FC1">
        <w:rPr>
          <w:rFonts w:asciiTheme="majorHAnsi" w:hAnsiTheme="majorHAnsi"/>
          <w:sz w:val="20"/>
          <w:szCs w:val="20"/>
          <w:lang w:val="es-ES"/>
        </w:rPr>
        <w:t>de que las</w:t>
      </w:r>
      <w:r w:rsidR="00F51FC1">
        <w:rPr>
          <w:rFonts w:asciiTheme="majorHAnsi" w:hAnsiTheme="majorHAnsi"/>
          <w:sz w:val="20"/>
          <w:szCs w:val="20"/>
          <w:lang w:val="es-ES"/>
        </w:rPr>
        <w:t xml:space="preserve"> mujeres</w:t>
      </w:r>
      <w:r w:rsidR="00F51FC1" w:rsidRPr="00F51FC1">
        <w:rPr>
          <w:rFonts w:asciiTheme="majorHAnsi" w:hAnsiTheme="majorHAnsi"/>
          <w:sz w:val="20"/>
          <w:szCs w:val="20"/>
          <w:lang w:val="es-ES"/>
        </w:rPr>
        <w:t xml:space="preserve"> víctimas </w:t>
      </w:r>
      <w:r w:rsidR="00F51FC1">
        <w:rPr>
          <w:rFonts w:asciiTheme="majorHAnsi" w:hAnsiTheme="majorHAnsi"/>
          <w:sz w:val="20"/>
          <w:szCs w:val="20"/>
          <w:lang w:val="es-ES"/>
        </w:rPr>
        <w:t>se</w:t>
      </w:r>
      <w:r w:rsidR="00F51FC1" w:rsidRPr="00F51FC1">
        <w:rPr>
          <w:rFonts w:asciiTheme="majorHAnsi" w:hAnsiTheme="majorHAnsi"/>
          <w:sz w:val="20"/>
          <w:szCs w:val="20"/>
          <w:lang w:val="es-ES"/>
        </w:rPr>
        <w:t>an agredidas sexualmente, sometidas a vejámenes y</w:t>
      </w:r>
      <w:r w:rsidR="00F51FC1">
        <w:rPr>
          <w:rFonts w:asciiTheme="majorHAnsi" w:hAnsiTheme="majorHAnsi"/>
          <w:sz w:val="20"/>
          <w:szCs w:val="20"/>
          <w:lang w:val="es-ES"/>
        </w:rPr>
        <w:t xml:space="preserve"> </w:t>
      </w:r>
      <w:r w:rsidR="00F51FC1" w:rsidRPr="00F51FC1">
        <w:rPr>
          <w:rFonts w:asciiTheme="majorHAnsi" w:hAnsiTheme="majorHAnsi"/>
          <w:sz w:val="20"/>
          <w:szCs w:val="20"/>
          <w:lang w:val="es-ES"/>
        </w:rPr>
        <w:t>asesinadas.</w:t>
      </w:r>
      <w:r w:rsidR="009747B9" w:rsidRPr="009747B9">
        <w:rPr>
          <w:rFonts w:asciiTheme="majorHAnsi" w:hAnsiTheme="majorHAnsi"/>
          <w:sz w:val="20"/>
          <w:szCs w:val="20"/>
          <w:lang w:val="es-ES"/>
        </w:rPr>
        <w:t xml:space="preserve"> </w:t>
      </w:r>
      <w:r w:rsidR="009747B9">
        <w:rPr>
          <w:rFonts w:asciiTheme="majorHAnsi" w:hAnsiTheme="majorHAnsi"/>
          <w:sz w:val="20"/>
          <w:szCs w:val="20"/>
          <w:lang w:val="es-ES"/>
        </w:rPr>
        <w:t>La Corte Interamericana de Derechos Humanos ha determinado que “</w:t>
      </w:r>
      <w:r w:rsidR="009747B9" w:rsidRPr="00DA17B8">
        <w:rPr>
          <w:rFonts w:asciiTheme="majorHAnsi" w:hAnsiTheme="majorHAnsi"/>
          <w:i/>
          <w:iCs/>
          <w:sz w:val="20"/>
          <w:szCs w:val="20"/>
          <w:lang w:val="es-ES"/>
        </w:rPr>
        <w:t>ante tal contexto surge un deber de debida diligencia estricta frente a denuncias de desaparición de mujeres, respecto a su búsqueda durante las primeras horas y los primeros días</w:t>
      </w:r>
      <w:r w:rsidR="009747B9">
        <w:rPr>
          <w:rFonts w:asciiTheme="majorHAnsi" w:hAnsiTheme="majorHAnsi"/>
          <w:sz w:val="20"/>
          <w:szCs w:val="20"/>
          <w:lang w:val="es-ES"/>
        </w:rPr>
        <w:t>”</w:t>
      </w:r>
      <w:r>
        <w:rPr>
          <w:rStyle w:val="FootnoteReference"/>
          <w:rFonts w:asciiTheme="majorHAnsi" w:hAnsiTheme="majorHAnsi"/>
          <w:sz w:val="20"/>
          <w:szCs w:val="20"/>
          <w:lang w:val="es-ES"/>
        </w:rPr>
        <w:footnoteReference w:id="13"/>
      </w:r>
      <w:r w:rsidR="009747B9" w:rsidRPr="00932C8F">
        <w:rPr>
          <w:rFonts w:asciiTheme="majorHAnsi" w:hAnsiTheme="majorHAnsi"/>
          <w:sz w:val="20"/>
          <w:szCs w:val="20"/>
          <w:lang w:val="es-ES"/>
        </w:rPr>
        <w:t>.</w:t>
      </w:r>
    </w:p>
    <w:p w14:paraId="48BDC4AC" w14:textId="64DCC9D5" w:rsidR="00CB1527" w:rsidRDefault="00C27843" w:rsidP="00525B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
        </w:rPr>
        <w:t>2</w:t>
      </w:r>
      <w:r w:rsidR="002E5569">
        <w:rPr>
          <w:rFonts w:asciiTheme="majorHAnsi" w:hAnsiTheme="majorHAnsi"/>
          <w:sz w:val="20"/>
          <w:szCs w:val="20"/>
          <w:lang w:val="es-ES"/>
        </w:rPr>
        <w:t>1</w:t>
      </w:r>
      <w:r>
        <w:rPr>
          <w:rFonts w:asciiTheme="majorHAnsi" w:hAnsiTheme="majorHAnsi"/>
          <w:sz w:val="20"/>
          <w:szCs w:val="20"/>
          <w:lang w:val="es-ES"/>
        </w:rPr>
        <w:t>.</w:t>
      </w:r>
      <w:r>
        <w:rPr>
          <w:rFonts w:asciiTheme="majorHAnsi" w:hAnsiTheme="majorHAnsi"/>
          <w:sz w:val="20"/>
          <w:szCs w:val="20"/>
          <w:lang w:val="es-ES"/>
        </w:rPr>
        <w:tab/>
      </w:r>
      <w:r w:rsidR="00DA17B8">
        <w:rPr>
          <w:rFonts w:asciiTheme="majorHAnsi" w:hAnsiTheme="majorHAnsi"/>
          <w:sz w:val="20"/>
          <w:szCs w:val="20"/>
          <w:lang w:val="es-ES"/>
        </w:rPr>
        <w:t>A la luz de estos estándares</w:t>
      </w:r>
      <w:r>
        <w:rPr>
          <w:rFonts w:asciiTheme="majorHAnsi" w:hAnsiTheme="majorHAnsi"/>
          <w:sz w:val="20"/>
          <w:szCs w:val="20"/>
          <w:lang w:val="es-ES"/>
        </w:rPr>
        <w:t>,</w:t>
      </w:r>
      <w:r w:rsidR="00DA17B8">
        <w:rPr>
          <w:rFonts w:asciiTheme="majorHAnsi" w:hAnsiTheme="majorHAnsi"/>
          <w:sz w:val="20"/>
          <w:szCs w:val="20"/>
          <w:lang w:val="es-ES"/>
        </w:rPr>
        <w:t xml:space="preserve"> y siempre desde </w:t>
      </w:r>
      <w:r w:rsidR="00D76E3C">
        <w:rPr>
          <w:rFonts w:asciiTheme="majorHAnsi" w:hAnsiTheme="majorHAnsi"/>
          <w:sz w:val="20"/>
          <w:szCs w:val="20"/>
          <w:lang w:val="es-ES"/>
        </w:rPr>
        <w:t>el</w:t>
      </w:r>
      <w:r w:rsidR="00DA17B8">
        <w:rPr>
          <w:rFonts w:asciiTheme="majorHAnsi" w:hAnsiTheme="majorHAnsi"/>
          <w:sz w:val="20"/>
          <w:szCs w:val="20"/>
          <w:lang w:val="es-ES"/>
        </w:rPr>
        <w:t xml:space="preserve"> enfoque </w:t>
      </w:r>
      <w:r w:rsidR="00DA17B8" w:rsidRPr="00DA17B8">
        <w:rPr>
          <w:rFonts w:asciiTheme="majorHAnsi" w:hAnsiTheme="majorHAnsi"/>
          <w:i/>
          <w:iCs/>
          <w:sz w:val="20"/>
          <w:szCs w:val="20"/>
          <w:lang w:val="es-ES"/>
        </w:rPr>
        <w:t>prima facie</w:t>
      </w:r>
      <w:r w:rsidR="00DA17B8">
        <w:rPr>
          <w:rFonts w:asciiTheme="majorHAnsi" w:hAnsiTheme="majorHAnsi"/>
          <w:sz w:val="20"/>
          <w:szCs w:val="20"/>
          <w:lang w:val="es-ES"/>
        </w:rPr>
        <w:t xml:space="preserve"> propio del examen de admisibilidad,</w:t>
      </w:r>
      <w:r>
        <w:rPr>
          <w:rFonts w:asciiTheme="majorHAnsi" w:hAnsiTheme="majorHAnsi"/>
          <w:sz w:val="20"/>
          <w:szCs w:val="20"/>
          <w:lang w:val="es-ES"/>
        </w:rPr>
        <w:t xml:space="preserve"> la Comisión </w:t>
      </w:r>
      <w:r w:rsidR="00D76E3C">
        <w:rPr>
          <w:rFonts w:asciiTheme="majorHAnsi" w:hAnsiTheme="majorHAnsi"/>
          <w:sz w:val="20"/>
          <w:szCs w:val="20"/>
          <w:lang w:val="es-ES"/>
        </w:rPr>
        <w:t>considera</w:t>
      </w:r>
      <w:r>
        <w:rPr>
          <w:rFonts w:asciiTheme="majorHAnsi" w:hAnsiTheme="majorHAnsi"/>
          <w:sz w:val="20"/>
          <w:szCs w:val="20"/>
          <w:lang w:val="es-ES"/>
        </w:rPr>
        <w:t xml:space="preserve"> que el Estado </w:t>
      </w:r>
      <w:r w:rsidR="00525B99">
        <w:rPr>
          <w:rFonts w:asciiTheme="majorHAnsi" w:hAnsiTheme="majorHAnsi"/>
          <w:sz w:val="20"/>
          <w:szCs w:val="20"/>
          <w:lang w:val="es-ES"/>
        </w:rPr>
        <w:t xml:space="preserve">omitió realizar gestiones esenciales cuando todavía podía presumirse que la presunta víctima estaba con vida. El Ministerio Público </w:t>
      </w:r>
      <w:r>
        <w:rPr>
          <w:rFonts w:asciiTheme="majorHAnsi" w:hAnsiTheme="majorHAnsi"/>
          <w:sz w:val="20"/>
          <w:szCs w:val="20"/>
          <w:lang w:val="es-ES"/>
        </w:rPr>
        <w:t xml:space="preserve">liberó a una persona detenida en el operativo realizado por el secuestro de la presunta víctima, no siguió la línea de investigación de la cuenta bancaria desde la que realizaban la extorsión, ni practicó peritajes a los audios ni rastreó las llamadas a fin de recabar pruebas esenciales en el marco de la investigación, a pesar de las solicitudes y gestiones iniciadas por el señor Pedro </w:t>
      </w:r>
      <w:proofErr w:type="spellStart"/>
      <w:r>
        <w:rPr>
          <w:rFonts w:asciiTheme="majorHAnsi" w:hAnsiTheme="majorHAnsi"/>
          <w:sz w:val="20"/>
          <w:szCs w:val="20"/>
          <w:lang w:val="es-ES"/>
        </w:rPr>
        <w:t>Mávil</w:t>
      </w:r>
      <w:proofErr w:type="spellEnd"/>
      <w:r>
        <w:rPr>
          <w:rFonts w:asciiTheme="majorHAnsi" w:hAnsiTheme="majorHAnsi"/>
          <w:sz w:val="20"/>
          <w:szCs w:val="20"/>
          <w:lang w:val="es-ES"/>
        </w:rPr>
        <w:t>.</w:t>
      </w:r>
      <w:r w:rsidR="00525B99" w:rsidRPr="00525B99">
        <w:rPr>
          <w:rFonts w:asciiTheme="majorHAnsi" w:hAnsiTheme="majorHAnsi"/>
          <w:sz w:val="20"/>
          <w:szCs w:val="20"/>
          <w:lang w:val="es-CO"/>
        </w:rPr>
        <w:t xml:space="preserve"> </w:t>
      </w:r>
    </w:p>
    <w:p w14:paraId="54C27F25" w14:textId="181DE278" w:rsidR="002B19FA" w:rsidRDefault="003107DC" w:rsidP="008D0D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CO"/>
        </w:rPr>
        <w:lastRenderedPageBreak/>
        <w:t>2</w:t>
      </w:r>
      <w:r w:rsidR="00EB17F3">
        <w:rPr>
          <w:rFonts w:asciiTheme="majorHAnsi" w:hAnsiTheme="majorHAnsi"/>
          <w:sz w:val="20"/>
          <w:szCs w:val="20"/>
          <w:lang w:val="es-CO"/>
        </w:rPr>
        <w:t>2</w:t>
      </w:r>
      <w:r>
        <w:rPr>
          <w:rFonts w:asciiTheme="majorHAnsi" w:hAnsiTheme="majorHAnsi"/>
          <w:sz w:val="20"/>
          <w:szCs w:val="20"/>
          <w:lang w:val="es-CO"/>
        </w:rPr>
        <w:t>.</w:t>
      </w:r>
      <w:r>
        <w:rPr>
          <w:rFonts w:asciiTheme="majorHAnsi" w:hAnsiTheme="majorHAnsi"/>
          <w:sz w:val="20"/>
          <w:szCs w:val="20"/>
          <w:lang w:val="es-CO"/>
        </w:rPr>
        <w:tab/>
      </w:r>
      <w:r w:rsidR="003774B4">
        <w:rPr>
          <w:rFonts w:asciiTheme="majorHAnsi" w:hAnsiTheme="majorHAnsi"/>
          <w:sz w:val="20"/>
          <w:szCs w:val="20"/>
          <w:lang w:val="es-CO"/>
        </w:rPr>
        <w:t>Ad</w:t>
      </w:r>
      <w:r w:rsidR="00AC5AFC">
        <w:rPr>
          <w:rFonts w:asciiTheme="majorHAnsi" w:hAnsiTheme="majorHAnsi"/>
          <w:sz w:val="20"/>
          <w:szCs w:val="20"/>
          <w:lang w:val="es-CO"/>
        </w:rPr>
        <w:t>emás</w:t>
      </w:r>
      <w:r w:rsidR="00C27843">
        <w:rPr>
          <w:rFonts w:asciiTheme="majorHAnsi" w:hAnsiTheme="majorHAnsi"/>
          <w:sz w:val="20"/>
          <w:szCs w:val="20"/>
          <w:lang w:val="es-CO"/>
        </w:rPr>
        <w:t xml:space="preserve">, una vez el cuerpo de la joven Gemma </w:t>
      </w:r>
      <w:proofErr w:type="spellStart"/>
      <w:r w:rsidR="00C27843">
        <w:rPr>
          <w:rFonts w:asciiTheme="majorHAnsi" w:hAnsiTheme="majorHAnsi"/>
          <w:sz w:val="20"/>
          <w:szCs w:val="20"/>
          <w:lang w:val="es-CO"/>
        </w:rPr>
        <w:t>Mávil</w:t>
      </w:r>
      <w:proofErr w:type="spellEnd"/>
      <w:r w:rsidR="00C27843">
        <w:rPr>
          <w:rFonts w:asciiTheme="majorHAnsi" w:hAnsiTheme="majorHAnsi"/>
          <w:sz w:val="20"/>
          <w:szCs w:val="20"/>
          <w:lang w:val="es-CO"/>
        </w:rPr>
        <w:t xml:space="preserve"> Hernández fue recuperado por el Ministerio Público, la entidad</w:t>
      </w:r>
      <w:r w:rsidR="00F37B78">
        <w:rPr>
          <w:rFonts w:asciiTheme="majorHAnsi" w:hAnsiTheme="majorHAnsi"/>
          <w:sz w:val="20"/>
          <w:szCs w:val="20"/>
          <w:lang w:val="es-CO"/>
        </w:rPr>
        <w:t xml:space="preserve"> tenía la obligación d</w:t>
      </w:r>
      <w:r w:rsidR="00C27843">
        <w:rPr>
          <w:rFonts w:asciiTheme="majorHAnsi" w:hAnsiTheme="majorHAnsi"/>
          <w:sz w:val="20"/>
          <w:szCs w:val="20"/>
          <w:lang w:val="es-CO"/>
        </w:rPr>
        <w:t>e identificar a la presunta víctima, determinar la causa de la muerte</w:t>
      </w:r>
      <w:r w:rsidR="003011FC">
        <w:rPr>
          <w:rFonts w:asciiTheme="majorHAnsi" w:hAnsiTheme="majorHAnsi"/>
          <w:sz w:val="20"/>
          <w:szCs w:val="20"/>
          <w:lang w:val="es-CO"/>
        </w:rPr>
        <w:t>,</w:t>
      </w:r>
      <w:r w:rsidR="00C27843">
        <w:rPr>
          <w:rFonts w:asciiTheme="majorHAnsi" w:hAnsiTheme="majorHAnsi"/>
          <w:sz w:val="20"/>
          <w:szCs w:val="20"/>
          <w:lang w:val="es-CO"/>
        </w:rPr>
        <w:t xml:space="preserve"> y si había sufrido violencia sexual, así como preservar y recabar evidencia física relevante. </w:t>
      </w:r>
      <w:r w:rsidR="008D0D84">
        <w:rPr>
          <w:rFonts w:asciiTheme="majorHAnsi" w:hAnsiTheme="majorHAnsi"/>
          <w:sz w:val="20"/>
          <w:szCs w:val="20"/>
          <w:lang w:val="es-CO"/>
        </w:rPr>
        <w:t>La perspectiva de género en la investigación de lo sucedido a la presunta víctima imponía a</w:t>
      </w:r>
      <w:r w:rsidR="00F37B78">
        <w:rPr>
          <w:rFonts w:asciiTheme="majorHAnsi" w:hAnsiTheme="majorHAnsi"/>
          <w:sz w:val="20"/>
          <w:szCs w:val="20"/>
          <w:lang w:val="es-CO"/>
        </w:rPr>
        <w:t xml:space="preserve">l Ministerio Público la obligación de </w:t>
      </w:r>
      <w:r w:rsidR="00F37B78" w:rsidRPr="00F37B78">
        <w:rPr>
          <w:rFonts w:asciiTheme="majorHAnsi" w:hAnsiTheme="majorHAnsi"/>
          <w:sz w:val="20"/>
          <w:szCs w:val="20"/>
          <w:lang w:val="es-ES"/>
        </w:rPr>
        <w:t>esclare</w:t>
      </w:r>
      <w:r w:rsidR="00F37B78">
        <w:rPr>
          <w:rFonts w:asciiTheme="majorHAnsi" w:hAnsiTheme="majorHAnsi"/>
          <w:sz w:val="20"/>
          <w:szCs w:val="20"/>
          <w:lang w:val="es-ES"/>
        </w:rPr>
        <w:t>cer</w:t>
      </w:r>
      <w:r w:rsidR="00F37B78" w:rsidRPr="00F37B78">
        <w:rPr>
          <w:rFonts w:asciiTheme="majorHAnsi" w:hAnsiTheme="majorHAnsi"/>
          <w:sz w:val="20"/>
          <w:szCs w:val="20"/>
          <w:lang w:val="es-ES"/>
        </w:rPr>
        <w:t xml:space="preserve"> si el acto fue perpetrado por razón del géner</w:t>
      </w:r>
      <w:r w:rsidR="008D0D84">
        <w:rPr>
          <w:rFonts w:asciiTheme="majorHAnsi" w:hAnsiTheme="majorHAnsi"/>
          <w:sz w:val="20"/>
          <w:szCs w:val="20"/>
          <w:lang w:val="es-ES"/>
        </w:rPr>
        <w:t xml:space="preserve">o y </w:t>
      </w:r>
      <w:r w:rsidR="008D0D84" w:rsidRPr="008D0D84">
        <w:rPr>
          <w:rFonts w:asciiTheme="majorHAnsi" w:hAnsiTheme="majorHAnsi"/>
          <w:sz w:val="20"/>
          <w:szCs w:val="20"/>
          <w:lang w:val="es-ES"/>
        </w:rPr>
        <w:t>abarcar otras afectaciones específicas contra la integridad personal, tales como</w:t>
      </w:r>
      <w:r w:rsidR="008D0D84">
        <w:rPr>
          <w:rFonts w:asciiTheme="majorHAnsi" w:hAnsiTheme="majorHAnsi"/>
          <w:sz w:val="20"/>
          <w:szCs w:val="20"/>
          <w:lang w:val="es-ES"/>
        </w:rPr>
        <w:t xml:space="preserve"> </w:t>
      </w:r>
      <w:r w:rsidR="008D0D84" w:rsidRPr="008D0D84">
        <w:rPr>
          <w:rFonts w:asciiTheme="majorHAnsi" w:hAnsiTheme="majorHAnsi"/>
          <w:sz w:val="20"/>
          <w:szCs w:val="20"/>
          <w:lang w:val="es-ES"/>
        </w:rPr>
        <w:t>torturas y actos de violencia sexual</w:t>
      </w:r>
      <w:r w:rsidR="008D0D84">
        <w:rPr>
          <w:rFonts w:asciiTheme="majorHAnsi" w:hAnsiTheme="majorHAnsi"/>
          <w:sz w:val="20"/>
          <w:szCs w:val="20"/>
          <w:lang w:val="es-ES"/>
        </w:rPr>
        <w:t xml:space="preserve"> y posible móvil sexual</w:t>
      </w:r>
      <w:r w:rsidR="00F37B78" w:rsidRPr="00F37B78">
        <w:rPr>
          <w:rFonts w:asciiTheme="majorHAnsi" w:hAnsiTheme="majorHAnsi"/>
          <w:sz w:val="20"/>
          <w:szCs w:val="20"/>
          <w:vertAlign w:val="superscript"/>
          <w:lang w:val="es-ES"/>
        </w:rPr>
        <w:footnoteReference w:id="14"/>
      </w:r>
      <w:r w:rsidR="00176E86">
        <w:rPr>
          <w:rFonts w:asciiTheme="majorHAnsi" w:hAnsiTheme="majorHAnsi"/>
          <w:sz w:val="20"/>
          <w:szCs w:val="20"/>
          <w:lang w:val="es-CO"/>
        </w:rPr>
        <w:t xml:space="preserve">. </w:t>
      </w:r>
      <w:r w:rsidR="00E820A2">
        <w:rPr>
          <w:rFonts w:asciiTheme="majorHAnsi" w:hAnsiTheme="majorHAnsi"/>
          <w:sz w:val="20"/>
          <w:szCs w:val="20"/>
          <w:lang w:val="es-CO"/>
        </w:rPr>
        <w:t>La Comisión estima</w:t>
      </w:r>
      <w:r w:rsidR="00FB6353">
        <w:rPr>
          <w:rFonts w:asciiTheme="majorHAnsi" w:hAnsiTheme="majorHAnsi"/>
          <w:sz w:val="20"/>
          <w:szCs w:val="20"/>
          <w:lang w:val="es-CO"/>
        </w:rPr>
        <w:t>,</w:t>
      </w:r>
      <w:r w:rsidR="00E820A2">
        <w:rPr>
          <w:rFonts w:asciiTheme="majorHAnsi" w:hAnsiTheme="majorHAnsi"/>
          <w:sz w:val="20"/>
          <w:szCs w:val="20"/>
          <w:lang w:val="es-CO"/>
        </w:rPr>
        <w:t xml:space="preserve"> </w:t>
      </w:r>
      <w:r w:rsidR="00FB6353" w:rsidRPr="00FB6353">
        <w:rPr>
          <w:rFonts w:asciiTheme="majorHAnsi" w:hAnsiTheme="majorHAnsi"/>
          <w:i/>
          <w:iCs/>
          <w:sz w:val="20"/>
          <w:szCs w:val="20"/>
          <w:lang w:val="es-CO"/>
        </w:rPr>
        <w:t>prima facie</w:t>
      </w:r>
      <w:r w:rsidR="00FB6353">
        <w:rPr>
          <w:rFonts w:asciiTheme="majorHAnsi" w:hAnsiTheme="majorHAnsi"/>
          <w:sz w:val="20"/>
          <w:szCs w:val="20"/>
          <w:lang w:val="es-CO"/>
        </w:rPr>
        <w:t xml:space="preserve">, </w:t>
      </w:r>
      <w:r w:rsidR="00E820A2">
        <w:rPr>
          <w:rFonts w:asciiTheme="majorHAnsi" w:hAnsiTheme="majorHAnsi"/>
          <w:sz w:val="20"/>
          <w:szCs w:val="20"/>
          <w:lang w:val="es-CO"/>
        </w:rPr>
        <w:t>que e</w:t>
      </w:r>
      <w:r w:rsidR="00BF433B">
        <w:rPr>
          <w:rFonts w:asciiTheme="majorHAnsi" w:hAnsiTheme="majorHAnsi"/>
          <w:sz w:val="20"/>
          <w:szCs w:val="20"/>
          <w:lang w:val="es-CO"/>
        </w:rPr>
        <w:t xml:space="preserve">l </w:t>
      </w:r>
      <w:r w:rsidR="00FB6353">
        <w:rPr>
          <w:rFonts w:asciiTheme="majorHAnsi" w:hAnsiTheme="majorHAnsi"/>
          <w:sz w:val="20"/>
          <w:szCs w:val="20"/>
          <w:lang w:val="es-CO"/>
        </w:rPr>
        <w:t xml:space="preserve">alegado </w:t>
      </w:r>
      <w:r w:rsidR="00BF433B">
        <w:rPr>
          <w:rFonts w:asciiTheme="majorHAnsi" w:hAnsiTheme="majorHAnsi"/>
          <w:sz w:val="20"/>
          <w:szCs w:val="20"/>
          <w:lang w:val="es-CO"/>
        </w:rPr>
        <w:t xml:space="preserve">indebido manejo y tratamiento del cadáver, y a la falta de estudios de violencia sexual y determinación de la causa de la muerte </w:t>
      </w:r>
      <w:r w:rsidR="00FB6353">
        <w:rPr>
          <w:rFonts w:asciiTheme="majorHAnsi" w:hAnsiTheme="majorHAnsi"/>
          <w:sz w:val="20"/>
          <w:szCs w:val="20"/>
          <w:lang w:val="es-CO"/>
        </w:rPr>
        <w:t>de la presunta víctima podrían evidenciar la</w:t>
      </w:r>
      <w:r w:rsidR="00BF433B">
        <w:rPr>
          <w:rFonts w:asciiTheme="majorHAnsi" w:hAnsiTheme="majorHAnsi"/>
          <w:sz w:val="20"/>
          <w:szCs w:val="20"/>
          <w:lang w:val="es-CO"/>
        </w:rPr>
        <w:t xml:space="preserve"> inobservancia de la debida diligencia en la investigación penal y la falta de perspectiva de género en el esclarecimiento de los hechos. </w:t>
      </w:r>
    </w:p>
    <w:p w14:paraId="5910655D" w14:textId="00E2ECCE" w:rsidR="001F34D7" w:rsidRDefault="002E5569" w:rsidP="002E55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
        </w:rPr>
        <w:t>2</w:t>
      </w:r>
      <w:r w:rsidR="00EB17F3">
        <w:rPr>
          <w:rFonts w:asciiTheme="majorHAnsi" w:hAnsiTheme="majorHAnsi"/>
          <w:sz w:val="20"/>
          <w:szCs w:val="20"/>
          <w:lang w:val="es-ES"/>
        </w:rPr>
        <w:t>3</w:t>
      </w:r>
      <w:r>
        <w:rPr>
          <w:rFonts w:asciiTheme="majorHAnsi" w:hAnsiTheme="majorHAnsi"/>
          <w:sz w:val="20"/>
          <w:szCs w:val="20"/>
          <w:lang w:val="es-ES"/>
        </w:rPr>
        <w:t>.</w:t>
      </w:r>
      <w:r>
        <w:rPr>
          <w:rFonts w:asciiTheme="majorHAnsi" w:hAnsiTheme="majorHAnsi"/>
          <w:sz w:val="20"/>
          <w:szCs w:val="20"/>
          <w:lang w:val="es-ES"/>
        </w:rPr>
        <w:tab/>
      </w:r>
      <w:r w:rsidR="0020703D">
        <w:rPr>
          <w:rFonts w:asciiTheme="majorHAnsi" w:hAnsiTheme="majorHAnsi"/>
          <w:sz w:val="20"/>
          <w:szCs w:val="20"/>
          <w:lang w:val="es-CO"/>
        </w:rPr>
        <w:t xml:space="preserve">Por otro lado, la parte peticionaria </w:t>
      </w:r>
      <w:r w:rsidR="00FB6353">
        <w:rPr>
          <w:rFonts w:asciiTheme="majorHAnsi" w:hAnsiTheme="majorHAnsi"/>
          <w:sz w:val="20"/>
          <w:szCs w:val="20"/>
          <w:lang w:val="es-CO"/>
        </w:rPr>
        <w:t>también alega</w:t>
      </w:r>
      <w:r w:rsidR="0020703D">
        <w:rPr>
          <w:rFonts w:asciiTheme="majorHAnsi" w:hAnsiTheme="majorHAnsi"/>
          <w:sz w:val="20"/>
          <w:szCs w:val="20"/>
          <w:lang w:val="es-CO"/>
        </w:rPr>
        <w:t xml:space="preserve"> que la reparación administrativa no fue integral y desconoció </w:t>
      </w:r>
      <w:r w:rsidR="00FD5115">
        <w:rPr>
          <w:rFonts w:asciiTheme="majorHAnsi" w:hAnsiTheme="majorHAnsi"/>
          <w:sz w:val="20"/>
          <w:szCs w:val="20"/>
          <w:lang w:val="es-CO"/>
        </w:rPr>
        <w:t xml:space="preserve">la reparación </w:t>
      </w:r>
      <w:r w:rsidR="0020703D">
        <w:rPr>
          <w:rFonts w:asciiTheme="majorHAnsi" w:hAnsiTheme="majorHAnsi"/>
          <w:sz w:val="20"/>
          <w:szCs w:val="20"/>
          <w:lang w:val="es-CO"/>
        </w:rPr>
        <w:t xml:space="preserve">a la joven </w:t>
      </w:r>
      <w:proofErr w:type="spellStart"/>
      <w:r w:rsidR="0020703D">
        <w:rPr>
          <w:rFonts w:asciiTheme="majorHAnsi" w:hAnsiTheme="majorHAnsi"/>
          <w:sz w:val="20"/>
          <w:szCs w:val="20"/>
          <w:lang w:val="es-CO"/>
        </w:rPr>
        <w:t>Mávil</w:t>
      </w:r>
      <w:proofErr w:type="spellEnd"/>
      <w:r w:rsidR="0020703D">
        <w:rPr>
          <w:rFonts w:asciiTheme="majorHAnsi" w:hAnsiTheme="majorHAnsi"/>
          <w:sz w:val="20"/>
          <w:szCs w:val="20"/>
          <w:lang w:val="es-CO"/>
        </w:rPr>
        <w:t xml:space="preserve"> Hernández como víctima directa</w:t>
      </w:r>
      <w:r w:rsidR="00FD5115">
        <w:rPr>
          <w:rFonts w:asciiTheme="majorHAnsi" w:hAnsiTheme="majorHAnsi"/>
          <w:sz w:val="20"/>
          <w:szCs w:val="20"/>
          <w:lang w:val="es-CO"/>
        </w:rPr>
        <w:t xml:space="preserve">. Sostiene que la reparación desconoció las pruebas aportadas por la familia como la renuncia del trabajo del señor Pedro </w:t>
      </w:r>
      <w:proofErr w:type="spellStart"/>
      <w:r w:rsidR="00FD5115">
        <w:rPr>
          <w:rFonts w:asciiTheme="majorHAnsi" w:hAnsiTheme="majorHAnsi"/>
          <w:sz w:val="20"/>
          <w:szCs w:val="20"/>
          <w:lang w:val="es-CO"/>
        </w:rPr>
        <w:t>Mávil</w:t>
      </w:r>
      <w:proofErr w:type="spellEnd"/>
      <w:r w:rsidR="00FD5115">
        <w:rPr>
          <w:rFonts w:asciiTheme="majorHAnsi" w:hAnsiTheme="majorHAnsi"/>
          <w:sz w:val="20"/>
          <w:szCs w:val="20"/>
          <w:lang w:val="es-CO"/>
        </w:rPr>
        <w:t xml:space="preserve"> y se limitó a realizar una tasación en equidad contrario a lo probado.</w:t>
      </w:r>
    </w:p>
    <w:p w14:paraId="4DAE1514" w14:textId="0A2FE48A" w:rsidR="002E5569" w:rsidRPr="002E5569" w:rsidRDefault="002E5569" w:rsidP="002E55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CO"/>
        </w:rPr>
        <w:tab/>
        <w:t>2</w:t>
      </w:r>
      <w:r w:rsidR="00EB17F3">
        <w:rPr>
          <w:rFonts w:asciiTheme="majorHAnsi" w:hAnsiTheme="majorHAnsi"/>
          <w:sz w:val="20"/>
          <w:szCs w:val="20"/>
          <w:lang w:val="es-CO"/>
        </w:rPr>
        <w:t>4</w:t>
      </w:r>
      <w:r>
        <w:rPr>
          <w:rFonts w:asciiTheme="majorHAnsi" w:hAnsiTheme="majorHAnsi"/>
          <w:sz w:val="20"/>
          <w:szCs w:val="20"/>
          <w:lang w:val="es-CO"/>
        </w:rPr>
        <w:t>.</w:t>
      </w:r>
      <w:r>
        <w:rPr>
          <w:rFonts w:asciiTheme="majorHAnsi" w:hAnsiTheme="majorHAnsi"/>
          <w:sz w:val="20"/>
          <w:szCs w:val="20"/>
          <w:lang w:val="es-CO"/>
        </w:rPr>
        <w:tab/>
        <w:t xml:space="preserve">Asimismo, </w:t>
      </w:r>
      <w:r w:rsidR="00136DB9">
        <w:rPr>
          <w:rFonts w:asciiTheme="majorHAnsi" w:hAnsiTheme="majorHAnsi"/>
          <w:sz w:val="20"/>
          <w:szCs w:val="20"/>
          <w:lang w:val="es-CO"/>
        </w:rPr>
        <w:t xml:space="preserve">la CIDH </w:t>
      </w:r>
      <w:r w:rsidR="009E4AA0">
        <w:rPr>
          <w:rFonts w:asciiTheme="majorHAnsi" w:hAnsiTheme="majorHAnsi"/>
          <w:sz w:val="20"/>
          <w:szCs w:val="20"/>
          <w:lang w:val="es-CO"/>
        </w:rPr>
        <w:t xml:space="preserve">reconoce </w:t>
      </w:r>
      <w:r w:rsidR="00136DB9">
        <w:rPr>
          <w:rFonts w:asciiTheme="majorHAnsi" w:hAnsiTheme="majorHAnsi"/>
          <w:sz w:val="20"/>
          <w:szCs w:val="20"/>
          <w:lang w:val="es-CO"/>
        </w:rPr>
        <w:t xml:space="preserve">la </w:t>
      </w:r>
      <w:r w:rsidR="00136DB9">
        <w:rPr>
          <w:rFonts w:asciiTheme="majorHAnsi" w:hAnsiTheme="majorHAnsi"/>
          <w:sz w:val="20"/>
          <w:szCs w:val="20"/>
          <w:lang w:val="es-ES"/>
        </w:rPr>
        <w:t xml:space="preserve">la gestión investigativa emprendida por el señor Pedro </w:t>
      </w:r>
      <w:proofErr w:type="spellStart"/>
      <w:r w:rsidR="00136DB9">
        <w:rPr>
          <w:rFonts w:asciiTheme="majorHAnsi" w:hAnsiTheme="majorHAnsi"/>
          <w:sz w:val="20"/>
          <w:szCs w:val="20"/>
          <w:lang w:val="es-ES"/>
        </w:rPr>
        <w:t>Mávil</w:t>
      </w:r>
      <w:proofErr w:type="spellEnd"/>
      <w:r w:rsidR="00136DB9">
        <w:rPr>
          <w:rFonts w:asciiTheme="majorHAnsi" w:hAnsiTheme="majorHAnsi"/>
          <w:sz w:val="20"/>
          <w:szCs w:val="20"/>
          <w:lang w:val="es-ES"/>
        </w:rPr>
        <w:t xml:space="preserve"> y su familia a fin de dar con el paradero de Gemma </w:t>
      </w:r>
      <w:proofErr w:type="spellStart"/>
      <w:r w:rsidR="00136DB9">
        <w:rPr>
          <w:rFonts w:asciiTheme="majorHAnsi" w:hAnsiTheme="majorHAnsi"/>
          <w:sz w:val="20"/>
          <w:szCs w:val="20"/>
          <w:lang w:val="es-ES"/>
        </w:rPr>
        <w:t>Mávil</w:t>
      </w:r>
      <w:proofErr w:type="spellEnd"/>
      <w:r w:rsidR="00136DB9">
        <w:rPr>
          <w:rFonts w:asciiTheme="majorHAnsi" w:hAnsiTheme="majorHAnsi"/>
          <w:sz w:val="20"/>
          <w:szCs w:val="20"/>
          <w:lang w:val="es-ES"/>
        </w:rPr>
        <w:t xml:space="preserve"> Hernández, para lo cual, el señor </w:t>
      </w:r>
      <w:proofErr w:type="spellStart"/>
      <w:r w:rsidR="00136DB9">
        <w:rPr>
          <w:rFonts w:asciiTheme="majorHAnsi" w:hAnsiTheme="majorHAnsi"/>
          <w:sz w:val="20"/>
          <w:szCs w:val="20"/>
          <w:lang w:val="es-ES"/>
        </w:rPr>
        <w:t>Mávil</w:t>
      </w:r>
      <w:proofErr w:type="spellEnd"/>
      <w:r w:rsidR="00136DB9">
        <w:rPr>
          <w:rFonts w:asciiTheme="majorHAnsi" w:hAnsiTheme="majorHAnsi"/>
          <w:sz w:val="20"/>
          <w:szCs w:val="20"/>
          <w:lang w:val="es-ES"/>
        </w:rPr>
        <w:t xml:space="preserve"> incluso habría renunciado a su trabajo. Por ello, </w:t>
      </w:r>
      <w:r>
        <w:rPr>
          <w:rFonts w:asciiTheme="majorHAnsi" w:hAnsiTheme="majorHAnsi"/>
          <w:sz w:val="20"/>
          <w:szCs w:val="20"/>
          <w:lang w:val="es-CO"/>
        </w:rPr>
        <w:t>la C</w:t>
      </w:r>
      <w:r w:rsidR="00136DB9">
        <w:rPr>
          <w:rFonts w:asciiTheme="majorHAnsi" w:hAnsiTheme="majorHAnsi"/>
          <w:sz w:val="20"/>
          <w:szCs w:val="20"/>
          <w:lang w:val="es-CO"/>
        </w:rPr>
        <w:t>omisión</w:t>
      </w:r>
      <w:r>
        <w:rPr>
          <w:rFonts w:asciiTheme="majorHAnsi" w:hAnsiTheme="majorHAnsi"/>
          <w:sz w:val="20"/>
          <w:szCs w:val="20"/>
          <w:lang w:val="es-CO"/>
        </w:rPr>
        <w:t xml:space="preserve"> considera, </w:t>
      </w:r>
      <w:r w:rsidRPr="002E5569">
        <w:rPr>
          <w:rFonts w:asciiTheme="majorHAnsi" w:hAnsiTheme="majorHAnsi"/>
          <w:i/>
          <w:iCs/>
          <w:sz w:val="20"/>
          <w:szCs w:val="20"/>
          <w:lang w:val="es-CO"/>
        </w:rPr>
        <w:t>prima facie</w:t>
      </w:r>
      <w:r>
        <w:rPr>
          <w:rFonts w:asciiTheme="majorHAnsi" w:hAnsiTheme="majorHAnsi"/>
          <w:sz w:val="20"/>
          <w:szCs w:val="20"/>
          <w:lang w:val="es-CO"/>
        </w:rPr>
        <w:t>,</w:t>
      </w:r>
      <w:r w:rsidRPr="002E5569">
        <w:rPr>
          <w:rFonts w:asciiTheme="majorHAnsi" w:hAnsiTheme="majorHAnsi"/>
          <w:i/>
          <w:iCs/>
          <w:sz w:val="20"/>
          <w:szCs w:val="20"/>
          <w:lang w:val="es-CO"/>
        </w:rPr>
        <w:t xml:space="preserve"> </w:t>
      </w:r>
      <w:r>
        <w:rPr>
          <w:rFonts w:asciiTheme="majorHAnsi" w:hAnsiTheme="majorHAnsi"/>
          <w:sz w:val="20"/>
          <w:szCs w:val="20"/>
          <w:lang w:val="es-CO"/>
        </w:rPr>
        <w:t>que en el presente caso también se podría configurar una violación al derecho a la</w:t>
      </w:r>
      <w:r w:rsidR="00244A1F">
        <w:rPr>
          <w:rFonts w:asciiTheme="majorHAnsi" w:hAnsiTheme="majorHAnsi"/>
          <w:sz w:val="20"/>
          <w:szCs w:val="20"/>
          <w:lang w:val="es-CO"/>
        </w:rPr>
        <w:t xml:space="preserve"> integridad personal de los familiares y a la</w:t>
      </w:r>
      <w:r>
        <w:rPr>
          <w:rFonts w:asciiTheme="majorHAnsi" w:hAnsiTheme="majorHAnsi"/>
          <w:sz w:val="20"/>
          <w:szCs w:val="20"/>
          <w:lang w:val="es-CO"/>
        </w:rPr>
        <w:t xml:space="preserve"> protección de la familia de las presuntas víctimas, pues las alegadas omisiones del Estado en la prevención y debida investigación de los </w:t>
      </w:r>
      <w:r w:rsidR="00FD5115">
        <w:rPr>
          <w:rFonts w:asciiTheme="majorHAnsi" w:hAnsiTheme="majorHAnsi"/>
          <w:sz w:val="20"/>
          <w:szCs w:val="20"/>
          <w:lang w:val="es-CO"/>
        </w:rPr>
        <w:t>hechos</w:t>
      </w:r>
      <w:r>
        <w:rPr>
          <w:rFonts w:asciiTheme="majorHAnsi" w:hAnsiTheme="majorHAnsi"/>
          <w:sz w:val="20"/>
          <w:szCs w:val="20"/>
          <w:lang w:val="es-CO"/>
        </w:rPr>
        <w:t xml:space="preserve"> guardan una relación </w:t>
      </w:r>
      <w:r>
        <w:rPr>
          <w:rFonts w:asciiTheme="majorHAnsi" w:hAnsiTheme="majorHAnsi"/>
          <w:sz w:val="20"/>
          <w:szCs w:val="20"/>
          <w:lang w:val="es-US"/>
        </w:rPr>
        <w:t xml:space="preserve">causal con el efecto que tuvo en su núcleo familiar y en las dinámicas propias de las sus vidas, que se vieron conculcadas por la desaparición de la presunta víctima. </w:t>
      </w:r>
    </w:p>
    <w:p w14:paraId="3B69677B" w14:textId="7B852E8A" w:rsidR="001A520D" w:rsidRPr="00674ED3" w:rsidRDefault="00B334E6" w:rsidP="00674E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Theme="majorHAnsi" w:hAnsiTheme="majorHAnsi"/>
          <w:sz w:val="20"/>
          <w:szCs w:val="20"/>
          <w:lang w:val="es-CO"/>
        </w:rPr>
        <w:t>2</w:t>
      </w:r>
      <w:r w:rsidR="00EB17F3">
        <w:rPr>
          <w:rFonts w:asciiTheme="majorHAnsi" w:hAnsiTheme="majorHAnsi"/>
          <w:sz w:val="20"/>
          <w:szCs w:val="20"/>
          <w:lang w:val="es-CO"/>
        </w:rPr>
        <w:t>5</w:t>
      </w:r>
      <w:r w:rsidR="00536722">
        <w:rPr>
          <w:rFonts w:asciiTheme="majorHAnsi" w:hAnsiTheme="majorHAnsi"/>
          <w:sz w:val="20"/>
          <w:szCs w:val="20"/>
          <w:lang w:val="es-CO"/>
        </w:rPr>
        <w:t>.</w:t>
      </w:r>
      <w:r w:rsidR="00536722">
        <w:rPr>
          <w:rFonts w:asciiTheme="majorHAnsi" w:hAnsiTheme="majorHAnsi"/>
          <w:sz w:val="20"/>
          <w:szCs w:val="20"/>
          <w:lang w:val="es-CO"/>
        </w:rPr>
        <w:tab/>
      </w:r>
      <w:r w:rsidR="002E2403">
        <w:rPr>
          <w:rFonts w:asciiTheme="majorHAnsi" w:hAnsiTheme="majorHAnsi"/>
          <w:sz w:val="20"/>
          <w:szCs w:val="20"/>
          <w:lang w:val="es-CO"/>
        </w:rPr>
        <w:t xml:space="preserve"> </w:t>
      </w:r>
      <w:r w:rsidR="008C5E2D" w:rsidRPr="00674ED3">
        <w:rPr>
          <w:rFonts w:ascii="Cambria" w:hAnsi="Cambria"/>
          <w:sz w:val="20"/>
          <w:szCs w:val="20"/>
          <w:lang w:val="es-ES"/>
        </w:rPr>
        <w:t>En aten</w:t>
      </w:r>
      <w:r w:rsidR="00C25ADB" w:rsidRPr="00674ED3">
        <w:rPr>
          <w:rFonts w:ascii="Cambria" w:hAnsi="Cambria"/>
          <w:sz w:val="20"/>
          <w:szCs w:val="20"/>
          <w:lang w:val="es-ES"/>
        </w:rPr>
        <w:t xml:space="preserve">ción a estas consideraciones y </w:t>
      </w:r>
      <w:r w:rsidR="008C5E2D" w:rsidRPr="00674ED3">
        <w:rPr>
          <w:rFonts w:ascii="Cambria" w:hAnsi="Cambria"/>
          <w:sz w:val="20"/>
          <w:szCs w:val="20"/>
          <w:lang w:val="es-ES"/>
        </w:rPr>
        <w:t>tras examinar los elementos de hecho y de derecho expuestos por las partes</w:t>
      </w:r>
      <w:r w:rsidR="006D4028">
        <w:rPr>
          <w:rFonts w:ascii="Cambria" w:hAnsi="Cambria"/>
          <w:sz w:val="20"/>
          <w:szCs w:val="20"/>
          <w:lang w:val="es-ES"/>
        </w:rPr>
        <w:t>,</w:t>
      </w:r>
      <w:r w:rsidR="008C5E2D" w:rsidRPr="00674ED3">
        <w:rPr>
          <w:rFonts w:ascii="Cambria" w:hAnsi="Cambria"/>
          <w:sz w:val="20"/>
          <w:szCs w:val="20"/>
          <w:lang w:val="es-ES"/>
        </w:rPr>
        <w:t xml:space="preserve"> la Comisión estima que las alegaciones de la parte peticionaria no resultan manifiestamente infundadas y requieren un estudio de fondo</w:t>
      </w:r>
      <w:r w:rsidR="00FB6353">
        <w:rPr>
          <w:rFonts w:ascii="Cambria" w:hAnsi="Cambria"/>
          <w:sz w:val="20"/>
          <w:szCs w:val="20"/>
          <w:lang w:val="es-ES"/>
        </w:rPr>
        <w:t>,</w:t>
      </w:r>
      <w:r w:rsidR="008C5E2D" w:rsidRPr="00674ED3">
        <w:rPr>
          <w:rFonts w:ascii="Cambria" w:hAnsi="Cambria"/>
          <w:sz w:val="20"/>
          <w:szCs w:val="20"/>
          <w:lang w:val="es-ES"/>
        </w:rPr>
        <w:t xml:space="preserve"> pues los hechos alegados, de corroborarse como ciertos podrían </w:t>
      </w:r>
      <w:r w:rsidR="00FB6353">
        <w:rPr>
          <w:rFonts w:ascii="Cambria" w:hAnsi="Cambria"/>
          <w:sz w:val="20"/>
          <w:szCs w:val="20"/>
          <w:lang w:val="es-ES"/>
        </w:rPr>
        <w:t>constituir</w:t>
      </w:r>
      <w:r w:rsidR="004B421C" w:rsidRPr="00674ED3">
        <w:rPr>
          <w:rFonts w:ascii="Cambria" w:hAnsi="Cambria"/>
          <w:sz w:val="20"/>
          <w:szCs w:val="20"/>
          <w:lang w:val="es-ES"/>
        </w:rPr>
        <w:t xml:space="preserve"> violaciones a los </w:t>
      </w:r>
      <w:r w:rsidR="00FB6353">
        <w:rPr>
          <w:rFonts w:ascii="Cambria" w:hAnsi="Cambria"/>
          <w:sz w:val="20"/>
          <w:szCs w:val="20"/>
          <w:lang w:val="es-ES"/>
        </w:rPr>
        <w:t xml:space="preserve">derechos establecidos en los </w:t>
      </w:r>
      <w:r w:rsidR="004B421C" w:rsidRPr="00674ED3">
        <w:rPr>
          <w:rFonts w:ascii="Cambria" w:hAnsi="Cambria"/>
          <w:sz w:val="20"/>
          <w:szCs w:val="20"/>
          <w:lang w:val="es-ES"/>
        </w:rPr>
        <w:t xml:space="preserve">artículos </w:t>
      </w:r>
      <w:r w:rsidR="00742F97" w:rsidRPr="00742F97">
        <w:rPr>
          <w:rFonts w:ascii="Cambria" w:hAnsi="Cambria"/>
          <w:sz w:val="20"/>
          <w:szCs w:val="20"/>
          <w:lang w:val="es-ES"/>
        </w:rPr>
        <w:t>4 (vida), 5 (integridad personal), 7 (libertad personal), 8 (garantías judiciales), 17 (protección a la familia), 24 (igualdad ante la ley) y 25 (protección judicial) de la Convención Americana</w:t>
      </w:r>
      <w:r w:rsidR="00FB6353">
        <w:rPr>
          <w:rFonts w:ascii="Cambria" w:hAnsi="Cambria"/>
          <w:sz w:val="20"/>
          <w:szCs w:val="20"/>
          <w:lang w:val="es-ES"/>
        </w:rPr>
        <w:t xml:space="preserve">, </w:t>
      </w:r>
      <w:r w:rsidR="00742F97" w:rsidRPr="00742F97">
        <w:rPr>
          <w:rFonts w:ascii="Cambria" w:hAnsi="Cambria"/>
          <w:sz w:val="20"/>
          <w:szCs w:val="20"/>
          <w:lang w:val="es-ES"/>
        </w:rPr>
        <w:t xml:space="preserve">en relación con </w:t>
      </w:r>
      <w:r w:rsidR="00FB6353">
        <w:rPr>
          <w:rFonts w:ascii="Cambria" w:hAnsi="Cambria"/>
          <w:sz w:val="20"/>
          <w:szCs w:val="20"/>
          <w:lang w:val="es-ES"/>
        </w:rPr>
        <w:t>su</w:t>
      </w:r>
      <w:r w:rsidR="00742F97" w:rsidRPr="00742F97">
        <w:rPr>
          <w:rFonts w:ascii="Cambria" w:hAnsi="Cambria"/>
          <w:sz w:val="20"/>
          <w:szCs w:val="20"/>
          <w:lang w:val="es-ES"/>
        </w:rPr>
        <w:t xml:space="preserve"> artículo 1.1</w:t>
      </w:r>
      <w:r w:rsidR="00FB6353">
        <w:rPr>
          <w:rFonts w:ascii="Cambria" w:hAnsi="Cambria"/>
          <w:sz w:val="20"/>
          <w:szCs w:val="20"/>
          <w:lang w:val="es-ES"/>
        </w:rPr>
        <w:t xml:space="preserve"> </w:t>
      </w:r>
      <w:r w:rsidR="00742F97" w:rsidRPr="00742F97">
        <w:rPr>
          <w:rFonts w:ascii="Cambria" w:hAnsi="Cambria"/>
          <w:sz w:val="20"/>
          <w:szCs w:val="20"/>
          <w:lang w:val="es-ES"/>
        </w:rPr>
        <w:t>(obligación de respetar los derechos)</w:t>
      </w:r>
      <w:r w:rsidR="00FB6353">
        <w:rPr>
          <w:rFonts w:ascii="Cambria" w:hAnsi="Cambria"/>
          <w:sz w:val="20"/>
          <w:szCs w:val="20"/>
          <w:lang w:val="es-ES"/>
        </w:rPr>
        <w:t>;</w:t>
      </w:r>
      <w:r w:rsidR="00742F97" w:rsidRPr="00742F97">
        <w:rPr>
          <w:rFonts w:ascii="Cambria" w:hAnsi="Cambria"/>
          <w:sz w:val="20"/>
          <w:szCs w:val="20"/>
          <w:lang w:val="es-ES"/>
        </w:rPr>
        <w:t xml:space="preserve"> </w:t>
      </w:r>
      <w:r w:rsidR="00742F97">
        <w:rPr>
          <w:rFonts w:ascii="Cambria" w:hAnsi="Cambria"/>
          <w:sz w:val="20"/>
          <w:szCs w:val="20"/>
          <w:lang w:val="es-ES"/>
        </w:rPr>
        <w:t>y del</w:t>
      </w:r>
      <w:r w:rsidR="00742F97" w:rsidRPr="00742F97">
        <w:rPr>
          <w:rFonts w:ascii="Cambria" w:hAnsi="Cambria"/>
          <w:sz w:val="20"/>
          <w:szCs w:val="20"/>
          <w:lang w:val="es-ES"/>
        </w:rPr>
        <w:t xml:space="preserve"> artículo 7 de la Convención </w:t>
      </w:r>
      <w:r w:rsidR="007204F0">
        <w:rPr>
          <w:rFonts w:ascii="Cambria" w:hAnsi="Cambria"/>
          <w:sz w:val="20"/>
          <w:szCs w:val="20"/>
          <w:lang w:val="es-ES"/>
        </w:rPr>
        <w:t>de Belé</w:t>
      </w:r>
      <w:r w:rsidR="00583E32">
        <w:rPr>
          <w:rFonts w:ascii="Cambria" w:hAnsi="Cambria"/>
          <w:sz w:val="20"/>
          <w:szCs w:val="20"/>
          <w:lang w:val="es-ES"/>
        </w:rPr>
        <w:t>m</w:t>
      </w:r>
      <w:r w:rsidR="007204F0">
        <w:rPr>
          <w:rFonts w:ascii="Cambria" w:hAnsi="Cambria"/>
          <w:sz w:val="20"/>
          <w:szCs w:val="20"/>
          <w:lang w:val="es-ES"/>
        </w:rPr>
        <w:t xml:space="preserve"> do Pará</w:t>
      </w:r>
      <w:r w:rsidR="00FB6353">
        <w:rPr>
          <w:rFonts w:ascii="Cambria" w:hAnsi="Cambria"/>
          <w:sz w:val="20"/>
          <w:szCs w:val="20"/>
          <w:lang w:val="es-ES"/>
        </w:rPr>
        <w:t>, en perjuicio de las presuntas víctimas en los términos del presente informe</w:t>
      </w:r>
      <w:r w:rsidR="00742F97">
        <w:rPr>
          <w:rFonts w:ascii="Cambria" w:hAnsi="Cambria"/>
          <w:sz w:val="20"/>
          <w:szCs w:val="20"/>
          <w:lang w:val="es-ES"/>
        </w:rPr>
        <w:t>.</w:t>
      </w:r>
    </w:p>
    <w:p w14:paraId="293091FE"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75D8F3F" w14:textId="4E491A02"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2C624C" w:rsidRPr="00674ED3">
        <w:rPr>
          <w:rFonts w:ascii="Cambria" w:hAnsi="Cambria"/>
          <w:sz w:val="20"/>
          <w:szCs w:val="20"/>
          <w:lang w:val="es-ES"/>
        </w:rPr>
        <w:t xml:space="preserve">los artículos </w:t>
      </w:r>
      <w:r w:rsidR="00FB6353">
        <w:rPr>
          <w:rFonts w:ascii="Cambria" w:hAnsi="Cambria"/>
          <w:sz w:val="20"/>
          <w:szCs w:val="20"/>
          <w:lang w:val="es-ES"/>
        </w:rPr>
        <w:t xml:space="preserve">4, 5, 7, 8, 17, 24 y 25 </w:t>
      </w:r>
      <w:r w:rsidR="002C624C" w:rsidRPr="00742F97">
        <w:rPr>
          <w:rFonts w:ascii="Cambria" w:hAnsi="Cambria"/>
          <w:sz w:val="20"/>
          <w:szCs w:val="20"/>
          <w:lang w:val="es-ES"/>
        </w:rPr>
        <w:t>de la Convención Americana</w:t>
      </w:r>
      <w:r w:rsidR="00FB6353">
        <w:rPr>
          <w:rFonts w:ascii="Cambria" w:hAnsi="Cambria"/>
          <w:sz w:val="20"/>
          <w:szCs w:val="20"/>
          <w:lang w:val="es-ES"/>
        </w:rPr>
        <w:t>,</w:t>
      </w:r>
      <w:r w:rsidR="002C624C" w:rsidRPr="00742F97">
        <w:rPr>
          <w:rFonts w:ascii="Cambria" w:hAnsi="Cambria"/>
          <w:sz w:val="20"/>
          <w:szCs w:val="20"/>
          <w:lang w:val="es-ES"/>
        </w:rPr>
        <w:t xml:space="preserve"> en </w:t>
      </w:r>
      <w:r w:rsidR="00611207">
        <w:rPr>
          <w:rFonts w:ascii="Cambria" w:hAnsi="Cambria"/>
          <w:sz w:val="20"/>
          <w:szCs w:val="20"/>
          <w:lang w:val="es-ES"/>
        </w:rPr>
        <w:t>concordancia</w:t>
      </w:r>
      <w:r w:rsidR="002C624C" w:rsidRPr="00742F97">
        <w:rPr>
          <w:rFonts w:ascii="Cambria" w:hAnsi="Cambria"/>
          <w:sz w:val="20"/>
          <w:szCs w:val="20"/>
          <w:lang w:val="es-ES"/>
        </w:rPr>
        <w:t xml:space="preserve"> con </w:t>
      </w:r>
      <w:r w:rsidR="00FB6353">
        <w:rPr>
          <w:rFonts w:ascii="Cambria" w:hAnsi="Cambria"/>
          <w:sz w:val="20"/>
          <w:szCs w:val="20"/>
          <w:lang w:val="es-ES"/>
        </w:rPr>
        <w:t>su</w:t>
      </w:r>
      <w:r w:rsidR="002C624C" w:rsidRPr="00742F97">
        <w:rPr>
          <w:rFonts w:ascii="Cambria" w:hAnsi="Cambria"/>
          <w:sz w:val="20"/>
          <w:szCs w:val="20"/>
          <w:lang w:val="es-ES"/>
        </w:rPr>
        <w:t xml:space="preserve"> artículo 1.1</w:t>
      </w:r>
      <w:r w:rsidR="00FB6353">
        <w:rPr>
          <w:rFonts w:ascii="Cambria" w:hAnsi="Cambria"/>
          <w:sz w:val="20"/>
          <w:szCs w:val="20"/>
          <w:lang w:val="es-ES"/>
        </w:rPr>
        <w:t>;</w:t>
      </w:r>
      <w:r w:rsidR="002C624C" w:rsidRPr="00742F97">
        <w:rPr>
          <w:rFonts w:ascii="Cambria" w:hAnsi="Cambria"/>
          <w:sz w:val="20"/>
          <w:szCs w:val="20"/>
          <w:lang w:val="es-ES"/>
        </w:rPr>
        <w:t xml:space="preserve"> </w:t>
      </w:r>
      <w:r w:rsidR="002C624C">
        <w:rPr>
          <w:rFonts w:ascii="Cambria" w:hAnsi="Cambria"/>
          <w:sz w:val="20"/>
          <w:szCs w:val="20"/>
          <w:lang w:val="es-ES"/>
        </w:rPr>
        <w:t>y el</w:t>
      </w:r>
      <w:r w:rsidR="002C624C" w:rsidRPr="00742F97">
        <w:rPr>
          <w:rFonts w:ascii="Cambria" w:hAnsi="Cambria"/>
          <w:sz w:val="20"/>
          <w:szCs w:val="20"/>
          <w:lang w:val="es-ES"/>
        </w:rPr>
        <w:t xml:space="preserve"> artículo 7 de la Convención </w:t>
      </w:r>
      <w:r w:rsidR="002C624C">
        <w:rPr>
          <w:rFonts w:ascii="Cambria" w:hAnsi="Cambria"/>
          <w:sz w:val="20"/>
          <w:szCs w:val="20"/>
          <w:lang w:val="es-ES"/>
        </w:rPr>
        <w:t>de Belém do Pará</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7DB102A0" w14:textId="379E8255"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w:t>
      </w:r>
      <w:r w:rsidR="00CA028F" w:rsidRPr="00CA028F">
        <w:rPr>
          <w:rFonts w:asciiTheme="majorHAnsi" w:hAnsiTheme="majorHAnsi"/>
          <w:sz w:val="20"/>
          <w:szCs w:val="20"/>
          <w:lang w:val="es-ES"/>
        </w:rPr>
        <w:t>; continuar con el aná</w:t>
      </w:r>
      <w:r w:rsidR="00CA028F">
        <w:rPr>
          <w:rFonts w:asciiTheme="majorHAnsi" w:hAnsiTheme="majorHAnsi"/>
          <w:sz w:val="20"/>
          <w:szCs w:val="20"/>
          <w:lang w:val="es-ES"/>
        </w:rPr>
        <w:t>lisis del fondo de la cuestión;</w:t>
      </w:r>
      <w:r w:rsidRPr="009B7794">
        <w:rPr>
          <w:rFonts w:asciiTheme="majorHAnsi" w:hAnsiTheme="majorHAnsi"/>
          <w:sz w:val="20"/>
          <w:szCs w:val="20"/>
          <w:lang w:val="es-ES"/>
        </w:rPr>
        <w:t xml:space="preserve"> y publicar esta decisión e incluirla en su Informe Anual a la Asamblea General de la Organización de los Estados Americanos.</w:t>
      </w:r>
    </w:p>
    <w:p w14:paraId="07F3D082" w14:textId="21D0A547" w:rsidR="004331F2" w:rsidRPr="00A37B82" w:rsidRDefault="004331F2" w:rsidP="004331F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F92C4EC" w14:textId="77777777" w:rsidR="004331F2" w:rsidRPr="00A37B82" w:rsidRDefault="004331F2" w:rsidP="004331F2">
      <w:pPr>
        <w:suppressAutoHyphens/>
        <w:ind w:firstLine="720"/>
        <w:jc w:val="both"/>
        <w:rPr>
          <w:rFonts w:asciiTheme="majorHAnsi" w:hAnsiTheme="majorHAnsi" w:cs="Arial"/>
          <w:noProof/>
          <w:spacing w:val="-2"/>
          <w:sz w:val="20"/>
          <w:szCs w:val="20"/>
          <w:lang w:val="es-CL"/>
        </w:rPr>
      </w:pPr>
    </w:p>
    <w:sectPr w:rsidR="004331F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D1A9" w14:textId="77777777" w:rsidR="008B119E" w:rsidRDefault="008B119E">
      <w:r>
        <w:separator/>
      </w:r>
    </w:p>
  </w:endnote>
  <w:endnote w:type="continuationSeparator" w:id="0">
    <w:p w14:paraId="1B97A717" w14:textId="77777777" w:rsidR="008B119E" w:rsidRDefault="008B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7A7ADBAD"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564A69C4"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7EA1" w14:textId="77777777" w:rsidR="0070697F" w:rsidRPr="00934A2C" w:rsidRDefault="0070697F">
    <w:pPr>
      <w:pStyle w:val="Footer"/>
      <w:jc w:val="center"/>
      <w:rPr>
        <w:sz w:val="16"/>
        <w:szCs w:val="22"/>
      </w:rPr>
    </w:pPr>
  </w:p>
  <w:p w14:paraId="5ACCC86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C43D" w14:textId="77777777" w:rsidR="008B119E" w:rsidRPr="000F35ED" w:rsidRDefault="008B11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038497" w14:textId="77777777" w:rsidR="008B119E" w:rsidRPr="000F35ED" w:rsidRDefault="008B119E" w:rsidP="000F35ED">
      <w:pPr>
        <w:rPr>
          <w:rFonts w:asciiTheme="majorHAnsi" w:hAnsiTheme="majorHAnsi"/>
          <w:sz w:val="16"/>
          <w:szCs w:val="16"/>
        </w:rPr>
      </w:pPr>
      <w:r w:rsidRPr="000F35ED">
        <w:rPr>
          <w:rFonts w:asciiTheme="majorHAnsi" w:hAnsiTheme="majorHAnsi"/>
          <w:sz w:val="16"/>
          <w:szCs w:val="16"/>
        </w:rPr>
        <w:separator/>
      </w:r>
    </w:p>
    <w:p w14:paraId="4D025ECF" w14:textId="77777777" w:rsidR="008B119E" w:rsidRPr="000F35ED" w:rsidRDefault="008B119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6F52FCF" w14:textId="77777777" w:rsidR="008B119E" w:rsidRPr="000F35ED" w:rsidRDefault="008B119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10BB19" w14:textId="6E91620F" w:rsidR="004A6A54" w:rsidRPr="00306F33" w:rsidRDefault="004A6A54" w:rsidP="00306F33">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AB7318">
        <w:rPr>
          <w:rFonts w:asciiTheme="majorHAnsi" w:hAnsiTheme="majorHAnsi"/>
          <w:sz w:val="16"/>
          <w:szCs w:val="16"/>
          <w:lang w:val="es-ES"/>
        </w:rPr>
        <w:t>Joel Hernández</w:t>
      </w:r>
      <w:r w:rsidRPr="00306F33">
        <w:rPr>
          <w:rFonts w:asciiTheme="majorHAnsi" w:hAnsiTheme="majorHAnsi"/>
          <w:sz w:val="16"/>
          <w:szCs w:val="16"/>
          <w:lang w:val="es-ES"/>
        </w:rPr>
        <w:t xml:space="preserve">, de nacionalidad </w:t>
      </w:r>
      <w:r w:rsidR="00AB7318">
        <w:rPr>
          <w:rFonts w:asciiTheme="majorHAnsi" w:hAnsiTheme="majorHAnsi"/>
          <w:sz w:val="16"/>
          <w:szCs w:val="16"/>
          <w:lang w:val="es-ES"/>
        </w:rPr>
        <w:t>mexicana</w:t>
      </w:r>
      <w:r w:rsidRPr="00306F33">
        <w:rPr>
          <w:rFonts w:asciiTheme="majorHAnsi" w:hAnsiTheme="majorHAnsi"/>
          <w:sz w:val="16"/>
          <w:szCs w:val="16"/>
          <w:lang w:val="es-ES"/>
        </w:rPr>
        <w:t>, no participó en el debate ni en la decisión del presente asunto.</w:t>
      </w:r>
    </w:p>
  </w:footnote>
  <w:footnote w:id="3">
    <w:p w14:paraId="770BE83E" w14:textId="77777777" w:rsidR="009346B0" w:rsidRPr="004A5DD2" w:rsidRDefault="009346B0" w:rsidP="009346B0">
      <w:pPr>
        <w:pStyle w:val="FootnoteText"/>
        <w:ind w:firstLine="720"/>
        <w:rPr>
          <w:rFonts w:asciiTheme="majorHAnsi" w:hAnsiTheme="majorHAnsi"/>
          <w:sz w:val="16"/>
          <w:szCs w:val="16"/>
          <w:lang w:val="es-CO"/>
        </w:rPr>
      </w:pPr>
      <w:r w:rsidRPr="004A5DD2">
        <w:rPr>
          <w:rStyle w:val="FootnoteReference"/>
          <w:rFonts w:asciiTheme="majorHAnsi" w:hAnsiTheme="majorHAnsi"/>
          <w:sz w:val="16"/>
          <w:szCs w:val="16"/>
        </w:rPr>
        <w:footnoteRef/>
      </w:r>
      <w:r w:rsidRPr="004A5DD2">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4">
    <w:p w14:paraId="1ED97DF9" w14:textId="77777777" w:rsidR="009346B0" w:rsidRPr="004A5DD2" w:rsidRDefault="009346B0" w:rsidP="009346B0">
      <w:pPr>
        <w:pStyle w:val="FootnoteText"/>
        <w:ind w:firstLine="720"/>
        <w:rPr>
          <w:lang w:val="es-CO"/>
        </w:rPr>
      </w:pPr>
      <w:r w:rsidRPr="004A5DD2">
        <w:rPr>
          <w:rStyle w:val="FootnoteReference"/>
          <w:rFonts w:asciiTheme="majorHAnsi" w:hAnsiTheme="majorHAnsi"/>
          <w:sz w:val="16"/>
          <w:szCs w:val="16"/>
        </w:rPr>
        <w:footnoteRef/>
      </w:r>
      <w:r w:rsidRPr="004A5DD2">
        <w:rPr>
          <w:rFonts w:asciiTheme="majorHAnsi" w:hAnsiTheme="majorHAnsi"/>
          <w:sz w:val="16"/>
          <w:szCs w:val="16"/>
          <w:lang w:val="es-CO"/>
        </w:rPr>
        <w:t xml:space="preserve"> </w:t>
      </w:r>
      <w:r>
        <w:rPr>
          <w:rFonts w:asciiTheme="majorHAnsi" w:hAnsiTheme="majorHAnsi"/>
          <w:sz w:val="16"/>
          <w:szCs w:val="16"/>
          <w:lang w:val="es-CO"/>
        </w:rPr>
        <w:t>En adelante “la Convención de Belén do Pará”.</w:t>
      </w:r>
    </w:p>
  </w:footnote>
  <w:footnote w:id="5">
    <w:p w14:paraId="3CE67C75"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25626B9D" w14:textId="0EA228C1" w:rsidR="005F4796" w:rsidRPr="00BA7A59" w:rsidRDefault="005F4796" w:rsidP="00831531">
      <w:pPr>
        <w:pStyle w:val="FootnoteText"/>
        <w:ind w:firstLine="720"/>
        <w:jc w:val="both"/>
        <w:rPr>
          <w:rFonts w:ascii="Cambria" w:hAnsi="Cambria"/>
          <w:lang w:val="es-CO"/>
        </w:rPr>
      </w:pPr>
      <w:r w:rsidRPr="005F4796">
        <w:rPr>
          <w:rStyle w:val="FootnoteReference"/>
          <w:rFonts w:ascii="Cambria" w:hAnsi="Cambria"/>
          <w:sz w:val="16"/>
          <w:szCs w:val="16"/>
        </w:rPr>
        <w:footnoteRef/>
      </w:r>
      <w:r w:rsidRPr="00AD0ABB">
        <w:rPr>
          <w:rFonts w:ascii="Cambria" w:hAnsi="Cambria"/>
          <w:sz w:val="16"/>
          <w:szCs w:val="16"/>
          <w:lang w:val="es-CO"/>
        </w:rPr>
        <w:t xml:space="preserve"> </w:t>
      </w:r>
      <w:r w:rsidR="00AD0ABB" w:rsidRPr="00AD0ABB">
        <w:rPr>
          <w:rFonts w:ascii="Cambria" w:hAnsi="Cambria"/>
          <w:sz w:val="16"/>
          <w:szCs w:val="16"/>
          <w:lang w:val="es-CO"/>
        </w:rPr>
        <w:t xml:space="preserve">CIDH, Informe No. 131/21. Petición 784-10. Admisibilidad. Wilson Mario Taborda Cardona y familia. </w:t>
      </w:r>
      <w:r w:rsidR="00AD0ABB" w:rsidRPr="009D1F86">
        <w:rPr>
          <w:rFonts w:ascii="Cambria" w:hAnsi="Cambria"/>
          <w:sz w:val="16"/>
          <w:szCs w:val="16"/>
          <w:lang w:val="es-CO"/>
        </w:rPr>
        <w:t>Colombia. 13 de mayo de 2021, párr. 12.</w:t>
      </w:r>
    </w:p>
  </w:footnote>
  <w:footnote w:id="7">
    <w:p w14:paraId="68614C83" w14:textId="1AED642F" w:rsidR="00BA7A59" w:rsidRPr="000365AE" w:rsidRDefault="00BA7A59" w:rsidP="00803293">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CIDH</w:t>
      </w:r>
      <w:r w:rsidR="000365AE">
        <w:rPr>
          <w:rFonts w:ascii="Cambria" w:hAnsi="Cambria"/>
          <w:sz w:val="16"/>
          <w:szCs w:val="16"/>
          <w:lang w:val="es-CO"/>
        </w:rPr>
        <w:t xml:space="preserve">, </w:t>
      </w:r>
      <w:r w:rsidRPr="00BA7A59">
        <w:rPr>
          <w:rFonts w:ascii="Cambria" w:hAnsi="Cambria"/>
          <w:sz w:val="16"/>
          <w:szCs w:val="16"/>
          <w:lang w:val="es-CO"/>
        </w:rPr>
        <w:t xml:space="preserve">Informe No. 240/20. Petición 399-11. Admisibilidad. Over Jose Quila y otros (Masacre de la Rejoya). </w:t>
      </w:r>
      <w:r w:rsidRPr="000365AE">
        <w:rPr>
          <w:rFonts w:ascii="Cambria" w:hAnsi="Cambria"/>
          <w:sz w:val="16"/>
          <w:szCs w:val="16"/>
          <w:lang w:val="es-CO"/>
        </w:rPr>
        <w:t xml:space="preserve">Colombia. 6 de septiembre de 2020, párr. 12; </w:t>
      </w:r>
      <w:r w:rsidR="000365AE" w:rsidRPr="000365AE">
        <w:rPr>
          <w:rFonts w:ascii="Cambria" w:hAnsi="Cambria"/>
          <w:sz w:val="16"/>
          <w:szCs w:val="16"/>
          <w:lang w:val="es-CO"/>
        </w:rPr>
        <w:t>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8">
    <w:p w14:paraId="5BFC8DEA" w14:textId="77777777" w:rsidR="00FD4896" w:rsidRPr="00DE24D3" w:rsidRDefault="00FD4896" w:rsidP="00FD4896">
      <w:pPr>
        <w:pStyle w:val="FootnoteText"/>
        <w:ind w:firstLine="720"/>
        <w:jc w:val="both"/>
        <w:rPr>
          <w:rFonts w:ascii="Cambria" w:hAnsi="Cambria"/>
          <w:lang w:val="es-CO"/>
        </w:rPr>
      </w:pPr>
      <w:r w:rsidRPr="00DE24D3">
        <w:rPr>
          <w:rStyle w:val="FootnoteReference"/>
          <w:rFonts w:ascii="Cambria" w:hAnsi="Cambria"/>
          <w:sz w:val="16"/>
          <w:szCs w:val="16"/>
        </w:rPr>
        <w:footnoteRef/>
      </w:r>
      <w:r w:rsidRPr="006170FF">
        <w:rPr>
          <w:rFonts w:ascii="Cambria" w:hAnsi="Cambria"/>
          <w:sz w:val="16"/>
          <w:szCs w:val="16"/>
          <w:lang w:val="es-CO"/>
        </w:rPr>
        <w:t xml:space="preserve"> Corte IDH. Caso Guachalá Chimbo y otros Vs. Ecuador. Fondo, Reparaciones y Costas. </w:t>
      </w:r>
      <w:r w:rsidRPr="009D1F86">
        <w:rPr>
          <w:rFonts w:ascii="Cambria" w:hAnsi="Cambria"/>
          <w:sz w:val="16"/>
          <w:szCs w:val="16"/>
          <w:lang w:val="es-CO"/>
        </w:rPr>
        <w:t>Sentencia de 26 de marzo de 2021. Serie C No. 423, párr. 200.</w:t>
      </w:r>
    </w:p>
  </w:footnote>
  <w:footnote w:id="9">
    <w:p w14:paraId="3EA83247" w14:textId="77777777" w:rsidR="00FD4896" w:rsidRPr="006029AE" w:rsidRDefault="00FD4896" w:rsidP="00FD4896">
      <w:pPr>
        <w:pStyle w:val="FootnoteText"/>
        <w:ind w:firstLine="720"/>
        <w:rPr>
          <w:rFonts w:ascii="Cambria" w:hAnsi="Cambria"/>
          <w:lang w:val="es-CO"/>
        </w:rPr>
      </w:pPr>
      <w:r w:rsidRPr="006029AE">
        <w:rPr>
          <w:rStyle w:val="FootnoteReference"/>
          <w:rFonts w:ascii="Cambria" w:hAnsi="Cambria"/>
          <w:sz w:val="16"/>
          <w:szCs w:val="16"/>
        </w:rPr>
        <w:footnoteRef/>
      </w:r>
      <w:r w:rsidRPr="00232A9F">
        <w:rPr>
          <w:rFonts w:ascii="Cambria" w:hAnsi="Cambria"/>
          <w:sz w:val="16"/>
          <w:szCs w:val="16"/>
          <w:lang w:val="es-CO"/>
        </w:rPr>
        <w:t xml:space="preserve"> Corte IDH. Caso Vicky Hernández y otras Vs. Honduras. Fondo, Reparaciones y Costas. </w:t>
      </w:r>
      <w:r w:rsidRPr="009D1F86">
        <w:rPr>
          <w:rFonts w:ascii="Cambria" w:hAnsi="Cambria"/>
          <w:sz w:val="16"/>
          <w:szCs w:val="16"/>
          <w:lang w:val="es-CO"/>
        </w:rPr>
        <w:t>Sentencia de 26 de marzo de 2021. Serie C No. 42, párr. 106.</w:t>
      </w:r>
    </w:p>
  </w:footnote>
  <w:footnote w:id="10">
    <w:p w14:paraId="6B36CF8D" w14:textId="77777777" w:rsidR="00FD4896" w:rsidRPr="00626104" w:rsidRDefault="00FD4896" w:rsidP="00FD4896">
      <w:pPr>
        <w:pStyle w:val="FootnoteText"/>
        <w:ind w:firstLine="720"/>
        <w:rPr>
          <w:rFonts w:ascii="Cambria" w:hAnsi="Cambria"/>
          <w:lang w:val="es-CO"/>
        </w:rPr>
      </w:pPr>
      <w:r w:rsidRPr="00626104">
        <w:rPr>
          <w:rStyle w:val="FootnoteReference"/>
          <w:rFonts w:ascii="Cambria" w:hAnsi="Cambria"/>
          <w:sz w:val="16"/>
          <w:szCs w:val="16"/>
        </w:rPr>
        <w:footnoteRef/>
      </w:r>
      <w:r w:rsidRPr="00B00CEF">
        <w:rPr>
          <w:rFonts w:ascii="Cambria" w:hAnsi="Cambria"/>
          <w:sz w:val="16"/>
          <w:szCs w:val="16"/>
          <w:lang w:val="es-CO"/>
        </w:rPr>
        <w:t xml:space="preserve"> Corte IDH. Caso Velásquez Paiz y otros Vs. Guatemala. Excepciones Preliminares, Fondo, Reparaciones y Costas. </w:t>
      </w:r>
      <w:r w:rsidRPr="009D1F86">
        <w:rPr>
          <w:rFonts w:ascii="Cambria" w:hAnsi="Cambria"/>
          <w:sz w:val="16"/>
          <w:szCs w:val="16"/>
          <w:lang w:val="es-CO"/>
        </w:rPr>
        <w:t>Sentencia de 19 de noviembre de 2015. Serie C No. 307, párr. 145.</w:t>
      </w:r>
    </w:p>
  </w:footnote>
  <w:footnote w:id="11">
    <w:p w14:paraId="30C53508" w14:textId="4B26D78C" w:rsidR="00FD4896" w:rsidRPr="00675EC3" w:rsidRDefault="00FD4896" w:rsidP="00FD4896">
      <w:pPr>
        <w:pStyle w:val="FootnoteText"/>
        <w:ind w:firstLine="720"/>
        <w:jc w:val="both"/>
        <w:rPr>
          <w:rFonts w:ascii="Cambria" w:hAnsi="Cambria"/>
          <w:lang w:val="es-CO"/>
        </w:rPr>
      </w:pPr>
      <w:r w:rsidRPr="00675EC3">
        <w:rPr>
          <w:rStyle w:val="FootnoteReference"/>
          <w:rFonts w:ascii="Cambria" w:hAnsi="Cambria"/>
          <w:sz w:val="16"/>
          <w:szCs w:val="16"/>
        </w:rPr>
        <w:footnoteRef/>
      </w:r>
      <w:r w:rsidRPr="009D1F86">
        <w:rPr>
          <w:rFonts w:ascii="Cambria" w:hAnsi="Cambria"/>
          <w:sz w:val="16"/>
          <w:szCs w:val="16"/>
          <w:lang w:val="es-CO"/>
        </w:rPr>
        <w:t xml:space="preserve"> </w:t>
      </w:r>
      <w:r w:rsidR="00DA17B8" w:rsidRPr="00B00CEF">
        <w:rPr>
          <w:rFonts w:ascii="Cambria" w:hAnsi="Cambria"/>
          <w:sz w:val="16"/>
          <w:szCs w:val="16"/>
          <w:lang w:val="es-CO"/>
        </w:rPr>
        <w:t xml:space="preserve">Corte IDH. Caso Velásquez Paiz y otros Vs. Guatemala. Excepciones Preliminares, Fondo, Reparaciones y Costas. </w:t>
      </w:r>
      <w:r w:rsidR="00DA17B8" w:rsidRPr="009D1F86">
        <w:rPr>
          <w:rFonts w:ascii="Cambria" w:hAnsi="Cambria"/>
          <w:sz w:val="16"/>
          <w:szCs w:val="16"/>
          <w:lang w:val="es-CO"/>
        </w:rPr>
        <w:t>Sentencia de 19 de noviembre de 2015. Serie C No. 307,</w:t>
      </w:r>
      <w:r w:rsidRPr="009D1F86">
        <w:rPr>
          <w:rFonts w:ascii="Cambria" w:hAnsi="Cambria"/>
          <w:sz w:val="16"/>
          <w:szCs w:val="16"/>
          <w:lang w:val="es-CO"/>
        </w:rPr>
        <w:t xml:space="preserve"> párr. 146.</w:t>
      </w:r>
    </w:p>
  </w:footnote>
  <w:footnote w:id="12">
    <w:p w14:paraId="4C973029" w14:textId="3F2D8B56" w:rsidR="00283F6C" w:rsidRPr="00283F6C" w:rsidRDefault="00283F6C" w:rsidP="00576F76">
      <w:pPr>
        <w:pStyle w:val="FootnoteText"/>
        <w:ind w:firstLine="720"/>
        <w:jc w:val="both"/>
        <w:rPr>
          <w:rFonts w:ascii="Cambria" w:hAnsi="Cambria"/>
          <w:lang w:val="es-CO"/>
        </w:rPr>
      </w:pPr>
      <w:r w:rsidRPr="00283F6C">
        <w:rPr>
          <w:rStyle w:val="FootnoteReference"/>
          <w:rFonts w:ascii="Cambria" w:hAnsi="Cambria"/>
          <w:sz w:val="16"/>
          <w:szCs w:val="16"/>
        </w:rPr>
        <w:footnoteRef/>
      </w:r>
      <w:r w:rsidRPr="00283F6C">
        <w:rPr>
          <w:rFonts w:ascii="Cambria" w:hAnsi="Cambria"/>
          <w:sz w:val="16"/>
          <w:szCs w:val="16"/>
          <w:lang w:val="es-CO"/>
        </w:rPr>
        <w:t xml:space="preserve"> CIDH, Situación de Derechos H</w:t>
      </w:r>
      <w:r>
        <w:rPr>
          <w:rFonts w:ascii="Cambria" w:hAnsi="Cambria"/>
          <w:sz w:val="16"/>
          <w:szCs w:val="16"/>
          <w:lang w:val="es-CO"/>
        </w:rPr>
        <w:t>umanos en México</w:t>
      </w:r>
      <w:r w:rsidR="00586852">
        <w:rPr>
          <w:rFonts w:ascii="Cambria" w:hAnsi="Cambria"/>
          <w:sz w:val="16"/>
          <w:szCs w:val="16"/>
          <w:lang w:val="es-CO"/>
        </w:rPr>
        <w:t>.</w:t>
      </w:r>
      <w:r w:rsidR="00576F76">
        <w:rPr>
          <w:rFonts w:ascii="Cambria" w:hAnsi="Cambria"/>
          <w:sz w:val="16"/>
          <w:szCs w:val="16"/>
          <w:lang w:val="es-CO"/>
        </w:rPr>
        <w:t xml:space="preserve"> 31 de diciembre de 2015. </w:t>
      </w:r>
      <w:r w:rsidR="00576F76" w:rsidRPr="00576F76">
        <w:rPr>
          <w:rFonts w:ascii="Cambria" w:hAnsi="Cambria"/>
          <w:sz w:val="16"/>
          <w:szCs w:val="16"/>
          <w:lang w:val="es-CO"/>
        </w:rPr>
        <w:t>OEA/Ser.L/V/II.</w:t>
      </w:r>
      <w:r w:rsidR="00576F76">
        <w:rPr>
          <w:rFonts w:ascii="Cambria" w:hAnsi="Cambria"/>
          <w:sz w:val="16"/>
          <w:szCs w:val="16"/>
          <w:lang w:val="es-CO"/>
        </w:rPr>
        <w:t xml:space="preserve">, </w:t>
      </w:r>
      <w:r w:rsidR="00576F76" w:rsidRPr="00576F76">
        <w:rPr>
          <w:rFonts w:ascii="Cambria" w:hAnsi="Cambria"/>
          <w:sz w:val="16"/>
          <w:szCs w:val="16"/>
          <w:lang w:val="es-CO"/>
        </w:rPr>
        <w:t>Doc. 44/15</w:t>
      </w:r>
      <w:r w:rsidR="00576F76">
        <w:rPr>
          <w:rFonts w:ascii="Cambria" w:hAnsi="Cambria"/>
          <w:sz w:val="16"/>
          <w:szCs w:val="16"/>
          <w:lang w:val="es-CO"/>
        </w:rPr>
        <w:t>, párrs.</w:t>
      </w:r>
      <w:r w:rsidR="00586852">
        <w:rPr>
          <w:rFonts w:ascii="Cambria" w:hAnsi="Cambria"/>
          <w:sz w:val="16"/>
          <w:szCs w:val="16"/>
          <w:lang w:val="es-CO"/>
        </w:rPr>
        <w:t xml:space="preserve"> 179 y 180.</w:t>
      </w:r>
    </w:p>
  </w:footnote>
  <w:footnote w:id="13">
    <w:p w14:paraId="12B93F45" w14:textId="77777777" w:rsidR="00DA17B8" w:rsidRPr="00EC56B6" w:rsidRDefault="00DA17B8" w:rsidP="00DA17B8">
      <w:pPr>
        <w:pStyle w:val="FootnoteText"/>
        <w:ind w:firstLine="720"/>
        <w:rPr>
          <w:rFonts w:ascii="Cambria" w:hAnsi="Cambria"/>
          <w:lang w:val="es-CO"/>
        </w:rPr>
      </w:pPr>
      <w:r w:rsidRPr="00EC56B6">
        <w:rPr>
          <w:rStyle w:val="FootnoteReference"/>
          <w:rFonts w:ascii="Cambria" w:hAnsi="Cambria"/>
          <w:sz w:val="16"/>
          <w:szCs w:val="16"/>
        </w:rPr>
        <w:footnoteRef/>
      </w:r>
      <w:r w:rsidRPr="00EC56B6">
        <w:rPr>
          <w:rFonts w:ascii="Cambria" w:hAnsi="Cambria"/>
          <w:sz w:val="16"/>
          <w:szCs w:val="16"/>
          <w:lang w:val="es-CO"/>
        </w:rPr>
        <w:t xml:space="preserve"> </w:t>
      </w:r>
      <w:r w:rsidRPr="009458EC">
        <w:rPr>
          <w:rFonts w:ascii="Cambria" w:hAnsi="Cambria"/>
          <w:sz w:val="16"/>
          <w:szCs w:val="16"/>
          <w:lang w:val="es-CO"/>
        </w:rPr>
        <w:t>Corte IDH. Caso González y otras (Campo Algodonero) Vs. México. Sentencia de 16 de noviembre de 2009</w:t>
      </w:r>
      <w:r>
        <w:rPr>
          <w:rFonts w:ascii="Cambria" w:hAnsi="Cambria"/>
          <w:sz w:val="16"/>
          <w:szCs w:val="16"/>
          <w:lang w:val="es-CO"/>
        </w:rPr>
        <w:t>,</w:t>
      </w:r>
      <w:r w:rsidRPr="009458EC">
        <w:rPr>
          <w:rFonts w:ascii="Cambria" w:hAnsi="Cambria"/>
          <w:sz w:val="16"/>
          <w:szCs w:val="16"/>
          <w:lang w:val="es-CO"/>
        </w:rPr>
        <w:t xml:space="preserve"> </w:t>
      </w:r>
      <w:r>
        <w:rPr>
          <w:rFonts w:ascii="Cambria" w:hAnsi="Cambria"/>
          <w:sz w:val="16"/>
          <w:szCs w:val="16"/>
          <w:lang w:val="es-CO"/>
        </w:rPr>
        <w:t>p</w:t>
      </w:r>
      <w:r w:rsidRPr="009458EC">
        <w:rPr>
          <w:rFonts w:ascii="Cambria" w:hAnsi="Cambria"/>
          <w:sz w:val="16"/>
          <w:szCs w:val="16"/>
          <w:lang w:val="es-CO"/>
        </w:rPr>
        <w:t>árr</w:t>
      </w:r>
      <w:r>
        <w:rPr>
          <w:rFonts w:ascii="Cambria" w:hAnsi="Cambria"/>
          <w:sz w:val="16"/>
          <w:szCs w:val="16"/>
          <w:lang w:val="es-CO"/>
        </w:rPr>
        <w:t>s</w:t>
      </w:r>
      <w:r w:rsidRPr="009458EC">
        <w:rPr>
          <w:rFonts w:ascii="Cambria" w:hAnsi="Cambria"/>
          <w:sz w:val="16"/>
          <w:szCs w:val="16"/>
          <w:lang w:val="es-CO"/>
        </w:rPr>
        <w:t xml:space="preserve">. </w:t>
      </w:r>
      <w:r>
        <w:rPr>
          <w:rFonts w:ascii="Cambria" w:hAnsi="Cambria"/>
          <w:sz w:val="16"/>
          <w:szCs w:val="16"/>
          <w:lang w:val="es-CO"/>
        </w:rPr>
        <w:t xml:space="preserve">282 y </w:t>
      </w:r>
      <w:r w:rsidRPr="009458EC">
        <w:rPr>
          <w:rFonts w:ascii="Cambria" w:hAnsi="Cambria"/>
          <w:sz w:val="16"/>
          <w:szCs w:val="16"/>
          <w:lang w:val="es-CO"/>
        </w:rPr>
        <w:t>283.</w:t>
      </w:r>
    </w:p>
  </w:footnote>
  <w:footnote w:id="14">
    <w:p w14:paraId="1C577D4D" w14:textId="31405DDB" w:rsidR="00F37B78" w:rsidRPr="00675EC3" w:rsidRDefault="00F37B78" w:rsidP="00F37B78">
      <w:pPr>
        <w:pStyle w:val="FootnoteText"/>
        <w:ind w:firstLine="720"/>
        <w:jc w:val="both"/>
        <w:rPr>
          <w:rFonts w:ascii="Cambria" w:hAnsi="Cambria"/>
          <w:lang w:val="es-CO"/>
        </w:rPr>
      </w:pPr>
      <w:r w:rsidRPr="00675EC3">
        <w:rPr>
          <w:rStyle w:val="FootnoteReference"/>
          <w:rFonts w:ascii="Cambria" w:hAnsi="Cambria"/>
          <w:sz w:val="16"/>
          <w:szCs w:val="16"/>
        </w:rPr>
        <w:footnoteRef/>
      </w:r>
      <w:r w:rsidRPr="009D1F86">
        <w:rPr>
          <w:rFonts w:ascii="Cambria" w:hAnsi="Cambria"/>
          <w:sz w:val="16"/>
          <w:szCs w:val="16"/>
          <w:lang w:val="es-CO"/>
        </w:rPr>
        <w:t xml:space="preserve"> </w:t>
      </w:r>
      <w:r w:rsidR="00176E86" w:rsidRPr="00B00CEF">
        <w:rPr>
          <w:rFonts w:ascii="Cambria" w:hAnsi="Cambria"/>
          <w:sz w:val="16"/>
          <w:szCs w:val="16"/>
          <w:lang w:val="es-CO"/>
        </w:rPr>
        <w:t>Corte IDH. Caso Velásquez Paiz y otros Vs. Guatemala</w:t>
      </w:r>
      <w:r w:rsidR="00176E86">
        <w:rPr>
          <w:rFonts w:ascii="Cambria" w:hAnsi="Cambria"/>
          <w:sz w:val="16"/>
          <w:szCs w:val="16"/>
          <w:lang w:val="es-CO"/>
        </w:rPr>
        <w:t xml:space="preserve">, </w:t>
      </w:r>
      <w:r w:rsidR="00176E86" w:rsidRPr="00176E86">
        <w:rPr>
          <w:rFonts w:ascii="Cambria" w:hAnsi="Cambria"/>
          <w:i/>
          <w:iCs/>
          <w:sz w:val="16"/>
          <w:szCs w:val="16"/>
          <w:lang w:val="es-CO"/>
        </w:rPr>
        <w:t>supra</w:t>
      </w:r>
      <w:r w:rsidR="00176E86">
        <w:rPr>
          <w:rFonts w:ascii="Cambria" w:hAnsi="Cambria"/>
          <w:sz w:val="16"/>
          <w:szCs w:val="16"/>
          <w:lang w:val="es-CO"/>
        </w:rPr>
        <w:t xml:space="preserve"> nota 9</w:t>
      </w:r>
      <w:r w:rsidRPr="009D1F86">
        <w:rPr>
          <w:rFonts w:ascii="Cambria" w:hAnsi="Cambria"/>
          <w:sz w:val="16"/>
          <w:szCs w:val="16"/>
          <w:lang w:val="es-CO"/>
        </w:rPr>
        <w:t>, párr</w:t>
      </w:r>
      <w:r w:rsidR="009C34BA">
        <w:rPr>
          <w:rFonts w:ascii="Cambria" w:hAnsi="Cambria"/>
          <w:sz w:val="16"/>
          <w:szCs w:val="16"/>
          <w:lang w:val="es-CO"/>
        </w:rPr>
        <w:t>s</w:t>
      </w:r>
      <w:r w:rsidRPr="009D1F86">
        <w:rPr>
          <w:rFonts w:ascii="Cambria" w:hAnsi="Cambria"/>
          <w:sz w:val="16"/>
          <w:szCs w:val="16"/>
          <w:lang w:val="es-CO"/>
        </w:rPr>
        <w:t>. 146</w:t>
      </w:r>
      <w:r w:rsidR="009C34BA">
        <w:rPr>
          <w:rFonts w:ascii="Cambria" w:hAnsi="Cambria"/>
          <w:sz w:val="16"/>
          <w:szCs w:val="16"/>
          <w:lang w:val="es-CO"/>
        </w:rPr>
        <w:t xml:space="preserve"> y 147</w:t>
      </w:r>
      <w:r w:rsidRPr="009D1F86">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76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1A93B2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4E7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BDC7336" wp14:editId="033CDB1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B90F943" w14:textId="77777777" w:rsidR="00040C3A" w:rsidRPr="00EC7D62" w:rsidRDefault="008B119E" w:rsidP="00A50FCF">
    <w:pPr>
      <w:pStyle w:val="Header"/>
      <w:tabs>
        <w:tab w:val="clear" w:pos="4320"/>
        <w:tab w:val="clear" w:pos="8640"/>
      </w:tabs>
      <w:jc w:val="center"/>
      <w:rPr>
        <w:sz w:val="22"/>
        <w:szCs w:val="22"/>
      </w:rPr>
    </w:pPr>
    <w:r>
      <w:rPr>
        <w:sz w:val="22"/>
        <w:szCs w:val="22"/>
      </w:rPr>
      <w:pict w14:anchorId="50AD368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292"/>
    <w:rsid w:val="00006E1F"/>
    <w:rsid w:val="000070D7"/>
    <w:rsid w:val="00011213"/>
    <w:rsid w:val="00012703"/>
    <w:rsid w:val="0001788C"/>
    <w:rsid w:val="0002718D"/>
    <w:rsid w:val="000279CB"/>
    <w:rsid w:val="00027B03"/>
    <w:rsid w:val="00031C87"/>
    <w:rsid w:val="000337EF"/>
    <w:rsid w:val="0003425F"/>
    <w:rsid w:val="000365AE"/>
    <w:rsid w:val="00037573"/>
    <w:rsid w:val="00040C3A"/>
    <w:rsid w:val="000419AD"/>
    <w:rsid w:val="000433C9"/>
    <w:rsid w:val="00044317"/>
    <w:rsid w:val="00057F8A"/>
    <w:rsid w:val="00060C24"/>
    <w:rsid w:val="000665D4"/>
    <w:rsid w:val="00071174"/>
    <w:rsid w:val="000716C5"/>
    <w:rsid w:val="0007236A"/>
    <w:rsid w:val="00075E23"/>
    <w:rsid w:val="00081BD9"/>
    <w:rsid w:val="00082920"/>
    <w:rsid w:val="00083343"/>
    <w:rsid w:val="000902B3"/>
    <w:rsid w:val="00091BCD"/>
    <w:rsid w:val="000924AF"/>
    <w:rsid w:val="0009344A"/>
    <w:rsid w:val="00093D64"/>
    <w:rsid w:val="00097DCA"/>
    <w:rsid w:val="000A180A"/>
    <w:rsid w:val="000A1C4C"/>
    <w:rsid w:val="000A392E"/>
    <w:rsid w:val="000A575F"/>
    <w:rsid w:val="000A5D39"/>
    <w:rsid w:val="000C1403"/>
    <w:rsid w:val="000C23FD"/>
    <w:rsid w:val="000C6E76"/>
    <w:rsid w:val="000D05CB"/>
    <w:rsid w:val="000D10DB"/>
    <w:rsid w:val="000D6210"/>
    <w:rsid w:val="000E1528"/>
    <w:rsid w:val="000E28C0"/>
    <w:rsid w:val="000E5EB5"/>
    <w:rsid w:val="000F35ED"/>
    <w:rsid w:val="000F4990"/>
    <w:rsid w:val="000F574F"/>
    <w:rsid w:val="00102A9E"/>
    <w:rsid w:val="00105561"/>
    <w:rsid w:val="00107131"/>
    <w:rsid w:val="0010736F"/>
    <w:rsid w:val="00113B46"/>
    <w:rsid w:val="00113F73"/>
    <w:rsid w:val="00120AD3"/>
    <w:rsid w:val="00121CC2"/>
    <w:rsid w:val="00126869"/>
    <w:rsid w:val="00127904"/>
    <w:rsid w:val="00131425"/>
    <w:rsid w:val="00133EE5"/>
    <w:rsid w:val="00136DB9"/>
    <w:rsid w:val="00140F4D"/>
    <w:rsid w:val="001467BB"/>
    <w:rsid w:val="001518AB"/>
    <w:rsid w:val="00152C9F"/>
    <w:rsid w:val="001535B7"/>
    <w:rsid w:val="00167A34"/>
    <w:rsid w:val="00172B53"/>
    <w:rsid w:val="001733CA"/>
    <w:rsid w:val="00173888"/>
    <w:rsid w:val="00176E86"/>
    <w:rsid w:val="00180206"/>
    <w:rsid w:val="001805FE"/>
    <w:rsid w:val="0018369C"/>
    <w:rsid w:val="0018540C"/>
    <w:rsid w:val="001859B9"/>
    <w:rsid w:val="001A1F80"/>
    <w:rsid w:val="001A45A3"/>
    <w:rsid w:val="001A520D"/>
    <w:rsid w:val="001A7870"/>
    <w:rsid w:val="001B1639"/>
    <w:rsid w:val="001B1CD3"/>
    <w:rsid w:val="001B3A00"/>
    <w:rsid w:val="001B5178"/>
    <w:rsid w:val="001C1B41"/>
    <w:rsid w:val="001C5AAA"/>
    <w:rsid w:val="001D65EF"/>
    <w:rsid w:val="001E1664"/>
    <w:rsid w:val="001E16B1"/>
    <w:rsid w:val="001E49E7"/>
    <w:rsid w:val="001F0890"/>
    <w:rsid w:val="001F2013"/>
    <w:rsid w:val="001F34D7"/>
    <w:rsid w:val="001F62DE"/>
    <w:rsid w:val="001F7201"/>
    <w:rsid w:val="002005CB"/>
    <w:rsid w:val="002035A0"/>
    <w:rsid w:val="00203CB2"/>
    <w:rsid w:val="00205087"/>
    <w:rsid w:val="0020703D"/>
    <w:rsid w:val="002103D9"/>
    <w:rsid w:val="00223A29"/>
    <w:rsid w:val="00224502"/>
    <w:rsid w:val="002250A3"/>
    <w:rsid w:val="0022625A"/>
    <w:rsid w:val="00231487"/>
    <w:rsid w:val="00232A9F"/>
    <w:rsid w:val="00233415"/>
    <w:rsid w:val="00235217"/>
    <w:rsid w:val="00243CD0"/>
    <w:rsid w:val="00244A1F"/>
    <w:rsid w:val="00244CB7"/>
    <w:rsid w:val="002461BA"/>
    <w:rsid w:val="00246589"/>
    <w:rsid w:val="00246D1F"/>
    <w:rsid w:val="00247403"/>
    <w:rsid w:val="00247542"/>
    <w:rsid w:val="0025118F"/>
    <w:rsid w:val="00253013"/>
    <w:rsid w:val="00254DF9"/>
    <w:rsid w:val="002554A3"/>
    <w:rsid w:val="0026390E"/>
    <w:rsid w:val="00266B61"/>
    <w:rsid w:val="0026712A"/>
    <w:rsid w:val="002704DB"/>
    <w:rsid w:val="00272509"/>
    <w:rsid w:val="00275D9B"/>
    <w:rsid w:val="00282C02"/>
    <w:rsid w:val="00283F6C"/>
    <w:rsid w:val="002858E8"/>
    <w:rsid w:val="00286CF8"/>
    <w:rsid w:val="00287941"/>
    <w:rsid w:val="00287BFC"/>
    <w:rsid w:val="00287DA3"/>
    <w:rsid w:val="002912ED"/>
    <w:rsid w:val="00292198"/>
    <w:rsid w:val="00293461"/>
    <w:rsid w:val="002A0AAE"/>
    <w:rsid w:val="002A5446"/>
    <w:rsid w:val="002A5820"/>
    <w:rsid w:val="002A6833"/>
    <w:rsid w:val="002B19FA"/>
    <w:rsid w:val="002B52A9"/>
    <w:rsid w:val="002B64C5"/>
    <w:rsid w:val="002C1DF5"/>
    <w:rsid w:val="002C2DCB"/>
    <w:rsid w:val="002C42CB"/>
    <w:rsid w:val="002C624C"/>
    <w:rsid w:val="002C679A"/>
    <w:rsid w:val="002D1E53"/>
    <w:rsid w:val="002D1EDE"/>
    <w:rsid w:val="002D2B26"/>
    <w:rsid w:val="002D344D"/>
    <w:rsid w:val="002D7EA2"/>
    <w:rsid w:val="002E187C"/>
    <w:rsid w:val="002E2403"/>
    <w:rsid w:val="002E5569"/>
    <w:rsid w:val="002F2FAF"/>
    <w:rsid w:val="003011FC"/>
    <w:rsid w:val="00302733"/>
    <w:rsid w:val="0030543D"/>
    <w:rsid w:val="00305835"/>
    <w:rsid w:val="00306F33"/>
    <w:rsid w:val="003107DC"/>
    <w:rsid w:val="00311FFB"/>
    <w:rsid w:val="00313AF3"/>
    <w:rsid w:val="00314078"/>
    <w:rsid w:val="00314970"/>
    <w:rsid w:val="0031535D"/>
    <w:rsid w:val="00321EC4"/>
    <w:rsid w:val="003220FD"/>
    <w:rsid w:val="003239B8"/>
    <w:rsid w:val="0033039B"/>
    <w:rsid w:val="00331578"/>
    <w:rsid w:val="0033169F"/>
    <w:rsid w:val="00332143"/>
    <w:rsid w:val="003323B1"/>
    <w:rsid w:val="00344977"/>
    <w:rsid w:val="00346C95"/>
    <w:rsid w:val="003549C6"/>
    <w:rsid w:val="00356185"/>
    <w:rsid w:val="00360380"/>
    <w:rsid w:val="00364323"/>
    <w:rsid w:val="0037256D"/>
    <w:rsid w:val="00372F50"/>
    <w:rsid w:val="003749D8"/>
    <w:rsid w:val="0037519E"/>
    <w:rsid w:val="003756F2"/>
    <w:rsid w:val="00376B40"/>
    <w:rsid w:val="003774B4"/>
    <w:rsid w:val="00380F6B"/>
    <w:rsid w:val="003841CF"/>
    <w:rsid w:val="00386CF0"/>
    <w:rsid w:val="00390EC1"/>
    <w:rsid w:val="0039274C"/>
    <w:rsid w:val="00393FC6"/>
    <w:rsid w:val="003965AF"/>
    <w:rsid w:val="00396864"/>
    <w:rsid w:val="003974E9"/>
    <w:rsid w:val="003A15DA"/>
    <w:rsid w:val="003A1DB7"/>
    <w:rsid w:val="003B148F"/>
    <w:rsid w:val="003B312D"/>
    <w:rsid w:val="003B70FB"/>
    <w:rsid w:val="003B7DA7"/>
    <w:rsid w:val="003C676B"/>
    <w:rsid w:val="003C6777"/>
    <w:rsid w:val="003C6B71"/>
    <w:rsid w:val="003C7098"/>
    <w:rsid w:val="003D0EE5"/>
    <w:rsid w:val="003D3BC2"/>
    <w:rsid w:val="003E5024"/>
    <w:rsid w:val="003E6CA1"/>
    <w:rsid w:val="003F3037"/>
    <w:rsid w:val="003F5154"/>
    <w:rsid w:val="003F6F6D"/>
    <w:rsid w:val="00405F9C"/>
    <w:rsid w:val="004065A8"/>
    <w:rsid w:val="004165C2"/>
    <w:rsid w:val="004220FC"/>
    <w:rsid w:val="004228BE"/>
    <w:rsid w:val="0042467F"/>
    <w:rsid w:val="00426EC1"/>
    <w:rsid w:val="0043119A"/>
    <w:rsid w:val="004331F2"/>
    <w:rsid w:val="004349F4"/>
    <w:rsid w:val="0043762B"/>
    <w:rsid w:val="00441ECB"/>
    <w:rsid w:val="00445193"/>
    <w:rsid w:val="00445242"/>
    <w:rsid w:val="0045509E"/>
    <w:rsid w:val="00460C41"/>
    <w:rsid w:val="00462C1B"/>
    <w:rsid w:val="00467B7E"/>
    <w:rsid w:val="00473BB4"/>
    <w:rsid w:val="00474DDD"/>
    <w:rsid w:val="00477592"/>
    <w:rsid w:val="00484EBE"/>
    <w:rsid w:val="00486617"/>
    <w:rsid w:val="00486F1C"/>
    <w:rsid w:val="00487155"/>
    <w:rsid w:val="00491FB6"/>
    <w:rsid w:val="0049419D"/>
    <w:rsid w:val="004967F2"/>
    <w:rsid w:val="004A1A16"/>
    <w:rsid w:val="004A458C"/>
    <w:rsid w:val="004A55F3"/>
    <w:rsid w:val="004A6A54"/>
    <w:rsid w:val="004A7246"/>
    <w:rsid w:val="004B3B5D"/>
    <w:rsid w:val="004B421C"/>
    <w:rsid w:val="004C20D2"/>
    <w:rsid w:val="004C2312"/>
    <w:rsid w:val="004C4B62"/>
    <w:rsid w:val="004C54C9"/>
    <w:rsid w:val="004D1C28"/>
    <w:rsid w:val="004D4ABA"/>
    <w:rsid w:val="004D5904"/>
    <w:rsid w:val="004D5F11"/>
    <w:rsid w:val="004D6025"/>
    <w:rsid w:val="004E2649"/>
    <w:rsid w:val="004E27F5"/>
    <w:rsid w:val="004F2886"/>
    <w:rsid w:val="004F626F"/>
    <w:rsid w:val="00501399"/>
    <w:rsid w:val="00503A3F"/>
    <w:rsid w:val="005047ED"/>
    <w:rsid w:val="0050527A"/>
    <w:rsid w:val="0050633D"/>
    <w:rsid w:val="00507BC4"/>
    <w:rsid w:val="005128E4"/>
    <w:rsid w:val="005133DB"/>
    <w:rsid w:val="00514504"/>
    <w:rsid w:val="00517016"/>
    <w:rsid w:val="00521E1F"/>
    <w:rsid w:val="00522D3D"/>
    <w:rsid w:val="00525560"/>
    <w:rsid w:val="00525B99"/>
    <w:rsid w:val="00525CEA"/>
    <w:rsid w:val="00532A82"/>
    <w:rsid w:val="00536722"/>
    <w:rsid w:val="0054111C"/>
    <w:rsid w:val="00544C49"/>
    <w:rsid w:val="005460FB"/>
    <w:rsid w:val="005516A1"/>
    <w:rsid w:val="0055178C"/>
    <w:rsid w:val="00553C5C"/>
    <w:rsid w:val="005559EF"/>
    <w:rsid w:val="00562A8D"/>
    <w:rsid w:val="00563557"/>
    <w:rsid w:val="0057055A"/>
    <w:rsid w:val="00572D02"/>
    <w:rsid w:val="0057402A"/>
    <w:rsid w:val="00576F76"/>
    <w:rsid w:val="005771D0"/>
    <w:rsid w:val="0058160C"/>
    <w:rsid w:val="00582264"/>
    <w:rsid w:val="00583E32"/>
    <w:rsid w:val="00586852"/>
    <w:rsid w:val="0059191A"/>
    <w:rsid w:val="005921FF"/>
    <w:rsid w:val="005947E0"/>
    <w:rsid w:val="0059579D"/>
    <w:rsid w:val="005A24ED"/>
    <w:rsid w:val="005A6D0E"/>
    <w:rsid w:val="005B52B0"/>
    <w:rsid w:val="005B6806"/>
    <w:rsid w:val="005B6E84"/>
    <w:rsid w:val="005B7788"/>
    <w:rsid w:val="005C4225"/>
    <w:rsid w:val="005D06FB"/>
    <w:rsid w:val="005D29E8"/>
    <w:rsid w:val="005D3D1C"/>
    <w:rsid w:val="005D727E"/>
    <w:rsid w:val="005E0B6E"/>
    <w:rsid w:val="005E2385"/>
    <w:rsid w:val="005E53D5"/>
    <w:rsid w:val="005F0589"/>
    <w:rsid w:val="005F0DAD"/>
    <w:rsid w:val="005F0F33"/>
    <w:rsid w:val="005F2122"/>
    <w:rsid w:val="005F25DB"/>
    <w:rsid w:val="005F4796"/>
    <w:rsid w:val="005F68BC"/>
    <w:rsid w:val="005F6991"/>
    <w:rsid w:val="005F7259"/>
    <w:rsid w:val="00600DEB"/>
    <w:rsid w:val="006017C0"/>
    <w:rsid w:val="006029AE"/>
    <w:rsid w:val="00604E5A"/>
    <w:rsid w:val="006054DA"/>
    <w:rsid w:val="0060650B"/>
    <w:rsid w:val="00611207"/>
    <w:rsid w:val="00613F62"/>
    <w:rsid w:val="00615DC5"/>
    <w:rsid w:val="006170FF"/>
    <w:rsid w:val="00621934"/>
    <w:rsid w:val="006259FC"/>
    <w:rsid w:val="00626104"/>
    <w:rsid w:val="00627100"/>
    <w:rsid w:val="00627C9F"/>
    <w:rsid w:val="006311E9"/>
    <w:rsid w:val="006317E3"/>
    <w:rsid w:val="00632354"/>
    <w:rsid w:val="00632C6A"/>
    <w:rsid w:val="00635421"/>
    <w:rsid w:val="00642810"/>
    <w:rsid w:val="00642D93"/>
    <w:rsid w:val="006457D5"/>
    <w:rsid w:val="00651784"/>
    <w:rsid w:val="00652333"/>
    <w:rsid w:val="00660791"/>
    <w:rsid w:val="00664410"/>
    <w:rsid w:val="00664AC0"/>
    <w:rsid w:val="006659E3"/>
    <w:rsid w:val="00670E48"/>
    <w:rsid w:val="00671884"/>
    <w:rsid w:val="006726A3"/>
    <w:rsid w:val="00674ED3"/>
    <w:rsid w:val="00675472"/>
    <w:rsid w:val="00675EC3"/>
    <w:rsid w:val="006766D0"/>
    <w:rsid w:val="00676D1B"/>
    <w:rsid w:val="0068009E"/>
    <w:rsid w:val="006816A9"/>
    <w:rsid w:val="00687811"/>
    <w:rsid w:val="00690BE0"/>
    <w:rsid w:val="00690BE7"/>
    <w:rsid w:val="00692219"/>
    <w:rsid w:val="0069240D"/>
    <w:rsid w:val="006A17D2"/>
    <w:rsid w:val="006A56D5"/>
    <w:rsid w:val="006A73E6"/>
    <w:rsid w:val="006B2D5C"/>
    <w:rsid w:val="006B3CE4"/>
    <w:rsid w:val="006C0EB6"/>
    <w:rsid w:val="006C0ECF"/>
    <w:rsid w:val="006C3911"/>
    <w:rsid w:val="006C4EB1"/>
    <w:rsid w:val="006C627D"/>
    <w:rsid w:val="006C7BA4"/>
    <w:rsid w:val="006D4028"/>
    <w:rsid w:val="006D5BF4"/>
    <w:rsid w:val="006E0166"/>
    <w:rsid w:val="006E2B55"/>
    <w:rsid w:val="006E2FFB"/>
    <w:rsid w:val="006E7B34"/>
    <w:rsid w:val="006F6A0E"/>
    <w:rsid w:val="007054AF"/>
    <w:rsid w:val="0070697F"/>
    <w:rsid w:val="00707024"/>
    <w:rsid w:val="00707BBB"/>
    <w:rsid w:val="007103C4"/>
    <w:rsid w:val="00711246"/>
    <w:rsid w:val="007204F0"/>
    <w:rsid w:val="0072066F"/>
    <w:rsid w:val="0072199C"/>
    <w:rsid w:val="00722C9F"/>
    <w:rsid w:val="007253B8"/>
    <w:rsid w:val="00725712"/>
    <w:rsid w:val="00730163"/>
    <w:rsid w:val="007321F6"/>
    <w:rsid w:val="0073741F"/>
    <w:rsid w:val="00737A24"/>
    <w:rsid w:val="00740852"/>
    <w:rsid w:val="007428C7"/>
    <w:rsid w:val="00742F97"/>
    <w:rsid w:val="00743653"/>
    <w:rsid w:val="00747599"/>
    <w:rsid w:val="00750F01"/>
    <w:rsid w:val="00756394"/>
    <w:rsid w:val="007565D0"/>
    <w:rsid w:val="00756C4B"/>
    <w:rsid w:val="00761DDC"/>
    <w:rsid w:val="0076643F"/>
    <w:rsid w:val="00777F63"/>
    <w:rsid w:val="00784B80"/>
    <w:rsid w:val="00785EF3"/>
    <w:rsid w:val="00792933"/>
    <w:rsid w:val="00793D4D"/>
    <w:rsid w:val="007A2524"/>
    <w:rsid w:val="007A5817"/>
    <w:rsid w:val="007B052B"/>
    <w:rsid w:val="007B05C4"/>
    <w:rsid w:val="007B27B5"/>
    <w:rsid w:val="007B60E9"/>
    <w:rsid w:val="007B6CC3"/>
    <w:rsid w:val="007B76D3"/>
    <w:rsid w:val="007C30CC"/>
    <w:rsid w:val="007C3334"/>
    <w:rsid w:val="007C3DC9"/>
    <w:rsid w:val="007D2B98"/>
    <w:rsid w:val="007D51FC"/>
    <w:rsid w:val="007E21BC"/>
    <w:rsid w:val="007E3C17"/>
    <w:rsid w:val="007E3E2D"/>
    <w:rsid w:val="007E7C82"/>
    <w:rsid w:val="007F2AA1"/>
    <w:rsid w:val="007F51DA"/>
    <w:rsid w:val="007F588D"/>
    <w:rsid w:val="00803293"/>
    <w:rsid w:val="0080383C"/>
    <w:rsid w:val="00803F1C"/>
    <w:rsid w:val="0080600E"/>
    <w:rsid w:val="00814688"/>
    <w:rsid w:val="00817612"/>
    <w:rsid w:val="0082274B"/>
    <w:rsid w:val="00830BD7"/>
    <w:rsid w:val="00831531"/>
    <w:rsid w:val="008338A4"/>
    <w:rsid w:val="00834D49"/>
    <w:rsid w:val="00834ED3"/>
    <w:rsid w:val="00837C45"/>
    <w:rsid w:val="00841FE8"/>
    <w:rsid w:val="008424B6"/>
    <w:rsid w:val="00844730"/>
    <w:rsid w:val="00844E7D"/>
    <w:rsid w:val="00844FFB"/>
    <w:rsid w:val="008457C2"/>
    <w:rsid w:val="008523FF"/>
    <w:rsid w:val="008549BF"/>
    <w:rsid w:val="00854D1F"/>
    <w:rsid w:val="00857A82"/>
    <w:rsid w:val="00865A90"/>
    <w:rsid w:val="00865DAD"/>
    <w:rsid w:val="00866140"/>
    <w:rsid w:val="00873836"/>
    <w:rsid w:val="008760E1"/>
    <w:rsid w:val="00882B1D"/>
    <w:rsid w:val="00884271"/>
    <w:rsid w:val="00885737"/>
    <w:rsid w:val="00886ED2"/>
    <w:rsid w:val="008904C8"/>
    <w:rsid w:val="00890650"/>
    <w:rsid w:val="008944DC"/>
    <w:rsid w:val="00896771"/>
    <w:rsid w:val="00897E12"/>
    <w:rsid w:val="008A4BAA"/>
    <w:rsid w:val="008A5591"/>
    <w:rsid w:val="008A7E0F"/>
    <w:rsid w:val="008B119E"/>
    <w:rsid w:val="008B12F5"/>
    <w:rsid w:val="008B2829"/>
    <w:rsid w:val="008B4E03"/>
    <w:rsid w:val="008C18D9"/>
    <w:rsid w:val="008C5E2D"/>
    <w:rsid w:val="008C69BF"/>
    <w:rsid w:val="008D0D84"/>
    <w:rsid w:val="008D2AAC"/>
    <w:rsid w:val="008D768D"/>
    <w:rsid w:val="008D7E89"/>
    <w:rsid w:val="008E3759"/>
    <w:rsid w:val="008E3BFE"/>
    <w:rsid w:val="008E63C0"/>
    <w:rsid w:val="008F07EC"/>
    <w:rsid w:val="008F086B"/>
    <w:rsid w:val="008F1912"/>
    <w:rsid w:val="00900ED4"/>
    <w:rsid w:val="0090270B"/>
    <w:rsid w:val="00903F6E"/>
    <w:rsid w:val="009041DC"/>
    <w:rsid w:val="0091068A"/>
    <w:rsid w:val="00911344"/>
    <w:rsid w:val="00916126"/>
    <w:rsid w:val="00917B5A"/>
    <w:rsid w:val="00920A58"/>
    <w:rsid w:val="00920A8C"/>
    <w:rsid w:val="00920BCE"/>
    <w:rsid w:val="00924CAA"/>
    <w:rsid w:val="00925C3A"/>
    <w:rsid w:val="0093107F"/>
    <w:rsid w:val="00932C8F"/>
    <w:rsid w:val="009346B0"/>
    <w:rsid w:val="00934A2C"/>
    <w:rsid w:val="00937C06"/>
    <w:rsid w:val="00940B65"/>
    <w:rsid w:val="0094302B"/>
    <w:rsid w:val="009458EC"/>
    <w:rsid w:val="00961068"/>
    <w:rsid w:val="0096706E"/>
    <w:rsid w:val="009710AB"/>
    <w:rsid w:val="00974491"/>
    <w:rsid w:val="009747B9"/>
    <w:rsid w:val="00974DA9"/>
    <w:rsid w:val="0097570D"/>
    <w:rsid w:val="00975C4E"/>
    <w:rsid w:val="00980474"/>
    <w:rsid w:val="00981FBA"/>
    <w:rsid w:val="00987092"/>
    <w:rsid w:val="00992416"/>
    <w:rsid w:val="00997BC5"/>
    <w:rsid w:val="009A34F1"/>
    <w:rsid w:val="009A4F41"/>
    <w:rsid w:val="009B381B"/>
    <w:rsid w:val="009B43D4"/>
    <w:rsid w:val="009B55E4"/>
    <w:rsid w:val="009C15CA"/>
    <w:rsid w:val="009C34BA"/>
    <w:rsid w:val="009C54E7"/>
    <w:rsid w:val="009D0ED4"/>
    <w:rsid w:val="009D1753"/>
    <w:rsid w:val="009D1F86"/>
    <w:rsid w:val="009D4F79"/>
    <w:rsid w:val="009D7611"/>
    <w:rsid w:val="009D795D"/>
    <w:rsid w:val="009E0B61"/>
    <w:rsid w:val="009E4AA0"/>
    <w:rsid w:val="009E53DE"/>
    <w:rsid w:val="009F6D5A"/>
    <w:rsid w:val="00A049EF"/>
    <w:rsid w:val="00A04F76"/>
    <w:rsid w:val="00A060BF"/>
    <w:rsid w:val="00A11212"/>
    <w:rsid w:val="00A11E44"/>
    <w:rsid w:val="00A25221"/>
    <w:rsid w:val="00A30100"/>
    <w:rsid w:val="00A307F9"/>
    <w:rsid w:val="00A30B73"/>
    <w:rsid w:val="00A328B3"/>
    <w:rsid w:val="00A40CF9"/>
    <w:rsid w:val="00A50FCF"/>
    <w:rsid w:val="00A528D1"/>
    <w:rsid w:val="00A5616C"/>
    <w:rsid w:val="00A610CD"/>
    <w:rsid w:val="00A64FD2"/>
    <w:rsid w:val="00A64FEC"/>
    <w:rsid w:val="00A70491"/>
    <w:rsid w:val="00A70E5F"/>
    <w:rsid w:val="00A71E55"/>
    <w:rsid w:val="00A758AA"/>
    <w:rsid w:val="00A811A9"/>
    <w:rsid w:val="00A86E50"/>
    <w:rsid w:val="00A870D6"/>
    <w:rsid w:val="00A910AC"/>
    <w:rsid w:val="00A9504F"/>
    <w:rsid w:val="00A95712"/>
    <w:rsid w:val="00A97391"/>
    <w:rsid w:val="00AA09A2"/>
    <w:rsid w:val="00AA2C9A"/>
    <w:rsid w:val="00AA7996"/>
    <w:rsid w:val="00AA7B78"/>
    <w:rsid w:val="00AB2373"/>
    <w:rsid w:val="00AB367F"/>
    <w:rsid w:val="00AB7318"/>
    <w:rsid w:val="00AC18EB"/>
    <w:rsid w:val="00AC19CB"/>
    <w:rsid w:val="00AC5AFC"/>
    <w:rsid w:val="00AD0ABB"/>
    <w:rsid w:val="00AE076B"/>
    <w:rsid w:val="00AE25F5"/>
    <w:rsid w:val="00AE5488"/>
    <w:rsid w:val="00AE6F91"/>
    <w:rsid w:val="00AF1888"/>
    <w:rsid w:val="00AF5571"/>
    <w:rsid w:val="00B00805"/>
    <w:rsid w:val="00B00CEF"/>
    <w:rsid w:val="00B05126"/>
    <w:rsid w:val="00B07341"/>
    <w:rsid w:val="00B1129F"/>
    <w:rsid w:val="00B13BF9"/>
    <w:rsid w:val="00B16958"/>
    <w:rsid w:val="00B20A70"/>
    <w:rsid w:val="00B22BCB"/>
    <w:rsid w:val="00B2445E"/>
    <w:rsid w:val="00B30539"/>
    <w:rsid w:val="00B314DB"/>
    <w:rsid w:val="00B32157"/>
    <w:rsid w:val="00B334E6"/>
    <w:rsid w:val="00B34438"/>
    <w:rsid w:val="00B35772"/>
    <w:rsid w:val="00B361F2"/>
    <w:rsid w:val="00B3718B"/>
    <w:rsid w:val="00B3745F"/>
    <w:rsid w:val="00B41829"/>
    <w:rsid w:val="00B43DE0"/>
    <w:rsid w:val="00B44A99"/>
    <w:rsid w:val="00B4632A"/>
    <w:rsid w:val="00B47144"/>
    <w:rsid w:val="00B510EC"/>
    <w:rsid w:val="00B52F6A"/>
    <w:rsid w:val="00B530F1"/>
    <w:rsid w:val="00B5767E"/>
    <w:rsid w:val="00B61632"/>
    <w:rsid w:val="00B623AD"/>
    <w:rsid w:val="00B63A36"/>
    <w:rsid w:val="00B63DB4"/>
    <w:rsid w:val="00B7280E"/>
    <w:rsid w:val="00B75806"/>
    <w:rsid w:val="00B76406"/>
    <w:rsid w:val="00B777A2"/>
    <w:rsid w:val="00B821EF"/>
    <w:rsid w:val="00B839A0"/>
    <w:rsid w:val="00B869BD"/>
    <w:rsid w:val="00B86AD1"/>
    <w:rsid w:val="00B93D7F"/>
    <w:rsid w:val="00B96358"/>
    <w:rsid w:val="00B96727"/>
    <w:rsid w:val="00BA276C"/>
    <w:rsid w:val="00BA37B3"/>
    <w:rsid w:val="00BA4089"/>
    <w:rsid w:val="00BA61C6"/>
    <w:rsid w:val="00BA7110"/>
    <w:rsid w:val="00BA7A59"/>
    <w:rsid w:val="00BB019D"/>
    <w:rsid w:val="00BB306F"/>
    <w:rsid w:val="00BB5B6C"/>
    <w:rsid w:val="00BC0AE1"/>
    <w:rsid w:val="00BC3CC3"/>
    <w:rsid w:val="00BD0BAE"/>
    <w:rsid w:val="00BD0FF5"/>
    <w:rsid w:val="00BD4B89"/>
    <w:rsid w:val="00BD5922"/>
    <w:rsid w:val="00BE4CD6"/>
    <w:rsid w:val="00BE5824"/>
    <w:rsid w:val="00BF02CB"/>
    <w:rsid w:val="00BF21D7"/>
    <w:rsid w:val="00BF2CBF"/>
    <w:rsid w:val="00BF433B"/>
    <w:rsid w:val="00BF6FD8"/>
    <w:rsid w:val="00C033FE"/>
    <w:rsid w:val="00C03680"/>
    <w:rsid w:val="00C04F21"/>
    <w:rsid w:val="00C054DF"/>
    <w:rsid w:val="00C21762"/>
    <w:rsid w:val="00C21FEF"/>
    <w:rsid w:val="00C23BA4"/>
    <w:rsid w:val="00C24543"/>
    <w:rsid w:val="00C24FAF"/>
    <w:rsid w:val="00C256A2"/>
    <w:rsid w:val="00C25ADB"/>
    <w:rsid w:val="00C27843"/>
    <w:rsid w:val="00C40153"/>
    <w:rsid w:val="00C47A8F"/>
    <w:rsid w:val="00C51515"/>
    <w:rsid w:val="00C52E94"/>
    <w:rsid w:val="00C5660B"/>
    <w:rsid w:val="00C61C94"/>
    <w:rsid w:val="00C62EF6"/>
    <w:rsid w:val="00C6358A"/>
    <w:rsid w:val="00C66B72"/>
    <w:rsid w:val="00C71234"/>
    <w:rsid w:val="00C73E7B"/>
    <w:rsid w:val="00C773FF"/>
    <w:rsid w:val="00C80EFE"/>
    <w:rsid w:val="00C81888"/>
    <w:rsid w:val="00C870AE"/>
    <w:rsid w:val="00C87AC4"/>
    <w:rsid w:val="00C9276C"/>
    <w:rsid w:val="00C9567A"/>
    <w:rsid w:val="00CA028F"/>
    <w:rsid w:val="00CA2F76"/>
    <w:rsid w:val="00CA35AD"/>
    <w:rsid w:val="00CA6DDC"/>
    <w:rsid w:val="00CB1527"/>
    <w:rsid w:val="00CB212D"/>
    <w:rsid w:val="00CB2660"/>
    <w:rsid w:val="00CB74CF"/>
    <w:rsid w:val="00CB7B97"/>
    <w:rsid w:val="00CC070D"/>
    <w:rsid w:val="00CC5E90"/>
    <w:rsid w:val="00CD046C"/>
    <w:rsid w:val="00CD13F5"/>
    <w:rsid w:val="00CD1EBB"/>
    <w:rsid w:val="00CE076C"/>
    <w:rsid w:val="00CE3E11"/>
    <w:rsid w:val="00CE5199"/>
    <w:rsid w:val="00CE66D5"/>
    <w:rsid w:val="00CF6229"/>
    <w:rsid w:val="00CF637A"/>
    <w:rsid w:val="00D0121A"/>
    <w:rsid w:val="00D059DE"/>
    <w:rsid w:val="00D05ABD"/>
    <w:rsid w:val="00D05C36"/>
    <w:rsid w:val="00D107D0"/>
    <w:rsid w:val="00D13FCE"/>
    <w:rsid w:val="00D22386"/>
    <w:rsid w:val="00D242ED"/>
    <w:rsid w:val="00D26A35"/>
    <w:rsid w:val="00D306D1"/>
    <w:rsid w:val="00D30800"/>
    <w:rsid w:val="00D3275A"/>
    <w:rsid w:val="00D34786"/>
    <w:rsid w:val="00D3667B"/>
    <w:rsid w:val="00D37BFC"/>
    <w:rsid w:val="00D4048A"/>
    <w:rsid w:val="00D41F69"/>
    <w:rsid w:val="00D4465C"/>
    <w:rsid w:val="00D4749F"/>
    <w:rsid w:val="00D47A8E"/>
    <w:rsid w:val="00D51AF9"/>
    <w:rsid w:val="00D52D14"/>
    <w:rsid w:val="00D53431"/>
    <w:rsid w:val="00D53B30"/>
    <w:rsid w:val="00D5587D"/>
    <w:rsid w:val="00D61B06"/>
    <w:rsid w:val="00D63B6C"/>
    <w:rsid w:val="00D65AF8"/>
    <w:rsid w:val="00D712D3"/>
    <w:rsid w:val="00D71422"/>
    <w:rsid w:val="00D723F1"/>
    <w:rsid w:val="00D72BB6"/>
    <w:rsid w:val="00D72DC6"/>
    <w:rsid w:val="00D74376"/>
    <w:rsid w:val="00D7558D"/>
    <w:rsid w:val="00D76E3C"/>
    <w:rsid w:val="00D81D92"/>
    <w:rsid w:val="00D85B15"/>
    <w:rsid w:val="00D876F9"/>
    <w:rsid w:val="00DA17B8"/>
    <w:rsid w:val="00DA4026"/>
    <w:rsid w:val="00DA6D81"/>
    <w:rsid w:val="00DA7B5F"/>
    <w:rsid w:val="00DB0504"/>
    <w:rsid w:val="00DB30C3"/>
    <w:rsid w:val="00DB5498"/>
    <w:rsid w:val="00DB667B"/>
    <w:rsid w:val="00DC11E7"/>
    <w:rsid w:val="00DC24E3"/>
    <w:rsid w:val="00DC27B0"/>
    <w:rsid w:val="00DC2DBA"/>
    <w:rsid w:val="00DC54D4"/>
    <w:rsid w:val="00DC7023"/>
    <w:rsid w:val="00DC769A"/>
    <w:rsid w:val="00DD3973"/>
    <w:rsid w:val="00DD3D86"/>
    <w:rsid w:val="00DD4AD2"/>
    <w:rsid w:val="00DE041C"/>
    <w:rsid w:val="00DE24D3"/>
    <w:rsid w:val="00DE2862"/>
    <w:rsid w:val="00DE5575"/>
    <w:rsid w:val="00DE62E4"/>
    <w:rsid w:val="00DE69B1"/>
    <w:rsid w:val="00DF0125"/>
    <w:rsid w:val="00DF0155"/>
    <w:rsid w:val="00DF1EC4"/>
    <w:rsid w:val="00DF7941"/>
    <w:rsid w:val="00E02283"/>
    <w:rsid w:val="00E0340B"/>
    <w:rsid w:val="00E04671"/>
    <w:rsid w:val="00E04A90"/>
    <w:rsid w:val="00E0551F"/>
    <w:rsid w:val="00E06923"/>
    <w:rsid w:val="00E12C25"/>
    <w:rsid w:val="00E14CD1"/>
    <w:rsid w:val="00E17DB7"/>
    <w:rsid w:val="00E219C7"/>
    <w:rsid w:val="00E21B05"/>
    <w:rsid w:val="00E22430"/>
    <w:rsid w:val="00E22D1F"/>
    <w:rsid w:val="00E23CC5"/>
    <w:rsid w:val="00E271BC"/>
    <w:rsid w:val="00E329A9"/>
    <w:rsid w:val="00E3515C"/>
    <w:rsid w:val="00E379A9"/>
    <w:rsid w:val="00E40037"/>
    <w:rsid w:val="00E40CD4"/>
    <w:rsid w:val="00E4118C"/>
    <w:rsid w:val="00E43157"/>
    <w:rsid w:val="00E446E9"/>
    <w:rsid w:val="00E461CE"/>
    <w:rsid w:val="00E512B5"/>
    <w:rsid w:val="00E573E4"/>
    <w:rsid w:val="00E63C79"/>
    <w:rsid w:val="00E64C3D"/>
    <w:rsid w:val="00E7108A"/>
    <w:rsid w:val="00E71269"/>
    <w:rsid w:val="00E720CA"/>
    <w:rsid w:val="00E746CA"/>
    <w:rsid w:val="00E7498F"/>
    <w:rsid w:val="00E74F9E"/>
    <w:rsid w:val="00E75E90"/>
    <w:rsid w:val="00E8047E"/>
    <w:rsid w:val="00E820A2"/>
    <w:rsid w:val="00E84EB5"/>
    <w:rsid w:val="00E85662"/>
    <w:rsid w:val="00E8789F"/>
    <w:rsid w:val="00E879A5"/>
    <w:rsid w:val="00E96A28"/>
    <w:rsid w:val="00E97B71"/>
    <w:rsid w:val="00EA3D34"/>
    <w:rsid w:val="00EA4528"/>
    <w:rsid w:val="00EA5BC8"/>
    <w:rsid w:val="00EA6C7B"/>
    <w:rsid w:val="00EB0DD5"/>
    <w:rsid w:val="00EB17F3"/>
    <w:rsid w:val="00EB1AA3"/>
    <w:rsid w:val="00EB454D"/>
    <w:rsid w:val="00EC4264"/>
    <w:rsid w:val="00EC46A9"/>
    <w:rsid w:val="00EC56B6"/>
    <w:rsid w:val="00EC6493"/>
    <w:rsid w:val="00ED549D"/>
    <w:rsid w:val="00ED5E10"/>
    <w:rsid w:val="00ED76BE"/>
    <w:rsid w:val="00EE00E9"/>
    <w:rsid w:val="00EE0374"/>
    <w:rsid w:val="00EE16CC"/>
    <w:rsid w:val="00EE3791"/>
    <w:rsid w:val="00EE6457"/>
    <w:rsid w:val="00EF1AAA"/>
    <w:rsid w:val="00EF37BF"/>
    <w:rsid w:val="00EF4E7C"/>
    <w:rsid w:val="00EF619B"/>
    <w:rsid w:val="00EF64BB"/>
    <w:rsid w:val="00EF7D62"/>
    <w:rsid w:val="00F00B55"/>
    <w:rsid w:val="00F013B1"/>
    <w:rsid w:val="00F017CF"/>
    <w:rsid w:val="00F02AD1"/>
    <w:rsid w:val="00F02B82"/>
    <w:rsid w:val="00F03702"/>
    <w:rsid w:val="00F04F51"/>
    <w:rsid w:val="00F1167D"/>
    <w:rsid w:val="00F13E6F"/>
    <w:rsid w:val="00F253CC"/>
    <w:rsid w:val="00F25735"/>
    <w:rsid w:val="00F267DC"/>
    <w:rsid w:val="00F350F4"/>
    <w:rsid w:val="00F37106"/>
    <w:rsid w:val="00F37B78"/>
    <w:rsid w:val="00F402A5"/>
    <w:rsid w:val="00F44E25"/>
    <w:rsid w:val="00F519CF"/>
    <w:rsid w:val="00F51FC1"/>
    <w:rsid w:val="00F56AB3"/>
    <w:rsid w:val="00F56BA5"/>
    <w:rsid w:val="00F605F2"/>
    <w:rsid w:val="00F60E22"/>
    <w:rsid w:val="00F71CEB"/>
    <w:rsid w:val="00F73CB5"/>
    <w:rsid w:val="00F76E67"/>
    <w:rsid w:val="00F81395"/>
    <w:rsid w:val="00F81BB8"/>
    <w:rsid w:val="00F8346A"/>
    <w:rsid w:val="00F90C64"/>
    <w:rsid w:val="00F917D1"/>
    <w:rsid w:val="00F925C0"/>
    <w:rsid w:val="00F94BBA"/>
    <w:rsid w:val="00F9653B"/>
    <w:rsid w:val="00F97E40"/>
    <w:rsid w:val="00FA1853"/>
    <w:rsid w:val="00FB21CE"/>
    <w:rsid w:val="00FB62CF"/>
    <w:rsid w:val="00FB6353"/>
    <w:rsid w:val="00FD225A"/>
    <w:rsid w:val="00FD3C3B"/>
    <w:rsid w:val="00FD4896"/>
    <w:rsid w:val="00FD5115"/>
    <w:rsid w:val="00FE07DD"/>
    <w:rsid w:val="00FE0A1D"/>
    <w:rsid w:val="00FE6B45"/>
    <w:rsid w:val="00FE6FCD"/>
    <w:rsid w:val="00FF133A"/>
    <w:rsid w:val="00FF386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8F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3CC5"/>
    <w:rPr>
      <w:sz w:val="16"/>
      <w:szCs w:val="16"/>
    </w:rPr>
  </w:style>
  <w:style w:type="paragraph" w:styleId="CommentText">
    <w:name w:val="annotation text"/>
    <w:basedOn w:val="Normal"/>
    <w:link w:val="CommentTextChar"/>
    <w:uiPriority w:val="99"/>
    <w:semiHidden/>
    <w:unhideWhenUsed/>
    <w:rsid w:val="00E23CC5"/>
    <w:rPr>
      <w:sz w:val="20"/>
      <w:szCs w:val="20"/>
    </w:rPr>
  </w:style>
  <w:style w:type="character" w:customStyle="1" w:styleId="CommentTextChar">
    <w:name w:val="Comment Text Char"/>
    <w:basedOn w:val="DefaultParagraphFont"/>
    <w:link w:val="CommentText"/>
    <w:uiPriority w:val="99"/>
    <w:semiHidden/>
    <w:rsid w:val="00E23CC5"/>
    <w:rPr>
      <w:lang w:val="en-US" w:eastAsia="en-US"/>
    </w:rPr>
  </w:style>
  <w:style w:type="paragraph" w:styleId="CommentSubject">
    <w:name w:val="annotation subject"/>
    <w:basedOn w:val="CommentText"/>
    <w:next w:val="CommentText"/>
    <w:link w:val="CommentSubjectChar"/>
    <w:uiPriority w:val="99"/>
    <w:semiHidden/>
    <w:unhideWhenUsed/>
    <w:rsid w:val="00E23CC5"/>
    <w:rPr>
      <w:b/>
      <w:bCs/>
    </w:rPr>
  </w:style>
  <w:style w:type="character" w:customStyle="1" w:styleId="CommentSubjectChar">
    <w:name w:val="Comment Subject Char"/>
    <w:basedOn w:val="CommentTextChar"/>
    <w:link w:val="CommentSubject"/>
    <w:uiPriority w:val="99"/>
    <w:semiHidden/>
    <w:rsid w:val="00E23CC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1692F"/>
    <w:rsid w:val="002303EB"/>
    <w:rsid w:val="0025245B"/>
    <w:rsid w:val="002A3923"/>
    <w:rsid w:val="003108DE"/>
    <w:rsid w:val="00394049"/>
    <w:rsid w:val="003B0C71"/>
    <w:rsid w:val="003C0DEF"/>
    <w:rsid w:val="004B5BBB"/>
    <w:rsid w:val="004F2DF8"/>
    <w:rsid w:val="004F4034"/>
    <w:rsid w:val="00517E2A"/>
    <w:rsid w:val="00582791"/>
    <w:rsid w:val="00654EF3"/>
    <w:rsid w:val="006D2D18"/>
    <w:rsid w:val="006F24A1"/>
    <w:rsid w:val="0087345F"/>
    <w:rsid w:val="008F7FFC"/>
    <w:rsid w:val="00906B48"/>
    <w:rsid w:val="00922395"/>
    <w:rsid w:val="009A261B"/>
    <w:rsid w:val="00AA2E17"/>
    <w:rsid w:val="00AC15A4"/>
    <w:rsid w:val="00B0336C"/>
    <w:rsid w:val="00CA6A8E"/>
    <w:rsid w:val="00D241E9"/>
    <w:rsid w:val="00D7750D"/>
    <w:rsid w:val="00DB398C"/>
    <w:rsid w:val="00E445D4"/>
    <w:rsid w:val="00E621A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3234-3C98-40FC-9C57-97D3A8A7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3992</Words>
  <Characters>20280</Characters>
  <Application>Microsoft Office Word</Application>
  <DocSecurity>0</DocSecurity>
  <Lines>422</Lines>
  <Paragraphs>112</Paragraphs>
  <ScaleCrop>false</ScaleCrop>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187/21</dc:title>
  <dc:creator/>
  <cp:lastModifiedBy/>
  <cp:revision>1</cp:revision>
  <dcterms:created xsi:type="dcterms:W3CDTF">2021-09-22T18:37:00Z</dcterms:created>
  <dcterms:modified xsi:type="dcterms:W3CDTF">2021-09-23T14:01:00Z</dcterms:modified>
</cp:coreProperties>
</file>