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C2052D" w:rsidRDefault="00D306D1" w:rsidP="00627C9F">
      <w:pPr>
        <w:jc w:val="both"/>
        <w:rPr>
          <w:rFonts w:ascii="Cambria" w:hAnsi="Cambria" w:cs="Univers"/>
          <w:b/>
          <w:bCs/>
          <w:sz w:val="22"/>
          <w:szCs w:val="22"/>
          <w:lang w:val="es-ES"/>
        </w:rPr>
      </w:pPr>
      <w:r w:rsidRPr="00C2052D">
        <w:rPr>
          <w:rFonts w:ascii="Cambria" w:hAnsi="Cambria"/>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E3C7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C2052D">
        <w:rPr>
          <w:rFonts w:ascii="Cambria" w:hAnsi="Cambria"/>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93785" w:rsidRDefault="00F9378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F93785" w:rsidRDefault="00F9378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C2052D" w:rsidRDefault="00040C3A" w:rsidP="00040C3A">
      <w:pPr>
        <w:tabs>
          <w:tab w:val="center" w:pos="5400"/>
        </w:tabs>
        <w:suppressAutoHyphens/>
        <w:jc w:val="both"/>
        <w:rPr>
          <w:rFonts w:ascii="Cambria" w:hAnsi="Cambria"/>
          <w:sz w:val="22"/>
          <w:szCs w:val="22"/>
          <w:lang w:val="es-ES"/>
        </w:rPr>
      </w:pPr>
    </w:p>
    <w:p w14:paraId="5A87E141" w14:textId="77777777" w:rsidR="00040C3A" w:rsidRPr="00C2052D" w:rsidRDefault="00040C3A" w:rsidP="00040C3A">
      <w:pPr>
        <w:tabs>
          <w:tab w:val="center" w:pos="5400"/>
        </w:tabs>
        <w:suppressAutoHyphens/>
        <w:jc w:val="both"/>
        <w:rPr>
          <w:rFonts w:ascii="Cambria" w:hAnsi="Cambria"/>
          <w:sz w:val="22"/>
          <w:szCs w:val="22"/>
          <w:lang w:val="es-ES"/>
        </w:rPr>
      </w:pPr>
    </w:p>
    <w:p w14:paraId="29D95BCC" w14:textId="77777777" w:rsidR="005128E4" w:rsidRPr="00C2052D" w:rsidRDefault="005128E4" w:rsidP="00040C3A">
      <w:pPr>
        <w:tabs>
          <w:tab w:val="center" w:pos="5400"/>
        </w:tabs>
        <w:suppressAutoHyphens/>
        <w:rPr>
          <w:rFonts w:ascii="Cambria" w:hAnsi="Cambria"/>
          <w:sz w:val="22"/>
          <w:szCs w:val="22"/>
          <w:lang w:val="es-ES"/>
        </w:rPr>
      </w:pPr>
    </w:p>
    <w:p w14:paraId="12A36B24" w14:textId="77777777" w:rsidR="005128E4" w:rsidRPr="00C2052D" w:rsidRDefault="005128E4" w:rsidP="00040C3A">
      <w:pPr>
        <w:tabs>
          <w:tab w:val="center" w:pos="5400"/>
        </w:tabs>
        <w:suppressAutoHyphens/>
        <w:rPr>
          <w:rFonts w:ascii="Cambria" w:hAnsi="Cambria"/>
          <w:sz w:val="22"/>
          <w:szCs w:val="22"/>
          <w:lang w:val="es-ES"/>
        </w:rPr>
      </w:pPr>
    </w:p>
    <w:p w14:paraId="2252093D" w14:textId="77777777" w:rsidR="005128E4" w:rsidRPr="00C2052D" w:rsidRDefault="005128E4" w:rsidP="00040C3A">
      <w:pPr>
        <w:tabs>
          <w:tab w:val="center" w:pos="5400"/>
        </w:tabs>
        <w:suppressAutoHyphens/>
        <w:rPr>
          <w:rFonts w:ascii="Cambria" w:hAnsi="Cambria"/>
          <w:sz w:val="22"/>
          <w:szCs w:val="22"/>
          <w:lang w:val="es-ES"/>
        </w:rPr>
      </w:pPr>
    </w:p>
    <w:p w14:paraId="403935BD" w14:textId="77777777" w:rsidR="00040C3A" w:rsidRPr="00C2052D" w:rsidRDefault="00040C3A" w:rsidP="005128E4">
      <w:pPr>
        <w:tabs>
          <w:tab w:val="center" w:pos="5400"/>
        </w:tabs>
        <w:suppressAutoHyphens/>
        <w:jc w:val="center"/>
        <w:rPr>
          <w:rFonts w:ascii="Cambria" w:hAnsi="Cambria"/>
          <w:sz w:val="22"/>
          <w:szCs w:val="22"/>
          <w:lang w:val="es-ES"/>
        </w:rPr>
      </w:pPr>
    </w:p>
    <w:p w14:paraId="6DCF5F8F" w14:textId="77777777" w:rsidR="00040C3A" w:rsidRPr="00C2052D" w:rsidRDefault="00040C3A" w:rsidP="005128E4">
      <w:pPr>
        <w:tabs>
          <w:tab w:val="center" w:pos="5400"/>
        </w:tabs>
        <w:suppressAutoHyphens/>
        <w:jc w:val="center"/>
        <w:rPr>
          <w:rFonts w:ascii="Cambria" w:hAnsi="Cambria"/>
          <w:sz w:val="22"/>
          <w:szCs w:val="22"/>
          <w:lang w:val="es-ES"/>
        </w:rPr>
      </w:pPr>
    </w:p>
    <w:p w14:paraId="4791F13A" w14:textId="77777777" w:rsidR="005B52B0" w:rsidRPr="00C2052D" w:rsidRDefault="005B52B0" w:rsidP="005128E4">
      <w:pPr>
        <w:tabs>
          <w:tab w:val="center" w:pos="5400"/>
        </w:tabs>
        <w:suppressAutoHyphens/>
        <w:jc w:val="center"/>
        <w:rPr>
          <w:rFonts w:ascii="Cambria" w:hAnsi="Cambria"/>
          <w:sz w:val="22"/>
          <w:szCs w:val="22"/>
          <w:lang w:val="es-ES"/>
        </w:rPr>
      </w:pPr>
    </w:p>
    <w:p w14:paraId="44E016B6" w14:textId="77777777" w:rsidR="005B52B0" w:rsidRPr="00C2052D" w:rsidRDefault="005B52B0" w:rsidP="005128E4">
      <w:pPr>
        <w:tabs>
          <w:tab w:val="center" w:pos="5400"/>
        </w:tabs>
        <w:suppressAutoHyphens/>
        <w:jc w:val="center"/>
        <w:rPr>
          <w:rFonts w:ascii="Cambria" w:hAnsi="Cambria"/>
          <w:sz w:val="22"/>
          <w:szCs w:val="22"/>
          <w:lang w:val="es-ES"/>
        </w:rPr>
      </w:pPr>
    </w:p>
    <w:p w14:paraId="63D41962" w14:textId="77777777" w:rsidR="005B52B0" w:rsidRPr="00C2052D" w:rsidRDefault="005B52B0" w:rsidP="005128E4">
      <w:pPr>
        <w:tabs>
          <w:tab w:val="center" w:pos="5400"/>
        </w:tabs>
        <w:suppressAutoHyphens/>
        <w:jc w:val="center"/>
        <w:rPr>
          <w:rFonts w:ascii="Cambria" w:hAnsi="Cambria"/>
          <w:sz w:val="22"/>
          <w:szCs w:val="22"/>
          <w:lang w:val="es-ES"/>
        </w:rPr>
      </w:pPr>
    </w:p>
    <w:p w14:paraId="5ADEB990" w14:textId="77777777" w:rsidR="00040C3A" w:rsidRPr="00C2052D" w:rsidRDefault="00040C3A" w:rsidP="00040C3A">
      <w:pPr>
        <w:tabs>
          <w:tab w:val="center" w:pos="5400"/>
        </w:tabs>
        <w:suppressAutoHyphens/>
        <w:jc w:val="center"/>
        <w:rPr>
          <w:rFonts w:ascii="Cambria" w:hAnsi="Cambria"/>
          <w:sz w:val="22"/>
          <w:szCs w:val="22"/>
          <w:lang w:val="es-ES"/>
        </w:rPr>
      </w:pPr>
    </w:p>
    <w:p w14:paraId="2D81B7E8" w14:textId="77777777" w:rsidR="00040C3A" w:rsidRPr="00C2052D" w:rsidRDefault="00040C3A" w:rsidP="00040C3A">
      <w:pPr>
        <w:tabs>
          <w:tab w:val="center" w:pos="5400"/>
        </w:tabs>
        <w:suppressAutoHyphens/>
        <w:jc w:val="center"/>
        <w:rPr>
          <w:rFonts w:ascii="Cambria" w:hAnsi="Cambria"/>
          <w:sz w:val="22"/>
          <w:szCs w:val="22"/>
          <w:lang w:val="es-ES"/>
        </w:rPr>
      </w:pPr>
    </w:p>
    <w:p w14:paraId="64791D04" w14:textId="77777777" w:rsidR="00040C3A" w:rsidRPr="00C2052D" w:rsidRDefault="003D3BC2" w:rsidP="00040C3A">
      <w:pPr>
        <w:tabs>
          <w:tab w:val="center" w:pos="5400"/>
        </w:tabs>
        <w:suppressAutoHyphens/>
        <w:jc w:val="center"/>
        <w:rPr>
          <w:rFonts w:ascii="Cambria" w:hAnsi="Cambria"/>
          <w:sz w:val="22"/>
          <w:szCs w:val="22"/>
          <w:lang w:val="es-ES"/>
        </w:rPr>
      </w:pPr>
      <w:r w:rsidRPr="00C2052D">
        <w:rPr>
          <w:rFonts w:ascii="Cambria" w:hAnsi="Cambria"/>
          <w:noProof/>
          <w:sz w:val="22"/>
          <w:szCs w:val="22"/>
        </w:rPr>
        <mc:AlternateContent>
          <mc:Choice Requires="wps">
            <w:drawing>
              <wp:anchor distT="0" distB="0" distL="114300" distR="114300" simplePos="0" relativeHeight="251669504" behindDoc="0" locked="0" layoutInCell="1" allowOverlap="1" wp14:anchorId="5980ED94" wp14:editId="6875D012">
                <wp:simplePos x="0" y="0"/>
                <wp:positionH relativeFrom="column">
                  <wp:posOffset>1355271</wp:posOffset>
                </wp:positionH>
                <wp:positionV relativeFrom="paragraph">
                  <wp:posOffset>107859</wp:posOffset>
                </wp:positionV>
                <wp:extent cx="3891643"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1643"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1F1BA94" w:rsidR="00F93785" w:rsidRPr="004E2649" w:rsidRDefault="00F9378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C50CA">
                              <w:rPr>
                                <w:rFonts w:asciiTheme="majorHAnsi" w:hAnsiTheme="majorHAnsi" w:cs="Arial"/>
                                <w:b/>
                                <w:bCs/>
                                <w:color w:val="0D0D0D" w:themeColor="text1" w:themeTint="F2"/>
                                <w:sz w:val="36"/>
                                <w:szCs w:val="22"/>
                                <w:lang w:val="es-ES_tradnl"/>
                              </w:rPr>
                              <w:t>184</w:t>
                            </w:r>
                            <w:r>
                              <w:rPr>
                                <w:rFonts w:asciiTheme="majorHAnsi" w:hAnsiTheme="majorHAnsi" w:cs="Arial"/>
                                <w:b/>
                                <w:bCs/>
                                <w:color w:val="0D0D0D" w:themeColor="text1" w:themeTint="F2"/>
                                <w:sz w:val="36"/>
                                <w:szCs w:val="22"/>
                                <w:lang w:val="es-ES_tradnl"/>
                              </w:rPr>
                              <w:t>/</w:t>
                            </w:r>
                            <w:r w:rsidR="00FC3DBB">
                              <w:rPr>
                                <w:rFonts w:asciiTheme="majorHAnsi" w:hAnsiTheme="majorHAnsi" w:cs="Arial"/>
                                <w:b/>
                                <w:bCs/>
                                <w:color w:val="0D0D0D" w:themeColor="text1" w:themeTint="F2"/>
                                <w:sz w:val="36"/>
                                <w:szCs w:val="22"/>
                                <w:lang w:val="es-ES_tradnl"/>
                              </w:rPr>
                              <w:t>21</w:t>
                            </w:r>
                          </w:p>
                          <w:p w14:paraId="09C54AB3" w14:textId="462D4141" w:rsidR="00F93785" w:rsidRDefault="00F9378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C3DBB">
                              <w:rPr>
                                <w:rFonts w:asciiTheme="majorHAnsi" w:hAnsiTheme="majorHAnsi" w:cs="Arial"/>
                                <w:b/>
                                <w:color w:val="0D0D0D" w:themeColor="text1" w:themeTint="F2"/>
                                <w:sz w:val="36"/>
                                <w:szCs w:val="22"/>
                                <w:lang w:val="es-ES_tradnl"/>
                              </w:rPr>
                              <w:t>81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FC3DBB">
                              <w:rPr>
                                <w:rFonts w:asciiTheme="majorHAnsi" w:hAnsiTheme="majorHAnsi" w:cs="Arial"/>
                                <w:b/>
                                <w:color w:val="0D0D0D" w:themeColor="text1" w:themeTint="F2"/>
                                <w:sz w:val="36"/>
                                <w:szCs w:val="22"/>
                                <w:lang w:val="es-ES_tradnl"/>
                              </w:rPr>
                              <w:t>1</w:t>
                            </w:r>
                            <w:r w:rsidRPr="004E2649">
                              <w:rPr>
                                <w:rFonts w:asciiTheme="majorHAnsi" w:hAnsiTheme="majorHAnsi" w:cs="Arial"/>
                                <w:b/>
                                <w:color w:val="0D0D0D" w:themeColor="text1" w:themeTint="F2"/>
                                <w:sz w:val="36"/>
                                <w:szCs w:val="22"/>
                                <w:lang w:val="es-ES_tradnl"/>
                              </w:rPr>
                              <w:t xml:space="preserve"> </w:t>
                            </w:r>
                          </w:p>
                          <w:p w14:paraId="70CF6833" w14:textId="7F16EDE0" w:rsidR="00F93785" w:rsidRPr="0010736F" w:rsidRDefault="00F9378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F93785" w:rsidRPr="0010736F" w:rsidRDefault="00F93785"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0FDB861" w14:textId="77777777" w:rsidR="005D1979" w:rsidRDefault="00FC3DB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FRANCISCO JAVIER ESPINOSA ALMANZA </w:t>
                            </w:r>
                          </w:p>
                          <w:p w14:paraId="2548144A" w14:textId="2E0E9883" w:rsidR="00FC3DBB" w:rsidRDefault="00FC3DB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HUGO ALBERTO LÓPEZ VIDAL</w:t>
                            </w:r>
                          </w:p>
                          <w:p w14:paraId="35068D0D" w14:textId="44CDFA8A" w:rsidR="00F93785" w:rsidRPr="0010736F" w:rsidRDefault="00F937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00DB37BB">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p w14:paraId="575DFD52" w14:textId="77777777" w:rsidR="00F93785" w:rsidRPr="00AE5488" w:rsidRDefault="00F9378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7pt;margin-top:8.5pt;width:306.4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" filled="f" stroked="f" strokeweight=".5pt">
                <v:textbox>
                  <w:txbxContent>
                    <w:p w14:paraId="4D9FE29C" w14:textId="01F1BA94" w:rsidR="00F93785" w:rsidRPr="004E2649" w:rsidRDefault="00F9378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C50CA">
                        <w:rPr>
                          <w:rFonts w:asciiTheme="majorHAnsi" w:hAnsiTheme="majorHAnsi" w:cs="Arial"/>
                          <w:b/>
                          <w:bCs/>
                          <w:color w:val="0D0D0D" w:themeColor="text1" w:themeTint="F2"/>
                          <w:sz w:val="36"/>
                          <w:szCs w:val="22"/>
                          <w:lang w:val="es-ES_tradnl"/>
                        </w:rPr>
                        <w:t>184</w:t>
                      </w:r>
                      <w:r>
                        <w:rPr>
                          <w:rFonts w:asciiTheme="majorHAnsi" w:hAnsiTheme="majorHAnsi" w:cs="Arial"/>
                          <w:b/>
                          <w:bCs/>
                          <w:color w:val="0D0D0D" w:themeColor="text1" w:themeTint="F2"/>
                          <w:sz w:val="36"/>
                          <w:szCs w:val="22"/>
                          <w:lang w:val="es-ES_tradnl"/>
                        </w:rPr>
                        <w:t>/</w:t>
                      </w:r>
                      <w:r w:rsidR="00FC3DBB">
                        <w:rPr>
                          <w:rFonts w:asciiTheme="majorHAnsi" w:hAnsiTheme="majorHAnsi" w:cs="Arial"/>
                          <w:b/>
                          <w:bCs/>
                          <w:color w:val="0D0D0D" w:themeColor="text1" w:themeTint="F2"/>
                          <w:sz w:val="36"/>
                          <w:szCs w:val="22"/>
                          <w:lang w:val="es-ES_tradnl"/>
                        </w:rPr>
                        <w:t>21</w:t>
                      </w:r>
                    </w:p>
                    <w:p w14:paraId="09C54AB3" w14:textId="462D4141" w:rsidR="00F93785" w:rsidRDefault="00F9378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C3DBB">
                        <w:rPr>
                          <w:rFonts w:asciiTheme="majorHAnsi" w:hAnsiTheme="majorHAnsi" w:cs="Arial"/>
                          <w:b/>
                          <w:color w:val="0D0D0D" w:themeColor="text1" w:themeTint="F2"/>
                          <w:sz w:val="36"/>
                          <w:szCs w:val="22"/>
                          <w:lang w:val="es-ES_tradnl"/>
                        </w:rPr>
                        <w:t>81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FC3DBB">
                        <w:rPr>
                          <w:rFonts w:asciiTheme="majorHAnsi" w:hAnsiTheme="majorHAnsi" w:cs="Arial"/>
                          <w:b/>
                          <w:color w:val="0D0D0D" w:themeColor="text1" w:themeTint="F2"/>
                          <w:sz w:val="36"/>
                          <w:szCs w:val="22"/>
                          <w:lang w:val="es-ES_tradnl"/>
                        </w:rPr>
                        <w:t>1</w:t>
                      </w:r>
                      <w:r w:rsidRPr="004E2649">
                        <w:rPr>
                          <w:rFonts w:asciiTheme="majorHAnsi" w:hAnsiTheme="majorHAnsi" w:cs="Arial"/>
                          <w:b/>
                          <w:color w:val="0D0D0D" w:themeColor="text1" w:themeTint="F2"/>
                          <w:sz w:val="36"/>
                          <w:szCs w:val="22"/>
                          <w:lang w:val="es-ES_tradnl"/>
                        </w:rPr>
                        <w:t xml:space="preserve"> </w:t>
                      </w:r>
                    </w:p>
                    <w:p w14:paraId="70CF6833" w14:textId="7F16EDE0" w:rsidR="00F93785" w:rsidRPr="0010736F" w:rsidRDefault="00F9378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F93785" w:rsidRPr="0010736F" w:rsidRDefault="00F93785"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0FDB861" w14:textId="77777777" w:rsidR="005D1979" w:rsidRDefault="00FC3DB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FRANCISCO JAVIER ESPINOSA ALMANZA </w:t>
                      </w:r>
                    </w:p>
                    <w:p w14:paraId="2548144A" w14:textId="2E0E9883" w:rsidR="00FC3DBB" w:rsidRDefault="00FC3DB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HUGO ALBERTO LÓPEZ VIDAL</w:t>
                      </w:r>
                    </w:p>
                    <w:p w14:paraId="35068D0D" w14:textId="44CDFA8A" w:rsidR="00F93785" w:rsidRPr="0010736F" w:rsidRDefault="00F937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00DB37BB">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p w14:paraId="575DFD52" w14:textId="77777777" w:rsidR="00F93785" w:rsidRPr="00AE5488" w:rsidRDefault="00F93785" w:rsidP="007A5817">
                      <w:pPr>
                        <w:rPr>
                          <w:color w:val="0D0D0D" w:themeColor="text1" w:themeTint="F2"/>
                          <w:lang w:val="es-ES_tradnl"/>
                        </w:rPr>
                      </w:pPr>
                    </w:p>
                  </w:txbxContent>
                </v:textbox>
              </v:shape>
            </w:pict>
          </mc:Fallback>
        </mc:AlternateContent>
      </w:r>
      <w:r w:rsidR="004E2649" w:rsidRPr="00C2052D">
        <w:rPr>
          <w:rFonts w:ascii="Cambria" w:hAnsi="Cambria"/>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4E1C3B" w:rsidR="00F93785" w:rsidRPr="007E6688" w:rsidRDefault="00F93785" w:rsidP="007A5817">
                            <w:pPr>
                              <w:spacing w:line="276" w:lineRule="auto"/>
                              <w:jc w:val="right"/>
                              <w:rPr>
                                <w:rFonts w:asciiTheme="minorHAnsi" w:hAnsiTheme="minorHAnsi"/>
                                <w:color w:val="FFFFFF" w:themeColor="background1"/>
                                <w:sz w:val="22"/>
                                <w:lang w:val="pt-BR"/>
                              </w:rPr>
                            </w:pPr>
                            <w:r w:rsidRPr="007E6688">
                              <w:rPr>
                                <w:rFonts w:asciiTheme="minorHAnsi" w:hAnsiTheme="minorHAnsi"/>
                                <w:color w:val="FFFFFF" w:themeColor="background1"/>
                                <w:sz w:val="22"/>
                                <w:lang w:val="pt-BR"/>
                              </w:rPr>
                              <w:t>OEA/Ser.L/V/II</w:t>
                            </w:r>
                          </w:p>
                          <w:p w14:paraId="6A41611B" w14:textId="45B1A0F7" w:rsidR="00F93785" w:rsidRPr="009C50CA" w:rsidRDefault="00F93785" w:rsidP="007A5817">
                            <w:pPr>
                              <w:spacing w:line="276" w:lineRule="auto"/>
                              <w:jc w:val="right"/>
                              <w:rPr>
                                <w:rFonts w:asciiTheme="minorHAnsi" w:hAnsiTheme="minorHAnsi"/>
                                <w:color w:val="FFFFFF" w:themeColor="background1"/>
                                <w:sz w:val="22"/>
                                <w:lang w:val="es-419"/>
                              </w:rPr>
                            </w:pPr>
                            <w:r w:rsidRPr="009C50CA">
                              <w:rPr>
                                <w:rFonts w:asciiTheme="minorHAnsi" w:hAnsiTheme="minorHAnsi"/>
                                <w:color w:val="FFFFFF" w:themeColor="background1"/>
                                <w:sz w:val="22"/>
                                <w:lang w:val="es-419"/>
                              </w:rPr>
                              <w:t xml:space="preserve">Doc. </w:t>
                            </w:r>
                            <w:r w:rsidR="009C50CA" w:rsidRPr="009C50CA">
                              <w:rPr>
                                <w:rFonts w:asciiTheme="minorHAnsi" w:hAnsiTheme="minorHAnsi"/>
                                <w:color w:val="FFFFFF" w:themeColor="background1"/>
                                <w:sz w:val="22"/>
                                <w:lang w:val="es-419"/>
                              </w:rPr>
                              <w:t>19</w:t>
                            </w:r>
                            <w:r w:rsidR="009C50CA">
                              <w:rPr>
                                <w:rFonts w:asciiTheme="minorHAnsi" w:hAnsiTheme="minorHAnsi"/>
                                <w:color w:val="FFFFFF" w:themeColor="background1"/>
                                <w:sz w:val="22"/>
                                <w:lang w:val="es-419"/>
                              </w:rPr>
                              <w:t>3</w:t>
                            </w:r>
                          </w:p>
                          <w:p w14:paraId="69373ED2" w14:textId="3FCD0095" w:rsidR="00F93785" w:rsidRPr="001B4C00" w:rsidRDefault="009C50C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agosto</w:t>
                            </w:r>
                            <w:r w:rsidR="00F93785"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21</w:t>
                            </w:r>
                          </w:p>
                          <w:p w14:paraId="0771DB5B" w14:textId="77777777" w:rsidR="00F93785" w:rsidRPr="001B4C00" w:rsidRDefault="00F93785"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14E1C3B" w:rsidR="00F93785" w:rsidRPr="007E6688" w:rsidRDefault="00F93785" w:rsidP="007A5817">
                      <w:pPr>
                        <w:spacing w:line="276" w:lineRule="auto"/>
                        <w:jc w:val="right"/>
                        <w:rPr>
                          <w:rFonts w:asciiTheme="minorHAnsi" w:hAnsiTheme="minorHAnsi"/>
                          <w:color w:val="FFFFFF" w:themeColor="background1"/>
                          <w:sz w:val="22"/>
                          <w:lang w:val="pt-BR"/>
                        </w:rPr>
                      </w:pPr>
                      <w:r w:rsidRPr="007E6688">
                        <w:rPr>
                          <w:rFonts w:asciiTheme="minorHAnsi" w:hAnsiTheme="minorHAnsi"/>
                          <w:color w:val="FFFFFF" w:themeColor="background1"/>
                          <w:sz w:val="22"/>
                          <w:lang w:val="pt-BR"/>
                        </w:rPr>
                        <w:t>OEA/Ser.L/V/II</w:t>
                      </w:r>
                    </w:p>
                    <w:p w14:paraId="6A41611B" w14:textId="45B1A0F7" w:rsidR="00F93785" w:rsidRPr="009C50CA" w:rsidRDefault="00F93785" w:rsidP="007A5817">
                      <w:pPr>
                        <w:spacing w:line="276" w:lineRule="auto"/>
                        <w:jc w:val="right"/>
                        <w:rPr>
                          <w:rFonts w:asciiTheme="minorHAnsi" w:hAnsiTheme="minorHAnsi"/>
                          <w:color w:val="FFFFFF" w:themeColor="background1"/>
                          <w:sz w:val="22"/>
                          <w:lang w:val="es-419"/>
                        </w:rPr>
                      </w:pPr>
                      <w:r w:rsidRPr="009C50CA">
                        <w:rPr>
                          <w:rFonts w:asciiTheme="minorHAnsi" w:hAnsiTheme="minorHAnsi"/>
                          <w:color w:val="FFFFFF" w:themeColor="background1"/>
                          <w:sz w:val="22"/>
                          <w:lang w:val="es-419"/>
                        </w:rPr>
                        <w:t xml:space="preserve">Doc. </w:t>
                      </w:r>
                      <w:r w:rsidR="009C50CA" w:rsidRPr="009C50CA">
                        <w:rPr>
                          <w:rFonts w:asciiTheme="minorHAnsi" w:hAnsiTheme="minorHAnsi"/>
                          <w:color w:val="FFFFFF" w:themeColor="background1"/>
                          <w:sz w:val="22"/>
                          <w:lang w:val="es-419"/>
                        </w:rPr>
                        <w:t>19</w:t>
                      </w:r>
                      <w:r w:rsidR="009C50CA">
                        <w:rPr>
                          <w:rFonts w:asciiTheme="minorHAnsi" w:hAnsiTheme="minorHAnsi"/>
                          <w:color w:val="FFFFFF" w:themeColor="background1"/>
                          <w:sz w:val="22"/>
                          <w:lang w:val="es-419"/>
                        </w:rPr>
                        <w:t>3</w:t>
                      </w:r>
                    </w:p>
                    <w:p w14:paraId="69373ED2" w14:textId="3FCD0095" w:rsidR="00F93785" w:rsidRPr="001B4C00" w:rsidRDefault="009C50C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agosto</w:t>
                      </w:r>
                      <w:r w:rsidR="00F93785"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21</w:t>
                      </w:r>
                    </w:p>
                    <w:p w14:paraId="0771DB5B" w14:textId="77777777" w:rsidR="00F93785" w:rsidRPr="001B4C00" w:rsidRDefault="00F93785"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C2052D" w:rsidRDefault="00040C3A" w:rsidP="00040C3A">
      <w:pPr>
        <w:tabs>
          <w:tab w:val="center" w:pos="5400"/>
        </w:tabs>
        <w:suppressAutoHyphens/>
        <w:jc w:val="center"/>
        <w:rPr>
          <w:rFonts w:ascii="Cambria" w:hAnsi="Cambria"/>
          <w:sz w:val="22"/>
          <w:szCs w:val="22"/>
          <w:lang w:val="es-ES"/>
        </w:rPr>
      </w:pPr>
    </w:p>
    <w:p w14:paraId="5FE3AB87" w14:textId="77777777" w:rsidR="00040C3A" w:rsidRPr="00C2052D" w:rsidRDefault="00040C3A" w:rsidP="00040C3A">
      <w:pPr>
        <w:tabs>
          <w:tab w:val="center" w:pos="5400"/>
        </w:tabs>
        <w:suppressAutoHyphens/>
        <w:jc w:val="center"/>
        <w:rPr>
          <w:rFonts w:ascii="Cambria" w:hAnsi="Cambria"/>
          <w:sz w:val="22"/>
          <w:szCs w:val="22"/>
          <w:lang w:val="es-ES"/>
        </w:rPr>
      </w:pPr>
    </w:p>
    <w:p w14:paraId="3C383BC0" w14:textId="77777777" w:rsidR="00040C3A" w:rsidRPr="00C2052D" w:rsidRDefault="00040C3A" w:rsidP="00040C3A">
      <w:pPr>
        <w:tabs>
          <w:tab w:val="center" w:pos="5400"/>
        </w:tabs>
        <w:suppressAutoHyphens/>
        <w:jc w:val="center"/>
        <w:rPr>
          <w:rFonts w:ascii="Cambria" w:hAnsi="Cambria" w:cs="Arial"/>
          <w:sz w:val="22"/>
          <w:szCs w:val="22"/>
          <w:lang w:val="es-ES"/>
        </w:rPr>
      </w:pPr>
    </w:p>
    <w:p w14:paraId="54590931" w14:textId="77777777" w:rsidR="00040C3A" w:rsidRPr="00C2052D" w:rsidRDefault="00040C3A" w:rsidP="00040C3A">
      <w:pPr>
        <w:tabs>
          <w:tab w:val="center" w:pos="5400"/>
        </w:tabs>
        <w:suppressAutoHyphens/>
        <w:jc w:val="center"/>
        <w:rPr>
          <w:rFonts w:ascii="Cambria" w:hAnsi="Cambria"/>
          <w:sz w:val="22"/>
          <w:szCs w:val="22"/>
          <w:lang w:val="es-ES"/>
        </w:rPr>
      </w:pPr>
    </w:p>
    <w:p w14:paraId="76C291D6" w14:textId="77777777" w:rsidR="00040C3A" w:rsidRPr="00C2052D" w:rsidRDefault="00040C3A" w:rsidP="00040C3A">
      <w:pPr>
        <w:tabs>
          <w:tab w:val="center" w:pos="5400"/>
        </w:tabs>
        <w:suppressAutoHyphens/>
        <w:jc w:val="center"/>
        <w:rPr>
          <w:rFonts w:ascii="Cambria" w:hAnsi="Cambria"/>
          <w:sz w:val="22"/>
          <w:szCs w:val="22"/>
          <w:lang w:val="es-ES"/>
        </w:rPr>
      </w:pPr>
    </w:p>
    <w:p w14:paraId="2161B44F" w14:textId="77777777" w:rsidR="00040C3A" w:rsidRPr="00C2052D" w:rsidRDefault="00040C3A" w:rsidP="00040C3A">
      <w:pPr>
        <w:tabs>
          <w:tab w:val="center" w:pos="5400"/>
        </w:tabs>
        <w:suppressAutoHyphens/>
        <w:jc w:val="center"/>
        <w:rPr>
          <w:rFonts w:ascii="Cambria" w:hAnsi="Cambria"/>
          <w:sz w:val="22"/>
          <w:szCs w:val="22"/>
          <w:lang w:val="es-ES"/>
        </w:rPr>
      </w:pPr>
    </w:p>
    <w:p w14:paraId="3C4EEE07" w14:textId="77777777" w:rsidR="00040C3A" w:rsidRPr="00C2052D" w:rsidRDefault="00040C3A" w:rsidP="00040C3A">
      <w:pPr>
        <w:tabs>
          <w:tab w:val="center" w:pos="5400"/>
        </w:tabs>
        <w:suppressAutoHyphens/>
        <w:jc w:val="center"/>
        <w:rPr>
          <w:rFonts w:ascii="Cambria" w:hAnsi="Cambria"/>
          <w:sz w:val="22"/>
          <w:szCs w:val="22"/>
          <w:lang w:val="es-ES"/>
        </w:rPr>
      </w:pPr>
    </w:p>
    <w:p w14:paraId="3B0E4647" w14:textId="77777777" w:rsidR="005128E4" w:rsidRPr="00C2052D" w:rsidRDefault="005128E4" w:rsidP="00040C3A">
      <w:pPr>
        <w:tabs>
          <w:tab w:val="center" w:pos="5400"/>
        </w:tabs>
        <w:suppressAutoHyphens/>
        <w:jc w:val="center"/>
        <w:rPr>
          <w:rFonts w:ascii="Cambria" w:hAnsi="Cambria"/>
          <w:sz w:val="22"/>
          <w:szCs w:val="22"/>
          <w:lang w:val="es-ES"/>
        </w:rPr>
      </w:pPr>
    </w:p>
    <w:p w14:paraId="2DAAF36D" w14:textId="77777777" w:rsidR="00040C3A" w:rsidRPr="00C2052D" w:rsidRDefault="00040C3A" w:rsidP="00040C3A">
      <w:pPr>
        <w:tabs>
          <w:tab w:val="center" w:pos="5400"/>
        </w:tabs>
        <w:suppressAutoHyphens/>
        <w:jc w:val="center"/>
        <w:rPr>
          <w:rFonts w:ascii="Cambria" w:hAnsi="Cambria"/>
          <w:sz w:val="22"/>
          <w:szCs w:val="22"/>
          <w:lang w:val="es-ES"/>
        </w:rPr>
      </w:pPr>
    </w:p>
    <w:p w14:paraId="12496A14" w14:textId="77777777" w:rsidR="005128E4" w:rsidRPr="00C2052D" w:rsidRDefault="005128E4" w:rsidP="00040C3A">
      <w:pPr>
        <w:tabs>
          <w:tab w:val="center" w:pos="5400"/>
        </w:tabs>
        <w:suppressAutoHyphens/>
        <w:jc w:val="center"/>
        <w:rPr>
          <w:rFonts w:ascii="Cambria" w:hAnsi="Cambria"/>
          <w:sz w:val="22"/>
          <w:szCs w:val="22"/>
          <w:lang w:val="es-ES"/>
        </w:rPr>
      </w:pPr>
    </w:p>
    <w:p w14:paraId="25772DB3" w14:textId="77777777" w:rsidR="005128E4" w:rsidRPr="00C2052D" w:rsidRDefault="005128E4" w:rsidP="00040C3A">
      <w:pPr>
        <w:tabs>
          <w:tab w:val="center" w:pos="5400"/>
        </w:tabs>
        <w:suppressAutoHyphens/>
        <w:jc w:val="center"/>
        <w:rPr>
          <w:rFonts w:ascii="Cambria" w:hAnsi="Cambria"/>
          <w:sz w:val="22"/>
          <w:szCs w:val="22"/>
          <w:lang w:val="es-ES"/>
        </w:rPr>
      </w:pPr>
    </w:p>
    <w:p w14:paraId="6820FADA" w14:textId="77777777" w:rsidR="005128E4" w:rsidRPr="00C2052D" w:rsidRDefault="005128E4" w:rsidP="00040C3A">
      <w:pPr>
        <w:tabs>
          <w:tab w:val="center" w:pos="5400"/>
        </w:tabs>
        <w:suppressAutoHyphens/>
        <w:jc w:val="center"/>
        <w:rPr>
          <w:rFonts w:ascii="Cambria" w:hAnsi="Cambria"/>
          <w:sz w:val="22"/>
          <w:szCs w:val="22"/>
          <w:lang w:val="es-ES"/>
        </w:rPr>
      </w:pPr>
    </w:p>
    <w:p w14:paraId="54445A55" w14:textId="77777777" w:rsidR="00040C3A" w:rsidRPr="00C2052D" w:rsidRDefault="00040C3A" w:rsidP="00040C3A">
      <w:pPr>
        <w:tabs>
          <w:tab w:val="center" w:pos="5400"/>
        </w:tabs>
        <w:suppressAutoHyphens/>
        <w:jc w:val="center"/>
        <w:rPr>
          <w:rFonts w:ascii="Cambria" w:hAnsi="Cambria"/>
          <w:sz w:val="22"/>
          <w:szCs w:val="22"/>
          <w:lang w:val="es-ES"/>
        </w:rPr>
      </w:pPr>
    </w:p>
    <w:p w14:paraId="5D4A4040" w14:textId="77777777" w:rsidR="00040C3A" w:rsidRPr="00C2052D" w:rsidRDefault="00040C3A" w:rsidP="00040C3A">
      <w:pPr>
        <w:tabs>
          <w:tab w:val="center" w:pos="5400"/>
        </w:tabs>
        <w:suppressAutoHyphens/>
        <w:jc w:val="center"/>
        <w:rPr>
          <w:rFonts w:ascii="Cambria" w:hAnsi="Cambria"/>
          <w:sz w:val="22"/>
          <w:szCs w:val="22"/>
          <w:lang w:val="es-ES"/>
        </w:rPr>
      </w:pPr>
    </w:p>
    <w:p w14:paraId="048FBB22" w14:textId="77777777" w:rsidR="00A50FCF" w:rsidRPr="00C2052D" w:rsidRDefault="00A50FCF" w:rsidP="00040C3A">
      <w:pPr>
        <w:tabs>
          <w:tab w:val="center" w:pos="5400"/>
        </w:tabs>
        <w:suppressAutoHyphens/>
        <w:jc w:val="center"/>
        <w:rPr>
          <w:rFonts w:ascii="Cambria" w:hAnsi="Cambria"/>
          <w:sz w:val="18"/>
          <w:szCs w:val="22"/>
          <w:lang w:val="es-ES"/>
        </w:rPr>
      </w:pPr>
    </w:p>
    <w:p w14:paraId="190ABFB3" w14:textId="77777777" w:rsidR="00A50FCF" w:rsidRPr="00C2052D" w:rsidRDefault="00A50FCF" w:rsidP="00040C3A">
      <w:pPr>
        <w:tabs>
          <w:tab w:val="center" w:pos="5400"/>
        </w:tabs>
        <w:suppressAutoHyphens/>
        <w:jc w:val="center"/>
        <w:rPr>
          <w:rFonts w:ascii="Cambria" w:hAnsi="Cambria"/>
          <w:sz w:val="18"/>
          <w:szCs w:val="22"/>
          <w:lang w:val="es-ES"/>
        </w:rPr>
      </w:pPr>
    </w:p>
    <w:p w14:paraId="4C690048" w14:textId="77777777" w:rsidR="00A50FCF" w:rsidRPr="00C2052D" w:rsidRDefault="00A50FCF" w:rsidP="00040C3A">
      <w:pPr>
        <w:tabs>
          <w:tab w:val="center" w:pos="5400"/>
        </w:tabs>
        <w:suppressAutoHyphens/>
        <w:jc w:val="center"/>
        <w:rPr>
          <w:rFonts w:ascii="Cambria" w:hAnsi="Cambria"/>
          <w:sz w:val="18"/>
          <w:szCs w:val="22"/>
          <w:lang w:val="es-ES"/>
        </w:rPr>
      </w:pPr>
    </w:p>
    <w:p w14:paraId="733CA438" w14:textId="77777777" w:rsidR="00A50FCF" w:rsidRPr="00C2052D" w:rsidRDefault="00A50FCF" w:rsidP="00040C3A">
      <w:pPr>
        <w:tabs>
          <w:tab w:val="center" w:pos="5400"/>
        </w:tabs>
        <w:suppressAutoHyphens/>
        <w:jc w:val="center"/>
        <w:rPr>
          <w:rFonts w:ascii="Cambria" w:hAnsi="Cambria"/>
          <w:sz w:val="18"/>
          <w:szCs w:val="22"/>
          <w:lang w:val="es-ES"/>
        </w:rPr>
      </w:pPr>
    </w:p>
    <w:p w14:paraId="7874DEEB" w14:textId="77777777" w:rsidR="00A50FCF" w:rsidRPr="00C2052D" w:rsidRDefault="00A50FCF" w:rsidP="00040C3A">
      <w:pPr>
        <w:tabs>
          <w:tab w:val="center" w:pos="5400"/>
        </w:tabs>
        <w:suppressAutoHyphens/>
        <w:jc w:val="center"/>
        <w:rPr>
          <w:rFonts w:ascii="Cambria" w:hAnsi="Cambria"/>
          <w:sz w:val="18"/>
          <w:szCs w:val="22"/>
          <w:lang w:val="es-ES"/>
        </w:rPr>
      </w:pPr>
    </w:p>
    <w:p w14:paraId="3698D0D6" w14:textId="77777777" w:rsidR="00A50FCF" w:rsidRPr="00C2052D" w:rsidRDefault="00A50FCF" w:rsidP="00040C3A">
      <w:pPr>
        <w:tabs>
          <w:tab w:val="center" w:pos="5400"/>
        </w:tabs>
        <w:suppressAutoHyphens/>
        <w:jc w:val="center"/>
        <w:rPr>
          <w:rFonts w:ascii="Cambria" w:hAnsi="Cambria"/>
          <w:sz w:val="18"/>
          <w:szCs w:val="22"/>
          <w:lang w:val="es-ES"/>
        </w:rPr>
      </w:pPr>
    </w:p>
    <w:p w14:paraId="1F907823" w14:textId="77777777" w:rsidR="00A50FCF" w:rsidRPr="00C2052D" w:rsidRDefault="00A50FCF" w:rsidP="00040C3A">
      <w:pPr>
        <w:tabs>
          <w:tab w:val="center" w:pos="5400"/>
        </w:tabs>
        <w:suppressAutoHyphens/>
        <w:jc w:val="center"/>
        <w:rPr>
          <w:rFonts w:ascii="Cambria" w:hAnsi="Cambria"/>
          <w:sz w:val="18"/>
          <w:szCs w:val="22"/>
          <w:lang w:val="es-ES"/>
        </w:rPr>
      </w:pPr>
    </w:p>
    <w:p w14:paraId="045D9AC1" w14:textId="77777777" w:rsidR="00A50FCF" w:rsidRPr="00C2052D" w:rsidRDefault="00A50FCF" w:rsidP="00040C3A">
      <w:pPr>
        <w:tabs>
          <w:tab w:val="center" w:pos="5400"/>
        </w:tabs>
        <w:suppressAutoHyphens/>
        <w:jc w:val="center"/>
        <w:rPr>
          <w:rFonts w:ascii="Cambria" w:hAnsi="Cambria"/>
          <w:sz w:val="18"/>
          <w:szCs w:val="22"/>
          <w:lang w:val="es-ES"/>
        </w:rPr>
      </w:pPr>
    </w:p>
    <w:p w14:paraId="16068EE5" w14:textId="77777777" w:rsidR="00A50FCF" w:rsidRPr="00C2052D" w:rsidRDefault="00A50FCF" w:rsidP="00040C3A">
      <w:pPr>
        <w:tabs>
          <w:tab w:val="center" w:pos="5400"/>
        </w:tabs>
        <w:suppressAutoHyphens/>
        <w:jc w:val="center"/>
        <w:rPr>
          <w:rFonts w:ascii="Cambria" w:hAnsi="Cambria"/>
          <w:sz w:val="18"/>
          <w:szCs w:val="22"/>
          <w:lang w:val="es-ES"/>
        </w:rPr>
      </w:pPr>
    </w:p>
    <w:p w14:paraId="14A4A430" w14:textId="77777777" w:rsidR="00A50FCF" w:rsidRPr="00C2052D" w:rsidRDefault="00A50FCF" w:rsidP="00040C3A">
      <w:pPr>
        <w:tabs>
          <w:tab w:val="center" w:pos="5400"/>
        </w:tabs>
        <w:suppressAutoHyphens/>
        <w:jc w:val="center"/>
        <w:rPr>
          <w:rFonts w:ascii="Cambria" w:hAnsi="Cambria"/>
          <w:sz w:val="18"/>
          <w:szCs w:val="22"/>
          <w:lang w:val="es-ES"/>
        </w:rPr>
      </w:pPr>
    </w:p>
    <w:p w14:paraId="0B3B735F" w14:textId="77777777" w:rsidR="00A50FCF" w:rsidRPr="00C2052D" w:rsidRDefault="00A50FCF" w:rsidP="00040C3A">
      <w:pPr>
        <w:tabs>
          <w:tab w:val="center" w:pos="5400"/>
        </w:tabs>
        <w:suppressAutoHyphens/>
        <w:jc w:val="center"/>
        <w:rPr>
          <w:rFonts w:ascii="Cambria" w:hAnsi="Cambria"/>
          <w:sz w:val="18"/>
          <w:szCs w:val="22"/>
          <w:lang w:val="es-ES"/>
        </w:rPr>
      </w:pPr>
    </w:p>
    <w:p w14:paraId="02C5C441" w14:textId="77777777" w:rsidR="00A50FCF" w:rsidRPr="00C2052D" w:rsidRDefault="00A50FCF" w:rsidP="00040C3A">
      <w:pPr>
        <w:tabs>
          <w:tab w:val="center" w:pos="5400"/>
        </w:tabs>
        <w:suppressAutoHyphens/>
        <w:jc w:val="center"/>
        <w:rPr>
          <w:rFonts w:ascii="Cambria" w:hAnsi="Cambria"/>
          <w:sz w:val="18"/>
          <w:szCs w:val="22"/>
          <w:lang w:val="es-ES"/>
        </w:rPr>
      </w:pPr>
    </w:p>
    <w:p w14:paraId="7806A2B0" w14:textId="77777777" w:rsidR="00A50FCF" w:rsidRPr="00C2052D" w:rsidRDefault="00A50FCF" w:rsidP="00040C3A">
      <w:pPr>
        <w:tabs>
          <w:tab w:val="center" w:pos="5400"/>
        </w:tabs>
        <w:suppressAutoHyphens/>
        <w:jc w:val="center"/>
        <w:rPr>
          <w:rFonts w:ascii="Cambria" w:hAnsi="Cambria"/>
          <w:sz w:val="18"/>
          <w:szCs w:val="22"/>
          <w:lang w:val="es-ES"/>
        </w:rPr>
      </w:pPr>
    </w:p>
    <w:p w14:paraId="319C392B" w14:textId="77777777" w:rsidR="00A50FCF" w:rsidRPr="00C2052D" w:rsidRDefault="00A50FCF" w:rsidP="00040C3A">
      <w:pPr>
        <w:tabs>
          <w:tab w:val="center" w:pos="5400"/>
        </w:tabs>
        <w:suppressAutoHyphens/>
        <w:jc w:val="center"/>
        <w:rPr>
          <w:rFonts w:ascii="Cambria" w:hAnsi="Cambria"/>
          <w:sz w:val="18"/>
          <w:szCs w:val="22"/>
          <w:lang w:val="es-ES"/>
        </w:rPr>
      </w:pPr>
    </w:p>
    <w:p w14:paraId="514A0182" w14:textId="77777777" w:rsidR="00A50FCF" w:rsidRPr="00C2052D" w:rsidRDefault="0090270B" w:rsidP="00040C3A">
      <w:pPr>
        <w:tabs>
          <w:tab w:val="center" w:pos="5400"/>
        </w:tabs>
        <w:suppressAutoHyphens/>
        <w:jc w:val="center"/>
        <w:rPr>
          <w:rFonts w:ascii="Cambria" w:hAnsi="Cambria"/>
          <w:sz w:val="18"/>
          <w:szCs w:val="22"/>
          <w:lang w:val="es-ES"/>
        </w:rPr>
      </w:pPr>
      <w:r w:rsidRPr="00C2052D">
        <w:rPr>
          <w:rFonts w:ascii="Cambria" w:hAnsi="Cambria"/>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D77AC6E" w:rsidR="00F93785" w:rsidRPr="00890650" w:rsidRDefault="00F9378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C50CA">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9C50C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w:t>
                            </w:r>
                            <w:r w:rsidR="00FC3DBB">
                              <w:rPr>
                                <w:rFonts w:asciiTheme="majorHAnsi" w:hAnsiTheme="majorHAnsi"/>
                                <w:color w:val="0D0D0D" w:themeColor="text1" w:themeTint="F2"/>
                                <w:sz w:val="18"/>
                                <w:szCs w:val="22"/>
                                <w:lang w:val="es-ES"/>
                              </w:rPr>
                              <w:t xml:space="preserve"> </w:t>
                            </w:r>
                            <w:r w:rsidR="009C50CA">
                              <w:rPr>
                                <w:rFonts w:asciiTheme="majorHAnsi" w:hAnsiTheme="majorHAnsi"/>
                                <w:color w:val="0D0D0D" w:themeColor="text1" w:themeTint="F2"/>
                                <w:sz w:val="18"/>
                                <w:szCs w:val="22"/>
                                <w:lang w:val="es-ES"/>
                              </w:rPr>
                              <w:t>2021</w:t>
                            </w:r>
                          </w:p>
                          <w:p w14:paraId="4BDF3581" w14:textId="77777777" w:rsidR="00F93785" w:rsidRPr="007A5817" w:rsidRDefault="00F9378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93785" w:rsidRPr="00167A34" w:rsidRDefault="00F9378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D77AC6E" w:rsidR="00F93785" w:rsidRPr="00890650" w:rsidRDefault="00F9378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C50CA">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9C50C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w:t>
                      </w:r>
                      <w:r w:rsidR="00FC3DBB">
                        <w:rPr>
                          <w:rFonts w:asciiTheme="majorHAnsi" w:hAnsiTheme="majorHAnsi"/>
                          <w:color w:val="0D0D0D" w:themeColor="text1" w:themeTint="F2"/>
                          <w:sz w:val="18"/>
                          <w:szCs w:val="22"/>
                          <w:lang w:val="es-ES"/>
                        </w:rPr>
                        <w:t xml:space="preserve"> </w:t>
                      </w:r>
                      <w:r w:rsidR="009C50CA">
                        <w:rPr>
                          <w:rFonts w:asciiTheme="majorHAnsi" w:hAnsiTheme="majorHAnsi"/>
                          <w:color w:val="0D0D0D" w:themeColor="text1" w:themeTint="F2"/>
                          <w:sz w:val="18"/>
                          <w:szCs w:val="22"/>
                          <w:lang w:val="es-ES"/>
                        </w:rPr>
                        <w:t>2021</w:t>
                      </w:r>
                    </w:p>
                    <w:p w14:paraId="4BDF3581" w14:textId="77777777" w:rsidR="00F93785" w:rsidRPr="007A5817" w:rsidRDefault="00F9378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93785" w:rsidRPr="00167A34" w:rsidRDefault="00F9378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C2052D" w:rsidRDefault="00A50FCF" w:rsidP="00040C3A">
      <w:pPr>
        <w:tabs>
          <w:tab w:val="center" w:pos="5400"/>
        </w:tabs>
        <w:suppressAutoHyphens/>
        <w:jc w:val="center"/>
        <w:rPr>
          <w:rFonts w:ascii="Cambria" w:hAnsi="Cambria"/>
          <w:sz w:val="18"/>
          <w:szCs w:val="22"/>
          <w:lang w:val="es-ES"/>
        </w:rPr>
      </w:pPr>
    </w:p>
    <w:p w14:paraId="7929D1FD" w14:textId="77777777" w:rsidR="00A50FCF" w:rsidRPr="00C2052D" w:rsidRDefault="00A50FCF" w:rsidP="00040C3A">
      <w:pPr>
        <w:tabs>
          <w:tab w:val="center" w:pos="5400"/>
        </w:tabs>
        <w:suppressAutoHyphens/>
        <w:jc w:val="center"/>
        <w:rPr>
          <w:rFonts w:ascii="Cambria" w:hAnsi="Cambria"/>
          <w:sz w:val="18"/>
          <w:szCs w:val="22"/>
          <w:lang w:val="es-ES"/>
        </w:rPr>
      </w:pPr>
    </w:p>
    <w:p w14:paraId="5469D0BE" w14:textId="77777777" w:rsidR="00A50FCF" w:rsidRPr="00C2052D" w:rsidRDefault="00A50FCF" w:rsidP="00040C3A">
      <w:pPr>
        <w:tabs>
          <w:tab w:val="center" w:pos="5400"/>
        </w:tabs>
        <w:suppressAutoHyphens/>
        <w:jc w:val="center"/>
        <w:rPr>
          <w:rFonts w:ascii="Cambria" w:hAnsi="Cambria"/>
          <w:sz w:val="18"/>
          <w:szCs w:val="22"/>
          <w:lang w:val="es-ES"/>
        </w:rPr>
      </w:pPr>
    </w:p>
    <w:p w14:paraId="7A79F059" w14:textId="77777777" w:rsidR="00A50FCF" w:rsidRPr="00C2052D" w:rsidRDefault="00A50FCF" w:rsidP="00040C3A">
      <w:pPr>
        <w:tabs>
          <w:tab w:val="center" w:pos="5400"/>
        </w:tabs>
        <w:suppressAutoHyphens/>
        <w:jc w:val="center"/>
        <w:rPr>
          <w:rFonts w:ascii="Cambria" w:hAnsi="Cambria"/>
          <w:sz w:val="18"/>
          <w:szCs w:val="22"/>
          <w:lang w:val="es-ES"/>
        </w:rPr>
      </w:pPr>
    </w:p>
    <w:p w14:paraId="330672AE" w14:textId="77777777" w:rsidR="00A50FCF" w:rsidRPr="00C2052D" w:rsidRDefault="0090270B" w:rsidP="00040C3A">
      <w:pPr>
        <w:tabs>
          <w:tab w:val="center" w:pos="5400"/>
        </w:tabs>
        <w:suppressAutoHyphens/>
        <w:jc w:val="center"/>
        <w:rPr>
          <w:rFonts w:ascii="Cambria" w:hAnsi="Cambria"/>
          <w:sz w:val="18"/>
          <w:szCs w:val="22"/>
          <w:lang w:val="es-ES"/>
        </w:rPr>
      </w:pPr>
      <w:r w:rsidRPr="00C2052D">
        <w:rPr>
          <w:rFonts w:ascii="Cambria" w:hAnsi="Cambria"/>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732D57C" w:rsidR="00F93785" w:rsidRPr="007B05C4" w:rsidRDefault="00F9378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C50CA" w:rsidRPr="009C50CA">
                              <w:rPr>
                                <w:rFonts w:asciiTheme="majorHAnsi" w:hAnsiTheme="majorHAnsi"/>
                                <w:color w:val="595959" w:themeColor="text1" w:themeTint="A6"/>
                                <w:sz w:val="18"/>
                                <w:szCs w:val="18"/>
                                <w:lang w:val="pt-BR"/>
                              </w:rPr>
                              <w:t>184</w:t>
                            </w:r>
                            <w:r w:rsidRPr="009C50CA">
                              <w:rPr>
                                <w:rFonts w:asciiTheme="majorHAnsi" w:hAnsiTheme="majorHAnsi"/>
                                <w:color w:val="595959" w:themeColor="text1" w:themeTint="A6"/>
                                <w:sz w:val="18"/>
                                <w:szCs w:val="18"/>
                                <w:lang w:val="pt-BR"/>
                              </w:rPr>
                              <w:t>/</w:t>
                            </w:r>
                            <w:r w:rsidR="009C50CA" w:rsidRPr="009C50CA">
                              <w:rPr>
                                <w:rFonts w:asciiTheme="majorHAnsi" w:hAnsiTheme="majorHAnsi"/>
                                <w:color w:val="595959" w:themeColor="text1" w:themeTint="A6"/>
                                <w:sz w:val="18"/>
                                <w:szCs w:val="18"/>
                                <w:lang w:val="pt-BR"/>
                              </w:rPr>
                              <w:t>21</w:t>
                            </w:r>
                            <w:r w:rsidRPr="009C50CA">
                              <w:rPr>
                                <w:rFonts w:asciiTheme="majorHAnsi" w:hAnsiTheme="majorHAnsi"/>
                                <w:color w:val="595959" w:themeColor="text1" w:themeTint="A6"/>
                                <w:sz w:val="18"/>
                                <w:szCs w:val="18"/>
                                <w:lang w:val="pt-BR"/>
                              </w:rPr>
                              <w:t xml:space="preserve">. </w:t>
                            </w:r>
                            <w:r w:rsidR="00DB37BB">
                              <w:rPr>
                                <w:rFonts w:asciiTheme="majorHAnsi" w:hAnsiTheme="majorHAnsi"/>
                                <w:color w:val="595959" w:themeColor="text1" w:themeTint="A6"/>
                                <w:sz w:val="18"/>
                                <w:szCs w:val="18"/>
                                <w:lang w:val="pt-BR"/>
                              </w:rPr>
                              <w:t xml:space="preserve">Petición 81-11. </w:t>
                            </w:r>
                            <w:r w:rsidR="00743A4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FC3DBB">
                              <w:rPr>
                                <w:rFonts w:asciiTheme="majorHAnsi" w:hAnsiTheme="majorHAnsi"/>
                                <w:color w:val="595959" w:themeColor="text1" w:themeTint="A6"/>
                                <w:sz w:val="18"/>
                                <w:szCs w:val="18"/>
                                <w:lang w:val="es-ES_tradnl"/>
                              </w:rPr>
                              <w:t>Francisco Javier Espinosa Almanza y Hugo Alberto López Vidal</w:t>
                            </w:r>
                            <w:r w:rsidRPr="00890650">
                              <w:rPr>
                                <w:rFonts w:asciiTheme="majorHAnsi" w:hAnsiTheme="majorHAnsi"/>
                                <w:color w:val="595959" w:themeColor="text1" w:themeTint="A6"/>
                                <w:sz w:val="18"/>
                                <w:szCs w:val="18"/>
                                <w:lang w:val="es-ES_tradnl"/>
                              </w:rPr>
                              <w:t xml:space="preserve">. </w:t>
                            </w:r>
                            <w:r w:rsidR="00743A4E">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9C50CA">
                              <w:rPr>
                                <w:rFonts w:asciiTheme="majorHAnsi" w:hAnsiTheme="majorHAnsi"/>
                                <w:color w:val="595959" w:themeColor="text1" w:themeTint="A6"/>
                                <w:sz w:val="18"/>
                                <w:szCs w:val="18"/>
                                <w:lang w:val="es-ES"/>
                              </w:rPr>
                              <w:t>30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732D57C" w:rsidR="00F93785" w:rsidRPr="007B05C4" w:rsidRDefault="00F9378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C50CA" w:rsidRPr="009C50CA">
                        <w:rPr>
                          <w:rFonts w:asciiTheme="majorHAnsi" w:hAnsiTheme="majorHAnsi"/>
                          <w:color w:val="595959" w:themeColor="text1" w:themeTint="A6"/>
                          <w:sz w:val="18"/>
                          <w:szCs w:val="18"/>
                          <w:lang w:val="pt-BR"/>
                        </w:rPr>
                        <w:t>184</w:t>
                      </w:r>
                      <w:r w:rsidRPr="009C50CA">
                        <w:rPr>
                          <w:rFonts w:asciiTheme="majorHAnsi" w:hAnsiTheme="majorHAnsi"/>
                          <w:color w:val="595959" w:themeColor="text1" w:themeTint="A6"/>
                          <w:sz w:val="18"/>
                          <w:szCs w:val="18"/>
                          <w:lang w:val="pt-BR"/>
                        </w:rPr>
                        <w:t>/</w:t>
                      </w:r>
                      <w:r w:rsidR="009C50CA" w:rsidRPr="009C50CA">
                        <w:rPr>
                          <w:rFonts w:asciiTheme="majorHAnsi" w:hAnsiTheme="majorHAnsi"/>
                          <w:color w:val="595959" w:themeColor="text1" w:themeTint="A6"/>
                          <w:sz w:val="18"/>
                          <w:szCs w:val="18"/>
                          <w:lang w:val="pt-BR"/>
                        </w:rPr>
                        <w:t>21</w:t>
                      </w:r>
                      <w:r w:rsidRPr="009C50CA">
                        <w:rPr>
                          <w:rFonts w:asciiTheme="majorHAnsi" w:hAnsiTheme="majorHAnsi"/>
                          <w:color w:val="595959" w:themeColor="text1" w:themeTint="A6"/>
                          <w:sz w:val="18"/>
                          <w:szCs w:val="18"/>
                          <w:lang w:val="pt-BR"/>
                        </w:rPr>
                        <w:t xml:space="preserve">. </w:t>
                      </w:r>
                      <w:r w:rsidR="00DB37BB">
                        <w:rPr>
                          <w:rFonts w:asciiTheme="majorHAnsi" w:hAnsiTheme="majorHAnsi"/>
                          <w:color w:val="595959" w:themeColor="text1" w:themeTint="A6"/>
                          <w:sz w:val="18"/>
                          <w:szCs w:val="18"/>
                          <w:lang w:val="pt-BR"/>
                        </w:rPr>
                        <w:t xml:space="preserve">Petición 81-11. </w:t>
                      </w:r>
                      <w:r w:rsidR="00743A4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FC3DBB">
                        <w:rPr>
                          <w:rFonts w:asciiTheme="majorHAnsi" w:hAnsiTheme="majorHAnsi"/>
                          <w:color w:val="595959" w:themeColor="text1" w:themeTint="A6"/>
                          <w:sz w:val="18"/>
                          <w:szCs w:val="18"/>
                          <w:lang w:val="es-ES_tradnl"/>
                        </w:rPr>
                        <w:t>Francisco Javier Espinosa Almanza y Hugo Alberto López Vidal</w:t>
                      </w:r>
                      <w:r w:rsidRPr="00890650">
                        <w:rPr>
                          <w:rFonts w:asciiTheme="majorHAnsi" w:hAnsiTheme="majorHAnsi"/>
                          <w:color w:val="595959" w:themeColor="text1" w:themeTint="A6"/>
                          <w:sz w:val="18"/>
                          <w:szCs w:val="18"/>
                          <w:lang w:val="es-ES_tradnl"/>
                        </w:rPr>
                        <w:t xml:space="preserve">. </w:t>
                      </w:r>
                      <w:r w:rsidR="00743A4E">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9C50CA">
                        <w:rPr>
                          <w:rFonts w:asciiTheme="majorHAnsi" w:hAnsiTheme="majorHAnsi"/>
                          <w:color w:val="595959" w:themeColor="text1" w:themeTint="A6"/>
                          <w:sz w:val="18"/>
                          <w:szCs w:val="18"/>
                          <w:lang w:val="es-ES"/>
                        </w:rPr>
                        <w:t>30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C2052D" w:rsidRDefault="00A50FCF" w:rsidP="00040C3A">
      <w:pPr>
        <w:tabs>
          <w:tab w:val="center" w:pos="5400"/>
        </w:tabs>
        <w:suppressAutoHyphens/>
        <w:jc w:val="center"/>
        <w:rPr>
          <w:rFonts w:ascii="Cambria" w:hAnsi="Cambria"/>
          <w:sz w:val="18"/>
          <w:szCs w:val="22"/>
          <w:lang w:val="es-ES"/>
        </w:rPr>
      </w:pPr>
    </w:p>
    <w:p w14:paraId="1DA07629" w14:textId="08C9F83F" w:rsidR="0090270B" w:rsidRPr="00C2052D" w:rsidRDefault="00D306D1" w:rsidP="005516A1">
      <w:pPr>
        <w:tabs>
          <w:tab w:val="center" w:pos="5400"/>
        </w:tabs>
        <w:suppressAutoHyphens/>
        <w:jc w:val="center"/>
        <w:rPr>
          <w:rFonts w:ascii="Cambria" w:hAnsi="Cambria"/>
          <w:b/>
          <w:sz w:val="20"/>
          <w:lang w:val="es-ES"/>
        </w:rPr>
      </w:pPr>
      <w:r w:rsidRPr="00C2052D">
        <w:rPr>
          <w:rFonts w:ascii="Cambria" w:hAnsi="Cambria"/>
          <w:noProof/>
          <w:sz w:val="22"/>
          <w:szCs w:val="22"/>
        </w:rPr>
        <mc:AlternateContent>
          <mc:Choice Requires="wps">
            <w:drawing>
              <wp:anchor distT="0" distB="0" distL="114300" distR="114300" simplePos="0" relativeHeight="251682816" behindDoc="0" locked="0" layoutInCell="1" allowOverlap="1" wp14:anchorId="02EDA5EE" wp14:editId="34A2BFF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93785" w:rsidRPr="004B7EB6" w:rsidRDefault="00F9378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F93785" w:rsidRPr="004B7EB6" w:rsidRDefault="00F9378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7454DAC" w:rsidR="0070697F" w:rsidRPr="00C2052D" w:rsidRDefault="009C50CA" w:rsidP="005516A1">
      <w:pPr>
        <w:tabs>
          <w:tab w:val="center" w:pos="5400"/>
        </w:tabs>
        <w:suppressAutoHyphens/>
        <w:jc w:val="center"/>
        <w:rPr>
          <w:rFonts w:ascii="Cambria" w:hAnsi="Cambria"/>
          <w:b/>
          <w:sz w:val="20"/>
          <w:lang w:val="es-ES"/>
        </w:rPr>
        <w:sectPr w:rsidR="0070697F" w:rsidRPr="00C2052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C2052D">
        <w:rPr>
          <w:rFonts w:ascii="Cambria" w:hAnsi="Cambria"/>
          <w:noProof/>
          <w:sz w:val="18"/>
          <w:szCs w:val="22"/>
        </w:rPr>
        <mc:AlternateContent>
          <mc:Choice Requires="wps">
            <w:drawing>
              <wp:anchor distT="0" distB="0" distL="114300" distR="114300" simplePos="0" relativeHeight="251680768" behindDoc="0" locked="0" layoutInCell="1" allowOverlap="1" wp14:anchorId="50472543" wp14:editId="307E3F16">
                <wp:simplePos x="0" y="0"/>
                <wp:positionH relativeFrom="column">
                  <wp:posOffset>1327785</wp:posOffset>
                </wp:positionH>
                <wp:positionV relativeFrom="paragraph">
                  <wp:posOffset>612321</wp:posOffset>
                </wp:positionV>
                <wp:extent cx="4096385" cy="642257"/>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4096385" cy="642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93785" w:rsidRPr="00D72DC6" w:rsidRDefault="00F9378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B5C8228">
                                  <wp:extent cx="1589314" cy="4088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07811" cy="4136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8.2pt;width:322.55pt;height:5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" fillcolor="white [3201]" stroked="f" strokeweight=".5pt">
                <v:textbox>
                  <w:txbxContent>
                    <w:p w14:paraId="2A1ECD3C" w14:textId="77777777" w:rsidR="00F93785" w:rsidRPr="00D72DC6" w:rsidRDefault="00F9378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B5C8228">
                            <wp:extent cx="1589314" cy="4088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07811" cy="413609"/>
                                    </a:xfrm>
                                    <a:prstGeom prst="rect">
                                      <a:avLst/>
                                    </a:prstGeom>
                                    <a:noFill/>
                                    <a:ln>
                                      <a:noFill/>
                                    </a:ln>
                                  </pic:spPr>
                                </pic:pic>
                              </a:graphicData>
                            </a:graphic>
                          </wp:inline>
                        </w:drawing>
                      </w:r>
                    </w:p>
                  </w:txbxContent>
                </v:textbox>
              </v:shape>
            </w:pict>
          </mc:Fallback>
        </mc:AlternateContent>
      </w:r>
      <w:r w:rsidR="004A6A54" w:rsidRPr="00C2052D">
        <w:rPr>
          <w:rFonts w:ascii="Cambria" w:hAnsi="Cambria"/>
          <w:b/>
          <w:sz w:val="20"/>
          <w:lang w:val="es-ES"/>
        </w:rPr>
        <w:tab/>
      </w:r>
    </w:p>
    <w:p w14:paraId="376DDC8B" w14:textId="77777777" w:rsidR="003239B8" w:rsidRPr="00C2052D" w:rsidRDefault="003239B8" w:rsidP="007C402A">
      <w:pPr>
        <w:spacing w:after="120"/>
        <w:ind w:firstLine="720"/>
        <w:jc w:val="both"/>
        <w:rPr>
          <w:rFonts w:ascii="Cambria" w:hAnsi="Cambria"/>
          <w:b/>
          <w:bCs/>
          <w:sz w:val="20"/>
          <w:szCs w:val="20"/>
          <w:lang w:val="es-ES"/>
        </w:rPr>
      </w:pPr>
      <w:r w:rsidRPr="00C2052D">
        <w:rPr>
          <w:rFonts w:ascii="Cambria" w:hAnsi="Cambria"/>
          <w:b/>
          <w:bCs/>
          <w:sz w:val="20"/>
          <w:szCs w:val="20"/>
          <w:lang w:val="es-ES"/>
        </w:rPr>
        <w:lastRenderedPageBreak/>
        <w:t>I.</w:t>
      </w:r>
      <w:r w:rsidRPr="00C2052D">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DB37BB"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C2052D" w:rsidRDefault="00D77503" w:rsidP="005D3083">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Parte peticionaria</w:t>
            </w:r>
          </w:p>
        </w:tc>
        <w:tc>
          <w:tcPr>
            <w:tcW w:w="6570" w:type="dxa"/>
            <w:vAlign w:val="center"/>
          </w:tcPr>
          <w:p w14:paraId="3C5315D8" w14:textId="63B43AA0" w:rsidR="003239B8" w:rsidRPr="00C2052D" w:rsidRDefault="006B0EA7" w:rsidP="007E6688">
            <w:pPr>
              <w:jc w:val="both"/>
              <w:rPr>
                <w:rFonts w:ascii="Cambria" w:hAnsi="Cambria"/>
                <w:bCs/>
                <w:sz w:val="19"/>
                <w:szCs w:val="19"/>
                <w:lang w:val="es-ES"/>
              </w:rPr>
            </w:pPr>
            <w:r w:rsidRPr="006B0EA7">
              <w:rPr>
                <w:rFonts w:ascii="Cambria" w:hAnsi="Cambria"/>
                <w:bCs/>
                <w:sz w:val="19"/>
                <w:szCs w:val="19"/>
                <w:lang w:val="es-ES"/>
              </w:rPr>
              <w:t>Francisco Espinosa Granados, María Elena Vidal</w:t>
            </w:r>
          </w:p>
        </w:tc>
      </w:tr>
      <w:tr w:rsidR="003239B8" w:rsidRPr="00DB37BB"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1CE21DF4" w:rsidR="003239B8" w:rsidRPr="00C2052D" w:rsidRDefault="002355A9" w:rsidP="005D3083">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Presunta</w:t>
            </w:r>
            <w:r w:rsidR="00FC3DBB">
              <w:rPr>
                <w:rFonts w:ascii="Cambria" w:hAnsi="Cambria"/>
                <w:bCs/>
                <w:color w:val="FFFFFF" w:themeColor="background1"/>
                <w:sz w:val="19"/>
                <w:szCs w:val="19"/>
                <w:lang w:val="es-ES"/>
              </w:rPr>
              <w:t>s</w:t>
            </w:r>
            <w:r w:rsidRPr="00C2052D">
              <w:rPr>
                <w:rFonts w:ascii="Cambria" w:hAnsi="Cambria"/>
                <w:bCs/>
                <w:color w:val="FFFFFF" w:themeColor="background1"/>
                <w:sz w:val="19"/>
                <w:szCs w:val="19"/>
                <w:lang w:val="es-ES"/>
              </w:rPr>
              <w:t xml:space="preserve"> víctima</w:t>
            </w:r>
            <w:r w:rsidR="00FC3DBB">
              <w:rPr>
                <w:rFonts w:ascii="Cambria" w:hAnsi="Cambria"/>
                <w:bCs/>
                <w:color w:val="FFFFFF" w:themeColor="background1"/>
                <w:sz w:val="19"/>
                <w:szCs w:val="19"/>
                <w:lang w:val="es-ES"/>
              </w:rPr>
              <w:t>s</w:t>
            </w:r>
          </w:p>
        </w:tc>
        <w:tc>
          <w:tcPr>
            <w:tcW w:w="6570" w:type="dxa"/>
            <w:vAlign w:val="center"/>
          </w:tcPr>
          <w:p w14:paraId="4AEBF59E" w14:textId="1B692BF7" w:rsidR="003239B8" w:rsidRPr="00C2052D" w:rsidRDefault="00FC3DBB" w:rsidP="00E50EDC">
            <w:pPr>
              <w:jc w:val="both"/>
              <w:rPr>
                <w:rFonts w:ascii="Cambria" w:hAnsi="Cambria"/>
                <w:bCs/>
                <w:sz w:val="19"/>
                <w:szCs w:val="19"/>
                <w:lang w:val="es-ES_tradnl"/>
              </w:rPr>
            </w:pPr>
            <w:r>
              <w:rPr>
                <w:rFonts w:ascii="Cambria" w:hAnsi="Cambria"/>
                <w:bCs/>
                <w:sz w:val="19"/>
                <w:szCs w:val="19"/>
                <w:lang w:val="es-ES_tradnl"/>
              </w:rPr>
              <w:t>Francisco Javier Espinoza Almanza y Hugo Alberto López Vidal</w:t>
            </w:r>
          </w:p>
        </w:tc>
      </w:tr>
      <w:tr w:rsidR="003239B8" w:rsidRPr="00D3562F"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C2052D" w:rsidRDefault="00D77503" w:rsidP="005D3083">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Estado denunciado</w:t>
            </w:r>
          </w:p>
        </w:tc>
        <w:tc>
          <w:tcPr>
            <w:tcW w:w="6570" w:type="dxa"/>
            <w:vAlign w:val="center"/>
          </w:tcPr>
          <w:p w14:paraId="274C8A50" w14:textId="745A6A98" w:rsidR="003239B8" w:rsidRPr="00C2052D" w:rsidRDefault="00D66CD9" w:rsidP="00D66CD9">
            <w:pPr>
              <w:jc w:val="both"/>
              <w:rPr>
                <w:rFonts w:ascii="Cambria" w:hAnsi="Cambria"/>
                <w:bCs/>
                <w:sz w:val="19"/>
                <w:szCs w:val="19"/>
                <w:lang w:val="es-ES"/>
              </w:rPr>
            </w:pPr>
            <w:r w:rsidRPr="00C2052D">
              <w:rPr>
                <w:rFonts w:ascii="Cambria" w:hAnsi="Cambria"/>
                <w:bCs/>
                <w:sz w:val="19"/>
                <w:szCs w:val="19"/>
                <w:lang w:val="es-ES"/>
              </w:rPr>
              <w:t>México</w:t>
            </w:r>
            <w:r w:rsidR="005D1979">
              <w:rPr>
                <w:rStyle w:val="FootnoteReference"/>
                <w:rFonts w:ascii="Cambria" w:hAnsi="Cambria"/>
                <w:bCs/>
                <w:sz w:val="20"/>
                <w:szCs w:val="20"/>
              </w:rPr>
              <w:footnoteReference w:id="2"/>
            </w:r>
          </w:p>
        </w:tc>
      </w:tr>
      <w:tr w:rsidR="00223A29" w:rsidRPr="00FC3DBB"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C2052D" w:rsidRDefault="001B3A00" w:rsidP="00E4118C">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 xml:space="preserve">Derechos </w:t>
            </w:r>
            <w:r w:rsidR="00E4118C" w:rsidRPr="00C2052D">
              <w:rPr>
                <w:rFonts w:ascii="Cambria" w:hAnsi="Cambria"/>
                <w:bCs/>
                <w:color w:val="FFFFFF" w:themeColor="background1"/>
                <w:sz w:val="19"/>
                <w:szCs w:val="19"/>
                <w:lang w:val="es-ES"/>
              </w:rPr>
              <w:t>invocados</w:t>
            </w:r>
          </w:p>
        </w:tc>
        <w:tc>
          <w:tcPr>
            <w:tcW w:w="6570" w:type="dxa"/>
            <w:vAlign w:val="center"/>
          </w:tcPr>
          <w:p w14:paraId="6DEE1EEB" w14:textId="6C2AD652" w:rsidR="00223A29" w:rsidRPr="00C2052D" w:rsidRDefault="00FC3DBB" w:rsidP="007E6688">
            <w:pPr>
              <w:jc w:val="both"/>
              <w:rPr>
                <w:rFonts w:ascii="Cambria" w:hAnsi="Cambria"/>
                <w:bCs/>
                <w:sz w:val="19"/>
                <w:szCs w:val="19"/>
                <w:lang w:val="es-ES"/>
              </w:rPr>
            </w:pPr>
            <w:r>
              <w:rPr>
                <w:rFonts w:ascii="Cambria" w:hAnsi="Cambria"/>
                <w:bCs/>
                <w:sz w:val="19"/>
                <w:szCs w:val="19"/>
                <w:lang w:val="es-ES"/>
              </w:rPr>
              <w:t>No se especifican derechos</w:t>
            </w:r>
          </w:p>
        </w:tc>
      </w:tr>
    </w:tbl>
    <w:p w14:paraId="20263696" w14:textId="77777777" w:rsidR="003239B8" w:rsidRPr="00C2052D" w:rsidRDefault="003239B8" w:rsidP="007C402A">
      <w:pPr>
        <w:spacing w:before="120" w:after="120"/>
        <w:ind w:firstLine="720"/>
        <w:jc w:val="both"/>
        <w:rPr>
          <w:rFonts w:ascii="Cambria" w:hAnsi="Cambria"/>
          <w:b/>
          <w:bCs/>
          <w:sz w:val="20"/>
          <w:szCs w:val="20"/>
          <w:lang w:val="es-ES"/>
        </w:rPr>
      </w:pPr>
      <w:r w:rsidRPr="00C2052D">
        <w:rPr>
          <w:rFonts w:ascii="Cambria" w:hAnsi="Cambria"/>
          <w:b/>
          <w:bCs/>
          <w:sz w:val="20"/>
          <w:szCs w:val="20"/>
          <w:lang w:val="es-ES"/>
        </w:rPr>
        <w:t>II.</w:t>
      </w:r>
      <w:r w:rsidRPr="00C2052D">
        <w:rPr>
          <w:rFonts w:ascii="Cambria" w:hAnsi="Cambria"/>
          <w:b/>
          <w:bCs/>
          <w:sz w:val="20"/>
          <w:szCs w:val="20"/>
          <w:lang w:val="es-ES"/>
        </w:rPr>
        <w:tab/>
        <w:t>TRÁMITE ANTE LA CIDH</w:t>
      </w:r>
      <w:r w:rsidR="008E3BFE" w:rsidRPr="00C2052D">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D3562F"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C2052D" w:rsidRDefault="000C1C69" w:rsidP="004A6A54">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Recepción</w:t>
            </w:r>
            <w:r w:rsidR="00D77503" w:rsidRPr="00C2052D">
              <w:rPr>
                <w:rFonts w:ascii="Cambria" w:hAnsi="Cambria"/>
                <w:bCs/>
                <w:color w:val="FFFFFF" w:themeColor="background1"/>
                <w:sz w:val="19"/>
                <w:szCs w:val="19"/>
                <w:lang w:val="es-ES"/>
              </w:rPr>
              <w:t xml:space="preserve"> de la petición</w:t>
            </w:r>
          </w:p>
        </w:tc>
        <w:tc>
          <w:tcPr>
            <w:tcW w:w="6570" w:type="dxa"/>
            <w:vAlign w:val="center"/>
          </w:tcPr>
          <w:p w14:paraId="6E579153" w14:textId="15AA4310" w:rsidR="004C2312" w:rsidRPr="00C2052D" w:rsidRDefault="00FC3DBB" w:rsidP="00B4333B">
            <w:pPr>
              <w:jc w:val="both"/>
              <w:rPr>
                <w:rFonts w:ascii="Cambria" w:hAnsi="Cambria"/>
                <w:bCs/>
                <w:sz w:val="19"/>
                <w:szCs w:val="19"/>
                <w:lang w:val="es-ES"/>
              </w:rPr>
            </w:pPr>
            <w:r>
              <w:rPr>
                <w:rFonts w:ascii="Cambria" w:hAnsi="Cambria"/>
                <w:bCs/>
                <w:sz w:val="19"/>
                <w:szCs w:val="19"/>
                <w:lang w:val="es-ES"/>
              </w:rPr>
              <w:t>27 de enero de 2011</w:t>
            </w:r>
          </w:p>
        </w:tc>
      </w:tr>
      <w:tr w:rsidR="006E772A" w:rsidRPr="00DB37BB"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C2052D" w:rsidRDefault="006E772A" w:rsidP="004A6A54">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 xml:space="preserve">Información adicional </w:t>
            </w:r>
            <w:r w:rsidR="002355A9" w:rsidRPr="00C2052D">
              <w:rPr>
                <w:rFonts w:ascii="Cambria" w:hAnsi="Cambria"/>
                <w:bCs/>
                <w:color w:val="FFFFFF" w:themeColor="background1"/>
                <w:sz w:val="19"/>
                <w:szCs w:val="19"/>
                <w:lang w:val="es-ES"/>
              </w:rPr>
              <w:t>recibida en la etapa de estudio</w:t>
            </w:r>
          </w:p>
        </w:tc>
        <w:tc>
          <w:tcPr>
            <w:tcW w:w="6570" w:type="dxa"/>
            <w:vAlign w:val="center"/>
          </w:tcPr>
          <w:p w14:paraId="796669C8" w14:textId="37CC7DB2" w:rsidR="006E772A" w:rsidRPr="00C2052D" w:rsidRDefault="00FC3DBB" w:rsidP="007C2363">
            <w:pPr>
              <w:jc w:val="both"/>
              <w:rPr>
                <w:rFonts w:ascii="Cambria" w:hAnsi="Cambria"/>
                <w:bCs/>
                <w:sz w:val="19"/>
                <w:szCs w:val="19"/>
                <w:lang w:val="es-ES"/>
              </w:rPr>
            </w:pPr>
            <w:r>
              <w:rPr>
                <w:rFonts w:ascii="Cambria" w:hAnsi="Cambria"/>
                <w:bCs/>
                <w:sz w:val="19"/>
                <w:szCs w:val="19"/>
                <w:lang w:val="es-ES"/>
              </w:rPr>
              <w:t>24 de febrero y 18 de diciembre de 2011; 15 de mayo de 2012; 1 de junio de 2012; 25 de febrero de 2013; 20 de julio y 24 de junio de 2015</w:t>
            </w:r>
          </w:p>
        </w:tc>
      </w:tr>
      <w:tr w:rsidR="004C2312" w:rsidRPr="00D3562F"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444A98C4" w:rsidR="004C2312" w:rsidRPr="00C2052D" w:rsidRDefault="004A6A54" w:rsidP="000C1C69">
            <w:pPr>
              <w:jc w:val="center"/>
              <w:rPr>
                <w:rFonts w:ascii="Cambria" w:hAnsi="Cambria"/>
                <w:bCs/>
                <w:color w:val="FFFFFF" w:themeColor="background1"/>
                <w:sz w:val="19"/>
                <w:szCs w:val="19"/>
                <w:lang w:val="es-ES"/>
              </w:rPr>
            </w:pPr>
            <w:r w:rsidRPr="00C2052D">
              <w:rPr>
                <w:rFonts w:ascii="Cambria" w:hAnsi="Cambria"/>
                <w:color w:val="FFFFFF" w:themeColor="background1"/>
                <w:sz w:val="19"/>
                <w:szCs w:val="19"/>
                <w:lang w:val="es-ES"/>
              </w:rPr>
              <w:t>N</w:t>
            </w:r>
            <w:r w:rsidR="004C2312" w:rsidRPr="00C2052D">
              <w:rPr>
                <w:rFonts w:ascii="Cambria" w:hAnsi="Cambria"/>
                <w:color w:val="FFFFFF" w:themeColor="background1"/>
                <w:sz w:val="19"/>
                <w:szCs w:val="19"/>
                <w:lang w:val="es-ES"/>
              </w:rPr>
              <w:t>otificación de la petición</w:t>
            </w:r>
            <w:r w:rsidR="00FC3DBB">
              <w:rPr>
                <w:rFonts w:ascii="Cambria" w:hAnsi="Cambria"/>
                <w:color w:val="FFFFFF" w:themeColor="background1"/>
                <w:sz w:val="19"/>
                <w:szCs w:val="19"/>
                <w:lang w:val="es-ES"/>
              </w:rPr>
              <w:t xml:space="preserve"> al Estado</w:t>
            </w:r>
          </w:p>
        </w:tc>
        <w:tc>
          <w:tcPr>
            <w:tcW w:w="6570" w:type="dxa"/>
            <w:vAlign w:val="center"/>
          </w:tcPr>
          <w:p w14:paraId="1519DA6A" w14:textId="4E4AC9C9" w:rsidR="004C2312" w:rsidRPr="00C2052D" w:rsidRDefault="00FC3DBB" w:rsidP="005D3083">
            <w:pPr>
              <w:jc w:val="both"/>
              <w:rPr>
                <w:rFonts w:ascii="Cambria" w:hAnsi="Cambria"/>
                <w:bCs/>
                <w:sz w:val="19"/>
                <w:szCs w:val="19"/>
                <w:lang w:val="es-ES"/>
              </w:rPr>
            </w:pPr>
            <w:r>
              <w:rPr>
                <w:rFonts w:ascii="Cambria" w:hAnsi="Cambria"/>
                <w:bCs/>
                <w:sz w:val="19"/>
                <w:szCs w:val="19"/>
                <w:lang w:val="es-ES"/>
              </w:rPr>
              <w:t>16 de mayo de 2016</w:t>
            </w:r>
          </w:p>
        </w:tc>
      </w:tr>
      <w:tr w:rsidR="00F06354" w:rsidRPr="00D3562F"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C2052D" w:rsidRDefault="00D77503" w:rsidP="00F06354">
            <w:pPr>
              <w:jc w:val="center"/>
              <w:rPr>
                <w:rFonts w:ascii="Cambria" w:hAnsi="Cambria"/>
                <w:bCs/>
                <w:color w:val="FFFFFF" w:themeColor="background1"/>
                <w:sz w:val="19"/>
                <w:szCs w:val="19"/>
                <w:lang w:val="es-ES"/>
              </w:rPr>
            </w:pPr>
            <w:r w:rsidRPr="00C2052D">
              <w:rPr>
                <w:rFonts w:ascii="Cambria" w:hAnsi="Cambria"/>
                <w:color w:val="FFFFFF" w:themeColor="background1"/>
                <w:sz w:val="19"/>
                <w:szCs w:val="19"/>
                <w:lang w:val="es-ES"/>
              </w:rPr>
              <w:t>Primera respuesta del Estado</w:t>
            </w:r>
          </w:p>
        </w:tc>
        <w:tc>
          <w:tcPr>
            <w:tcW w:w="6570" w:type="dxa"/>
            <w:vAlign w:val="center"/>
          </w:tcPr>
          <w:p w14:paraId="1972B99E" w14:textId="40AF5E85" w:rsidR="00F06354" w:rsidRPr="00C2052D" w:rsidRDefault="00FC3DBB" w:rsidP="00F06354">
            <w:pPr>
              <w:jc w:val="both"/>
              <w:rPr>
                <w:rFonts w:ascii="Cambria" w:hAnsi="Cambria"/>
                <w:bCs/>
                <w:sz w:val="19"/>
                <w:szCs w:val="19"/>
                <w:lang w:val="es-ES"/>
              </w:rPr>
            </w:pPr>
            <w:r>
              <w:rPr>
                <w:rFonts w:ascii="Cambria" w:hAnsi="Cambria"/>
                <w:bCs/>
                <w:sz w:val="19"/>
                <w:szCs w:val="19"/>
                <w:lang w:val="es-ES"/>
              </w:rPr>
              <w:t>14 de agosto de 2016</w:t>
            </w:r>
          </w:p>
        </w:tc>
      </w:tr>
      <w:tr w:rsidR="00F06354" w:rsidRPr="00DB37BB"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C2052D" w:rsidRDefault="00F06354" w:rsidP="00F06354">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Observaciones adicionales de</w:t>
            </w:r>
            <w:r w:rsidR="00D77503" w:rsidRPr="00C2052D">
              <w:rPr>
                <w:rFonts w:ascii="Cambria" w:hAnsi="Cambria"/>
                <w:bCs/>
                <w:color w:val="FFFFFF" w:themeColor="background1"/>
                <w:sz w:val="19"/>
                <w:szCs w:val="19"/>
                <w:lang w:val="es-ES"/>
              </w:rPr>
              <w:t xml:space="preserve"> la parte peticionaria</w:t>
            </w:r>
          </w:p>
        </w:tc>
        <w:tc>
          <w:tcPr>
            <w:tcW w:w="6570" w:type="dxa"/>
            <w:vAlign w:val="center"/>
          </w:tcPr>
          <w:p w14:paraId="41D8B862" w14:textId="48FC8BA3" w:rsidR="00F06354" w:rsidRPr="00C2052D" w:rsidRDefault="00FC3DBB" w:rsidP="00613F6B">
            <w:pPr>
              <w:jc w:val="both"/>
              <w:rPr>
                <w:rFonts w:ascii="Cambria" w:hAnsi="Cambria"/>
                <w:bCs/>
                <w:sz w:val="19"/>
                <w:szCs w:val="19"/>
                <w:lang w:val="es-ES"/>
              </w:rPr>
            </w:pPr>
            <w:r>
              <w:rPr>
                <w:rFonts w:ascii="Cambria" w:hAnsi="Cambria"/>
                <w:bCs/>
                <w:sz w:val="19"/>
                <w:szCs w:val="19"/>
                <w:lang w:val="es-ES"/>
              </w:rPr>
              <w:t>22 de noviembre de 2017; 9 de agosto de 2018 y 22 de julio de 2019</w:t>
            </w:r>
          </w:p>
        </w:tc>
      </w:tr>
    </w:tbl>
    <w:p w14:paraId="21DAA666" w14:textId="5065046E" w:rsidR="003239B8" w:rsidRPr="00C2052D" w:rsidRDefault="003239B8" w:rsidP="007C402A">
      <w:pPr>
        <w:spacing w:before="120" w:after="120"/>
        <w:ind w:firstLine="720"/>
        <w:jc w:val="both"/>
        <w:rPr>
          <w:rFonts w:ascii="Cambria" w:hAnsi="Cambria"/>
          <w:b/>
          <w:bCs/>
          <w:sz w:val="20"/>
          <w:szCs w:val="20"/>
          <w:lang w:val="es-ES"/>
        </w:rPr>
      </w:pPr>
      <w:r w:rsidRPr="00C2052D">
        <w:rPr>
          <w:rFonts w:ascii="Cambria" w:hAnsi="Cambria"/>
          <w:b/>
          <w:bCs/>
          <w:sz w:val="20"/>
          <w:szCs w:val="20"/>
          <w:lang w:val="es-ES"/>
        </w:rPr>
        <w:t xml:space="preserve">III. </w:t>
      </w:r>
      <w:r w:rsidRPr="00C2052D">
        <w:rPr>
          <w:rFonts w:ascii="Cambria" w:hAnsi="Cambria"/>
          <w:b/>
          <w:bCs/>
          <w:sz w:val="20"/>
          <w:szCs w:val="20"/>
          <w:lang w:val="es-ES"/>
        </w:rPr>
        <w:tab/>
        <w:t>COMPETENCIA</w:t>
      </w:r>
      <w:r w:rsidR="00EE00E9" w:rsidRPr="00C2052D">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D3562F"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C2052D" w:rsidRDefault="00D77503" w:rsidP="005D3083">
            <w:pPr>
              <w:jc w:val="center"/>
              <w:rPr>
                <w:rFonts w:ascii="Cambria" w:hAnsi="Cambria"/>
                <w:bCs/>
                <w:i/>
                <w:color w:val="FFFFFF" w:themeColor="background1"/>
                <w:sz w:val="19"/>
                <w:szCs w:val="19"/>
                <w:lang w:val="es-ES"/>
              </w:rPr>
            </w:pPr>
            <w:r w:rsidRPr="00C2052D">
              <w:rPr>
                <w:rFonts w:ascii="Cambria" w:hAnsi="Cambria"/>
                <w:bCs/>
                <w:i/>
                <w:color w:val="FFFFFF" w:themeColor="background1"/>
                <w:sz w:val="19"/>
                <w:szCs w:val="19"/>
                <w:lang w:val="es-ES"/>
              </w:rPr>
              <w:t>Ratione personae</w:t>
            </w:r>
          </w:p>
        </w:tc>
        <w:tc>
          <w:tcPr>
            <w:tcW w:w="6570" w:type="dxa"/>
            <w:vAlign w:val="center"/>
          </w:tcPr>
          <w:p w14:paraId="7707F3E9" w14:textId="1C0A7F0D" w:rsidR="003239B8" w:rsidRPr="00C2052D" w:rsidRDefault="00D778FE" w:rsidP="005D3083">
            <w:pPr>
              <w:rPr>
                <w:rFonts w:ascii="Cambria" w:hAnsi="Cambria"/>
                <w:bCs/>
                <w:sz w:val="19"/>
                <w:szCs w:val="19"/>
                <w:lang w:val="es-ES"/>
              </w:rPr>
            </w:pPr>
            <w:r w:rsidRPr="00C2052D">
              <w:rPr>
                <w:rFonts w:ascii="Cambria" w:hAnsi="Cambria"/>
                <w:bCs/>
                <w:sz w:val="19"/>
                <w:szCs w:val="19"/>
                <w:lang w:val="es-ES"/>
              </w:rPr>
              <w:t>Sí</w:t>
            </w:r>
          </w:p>
        </w:tc>
      </w:tr>
      <w:tr w:rsidR="003239B8" w:rsidRPr="00D3562F"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C2052D" w:rsidRDefault="003239B8" w:rsidP="00D77503">
            <w:pPr>
              <w:jc w:val="center"/>
              <w:rPr>
                <w:rFonts w:ascii="Cambria" w:hAnsi="Cambria"/>
                <w:bCs/>
                <w:color w:val="FFFFFF" w:themeColor="background1"/>
                <w:sz w:val="19"/>
                <w:szCs w:val="19"/>
                <w:lang w:val="es-ES"/>
              </w:rPr>
            </w:pPr>
            <w:r w:rsidRPr="00C2052D">
              <w:rPr>
                <w:rFonts w:ascii="Cambria" w:hAnsi="Cambria"/>
                <w:bCs/>
                <w:i/>
                <w:color w:val="FFFFFF" w:themeColor="background1"/>
                <w:sz w:val="19"/>
                <w:szCs w:val="19"/>
                <w:lang w:val="es-ES"/>
              </w:rPr>
              <w:t>Ratione loci</w:t>
            </w:r>
          </w:p>
        </w:tc>
        <w:tc>
          <w:tcPr>
            <w:tcW w:w="6570" w:type="dxa"/>
            <w:vAlign w:val="center"/>
          </w:tcPr>
          <w:p w14:paraId="12C931CB" w14:textId="203E5642" w:rsidR="003239B8" w:rsidRPr="00C2052D" w:rsidRDefault="003D04CF" w:rsidP="005D3083">
            <w:pPr>
              <w:rPr>
                <w:rFonts w:ascii="Cambria" w:hAnsi="Cambria"/>
                <w:bCs/>
                <w:sz w:val="19"/>
                <w:szCs w:val="19"/>
                <w:lang w:val="es-ES"/>
              </w:rPr>
            </w:pPr>
            <w:r w:rsidRPr="00C2052D">
              <w:rPr>
                <w:rFonts w:ascii="Cambria" w:hAnsi="Cambria"/>
                <w:bCs/>
                <w:sz w:val="19"/>
                <w:szCs w:val="19"/>
                <w:lang w:val="es-ES"/>
              </w:rPr>
              <w:t>Si</w:t>
            </w:r>
          </w:p>
        </w:tc>
      </w:tr>
      <w:tr w:rsidR="003239B8" w:rsidRPr="00D3562F"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C2052D" w:rsidRDefault="003239B8" w:rsidP="005D3083">
            <w:pPr>
              <w:jc w:val="center"/>
              <w:rPr>
                <w:rFonts w:ascii="Cambria" w:hAnsi="Cambria"/>
                <w:bCs/>
                <w:color w:val="FFFFFF" w:themeColor="background1"/>
                <w:sz w:val="19"/>
                <w:szCs w:val="19"/>
                <w:lang w:val="es-ES"/>
              </w:rPr>
            </w:pPr>
            <w:r w:rsidRPr="00C2052D">
              <w:rPr>
                <w:rFonts w:ascii="Cambria" w:hAnsi="Cambria"/>
                <w:bCs/>
                <w:i/>
                <w:color w:val="FFFFFF" w:themeColor="background1"/>
                <w:sz w:val="19"/>
                <w:szCs w:val="19"/>
                <w:lang w:val="es-ES"/>
              </w:rPr>
              <w:t>Ratione temporis</w:t>
            </w:r>
          </w:p>
        </w:tc>
        <w:tc>
          <w:tcPr>
            <w:tcW w:w="6570" w:type="dxa"/>
            <w:vAlign w:val="center"/>
          </w:tcPr>
          <w:p w14:paraId="6F8B059B" w14:textId="6A5D8182" w:rsidR="003239B8" w:rsidRPr="00C2052D" w:rsidRDefault="003D04CF" w:rsidP="005D3083">
            <w:pPr>
              <w:rPr>
                <w:rFonts w:ascii="Cambria" w:hAnsi="Cambria"/>
                <w:bCs/>
                <w:sz w:val="19"/>
                <w:szCs w:val="19"/>
                <w:lang w:val="es-ES"/>
              </w:rPr>
            </w:pPr>
            <w:r w:rsidRPr="00C2052D">
              <w:rPr>
                <w:rFonts w:ascii="Cambria" w:hAnsi="Cambria"/>
                <w:bCs/>
                <w:sz w:val="19"/>
                <w:szCs w:val="19"/>
                <w:lang w:val="es-ES"/>
              </w:rPr>
              <w:t>Sí</w:t>
            </w:r>
          </w:p>
        </w:tc>
      </w:tr>
      <w:tr w:rsidR="003239B8" w:rsidRPr="00DB37BB"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C2052D" w:rsidRDefault="003239B8" w:rsidP="005D3083">
            <w:pPr>
              <w:jc w:val="center"/>
              <w:rPr>
                <w:rFonts w:ascii="Cambria" w:hAnsi="Cambria"/>
                <w:bCs/>
                <w:color w:val="FFFFFF" w:themeColor="background1"/>
                <w:sz w:val="19"/>
                <w:szCs w:val="19"/>
                <w:lang w:val="es-ES"/>
              </w:rPr>
            </w:pPr>
            <w:r w:rsidRPr="00C2052D">
              <w:rPr>
                <w:rFonts w:ascii="Cambria" w:hAnsi="Cambria"/>
                <w:bCs/>
                <w:i/>
                <w:color w:val="FFFFFF" w:themeColor="background1"/>
                <w:sz w:val="19"/>
                <w:szCs w:val="19"/>
                <w:lang w:val="es-ES"/>
              </w:rPr>
              <w:t>Ratione materia</w:t>
            </w:r>
            <w:r w:rsidR="00EE00E9" w:rsidRPr="00C2052D">
              <w:rPr>
                <w:rFonts w:ascii="Cambria" w:hAnsi="Cambria"/>
                <w:bCs/>
                <w:i/>
                <w:color w:val="FFFFFF" w:themeColor="background1"/>
                <w:sz w:val="19"/>
                <w:szCs w:val="19"/>
                <w:lang w:val="es-ES"/>
              </w:rPr>
              <w:t>e</w:t>
            </w:r>
          </w:p>
        </w:tc>
        <w:tc>
          <w:tcPr>
            <w:tcW w:w="6570" w:type="dxa"/>
            <w:vAlign w:val="center"/>
          </w:tcPr>
          <w:p w14:paraId="0C122F44" w14:textId="7DB3B2B4" w:rsidR="003239B8" w:rsidRPr="00C2052D" w:rsidRDefault="00892CC2" w:rsidP="009966ED">
            <w:pPr>
              <w:jc w:val="both"/>
              <w:rPr>
                <w:rFonts w:ascii="Cambria" w:hAnsi="Cambria"/>
                <w:bCs/>
                <w:sz w:val="19"/>
                <w:szCs w:val="19"/>
                <w:lang w:val="es-ES"/>
              </w:rPr>
            </w:pPr>
            <w:r w:rsidRPr="00C2052D">
              <w:rPr>
                <w:rFonts w:ascii="Cambria" w:hAnsi="Cambria"/>
                <w:bCs/>
                <w:sz w:val="19"/>
                <w:szCs w:val="19"/>
                <w:lang w:val="es-ES"/>
              </w:rPr>
              <w:t>Sí, Convención Americana</w:t>
            </w:r>
            <w:r w:rsidR="00FC3DBB">
              <w:rPr>
                <w:rStyle w:val="FootnoteReference"/>
                <w:rFonts w:ascii="Cambria" w:hAnsi="Cambria"/>
                <w:bCs/>
                <w:sz w:val="19"/>
                <w:szCs w:val="19"/>
                <w:lang w:val="es-ES"/>
              </w:rPr>
              <w:footnoteReference w:id="4"/>
            </w:r>
            <w:r w:rsidRPr="00C2052D">
              <w:rPr>
                <w:rFonts w:ascii="Cambria" w:hAnsi="Cambria"/>
                <w:bCs/>
                <w:sz w:val="19"/>
                <w:szCs w:val="19"/>
                <w:lang w:val="es-ES"/>
              </w:rPr>
              <w:t xml:space="preserve"> (depósito de instrumento realizado el 2</w:t>
            </w:r>
            <w:r w:rsidR="00FC3DBB">
              <w:rPr>
                <w:rFonts w:ascii="Cambria" w:hAnsi="Cambria"/>
                <w:bCs/>
                <w:sz w:val="19"/>
                <w:szCs w:val="19"/>
                <w:lang w:val="es-ES"/>
              </w:rPr>
              <w:t>1</w:t>
            </w:r>
            <w:r w:rsidRPr="00C2052D">
              <w:rPr>
                <w:rFonts w:ascii="Cambria" w:hAnsi="Cambria"/>
                <w:bCs/>
                <w:sz w:val="19"/>
                <w:szCs w:val="19"/>
                <w:lang w:val="es-ES"/>
              </w:rPr>
              <w:t xml:space="preserve"> de </w:t>
            </w:r>
            <w:r w:rsidR="00FC3DBB">
              <w:rPr>
                <w:rFonts w:ascii="Cambria" w:hAnsi="Cambria"/>
                <w:bCs/>
                <w:sz w:val="19"/>
                <w:szCs w:val="19"/>
                <w:lang w:val="es-ES"/>
              </w:rPr>
              <w:t>agosto</w:t>
            </w:r>
            <w:r w:rsidRPr="00C2052D">
              <w:rPr>
                <w:rFonts w:ascii="Cambria" w:hAnsi="Cambria"/>
                <w:bCs/>
                <w:sz w:val="19"/>
                <w:szCs w:val="19"/>
                <w:lang w:val="es-ES"/>
              </w:rPr>
              <w:t xml:space="preserve"> de 19</w:t>
            </w:r>
            <w:r w:rsidR="00FC3DBB">
              <w:rPr>
                <w:rFonts w:ascii="Cambria" w:hAnsi="Cambria"/>
                <w:bCs/>
                <w:sz w:val="19"/>
                <w:szCs w:val="19"/>
                <w:lang w:val="es-ES"/>
              </w:rPr>
              <w:t>90</w:t>
            </w:r>
            <w:r w:rsidRPr="00C2052D">
              <w:rPr>
                <w:rFonts w:ascii="Cambria" w:hAnsi="Cambria"/>
                <w:bCs/>
                <w:sz w:val="19"/>
                <w:szCs w:val="19"/>
                <w:lang w:val="es-ES"/>
              </w:rPr>
              <w:t>); Convención Interamericana sobre Desaparición Forzada de Personas (depósito de instrume</w:t>
            </w:r>
            <w:r w:rsidR="009966ED">
              <w:rPr>
                <w:rFonts w:ascii="Cambria" w:hAnsi="Cambria"/>
                <w:bCs/>
                <w:sz w:val="19"/>
                <w:szCs w:val="19"/>
                <w:lang w:val="es-ES"/>
              </w:rPr>
              <w:t>nto realizado el 9 de abril</w:t>
            </w:r>
            <w:r w:rsidRPr="00C2052D">
              <w:rPr>
                <w:rFonts w:ascii="Cambria" w:hAnsi="Cambria"/>
                <w:bCs/>
                <w:sz w:val="19"/>
                <w:szCs w:val="19"/>
                <w:lang w:val="es-ES"/>
              </w:rPr>
              <w:t xml:space="preserve"> de 2002)</w:t>
            </w:r>
            <w:r w:rsidR="00F7706A" w:rsidRPr="00C2052D">
              <w:rPr>
                <w:rFonts w:ascii="Cambria" w:hAnsi="Cambria"/>
                <w:bCs/>
                <w:sz w:val="19"/>
                <w:szCs w:val="19"/>
                <w:lang w:val="es-ES"/>
              </w:rPr>
              <w:t>;</w:t>
            </w:r>
          </w:p>
        </w:tc>
      </w:tr>
    </w:tbl>
    <w:p w14:paraId="4E92C444" w14:textId="1DAF1B79" w:rsidR="003239B8" w:rsidRPr="00C2052D" w:rsidRDefault="003239B8" w:rsidP="007C402A">
      <w:pPr>
        <w:spacing w:before="120" w:after="120"/>
        <w:ind w:firstLine="720"/>
        <w:jc w:val="both"/>
        <w:rPr>
          <w:rFonts w:ascii="Cambria" w:hAnsi="Cambria"/>
          <w:b/>
          <w:bCs/>
          <w:sz w:val="20"/>
          <w:szCs w:val="20"/>
          <w:lang w:val="es-ES"/>
        </w:rPr>
      </w:pPr>
      <w:r w:rsidRPr="00C2052D">
        <w:rPr>
          <w:rFonts w:ascii="Cambria" w:hAnsi="Cambria"/>
          <w:b/>
          <w:bCs/>
          <w:sz w:val="20"/>
          <w:szCs w:val="20"/>
          <w:lang w:val="es-ES"/>
        </w:rPr>
        <w:t xml:space="preserve">IV. </w:t>
      </w:r>
      <w:r w:rsidRPr="00C2052D">
        <w:rPr>
          <w:rFonts w:ascii="Cambria" w:hAnsi="Cambria"/>
          <w:b/>
          <w:bCs/>
          <w:sz w:val="20"/>
          <w:szCs w:val="20"/>
          <w:lang w:val="es-ES"/>
        </w:rPr>
        <w:tab/>
      </w:r>
      <w:r w:rsidR="00EE00E9" w:rsidRPr="00C2052D">
        <w:rPr>
          <w:rFonts w:ascii="Cambria" w:hAnsi="Cambria"/>
          <w:b/>
          <w:bCs/>
          <w:sz w:val="20"/>
          <w:szCs w:val="20"/>
          <w:lang w:val="es-ES"/>
        </w:rPr>
        <w:t>DUPLICACIÓN</w:t>
      </w:r>
      <w:r w:rsidR="00EE00E9" w:rsidRPr="00C2052D">
        <w:rPr>
          <w:rFonts w:ascii="Cambria" w:hAnsi="Cambria"/>
          <w:b/>
          <w:bCs/>
          <w:color w:val="FFFFFF" w:themeColor="background1"/>
          <w:sz w:val="20"/>
          <w:szCs w:val="20"/>
          <w:lang w:val="es-ES"/>
        </w:rPr>
        <w:t xml:space="preserve"> </w:t>
      </w:r>
      <w:r w:rsidR="00EE00E9" w:rsidRPr="00C2052D">
        <w:rPr>
          <w:rFonts w:ascii="Cambria" w:hAnsi="Cambria"/>
          <w:b/>
          <w:bCs/>
          <w:sz w:val="20"/>
          <w:szCs w:val="20"/>
          <w:lang w:val="es-ES"/>
        </w:rPr>
        <w:t>DE PROCEDIMIENTOS Y COSA JUZGADA</w:t>
      </w:r>
      <w:r w:rsidR="00EE00E9" w:rsidRPr="00C2052D">
        <w:rPr>
          <w:rFonts w:ascii="Cambria" w:hAnsi="Cambria"/>
          <w:b/>
          <w:bCs/>
          <w:i/>
          <w:sz w:val="20"/>
          <w:szCs w:val="20"/>
          <w:lang w:val="es-ES"/>
        </w:rPr>
        <w:t xml:space="preserve"> </w:t>
      </w:r>
      <w:proofErr w:type="gramStart"/>
      <w:r w:rsidR="00EE00E9" w:rsidRPr="00C2052D">
        <w:rPr>
          <w:rFonts w:ascii="Cambria" w:hAnsi="Cambria"/>
          <w:b/>
          <w:bCs/>
          <w:sz w:val="20"/>
          <w:szCs w:val="20"/>
          <w:lang w:val="es-ES"/>
        </w:rPr>
        <w:t xml:space="preserve">INTERNACIONAL, </w:t>
      </w:r>
      <w:r w:rsidRPr="00C2052D">
        <w:rPr>
          <w:rFonts w:ascii="Cambria" w:hAnsi="Cambria"/>
          <w:b/>
          <w:bCs/>
          <w:sz w:val="20"/>
          <w:szCs w:val="20"/>
          <w:lang w:val="es-ES"/>
        </w:rPr>
        <w:t xml:space="preserve"> CARACTERIZACIÓN</w:t>
      </w:r>
      <w:proofErr w:type="gramEnd"/>
      <w:r w:rsidRPr="00C2052D">
        <w:rPr>
          <w:rFonts w:ascii="Cambria" w:hAnsi="Cambria"/>
          <w:b/>
          <w:bCs/>
          <w:sz w:val="20"/>
          <w:szCs w:val="20"/>
          <w:lang w:val="es-ES"/>
        </w:rPr>
        <w:t xml:space="preserve">, </w:t>
      </w:r>
      <w:r w:rsidRPr="00C2052D">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D3562F"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C2052D" w:rsidRDefault="00EE00E9" w:rsidP="00954B82">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 xml:space="preserve">Duplicación </w:t>
            </w:r>
            <w:r w:rsidR="00D77503" w:rsidRPr="00C2052D">
              <w:rPr>
                <w:rFonts w:ascii="Cambria" w:hAnsi="Cambria"/>
                <w:bCs/>
                <w:color w:val="FFFFFF" w:themeColor="background1"/>
                <w:sz w:val="19"/>
                <w:szCs w:val="19"/>
                <w:lang w:val="es-ES"/>
              </w:rPr>
              <w:t>y cosa juzgada internacional</w:t>
            </w:r>
          </w:p>
        </w:tc>
        <w:tc>
          <w:tcPr>
            <w:tcW w:w="6570" w:type="dxa"/>
            <w:vAlign w:val="center"/>
          </w:tcPr>
          <w:p w14:paraId="240941E6" w14:textId="48DED42A" w:rsidR="00EE00E9" w:rsidRPr="00C2052D" w:rsidRDefault="00454C28" w:rsidP="005D3083">
            <w:pPr>
              <w:jc w:val="both"/>
              <w:rPr>
                <w:rFonts w:ascii="Cambria" w:hAnsi="Cambria"/>
                <w:bCs/>
                <w:sz w:val="19"/>
                <w:szCs w:val="19"/>
                <w:lang w:val="es-ES"/>
              </w:rPr>
            </w:pPr>
            <w:r w:rsidRPr="00C2052D">
              <w:rPr>
                <w:rFonts w:ascii="Cambria" w:hAnsi="Cambria"/>
                <w:bCs/>
                <w:sz w:val="19"/>
                <w:szCs w:val="19"/>
                <w:lang w:val="es-ES"/>
              </w:rPr>
              <w:t>No</w:t>
            </w:r>
          </w:p>
        </w:tc>
      </w:tr>
      <w:tr w:rsidR="003239B8" w:rsidRPr="00DB37BB" w14:paraId="15FAA7D1" w14:textId="77777777" w:rsidTr="00DE6153">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C2052D" w:rsidRDefault="003239B8" w:rsidP="00954B82">
            <w:pPr>
              <w:jc w:val="center"/>
              <w:rPr>
                <w:rFonts w:ascii="Cambria" w:hAnsi="Cambria"/>
                <w:bCs/>
                <w:i/>
                <w:color w:val="FFFFFF" w:themeColor="background1"/>
                <w:sz w:val="19"/>
                <w:szCs w:val="19"/>
                <w:lang w:val="es-ES"/>
              </w:rPr>
            </w:pPr>
            <w:r w:rsidRPr="00C2052D">
              <w:rPr>
                <w:rFonts w:ascii="Cambria" w:hAnsi="Cambria"/>
                <w:bCs/>
                <w:color w:val="FFFFFF" w:themeColor="background1"/>
                <w:sz w:val="19"/>
                <w:szCs w:val="19"/>
                <w:lang w:val="es-ES"/>
              </w:rPr>
              <w:t>Derechos admi</w:t>
            </w:r>
            <w:r w:rsidR="00954B82" w:rsidRPr="00C2052D">
              <w:rPr>
                <w:rFonts w:ascii="Cambria" w:hAnsi="Cambria"/>
                <w:bCs/>
                <w:color w:val="FFFFFF" w:themeColor="background1"/>
                <w:sz w:val="19"/>
                <w:szCs w:val="19"/>
                <w:lang w:val="es-ES"/>
              </w:rPr>
              <w:t>tidos</w:t>
            </w:r>
          </w:p>
        </w:tc>
        <w:tc>
          <w:tcPr>
            <w:tcW w:w="6570" w:type="dxa"/>
            <w:shd w:val="clear" w:color="auto" w:fill="auto"/>
            <w:vAlign w:val="center"/>
          </w:tcPr>
          <w:p w14:paraId="6310C8F7" w14:textId="32B80681" w:rsidR="003239B8" w:rsidRPr="00C2052D" w:rsidRDefault="00FC3DBB" w:rsidP="00B17051">
            <w:pPr>
              <w:jc w:val="both"/>
              <w:rPr>
                <w:rFonts w:ascii="Cambria" w:hAnsi="Cambria"/>
                <w:bCs/>
                <w:sz w:val="19"/>
                <w:szCs w:val="19"/>
                <w:lang w:val="es-ES"/>
              </w:rPr>
            </w:pPr>
            <w:r>
              <w:rPr>
                <w:rFonts w:ascii="Cambria" w:hAnsi="Cambria"/>
                <w:bCs/>
                <w:sz w:val="19"/>
                <w:szCs w:val="19"/>
                <w:lang w:val="es-ES"/>
              </w:rPr>
              <w:t>A</w:t>
            </w:r>
            <w:r w:rsidR="00B17051">
              <w:rPr>
                <w:rFonts w:ascii="Cambria" w:hAnsi="Cambria"/>
                <w:bCs/>
                <w:sz w:val="19"/>
                <w:szCs w:val="19"/>
                <w:lang w:val="es-ES"/>
              </w:rPr>
              <w:t>rtículos</w:t>
            </w:r>
            <w:r w:rsidR="008A6FC6" w:rsidRPr="00C2052D">
              <w:rPr>
                <w:rFonts w:ascii="Cambria" w:hAnsi="Cambria"/>
                <w:bCs/>
                <w:sz w:val="19"/>
                <w:szCs w:val="19"/>
                <w:lang w:val="es-ES"/>
              </w:rPr>
              <w:t xml:space="preserve"> 3</w:t>
            </w:r>
            <w:r w:rsidR="00A40B91">
              <w:rPr>
                <w:rFonts w:ascii="Cambria" w:hAnsi="Cambria"/>
                <w:bCs/>
                <w:sz w:val="19"/>
                <w:szCs w:val="19"/>
                <w:lang w:val="es-ES"/>
              </w:rPr>
              <w:t xml:space="preserve"> </w:t>
            </w:r>
            <w:r w:rsidR="00A40B91" w:rsidRPr="00C2052D">
              <w:rPr>
                <w:rFonts w:ascii="Cambria" w:hAnsi="Cambria"/>
                <w:bCs/>
                <w:sz w:val="19"/>
                <w:szCs w:val="19"/>
                <w:lang w:val="es-ES"/>
              </w:rPr>
              <w:t xml:space="preserve">(reconocimiento de personalidad jurídica), 4 (vida), 5 (integridad personal), 7 (libertad personal), 8 (garantías judiciales), </w:t>
            </w:r>
            <w:r w:rsidR="005D1979" w:rsidRPr="006B0EA7">
              <w:rPr>
                <w:rFonts w:ascii="Cambria" w:hAnsi="Cambria"/>
                <w:bCs/>
                <w:sz w:val="19"/>
                <w:szCs w:val="19"/>
                <w:lang w:val="es-ES"/>
              </w:rPr>
              <w:t xml:space="preserve">19 (derechos del niño) </w:t>
            </w:r>
            <w:r w:rsidR="00A40B91" w:rsidRPr="00C2052D">
              <w:rPr>
                <w:rFonts w:ascii="Cambria" w:hAnsi="Cambria"/>
                <w:bCs/>
                <w:sz w:val="19"/>
                <w:szCs w:val="19"/>
                <w:lang w:val="es-ES"/>
              </w:rPr>
              <w:t xml:space="preserve">y 25 (protección judicial) </w:t>
            </w:r>
            <w:r w:rsidR="008A6FC6" w:rsidRPr="00C2052D">
              <w:rPr>
                <w:rFonts w:ascii="Cambria" w:hAnsi="Cambria"/>
                <w:bCs/>
                <w:sz w:val="19"/>
                <w:szCs w:val="19"/>
                <w:lang w:val="es-ES"/>
              </w:rPr>
              <w:t xml:space="preserve">de la Convención Americana en relación con </w:t>
            </w:r>
            <w:r w:rsidR="00B17051">
              <w:rPr>
                <w:rFonts w:ascii="Cambria" w:hAnsi="Cambria"/>
                <w:bCs/>
                <w:sz w:val="19"/>
                <w:szCs w:val="19"/>
                <w:lang w:val="es-ES"/>
              </w:rPr>
              <w:t xml:space="preserve">sus artículos </w:t>
            </w:r>
            <w:r w:rsidR="008A6FC6" w:rsidRPr="00C2052D">
              <w:rPr>
                <w:rFonts w:ascii="Cambria" w:hAnsi="Cambria"/>
                <w:bCs/>
                <w:sz w:val="19"/>
                <w:szCs w:val="19"/>
                <w:lang w:val="es-ES"/>
              </w:rPr>
              <w:t>1.1</w:t>
            </w:r>
            <w:r w:rsidR="00B17051">
              <w:rPr>
                <w:rFonts w:ascii="Cambria" w:hAnsi="Cambria"/>
                <w:bCs/>
                <w:sz w:val="19"/>
                <w:szCs w:val="19"/>
                <w:lang w:val="es-ES"/>
              </w:rPr>
              <w:t xml:space="preserve"> y 2;</w:t>
            </w:r>
            <w:r w:rsidR="008A6FC6" w:rsidRPr="00C2052D">
              <w:rPr>
                <w:rFonts w:ascii="Cambria" w:hAnsi="Cambria"/>
                <w:bCs/>
                <w:sz w:val="19"/>
                <w:szCs w:val="19"/>
                <w:lang w:val="es-ES"/>
              </w:rPr>
              <w:t xml:space="preserve"> </w:t>
            </w:r>
            <w:r w:rsidR="00B17051" w:rsidRPr="00C2052D">
              <w:rPr>
                <w:rFonts w:ascii="Cambria" w:hAnsi="Cambria"/>
                <w:bCs/>
                <w:sz w:val="19"/>
                <w:szCs w:val="19"/>
                <w:lang w:val="es-ES"/>
              </w:rPr>
              <w:t>artículo</w:t>
            </w:r>
            <w:r>
              <w:rPr>
                <w:rFonts w:ascii="Cambria" w:hAnsi="Cambria"/>
                <w:bCs/>
                <w:sz w:val="19"/>
                <w:szCs w:val="19"/>
                <w:lang w:val="es-ES"/>
              </w:rPr>
              <w:t xml:space="preserve"> I de la Convención Interamericana sobre la Desaparición Forzada de Personas</w:t>
            </w:r>
            <w:r w:rsidR="00B17051">
              <w:rPr>
                <w:rFonts w:ascii="Cambria" w:hAnsi="Cambria"/>
                <w:bCs/>
                <w:sz w:val="19"/>
                <w:szCs w:val="19"/>
                <w:lang w:val="es-ES"/>
              </w:rPr>
              <w:t xml:space="preserve"> </w:t>
            </w:r>
          </w:p>
        </w:tc>
      </w:tr>
      <w:tr w:rsidR="003239B8" w:rsidRPr="00DB37BB"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C2052D" w:rsidRDefault="003239B8" w:rsidP="006775AB">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Agotamiento de</w:t>
            </w:r>
            <w:r w:rsidR="0069402E" w:rsidRPr="00C2052D">
              <w:rPr>
                <w:rFonts w:ascii="Cambria" w:hAnsi="Cambria"/>
                <w:bCs/>
                <w:color w:val="FFFFFF" w:themeColor="background1"/>
                <w:sz w:val="19"/>
                <w:szCs w:val="19"/>
                <w:lang w:val="es-ES"/>
              </w:rPr>
              <w:t xml:space="preserve"> </w:t>
            </w:r>
            <w:r w:rsidRPr="00C2052D">
              <w:rPr>
                <w:rFonts w:ascii="Cambria" w:hAnsi="Cambria"/>
                <w:bCs/>
                <w:color w:val="FFFFFF" w:themeColor="background1"/>
                <w:sz w:val="19"/>
                <w:szCs w:val="19"/>
                <w:lang w:val="es-ES"/>
              </w:rPr>
              <w:t xml:space="preserve">recursos </w:t>
            </w:r>
            <w:r w:rsidR="00D77503" w:rsidRPr="00C2052D">
              <w:rPr>
                <w:rFonts w:ascii="Cambria" w:hAnsi="Cambria"/>
                <w:bCs/>
                <w:color w:val="FFFFFF" w:themeColor="background1"/>
                <w:sz w:val="19"/>
                <w:szCs w:val="19"/>
                <w:lang w:val="es-ES"/>
              </w:rPr>
              <w:t>o procedencia de una excepción</w:t>
            </w:r>
          </w:p>
        </w:tc>
        <w:tc>
          <w:tcPr>
            <w:tcW w:w="6570" w:type="dxa"/>
            <w:vAlign w:val="center"/>
          </w:tcPr>
          <w:p w14:paraId="69C53E8A" w14:textId="4838B4EE" w:rsidR="003239B8" w:rsidRPr="00C2052D" w:rsidRDefault="00454C28" w:rsidP="00BB3FBD">
            <w:pPr>
              <w:rPr>
                <w:rFonts w:ascii="Cambria" w:hAnsi="Cambria"/>
                <w:bCs/>
                <w:sz w:val="19"/>
                <w:szCs w:val="19"/>
                <w:lang w:val="es-ES"/>
              </w:rPr>
            </w:pPr>
            <w:r w:rsidRPr="00C2052D">
              <w:rPr>
                <w:rFonts w:ascii="Cambria" w:hAnsi="Cambria"/>
                <w:bCs/>
                <w:sz w:val="19"/>
                <w:szCs w:val="19"/>
                <w:lang w:val="es-ES"/>
              </w:rPr>
              <w:t>S</w:t>
            </w:r>
            <w:r w:rsidR="00FC3DBB">
              <w:rPr>
                <w:rFonts w:ascii="Cambria" w:hAnsi="Cambria"/>
                <w:bCs/>
                <w:sz w:val="19"/>
                <w:szCs w:val="19"/>
                <w:lang w:val="es-ES"/>
              </w:rPr>
              <w:t>í</w:t>
            </w:r>
            <w:r w:rsidRPr="00C2052D">
              <w:rPr>
                <w:rFonts w:ascii="Cambria" w:hAnsi="Cambria"/>
                <w:bCs/>
                <w:sz w:val="19"/>
                <w:szCs w:val="19"/>
                <w:lang w:val="es-ES"/>
              </w:rPr>
              <w:t xml:space="preserve">, </w:t>
            </w:r>
            <w:r w:rsidR="005D1979">
              <w:rPr>
                <w:rFonts w:ascii="Cambria" w:hAnsi="Cambria"/>
                <w:bCs/>
                <w:sz w:val="19"/>
                <w:szCs w:val="19"/>
                <w:lang w:val="es-ES"/>
              </w:rPr>
              <w:t>de acuerdo con</w:t>
            </w:r>
            <w:r w:rsidR="00FC3DBB">
              <w:rPr>
                <w:rFonts w:ascii="Cambria" w:hAnsi="Cambria"/>
                <w:bCs/>
                <w:sz w:val="19"/>
                <w:szCs w:val="19"/>
                <w:lang w:val="es-ES"/>
              </w:rPr>
              <w:t xml:space="preserve"> los términos de la sección VI</w:t>
            </w:r>
          </w:p>
        </w:tc>
      </w:tr>
      <w:tr w:rsidR="003239B8" w:rsidRPr="00DB37BB"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C2052D" w:rsidRDefault="00D77503" w:rsidP="005D3083">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Presentación dentro de plazo</w:t>
            </w:r>
          </w:p>
        </w:tc>
        <w:tc>
          <w:tcPr>
            <w:tcW w:w="6570" w:type="dxa"/>
            <w:vAlign w:val="center"/>
          </w:tcPr>
          <w:p w14:paraId="4A2A4569" w14:textId="19EB45BB" w:rsidR="003239B8" w:rsidRPr="00C2052D" w:rsidRDefault="00FC3DBB" w:rsidP="005D3083">
            <w:pPr>
              <w:rPr>
                <w:rFonts w:ascii="Cambria" w:hAnsi="Cambria"/>
                <w:bCs/>
                <w:sz w:val="19"/>
                <w:szCs w:val="19"/>
                <w:lang w:val="es-ES" w:eastAsia="ja-JP"/>
              </w:rPr>
            </w:pPr>
            <w:r w:rsidRPr="00C2052D">
              <w:rPr>
                <w:rFonts w:ascii="Cambria" w:hAnsi="Cambria"/>
                <w:bCs/>
                <w:sz w:val="19"/>
                <w:szCs w:val="19"/>
                <w:lang w:val="es-ES"/>
              </w:rPr>
              <w:t>S</w:t>
            </w:r>
            <w:r>
              <w:rPr>
                <w:rFonts w:ascii="Cambria" w:hAnsi="Cambria"/>
                <w:bCs/>
                <w:sz w:val="19"/>
                <w:szCs w:val="19"/>
                <w:lang w:val="es-ES"/>
              </w:rPr>
              <w:t>í</w:t>
            </w:r>
            <w:r w:rsidRPr="00C2052D">
              <w:rPr>
                <w:rFonts w:ascii="Cambria" w:hAnsi="Cambria"/>
                <w:bCs/>
                <w:sz w:val="19"/>
                <w:szCs w:val="19"/>
                <w:lang w:val="es-ES"/>
              </w:rPr>
              <w:t xml:space="preserve">, </w:t>
            </w:r>
            <w:r w:rsidR="005D1979">
              <w:rPr>
                <w:rFonts w:ascii="Cambria" w:hAnsi="Cambria"/>
                <w:bCs/>
                <w:sz w:val="19"/>
                <w:szCs w:val="19"/>
                <w:lang w:val="es-ES"/>
              </w:rPr>
              <w:t>de acuerdo con</w:t>
            </w:r>
            <w:r>
              <w:rPr>
                <w:rFonts w:ascii="Cambria" w:hAnsi="Cambria"/>
                <w:bCs/>
                <w:sz w:val="19"/>
                <w:szCs w:val="19"/>
                <w:lang w:val="es-ES"/>
              </w:rPr>
              <w:t xml:space="preserve"> los términos de la sección VI</w:t>
            </w:r>
          </w:p>
        </w:tc>
      </w:tr>
    </w:tbl>
    <w:p w14:paraId="1D1435E1" w14:textId="77777777" w:rsidR="005D1979" w:rsidRDefault="005D1979" w:rsidP="005D1979">
      <w:pPr>
        <w:ind w:firstLine="720"/>
        <w:jc w:val="both"/>
        <w:rPr>
          <w:rFonts w:ascii="Cambria" w:hAnsi="Cambria"/>
          <w:b/>
          <w:sz w:val="20"/>
          <w:szCs w:val="20"/>
          <w:lang w:val="es-ES"/>
        </w:rPr>
      </w:pPr>
    </w:p>
    <w:p w14:paraId="4EF3AD43" w14:textId="259D42B1" w:rsidR="002D3705" w:rsidRDefault="00223A29" w:rsidP="005D1979">
      <w:pPr>
        <w:ind w:firstLine="720"/>
        <w:jc w:val="both"/>
        <w:rPr>
          <w:rFonts w:ascii="Cambria" w:hAnsi="Cambria"/>
          <w:b/>
          <w:sz w:val="20"/>
          <w:szCs w:val="20"/>
          <w:lang w:val="es-ES"/>
        </w:rPr>
      </w:pPr>
      <w:r w:rsidRPr="00C2052D">
        <w:rPr>
          <w:rFonts w:ascii="Cambria" w:hAnsi="Cambria"/>
          <w:b/>
          <w:sz w:val="20"/>
          <w:szCs w:val="20"/>
          <w:lang w:val="es-ES"/>
        </w:rPr>
        <w:t xml:space="preserve">V. </w:t>
      </w:r>
      <w:r w:rsidRPr="00C2052D">
        <w:rPr>
          <w:rFonts w:ascii="Cambria" w:hAnsi="Cambria"/>
          <w:b/>
          <w:sz w:val="20"/>
          <w:szCs w:val="20"/>
          <w:lang w:val="es-ES"/>
        </w:rPr>
        <w:tab/>
      </w:r>
      <w:r w:rsidR="0034224A" w:rsidRPr="00C2052D">
        <w:rPr>
          <w:rFonts w:ascii="Cambria" w:hAnsi="Cambria"/>
          <w:b/>
          <w:sz w:val="20"/>
          <w:szCs w:val="20"/>
          <w:lang w:val="es-ES"/>
        </w:rPr>
        <w:t>RESUMEN DE LOS HECHOS ALEGADOS</w:t>
      </w:r>
    </w:p>
    <w:p w14:paraId="2917B40F" w14:textId="77777777" w:rsidR="005D1979" w:rsidRPr="005D1979" w:rsidRDefault="005D1979" w:rsidP="005D1979">
      <w:pPr>
        <w:jc w:val="both"/>
        <w:rPr>
          <w:lang w:val="es-ES"/>
        </w:rPr>
      </w:pPr>
    </w:p>
    <w:p w14:paraId="42AA3B09" w14:textId="06C75EEB" w:rsidR="00FC3DBB" w:rsidRPr="00FC3DBB" w:rsidRDefault="00FC3DBB" w:rsidP="005D1979">
      <w:pPr>
        <w:pStyle w:val="ListParagraph"/>
        <w:numPr>
          <w:ilvl w:val="0"/>
          <w:numId w:val="55"/>
        </w:numPr>
        <w:jc w:val="both"/>
        <w:rPr>
          <w:lang w:val="es-ES"/>
        </w:rPr>
      </w:pPr>
      <w:r w:rsidRPr="00FC3DBB">
        <w:rPr>
          <w:sz w:val="20"/>
          <w:szCs w:val="20"/>
          <w:lang w:val="es-MX"/>
        </w:rPr>
        <w:t xml:space="preserve">Los peticionarios alegan que el 24 de abril de 2007 a las </w:t>
      </w:r>
      <w:r>
        <w:rPr>
          <w:sz w:val="20"/>
          <w:szCs w:val="20"/>
          <w:lang w:val="es-MX"/>
        </w:rPr>
        <w:t>5</w:t>
      </w:r>
      <w:r w:rsidR="005D1979">
        <w:rPr>
          <w:sz w:val="20"/>
          <w:szCs w:val="20"/>
          <w:lang w:val="es-MX"/>
        </w:rPr>
        <w:t xml:space="preserve">:00 </w:t>
      </w:r>
      <w:r>
        <w:rPr>
          <w:sz w:val="20"/>
          <w:szCs w:val="20"/>
          <w:lang w:val="es-MX"/>
        </w:rPr>
        <w:t>pm</w:t>
      </w:r>
      <w:r w:rsidRPr="00FC3DBB">
        <w:rPr>
          <w:sz w:val="20"/>
          <w:szCs w:val="20"/>
          <w:lang w:val="es-MX"/>
        </w:rPr>
        <w:t xml:space="preserve"> Francisco Javier Espinosa Almanza, estudiante de 17 años</w:t>
      </w:r>
      <w:r w:rsidR="005D1979">
        <w:rPr>
          <w:sz w:val="20"/>
          <w:szCs w:val="20"/>
          <w:lang w:val="es-MX"/>
        </w:rPr>
        <w:t>,</w:t>
      </w:r>
      <w:r w:rsidRPr="00FC3DBB">
        <w:rPr>
          <w:sz w:val="20"/>
          <w:szCs w:val="20"/>
          <w:lang w:val="es-MX"/>
        </w:rPr>
        <w:t xml:space="preserve"> y Hugo Alberto López Vidal, de 21 años (“las presuntas víctimas”) fueron capturados en </w:t>
      </w:r>
      <w:r w:rsidR="003F226F">
        <w:rPr>
          <w:sz w:val="20"/>
          <w:szCs w:val="20"/>
          <w:lang w:val="es-MX"/>
        </w:rPr>
        <w:t>la</w:t>
      </w:r>
      <w:r w:rsidRPr="00FC3DBB">
        <w:rPr>
          <w:sz w:val="20"/>
          <w:szCs w:val="20"/>
          <w:lang w:val="es-MX"/>
        </w:rPr>
        <w:t xml:space="preserve"> ciudad y estado de Aguascalientes, México, junto con otras personas, por un grupo de </w:t>
      </w:r>
      <w:r w:rsidR="003F226F">
        <w:rPr>
          <w:sz w:val="20"/>
          <w:szCs w:val="20"/>
          <w:lang w:val="es-MX"/>
        </w:rPr>
        <w:t>gente</w:t>
      </w:r>
      <w:r w:rsidRPr="00FC3DBB">
        <w:rPr>
          <w:sz w:val="20"/>
          <w:szCs w:val="20"/>
          <w:lang w:val="es-MX"/>
        </w:rPr>
        <w:t xml:space="preserve"> armada vestida de negro. Según testigos, los secuestradores aparentemente estaban bajo el mando de un soldado. </w:t>
      </w:r>
      <w:r w:rsidR="003F226F" w:rsidRPr="00FC3DBB">
        <w:rPr>
          <w:sz w:val="20"/>
          <w:szCs w:val="20"/>
          <w:lang w:val="es-ES"/>
        </w:rPr>
        <w:t>De acuerdo con</w:t>
      </w:r>
      <w:r w:rsidRPr="00FC3DBB">
        <w:rPr>
          <w:sz w:val="20"/>
          <w:szCs w:val="20"/>
          <w:lang w:val="es-ES"/>
        </w:rPr>
        <w:t xml:space="preserve"> los peticionarios, nunca se volvió a ver a las presuntas víctimas.</w:t>
      </w:r>
    </w:p>
    <w:p w14:paraId="6D2324EC" w14:textId="0A328C32" w:rsidR="005D1979" w:rsidRDefault="005D1979">
      <w:pPr>
        <w:rPr>
          <w:lang w:val="es-ES"/>
        </w:rPr>
      </w:pPr>
      <w:r>
        <w:rPr>
          <w:lang w:val="es-ES"/>
        </w:rPr>
        <w:br w:type="page"/>
      </w:r>
    </w:p>
    <w:p w14:paraId="64DC33AB" w14:textId="7CDFF4F6" w:rsidR="00FC3DBB" w:rsidRPr="00FC3DBB" w:rsidRDefault="00FC3DBB" w:rsidP="005D1979">
      <w:pPr>
        <w:pStyle w:val="ListParagraph"/>
        <w:numPr>
          <w:ilvl w:val="0"/>
          <w:numId w:val="55"/>
        </w:numPr>
        <w:jc w:val="both"/>
        <w:rPr>
          <w:sz w:val="20"/>
          <w:szCs w:val="20"/>
          <w:lang w:val="es-ES"/>
        </w:rPr>
      </w:pPr>
      <w:r w:rsidRPr="00FC3DBB">
        <w:rPr>
          <w:sz w:val="20"/>
          <w:szCs w:val="20"/>
          <w:lang w:val="es-ES"/>
        </w:rPr>
        <w:lastRenderedPageBreak/>
        <w:t>El secuestro y desaparición de las presuntas víctimas fueron denunciados al Ministerio Público del Estado de Aguascalientes (Procuraduría General de Justicia del Estado de Aguascalientes o “PGJ”) y al Ministerio Público de la República (Procuraduría General de la República o “PGR”). Los peticionarios alegan que estas autoridades no han llevado a cabo una investigación adecuada sobre los hechos denunciados; y que son responsables de la demora indebida de dichas investigaciones y de la falta de enjuiciamiento o detención de los autores.</w:t>
      </w:r>
    </w:p>
    <w:p w14:paraId="53F139CD" w14:textId="77777777" w:rsidR="00FC3DBB" w:rsidRPr="00FC3DBB" w:rsidRDefault="00FC3DBB" w:rsidP="005D1979">
      <w:pPr>
        <w:pStyle w:val="ListParagraph"/>
        <w:rPr>
          <w:sz w:val="20"/>
          <w:szCs w:val="20"/>
          <w:lang w:val="es-ES"/>
        </w:rPr>
      </w:pPr>
    </w:p>
    <w:p w14:paraId="36C58E4F" w14:textId="5CA175A6" w:rsidR="00FC3DBB" w:rsidRPr="00FC3DBB" w:rsidRDefault="00FC3DBB" w:rsidP="005D1979">
      <w:pPr>
        <w:pStyle w:val="ListParagraph"/>
        <w:numPr>
          <w:ilvl w:val="0"/>
          <w:numId w:val="55"/>
        </w:numPr>
        <w:jc w:val="both"/>
        <w:rPr>
          <w:sz w:val="20"/>
          <w:szCs w:val="20"/>
          <w:lang w:val="es-ES"/>
        </w:rPr>
      </w:pPr>
      <w:r w:rsidRPr="00FC3DBB">
        <w:rPr>
          <w:sz w:val="20"/>
          <w:szCs w:val="20"/>
          <w:lang w:val="es-ES"/>
        </w:rPr>
        <w:t>Los peticionarios señalan que la PGR optó por calificar su investigación como confidencial, lo que derivó en la falta de provisión de actualizaciones cuando se le solicitó. También informan que en 2009 presentaron una denuncia ante la Comisión Nacional de Derechos Humanos de México (CNDH) sobre el desarrollo de la investigación penal realizada por la PGJ. En 2009, la CNDH concluyó que la PGJ no había realizado las gestiones pertinentes y necesarias para investigar el secuestro y desaparición de las presuntas víctimas, lo que motivó una demora en el esclarecimiento o determinación de los hechos.</w:t>
      </w:r>
    </w:p>
    <w:p w14:paraId="4C9F740F" w14:textId="77777777" w:rsidR="00FC3DBB" w:rsidRPr="00FC3DBB" w:rsidRDefault="00FC3DBB" w:rsidP="005D1979">
      <w:pPr>
        <w:pStyle w:val="ListParagraph"/>
        <w:rPr>
          <w:sz w:val="20"/>
          <w:szCs w:val="20"/>
          <w:lang w:val="es-ES"/>
        </w:rPr>
      </w:pPr>
    </w:p>
    <w:p w14:paraId="392B4915" w14:textId="1F9ABDCC" w:rsidR="00FC3DBB" w:rsidRPr="00FC3DBB" w:rsidRDefault="00FC3DBB" w:rsidP="005D1979">
      <w:pPr>
        <w:pStyle w:val="ListParagraph"/>
        <w:numPr>
          <w:ilvl w:val="0"/>
          <w:numId w:val="55"/>
        </w:numPr>
        <w:jc w:val="both"/>
        <w:rPr>
          <w:sz w:val="20"/>
          <w:szCs w:val="20"/>
          <w:lang w:val="es-ES"/>
        </w:rPr>
      </w:pPr>
      <w:r w:rsidRPr="00FC3DBB">
        <w:rPr>
          <w:sz w:val="20"/>
          <w:szCs w:val="20"/>
          <w:lang w:val="es-ES"/>
        </w:rPr>
        <w:t>Según los peticionarios, las fiscalías estatales y federales han alegado que continúan con sus investigaciones, pero no han brindado información que confirme que estén en curso. Sostienen además que han escrito a otras autoridades, como el Gobernador de Aguascalientes y al Presidente de México, sin resultados hasta el momento. Sostienen además que sus solicitudes a las autoridades estatales y federales para que se investiguen los hechos constituyen un agotamiento de los recursos disponibles. Alternativamente, argumentan que la demora en completar dichas investigaciones constituye la base para dar lugar a la excepción al requisito de agotamiento de los recursos internos.</w:t>
      </w:r>
    </w:p>
    <w:p w14:paraId="79CFC340" w14:textId="77777777" w:rsidR="00FC3DBB" w:rsidRPr="00FC3DBB" w:rsidRDefault="00FC3DBB" w:rsidP="005D1979">
      <w:pPr>
        <w:pStyle w:val="ListParagraph"/>
        <w:rPr>
          <w:sz w:val="20"/>
          <w:szCs w:val="20"/>
          <w:lang w:val="es-ES"/>
        </w:rPr>
      </w:pPr>
    </w:p>
    <w:p w14:paraId="0E70007F" w14:textId="529F5627" w:rsidR="00FC3DBB" w:rsidRPr="00FC3DBB" w:rsidRDefault="00FC3DBB" w:rsidP="005D1979">
      <w:pPr>
        <w:pStyle w:val="ListParagraph"/>
        <w:numPr>
          <w:ilvl w:val="0"/>
          <w:numId w:val="55"/>
        </w:numPr>
        <w:jc w:val="both"/>
        <w:rPr>
          <w:sz w:val="20"/>
          <w:szCs w:val="20"/>
          <w:lang w:val="es-ES"/>
        </w:rPr>
      </w:pPr>
      <w:r w:rsidRPr="00FC3DBB">
        <w:rPr>
          <w:sz w:val="20"/>
          <w:szCs w:val="20"/>
          <w:lang w:val="es-ES"/>
        </w:rPr>
        <w:t>Por su parte, el Estado sostiene que la petición es inadmisible por no haberse agotado los recursos internos. Sostiene que el secuestro y desaparición de las presuntas víctimas ha sido investigado por las autoridades mexicanas y continúa siendo investigado. El Estado reconoce que las investigaciones no han dado como resultado la identificación del paradero de las presuntas víctimas ni la identificación o procesamiento de los responsables; sin embargo, señala que el deber de investigar es una obligación de medios y no de resultados. El Estado se refiere a investigaciones realizadas principalmente por la PGR y la PGJ y menciona la intervención de la CNDH a instancias de los peticionarios.</w:t>
      </w:r>
    </w:p>
    <w:p w14:paraId="639CE5BB" w14:textId="77777777" w:rsidR="00FC3DBB" w:rsidRPr="00FC3DBB" w:rsidRDefault="00FC3DBB" w:rsidP="005D1979">
      <w:pPr>
        <w:pStyle w:val="ListParagraph"/>
        <w:rPr>
          <w:sz w:val="20"/>
          <w:szCs w:val="20"/>
          <w:lang w:val="es-ES"/>
        </w:rPr>
      </w:pPr>
    </w:p>
    <w:p w14:paraId="45B8F507" w14:textId="6AD6F4A0" w:rsidR="00FC3DBB" w:rsidRPr="00FC3DBB" w:rsidRDefault="00FC3DBB" w:rsidP="005D1979">
      <w:pPr>
        <w:pStyle w:val="ListParagraph"/>
        <w:numPr>
          <w:ilvl w:val="0"/>
          <w:numId w:val="55"/>
        </w:numPr>
        <w:jc w:val="both"/>
        <w:rPr>
          <w:sz w:val="20"/>
          <w:szCs w:val="20"/>
          <w:lang w:val="es-ES"/>
        </w:rPr>
      </w:pPr>
      <w:r w:rsidRPr="00FC3DBB">
        <w:rPr>
          <w:sz w:val="20"/>
          <w:szCs w:val="20"/>
          <w:lang w:val="es-ES"/>
        </w:rPr>
        <w:t>En cuanto a la PGR, el Estado identifica varias diligencias de investigación realizadas entre 2013 y 2015 incluyendo: entrevistar a uno de los peticionarios el 9 de agosto de 2013; recuperar información de la PGJ sobre el estado de la investigación el 20 de enero de 2014; obtener material genético de los familiares de las presuntas víctimas el 19 y 20 de noviembre de 2014, determinando en diciembre de 2014 que las huellas dactilares de Hugo Alberto López Vidal no se encontraban en ninguna base de datos del gobierno y confirmando en mayo de 2015 que no se encontró el perfil genético de la familia de Hugo Alberto López Vidal en las bases de datos de ADN relevantes. El Estado también alude a otras gestiones realizadas por la PGR, como la solicitud realizada en mayo de 2015 a la Policía Federal para localizar a varias personas que se cre</w:t>
      </w:r>
      <w:r>
        <w:rPr>
          <w:sz w:val="20"/>
          <w:szCs w:val="20"/>
          <w:lang w:val="es-ES"/>
        </w:rPr>
        <w:t>ía</w:t>
      </w:r>
      <w:r w:rsidRPr="00FC3DBB">
        <w:rPr>
          <w:sz w:val="20"/>
          <w:szCs w:val="20"/>
          <w:lang w:val="es-ES"/>
        </w:rPr>
        <w:t xml:space="preserve"> tenían información sobre lo ocurrido a las presuntas víctimas; y la confirmación en julio de 2015 de que las presuntas víctimas no se encontraban encarceladas en ninguna cárcel federal o centro penitenciario.</w:t>
      </w:r>
    </w:p>
    <w:p w14:paraId="4E70E39F" w14:textId="77777777" w:rsidR="00FC3DBB" w:rsidRPr="00FC3DBB" w:rsidRDefault="00FC3DBB" w:rsidP="005D1979">
      <w:pPr>
        <w:pStyle w:val="ListParagraph"/>
        <w:rPr>
          <w:sz w:val="20"/>
          <w:szCs w:val="20"/>
          <w:lang w:val="es-ES"/>
        </w:rPr>
      </w:pPr>
    </w:p>
    <w:p w14:paraId="1C24E4F9" w14:textId="2DF631D6" w:rsidR="00FC3DBB" w:rsidRPr="00FC3DBB" w:rsidRDefault="00FC3DBB" w:rsidP="005D1979">
      <w:pPr>
        <w:pStyle w:val="ListParagraph"/>
        <w:numPr>
          <w:ilvl w:val="0"/>
          <w:numId w:val="55"/>
        </w:numPr>
        <w:jc w:val="both"/>
        <w:rPr>
          <w:sz w:val="20"/>
          <w:szCs w:val="20"/>
          <w:lang w:val="es-ES"/>
        </w:rPr>
      </w:pPr>
      <w:r w:rsidRPr="00FC3DBB">
        <w:rPr>
          <w:sz w:val="20"/>
          <w:szCs w:val="20"/>
          <w:lang w:val="es-ES"/>
        </w:rPr>
        <w:t>En cuanto a la PGJ, el Estado afirma que inició una investigación en 2007 a solicitud de los peticionarios, la cual continúa su curso. Menciona además que la PGJ ha realizado varias diligencias de investigación, que incluyen la obtención de testimonios de diversos testigos, tanto policiales como civiles; solicitado la asistencia y cooperación de la PGR, así como de otras fiscalías de otros estados mexicanos; e identificado peritos para tomar muestras de ADN de los familiares de las presuntas víctimas.</w:t>
      </w:r>
    </w:p>
    <w:p w14:paraId="0A043E02" w14:textId="77777777" w:rsidR="00FC3DBB" w:rsidRPr="00FC3DBB" w:rsidRDefault="00FC3DBB" w:rsidP="005D1979">
      <w:pPr>
        <w:pStyle w:val="ListParagraph"/>
        <w:rPr>
          <w:sz w:val="20"/>
          <w:szCs w:val="20"/>
          <w:lang w:val="es-ES"/>
        </w:rPr>
      </w:pPr>
    </w:p>
    <w:p w14:paraId="58E2A5EC" w14:textId="119FBB88" w:rsidR="00FC3DBB" w:rsidRPr="00FC3DBB" w:rsidRDefault="00FC3DBB" w:rsidP="005D1979">
      <w:pPr>
        <w:pStyle w:val="ListParagraph"/>
        <w:numPr>
          <w:ilvl w:val="0"/>
          <w:numId w:val="55"/>
        </w:numPr>
        <w:jc w:val="both"/>
        <w:rPr>
          <w:sz w:val="20"/>
          <w:szCs w:val="20"/>
          <w:lang w:val="es-ES"/>
        </w:rPr>
      </w:pPr>
      <w:r w:rsidRPr="00FC3DBB">
        <w:rPr>
          <w:sz w:val="20"/>
          <w:szCs w:val="20"/>
          <w:lang w:val="es-ES"/>
        </w:rPr>
        <w:t>En cuanto a la CNDH, el Estado observa que los peticionarios presentaron una denuncia el 1 de abril de 2009, sobre presuntas omisiones de la PGJ en su investigación de los hechos. En respuesta a esta denuncia, el 21 de agosto de 2009, la CNDH envió sus recom</w:t>
      </w:r>
      <w:r>
        <w:rPr>
          <w:sz w:val="20"/>
          <w:szCs w:val="20"/>
          <w:lang w:val="es-ES"/>
        </w:rPr>
        <w:t>e</w:t>
      </w:r>
      <w:r w:rsidRPr="00FC3DBB">
        <w:rPr>
          <w:sz w:val="20"/>
          <w:szCs w:val="20"/>
          <w:lang w:val="es-ES"/>
        </w:rPr>
        <w:t xml:space="preserve">ndaciones </w:t>
      </w:r>
      <w:r w:rsidRPr="00FC3DBB">
        <w:rPr>
          <w:i/>
          <w:iCs/>
          <w:sz w:val="20"/>
          <w:szCs w:val="20"/>
          <w:lang w:val="es-ES"/>
        </w:rPr>
        <w:t>(propuesta de conciliación)</w:t>
      </w:r>
      <w:r w:rsidRPr="00FC3DBB">
        <w:rPr>
          <w:sz w:val="20"/>
          <w:szCs w:val="20"/>
          <w:lang w:val="es-ES"/>
        </w:rPr>
        <w:t xml:space="preserve"> a la PGJ, la cual fue aceptada. El Estado indica que la PGJ inició determinados trámites administrativos en cumplimiento de las recomendaciones; y que posteriormente los peticionarios presentaron otra denuncia en 2010 contra determinados agentes de la PGJ. El Estado sostiene que el 26 de octubre de 2010 la CNDH desestimó la denuncia por incumplimiento de los requisitos del artículo 5 de la ley que regula la responsabilidad de los servidores públicos del Estado </w:t>
      </w:r>
      <w:r w:rsidRPr="00FC3DBB">
        <w:rPr>
          <w:i/>
          <w:iCs/>
          <w:sz w:val="20"/>
          <w:szCs w:val="20"/>
          <w:lang w:val="es-ES"/>
        </w:rPr>
        <w:t>(Ley de Responsabilidades de los Servidores Públicos de Aguascalientes).</w:t>
      </w:r>
    </w:p>
    <w:p w14:paraId="00A34192" w14:textId="77777777" w:rsidR="00FC3DBB" w:rsidRPr="00FC3DBB" w:rsidRDefault="00FC3DBB" w:rsidP="005D1979">
      <w:pPr>
        <w:pStyle w:val="ListParagraph"/>
        <w:rPr>
          <w:sz w:val="20"/>
          <w:szCs w:val="20"/>
          <w:lang w:val="es-ES"/>
        </w:rPr>
      </w:pPr>
    </w:p>
    <w:p w14:paraId="189AAB1D" w14:textId="5AE28B94" w:rsidR="00FC3DBB" w:rsidRPr="00FC3DBB" w:rsidRDefault="00FC3DBB" w:rsidP="005D1979">
      <w:pPr>
        <w:pStyle w:val="ListParagraph"/>
        <w:numPr>
          <w:ilvl w:val="0"/>
          <w:numId w:val="55"/>
        </w:numPr>
        <w:jc w:val="both"/>
        <w:rPr>
          <w:sz w:val="20"/>
          <w:szCs w:val="20"/>
          <w:lang w:val="es-ES"/>
        </w:rPr>
      </w:pPr>
      <w:r w:rsidRPr="00FC3DBB">
        <w:rPr>
          <w:sz w:val="20"/>
          <w:szCs w:val="20"/>
          <w:lang w:val="es-ES"/>
        </w:rPr>
        <w:t xml:space="preserve">El Estado alega que ha realizado gestiones para investigar y que continúa haciéndolo, de conformidad con sus obligaciones internacionales. Además, el Estado sostiene que los peticionarios pueden invocar un </w:t>
      </w:r>
      <w:r w:rsidRPr="00FC3DBB">
        <w:rPr>
          <w:i/>
          <w:iCs/>
          <w:sz w:val="20"/>
          <w:szCs w:val="20"/>
          <w:lang w:val="es-ES"/>
        </w:rPr>
        <w:t>amparo</w:t>
      </w:r>
      <w:r w:rsidRPr="00FC3DBB">
        <w:rPr>
          <w:sz w:val="20"/>
          <w:szCs w:val="20"/>
          <w:lang w:val="es-ES"/>
        </w:rPr>
        <w:t xml:space="preserve"> si las investigaciones no culminan en un proceso penal.</w:t>
      </w:r>
    </w:p>
    <w:p w14:paraId="003122C3" w14:textId="77777777" w:rsidR="00FC3DBB" w:rsidRPr="00FC3DBB" w:rsidRDefault="00FC3DBB" w:rsidP="005D1979">
      <w:pPr>
        <w:pStyle w:val="ListParagraph"/>
        <w:rPr>
          <w:sz w:val="20"/>
          <w:szCs w:val="20"/>
          <w:lang w:val="es-ES"/>
        </w:rPr>
      </w:pPr>
    </w:p>
    <w:p w14:paraId="4011A699" w14:textId="5C69875A" w:rsidR="00FC3DBB" w:rsidRPr="00FC3DBB" w:rsidRDefault="00FC3DBB" w:rsidP="005D1979">
      <w:pPr>
        <w:pStyle w:val="ListParagraph"/>
        <w:numPr>
          <w:ilvl w:val="0"/>
          <w:numId w:val="55"/>
        </w:numPr>
        <w:jc w:val="both"/>
        <w:rPr>
          <w:sz w:val="20"/>
          <w:szCs w:val="20"/>
          <w:lang w:val="es-ES"/>
        </w:rPr>
      </w:pPr>
      <w:r w:rsidRPr="00FC3DBB">
        <w:rPr>
          <w:sz w:val="20"/>
          <w:szCs w:val="20"/>
          <w:lang w:val="es-ES"/>
        </w:rPr>
        <w:t>Los peticionarios rechazan en general los alegatos del Estado y enfatizan que las investigaciones no se han llevado a cabo de manera oportuna y expedita. Al respecto, destacan el reconocimiento del Estado de que la PGR no realizó ninguna diligencia sustantiva para investigar hasta julio de 2013, siete años después del secuestro y desaparición de las presuntas víctimas. Los peticionarios también rechazan el argumento del Estado de que la petición es inadmisible por no haberse agotado los recursos internos y señalan que ha habido un retraso indebido en la realización o culminación de las investigaciones. Destacan la constatación de la CNDH de que el Estado no tomó medidas correctivas con respecto a la investigación de la PGJ.</w:t>
      </w:r>
    </w:p>
    <w:p w14:paraId="354DCA36" w14:textId="77777777" w:rsidR="00FC3DBB" w:rsidRPr="00FC3DBB" w:rsidRDefault="00FC3DBB" w:rsidP="005D1979">
      <w:pPr>
        <w:pStyle w:val="ListParagraph"/>
        <w:jc w:val="both"/>
        <w:rPr>
          <w:lang w:val="es-ES"/>
        </w:rPr>
      </w:pPr>
    </w:p>
    <w:p w14:paraId="05336E79" w14:textId="1E0669C6" w:rsidR="000A4E41" w:rsidRDefault="001A47DA" w:rsidP="005D197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sz w:val="20"/>
          <w:szCs w:val="20"/>
          <w:lang w:val="es-MX"/>
        </w:rPr>
      </w:pPr>
      <w:r w:rsidRPr="00C2052D">
        <w:rPr>
          <w:rFonts w:asciiTheme="majorHAnsi" w:hAnsiTheme="majorHAnsi"/>
          <w:b/>
          <w:sz w:val="20"/>
          <w:szCs w:val="20"/>
          <w:lang w:val="es-MX"/>
        </w:rPr>
        <w:t>VI.</w:t>
      </w:r>
      <w:r w:rsidRPr="00C2052D">
        <w:rPr>
          <w:rFonts w:asciiTheme="majorHAnsi" w:hAnsiTheme="majorHAnsi"/>
          <w:b/>
          <w:sz w:val="20"/>
          <w:szCs w:val="20"/>
          <w:lang w:val="es-MX"/>
        </w:rPr>
        <w:tab/>
        <w:t xml:space="preserve"> AGOTAMIENTO DE LOS RECURSOS INTERNOS Y PLAZO DE PRESENTACION</w:t>
      </w:r>
    </w:p>
    <w:p w14:paraId="77149722" w14:textId="77777777" w:rsidR="00991EF5" w:rsidRPr="00C2052D" w:rsidRDefault="00991EF5" w:rsidP="00991EF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01B1F62F" w14:textId="37E9FAF7" w:rsidR="00FC3DBB" w:rsidRPr="00FC3DBB" w:rsidRDefault="00FC3DBB" w:rsidP="005D19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sz w:val="20"/>
          <w:szCs w:val="20"/>
          <w:lang w:val="es-ES"/>
        </w:rPr>
      </w:pPr>
      <w:r w:rsidRPr="00FC3DBB">
        <w:rPr>
          <w:rFonts w:ascii="Cambria" w:hAnsi="Cambria"/>
          <w:sz w:val="20"/>
          <w:szCs w:val="20"/>
          <w:u w:color="000000"/>
          <w:lang w:val="es-ES"/>
        </w:rPr>
        <w:t xml:space="preserve">La CIDH ha establecido previamente que cuando se comete un presunto delito perseguible de oficio, el Estado está obligado a promover y </w:t>
      </w:r>
      <w:r>
        <w:rPr>
          <w:rFonts w:ascii="Cambria" w:hAnsi="Cambria"/>
          <w:sz w:val="20"/>
          <w:szCs w:val="20"/>
          <w:u w:color="000000"/>
          <w:lang w:val="es-ES"/>
        </w:rPr>
        <w:t xml:space="preserve">realizar </w:t>
      </w:r>
      <w:r w:rsidRPr="00FC3DBB">
        <w:rPr>
          <w:rFonts w:ascii="Cambria" w:hAnsi="Cambria"/>
          <w:sz w:val="20"/>
          <w:szCs w:val="20"/>
          <w:u w:color="000000"/>
          <w:lang w:val="es-ES"/>
        </w:rPr>
        <w:t>una investigación penal expedita; y</w:t>
      </w:r>
      <w:r>
        <w:rPr>
          <w:rFonts w:ascii="Cambria" w:hAnsi="Cambria"/>
          <w:sz w:val="20"/>
          <w:szCs w:val="20"/>
          <w:u w:color="000000"/>
          <w:lang w:val="es-ES"/>
        </w:rPr>
        <w:t>,</w:t>
      </w:r>
      <w:r w:rsidRPr="00FC3DBB">
        <w:rPr>
          <w:rFonts w:ascii="Cambria" w:hAnsi="Cambria"/>
          <w:sz w:val="20"/>
          <w:szCs w:val="20"/>
          <w:u w:color="000000"/>
          <w:lang w:val="es-ES"/>
        </w:rPr>
        <w:t xml:space="preserve"> que en tales casos, el proceso penal es el único medio adecuado para esclarecer los hechos, enjuiciar y sancionar a los responsables. El Estado indica que aún se encuentran pendientes las investigaciones penales sobre este asunto, por lo que la petición es inadmisible por falta de agotamiento de los recursos internos. Asimismo, alega que los peticionarios tienen a su disposición un proceso de amparo si las investigaciones penales no logran resolver sus denuncias. Sin embargo, la Comisión Interamericana observa que han pasado casi 14 años desde el secuestro y desaparición de las presuntas víctimas; y que hasta el momento las investigaciones no han servido para esclarecer los hechos ni para enjuiciar o sancionar a los responsables. La CIDH debe enfatizar que el Estado tiene el deber de realizar una investigación expedita y que los peticionarios no están obligados a agotar recursos internos adicionales como el amparo. Por lo tanto, la Comisión concluye que </w:t>
      </w:r>
      <w:r>
        <w:rPr>
          <w:rFonts w:ascii="Cambria" w:hAnsi="Cambria"/>
          <w:sz w:val="20"/>
          <w:szCs w:val="20"/>
          <w:u w:color="000000"/>
          <w:lang w:val="es-ES"/>
        </w:rPr>
        <w:t>se aplica</w:t>
      </w:r>
      <w:r w:rsidRPr="00FC3DBB">
        <w:rPr>
          <w:rFonts w:ascii="Cambria" w:hAnsi="Cambria"/>
          <w:sz w:val="20"/>
          <w:szCs w:val="20"/>
          <w:u w:color="000000"/>
          <w:lang w:val="es-ES"/>
        </w:rPr>
        <w:t xml:space="preserve"> la excepción al agotamiento de los recursos internos señalada en el artículo 46.2 (c) de la Convención. Dado el contexto y las características de la petición a que se refiere este informe, la CIDH considera que la petición fue presentada dentro de un plazo razonable y por lo tanto se cumple con el requisito de </w:t>
      </w:r>
      <w:r>
        <w:rPr>
          <w:rFonts w:ascii="Cambria" w:hAnsi="Cambria"/>
          <w:sz w:val="20"/>
          <w:szCs w:val="20"/>
          <w:u w:color="000000"/>
          <w:lang w:val="es-ES"/>
        </w:rPr>
        <w:t>plazo de presentación</w:t>
      </w:r>
      <w:r w:rsidRPr="00FC3DBB">
        <w:rPr>
          <w:rFonts w:ascii="Cambria" w:hAnsi="Cambria"/>
          <w:sz w:val="20"/>
          <w:szCs w:val="20"/>
          <w:u w:color="000000"/>
          <w:lang w:val="es-ES"/>
        </w:rPr>
        <w:t>.</w:t>
      </w:r>
    </w:p>
    <w:p w14:paraId="7D0CB331" w14:textId="77777777" w:rsidR="00991EF5" w:rsidRDefault="00991EF5" w:rsidP="005D197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7090A929" w14:textId="6BF6FB1F" w:rsidR="00F04591" w:rsidRPr="00C2052D" w:rsidRDefault="00F04591" w:rsidP="005D197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r w:rsidRPr="00C2052D">
        <w:rPr>
          <w:rFonts w:ascii="Cambria" w:hAnsi="Cambria"/>
          <w:b/>
          <w:bCs/>
          <w:sz w:val="20"/>
          <w:szCs w:val="20"/>
          <w:lang w:val="es-ES"/>
        </w:rPr>
        <w:t>V</w:t>
      </w:r>
      <w:r w:rsidR="000E2789" w:rsidRPr="00C2052D">
        <w:rPr>
          <w:rFonts w:ascii="Cambria" w:hAnsi="Cambria"/>
          <w:b/>
          <w:bCs/>
          <w:sz w:val="20"/>
          <w:szCs w:val="20"/>
          <w:lang w:val="es-ES"/>
        </w:rPr>
        <w:t>I</w:t>
      </w:r>
      <w:r w:rsidRPr="00C2052D">
        <w:rPr>
          <w:rFonts w:ascii="Cambria" w:hAnsi="Cambria"/>
          <w:b/>
          <w:bCs/>
          <w:sz w:val="20"/>
          <w:szCs w:val="20"/>
          <w:lang w:val="es-ES"/>
        </w:rPr>
        <w:t xml:space="preserve">I. </w:t>
      </w:r>
      <w:r w:rsidRPr="00C2052D">
        <w:rPr>
          <w:rFonts w:ascii="Cambria" w:hAnsi="Cambria"/>
          <w:b/>
          <w:bCs/>
          <w:sz w:val="20"/>
          <w:szCs w:val="20"/>
          <w:lang w:val="es-ES"/>
        </w:rPr>
        <w:tab/>
        <w:t>CARACTERIZACIÓN</w:t>
      </w:r>
    </w:p>
    <w:p w14:paraId="136F71CD" w14:textId="77777777" w:rsidR="00991EF5" w:rsidRPr="00991EF5" w:rsidRDefault="00991EF5" w:rsidP="00991EF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47FC6577" w14:textId="79C6F1D4" w:rsidR="00FC3DBB" w:rsidRPr="00FC3DBB" w:rsidRDefault="00FC3DBB" w:rsidP="005D19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r w:rsidRPr="00FC3DBB">
        <w:rPr>
          <w:rFonts w:ascii="Cambria" w:eastAsia="Cambria" w:hAnsi="Cambria" w:cs="Cambria"/>
          <w:color w:val="000000"/>
          <w:sz w:val="20"/>
          <w:szCs w:val="20"/>
          <w:u w:color="000000"/>
          <w:lang w:val="es-ES" w:eastAsia="es-ES"/>
        </w:rPr>
        <w:t>La presente petición incluye alegatos sobre el secuestro y desaparición forzada de las presuntas víctimas</w:t>
      </w:r>
      <w:r w:rsidR="00991EF5">
        <w:rPr>
          <w:rFonts w:ascii="Cambria" w:eastAsia="Cambria" w:hAnsi="Cambria" w:cs="Cambria"/>
          <w:color w:val="000000"/>
          <w:sz w:val="20"/>
          <w:szCs w:val="20"/>
          <w:u w:color="000000"/>
          <w:lang w:val="es-ES" w:eastAsia="es-ES"/>
        </w:rPr>
        <w:t xml:space="preserve">, </w:t>
      </w:r>
      <w:r w:rsidR="00991EF5" w:rsidRPr="006B0EA7">
        <w:rPr>
          <w:rFonts w:ascii="Cambria" w:eastAsia="Cambria" w:hAnsi="Cambria" w:cs="Cambria"/>
          <w:sz w:val="20"/>
          <w:szCs w:val="20"/>
          <w:u w:color="000000"/>
          <w:lang w:val="es-ES" w:eastAsia="es-ES"/>
        </w:rPr>
        <w:t>una de las cuales era un niño en el momento de los hechos</w:t>
      </w:r>
      <w:r w:rsidRPr="00FC3DBB">
        <w:rPr>
          <w:rFonts w:ascii="Cambria" w:eastAsia="Cambria" w:hAnsi="Cambria" w:cs="Cambria"/>
          <w:color w:val="000000"/>
          <w:sz w:val="20"/>
          <w:szCs w:val="20"/>
          <w:u w:color="000000"/>
          <w:lang w:val="es-ES" w:eastAsia="es-ES"/>
        </w:rPr>
        <w:t xml:space="preserve">; así como la ineficacia y dilaciones indebidas de las investigaciones penales para esclarecer los hechos e identificar, enjuiciar y sancionar a los responsables. Luego del examen de los elementos de hecho y de derecho presentados por las partes, la CIDH considera que los reclamos de los peticionarios no son manifiestamente infundados y requieren un estudio sustantivo sobre el fondo ya que los hechos alegados, de ser corroborados como verdaderos, podrían </w:t>
      </w:r>
      <w:r>
        <w:rPr>
          <w:rFonts w:ascii="Cambria" w:eastAsia="Cambria" w:hAnsi="Cambria" w:cs="Cambria"/>
          <w:color w:val="000000"/>
          <w:sz w:val="20"/>
          <w:szCs w:val="20"/>
          <w:u w:color="000000"/>
          <w:lang w:val="es-ES" w:eastAsia="es-ES"/>
        </w:rPr>
        <w:t>constituir violaciones a los a</w:t>
      </w:r>
      <w:r w:rsidRPr="00FC3DBB">
        <w:rPr>
          <w:rFonts w:ascii="Cambria" w:eastAsia="Cambria" w:hAnsi="Cambria" w:cs="Cambria"/>
          <w:color w:val="000000"/>
          <w:sz w:val="20"/>
          <w:szCs w:val="20"/>
          <w:u w:color="000000"/>
          <w:lang w:val="es-ES" w:eastAsia="es-ES"/>
        </w:rPr>
        <w:t>rtículos 3 (</w:t>
      </w:r>
      <w:r>
        <w:rPr>
          <w:rFonts w:ascii="Cambria" w:eastAsia="Cambria" w:hAnsi="Cambria" w:cs="Cambria"/>
          <w:color w:val="000000"/>
          <w:sz w:val="20"/>
          <w:szCs w:val="20"/>
          <w:u w:color="000000"/>
          <w:lang w:val="es-ES" w:eastAsia="es-ES"/>
        </w:rPr>
        <w:t xml:space="preserve">reconocimiento de la </w:t>
      </w:r>
      <w:r w:rsidRPr="00FC3DBB">
        <w:rPr>
          <w:rFonts w:ascii="Cambria" w:eastAsia="Cambria" w:hAnsi="Cambria" w:cs="Cambria"/>
          <w:color w:val="000000"/>
          <w:sz w:val="20"/>
          <w:szCs w:val="20"/>
          <w:u w:color="000000"/>
          <w:lang w:val="es-ES" w:eastAsia="es-ES"/>
        </w:rPr>
        <w:t>personalidad jurídica), 4 (vida), 5 (trato humano), 7 (libertad personal), 8 (</w:t>
      </w:r>
      <w:r>
        <w:rPr>
          <w:rFonts w:ascii="Cambria" w:eastAsia="Cambria" w:hAnsi="Cambria" w:cs="Cambria"/>
          <w:color w:val="000000"/>
          <w:sz w:val="20"/>
          <w:szCs w:val="20"/>
          <w:u w:color="000000"/>
          <w:lang w:val="es-ES" w:eastAsia="es-ES"/>
        </w:rPr>
        <w:t>garantías judiciales</w:t>
      </w:r>
      <w:r w:rsidRPr="00FC3DBB">
        <w:rPr>
          <w:rFonts w:ascii="Cambria" w:eastAsia="Cambria" w:hAnsi="Cambria" w:cs="Cambria"/>
          <w:color w:val="000000"/>
          <w:sz w:val="20"/>
          <w:szCs w:val="20"/>
          <w:u w:color="000000"/>
          <w:lang w:val="es-ES" w:eastAsia="es-ES"/>
        </w:rPr>
        <w:t>)</w:t>
      </w:r>
      <w:r w:rsidR="00991EF5">
        <w:rPr>
          <w:rFonts w:ascii="Cambria" w:eastAsia="Cambria" w:hAnsi="Cambria" w:cs="Cambria"/>
          <w:color w:val="000000"/>
          <w:sz w:val="20"/>
          <w:szCs w:val="20"/>
          <w:u w:color="000000"/>
          <w:lang w:val="es-ES" w:eastAsia="es-ES"/>
        </w:rPr>
        <w:t xml:space="preserve">, </w:t>
      </w:r>
      <w:r w:rsidR="00991EF5" w:rsidRPr="006B0EA7">
        <w:rPr>
          <w:rFonts w:ascii="Cambria" w:eastAsia="Cambria" w:hAnsi="Cambria" w:cs="Cambria"/>
          <w:sz w:val="20"/>
          <w:szCs w:val="20"/>
          <w:u w:color="000000"/>
          <w:lang w:val="es-ES" w:eastAsia="es-ES"/>
        </w:rPr>
        <w:t xml:space="preserve">19 (derechos del niño) </w:t>
      </w:r>
      <w:r w:rsidRPr="00FC3DBB">
        <w:rPr>
          <w:rFonts w:ascii="Cambria" w:eastAsia="Cambria" w:hAnsi="Cambria" w:cs="Cambria"/>
          <w:color w:val="000000"/>
          <w:sz w:val="20"/>
          <w:szCs w:val="20"/>
          <w:u w:color="000000"/>
          <w:lang w:val="es-ES" w:eastAsia="es-ES"/>
        </w:rPr>
        <w:t>y 25 (protección judicial) de la Convención Americana, en relación con los artículos 1.1 (obligación de respetar los derechos ) y 2 (</w:t>
      </w:r>
      <w:r>
        <w:rPr>
          <w:rFonts w:ascii="Cambria" w:eastAsia="Cambria" w:hAnsi="Cambria" w:cs="Cambria"/>
          <w:color w:val="000000"/>
          <w:sz w:val="20"/>
          <w:szCs w:val="20"/>
          <w:u w:color="000000"/>
          <w:lang w:val="es-ES" w:eastAsia="es-ES"/>
        </w:rPr>
        <w:t>deber de adoptar disposiciones de derecho interno</w:t>
      </w:r>
      <w:r w:rsidRPr="00FC3DBB">
        <w:rPr>
          <w:rFonts w:ascii="Cambria" w:eastAsia="Cambria" w:hAnsi="Cambria" w:cs="Cambria"/>
          <w:color w:val="000000"/>
          <w:sz w:val="20"/>
          <w:szCs w:val="20"/>
          <w:u w:color="000000"/>
          <w:lang w:val="es-ES" w:eastAsia="es-ES"/>
        </w:rPr>
        <w:t>) y del artículo I de la Convención Interamericana sobre Desaparición Forzada de Personas.</w:t>
      </w:r>
    </w:p>
    <w:p w14:paraId="4649B6FB" w14:textId="77777777" w:rsidR="00991EF5" w:rsidRDefault="00991EF5" w:rsidP="005D197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29BB41F5" w14:textId="356D89BC" w:rsidR="003239B8" w:rsidRPr="00C2052D" w:rsidRDefault="00EC72AB" w:rsidP="005D197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r w:rsidRPr="00C2052D">
        <w:rPr>
          <w:rFonts w:ascii="Cambria" w:hAnsi="Cambria"/>
          <w:b/>
          <w:bCs/>
          <w:sz w:val="20"/>
          <w:szCs w:val="20"/>
          <w:lang w:val="es-ES"/>
        </w:rPr>
        <w:t>VI</w:t>
      </w:r>
      <w:r w:rsidR="00F04591" w:rsidRPr="00C2052D">
        <w:rPr>
          <w:rFonts w:ascii="Cambria" w:hAnsi="Cambria"/>
          <w:b/>
          <w:bCs/>
          <w:sz w:val="20"/>
          <w:szCs w:val="20"/>
          <w:lang w:val="es-ES"/>
        </w:rPr>
        <w:t>II</w:t>
      </w:r>
      <w:r w:rsidR="003239B8" w:rsidRPr="00C2052D">
        <w:rPr>
          <w:rFonts w:ascii="Cambria" w:hAnsi="Cambria"/>
          <w:b/>
          <w:bCs/>
          <w:sz w:val="20"/>
          <w:szCs w:val="20"/>
          <w:lang w:val="es-ES"/>
        </w:rPr>
        <w:t xml:space="preserve">. </w:t>
      </w:r>
      <w:r w:rsidR="003239B8" w:rsidRPr="00C2052D">
        <w:rPr>
          <w:rFonts w:ascii="Cambria" w:hAnsi="Cambria"/>
          <w:b/>
          <w:bCs/>
          <w:sz w:val="20"/>
          <w:szCs w:val="20"/>
          <w:lang w:val="es-ES"/>
        </w:rPr>
        <w:tab/>
        <w:t>DECISIÓN</w:t>
      </w:r>
    </w:p>
    <w:p w14:paraId="5EDD9DC4" w14:textId="77777777" w:rsidR="00991EF5" w:rsidRDefault="00991EF5" w:rsidP="00991EF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FDE1D10" w14:textId="07B763AE" w:rsidR="003239B8" w:rsidRPr="00C2052D" w:rsidRDefault="003239B8" w:rsidP="005D197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C2052D">
        <w:rPr>
          <w:rFonts w:ascii="Cambria" w:hAnsi="Cambria"/>
          <w:sz w:val="20"/>
          <w:szCs w:val="20"/>
          <w:lang w:val="es-ES"/>
        </w:rPr>
        <w:t>Declarar admisible la presente petición en relación con</w:t>
      </w:r>
      <w:r w:rsidR="003A6337" w:rsidRPr="00C2052D">
        <w:rPr>
          <w:rFonts w:ascii="Cambria" w:hAnsi="Cambria"/>
          <w:sz w:val="20"/>
          <w:szCs w:val="20"/>
          <w:lang w:val="es-ES"/>
        </w:rPr>
        <w:t xml:space="preserve"> </w:t>
      </w:r>
      <w:r w:rsidR="00C54F44">
        <w:rPr>
          <w:rFonts w:ascii="Cambria" w:hAnsi="Cambria"/>
          <w:sz w:val="20"/>
          <w:szCs w:val="20"/>
          <w:lang w:val="es-ES"/>
        </w:rPr>
        <w:t>los artículos</w:t>
      </w:r>
      <w:r w:rsidR="00FF21C5" w:rsidRPr="00C2052D">
        <w:rPr>
          <w:rFonts w:ascii="Cambria" w:hAnsi="Cambria"/>
          <w:sz w:val="20"/>
          <w:szCs w:val="20"/>
          <w:lang w:val="es-ES"/>
        </w:rPr>
        <w:t xml:space="preserve"> 3, 4, 5, 7, 8, </w:t>
      </w:r>
      <w:r w:rsidR="00991EF5" w:rsidRPr="006B0EA7">
        <w:rPr>
          <w:rFonts w:ascii="Cambria" w:hAnsi="Cambria"/>
          <w:sz w:val="20"/>
          <w:szCs w:val="20"/>
          <w:lang w:val="es-ES"/>
        </w:rPr>
        <w:t>19</w:t>
      </w:r>
      <w:r w:rsidR="00991EF5" w:rsidRPr="00991EF5">
        <w:rPr>
          <w:rFonts w:ascii="Cambria" w:hAnsi="Cambria"/>
          <w:color w:val="FF0000"/>
          <w:sz w:val="20"/>
          <w:szCs w:val="20"/>
          <w:lang w:val="es-ES"/>
        </w:rPr>
        <w:t xml:space="preserve"> </w:t>
      </w:r>
      <w:r w:rsidR="00FF21C5" w:rsidRPr="00C2052D">
        <w:rPr>
          <w:rFonts w:ascii="Cambria" w:hAnsi="Cambria"/>
          <w:sz w:val="20"/>
          <w:szCs w:val="20"/>
          <w:lang w:val="es-ES"/>
        </w:rPr>
        <w:t>y 25 de la Convenci</w:t>
      </w:r>
      <w:r w:rsidR="00C54F44">
        <w:rPr>
          <w:rFonts w:ascii="Cambria" w:hAnsi="Cambria"/>
          <w:sz w:val="20"/>
          <w:szCs w:val="20"/>
          <w:lang w:val="es-ES"/>
        </w:rPr>
        <w:t xml:space="preserve">ón Americana en relación con los </w:t>
      </w:r>
      <w:r w:rsidR="00FF21C5" w:rsidRPr="00C2052D">
        <w:rPr>
          <w:rFonts w:ascii="Cambria" w:hAnsi="Cambria"/>
          <w:sz w:val="20"/>
          <w:szCs w:val="20"/>
          <w:lang w:val="es-ES"/>
        </w:rPr>
        <w:t>artículo</w:t>
      </w:r>
      <w:r w:rsidR="00C54F44">
        <w:rPr>
          <w:rFonts w:ascii="Cambria" w:hAnsi="Cambria"/>
          <w:sz w:val="20"/>
          <w:szCs w:val="20"/>
          <w:lang w:val="es-ES"/>
        </w:rPr>
        <w:t>s</w:t>
      </w:r>
      <w:r w:rsidR="00FF21C5" w:rsidRPr="00C2052D">
        <w:rPr>
          <w:rFonts w:ascii="Cambria" w:hAnsi="Cambria"/>
          <w:sz w:val="20"/>
          <w:szCs w:val="20"/>
          <w:lang w:val="es-ES"/>
        </w:rPr>
        <w:t xml:space="preserve"> 1.1</w:t>
      </w:r>
      <w:r w:rsidR="00C54F44">
        <w:rPr>
          <w:rFonts w:ascii="Cambria" w:hAnsi="Cambria"/>
          <w:sz w:val="20"/>
          <w:szCs w:val="20"/>
          <w:lang w:val="es-ES"/>
        </w:rPr>
        <w:t xml:space="preserve"> y 2</w:t>
      </w:r>
      <w:r w:rsidR="00FF21C5" w:rsidRPr="00C2052D">
        <w:rPr>
          <w:rFonts w:ascii="Cambria" w:hAnsi="Cambria"/>
          <w:sz w:val="20"/>
          <w:szCs w:val="20"/>
          <w:lang w:val="es-ES"/>
        </w:rPr>
        <w:t xml:space="preserve"> del mismo instrumento, </w:t>
      </w:r>
      <w:r w:rsidR="00FC3DBB">
        <w:rPr>
          <w:rFonts w:asciiTheme="majorHAnsi" w:hAnsiTheme="majorHAnsi"/>
          <w:sz w:val="20"/>
          <w:szCs w:val="20"/>
          <w:lang w:val="es-BO"/>
        </w:rPr>
        <w:t>y el artículo I de la Convención Interamericana sobre Desaparición de Personas</w:t>
      </w:r>
      <w:r w:rsidR="00991EF5">
        <w:rPr>
          <w:rFonts w:asciiTheme="majorHAnsi" w:hAnsiTheme="majorHAnsi"/>
          <w:sz w:val="20"/>
          <w:szCs w:val="20"/>
          <w:lang w:val="es-BO"/>
        </w:rPr>
        <w:t>.</w:t>
      </w:r>
    </w:p>
    <w:p w14:paraId="7A2BED02" w14:textId="77777777" w:rsidR="00991EF5" w:rsidRDefault="00991EF5" w:rsidP="00991EF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23EC17D" w14:textId="432B20A5" w:rsidR="00A874F6" w:rsidRDefault="004A6A54" w:rsidP="005D197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CA512B">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C14545F" w14:textId="77777777" w:rsidR="009C50CA" w:rsidRDefault="009C50CA" w:rsidP="009C50CA">
      <w:pPr>
        <w:pStyle w:val="ListParagraph"/>
        <w:rPr>
          <w:sz w:val="20"/>
          <w:szCs w:val="20"/>
          <w:lang w:val="es-ES"/>
        </w:rPr>
      </w:pPr>
    </w:p>
    <w:p w14:paraId="68901F79" w14:textId="32F5C489" w:rsidR="009C50CA" w:rsidRDefault="009C50CA" w:rsidP="009C50C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055BBE5" w14:textId="0DD7F595" w:rsidR="009C50CA" w:rsidRPr="008C6A2F" w:rsidRDefault="009C50CA" w:rsidP="00DB37BB">
      <w:pPr>
        <w:ind w:firstLine="720"/>
        <w:jc w:val="both"/>
        <w:rPr>
          <w:rFonts w:asciiTheme="majorHAnsi" w:hAnsiTheme="majorHAnsi" w:cs="Arial"/>
          <w:noProof/>
          <w:spacing w:val="-2"/>
          <w:sz w:val="20"/>
          <w:szCs w:val="20"/>
          <w:lang w:val="es-CL"/>
        </w:rPr>
      </w:pPr>
      <w:r w:rsidRPr="008C6A2F">
        <w:rPr>
          <w:rFonts w:asciiTheme="majorHAnsi" w:hAnsiTheme="majorHAnsi" w:cs="Arial"/>
          <w:noProof/>
          <w:spacing w:val="-2"/>
          <w:sz w:val="20"/>
          <w:szCs w:val="20"/>
          <w:lang w:val="es-CL"/>
        </w:rPr>
        <w:t>Aprobado por la Comisión Interamericana de Derechos Humanos  a los 30 días del mes de agosto de 2021.  (Firmado): Antonia Urrejola, Presidenta; Julissa Mantilla Falcón, Primera Vicepresidenta; Flávia Piovesan, Segunda Vicepresidenta; Margarette May Macaulay, Esmeralda E. Arosemena Bernal de Troitiño y Stuardo Ralón Orellana, Miembros de la Comisión.</w:t>
      </w:r>
      <w:r w:rsidRPr="008C6A2F">
        <w:rPr>
          <w:rFonts w:asciiTheme="majorHAnsi" w:hAnsiTheme="majorHAnsi" w:cs="Arial"/>
          <w:noProof/>
          <w:sz w:val="20"/>
          <w:szCs w:val="20"/>
          <w:lang w:val="es-CL"/>
        </w:rPr>
        <w:t xml:space="preserve"> </w:t>
      </w:r>
    </w:p>
    <w:sectPr w:rsidR="009C50CA" w:rsidRPr="008C6A2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8AEB" w14:textId="77777777" w:rsidR="008514EE" w:rsidRDefault="008514EE">
      <w:r>
        <w:separator/>
      </w:r>
    </w:p>
  </w:endnote>
  <w:endnote w:type="continuationSeparator" w:id="0">
    <w:p w14:paraId="61628C39" w14:textId="77777777" w:rsidR="008514EE" w:rsidRDefault="0085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F93785" w:rsidRPr="00934A2C" w:rsidRDefault="00F9378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74F6">
          <w:rPr>
            <w:noProof/>
            <w:sz w:val="16"/>
            <w:szCs w:val="22"/>
          </w:rPr>
          <w:t>1</w:t>
        </w:r>
        <w:r w:rsidRPr="00934A2C">
          <w:rPr>
            <w:noProof/>
            <w:sz w:val="16"/>
            <w:szCs w:val="22"/>
          </w:rPr>
          <w:fldChar w:fldCharType="end"/>
        </w:r>
      </w:p>
    </w:sdtContent>
  </w:sdt>
  <w:p w14:paraId="68530E6A" w14:textId="77777777" w:rsidR="00F93785" w:rsidRDefault="00F9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93785" w:rsidRPr="00934A2C" w:rsidRDefault="00F93785">
    <w:pPr>
      <w:pStyle w:val="Footer"/>
      <w:jc w:val="center"/>
      <w:rPr>
        <w:sz w:val="16"/>
        <w:szCs w:val="22"/>
      </w:rPr>
    </w:pPr>
  </w:p>
  <w:p w14:paraId="49059CE3" w14:textId="77777777" w:rsidR="00F93785" w:rsidRDefault="00F9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7460" w14:textId="77777777" w:rsidR="008514EE" w:rsidRPr="000F35ED" w:rsidRDefault="008514E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C27846" w14:textId="77777777" w:rsidR="008514EE" w:rsidRPr="000F35ED" w:rsidRDefault="008514EE" w:rsidP="000F35ED">
      <w:pPr>
        <w:rPr>
          <w:rFonts w:asciiTheme="majorHAnsi" w:hAnsiTheme="majorHAnsi"/>
          <w:sz w:val="16"/>
          <w:szCs w:val="16"/>
        </w:rPr>
      </w:pPr>
      <w:r w:rsidRPr="000F35ED">
        <w:rPr>
          <w:rFonts w:asciiTheme="majorHAnsi" w:hAnsiTheme="majorHAnsi"/>
          <w:sz w:val="16"/>
          <w:szCs w:val="16"/>
        </w:rPr>
        <w:separator/>
      </w:r>
    </w:p>
    <w:p w14:paraId="4E8D09A5" w14:textId="77777777" w:rsidR="008514EE" w:rsidRPr="000F35ED" w:rsidRDefault="008514E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D6EF491" w14:textId="77777777" w:rsidR="008514EE" w:rsidRPr="000F35ED" w:rsidRDefault="008514E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B83CFC" w14:textId="77777777" w:rsidR="005D1979" w:rsidRPr="00E876C4" w:rsidRDefault="005D1979" w:rsidP="009C50CA">
      <w:pPr>
        <w:pStyle w:val="FootnoteText"/>
        <w:ind w:firstLine="720"/>
        <w:jc w:val="both"/>
        <w:rPr>
          <w:rFonts w:asciiTheme="majorHAnsi" w:hAnsiTheme="majorHAnsi"/>
          <w:sz w:val="16"/>
          <w:szCs w:val="16"/>
          <w:lang w:val="es-AR"/>
        </w:rPr>
      </w:pPr>
      <w:r w:rsidRPr="00346740">
        <w:rPr>
          <w:rStyle w:val="FootnoteReference"/>
          <w:rFonts w:asciiTheme="majorHAnsi" w:hAnsiTheme="majorHAnsi"/>
          <w:sz w:val="16"/>
          <w:szCs w:val="16"/>
        </w:rPr>
        <w:footnoteRef/>
      </w:r>
      <w:r w:rsidRPr="00E876C4">
        <w:rPr>
          <w:rFonts w:asciiTheme="majorHAnsi" w:hAnsiTheme="majorHAnsi"/>
          <w:sz w:val="16"/>
          <w:szCs w:val="16"/>
          <w:lang w:val="es-AR"/>
        </w:rPr>
        <w:t xml:space="preserve"> De conformidad con el a</w:t>
      </w:r>
      <w:r>
        <w:rPr>
          <w:rFonts w:asciiTheme="majorHAnsi" w:hAnsiTheme="majorHAnsi"/>
          <w:sz w:val="16"/>
          <w:szCs w:val="16"/>
          <w:lang w:val="es-AR"/>
        </w:rPr>
        <w:t>rtículo 17.2.a del Reglamento de la CIDH, el Comisionado Joel Hernández García, de nacionalidad mexicana, no participó de la discusión o votación sobre este asunto.</w:t>
      </w:r>
    </w:p>
  </w:footnote>
  <w:footnote w:id="3">
    <w:p w14:paraId="79F07139" w14:textId="77777777" w:rsidR="00F93785" w:rsidRPr="00DE6153" w:rsidRDefault="00F93785" w:rsidP="009C50CA">
      <w:pPr>
        <w:pStyle w:val="FootnoteText"/>
        <w:ind w:firstLine="720"/>
        <w:jc w:val="both"/>
        <w:rPr>
          <w:rFonts w:asciiTheme="majorHAnsi" w:hAnsiTheme="majorHAnsi"/>
          <w:sz w:val="16"/>
          <w:szCs w:val="16"/>
          <w:lang w:val="es-ES"/>
        </w:rPr>
      </w:pPr>
      <w:r w:rsidRPr="00DE6153">
        <w:rPr>
          <w:rStyle w:val="FootnoteReference"/>
          <w:rFonts w:asciiTheme="majorHAnsi" w:hAnsiTheme="majorHAnsi"/>
          <w:sz w:val="16"/>
          <w:szCs w:val="16"/>
        </w:rPr>
        <w:footnoteRef/>
      </w:r>
      <w:r w:rsidRPr="00DE6153">
        <w:rPr>
          <w:rFonts w:asciiTheme="majorHAnsi" w:hAnsiTheme="majorHAnsi"/>
          <w:sz w:val="16"/>
          <w:szCs w:val="16"/>
          <w:lang w:val="es-ES"/>
        </w:rPr>
        <w:t xml:space="preserve"> Las observaciones de cada parte fueron debidamente trasladadas a la parte contraria.</w:t>
      </w:r>
    </w:p>
  </w:footnote>
  <w:footnote w:id="4">
    <w:p w14:paraId="71DBA28B" w14:textId="09EE357F" w:rsidR="00FC3DBB" w:rsidRPr="00FC3DBB" w:rsidRDefault="00FC3DBB" w:rsidP="009C50CA">
      <w:pPr>
        <w:pStyle w:val="FootnoteText"/>
        <w:ind w:firstLine="720"/>
        <w:rPr>
          <w:rFonts w:ascii="Cambria" w:hAnsi="Cambria"/>
          <w:sz w:val="16"/>
          <w:szCs w:val="16"/>
          <w:lang w:val="es-ES"/>
        </w:rPr>
      </w:pPr>
      <w:r w:rsidRPr="00FC3DBB">
        <w:rPr>
          <w:rStyle w:val="FootnoteReference"/>
          <w:rFonts w:ascii="Cambria" w:hAnsi="Cambria"/>
          <w:sz w:val="16"/>
          <w:szCs w:val="16"/>
        </w:rPr>
        <w:footnoteRef/>
      </w:r>
      <w:r w:rsidRPr="00FC3DBB">
        <w:rPr>
          <w:rFonts w:ascii="Cambria" w:hAnsi="Cambria"/>
          <w:sz w:val="16"/>
          <w:szCs w:val="16"/>
          <w:lang w:val="es-ES"/>
        </w:rPr>
        <w:t xml:space="preserve"> En adelante “la Convención Americana”.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93785" w:rsidRDefault="00F93785" w:rsidP="005D308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93785" w:rsidRDefault="00F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93785" w:rsidRDefault="00F9378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93785" w:rsidRPr="00EC7D62" w:rsidRDefault="008514E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EC88F98"/>
    <w:lvl w:ilvl="0" w:tplc="5164FEF0">
      <w:start w:val="1"/>
      <w:numFmt w:val="decimal"/>
      <w:lvlText w:val="%1."/>
      <w:lvlJc w:val="left"/>
      <w:pPr>
        <w:tabs>
          <w:tab w:val="num" w:pos="720"/>
        </w:tabs>
        <w:ind w:left="0" w:firstLine="720"/>
      </w:pPr>
      <w:rPr>
        <w:rFonts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12947"/>
    <w:multiLevelType w:val="hybridMultilevel"/>
    <w:tmpl w:val="B044D294"/>
    <w:lvl w:ilvl="0" w:tplc="213EACD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8C244EE"/>
    <w:multiLevelType w:val="hybridMultilevel"/>
    <w:tmpl w:val="D1CE7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2"/>
  </w:num>
  <w:num w:numId="5">
    <w:abstractNumId w:val="49"/>
  </w:num>
  <w:num w:numId="6">
    <w:abstractNumId w:val="28"/>
  </w:num>
  <w:num w:numId="7">
    <w:abstractNumId w:val="7"/>
  </w:num>
  <w:num w:numId="8">
    <w:abstractNumId w:val="17"/>
  </w:num>
  <w:num w:numId="9">
    <w:abstractNumId w:val="42"/>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1"/>
  </w:num>
  <w:num w:numId="52">
    <w:abstractNumId w:val="41"/>
  </w:num>
  <w:num w:numId="53">
    <w:abstractNumId w:val="52"/>
  </w:num>
  <w:num w:numId="54">
    <w:abstractNumId w:val="46"/>
  </w:num>
  <w:num w:numId="55">
    <w:abstractNumId w:val="5"/>
  </w:num>
  <w:num w:numId="56">
    <w:abstractNumId w:val="43"/>
  </w:num>
  <w:num w:numId="57">
    <w:abstractNumId w:val="60"/>
  </w:num>
  <w:num w:numId="58">
    <w:abstractNumId w:val="20"/>
  </w:num>
  <w:num w:numId="59">
    <w:abstractNumId w:val="3"/>
  </w:num>
  <w:num w:numId="60">
    <w:abstractNumId w:val="48"/>
  </w:num>
  <w:num w:numId="61">
    <w:abstractNumId w:val="26"/>
  </w:num>
  <w:num w:numId="62">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FF8"/>
    <w:rsid w:val="00006424"/>
    <w:rsid w:val="000065D0"/>
    <w:rsid w:val="00006B74"/>
    <w:rsid w:val="00006E1F"/>
    <w:rsid w:val="000070D7"/>
    <w:rsid w:val="000104F5"/>
    <w:rsid w:val="00010BDB"/>
    <w:rsid w:val="00015701"/>
    <w:rsid w:val="00016CBF"/>
    <w:rsid w:val="0001788C"/>
    <w:rsid w:val="0002186F"/>
    <w:rsid w:val="000337EF"/>
    <w:rsid w:val="00036750"/>
    <w:rsid w:val="00040C3A"/>
    <w:rsid w:val="000419AD"/>
    <w:rsid w:val="00052287"/>
    <w:rsid w:val="000546AF"/>
    <w:rsid w:val="00063CBE"/>
    <w:rsid w:val="00065C47"/>
    <w:rsid w:val="000701C8"/>
    <w:rsid w:val="000716C5"/>
    <w:rsid w:val="0007182A"/>
    <w:rsid w:val="00073561"/>
    <w:rsid w:val="00073D99"/>
    <w:rsid w:val="00074295"/>
    <w:rsid w:val="00075E23"/>
    <w:rsid w:val="00081C2F"/>
    <w:rsid w:val="00082F18"/>
    <w:rsid w:val="00086F4C"/>
    <w:rsid w:val="0009006E"/>
    <w:rsid w:val="0009344A"/>
    <w:rsid w:val="00097666"/>
    <w:rsid w:val="000A19F8"/>
    <w:rsid w:val="000A3254"/>
    <w:rsid w:val="000A392E"/>
    <w:rsid w:val="000A3B07"/>
    <w:rsid w:val="000A4E41"/>
    <w:rsid w:val="000A575F"/>
    <w:rsid w:val="000A63D0"/>
    <w:rsid w:val="000B0579"/>
    <w:rsid w:val="000C1C69"/>
    <w:rsid w:val="000C3A31"/>
    <w:rsid w:val="000D10DB"/>
    <w:rsid w:val="000D222E"/>
    <w:rsid w:val="000D2FA5"/>
    <w:rsid w:val="000D6322"/>
    <w:rsid w:val="000E2789"/>
    <w:rsid w:val="000E5EB5"/>
    <w:rsid w:val="000F11FA"/>
    <w:rsid w:val="000F35ED"/>
    <w:rsid w:val="000F53C6"/>
    <w:rsid w:val="001035C6"/>
    <w:rsid w:val="00107131"/>
    <w:rsid w:val="0010736F"/>
    <w:rsid w:val="00107504"/>
    <w:rsid w:val="00107FF5"/>
    <w:rsid w:val="00111A8A"/>
    <w:rsid w:val="00113F73"/>
    <w:rsid w:val="00121CC2"/>
    <w:rsid w:val="00131D8B"/>
    <w:rsid w:val="00133EE5"/>
    <w:rsid w:val="00134A9F"/>
    <w:rsid w:val="00135BF0"/>
    <w:rsid w:val="00136E3D"/>
    <w:rsid w:val="00140368"/>
    <w:rsid w:val="0014388D"/>
    <w:rsid w:val="00143EFE"/>
    <w:rsid w:val="001479C0"/>
    <w:rsid w:val="0015330B"/>
    <w:rsid w:val="001623F3"/>
    <w:rsid w:val="00167A34"/>
    <w:rsid w:val="00176BB3"/>
    <w:rsid w:val="00177EEF"/>
    <w:rsid w:val="001833FC"/>
    <w:rsid w:val="00187BE2"/>
    <w:rsid w:val="001976D0"/>
    <w:rsid w:val="001A47DA"/>
    <w:rsid w:val="001A7870"/>
    <w:rsid w:val="001B3A00"/>
    <w:rsid w:val="001B4C00"/>
    <w:rsid w:val="001C1B41"/>
    <w:rsid w:val="001C3E03"/>
    <w:rsid w:val="001D0D70"/>
    <w:rsid w:val="001D65EF"/>
    <w:rsid w:val="001D770C"/>
    <w:rsid w:val="001E36AD"/>
    <w:rsid w:val="001E49E7"/>
    <w:rsid w:val="001F1890"/>
    <w:rsid w:val="001F271B"/>
    <w:rsid w:val="001F7201"/>
    <w:rsid w:val="00204931"/>
    <w:rsid w:val="0020653E"/>
    <w:rsid w:val="00220B10"/>
    <w:rsid w:val="00222F2B"/>
    <w:rsid w:val="00223A29"/>
    <w:rsid w:val="00223FED"/>
    <w:rsid w:val="00224CAB"/>
    <w:rsid w:val="002250A3"/>
    <w:rsid w:val="00231294"/>
    <w:rsid w:val="00235217"/>
    <w:rsid w:val="002355A9"/>
    <w:rsid w:val="00246283"/>
    <w:rsid w:val="00246D1F"/>
    <w:rsid w:val="00247403"/>
    <w:rsid w:val="00247542"/>
    <w:rsid w:val="00247E9F"/>
    <w:rsid w:val="002533CE"/>
    <w:rsid w:val="002563BA"/>
    <w:rsid w:val="00261D31"/>
    <w:rsid w:val="00263845"/>
    <w:rsid w:val="00266B61"/>
    <w:rsid w:val="0026712A"/>
    <w:rsid w:val="002704DB"/>
    <w:rsid w:val="00277BDA"/>
    <w:rsid w:val="0028334D"/>
    <w:rsid w:val="00291DDB"/>
    <w:rsid w:val="0029575A"/>
    <w:rsid w:val="002A0AAE"/>
    <w:rsid w:val="002A5820"/>
    <w:rsid w:val="002B043F"/>
    <w:rsid w:val="002B0EA0"/>
    <w:rsid w:val="002B2F42"/>
    <w:rsid w:val="002B6B9D"/>
    <w:rsid w:val="002C2F3B"/>
    <w:rsid w:val="002C3350"/>
    <w:rsid w:val="002C45FB"/>
    <w:rsid w:val="002D2B26"/>
    <w:rsid w:val="002D3705"/>
    <w:rsid w:val="002D7EA2"/>
    <w:rsid w:val="002E187C"/>
    <w:rsid w:val="002E7512"/>
    <w:rsid w:val="002F3724"/>
    <w:rsid w:val="002F3C2F"/>
    <w:rsid w:val="002F7D2C"/>
    <w:rsid w:val="00302733"/>
    <w:rsid w:val="00302E7D"/>
    <w:rsid w:val="00305DCC"/>
    <w:rsid w:val="003121D5"/>
    <w:rsid w:val="00314078"/>
    <w:rsid w:val="0031535D"/>
    <w:rsid w:val="00315B68"/>
    <w:rsid w:val="00320F69"/>
    <w:rsid w:val="003239B8"/>
    <w:rsid w:val="00326F28"/>
    <w:rsid w:val="0033169F"/>
    <w:rsid w:val="00332259"/>
    <w:rsid w:val="00333544"/>
    <w:rsid w:val="003362B6"/>
    <w:rsid w:val="00337B65"/>
    <w:rsid w:val="0034224A"/>
    <w:rsid w:val="00343438"/>
    <w:rsid w:val="00344977"/>
    <w:rsid w:val="00346C95"/>
    <w:rsid w:val="003506AF"/>
    <w:rsid w:val="00351155"/>
    <w:rsid w:val="003556AF"/>
    <w:rsid w:val="00356185"/>
    <w:rsid w:val="00360380"/>
    <w:rsid w:val="003745BE"/>
    <w:rsid w:val="0037519E"/>
    <w:rsid w:val="00381A69"/>
    <w:rsid w:val="00385FEE"/>
    <w:rsid w:val="00386C6C"/>
    <w:rsid w:val="00386CF0"/>
    <w:rsid w:val="003925DC"/>
    <w:rsid w:val="003942EC"/>
    <w:rsid w:val="00396A5A"/>
    <w:rsid w:val="003A27A1"/>
    <w:rsid w:val="003A6337"/>
    <w:rsid w:val="003B4FF6"/>
    <w:rsid w:val="003B70FB"/>
    <w:rsid w:val="003B7155"/>
    <w:rsid w:val="003C3520"/>
    <w:rsid w:val="003C6112"/>
    <w:rsid w:val="003C676B"/>
    <w:rsid w:val="003D04CF"/>
    <w:rsid w:val="003D0A55"/>
    <w:rsid w:val="003D3BC2"/>
    <w:rsid w:val="003D619F"/>
    <w:rsid w:val="003D6787"/>
    <w:rsid w:val="003E3938"/>
    <w:rsid w:val="003E614F"/>
    <w:rsid w:val="003E6CA1"/>
    <w:rsid w:val="003F06D2"/>
    <w:rsid w:val="003F226F"/>
    <w:rsid w:val="003F3031"/>
    <w:rsid w:val="003F3DC5"/>
    <w:rsid w:val="00403525"/>
    <w:rsid w:val="00403A9C"/>
    <w:rsid w:val="004065A8"/>
    <w:rsid w:val="0041297F"/>
    <w:rsid w:val="004131DB"/>
    <w:rsid w:val="004153F5"/>
    <w:rsid w:val="004165C2"/>
    <w:rsid w:val="0042128A"/>
    <w:rsid w:val="00421375"/>
    <w:rsid w:val="004304AD"/>
    <w:rsid w:val="004376B9"/>
    <w:rsid w:val="00441ECB"/>
    <w:rsid w:val="00445193"/>
    <w:rsid w:val="00447CCF"/>
    <w:rsid w:val="00452618"/>
    <w:rsid w:val="0045261E"/>
    <w:rsid w:val="00454C28"/>
    <w:rsid w:val="004565BA"/>
    <w:rsid w:val="00462C1B"/>
    <w:rsid w:val="00462D4E"/>
    <w:rsid w:val="00467B7E"/>
    <w:rsid w:val="0047080D"/>
    <w:rsid w:val="00473BB4"/>
    <w:rsid w:val="0047435C"/>
    <w:rsid w:val="00476211"/>
    <w:rsid w:val="00477592"/>
    <w:rsid w:val="00486F1C"/>
    <w:rsid w:val="00491ECA"/>
    <w:rsid w:val="0049419D"/>
    <w:rsid w:val="004A2061"/>
    <w:rsid w:val="004A48FD"/>
    <w:rsid w:val="004A59CC"/>
    <w:rsid w:val="004A6A54"/>
    <w:rsid w:val="004A6A6B"/>
    <w:rsid w:val="004B01D4"/>
    <w:rsid w:val="004C20D2"/>
    <w:rsid w:val="004C2312"/>
    <w:rsid w:val="004C4B62"/>
    <w:rsid w:val="004C54C9"/>
    <w:rsid w:val="004C616A"/>
    <w:rsid w:val="004D4ABA"/>
    <w:rsid w:val="004D6025"/>
    <w:rsid w:val="004E19B1"/>
    <w:rsid w:val="004E2649"/>
    <w:rsid w:val="004E4536"/>
    <w:rsid w:val="004E4D29"/>
    <w:rsid w:val="004E68B5"/>
    <w:rsid w:val="004F66D6"/>
    <w:rsid w:val="00501399"/>
    <w:rsid w:val="00501652"/>
    <w:rsid w:val="0050633D"/>
    <w:rsid w:val="00507BC4"/>
    <w:rsid w:val="005128E4"/>
    <w:rsid w:val="005133DB"/>
    <w:rsid w:val="00517AF7"/>
    <w:rsid w:val="00525560"/>
    <w:rsid w:val="00525A68"/>
    <w:rsid w:val="005308E3"/>
    <w:rsid w:val="005362D6"/>
    <w:rsid w:val="005415E6"/>
    <w:rsid w:val="00541CA0"/>
    <w:rsid w:val="00544216"/>
    <w:rsid w:val="00544C49"/>
    <w:rsid w:val="005516A1"/>
    <w:rsid w:val="00563557"/>
    <w:rsid w:val="00571B55"/>
    <w:rsid w:val="0057402A"/>
    <w:rsid w:val="00574CB7"/>
    <w:rsid w:val="005771D0"/>
    <w:rsid w:val="00582A7F"/>
    <w:rsid w:val="0059191A"/>
    <w:rsid w:val="005921FF"/>
    <w:rsid w:val="00594707"/>
    <w:rsid w:val="00597DB7"/>
    <w:rsid w:val="005A24ED"/>
    <w:rsid w:val="005A6D0E"/>
    <w:rsid w:val="005B37CC"/>
    <w:rsid w:val="005B52B0"/>
    <w:rsid w:val="005B6806"/>
    <w:rsid w:val="005B6D22"/>
    <w:rsid w:val="005C0C45"/>
    <w:rsid w:val="005C12FF"/>
    <w:rsid w:val="005C261A"/>
    <w:rsid w:val="005C338C"/>
    <w:rsid w:val="005C4225"/>
    <w:rsid w:val="005C7989"/>
    <w:rsid w:val="005D1979"/>
    <w:rsid w:val="005D3083"/>
    <w:rsid w:val="005D50F0"/>
    <w:rsid w:val="005D66AD"/>
    <w:rsid w:val="005E0B65"/>
    <w:rsid w:val="005E11B2"/>
    <w:rsid w:val="005E42BB"/>
    <w:rsid w:val="005E4C67"/>
    <w:rsid w:val="005F0DAD"/>
    <w:rsid w:val="005F0F33"/>
    <w:rsid w:val="005F0FA8"/>
    <w:rsid w:val="005F151C"/>
    <w:rsid w:val="005F4DF9"/>
    <w:rsid w:val="005F4E25"/>
    <w:rsid w:val="00600DEB"/>
    <w:rsid w:val="00604673"/>
    <w:rsid w:val="006068B7"/>
    <w:rsid w:val="00611614"/>
    <w:rsid w:val="00613F6B"/>
    <w:rsid w:val="00623864"/>
    <w:rsid w:val="006277DE"/>
    <w:rsid w:val="00627C9F"/>
    <w:rsid w:val="006300B2"/>
    <w:rsid w:val="006311E9"/>
    <w:rsid w:val="00632354"/>
    <w:rsid w:val="00632D08"/>
    <w:rsid w:val="00640053"/>
    <w:rsid w:val="00641EC2"/>
    <w:rsid w:val="00642810"/>
    <w:rsid w:val="00647756"/>
    <w:rsid w:val="00647BF8"/>
    <w:rsid w:val="006509DA"/>
    <w:rsid w:val="00652333"/>
    <w:rsid w:val="00653739"/>
    <w:rsid w:val="006775AB"/>
    <w:rsid w:val="00677E9C"/>
    <w:rsid w:val="0068009E"/>
    <w:rsid w:val="006819E9"/>
    <w:rsid w:val="00686471"/>
    <w:rsid w:val="00686FEB"/>
    <w:rsid w:val="0068794B"/>
    <w:rsid w:val="0069029C"/>
    <w:rsid w:val="00691BBE"/>
    <w:rsid w:val="00692219"/>
    <w:rsid w:val="0069402E"/>
    <w:rsid w:val="006978B1"/>
    <w:rsid w:val="006A00E3"/>
    <w:rsid w:val="006A17D2"/>
    <w:rsid w:val="006A2090"/>
    <w:rsid w:val="006A73E6"/>
    <w:rsid w:val="006B0CDD"/>
    <w:rsid w:val="006B0EA7"/>
    <w:rsid w:val="006B2D5C"/>
    <w:rsid w:val="006B2EE8"/>
    <w:rsid w:val="006B34D4"/>
    <w:rsid w:val="006B6D83"/>
    <w:rsid w:val="006B779A"/>
    <w:rsid w:val="006C4EB1"/>
    <w:rsid w:val="006C7497"/>
    <w:rsid w:val="006D21CD"/>
    <w:rsid w:val="006E0166"/>
    <w:rsid w:val="006E0ECD"/>
    <w:rsid w:val="006E1E83"/>
    <w:rsid w:val="006E64F9"/>
    <w:rsid w:val="006E772A"/>
    <w:rsid w:val="006E7B34"/>
    <w:rsid w:val="006F6550"/>
    <w:rsid w:val="006F688C"/>
    <w:rsid w:val="0070697F"/>
    <w:rsid w:val="0072199C"/>
    <w:rsid w:val="00722C9F"/>
    <w:rsid w:val="007253B8"/>
    <w:rsid w:val="007274EF"/>
    <w:rsid w:val="00727B0E"/>
    <w:rsid w:val="00730378"/>
    <w:rsid w:val="007304C5"/>
    <w:rsid w:val="0073598C"/>
    <w:rsid w:val="0073741F"/>
    <w:rsid w:val="007411FF"/>
    <w:rsid w:val="00743A4E"/>
    <w:rsid w:val="00745466"/>
    <w:rsid w:val="00755810"/>
    <w:rsid w:val="00755C45"/>
    <w:rsid w:val="00757131"/>
    <w:rsid w:val="007608C4"/>
    <w:rsid w:val="00761633"/>
    <w:rsid w:val="0076643F"/>
    <w:rsid w:val="00777F63"/>
    <w:rsid w:val="00781F4D"/>
    <w:rsid w:val="007852B5"/>
    <w:rsid w:val="00792BE3"/>
    <w:rsid w:val="00796A37"/>
    <w:rsid w:val="00797230"/>
    <w:rsid w:val="007A5817"/>
    <w:rsid w:val="007B0189"/>
    <w:rsid w:val="007B01F9"/>
    <w:rsid w:val="007B05C4"/>
    <w:rsid w:val="007B2744"/>
    <w:rsid w:val="007B60E9"/>
    <w:rsid w:val="007B6CC3"/>
    <w:rsid w:val="007C2363"/>
    <w:rsid w:val="007C3334"/>
    <w:rsid w:val="007C402A"/>
    <w:rsid w:val="007D2B98"/>
    <w:rsid w:val="007D4AF0"/>
    <w:rsid w:val="007D7C02"/>
    <w:rsid w:val="007E1036"/>
    <w:rsid w:val="007E21BC"/>
    <w:rsid w:val="007E58FE"/>
    <w:rsid w:val="007E6688"/>
    <w:rsid w:val="007E7C82"/>
    <w:rsid w:val="007F2720"/>
    <w:rsid w:val="007F588D"/>
    <w:rsid w:val="00802748"/>
    <w:rsid w:val="00802C2D"/>
    <w:rsid w:val="00803F1C"/>
    <w:rsid w:val="0080600E"/>
    <w:rsid w:val="0081628A"/>
    <w:rsid w:val="00817612"/>
    <w:rsid w:val="0082272B"/>
    <w:rsid w:val="00822D64"/>
    <w:rsid w:val="00825796"/>
    <w:rsid w:val="008306AF"/>
    <w:rsid w:val="008338A4"/>
    <w:rsid w:val="00834D49"/>
    <w:rsid w:val="00837C45"/>
    <w:rsid w:val="008411F0"/>
    <w:rsid w:val="00843107"/>
    <w:rsid w:val="008439BC"/>
    <w:rsid w:val="00844730"/>
    <w:rsid w:val="008457C2"/>
    <w:rsid w:val="008514EE"/>
    <w:rsid w:val="00857A82"/>
    <w:rsid w:val="00862EC4"/>
    <w:rsid w:val="00871526"/>
    <w:rsid w:val="00873836"/>
    <w:rsid w:val="00874B67"/>
    <w:rsid w:val="00875668"/>
    <w:rsid w:val="00881310"/>
    <w:rsid w:val="00881381"/>
    <w:rsid w:val="00885737"/>
    <w:rsid w:val="00890650"/>
    <w:rsid w:val="00891568"/>
    <w:rsid w:val="00892CC2"/>
    <w:rsid w:val="00897652"/>
    <w:rsid w:val="00897E12"/>
    <w:rsid w:val="008A0F81"/>
    <w:rsid w:val="008A310C"/>
    <w:rsid w:val="008A6FC6"/>
    <w:rsid w:val="008A7885"/>
    <w:rsid w:val="008A7E0F"/>
    <w:rsid w:val="008B12F5"/>
    <w:rsid w:val="008B3FED"/>
    <w:rsid w:val="008B5932"/>
    <w:rsid w:val="008B6219"/>
    <w:rsid w:val="008C0223"/>
    <w:rsid w:val="008C068A"/>
    <w:rsid w:val="008C5751"/>
    <w:rsid w:val="008C6142"/>
    <w:rsid w:val="008D5978"/>
    <w:rsid w:val="008D768D"/>
    <w:rsid w:val="008E0FD8"/>
    <w:rsid w:val="008E328A"/>
    <w:rsid w:val="008E3759"/>
    <w:rsid w:val="008E3BFE"/>
    <w:rsid w:val="008E6DFE"/>
    <w:rsid w:val="008E7900"/>
    <w:rsid w:val="008F1912"/>
    <w:rsid w:val="0090270B"/>
    <w:rsid w:val="00903057"/>
    <w:rsid w:val="009041DC"/>
    <w:rsid w:val="00917B5A"/>
    <w:rsid w:val="00920A58"/>
    <w:rsid w:val="00920A8C"/>
    <w:rsid w:val="009346EB"/>
    <w:rsid w:val="00934A2C"/>
    <w:rsid w:val="00935F06"/>
    <w:rsid w:val="00937B3A"/>
    <w:rsid w:val="00944949"/>
    <w:rsid w:val="00954165"/>
    <w:rsid w:val="00954B82"/>
    <w:rsid w:val="00957000"/>
    <w:rsid w:val="00962436"/>
    <w:rsid w:val="009626A0"/>
    <w:rsid w:val="0096706E"/>
    <w:rsid w:val="00967C16"/>
    <w:rsid w:val="00974491"/>
    <w:rsid w:val="00975C4E"/>
    <w:rsid w:val="00981C80"/>
    <w:rsid w:val="00981FBA"/>
    <w:rsid w:val="00985D3F"/>
    <w:rsid w:val="00987FD5"/>
    <w:rsid w:val="00991EF5"/>
    <w:rsid w:val="0099660D"/>
    <w:rsid w:val="009966ED"/>
    <w:rsid w:val="00997BC5"/>
    <w:rsid w:val="009A4F41"/>
    <w:rsid w:val="009B381B"/>
    <w:rsid w:val="009B4858"/>
    <w:rsid w:val="009B4A41"/>
    <w:rsid w:val="009B6610"/>
    <w:rsid w:val="009C2FC5"/>
    <w:rsid w:val="009C50CA"/>
    <w:rsid w:val="009D1753"/>
    <w:rsid w:val="009D6502"/>
    <w:rsid w:val="009D7611"/>
    <w:rsid w:val="009D78A5"/>
    <w:rsid w:val="009E08DD"/>
    <w:rsid w:val="009E0B61"/>
    <w:rsid w:val="009E1E74"/>
    <w:rsid w:val="009E25F2"/>
    <w:rsid w:val="009E2719"/>
    <w:rsid w:val="009E53DE"/>
    <w:rsid w:val="009E7C00"/>
    <w:rsid w:val="009F1029"/>
    <w:rsid w:val="009F171D"/>
    <w:rsid w:val="009F548B"/>
    <w:rsid w:val="009F55AF"/>
    <w:rsid w:val="00A042F3"/>
    <w:rsid w:val="00A0691C"/>
    <w:rsid w:val="00A07BDF"/>
    <w:rsid w:val="00A11E44"/>
    <w:rsid w:val="00A154C8"/>
    <w:rsid w:val="00A22397"/>
    <w:rsid w:val="00A32313"/>
    <w:rsid w:val="00A328B3"/>
    <w:rsid w:val="00A33889"/>
    <w:rsid w:val="00A34EA6"/>
    <w:rsid w:val="00A37193"/>
    <w:rsid w:val="00A40B91"/>
    <w:rsid w:val="00A50FCF"/>
    <w:rsid w:val="00A5256B"/>
    <w:rsid w:val="00A528D1"/>
    <w:rsid w:val="00A534FE"/>
    <w:rsid w:val="00A610CD"/>
    <w:rsid w:val="00A625E0"/>
    <w:rsid w:val="00A67309"/>
    <w:rsid w:val="00A70165"/>
    <w:rsid w:val="00A73380"/>
    <w:rsid w:val="00A74947"/>
    <w:rsid w:val="00A754B4"/>
    <w:rsid w:val="00A758AA"/>
    <w:rsid w:val="00A80328"/>
    <w:rsid w:val="00A82733"/>
    <w:rsid w:val="00A874F6"/>
    <w:rsid w:val="00A90836"/>
    <w:rsid w:val="00A92093"/>
    <w:rsid w:val="00AA09A2"/>
    <w:rsid w:val="00AA7996"/>
    <w:rsid w:val="00AA7FA8"/>
    <w:rsid w:val="00AC19CB"/>
    <w:rsid w:val="00AC56D9"/>
    <w:rsid w:val="00AD1886"/>
    <w:rsid w:val="00AE5488"/>
    <w:rsid w:val="00AE6F91"/>
    <w:rsid w:val="00AF5571"/>
    <w:rsid w:val="00B01F5A"/>
    <w:rsid w:val="00B06B4E"/>
    <w:rsid w:val="00B07341"/>
    <w:rsid w:val="00B11EC3"/>
    <w:rsid w:val="00B17051"/>
    <w:rsid w:val="00B202B5"/>
    <w:rsid w:val="00B21BAE"/>
    <w:rsid w:val="00B248CF"/>
    <w:rsid w:val="00B24A6E"/>
    <w:rsid w:val="00B26C92"/>
    <w:rsid w:val="00B30539"/>
    <w:rsid w:val="00B314DB"/>
    <w:rsid w:val="00B33E89"/>
    <w:rsid w:val="00B359AD"/>
    <w:rsid w:val="00B361F2"/>
    <w:rsid w:val="00B3718B"/>
    <w:rsid w:val="00B400E1"/>
    <w:rsid w:val="00B402A0"/>
    <w:rsid w:val="00B4333B"/>
    <w:rsid w:val="00B43F04"/>
    <w:rsid w:val="00B4632A"/>
    <w:rsid w:val="00B472EB"/>
    <w:rsid w:val="00B5067D"/>
    <w:rsid w:val="00B5180D"/>
    <w:rsid w:val="00B530F1"/>
    <w:rsid w:val="00B57297"/>
    <w:rsid w:val="00B5747B"/>
    <w:rsid w:val="00B72CF0"/>
    <w:rsid w:val="00B73419"/>
    <w:rsid w:val="00B736AF"/>
    <w:rsid w:val="00B742BE"/>
    <w:rsid w:val="00B76F12"/>
    <w:rsid w:val="00B77629"/>
    <w:rsid w:val="00B806C6"/>
    <w:rsid w:val="00B84F45"/>
    <w:rsid w:val="00B85B8F"/>
    <w:rsid w:val="00B87359"/>
    <w:rsid w:val="00B97946"/>
    <w:rsid w:val="00BA276C"/>
    <w:rsid w:val="00BA5544"/>
    <w:rsid w:val="00BA65ED"/>
    <w:rsid w:val="00BB306F"/>
    <w:rsid w:val="00BB3FBD"/>
    <w:rsid w:val="00BB6A22"/>
    <w:rsid w:val="00BC0849"/>
    <w:rsid w:val="00BC6CD0"/>
    <w:rsid w:val="00BD2C40"/>
    <w:rsid w:val="00BD4B89"/>
    <w:rsid w:val="00BD5922"/>
    <w:rsid w:val="00BD6B07"/>
    <w:rsid w:val="00BD76D9"/>
    <w:rsid w:val="00BE78BC"/>
    <w:rsid w:val="00BF02CB"/>
    <w:rsid w:val="00BF514A"/>
    <w:rsid w:val="00BF6FD8"/>
    <w:rsid w:val="00BF7247"/>
    <w:rsid w:val="00BF775D"/>
    <w:rsid w:val="00C03680"/>
    <w:rsid w:val="00C054DF"/>
    <w:rsid w:val="00C10AFC"/>
    <w:rsid w:val="00C17EF7"/>
    <w:rsid w:val="00C2052D"/>
    <w:rsid w:val="00C21562"/>
    <w:rsid w:val="00C21762"/>
    <w:rsid w:val="00C21FEF"/>
    <w:rsid w:val="00C24543"/>
    <w:rsid w:val="00C256A2"/>
    <w:rsid w:val="00C349D1"/>
    <w:rsid w:val="00C35A26"/>
    <w:rsid w:val="00C4086E"/>
    <w:rsid w:val="00C45714"/>
    <w:rsid w:val="00C51515"/>
    <w:rsid w:val="00C53910"/>
    <w:rsid w:val="00C54F44"/>
    <w:rsid w:val="00C55525"/>
    <w:rsid w:val="00C5660B"/>
    <w:rsid w:val="00C56854"/>
    <w:rsid w:val="00C5788A"/>
    <w:rsid w:val="00C66B72"/>
    <w:rsid w:val="00C67B8D"/>
    <w:rsid w:val="00C71C0F"/>
    <w:rsid w:val="00C720F6"/>
    <w:rsid w:val="00C8050C"/>
    <w:rsid w:val="00C8155E"/>
    <w:rsid w:val="00C82746"/>
    <w:rsid w:val="00C843C4"/>
    <w:rsid w:val="00C84586"/>
    <w:rsid w:val="00C87AC4"/>
    <w:rsid w:val="00C94901"/>
    <w:rsid w:val="00C9567A"/>
    <w:rsid w:val="00CA48A3"/>
    <w:rsid w:val="00CA512B"/>
    <w:rsid w:val="00CA7AFD"/>
    <w:rsid w:val="00CB212D"/>
    <w:rsid w:val="00CB2660"/>
    <w:rsid w:val="00CB7FB9"/>
    <w:rsid w:val="00CC5E90"/>
    <w:rsid w:val="00CD046C"/>
    <w:rsid w:val="00CD0D85"/>
    <w:rsid w:val="00CD186A"/>
    <w:rsid w:val="00CD464D"/>
    <w:rsid w:val="00CE076C"/>
    <w:rsid w:val="00CE1DE0"/>
    <w:rsid w:val="00CE5199"/>
    <w:rsid w:val="00CE63D1"/>
    <w:rsid w:val="00CE66D5"/>
    <w:rsid w:val="00CF1039"/>
    <w:rsid w:val="00CF637A"/>
    <w:rsid w:val="00D059DE"/>
    <w:rsid w:val="00D05ABD"/>
    <w:rsid w:val="00D108D4"/>
    <w:rsid w:val="00D111EE"/>
    <w:rsid w:val="00D13FCE"/>
    <w:rsid w:val="00D17E8C"/>
    <w:rsid w:val="00D20354"/>
    <w:rsid w:val="00D306D1"/>
    <w:rsid w:val="00D30800"/>
    <w:rsid w:val="00D31F73"/>
    <w:rsid w:val="00D32752"/>
    <w:rsid w:val="00D33384"/>
    <w:rsid w:val="00D346DF"/>
    <w:rsid w:val="00D34786"/>
    <w:rsid w:val="00D348D1"/>
    <w:rsid w:val="00D3562F"/>
    <w:rsid w:val="00D35EB9"/>
    <w:rsid w:val="00D37BFC"/>
    <w:rsid w:val="00D42270"/>
    <w:rsid w:val="00D42822"/>
    <w:rsid w:val="00D47504"/>
    <w:rsid w:val="00D47A8E"/>
    <w:rsid w:val="00D5058A"/>
    <w:rsid w:val="00D52D14"/>
    <w:rsid w:val="00D545BA"/>
    <w:rsid w:val="00D55256"/>
    <w:rsid w:val="00D56D93"/>
    <w:rsid w:val="00D60C4C"/>
    <w:rsid w:val="00D650DB"/>
    <w:rsid w:val="00D66CD9"/>
    <w:rsid w:val="00D712D3"/>
    <w:rsid w:val="00D71422"/>
    <w:rsid w:val="00D72DC6"/>
    <w:rsid w:val="00D73F5E"/>
    <w:rsid w:val="00D7541D"/>
    <w:rsid w:val="00D7558D"/>
    <w:rsid w:val="00D77503"/>
    <w:rsid w:val="00D778FE"/>
    <w:rsid w:val="00D8061B"/>
    <w:rsid w:val="00D81895"/>
    <w:rsid w:val="00D81D92"/>
    <w:rsid w:val="00D876F9"/>
    <w:rsid w:val="00D877B6"/>
    <w:rsid w:val="00D93A90"/>
    <w:rsid w:val="00DA4810"/>
    <w:rsid w:val="00DA7B5F"/>
    <w:rsid w:val="00DB37BB"/>
    <w:rsid w:val="00DC11E7"/>
    <w:rsid w:val="00DC7023"/>
    <w:rsid w:val="00DC769A"/>
    <w:rsid w:val="00DD061E"/>
    <w:rsid w:val="00DD3D86"/>
    <w:rsid w:val="00DD6FE6"/>
    <w:rsid w:val="00DE12F0"/>
    <w:rsid w:val="00DE28CE"/>
    <w:rsid w:val="00DE3815"/>
    <w:rsid w:val="00DE6153"/>
    <w:rsid w:val="00DF1EC4"/>
    <w:rsid w:val="00DF51E9"/>
    <w:rsid w:val="00DF6CFD"/>
    <w:rsid w:val="00E01943"/>
    <w:rsid w:val="00E0340B"/>
    <w:rsid w:val="00E04A90"/>
    <w:rsid w:val="00E0551F"/>
    <w:rsid w:val="00E163BF"/>
    <w:rsid w:val="00E219C7"/>
    <w:rsid w:val="00E26CCA"/>
    <w:rsid w:val="00E27F56"/>
    <w:rsid w:val="00E3162D"/>
    <w:rsid w:val="00E4118C"/>
    <w:rsid w:val="00E43157"/>
    <w:rsid w:val="00E461CE"/>
    <w:rsid w:val="00E50EDC"/>
    <w:rsid w:val="00E52F8B"/>
    <w:rsid w:val="00E716FA"/>
    <w:rsid w:val="00E72072"/>
    <w:rsid w:val="00E720CA"/>
    <w:rsid w:val="00E77A14"/>
    <w:rsid w:val="00E811DA"/>
    <w:rsid w:val="00E84EB5"/>
    <w:rsid w:val="00E85662"/>
    <w:rsid w:val="00E8789F"/>
    <w:rsid w:val="00E92747"/>
    <w:rsid w:val="00E97B71"/>
    <w:rsid w:val="00EA2A61"/>
    <w:rsid w:val="00EA3D34"/>
    <w:rsid w:val="00EA4B75"/>
    <w:rsid w:val="00EA68A8"/>
    <w:rsid w:val="00EB0DE2"/>
    <w:rsid w:val="00EB454D"/>
    <w:rsid w:val="00EC19C2"/>
    <w:rsid w:val="00EC26E9"/>
    <w:rsid w:val="00EC72AB"/>
    <w:rsid w:val="00ED2F03"/>
    <w:rsid w:val="00ED549D"/>
    <w:rsid w:val="00ED74FA"/>
    <w:rsid w:val="00ED76BE"/>
    <w:rsid w:val="00ED7F05"/>
    <w:rsid w:val="00EE006C"/>
    <w:rsid w:val="00EE00E9"/>
    <w:rsid w:val="00EE014D"/>
    <w:rsid w:val="00EE2CCA"/>
    <w:rsid w:val="00EF2314"/>
    <w:rsid w:val="00EF35AB"/>
    <w:rsid w:val="00EF4C44"/>
    <w:rsid w:val="00EF619B"/>
    <w:rsid w:val="00F00B55"/>
    <w:rsid w:val="00F02AD1"/>
    <w:rsid w:val="00F04591"/>
    <w:rsid w:val="00F06354"/>
    <w:rsid w:val="00F20450"/>
    <w:rsid w:val="00F253CC"/>
    <w:rsid w:val="00F332EF"/>
    <w:rsid w:val="00F3424B"/>
    <w:rsid w:val="00F34AB9"/>
    <w:rsid w:val="00F37106"/>
    <w:rsid w:val="00F44036"/>
    <w:rsid w:val="00F51184"/>
    <w:rsid w:val="00F519CF"/>
    <w:rsid w:val="00F53168"/>
    <w:rsid w:val="00F56BA5"/>
    <w:rsid w:val="00F5725F"/>
    <w:rsid w:val="00F60E22"/>
    <w:rsid w:val="00F63B39"/>
    <w:rsid w:val="00F70FEA"/>
    <w:rsid w:val="00F75FE6"/>
    <w:rsid w:val="00F7706A"/>
    <w:rsid w:val="00F772EA"/>
    <w:rsid w:val="00F81395"/>
    <w:rsid w:val="00F81887"/>
    <w:rsid w:val="00F81BB8"/>
    <w:rsid w:val="00F917D1"/>
    <w:rsid w:val="00F9342C"/>
    <w:rsid w:val="00F93785"/>
    <w:rsid w:val="00F9653B"/>
    <w:rsid w:val="00FA0025"/>
    <w:rsid w:val="00FA459D"/>
    <w:rsid w:val="00FA56EA"/>
    <w:rsid w:val="00FB4B5C"/>
    <w:rsid w:val="00FB62CF"/>
    <w:rsid w:val="00FC0F4A"/>
    <w:rsid w:val="00FC3330"/>
    <w:rsid w:val="00FC3DBB"/>
    <w:rsid w:val="00FD3C3B"/>
    <w:rsid w:val="00FE07DD"/>
    <w:rsid w:val="00FE6B45"/>
    <w:rsid w:val="00FF119E"/>
    <w:rsid w:val="00FF1414"/>
    <w:rsid w:val="00FF21C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593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84451845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AA284-9ACA-4020-BADA-1F03CDF1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184/21</dc:title>
  <dc:creator/>
  <cp:lastModifiedBy/>
  <cp:revision>1</cp:revision>
  <dcterms:created xsi:type="dcterms:W3CDTF">2022-03-02T17:09:00Z</dcterms:created>
  <dcterms:modified xsi:type="dcterms:W3CDTF">2022-03-02T17:09:00Z</dcterms:modified>
</cp:coreProperties>
</file>