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C2052D" w:rsidRDefault="00D306D1" w:rsidP="00627C9F">
      <w:pPr>
        <w:jc w:val="both"/>
        <w:rPr>
          <w:rFonts w:ascii="Cambria" w:hAnsi="Cambria" w:cs="Univers"/>
          <w:b/>
          <w:bCs/>
          <w:sz w:val="22"/>
          <w:szCs w:val="22"/>
          <w:lang w:val="es-ES"/>
        </w:rPr>
      </w:pPr>
      <w:r w:rsidRPr="00C2052D">
        <w:rPr>
          <w:rFonts w:ascii="Cambria" w:hAnsi="Cambria"/>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E3C7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C2052D">
        <w:rPr>
          <w:rFonts w:ascii="Cambria" w:hAnsi="Cambria"/>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F93785" w:rsidRDefault="00F93785"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349218F2" w14:textId="77777777" w:rsidR="00F93785" w:rsidRDefault="00F93785"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C2052D" w:rsidRDefault="00040C3A" w:rsidP="00040C3A">
      <w:pPr>
        <w:tabs>
          <w:tab w:val="center" w:pos="5400"/>
        </w:tabs>
        <w:suppressAutoHyphens/>
        <w:jc w:val="both"/>
        <w:rPr>
          <w:rFonts w:ascii="Cambria" w:hAnsi="Cambria"/>
          <w:sz w:val="22"/>
          <w:szCs w:val="22"/>
          <w:lang w:val="es-ES"/>
        </w:rPr>
      </w:pPr>
    </w:p>
    <w:p w14:paraId="5A87E141" w14:textId="77777777" w:rsidR="00040C3A" w:rsidRPr="00C2052D" w:rsidRDefault="00040C3A" w:rsidP="00040C3A">
      <w:pPr>
        <w:tabs>
          <w:tab w:val="center" w:pos="5400"/>
        </w:tabs>
        <w:suppressAutoHyphens/>
        <w:jc w:val="both"/>
        <w:rPr>
          <w:rFonts w:ascii="Cambria" w:hAnsi="Cambria"/>
          <w:sz w:val="22"/>
          <w:szCs w:val="22"/>
          <w:lang w:val="es-ES"/>
        </w:rPr>
      </w:pPr>
    </w:p>
    <w:p w14:paraId="29D95BCC" w14:textId="77777777" w:rsidR="005128E4" w:rsidRPr="00C2052D" w:rsidRDefault="005128E4" w:rsidP="00040C3A">
      <w:pPr>
        <w:tabs>
          <w:tab w:val="center" w:pos="5400"/>
        </w:tabs>
        <w:suppressAutoHyphens/>
        <w:rPr>
          <w:rFonts w:ascii="Cambria" w:hAnsi="Cambria"/>
          <w:sz w:val="22"/>
          <w:szCs w:val="22"/>
          <w:lang w:val="es-ES"/>
        </w:rPr>
      </w:pPr>
    </w:p>
    <w:p w14:paraId="12A36B24" w14:textId="77777777" w:rsidR="005128E4" w:rsidRPr="00C2052D" w:rsidRDefault="005128E4" w:rsidP="00040C3A">
      <w:pPr>
        <w:tabs>
          <w:tab w:val="center" w:pos="5400"/>
        </w:tabs>
        <w:suppressAutoHyphens/>
        <w:rPr>
          <w:rFonts w:ascii="Cambria" w:hAnsi="Cambria"/>
          <w:sz w:val="22"/>
          <w:szCs w:val="22"/>
          <w:lang w:val="es-ES"/>
        </w:rPr>
      </w:pPr>
    </w:p>
    <w:p w14:paraId="2252093D" w14:textId="77777777" w:rsidR="005128E4" w:rsidRPr="00C2052D" w:rsidRDefault="005128E4" w:rsidP="00040C3A">
      <w:pPr>
        <w:tabs>
          <w:tab w:val="center" w:pos="5400"/>
        </w:tabs>
        <w:suppressAutoHyphens/>
        <w:rPr>
          <w:rFonts w:ascii="Cambria" w:hAnsi="Cambria"/>
          <w:sz w:val="22"/>
          <w:szCs w:val="22"/>
          <w:lang w:val="es-ES"/>
        </w:rPr>
      </w:pPr>
    </w:p>
    <w:p w14:paraId="403935BD" w14:textId="77777777" w:rsidR="00040C3A" w:rsidRPr="00C2052D" w:rsidRDefault="00040C3A" w:rsidP="005128E4">
      <w:pPr>
        <w:tabs>
          <w:tab w:val="center" w:pos="5400"/>
        </w:tabs>
        <w:suppressAutoHyphens/>
        <w:jc w:val="center"/>
        <w:rPr>
          <w:rFonts w:ascii="Cambria" w:hAnsi="Cambria"/>
          <w:sz w:val="22"/>
          <w:szCs w:val="22"/>
          <w:lang w:val="es-ES"/>
        </w:rPr>
      </w:pPr>
    </w:p>
    <w:p w14:paraId="6DCF5F8F" w14:textId="77777777" w:rsidR="00040C3A" w:rsidRPr="00C2052D" w:rsidRDefault="00040C3A" w:rsidP="005128E4">
      <w:pPr>
        <w:tabs>
          <w:tab w:val="center" w:pos="5400"/>
        </w:tabs>
        <w:suppressAutoHyphens/>
        <w:jc w:val="center"/>
        <w:rPr>
          <w:rFonts w:ascii="Cambria" w:hAnsi="Cambria"/>
          <w:sz w:val="22"/>
          <w:szCs w:val="22"/>
          <w:lang w:val="es-ES"/>
        </w:rPr>
      </w:pPr>
    </w:p>
    <w:p w14:paraId="4791F13A" w14:textId="77777777" w:rsidR="005B52B0" w:rsidRPr="00C2052D" w:rsidRDefault="005B52B0" w:rsidP="005128E4">
      <w:pPr>
        <w:tabs>
          <w:tab w:val="center" w:pos="5400"/>
        </w:tabs>
        <w:suppressAutoHyphens/>
        <w:jc w:val="center"/>
        <w:rPr>
          <w:rFonts w:ascii="Cambria" w:hAnsi="Cambria"/>
          <w:sz w:val="22"/>
          <w:szCs w:val="22"/>
          <w:lang w:val="es-ES"/>
        </w:rPr>
      </w:pPr>
    </w:p>
    <w:p w14:paraId="44E016B6" w14:textId="77777777" w:rsidR="005B52B0" w:rsidRPr="00C2052D" w:rsidRDefault="005B52B0" w:rsidP="005128E4">
      <w:pPr>
        <w:tabs>
          <w:tab w:val="center" w:pos="5400"/>
        </w:tabs>
        <w:suppressAutoHyphens/>
        <w:jc w:val="center"/>
        <w:rPr>
          <w:rFonts w:ascii="Cambria" w:hAnsi="Cambria"/>
          <w:sz w:val="22"/>
          <w:szCs w:val="22"/>
          <w:lang w:val="es-ES"/>
        </w:rPr>
      </w:pPr>
    </w:p>
    <w:p w14:paraId="63D41962" w14:textId="77777777" w:rsidR="005B52B0" w:rsidRPr="00C2052D" w:rsidRDefault="005B52B0" w:rsidP="005128E4">
      <w:pPr>
        <w:tabs>
          <w:tab w:val="center" w:pos="5400"/>
        </w:tabs>
        <w:suppressAutoHyphens/>
        <w:jc w:val="center"/>
        <w:rPr>
          <w:rFonts w:ascii="Cambria" w:hAnsi="Cambria"/>
          <w:sz w:val="22"/>
          <w:szCs w:val="22"/>
          <w:lang w:val="es-ES"/>
        </w:rPr>
      </w:pPr>
    </w:p>
    <w:p w14:paraId="5ADEB990" w14:textId="77777777" w:rsidR="00040C3A" w:rsidRPr="00C2052D" w:rsidRDefault="00040C3A" w:rsidP="00040C3A">
      <w:pPr>
        <w:tabs>
          <w:tab w:val="center" w:pos="5400"/>
        </w:tabs>
        <w:suppressAutoHyphens/>
        <w:jc w:val="center"/>
        <w:rPr>
          <w:rFonts w:ascii="Cambria" w:hAnsi="Cambria"/>
          <w:sz w:val="22"/>
          <w:szCs w:val="22"/>
          <w:lang w:val="es-ES"/>
        </w:rPr>
      </w:pPr>
    </w:p>
    <w:p w14:paraId="2D81B7E8" w14:textId="77777777" w:rsidR="00040C3A" w:rsidRPr="00C2052D" w:rsidRDefault="00040C3A" w:rsidP="00040C3A">
      <w:pPr>
        <w:tabs>
          <w:tab w:val="center" w:pos="5400"/>
        </w:tabs>
        <w:suppressAutoHyphens/>
        <w:jc w:val="center"/>
        <w:rPr>
          <w:rFonts w:ascii="Cambria" w:hAnsi="Cambria"/>
          <w:sz w:val="22"/>
          <w:szCs w:val="22"/>
          <w:lang w:val="es-ES"/>
        </w:rPr>
      </w:pPr>
    </w:p>
    <w:p w14:paraId="64791D04" w14:textId="77777777" w:rsidR="00040C3A" w:rsidRPr="00C2052D" w:rsidRDefault="003D3BC2" w:rsidP="00040C3A">
      <w:pPr>
        <w:tabs>
          <w:tab w:val="center" w:pos="5400"/>
        </w:tabs>
        <w:suppressAutoHyphens/>
        <w:jc w:val="center"/>
        <w:rPr>
          <w:rFonts w:ascii="Cambria" w:hAnsi="Cambria"/>
          <w:sz w:val="22"/>
          <w:szCs w:val="22"/>
          <w:lang w:val="es-ES"/>
        </w:rPr>
      </w:pPr>
      <w:r w:rsidRPr="00C2052D">
        <w:rPr>
          <w:rFonts w:ascii="Cambria" w:hAnsi="Cambria"/>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0B85118" w:rsidR="00F93785" w:rsidRPr="004E2649" w:rsidRDefault="00F9378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12C03">
                              <w:rPr>
                                <w:rFonts w:asciiTheme="majorHAnsi" w:hAnsiTheme="majorHAnsi" w:cs="Arial"/>
                                <w:b/>
                                <w:bCs/>
                                <w:color w:val="0D0D0D" w:themeColor="text1" w:themeTint="F2"/>
                                <w:sz w:val="36"/>
                                <w:szCs w:val="22"/>
                                <w:lang w:val="es-ES_tradnl"/>
                              </w:rPr>
                              <w:t>185</w:t>
                            </w:r>
                            <w:r>
                              <w:rPr>
                                <w:rFonts w:asciiTheme="majorHAnsi" w:hAnsiTheme="majorHAnsi" w:cs="Arial"/>
                                <w:b/>
                                <w:bCs/>
                                <w:color w:val="0D0D0D" w:themeColor="text1" w:themeTint="F2"/>
                                <w:sz w:val="36"/>
                                <w:szCs w:val="22"/>
                                <w:lang w:val="es-ES_tradnl"/>
                              </w:rPr>
                              <w:t>/</w:t>
                            </w:r>
                            <w:r w:rsidR="00AC6264">
                              <w:rPr>
                                <w:rFonts w:asciiTheme="majorHAnsi" w:hAnsiTheme="majorHAnsi" w:cs="Arial"/>
                                <w:b/>
                                <w:bCs/>
                                <w:color w:val="0D0D0D" w:themeColor="text1" w:themeTint="F2"/>
                                <w:sz w:val="36"/>
                                <w:szCs w:val="22"/>
                                <w:lang w:val="es-ES_tradnl"/>
                              </w:rPr>
                              <w:t>21</w:t>
                            </w:r>
                          </w:p>
                          <w:p w14:paraId="09C54AB3" w14:textId="6B0B09E3" w:rsidR="00F93785" w:rsidRDefault="00F9378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C6264">
                              <w:rPr>
                                <w:rFonts w:asciiTheme="majorHAnsi" w:hAnsiTheme="majorHAnsi" w:cs="Arial"/>
                                <w:b/>
                                <w:color w:val="0D0D0D" w:themeColor="text1" w:themeTint="F2"/>
                                <w:sz w:val="36"/>
                                <w:szCs w:val="22"/>
                                <w:lang w:val="es-ES_tradnl"/>
                              </w:rPr>
                              <w:t>294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w:t>
                            </w:r>
                            <w:r w:rsidR="00AC6264">
                              <w:rPr>
                                <w:rFonts w:asciiTheme="majorHAnsi" w:hAnsiTheme="majorHAnsi" w:cs="Arial"/>
                                <w:b/>
                                <w:color w:val="0D0D0D" w:themeColor="text1" w:themeTint="F2"/>
                                <w:sz w:val="36"/>
                                <w:szCs w:val="22"/>
                                <w:lang w:val="es-ES_tradnl"/>
                              </w:rPr>
                              <w:t>1</w:t>
                            </w:r>
                            <w:r w:rsidRPr="004E2649">
                              <w:rPr>
                                <w:rFonts w:asciiTheme="majorHAnsi" w:hAnsiTheme="majorHAnsi" w:cs="Arial"/>
                                <w:b/>
                                <w:color w:val="0D0D0D" w:themeColor="text1" w:themeTint="F2"/>
                                <w:sz w:val="36"/>
                                <w:szCs w:val="22"/>
                                <w:lang w:val="es-ES_tradnl"/>
                              </w:rPr>
                              <w:t xml:space="preserve"> </w:t>
                            </w:r>
                          </w:p>
                          <w:p w14:paraId="70CF6833" w14:textId="6800AEFE" w:rsidR="00F93785" w:rsidRPr="0010736F" w:rsidRDefault="00F9378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424C5">
                              <w:rPr>
                                <w:rFonts w:asciiTheme="majorHAnsi" w:hAnsiTheme="majorHAnsi" w:cs="Arial"/>
                                <w:color w:val="0D0D0D" w:themeColor="text1" w:themeTint="F2"/>
                                <w:szCs w:val="22"/>
                                <w:lang w:val="es-ES_tradnl"/>
                              </w:rPr>
                              <w:t>INA</w:t>
                            </w:r>
                            <w:r w:rsidRPr="0010736F">
                              <w:rPr>
                                <w:rFonts w:asciiTheme="majorHAnsi" w:hAnsiTheme="majorHAnsi" w:cs="Arial"/>
                                <w:color w:val="0D0D0D" w:themeColor="text1" w:themeTint="F2"/>
                                <w:szCs w:val="22"/>
                                <w:lang w:val="es-ES_tradnl"/>
                              </w:rPr>
                              <w:t>DMISIBILIDAD</w:t>
                            </w:r>
                          </w:p>
                          <w:p w14:paraId="5FDD6F0D" w14:textId="77777777" w:rsidR="00F93785" w:rsidRPr="0010736F" w:rsidRDefault="00F93785" w:rsidP="00997BC5">
                            <w:pPr>
                              <w:spacing w:line="276" w:lineRule="auto"/>
                              <w:rPr>
                                <w:rFonts w:asciiTheme="majorHAnsi" w:hAnsiTheme="majorHAnsi" w:cs="Arial"/>
                                <w:color w:val="0D0D0D" w:themeColor="text1" w:themeTint="F2"/>
                                <w:szCs w:val="22"/>
                                <w:lang w:val="es-ES_tradnl"/>
                              </w:rPr>
                            </w:pPr>
                            <w:bookmarkStart w:id="0" w:name="_ftnref1"/>
                          </w:p>
                          <w:bookmarkEnd w:id="0"/>
                          <w:p w14:paraId="5A9BBCDA" w14:textId="07336CE1" w:rsidR="00F93785" w:rsidRDefault="00AC626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FERNANDO BEULO LÓPEZ ARIAS</w:t>
                            </w:r>
                          </w:p>
                          <w:p w14:paraId="35068D0D" w14:textId="2B860D25" w:rsidR="00F93785" w:rsidRPr="0010736F" w:rsidRDefault="00F9378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w:t>
                            </w:r>
                            <w:r w:rsidR="00712C03">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XICO</w:t>
                            </w:r>
                          </w:p>
                          <w:p w14:paraId="575DFD52" w14:textId="77777777" w:rsidR="00F93785" w:rsidRPr="00AE5488" w:rsidRDefault="00F93785"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0B85118" w:rsidR="00F93785" w:rsidRPr="004E2649" w:rsidRDefault="00F9378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12C03">
                        <w:rPr>
                          <w:rFonts w:asciiTheme="majorHAnsi" w:hAnsiTheme="majorHAnsi" w:cs="Arial"/>
                          <w:b/>
                          <w:bCs/>
                          <w:color w:val="0D0D0D" w:themeColor="text1" w:themeTint="F2"/>
                          <w:sz w:val="36"/>
                          <w:szCs w:val="22"/>
                          <w:lang w:val="es-ES_tradnl"/>
                        </w:rPr>
                        <w:t>185</w:t>
                      </w:r>
                      <w:r>
                        <w:rPr>
                          <w:rFonts w:asciiTheme="majorHAnsi" w:hAnsiTheme="majorHAnsi" w:cs="Arial"/>
                          <w:b/>
                          <w:bCs/>
                          <w:color w:val="0D0D0D" w:themeColor="text1" w:themeTint="F2"/>
                          <w:sz w:val="36"/>
                          <w:szCs w:val="22"/>
                          <w:lang w:val="es-ES_tradnl"/>
                        </w:rPr>
                        <w:t>/</w:t>
                      </w:r>
                      <w:r w:rsidR="00AC6264">
                        <w:rPr>
                          <w:rFonts w:asciiTheme="majorHAnsi" w:hAnsiTheme="majorHAnsi" w:cs="Arial"/>
                          <w:b/>
                          <w:bCs/>
                          <w:color w:val="0D0D0D" w:themeColor="text1" w:themeTint="F2"/>
                          <w:sz w:val="36"/>
                          <w:szCs w:val="22"/>
                          <w:lang w:val="es-ES_tradnl"/>
                        </w:rPr>
                        <w:t>21</w:t>
                      </w:r>
                    </w:p>
                    <w:p w14:paraId="09C54AB3" w14:textId="6B0B09E3" w:rsidR="00F93785" w:rsidRDefault="00F9378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C6264">
                        <w:rPr>
                          <w:rFonts w:asciiTheme="majorHAnsi" w:hAnsiTheme="majorHAnsi" w:cs="Arial"/>
                          <w:b/>
                          <w:color w:val="0D0D0D" w:themeColor="text1" w:themeTint="F2"/>
                          <w:sz w:val="36"/>
                          <w:szCs w:val="22"/>
                          <w:lang w:val="es-ES_tradnl"/>
                        </w:rPr>
                        <w:t>294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w:t>
                      </w:r>
                      <w:r w:rsidR="00AC6264">
                        <w:rPr>
                          <w:rFonts w:asciiTheme="majorHAnsi" w:hAnsiTheme="majorHAnsi" w:cs="Arial"/>
                          <w:b/>
                          <w:color w:val="0D0D0D" w:themeColor="text1" w:themeTint="F2"/>
                          <w:sz w:val="36"/>
                          <w:szCs w:val="22"/>
                          <w:lang w:val="es-ES_tradnl"/>
                        </w:rPr>
                        <w:t>1</w:t>
                      </w:r>
                      <w:r w:rsidRPr="004E2649">
                        <w:rPr>
                          <w:rFonts w:asciiTheme="majorHAnsi" w:hAnsiTheme="majorHAnsi" w:cs="Arial"/>
                          <w:b/>
                          <w:color w:val="0D0D0D" w:themeColor="text1" w:themeTint="F2"/>
                          <w:sz w:val="36"/>
                          <w:szCs w:val="22"/>
                          <w:lang w:val="es-ES_tradnl"/>
                        </w:rPr>
                        <w:t xml:space="preserve"> </w:t>
                      </w:r>
                    </w:p>
                    <w:p w14:paraId="70CF6833" w14:textId="6800AEFE" w:rsidR="00F93785" w:rsidRPr="0010736F" w:rsidRDefault="00F9378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9424C5">
                        <w:rPr>
                          <w:rFonts w:asciiTheme="majorHAnsi" w:hAnsiTheme="majorHAnsi" w:cs="Arial"/>
                          <w:color w:val="0D0D0D" w:themeColor="text1" w:themeTint="F2"/>
                          <w:szCs w:val="22"/>
                          <w:lang w:val="es-ES_tradnl"/>
                        </w:rPr>
                        <w:t>INA</w:t>
                      </w:r>
                      <w:r w:rsidRPr="0010736F">
                        <w:rPr>
                          <w:rFonts w:asciiTheme="majorHAnsi" w:hAnsiTheme="majorHAnsi" w:cs="Arial"/>
                          <w:color w:val="0D0D0D" w:themeColor="text1" w:themeTint="F2"/>
                          <w:szCs w:val="22"/>
                          <w:lang w:val="es-ES_tradnl"/>
                        </w:rPr>
                        <w:t>DMISIBILIDAD</w:t>
                      </w:r>
                    </w:p>
                    <w:p w14:paraId="5FDD6F0D" w14:textId="77777777" w:rsidR="00F93785" w:rsidRPr="0010736F" w:rsidRDefault="00F93785" w:rsidP="00997BC5">
                      <w:pPr>
                        <w:spacing w:line="276" w:lineRule="auto"/>
                        <w:rPr>
                          <w:rFonts w:asciiTheme="majorHAnsi" w:hAnsiTheme="majorHAnsi" w:cs="Arial"/>
                          <w:color w:val="0D0D0D" w:themeColor="text1" w:themeTint="F2"/>
                          <w:szCs w:val="22"/>
                          <w:lang w:val="es-ES_tradnl"/>
                        </w:rPr>
                      </w:pPr>
                      <w:bookmarkStart w:id="1" w:name="_ftnref1"/>
                    </w:p>
                    <w:bookmarkEnd w:id="1"/>
                    <w:p w14:paraId="5A9BBCDA" w14:textId="07336CE1" w:rsidR="00F93785" w:rsidRDefault="00AC626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FERNANDO BEULO LÓPEZ ARIAS</w:t>
                      </w:r>
                    </w:p>
                    <w:p w14:paraId="35068D0D" w14:textId="2B860D25" w:rsidR="00F93785" w:rsidRPr="0010736F" w:rsidRDefault="00F9378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w:t>
                      </w:r>
                      <w:r w:rsidR="00712C03">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XICO</w:t>
                      </w:r>
                    </w:p>
                    <w:p w14:paraId="575DFD52" w14:textId="77777777" w:rsidR="00F93785" w:rsidRPr="00AE5488" w:rsidRDefault="00F93785" w:rsidP="007A5817">
                      <w:pPr>
                        <w:rPr>
                          <w:color w:val="0D0D0D" w:themeColor="text1" w:themeTint="F2"/>
                          <w:lang w:val="es-ES_tradnl"/>
                        </w:rPr>
                      </w:pPr>
                    </w:p>
                  </w:txbxContent>
                </v:textbox>
              </v:shape>
            </w:pict>
          </mc:Fallback>
        </mc:AlternateContent>
      </w:r>
      <w:r w:rsidR="004E2649" w:rsidRPr="00C2052D">
        <w:rPr>
          <w:rFonts w:ascii="Cambria" w:hAnsi="Cambria"/>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521BBE6" w:rsidR="00F93785" w:rsidRPr="007E6688" w:rsidRDefault="00F93785" w:rsidP="007A5817">
                            <w:pPr>
                              <w:spacing w:line="276" w:lineRule="auto"/>
                              <w:jc w:val="right"/>
                              <w:rPr>
                                <w:rFonts w:asciiTheme="minorHAnsi" w:hAnsiTheme="minorHAnsi"/>
                                <w:color w:val="FFFFFF" w:themeColor="background1"/>
                                <w:sz w:val="22"/>
                                <w:lang w:val="pt-BR"/>
                              </w:rPr>
                            </w:pPr>
                            <w:r w:rsidRPr="007E6688">
                              <w:rPr>
                                <w:rFonts w:asciiTheme="minorHAnsi" w:hAnsiTheme="minorHAnsi"/>
                                <w:color w:val="FFFFFF" w:themeColor="background1"/>
                                <w:sz w:val="22"/>
                                <w:lang w:val="pt-BR"/>
                              </w:rPr>
                              <w:t>OEA/Ser.L/V/II</w:t>
                            </w:r>
                          </w:p>
                          <w:p w14:paraId="6A41611B" w14:textId="6363C3FA" w:rsidR="00F93785" w:rsidRPr="007E6688" w:rsidRDefault="00F93785" w:rsidP="007A5817">
                            <w:pPr>
                              <w:spacing w:line="276" w:lineRule="auto"/>
                              <w:jc w:val="right"/>
                              <w:rPr>
                                <w:rFonts w:asciiTheme="minorHAnsi" w:hAnsiTheme="minorHAnsi"/>
                                <w:color w:val="FFFFFF" w:themeColor="background1"/>
                                <w:sz w:val="22"/>
                                <w:lang w:val="pt-BR"/>
                              </w:rPr>
                            </w:pPr>
                            <w:r w:rsidRPr="007E6688">
                              <w:rPr>
                                <w:rFonts w:asciiTheme="minorHAnsi" w:hAnsiTheme="minorHAnsi"/>
                                <w:color w:val="FFFFFF" w:themeColor="background1"/>
                                <w:sz w:val="22"/>
                                <w:lang w:val="pt-BR"/>
                              </w:rPr>
                              <w:t xml:space="preserve">Doc. </w:t>
                            </w:r>
                            <w:r w:rsidR="00712C03">
                              <w:rPr>
                                <w:rFonts w:asciiTheme="minorHAnsi" w:hAnsiTheme="minorHAnsi"/>
                                <w:color w:val="FFFFFF" w:themeColor="background1"/>
                                <w:sz w:val="22"/>
                                <w:lang w:val="pt-BR"/>
                              </w:rPr>
                              <w:t>194</w:t>
                            </w:r>
                          </w:p>
                          <w:p w14:paraId="69373ED2" w14:textId="26282549" w:rsidR="00F93785" w:rsidRPr="00046910" w:rsidRDefault="00712C03" w:rsidP="007A5817">
                            <w:pPr>
                              <w:spacing w:line="276" w:lineRule="auto"/>
                              <w:jc w:val="right"/>
                              <w:rPr>
                                <w:rFonts w:asciiTheme="minorHAnsi" w:hAnsiTheme="minorHAnsi"/>
                                <w:color w:val="FFFFFF" w:themeColor="background1"/>
                                <w:sz w:val="22"/>
                                <w:lang w:val="pt-BR"/>
                              </w:rPr>
                            </w:pPr>
                            <w:r w:rsidRPr="00046910">
                              <w:rPr>
                                <w:rFonts w:asciiTheme="minorHAnsi" w:hAnsiTheme="minorHAnsi"/>
                                <w:color w:val="FFFFFF" w:themeColor="background1"/>
                                <w:sz w:val="22"/>
                                <w:lang w:val="pt-BR"/>
                              </w:rPr>
                              <w:t>30 agosto</w:t>
                            </w:r>
                            <w:r w:rsidR="00F93785" w:rsidRPr="00046910">
                              <w:rPr>
                                <w:rFonts w:asciiTheme="minorHAnsi" w:hAnsiTheme="minorHAnsi"/>
                                <w:color w:val="FFFFFF" w:themeColor="background1"/>
                                <w:sz w:val="22"/>
                                <w:lang w:val="pt-BR"/>
                              </w:rPr>
                              <w:t xml:space="preserve"> 2</w:t>
                            </w:r>
                            <w:r w:rsidR="00AC6264" w:rsidRPr="00046910">
                              <w:rPr>
                                <w:rFonts w:asciiTheme="minorHAnsi" w:hAnsiTheme="minorHAnsi"/>
                                <w:color w:val="FFFFFF" w:themeColor="background1"/>
                                <w:sz w:val="22"/>
                                <w:lang w:val="pt-BR"/>
                              </w:rPr>
                              <w:t>021</w:t>
                            </w:r>
                          </w:p>
                          <w:p w14:paraId="0771DB5B" w14:textId="77777777" w:rsidR="00F93785" w:rsidRPr="001B4C00" w:rsidRDefault="00F93785"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521BBE6" w:rsidR="00F93785" w:rsidRPr="007E6688" w:rsidRDefault="00F93785" w:rsidP="007A5817">
                      <w:pPr>
                        <w:spacing w:line="276" w:lineRule="auto"/>
                        <w:jc w:val="right"/>
                        <w:rPr>
                          <w:rFonts w:asciiTheme="minorHAnsi" w:hAnsiTheme="minorHAnsi"/>
                          <w:color w:val="FFFFFF" w:themeColor="background1"/>
                          <w:sz w:val="22"/>
                          <w:lang w:val="pt-BR"/>
                        </w:rPr>
                      </w:pPr>
                      <w:r w:rsidRPr="007E6688">
                        <w:rPr>
                          <w:rFonts w:asciiTheme="minorHAnsi" w:hAnsiTheme="minorHAnsi"/>
                          <w:color w:val="FFFFFF" w:themeColor="background1"/>
                          <w:sz w:val="22"/>
                          <w:lang w:val="pt-BR"/>
                        </w:rPr>
                        <w:t>OEA/Ser.L/V/II</w:t>
                      </w:r>
                    </w:p>
                    <w:p w14:paraId="6A41611B" w14:textId="6363C3FA" w:rsidR="00F93785" w:rsidRPr="007E6688" w:rsidRDefault="00F93785" w:rsidP="007A5817">
                      <w:pPr>
                        <w:spacing w:line="276" w:lineRule="auto"/>
                        <w:jc w:val="right"/>
                        <w:rPr>
                          <w:rFonts w:asciiTheme="minorHAnsi" w:hAnsiTheme="minorHAnsi"/>
                          <w:color w:val="FFFFFF" w:themeColor="background1"/>
                          <w:sz w:val="22"/>
                          <w:lang w:val="pt-BR"/>
                        </w:rPr>
                      </w:pPr>
                      <w:r w:rsidRPr="007E6688">
                        <w:rPr>
                          <w:rFonts w:asciiTheme="minorHAnsi" w:hAnsiTheme="minorHAnsi"/>
                          <w:color w:val="FFFFFF" w:themeColor="background1"/>
                          <w:sz w:val="22"/>
                          <w:lang w:val="pt-BR"/>
                        </w:rPr>
                        <w:t xml:space="preserve">Doc. </w:t>
                      </w:r>
                      <w:r w:rsidR="00712C03">
                        <w:rPr>
                          <w:rFonts w:asciiTheme="minorHAnsi" w:hAnsiTheme="minorHAnsi"/>
                          <w:color w:val="FFFFFF" w:themeColor="background1"/>
                          <w:sz w:val="22"/>
                          <w:lang w:val="pt-BR"/>
                        </w:rPr>
                        <w:t>194</w:t>
                      </w:r>
                    </w:p>
                    <w:p w14:paraId="69373ED2" w14:textId="26282549" w:rsidR="00F93785" w:rsidRPr="00046910" w:rsidRDefault="00712C03" w:rsidP="007A5817">
                      <w:pPr>
                        <w:spacing w:line="276" w:lineRule="auto"/>
                        <w:jc w:val="right"/>
                        <w:rPr>
                          <w:rFonts w:asciiTheme="minorHAnsi" w:hAnsiTheme="minorHAnsi"/>
                          <w:color w:val="FFFFFF" w:themeColor="background1"/>
                          <w:sz w:val="22"/>
                          <w:lang w:val="pt-BR"/>
                        </w:rPr>
                      </w:pPr>
                      <w:r w:rsidRPr="00046910">
                        <w:rPr>
                          <w:rFonts w:asciiTheme="minorHAnsi" w:hAnsiTheme="minorHAnsi"/>
                          <w:color w:val="FFFFFF" w:themeColor="background1"/>
                          <w:sz w:val="22"/>
                          <w:lang w:val="pt-BR"/>
                        </w:rPr>
                        <w:t>30 agosto</w:t>
                      </w:r>
                      <w:r w:rsidR="00F93785" w:rsidRPr="00046910">
                        <w:rPr>
                          <w:rFonts w:asciiTheme="minorHAnsi" w:hAnsiTheme="minorHAnsi"/>
                          <w:color w:val="FFFFFF" w:themeColor="background1"/>
                          <w:sz w:val="22"/>
                          <w:lang w:val="pt-BR"/>
                        </w:rPr>
                        <w:t xml:space="preserve"> 2</w:t>
                      </w:r>
                      <w:r w:rsidR="00AC6264" w:rsidRPr="00046910">
                        <w:rPr>
                          <w:rFonts w:asciiTheme="minorHAnsi" w:hAnsiTheme="minorHAnsi"/>
                          <w:color w:val="FFFFFF" w:themeColor="background1"/>
                          <w:sz w:val="22"/>
                          <w:lang w:val="pt-BR"/>
                        </w:rPr>
                        <w:t>021</w:t>
                      </w:r>
                    </w:p>
                    <w:p w14:paraId="0771DB5B" w14:textId="77777777" w:rsidR="00F93785" w:rsidRPr="001B4C00" w:rsidRDefault="00F93785"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C2052D" w:rsidRDefault="00040C3A" w:rsidP="00040C3A">
      <w:pPr>
        <w:tabs>
          <w:tab w:val="center" w:pos="5400"/>
        </w:tabs>
        <w:suppressAutoHyphens/>
        <w:jc w:val="center"/>
        <w:rPr>
          <w:rFonts w:ascii="Cambria" w:hAnsi="Cambria"/>
          <w:sz w:val="22"/>
          <w:szCs w:val="22"/>
          <w:lang w:val="es-ES"/>
        </w:rPr>
      </w:pPr>
    </w:p>
    <w:p w14:paraId="5FE3AB87" w14:textId="77777777" w:rsidR="00040C3A" w:rsidRPr="00C2052D" w:rsidRDefault="00040C3A" w:rsidP="00040C3A">
      <w:pPr>
        <w:tabs>
          <w:tab w:val="center" w:pos="5400"/>
        </w:tabs>
        <w:suppressAutoHyphens/>
        <w:jc w:val="center"/>
        <w:rPr>
          <w:rFonts w:ascii="Cambria" w:hAnsi="Cambria"/>
          <w:sz w:val="22"/>
          <w:szCs w:val="22"/>
          <w:lang w:val="es-ES"/>
        </w:rPr>
      </w:pPr>
    </w:p>
    <w:p w14:paraId="3C383BC0" w14:textId="77777777" w:rsidR="00040C3A" w:rsidRPr="00C2052D" w:rsidRDefault="00040C3A" w:rsidP="00040C3A">
      <w:pPr>
        <w:tabs>
          <w:tab w:val="center" w:pos="5400"/>
        </w:tabs>
        <w:suppressAutoHyphens/>
        <w:jc w:val="center"/>
        <w:rPr>
          <w:rFonts w:ascii="Cambria" w:hAnsi="Cambria" w:cs="Arial"/>
          <w:sz w:val="22"/>
          <w:szCs w:val="22"/>
          <w:lang w:val="es-ES"/>
        </w:rPr>
      </w:pPr>
    </w:p>
    <w:p w14:paraId="54590931" w14:textId="77777777" w:rsidR="00040C3A" w:rsidRPr="00C2052D" w:rsidRDefault="00040C3A" w:rsidP="00040C3A">
      <w:pPr>
        <w:tabs>
          <w:tab w:val="center" w:pos="5400"/>
        </w:tabs>
        <w:suppressAutoHyphens/>
        <w:jc w:val="center"/>
        <w:rPr>
          <w:rFonts w:ascii="Cambria" w:hAnsi="Cambria"/>
          <w:sz w:val="22"/>
          <w:szCs w:val="22"/>
          <w:lang w:val="es-ES"/>
        </w:rPr>
      </w:pPr>
    </w:p>
    <w:p w14:paraId="76C291D6" w14:textId="77777777" w:rsidR="00040C3A" w:rsidRPr="00C2052D" w:rsidRDefault="00040C3A" w:rsidP="00040C3A">
      <w:pPr>
        <w:tabs>
          <w:tab w:val="center" w:pos="5400"/>
        </w:tabs>
        <w:suppressAutoHyphens/>
        <w:jc w:val="center"/>
        <w:rPr>
          <w:rFonts w:ascii="Cambria" w:hAnsi="Cambria"/>
          <w:sz w:val="22"/>
          <w:szCs w:val="22"/>
          <w:lang w:val="es-ES"/>
        </w:rPr>
      </w:pPr>
    </w:p>
    <w:p w14:paraId="2161B44F" w14:textId="77777777" w:rsidR="00040C3A" w:rsidRPr="00C2052D" w:rsidRDefault="00040C3A" w:rsidP="00040C3A">
      <w:pPr>
        <w:tabs>
          <w:tab w:val="center" w:pos="5400"/>
        </w:tabs>
        <w:suppressAutoHyphens/>
        <w:jc w:val="center"/>
        <w:rPr>
          <w:rFonts w:ascii="Cambria" w:hAnsi="Cambria"/>
          <w:sz w:val="22"/>
          <w:szCs w:val="22"/>
          <w:lang w:val="es-ES"/>
        </w:rPr>
      </w:pPr>
    </w:p>
    <w:p w14:paraId="3C4EEE07" w14:textId="77777777" w:rsidR="00040C3A" w:rsidRPr="00C2052D" w:rsidRDefault="00040C3A" w:rsidP="00040C3A">
      <w:pPr>
        <w:tabs>
          <w:tab w:val="center" w:pos="5400"/>
        </w:tabs>
        <w:suppressAutoHyphens/>
        <w:jc w:val="center"/>
        <w:rPr>
          <w:rFonts w:ascii="Cambria" w:hAnsi="Cambria"/>
          <w:sz w:val="22"/>
          <w:szCs w:val="22"/>
          <w:lang w:val="es-ES"/>
        </w:rPr>
      </w:pPr>
    </w:p>
    <w:p w14:paraId="3B0E4647" w14:textId="77777777" w:rsidR="005128E4" w:rsidRPr="00C2052D" w:rsidRDefault="005128E4" w:rsidP="00040C3A">
      <w:pPr>
        <w:tabs>
          <w:tab w:val="center" w:pos="5400"/>
        </w:tabs>
        <w:suppressAutoHyphens/>
        <w:jc w:val="center"/>
        <w:rPr>
          <w:rFonts w:ascii="Cambria" w:hAnsi="Cambria"/>
          <w:sz w:val="22"/>
          <w:szCs w:val="22"/>
          <w:lang w:val="es-ES"/>
        </w:rPr>
      </w:pPr>
    </w:p>
    <w:p w14:paraId="2DAAF36D" w14:textId="77777777" w:rsidR="00040C3A" w:rsidRPr="00C2052D" w:rsidRDefault="00040C3A" w:rsidP="00040C3A">
      <w:pPr>
        <w:tabs>
          <w:tab w:val="center" w:pos="5400"/>
        </w:tabs>
        <w:suppressAutoHyphens/>
        <w:jc w:val="center"/>
        <w:rPr>
          <w:rFonts w:ascii="Cambria" w:hAnsi="Cambria"/>
          <w:sz w:val="22"/>
          <w:szCs w:val="22"/>
          <w:lang w:val="es-ES"/>
        </w:rPr>
      </w:pPr>
    </w:p>
    <w:p w14:paraId="12496A14" w14:textId="77777777" w:rsidR="005128E4" w:rsidRPr="00C2052D" w:rsidRDefault="005128E4" w:rsidP="00040C3A">
      <w:pPr>
        <w:tabs>
          <w:tab w:val="center" w:pos="5400"/>
        </w:tabs>
        <w:suppressAutoHyphens/>
        <w:jc w:val="center"/>
        <w:rPr>
          <w:rFonts w:ascii="Cambria" w:hAnsi="Cambria"/>
          <w:sz w:val="22"/>
          <w:szCs w:val="22"/>
          <w:lang w:val="es-ES"/>
        </w:rPr>
      </w:pPr>
    </w:p>
    <w:p w14:paraId="25772DB3" w14:textId="77777777" w:rsidR="005128E4" w:rsidRPr="00C2052D" w:rsidRDefault="005128E4" w:rsidP="00040C3A">
      <w:pPr>
        <w:tabs>
          <w:tab w:val="center" w:pos="5400"/>
        </w:tabs>
        <w:suppressAutoHyphens/>
        <w:jc w:val="center"/>
        <w:rPr>
          <w:rFonts w:ascii="Cambria" w:hAnsi="Cambria"/>
          <w:sz w:val="22"/>
          <w:szCs w:val="22"/>
          <w:lang w:val="es-ES"/>
        </w:rPr>
      </w:pPr>
    </w:p>
    <w:p w14:paraId="6820FADA" w14:textId="77777777" w:rsidR="005128E4" w:rsidRPr="00C2052D" w:rsidRDefault="005128E4" w:rsidP="00040C3A">
      <w:pPr>
        <w:tabs>
          <w:tab w:val="center" w:pos="5400"/>
        </w:tabs>
        <w:suppressAutoHyphens/>
        <w:jc w:val="center"/>
        <w:rPr>
          <w:rFonts w:ascii="Cambria" w:hAnsi="Cambria"/>
          <w:sz w:val="22"/>
          <w:szCs w:val="22"/>
          <w:lang w:val="es-ES"/>
        </w:rPr>
      </w:pPr>
    </w:p>
    <w:p w14:paraId="54445A55" w14:textId="77777777" w:rsidR="00040C3A" w:rsidRPr="00C2052D" w:rsidRDefault="00040C3A" w:rsidP="00040C3A">
      <w:pPr>
        <w:tabs>
          <w:tab w:val="center" w:pos="5400"/>
        </w:tabs>
        <w:suppressAutoHyphens/>
        <w:jc w:val="center"/>
        <w:rPr>
          <w:rFonts w:ascii="Cambria" w:hAnsi="Cambria"/>
          <w:sz w:val="22"/>
          <w:szCs w:val="22"/>
          <w:lang w:val="es-ES"/>
        </w:rPr>
      </w:pPr>
    </w:p>
    <w:p w14:paraId="5D4A4040" w14:textId="77777777" w:rsidR="00040C3A" w:rsidRPr="00C2052D" w:rsidRDefault="00040C3A" w:rsidP="00040C3A">
      <w:pPr>
        <w:tabs>
          <w:tab w:val="center" w:pos="5400"/>
        </w:tabs>
        <w:suppressAutoHyphens/>
        <w:jc w:val="center"/>
        <w:rPr>
          <w:rFonts w:ascii="Cambria" w:hAnsi="Cambria"/>
          <w:sz w:val="22"/>
          <w:szCs w:val="22"/>
          <w:lang w:val="es-ES"/>
        </w:rPr>
      </w:pPr>
    </w:p>
    <w:p w14:paraId="048FBB22" w14:textId="77777777" w:rsidR="00A50FCF" w:rsidRPr="00C2052D" w:rsidRDefault="00A50FCF" w:rsidP="00040C3A">
      <w:pPr>
        <w:tabs>
          <w:tab w:val="center" w:pos="5400"/>
        </w:tabs>
        <w:suppressAutoHyphens/>
        <w:jc w:val="center"/>
        <w:rPr>
          <w:rFonts w:ascii="Cambria" w:hAnsi="Cambria"/>
          <w:sz w:val="18"/>
          <w:szCs w:val="22"/>
          <w:lang w:val="es-ES"/>
        </w:rPr>
      </w:pPr>
    </w:p>
    <w:p w14:paraId="190ABFB3" w14:textId="77777777" w:rsidR="00A50FCF" w:rsidRPr="00C2052D" w:rsidRDefault="00A50FCF" w:rsidP="00040C3A">
      <w:pPr>
        <w:tabs>
          <w:tab w:val="center" w:pos="5400"/>
        </w:tabs>
        <w:suppressAutoHyphens/>
        <w:jc w:val="center"/>
        <w:rPr>
          <w:rFonts w:ascii="Cambria" w:hAnsi="Cambria"/>
          <w:sz w:val="18"/>
          <w:szCs w:val="22"/>
          <w:lang w:val="es-ES"/>
        </w:rPr>
      </w:pPr>
    </w:p>
    <w:p w14:paraId="4C690048" w14:textId="77777777" w:rsidR="00A50FCF" w:rsidRPr="00C2052D" w:rsidRDefault="00A50FCF" w:rsidP="00040C3A">
      <w:pPr>
        <w:tabs>
          <w:tab w:val="center" w:pos="5400"/>
        </w:tabs>
        <w:suppressAutoHyphens/>
        <w:jc w:val="center"/>
        <w:rPr>
          <w:rFonts w:ascii="Cambria" w:hAnsi="Cambria"/>
          <w:sz w:val="18"/>
          <w:szCs w:val="22"/>
          <w:lang w:val="es-ES"/>
        </w:rPr>
      </w:pPr>
    </w:p>
    <w:p w14:paraId="733CA438" w14:textId="77777777" w:rsidR="00A50FCF" w:rsidRPr="00C2052D" w:rsidRDefault="00A50FCF" w:rsidP="00040C3A">
      <w:pPr>
        <w:tabs>
          <w:tab w:val="center" w:pos="5400"/>
        </w:tabs>
        <w:suppressAutoHyphens/>
        <w:jc w:val="center"/>
        <w:rPr>
          <w:rFonts w:ascii="Cambria" w:hAnsi="Cambria"/>
          <w:sz w:val="18"/>
          <w:szCs w:val="22"/>
          <w:lang w:val="es-ES"/>
        </w:rPr>
      </w:pPr>
    </w:p>
    <w:p w14:paraId="7874DEEB" w14:textId="77777777" w:rsidR="00A50FCF" w:rsidRPr="00C2052D" w:rsidRDefault="00A50FCF" w:rsidP="00040C3A">
      <w:pPr>
        <w:tabs>
          <w:tab w:val="center" w:pos="5400"/>
        </w:tabs>
        <w:suppressAutoHyphens/>
        <w:jc w:val="center"/>
        <w:rPr>
          <w:rFonts w:ascii="Cambria" w:hAnsi="Cambria"/>
          <w:sz w:val="18"/>
          <w:szCs w:val="22"/>
          <w:lang w:val="es-ES"/>
        </w:rPr>
      </w:pPr>
    </w:p>
    <w:p w14:paraId="3698D0D6" w14:textId="77777777" w:rsidR="00A50FCF" w:rsidRPr="00C2052D" w:rsidRDefault="00A50FCF" w:rsidP="00040C3A">
      <w:pPr>
        <w:tabs>
          <w:tab w:val="center" w:pos="5400"/>
        </w:tabs>
        <w:suppressAutoHyphens/>
        <w:jc w:val="center"/>
        <w:rPr>
          <w:rFonts w:ascii="Cambria" w:hAnsi="Cambria"/>
          <w:sz w:val="18"/>
          <w:szCs w:val="22"/>
          <w:lang w:val="es-ES"/>
        </w:rPr>
      </w:pPr>
    </w:p>
    <w:p w14:paraId="1F907823" w14:textId="77777777" w:rsidR="00A50FCF" w:rsidRPr="00C2052D" w:rsidRDefault="00A50FCF" w:rsidP="00040C3A">
      <w:pPr>
        <w:tabs>
          <w:tab w:val="center" w:pos="5400"/>
        </w:tabs>
        <w:suppressAutoHyphens/>
        <w:jc w:val="center"/>
        <w:rPr>
          <w:rFonts w:ascii="Cambria" w:hAnsi="Cambria"/>
          <w:sz w:val="18"/>
          <w:szCs w:val="22"/>
          <w:lang w:val="es-ES"/>
        </w:rPr>
      </w:pPr>
    </w:p>
    <w:p w14:paraId="045D9AC1" w14:textId="77777777" w:rsidR="00A50FCF" w:rsidRPr="00C2052D" w:rsidRDefault="00A50FCF" w:rsidP="00040C3A">
      <w:pPr>
        <w:tabs>
          <w:tab w:val="center" w:pos="5400"/>
        </w:tabs>
        <w:suppressAutoHyphens/>
        <w:jc w:val="center"/>
        <w:rPr>
          <w:rFonts w:ascii="Cambria" w:hAnsi="Cambria"/>
          <w:sz w:val="18"/>
          <w:szCs w:val="22"/>
          <w:lang w:val="es-ES"/>
        </w:rPr>
      </w:pPr>
    </w:p>
    <w:p w14:paraId="16068EE5" w14:textId="77777777" w:rsidR="00A50FCF" w:rsidRPr="00C2052D" w:rsidRDefault="00A50FCF" w:rsidP="00040C3A">
      <w:pPr>
        <w:tabs>
          <w:tab w:val="center" w:pos="5400"/>
        </w:tabs>
        <w:suppressAutoHyphens/>
        <w:jc w:val="center"/>
        <w:rPr>
          <w:rFonts w:ascii="Cambria" w:hAnsi="Cambria"/>
          <w:sz w:val="18"/>
          <w:szCs w:val="22"/>
          <w:lang w:val="es-ES"/>
        </w:rPr>
      </w:pPr>
    </w:p>
    <w:p w14:paraId="14A4A430" w14:textId="77777777" w:rsidR="00A50FCF" w:rsidRPr="00C2052D" w:rsidRDefault="00A50FCF" w:rsidP="00040C3A">
      <w:pPr>
        <w:tabs>
          <w:tab w:val="center" w:pos="5400"/>
        </w:tabs>
        <w:suppressAutoHyphens/>
        <w:jc w:val="center"/>
        <w:rPr>
          <w:rFonts w:ascii="Cambria" w:hAnsi="Cambria"/>
          <w:sz w:val="18"/>
          <w:szCs w:val="22"/>
          <w:lang w:val="es-ES"/>
        </w:rPr>
      </w:pPr>
    </w:p>
    <w:p w14:paraId="0B3B735F" w14:textId="77777777" w:rsidR="00A50FCF" w:rsidRPr="00C2052D" w:rsidRDefault="00A50FCF" w:rsidP="00040C3A">
      <w:pPr>
        <w:tabs>
          <w:tab w:val="center" w:pos="5400"/>
        </w:tabs>
        <w:suppressAutoHyphens/>
        <w:jc w:val="center"/>
        <w:rPr>
          <w:rFonts w:ascii="Cambria" w:hAnsi="Cambria"/>
          <w:sz w:val="18"/>
          <w:szCs w:val="22"/>
          <w:lang w:val="es-ES"/>
        </w:rPr>
      </w:pPr>
    </w:p>
    <w:p w14:paraId="02C5C441" w14:textId="77777777" w:rsidR="00A50FCF" w:rsidRPr="00C2052D" w:rsidRDefault="00A50FCF" w:rsidP="00040C3A">
      <w:pPr>
        <w:tabs>
          <w:tab w:val="center" w:pos="5400"/>
        </w:tabs>
        <w:suppressAutoHyphens/>
        <w:jc w:val="center"/>
        <w:rPr>
          <w:rFonts w:ascii="Cambria" w:hAnsi="Cambria"/>
          <w:sz w:val="18"/>
          <w:szCs w:val="22"/>
          <w:lang w:val="es-ES"/>
        </w:rPr>
      </w:pPr>
    </w:p>
    <w:p w14:paraId="7806A2B0" w14:textId="77777777" w:rsidR="00A50FCF" w:rsidRPr="00C2052D" w:rsidRDefault="00A50FCF" w:rsidP="00040C3A">
      <w:pPr>
        <w:tabs>
          <w:tab w:val="center" w:pos="5400"/>
        </w:tabs>
        <w:suppressAutoHyphens/>
        <w:jc w:val="center"/>
        <w:rPr>
          <w:rFonts w:ascii="Cambria" w:hAnsi="Cambria"/>
          <w:sz w:val="18"/>
          <w:szCs w:val="22"/>
          <w:lang w:val="es-ES"/>
        </w:rPr>
      </w:pPr>
    </w:p>
    <w:p w14:paraId="319C392B" w14:textId="77777777" w:rsidR="00A50FCF" w:rsidRPr="00C2052D" w:rsidRDefault="00A50FCF" w:rsidP="00040C3A">
      <w:pPr>
        <w:tabs>
          <w:tab w:val="center" w:pos="5400"/>
        </w:tabs>
        <w:suppressAutoHyphens/>
        <w:jc w:val="center"/>
        <w:rPr>
          <w:rFonts w:ascii="Cambria" w:hAnsi="Cambria"/>
          <w:sz w:val="18"/>
          <w:szCs w:val="22"/>
          <w:lang w:val="es-ES"/>
        </w:rPr>
      </w:pPr>
    </w:p>
    <w:p w14:paraId="514A0182" w14:textId="77777777" w:rsidR="00A50FCF" w:rsidRPr="00C2052D" w:rsidRDefault="0090270B" w:rsidP="00040C3A">
      <w:pPr>
        <w:tabs>
          <w:tab w:val="center" w:pos="5400"/>
        </w:tabs>
        <w:suppressAutoHyphens/>
        <w:jc w:val="center"/>
        <w:rPr>
          <w:rFonts w:ascii="Cambria" w:hAnsi="Cambria"/>
          <w:sz w:val="18"/>
          <w:szCs w:val="22"/>
          <w:lang w:val="es-ES"/>
        </w:rPr>
      </w:pPr>
      <w:r w:rsidRPr="00C2052D">
        <w:rPr>
          <w:rFonts w:ascii="Cambria" w:hAnsi="Cambria"/>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020AEBA" w:rsidR="00F93785" w:rsidRPr="00890650" w:rsidRDefault="00F93785"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12C03">
                              <w:rPr>
                                <w:rFonts w:asciiTheme="majorHAnsi" w:hAnsiTheme="majorHAnsi"/>
                                <w:color w:val="0D0D0D" w:themeColor="text1" w:themeTint="F2"/>
                                <w:sz w:val="18"/>
                                <w:szCs w:val="22"/>
                                <w:lang w:val="es-ES"/>
                              </w:rPr>
                              <w:t>30</w:t>
                            </w:r>
                            <w:r w:rsidRPr="00890650">
                              <w:rPr>
                                <w:rFonts w:asciiTheme="majorHAnsi" w:hAnsiTheme="majorHAnsi"/>
                                <w:color w:val="0D0D0D" w:themeColor="text1" w:themeTint="F2"/>
                                <w:sz w:val="18"/>
                                <w:szCs w:val="22"/>
                                <w:lang w:val="es-ES"/>
                              </w:rPr>
                              <w:t xml:space="preserve"> de </w:t>
                            </w:r>
                            <w:r w:rsidR="00712C03">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712C03">
                              <w:rPr>
                                <w:rFonts w:asciiTheme="majorHAnsi" w:hAnsiTheme="majorHAnsi"/>
                                <w:color w:val="0D0D0D" w:themeColor="text1" w:themeTint="F2"/>
                                <w:sz w:val="18"/>
                                <w:szCs w:val="22"/>
                                <w:lang w:val="es-ES"/>
                              </w:rPr>
                              <w:t>2021</w:t>
                            </w:r>
                            <w:r w:rsidR="00134EA3">
                              <w:rPr>
                                <w:rFonts w:asciiTheme="majorHAnsi" w:hAnsiTheme="majorHAnsi"/>
                                <w:color w:val="0D0D0D" w:themeColor="text1" w:themeTint="F2"/>
                                <w:sz w:val="18"/>
                                <w:szCs w:val="22"/>
                                <w:lang w:val="es-ES"/>
                              </w:rPr>
                              <w:t>.</w:t>
                            </w:r>
                          </w:p>
                          <w:p w14:paraId="4BDF3581" w14:textId="77777777" w:rsidR="00F93785" w:rsidRPr="007A5817" w:rsidRDefault="00F93785"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93785" w:rsidRPr="00167A34" w:rsidRDefault="00F93785"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0020AEBA" w:rsidR="00F93785" w:rsidRPr="00890650" w:rsidRDefault="00F93785"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12C03">
                        <w:rPr>
                          <w:rFonts w:asciiTheme="majorHAnsi" w:hAnsiTheme="majorHAnsi"/>
                          <w:color w:val="0D0D0D" w:themeColor="text1" w:themeTint="F2"/>
                          <w:sz w:val="18"/>
                          <w:szCs w:val="22"/>
                          <w:lang w:val="es-ES"/>
                        </w:rPr>
                        <w:t>30</w:t>
                      </w:r>
                      <w:r w:rsidRPr="00890650">
                        <w:rPr>
                          <w:rFonts w:asciiTheme="majorHAnsi" w:hAnsiTheme="majorHAnsi"/>
                          <w:color w:val="0D0D0D" w:themeColor="text1" w:themeTint="F2"/>
                          <w:sz w:val="18"/>
                          <w:szCs w:val="22"/>
                          <w:lang w:val="es-ES"/>
                        </w:rPr>
                        <w:t xml:space="preserve"> de </w:t>
                      </w:r>
                      <w:r w:rsidR="00712C03">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712C03">
                        <w:rPr>
                          <w:rFonts w:asciiTheme="majorHAnsi" w:hAnsiTheme="majorHAnsi"/>
                          <w:color w:val="0D0D0D" w:themeColor="text1" w:themeTint="F2"/>
                          <w:sz w:val="18"/>
                          <w:szCs w:val="22"/>
                          <w:lang w:val="es-ES"/>
                        </w:rPr>
                        <w:t>2021</w:t>
                      </w:r>
                      <w:r w:rsidR="00134EA3">
                        <w:rPr>
                          <w:rFonts w:asciiTheme="majorHAnsi" w:hAnsiTheme="majorHAnsi"/>
                          <w:color w:val="0D0D0D" w:themeColor="text1" w:themeTint="F2"/>
                          <w:sz w:val="18"/>
                          <w:szCs w:val="22"/>
                          <w:lang w:val="es-ES"/>
                        </w:rPr>
                        <w:t>.</w:t>
                      </w:r>
                    </w:p>
                    <w:p w14:paraId="4BDF3581" w14:textId="77777777" w:rsidR="00F93785" w:rsidRPr="007A5817" w:rsidRDefault="00F93785"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93785" w:rsidRPr="00167A34" w:rsidRDefault="00F93785"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C2052D" w:rsidRDefault="00A50FCF" w:rsidP="00040C3A">
      <w:pPr>
        <w:tabs>
          <w:tab w:val="center" w:pos="5400"/>
        </w:tabs>
        <w:suppressAutoHyphens/>
        <w:jc w:val="center"/>
        <w:rPr>
          <w:rFonts w:ascii="Cambria" w:hAnsi="Cambria"/>
          <w:sz w:val="18"/>
          <w:szCs w:val="22"/>
          <w:lang w:val="es-ES"/>
        </w:rPr>
      </w:pPr>
    </w:p>
    <w:p w14:paraId="7929D1FD" w14:textId="77777777" w:rsidR="00A50FCF" w:rsidRPr="00C2052D" w:rsidRDefault="00A50FCF" w:rsidP="00040C3A">
      <w:pPr>
        <w:tabs>
          <w:tab w:val="center" w:pos="5400"/>
        </w:tabs>
        <w:suppressAutoHyphens/>
        <w:jc w:val="center"/>
        <w:rPr>
          <w:rFonts w:ascii="Cambria" w:hAnsi="Cambria"/>
          <w:sz w:val="18"/>
          <w:szCs w:val="22"/>
          <w:lang w:val="es-ES"/>
        </w:rPr>
      </w:pPr>
    </w:p>
    <w:p w14:paraId="5469D0BE" w14:textId="77777777" w:rsidR="00A50FCF" w:rsidRPr="00C2052D" w:rsidRDefault="00A50FCF" w:rsidP="00040C3A">
      <w:pPr>
        <w:tabs>
          <w:tab w:val="center" w:pos="5400"/>
        </w:tabs>
        <w:suppressAutoHyphens/>
        <w:jc w:val="center"/>
        <w:rPr>
          <w:rFonts w:ascii="Cambria" w:hAnsi="Cambria"/>
          <w:sz w:val="18"/>
          <w:szCs w:val="22"/>
          <w:lang w:val="es-ES"/>
        </w:rPr>
      </w:pPr>
    </w:p>
    <w:p w14:paraId="7A79F059" w14:textId="77777777" w:rsidR="00A50FCF" w:rsidRPr="00C2052D" w:rsidRDefault="00A50FCF" w:rsidP="00040C3A">
      <w:pPr>
        <w:tabs>
          <w:tab w:val="center" w:pos="5400"/>
        </w:tabs>
        <w:suppressAutoHyphens/>
        <w:jc w:val="center"/>
        <w:rPr>
          <w:rFonts w:ascii="Cambria" w:hAnsi="Cambria"/>
          <w:sz w:val="18"/>
          <w:szCs w:val="22"/>
          <w:lang w:val="es-ES"/>
        </w:rPr>
      </w:pPr>
    </w:p>
    <w:p w14:paraId="330672AE" w14:textId="77777777" w:rsidR="00A50FCF" w:rsidRPr="00C2052D" w:rsidRDefault="0090270B" w:rsidP="00040C3A">
      <w:pPr>
        <w:tabs>
          <w:tab w:val="center" w:pos="5400"/>
        </w:tabs>
        <w:suppressAutoHyphens/>
        <w:jc w:val="center"/>
        <w:rPr>
          <w:rFonts w:ascii="Cambria" w:hAnsi="Cambria"/>
          <w:sz w:val="18"/>
          <w:szCs w:val="22"/>
          <w:lang w:val="es-ES"/>
        </w:rPr>
      </w:pPr>
      <w:r w:rsidRPr="00C2052D">
        <w:rPr>
          <w:rFonts w:ascii="Cambria" w:hAnsi="Cambria"/>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DD1599A" w:rsidR="00F93785" w:rsidRPr="007B05C4" w:rsidRDefault="00F93785"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12C03" w:rsidRPr="00712C03">
                              <w:rPr>
                                <w:rFonts w:asciiTheme="majorHAnsi" w:hAnsiTheme="majorHAnsi"/>
                                <w:color w:val="595959" w:themeColor="text1" w:themeTint="A6"/>
                                <w:sz w:val="18"/>
                                <w:szCs w:val="18"/>
                                <w:lang w:val="pt-BR"/>
                              </w:rPr>
                              <w:t>185</w:t>
                            </w:r>
                            <w:r w:rsidRPr="00712C03">
                              <w:rPr>
                                <w:rFonts w:asciiTheme="majorHAnsi" w:hAnsiTheme="majorHAnsi"/>
                                <w:color w:val="595959" w:themeColor="text1" w:themeTint="A6"/>
                                <w:sz w:val="18"/>
                                <w:szCs w:val="18"/>
                                <w:lang w:val="pt-BR"/>
                              </w:rPr>
                              <w:t>/</w:t>
                            </w:r>
                            <w:r w:rsidR="00712C03" w:rsidRPr="00712C03">
                              <w:rPr>
                                <w:rFonts w:asciiTheme="majorHAnsi" w:hAnsiTheme="majorHAnsi"/>
                                <w:color w:val="595959" w:themeColor="text1" w:themeTint="A6"/>
                                <w:sz w:val="18"/>
                                <w:szCs w:val="18"/>
                                <w:lang w:val="pt-BR"/>
                              </w:rPr>
                              <w:t>21</w:t>
                            </w:r>
                            <w:r w:rsidRPr="00712C03">
                              <w:rPr>
                                <w:rFonts w:asciiTheme="majorHAnsi" w:hAnsiTheme="majorHAnsi"/>
                                <w:color w:val="595959" w:themeColor="text1" w:themeTint="A6"/>
                                <w:sz w:val="18"/>
                                <w:szCs w:val="18"/>
                                <w:lang w:val="pt-BR"/>
                              </w:rPr>
                              <w:t xml:space="preserve">. </w:t>
                            </w:r>
                            <w:r w:rsidR="00134EA3">
                              <w:rPr>
                                <w:rFonts w:asciiTheme="majorHAnsi" w:hAnsiTheme="majorHAnsi"/>
                                <w:color w:val="595959" w:themeColor="text1" w:themeTint="A6"/>
                                <w:sz w:val="18"/>
                                <w:szCs w:val="18"/>
                                <w:lang w:val="pt-BR"/>
                              </w:rPr>
                              <w:t xml:space="preserve">Petición 294-11, </w:t>
                            </w:r>
                            <w:r w:rsidR="009424C5">
                              <w:rPr>
                                <w:rFonts w:asciiTheme="majorHAnsi" w:hAnsiTheme="majorHAnsi"/>
                                <w:color w:val="595959" w:themeColor="text1" w:themeTint="A6"/>
                                <w:sz w:val="18"/>
                                <w:szCs w:val="18"/>
                                <w:lang w:val="es-ES_tradnl"/>
                              </w:rPr>
                              <w:t>Inad</w:t>
                            </w:r>
                            <w:r w:rsidR="00743A4E">
                              <w:rPr>
                                <w:rFonts w:asciiTheme="majorHAnsi" w:hAnsiTheme="majorHAnsi"/>
                                <w:color w:val="595959" w:themeColor="text1" w:themeTint="A6"/>
                                <w:sz w:val="18"/>
                                <w:szCs w:val="18"/>
                                <w:lang w:val="es-ES_tradnl"/>
                              </w:rPr>
                              <w:t>misibilidad</w:t>
                            </w:r>
                            <w:r w:rsidRPr="00890650">
                              <w:rPr>
                                <w:rFonts w:asciiTheme="majorHAnsi" w:hAnsiTheme="majorHAnsi"/>
                                <w:color w:val="595959" w:themeColor="text1" w:themeTint="A6"/>
                                <w:sz w:val="18"/>
                                <w:szCs w:val="18"/>
                                <w:lang w:val="es-ES_tradnl"/>
                              </w:rPr>
                              <w:t xml:space="preserve">. </w:t>
                            </w:r>
                            <w:r w:rsidR="00AC6264">
                              <w:rPr>
                                <w:rFonts w:asciiTheme="majorHAnsi" w:hAnsiTheme="majorHAnsi"/>
                                <w:color w:val="595959" w:themeColor="text1" w:themeTint="A6"/>
                                <w:sz w:val="18"/>
                                <w:szCs w:val="18"/>
                                <w:lang w:val="es-ES_tradnl"/>
                              </w:rPr>
                              <w:t xml:space="preserve">Fernando </w:t>
                            </w:r>
                            <w:proofErr w:type="spellStart"/>
                            <w:r w:rsidR="00AC6264">
                              <w:rPr>
                                <w:rFonts w:asciiTheme="majorHAnsi" w:hAnsiTheme="majorHAnsi"/>
                                <w:color w:val="595959" w:themeColor="text1" w:themeTint="A6"/>
                                <w:sz w:val="18"/>
                                <w:szCs w:val="18"/>
                                <w:lang w:val="es-ES_tradnl"/>
                              </w:rPr>
                              <w:t>Beulo</w:t>
                            </w:r>
                            <w:proofErr w:type="spellEnd"/>
                            <w:r w:rsidR="00AC6264">
                              <w:rPr>
                                <w:rFonts w:asciiTheme="majorHAnsi" w:hAnsiTheme="majorHAnsi"/>
                                <w:color w:val="595959" w:themeColor="text1" w:themeTint="A6"/>
                                <w:sz w:val="18"/>
                                <w:szCs w:val="18"/>
                                <w:lang w:val="es-ES_tradnl"/>
                              </w:rPr>
                              <w:t xml:space="preserve"> López Arias</w:t>
                            </w:r>
                            <w:r w:rsidRPr="00890650">
                              <w:rPr>
                                <w:rFonts w:asciiTheme="majorHAnsi" w:hAnsiTheme="majorHAnsi"/>
                                <w:color w:val="595959" w:themeColor="text1" w:themeTint="A6"/>
                                <w:sz w:val="18"/>
                                <w:szCs w:val="18"/>
                                <w:lang w:val="es-ES_tradnl"/>
                              </w:rPr>
                              <w:t xml:space="preserve">. </w:t>
                            </w:r>
                            <w:r w:rsidR="00743A4E">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134EA3">
                              <w:rPr>
                                <w:rFonts w:asciiTheme="majorHAnsi" w:hAnsiTheme="majorHAnsi"/>
                                <w:color w:val="595959" w:themeColor="text1" w:themeTint="A6"/>
                                <w:sz w:val="18"/>
                                <w:szCs w:val="18"/>
                                <w:lang w:val="es-ES_tradnl"/>
                              </w:rPr>
                              <w:t xml:space="preserve"> </w:t>
                            </w:r>
                            <w:r w:rsidR="00712C03">
                              <w:rPr>
                                <w:rFonts w:asciiTheme="majorHAnsi" w:hAnsiTheme="majorHAnsi"/>
                                <w:color w:val="595959" w:themeColor="text1" w:themeTint="A6"/>
                                <w:sz w:val="18"/>
                                <w:szCs w:val="18"/>
                                <w:lang w:val="es-ES"/>
                              </w:rPr>
                              <w:t>30 de agosto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DD1599A" w:rsidR="00F93785" w:rsidRPr="007B05C4" w:rsidRDefault="00F93785"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12C03" w:rsidRPr="00712C03">
                        <w:rPr>
                          <w:rFonts w:asciiTheme="majorHAnsi" w:hAnsiTheme="majorHAnsi"/>
                          <w:color w:val="595959" w:themeColor="text1" w:themeTint="A6"/>
                          <w:sz w:val="18"/>
                          <w:szCs w:val="18"/>
                          <w:lang w:val="pt-BR"/>
                        </w:rPr>
                        <w:t>185</w:t>
                      </w:r>
                      <w:r w:rsidRPr="00712C03">
                        <w:rPr>
                          <w:rFonts w:asciiTheme="majorHAnsi" w:hAnsiTheme="majorHAnsi"/>
                          <w:color w:val="595959" w:themeColor="text1" w:themeTint="A6"/>
                          <w:sz w:val="18"/>
                          <w:szCs w:val="18"/>
                          <w:lang w:val="pt-BR"/>
                        </w:rPr>
                        <w:t>/</w:t>
                      </w:r>
                      <w:r w:rsidR="00712C03" w:rsidRPr="00712C03">
                        <w:rPr>
                          <w:rFonts w:asciiTheme="majorHAnsi" w:hAnsiTheme="majorHAnsi"/>
                          <w:color w:val="595959" w:themeColor="text1" w:themeTint="A6"/>
                          <w:sz w:val="18"/>
                          <w:szCs w:val="18"/>
                          <w:lang w:val="pt-BR"/>
                        </w:rPr>
                        <w:t>21</w:t>
                      </w:r>
                      <w:r w:rsidRPr="00712C03">
                        <w:rPr>
                          <w:rFonts w:asciiTheme="majorHAnsi" w:hAnsiTheme="majorHAnsi"/>
                          <w:color w:val="595959" w:themeColor="text1" w:themeTint="A6"/>
                          <w:sz w:val="18"/>
                          <w:szCs w:val="18"/>
                          <w:lang w:val="pt-BR"/>
                        </w:rPr>
                        <w:t xml:space="preserve">. </w:t>
                      </w:r>
                      <w:r w:rsidR="00134EA3">
                        <w:rPr>
                          <w:rFonts w:asciiTheme="majorHAnsi" w:hAnsiTheme="majorHAnsi"/>
                          <w:color w:val="595959" w:themeColor="text1" w:themeTint="A6"/>
                          <w:sz w:val="18"/>
                          <w:szCs w:val="18"/>
                          <w:lang w:val="pt-BR"/>
                        </w:rPr>
                        <w:t xml:space="preserve">Petición 294-11, </w:t>
                      </w:r>
                      <w:r w:rsidR="009424C5">
                        <w:rPr>
                          <w:rFonts w:asciiTheme="majorHAnsi" w:hAnsiTheme="majorHAnsi"/>
                          <w:color w:val="595959" w:themeColor="text1" w:themeTint="A6"/>
                          <w:sz w:val="18"/>
                          <w:szCs w:val="18"/>
                          <w:lang w:val="es-ES_tradnl"/>
                        </w:rPr>
                        <w:t>Inad</w:t>
                      </w:r>
                      <w:r w:rsidR="00743A4E">
                        <w:rPr>
                          <w:rFonts w:asciiTheme="majorHAnsi" w:hAnsiTheme="majorHAnsi"/>
                          <w:color w:val="595959" w:themeColor="text1" w:themeTint="A6"/>
                          <w:sz w:val="18"/>
                          <w:szCs w:val="18"/>
                          <w:lang w:val="es-ES_tradnl"/>
                        </w:rPr>
                        <w:t>misibilidad</w:t>
                      </w:r>
                      <w:r w:rsidRPr="00890650">
                        <w:rPr>
                          <w:rFonts w:asciiTheme="majorHAnsi" w:hAnsiTheme="majorHAnsi"/>
                          <w:color w:val="595959" w:themeColor="text1" w:themeTint="A6"/>
                          <w:sz w:val="18"/>
                          <w:szCs w:val="18"/>
                          <w:lang w:val="es-ES_tradnl"/>
                        </w:rPr>
                        <w:t xml:space="preserve">. </w:t>
                      </w:r>
                      <w:r w:rsidR="00AC6264">
                        <w:rPr>
                          <w:rFonts w:asciiTheme="majorHAnsi" w:hAnsiTheme="majorHAnsi"/>
                          <w:color w:val="595959" w:themeColor="text1" w:themeTint="A6"/>
                          <w:sz w:val="18"/>
                          <w:szCs w:val="18"/>
                          <w:lang w:val="es-ES_tradnl"/>
                        </w:rPr>
                        <w:t xml:space="preserve">Fernando </w:t>
                      </w:r>
                      <w:proofErr w:type="spellStart"/>
                      <w:r w:rsidR="00AC6264">
                        <w:rPr>
                          <w:rFonts w:asciiTheme="majorHAnsi" w:hAnsiTheme="majorHAnsi"/>
                          <w:color w:val="595959" w:themeColor="text1" w:themeTint="A6"/>
                          <w:sz w:val="18"/>
                          <w:szCs w:val="18"/>
                          <w:lang w:val="es-ES_tradnl"/>
                        </w:rPr>
                        <w:t>Beulo</w:t>
                      </w:r>
                      <w:proofErr w:type="spellEnd"/>
                      <w:r w:rsidR="00AC6264">
                        <w:rPr>
                          <w:rFonts w:asciiTheme="majorHAnsi" w:hAnsiTheme="majorHAnsi"/>
                          <w:color w:val="595959" w:themeColor="text1" w:themeTint="A6"/>
                          <w:sz w:val="18"/>
                          <w:szCs w:val="18"/>
                          <w:lang w:val="es-ES_tradnl"/>
                        </w:rPr>
                        <w:t xml:space="preserve"> López Arias</w:t>
                      </w:r>
                      <w:r w:rsidRPr="00890650">
                        <w:rPr>
                          <w:rFonts w:asciiTheme="majorHAnsi" w:hAnsiTheme="majorHAnsi"/>
                          <w:color w:val="595959" w:themeColor="text1" w:themeTint="A6"/>
                          <w:sz w:val="18"/>
                          <w:szCs w:val="18"/>
                          <w:lang w:val="es-ES_tradnl"/>
                        </w:rPr>
                        <w:t xml:space="preserve">. </w:t>
                      </w:r>
                      <w:r w:rsidR="00743A4E">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134EA3">
                        <w:rPr>
                          <w:rFonts w:asciiTheme="majorHAnsi" w:hAnsiTheme="majorHAnsi"/>
                          <w:color w:val="595959" w:themeColor="text1" w:themeTint="A6"/>
                          <w:sz w:val="18"/>
                          <w:szCs w:val="18"/>
                          <w:lang w:val="es-ES_tradnl"/>
                        </w:rPr>
                        <w:t xml:space="preserve"> </w:t>
                      </w:r>
                      <w:r w:rsidR="00712C03">
                        <w:rPr>
                          <w:rFonts w:asciiTheme="majorHAnsi" w:hAnsiTheme="majorHAnsi"/>
                          <w:color w:val="595959" w:themeColor="text1" w:themeTint="A6"/>
                          <w:sz w:val="18"/>
                          <w:szCs w:val="18"/>
                          <w:lang w:val="es-ES"/>
                        </w:rPr>
                        <w:t>30 de agosto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C2052D" w:rsidRDefault="00A50FCF" w:rsidP="00040C3A">
      <w:pPr>
        <w:tabs>
          <w:tab w:val="center" w:pos="5400"/>
        </w:tabs>
        <w:suppressAutoHyphens/>
        <w:jc w:val="center"/>
        <w:rPr>
          <w:rFonts w:ascii="Cambria" w:hAnsi="Cambria"/>
          <w:sz w:val="18"/>
          <w:szCs w:val="22"/>
          <w:lang w:val="es-ES"/>
        </w:rPr>
      </w:pPr>
    </w:p>
    <w:p w14:paraId="1DA07629" w14:textId="777F3AC1" w:rsidR="0090270B" w:rsidRPr="00C2052D" w:rsidRDefault="00D306D1" w:rsidP="005516A1">
      <w:pPr>
        <w:tabs>
          <w:tab w:val="center" w:pos="5400"/>
        </w:tabs>
        <w:suppressAutoHyphens/>
        <w:jc w:val="center"/>
        <w:rPr>
          <w:rFonts w:ascii="Cambria" w:hAnsi="Cambria"/>
          <w:b/>
          <w:sz w:val="20"/>
          <w:lang w:val="es-ES"/>
        </w:rPr>
      </w:pPr>
      <w:r w:rsidRPr="00C2052D">
        <w:rPr>
          <w:rFonts w:ascii="Cambria" w:hAnsi="Cambria"/>
          <w:noProof/>
          <w:sz w:val="22"/>
          <w:szCs w:val="22"/>
        </w:rPr>
        <mc:AlternateContent>
          <mc:Choice Requires="wps">
            <w:drawing>
              <wp:anchor distT="0" distB="0" distL="114300" distR="114300" simplePos="0" relativeHeight="251682816" behindDoc="0" locked="0" layoutInCell="1" allowOverlap="1" wp14:anchorId="02EDA5EE" wp14:editId="636D5B5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F93785" w:rsidRPr="004B7EB6" w:rsidRDefault="00F9378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F93785" w:rsidRPr="004B7EB6" w:rsidRDefault="00F9378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66FDE30A" w:rsidR="0070697F" w:rsidRPr="00C2052D" w:rsidRDefault="00712C03" w:rsidP="005516A1">
      <w:pPr>
        <w:tabs>
          <w:tab w:val="center" w:pos="5400"/>
        </w:tabs>
        <w:suppressAutoHyphens/>
        <w:jc w:val="center"/>
        <w:rPr>
          <w:rFonts w:ascii="Cambria" w:hAnsi="Cambria"/>
          <w:b/>
          <w:sz w:val="20"/>
          <w:lang w:val="es-ES"/>
        </w:rPr>
        <w:sectPr w:rsidR="0070697F" w:rsidRPr="00C2052D"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C2052D">
        <w:rPr>
          <w:rFonts w:ascii="Cambria" w:hAnsi="Cambria"/>
          <w:noProof/>
          <w:sz w:val="18"/>
          <w:szCs w:val="22"/>
        </w:rPr>
        <mc:AlternateContent>
          <mc:Choice Requires="wps">
            <w:drawing>
              <wp:anchor distT="0" distB="0" distL="114300" distR="114300" simplePos="0" relativeHeight="251680768" behindDoc="0" locked="0" layoutInCell="1" allowOverlap="1" wp14:anchorId="50472543" wp14:editId="30B8872D">
                <wp:simplePos x="0" y="0"/>
                <wp:positionH relativeFrom="column">
                  <wp:posOffset>1328057</wp:posOffset>
                </wp:positionH>
                <wp:positionV relativeFrom="paragraph">
                  <wp:posOffset>419463</wp:posOffset>
                </wp:positionV>
                <wp:extent cx="4096385" cy="637540"/>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37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F93785" w:rsidRPr="00D72DC6" w:rsidRDefault="00F9378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1F0690B">
                                  <wp:extent cx="1741714" cy="448056"/>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752195" cy="4507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55pt;margin-top:33.05pt;width:322.55pt;height:5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" fillcolor="white [3201]" stroked="f" strokeweight=".5pt">
                <v:textbox>
                  <w:txbxContent>
                    <w:p w14:paraId="2A1ECD3C" w14:textId="77777777" w:rsidR="00F93785" w:rsidRPr="00D72DC6" w:rsidRDefault="00F93785"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1F0690B">
                            <wp:extent cx="1741714" cy="448056"/>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752195" cy="450752"/>
                                    </a:xfrm>
                                    <a:prstGeom prst="rect">
                                      <a:avLst/>
                                    </a:prstGeom>
                                    <a:noFill/>
                                    <a:ln>
                                      <a:noFill/>
                                    </a:ln>
                                  </pic:spPr>
                                </pic:pic>
                              </a:graphicData>
                            </a:graphic>
                          </wp:inline>
                        </w:drawing>
                      </w:r>
                    </w:p>
                  </w:txbxContent>
                </v:textbox>
              </v:shape>
            </w:pict>
          </mc:Fallback>
        </mc:AlternateContent>
      </w:r>
      <w:r w:rsidR="004A6A54" w:rsidRPr="00C2052D">
        <w:rPr>
          <w:rFonts w:ascii="Cambria" w:hAnsi="Cambria"/>
          <w:b/>
          <w:sz w:val="20"/>
          <w:lang w:val="es-ES"/>
        </w:rPr>
        <w:tab/>
      </w:r>
    </w:p>
    <w:p w14:paraId="376DDC8B" w14:textId="77777777" w:rsidR="003239B8" w:rsidRPr="00C2052D" w:rsidRDefault="003239B8" w:rsidP="007C402A">
      <w:pPr>
        <w:spacing w:after="120"/>
        <w:ind w:firstLine="720"/>
        <w:jc w:val="both"/>
        <w:rPr>
          <w:rFonts w:ascii="Cambria" w:hAnsi="Cambria"/>
          <w:b/>
          <w:bCs/>
          <w:sz w:val="20"/>
          <w:szCs w:val="20"/>
          <w:lang w:val="es-ES"/>
        </w:rPr>
      </w:pPr>
      <w:r w:rsidRPr="00C2052D">
        <w:rPr>
          <w:rFonts w:ascii="Cambria" w:hAnsi="Cambria"/>
          <w:b/>
          <w:bCs/>
          <w:sz w:val="20"/>
          <w:szCs w:val="20"/>
          <w:lang w:val="es-ES"/>
        </w:rPr>
        <w:lastRenderedPageBreak/>
        <w:t>I.</w:t>
      </w:r>
      <w:r w:rsidRPr="00C2052D">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AC6264"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C2052D" w:rsidRDefault="00D77503" w:rsidP="005D3083">
            <w:pPr>
              <w:jc w:val="center"/>
              <w:rPr>
                <w:rFonts w:ascii="Cambria" w:hAnsi="Cambria"/>
                <w:bCs/>
                <w:color w:val="FFFFFF" w:themeColor="background1"/>
                <w:sz w:val="19"/>
                <w:szCs w:val="19"/>
                <w:lang w:val="es-ES"/>
              </w:rPr>
            </w:pPr>
            <w:r w:rsidRPr="00C2052D">
              <w:rPr>
                <w:rFonts w:ascii="Cambria" w:hAnsi="Cambria"/>
                <w:bCs/>
                <w:color w:val="FFFFFF" w:themeColor="background1"/>
                <w:sz w:val="19"/>
                <w:szCs w:val="19"/>
                <w:lang w:val="es-ES"/>
              </w:rPr>
              <w:t>Parte peticionaria</w:t>
            </w:r>
          </w:p>
        </w:tc>
        <w:tc>
          <w:tcPr>
            <w:tcW w:w="6570" w:type="dxa"/>
            <w:vAlign w:val="center"/>
          </w:tcPr>
          <w:p w14:paraId="3C5315D8" w14:textId="514897AB" w:rsidR="003239B8" w:rsidRPr="00C2052D" w:rsidRDefault="00AC6264" w:rsidP="007E6688">
            <w:pPr>
              <w:jc w:val="both"/>
              <w:rPr>
                <w:rFonts w:ascii="Cambria" w:hAnsi="Cambria"/>
                <w:bCs/>
                <w:sz w:val="19"/>
                <w:szCs w:val="19"/>
                <w:lang w:val="es-ES"/>
              </w:rPr>
            </w:pPr>
            <w:r>
              <w:rPr>
                <w:rFonts w:ascii="Cambria" w:hAnsi="Cambria"/>
                <w:bCs/>
                <w:sz w:val="19"/>
                <w:szCs w:val="19"/>
                <w:lang w:val="es-ES"/>
              </w:rPr>
              <w:t xml:space="preserve">Fernando </w:t>
            </w:r>
            <w:proofErr w:type="spellStart"/>
            <w:r>
              <w:rPr>
                <w:rFonts w:ascii="Cambria" w:hAnsi="Cambria"/>
                <w:bCs/>
                <w:sz w:val="19"/>
                <w:szCs w:val="19"/>
                <w:lang w:val="es-ES"/>
              </w:rPr>
              <w:t>Beulo</w:t>
            </w:r>
            <w:proofErr w:type="spellEnd"/>
            <w:r>
              <w:rPr>
                <w:rFonts w:ascii="Cambria" w:hAnsi="Cambria"/>
                <w:bCs/>
                <w:sz w:val="19"/>
                <w:szCs w:val="19"/>
                <w:lang w:val="es-ES"/>
              </w:rPr>
              <w:t xml:space="preserve"> López Arias</w:t>
            </w:r>
          </w:p>
        </w:tc>
      </w:tr>
      <w:tr w:rsidR="003239B8" w:rsidRPr="00AC6264"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C2052D" w:rsidRDefault="002355A9" w:rsidP="005D3083">
            <w:pPr>
              <w:jc w:val="center"/>
              <w:rPr>
                <w:rFonts w:ascii="Cambria" w:hAnsi="Cambria"/>
                <w:bCs/>
                <w:color w:val="FFFFFF" w:themeColor="background1"/>
                <w:sz w:val="19"/>
                <w:szCs w:val="19"/>
                <w:lang w:val="es-ES"/>
              </w:rPr>
            </w:pPr>
            <w:r w:rsidRPr="00C2052D">
              <w:rPr>
                <w:rFonts w:ascii="Cambria" w:hAnsi="Cambria"/>
                <w:bCs/>
                <w:color w:val="FFFFFF" w:themeColor="background1"/>
                <w:sz w:val="19"/>
                <w:szCs w:val="19"/>
                <w:lang w:val="es-ES"/>
              </w:rPr>
              <w:t>Presunta víctima</w:t>
            </w:r>
          </w:p>
        </w:tc>
        <w:tc>
          <w:tcPr>
            <w:tcW w:w="6570" w:type="dxa"/>
            <w:vAlign w:val="center"/>
          </w:tcPr>
          <w:p w14:paraId="4AEBF59E" w14:textId="68056849" w:rsidR="003239B8" w:rsidRPr="00C2052D" w:rsidRDefault="00AC6264" w:rsidP="00E50EDC">
            <w:pPr>
              <w:jc w:val="both"/>
              <w:rPr>
                <w:rFonts w:ascii="Cambria" w:hAnsi="Cambria"/>
                <w:bCs/>
                <w:sz w:val="19"/>
                <w:szCs w:val="19"/>
                <w:lang w:val="es-ES_tradnl"/>
              </w:rPr>
            </w:pPr>
            <w:r>
              <w:rPr>
                <w:rFonts w:ascii="Cambria" w:hAnsi="Cambria"/>
                <w:bCs/>
                <w:sz w:val="19"/>
                <w:szCs w:val="19"/>
                <w:lang w:val="es-ES"/>
              </w:rPr>
              <w:t xml:space="preserve">Fernando </w:t>
            </w:r>
            <w:proofErr w:type="spellStart"/>
            <w:r>
              <w:rPr>
                <w:rFonts w:ascii="Cambria" w:hAnsi="Cambria"/>
                <w:bCs/>
                <w:sz w:val="19"/>
                <w:szCs w:val="19"/>
                <w:lang w:val="es-ES"/>
              </w:rPr>
              <w:t>Beulo</w:t>
            </w:r>
            <w:proofErr w:type="spellEnd"/>
            <w:r>
              <w:rPr>
                <w:rFonts w:ascii="Cambria" w:hAnsi="Cambria"/>
                <w:bCs/>
                <w:sz w:val="19"/>
                <w:szCs w:val="19"/>
                <w:lang w:val="es-ES"/>
              </w:rPr>
              <w:t xml:space="preserve"> López Arias</w:t>
            </w:r>
          </w:p>
        </w:tc>
      </w:tr>
      <w:tr w:rsidR="003239B8" w:rsidRPr="00D3562F"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C2052D" w:rsidRDefault="00D77503" w:rsidP="005D3083">
            <w:pPr>
              <w:jc w:val="center"/>
              <w:rPr>
                <w:rFonts w:ascii="Cambria" w:hAnsi="Cambria"/>
                <w:bCs/>
                <w:color w:val="FFFFFF" w:themeColor="background1"/>
                <w:sz w:val="19"/>
                <w:szCs w:val="19"/>
                <w:lang w:val="es-ES"/>
              </w:rPr>
            </w:pPr>
            <w:r w:rsidRPr="00C2052D">
              <w:rPr>
                <w:rFonts w:ascii="Cambria" w:hAnsi="Cambria"/>
                <w:bCs/>
                <w:color w:val="FFFFFF" w:themeColor="background1"/>
                <w:sz w:val="19"/>
                <w:szCs w:val="19"/>
                <w:lang w:val="es-ES"/>
              </w:rPr>
              <w:t>Estado denunciado</w:t>
            </w:r>
          </w:p>
        </w:tc>
        <w:tc>
          <w:tcPr>
            <w:tcW w:w="6570" w:type="dxa"/>
            <w:vAlign w:val="center"/>
          </w:tcPr>
          <w:p w14:paraId="274C8A50" w14:textId="688DCB00" w:rsidR="003239B8" w:rsidRPr="00C2052D" w:rsidRDefault="00D66CD9" w:rsidP="00D66CD9">
            <w:pPr>
              <w:jc w:val="both"/>
              <w:rPr>
                <w:rFonts w:ascii="Cambria" w:hAnsi="Cambria"/>
                <w:bCs/>
                <w:sz w:val="19"/>
                <w:szCs w:val="19"/>
                <w:lang w:val="es-ES"/>
              </w:rPr>
            </w:pPr>
            <w:r w:rsidRPr="00C2052D">
              <w:rPr>
                <w:rFonts w:ascii="Cambria" w:hAnsi="Cambria"/>
                <w:bCs/>
                <w:sz w:val="19"/>
                <w:szCs w:val="19"/>
                <w:lang w:val="es-ES"/>
              </w:rPr>
              <w:t>México</w:t>
            </w:r>
            <w:r w:rsidRPr="00C2052D">
              <w:rPr>
                <w:rStyle w:val="FootnoteReference"/>
                <w:rFonts w:ascii="Cambria" w:hAnsi="Cambria"/>
                <w:bCs/>
                <w:sz w:val="19"/>
                <w:szCs w:val="19"/>
                <w:lang w:val="es-ES"/>
              </w:rPr>
              <w:footnoteReference w:id="2"/>
            </w:r>
          </w:p>
        </w:tc>
      </w:tr>
      <w:tr w:rsidR="00223A29" w:rsidRPr="00134EA3"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C2052D" w:rsidRDefault="001B3A00" w:rsidP="00E4118C">
            <w:pPr>
              <w:jc w:val="center"/>
              <w:rPr>
                <w:rFonts w:ascii="Cambria" w:hAnsi="Cambria"/>
                <w:bCs/>
                <w:color w:val="FFFFFF" w:themeColor="background1"/>
                <w:sz w:val="19"/>
                <w:szCs w:val="19"/>
                <w:lang w:val="es-ES"/>
              </w:rPr>
            </w:pPr>
            <w:r w:rsidRPr="00C2052D">
              <w:rPr>
                <w:rFonts w:ascii="Cambria" w:hAnsi="Cambria"/>
                <w:bCs/>
                <w:color w:val="FFFFFF" w:themeColor="background1"/>
                <w:sz w:val="19"/>
                <w:szCs w:val="19"/>
                <w:lang w:val="es-ES"/>
              </w:rPr>
              <w:t xml:space="preserve">Derechos </w:t>
            </w:r>
            <w:r w:rsidR="00E4118C" w:rsidRPr="00C2052D">
              <w:rPr>
                <w:rFonts w:ascii="Cambria" w:hAnsi="Cambria"/>
                <w:bCs/>
                <w:color w:val="FFFFFF" w:themeColor="background1"/>
                <w:sz w:val="19"/>
                <w:szCs w:val="19"/>
                <w:lang w:val="es-ES"/>
              </w:rPr>
              <w:t>invocados</w:t>
            </w:r>
          </w:p>
        </w:tc>
        <w:tc>
          <w:tcPr>
            <w:tcW w:w="6570" w:type="dxa"/>
            <w:vAlign w:val="center"/>
          </w:tcPr>
          <w:p w14:paraId="6DEE1EEB" w14:textId="11620387" w:rsidR="00223A29" w:rsidRPr="00C2052D" w:rsidRDefault="009F1029" w:rsidP="007E6688">
            <w:pPr>
              <w:jc w:val="both"/>
              <w:rPr>
                <w:rFonts w:ascii="Cambria" w:hAnsi="Cambria"/>
                <w:bCs/>
                <w:sz w:val="19"/>
                <w:szCs w:val="19"/>
                <w:lang w:val="es-ES"/>
              </w:rPr>
            </w:pPr>
            <w:r w:rsidRPr="00C2052D">
              <w:rPr>
                <w:rFonts w:ascii="Cambria" w:hAnsi="Cambria"/>
                <w:bCs/>
                <w:sz w:val="19"/>
                <w:szCs w:val="19"/>
                <w:lang w:val="es-ES"/>
              </w:rPr>
              <w:t xml:space="preserve">Artículos </w:t>
            </w:r>
            <w:r w:rsidR="0081628A" w:rsidRPr="00C2052D">
              <w:rPr>
                <w:rFonts w:ascii="Cambria" w:hAnsi="Cambria"/>
                <w:bCs/>
                <w:sz w:val="19"/>
                <w:szCs w:val="19"/>
                <w:lang w:val="es-ES"/>
              </w:rPr>
              <w:t>5 (integridad personal), 7 (libertad personal), 8 (garantías judiciales),</w:t>
            </w:r>
            <w:r w:rsidRPr="00C2052D">
              <w:rPr>
                <w:rFonts w:ascii="Cambria" w:hAnsi="Cambria"/>
                <w:bCs/>
                <w:sz w:val="19"/>
                <w:szCs w:val="19"/>
                <w:lang w:val="es-ES"/>
              </w:rPr>
              <w:t xml:space="preserve"> </w:t>
            </w:r>
            <w:r w:rsidR="00AC6264">
              <w:rPr>
                <w:rFonts w:ascii="Cambria" w:hAnsi="Cambria"/>
                <w:bCs/>
                <w:sz w:val="19"/>
                <w:szCs w:val="19"/>
                <w:lang w:val="es-ES"/>
              </w:rPr>
              <w:t>24 (igualdad ante la ley),</w:t>
            </w:r>
            <w:r w:rsidR="0081628A" w:rsidRPr="00C2052D">
              <w:rPr>
                <w:rFonts w:ascii="Cambria" w:hAnsi="Cambria"/>
                <w:bCs/>
                <w:sz w:val="19"/>
                <w:szCs w:val="19"/>
                <w:lang w:val="es-ES"/>
              </w:rPr>
              <w:t xml:space="preserve"> 25 (protección judicial)</w:t>
            </w:r>
            <w:r w:rsidR="00AC6264">
              <w:rPr>
                <w:rFonts w:ascii="Cambria" w:hAnsi="Cambria"/>
                <w:bCs/>
                <w:sz w:val="19"/>
                <w:szCs w:val="19"/>
                <w:lang w:val="es-ES"/>
              </w:rPr>
              <w:t xml:space="preserve">, 9 (principio de legalidad y de retroactividad), 11 (protección de la honra y la dignidad) </w:t>
            </w:r>
            <w:r w:rsidR="00BF514A" w:rsidRPr="00C2052D">
              <w:rPr>
                <w:rFonts w:ascii="Cambria" w:hAnsi="Cambria"/>
                <w:bCs/>
                <w:sz w:val="19"/>
                <w:szCs w:val="19"/>
                <w:lang w:val="es-ES"/>
              </w:rPr>
              <w:t>de la Convención Americana sobre Derechos Humanos</w:t>
            </w:r>
            <w:r w:rsidR="00BF514A" w:rsidRPr="00C2052D">
              <w:rPr>
                <w:rStyle w:val="FootnoteReference"/>
                <w:rFonts w:ascii="Cambria" w:hAnsi="Cambria"/>
                <w:bCs/>
                <w:sz w:val="19"/>
                <w:szCs w:val="19"/>
                <w:lang w:val="es-ES"/>
              </w:rPr>
              <w:footnoteReference w:id="3"/>
            </w:r>
            <w:r w:rsidR="00AC6264">
              <w:rPr>
                <w:rFonts w:ascii="Cambria" w:hAnsi="Cambria"/>
                <w:bCs/>
                <w:sz w:val="19"/>
                <w:szCs w:val="19"/>
                <w:lang w:val="es-ES"/>
              </w:rPr>
              <w:t xml:space="preserve"> </w:t>
            </w:r>
            <w:r w:rsidR="00AC6264" w:rsidRPr="00C2052D">
              <w:rPr>
                <w:rFonts w:ascii="Cambria" w:hAnsi="Cambria"/>
                <w:bCs/>
                <w:sz w:val="19"/>
                <w:szCs w:val="19"/>
                <w:lang w:val="es-ES"/>
              </w:rPr>
              <w:t>en relación con el artículo 1</w:t>
            </w:r>
            <w:r w:rsidR="00AC6264">
              <w:rPr>
                <w:rFonts w:ascii="Cambria" w:hAnsi="Cambria"/>
                <w:bCs/>
                <w:sz w:val="19"/>
                <w:szCs w:val="19"/>
                <w:lang w:val="es-ES"/>
              </w:rPr>
              <w:t>.1 (obligación de respetar derechos).</w:t>
            </w:r>
          </w:p>
        </w:tc>
      </w:tr>
    </w:tbl>
    <w:p w14:paraId="20263696" w14:textId="77777777" w:rsidR="003239B8" w:rsidRPr="00C2052D" w:rsidRDefault="003239B8" w:rsidP="007C402A">
      <w:pPr>
        <w:spacing w:before="120" w:after="120"/>
        <w:ind w:firstLine="720"/>
        <w:jc w:val="both"/>
        <w:rPr>
          <w:rFonts w:ascii="Cambria" w:hAnsi="Cambria"/>
          <w:b/>
          <w:bCs/>
          <w:sz w:val="20"/>
          <w:szCs w:val="20"/>
          <w:lang w:val="es-ES"/>
        </w:rPr>
      </w:pPr>
      <w:r w:rsidRPr="00C2052D">
        <w:rPr>
          <w:rFonts w:ascii="Cambria" w:hAnsi="Cambria"/>
          <w:b/>
          <w:bCs/>
          <w:sz w:val="20"/>
          <w:szCs w:val="20"/>
          <w:lang w:val="es-ES"/>
        </w:rPr>
        <w:t>II.</w:t>
      </w:r>
      <w:r w:rsidRPr="00C2052D">
        <w:rPr>
          <w:rFonts w:ascii="Cambria" w:hAnsi="Cambria"/>
          <w:b/>
          <w:bCs/>
          <w:sz w:val="20"/>
          <w:szCs w:val="20"/>
          <w:lang w:val="es-ES"/>
        </w:rPr>
        <w:tab/>
        <w:t>TRÁMITE ANTE LA CIDH</w:t>
      </w:r>
      <w:r w:rsidR="008E3BFE" w:rsidRPr="00C2052D">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D3562F"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C2052D" w:rsidRDefault="000C1C69" w:rsidP="004A6A54">
            <w:pPr>
              <w:jc w:val="center"/>
              <w:rPr>
                <w:rFonts w:ascii="Cambria" w:hAnsi="Cambria"/>
                <w:bCs/>
                <w:color w:val="FFFFFF" w:themeColor="background1"/>
                <w:sz w:val="19"/>
                <w:szCs w:val="19"/>
                <w:lang w:val="es-ES"/>
              </w:rPr>
            </w:pPr>
            <w:r w:rsidRPr="00C2052D">
              <w:rPr>
                <w:rFonts w:ascii="Cambria" w:hAnsi="Cambria"/>
                <w:bCs/>
                <w:color w:val="FFFFFF" w:themeColor="background1"/>
                <w:sz w:val="19"/>
                <w:szCs w:val="19"/>
                <w:lang w:val="es-ES"/>
              </w:rPr>
              <w:t>Recepción</w:t>
            </w:r>
            <w:r w:rsidR="00D77503" w:rsidRPr="00C2052D">
              <w:rPr>
                <w:rFonts w:ascii="Cambria" w:hAnsi="Cambria"/>
                <w:bCs/>
                <w:color w:val="FFFFFF" w:themeColor="background1"/>
                <w:sz w:val="19"/>
                <w:szCs w:val="19"/>
                <w:lang w:val="es-ES"/>
              </w:rPr>
              <w:t xml:space="preserve"> de la petición</w:t>
            </w:r>
          </w:p>
        </w:tc>
        <w:tc>
          <w:tcPr>
            <w:tcW w:w="6570" w:type="dxa"/>
            <w:vAlign w:val="center"/>
          </w:tcPr>
          <w:p w14:paraId="6E579153" w14:textId="796DFA56" w:rsidR="004C2312" w:rsidRPr="00C2052D" w:rsidRDefault="00E163BF" w:rsidP="00B4333B">
            <w:pPr>
              <w:jc w:val="both"/>
              <w:rPr>
                <w:rFonts w:ascii="Cambria" w:hAnsi="Cambria"/>
                <w:bCs/>
                <w:sz w:val="19"/>
                <w:szCs w:val="19"/>
                <w:lang w:val="es-ES"/>
              </w:rPr>
            </w:pPr>
            <w:r w:rsidRPr="00C2052D">
              <w:rPr>
                <w:rFonts w:ascii="Cambria" w:hAnsi="Cambria"/>
                <w:bCs/>
                <w:sz w:val="19"/>
                <w:szCs w:val="19"/>
                <w:lang w:val="es-ES"/>
              </w:rPr>
              <w:t>8 de m</w:t>
            </w:r>
            <w:r w:rsidR="00B4333B" w:rsidRPr="00C2052D">
              <w:rPr>
                <w:rFonts w:ascii="Cambria" w:hAnsi="Cambria"/>
                <w:bCs/>
                <w:sz w:val="19"/>
                <w:szCs w:val="19"/>
                <w:lang w:val="es-ES"/>
              </w:rPr>
              <w:t>arzo de 2010</w:t>
            </w:r>
          </w:p>
        </w:tc>
      </w:tr>
      <w:tr w:rsidR="006E772A" w:rsidRPr="00134EA3"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C2052D" w:rsidRDefault="006E772A" w:rsidP="004A6A54">
            <w:pPr>
              <w:jc w:val="center"/>
              <w:rPr>
                <w:rFonts w:ascii="Cambria" w:hAnsi="Cambria"/>
                <w:bCs/>
                <w:color w:val="FFFFFF" w:themeColor="background1"/>
                <w:sz w:val="19"/>
                <w:szCs w:val="19"/>
                <w:lang w:val="es-ES"/>
              </w:rPr>
            </w:pPr>
            <w:r w:rsidRPr="00C2052D">
              <w:rPr>
                <w:rFonts w:ascii="Cambria" w:hAnsi="Cambria"/>
                <w:bCs/>
                <w:color w:val="FFFFFF" w:themeColor="background1"/>
                <w:sz w:val="19"/>
                <w:szCs w:val="19"/>
                <w:lang w:val="es-ES"/>
              </w:rPr>
              <w:t xml:space="preserve">Información adicional </w:t>
            </w:r>
            <w:r w:rsidR="002355A9" w:rsidRPr="00C2052D">
              <w:rPr>
                <w:rFonts w:ascii="Cambria" w:hAnsi="Cambria"/>
                <w:bCs/>
                <w:color w:val="FFFFFF" w:themeColor="background1"/>
                <w:sz w:val="19"/>
                <w:szCs w:val="19"/>
                <w:lang w:val="es-ES"/>
              </w:rPr>
              <w:t>recibida en la etapa de estudio</w:t>
            </w:r>
          </w:p>
        </w:tc>
        <w:tc>
          <w:tcPr>
            <w:tcW w:w="6570" w:type="dxa"/>
            <w:vAlign w:val="center"/>
          </w:tcPr>
          <w:p w14:paraId="796669C8" w14:textId="0D723ECF" w:rsidR="006E772A" w:rsidRPr="00C2052D" w:rsidRDefault="00AC6264" w:rsidP="007C2363">
            <w:pPr>
              <w:jc w:val="both"/>
              <w:rPr>
                <w:rFonts w:ascii="Cambria" w:hAnsi="Cambria"/>
                <w:bCs/>
                <w:sz w:val="19"/>
                <w:szCs w:val="19"/>
                <w:lang w:val="es-ES"/>
              </w:rPr>
            </w:pPr>
            <w:r>
              <w:rPr>
                <w:rFonts w:ascii="Cambria" w:hAnsi="Cambria"/>
                <w:bCs/>
                <w:sz w:val="19"/>
                <w:szCs w:val="19"/>
                <w:lang w:val="es-ES"/>
              </w:rPr>
              <w:t>19 de mayo y 7 de noviembre de 2011, 22 de marzo de 2016</w:t>
            </w:r>
          </w:p>
        </w:tc>
      </w:tr>
      <w:tr w:rsidR="004C2312" w:rsidRPr="00D3562F"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1DD1C6F5" w:rsidR="004C2312" w:rsidRPr="00C2052D" w:rsidRDefault="004A6A54" w:rsidP="000C1C69">
            <w:pPr>
              <w:jc w:val="center"/>
              <w:rPr>
                <w:rFonts w:ascii="Cambria" w:hAnsi="Cambria"/>
                <w:bCs/>
                <w:color w:val="FFFFFF" w:themeColor="background1"/>
                <w:sz w:val="19"/>
                <w:szCs w:val="19"/>
                <w:lang w:val="es-ES"/>
              </w:rPr>
            </w:pPr>
            <w:r w:rsidRPr="00C2052D">
              <w:rPr>
                <w:rFonts w:ascii="Cambria" w:hAnsi="Cambria"/>
                <w:color w:val="FFFFFF" w:themeColor="background1"/>
                <w:sz w:val="19"/>
                <w:szCs w:val="19"/>
                <w:lang w:val="es-ES"/>
              </w:rPr>
              <w:t>N</w:t>
            </w:r>
            <w:r w:rsidR="004C2312" w:rsidRPr="00C2052D">
              <w:rPr>
                <w:rFonts w:ascii="Cambria" w:hAnsi="Cambria"/>
                <w:color w:val="FFFFFF" w:themeColor="background1"/>
                <w:sz w:val="19"/>
                <w:szCs w:val="19"/>
                <w:lang w:val="es-ES"/>
              </w:rPr>
              <w:t>otificación de la petición</w:t>
            </w:r>
            <w:r w:rsidR="00AC6264">
              <w:rPr>
                <w:rFonts w:ascii="Cambria" w:hAnsi="Cambria"/>
                <w:color w:val="FFFFFF" w:themeColor="background1"/>
                <w:sz w:val="19"/>
                <w:szCs w:val="19"/>
                <w:lang w:val="es-ES"/>
              </w:rPr>
              <w:t xml:space="preserve"> al Estado</w:t>
            </w:r>
          </w:p>
        </w:tc>
        <w:tc>
          <w:tcPr>
            <w:tcW w:w="6570" w:type="dxa"/>
            <w:vAlign w:val="center"/>
          </w:tcPr>
          <w:p w14:paraId="1519DA6A" w14:textId="18219CF5" w:rsidR="004C2312" w:rsidRPr="00C2052D" w:rsidRDefault="00AC6264" w:rsidP="005D3083">
            <w:pPr>
              <w:jc w:val="both"/>
              <w:rPr>
                <w:rFonts w:ascii="Cambria" w:hAnsi="Cambria"/>
                <w:bCs/>
                <w:sz w:val="19"/>
                <w:szCs w:val="19"/>
                <w:lang w:val="es-ES"/>
              </w:rPr>
            </w:pPr>
            <w:r>
              <w:rPr>
                <w:rFonts w:ascii="Cambria" w:hAnsi="Cambria"/>
                <w:bCs/>
                <w:sz w:val="19"/>
                <w:szCs w:val="19"/>
                <w:lang w:val="es-ES"/>
              </w:rPr>
              <w:t>22 de diciembre de 2016</w:t>
            </w:r>
          </w:p>
        </w:tc>
      </w:tr>
      <w:tr w:rsidR="00F06354" w:rsidRPr="00D3562F"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C2052D" w:rsidRDefault="00D77503" w:rsidP="00F06354">
            <w:pPr>
              <w:jc w:val="center"/>
              <w:rPr>
                <w:rFonts w:ascii="Cambria" w:hAnsi="Cambria"/>
                <w:bCs/>
                <w:color w:val="FFFFFF" w:themeColor="background1"/>
                <w:sz w:val="19"/>
                <w:szCs w:val="19"/>
                <w:lang w:val="es-ES"/>
              </w:rPr>
            </w:pPr>
            <w:r w:rsidRPr="00C2052D">
              <w:rPr>
                <w:rFonts w:ascii="Cambria" w:hAnsi="Cambria"/>
                <w:color w:val="FFFFFF" w:themeColor="background1"/>
                <w:sz w:val="19"/>
                <w:szCs w:val="19"/>
                <w:lang w:val="es-ES"/>
              </w:rPr>
              <w:t>Primera respuesta del Estado</w:t>
            </w:r>
          </w:p>
        </w:tc>
        <w:tc>
          <w:tcPr>
            <w:tcW w:w="6570" w:type="dxa"/>
            <w:vAlign w:val="center"/>
          </w:tcPr>
          <w:p w14:paraId="1972B99E" w14:textId="1C3DB796" w:rsidR="00F06354" w:rsidRPr="00C2052D" w:rsidRDefault="00AC6264" w:rsidP="00F06354">
            <w:pPr>
              <w:jc w:val="both"/>
              <w:rPr>
                <w:rFonts w:ascii="Cambria" w:hAnsi="Cambria"/>
                <w:bCs/>
                <w:sz w:val="19"/>
                <w:szCs w:val="19"/>
                <w:lang w:val="es-ES"/>
              </w:rPr>
            </w:pPr>
            <w:r>
              <w:rPr>
                <w:rFonts w:ascii="Cambria" w:hAnsi="Cambria"/>
                <w:bCs/>
                <w:sz w:val="19"/>
                <w:szCs w:val="19"/>
                <w:lang w:val="es-ES"/>
              </w:rPr>
              <w:t>11 de mayo de 2017</w:t>
            </w:r>
          </w:p>
        </w:tc>
      </w:tr>
      <w:tr w:rsidR="00F06354" w:rsidRPr="00AC6264"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C2052D" w:rsidRDefault="00F06354" w:rsidP="00F06354">
            <w:pPr>
              <w:jc w:val="center"/>
              <w:rPr>
                <w:rFonts w:ascii="Cambria" w:hAnsi="Cambria"/>
                <w:bCs/>
                <w:color w:val="FFFFFF" w:themeColor="background1"/>
                <w:sz w:val="19"/>
                <w:szCs w:val="19"/>
                <w:lang w:val="es-ES"/>
              </w:rPr>
            </w:pPr>
            <w:r w:rsidRPr="00C2052D">
              <w:rPr>
                <w:rFonts w:ascii="Cambria" w:hAnsi="Cambria"/>
                <w:bCs/>
                <w:color w:val="FFFFFF" w:themeColor="background1"/>
                <w:sz w:val="19"/>
                <w:szCs w:val="19"/>
                <w:lang w:val="es-ES"/>
              </w:rPr>
              <w:t>Observaciones adicionales de</w:t>
            </w:r>
            <w:r w:rsidR="00D77503" w:rsidRPr="00C2052D">
              <w:rPr>
                <w:rFonts w:ascii="Cambria" w:hAnsi="Cambria"/>
                <w:bCs/>
                <w:color w:val="FFFFFF" w:themeColor="background1"/>
                <w:sz w:val="19"/>
                <w:szCs w:val="19"/>
                <w:lang w:val="es-ES"/>
              </w:rPr>
              <w:t xml:space="preserve"> la parte peticionaria</w:t>
            </w:r>
          </w:p>
        </w:tc>
        <w:tc>
          <w:tcPr>
            <w:tcW w:w="6570" w:type="dxa"/>
            <w:vAlign w:val="center"/>
          </w:tcPr>
          <w:p w14:paraId="41D8B862" w14:textId="47B2273B" w:rsidR="00F06354" w:rsidRPr="00C2052D" w:rsidRDefault="00AC6264" w:rsidP="00613F6B">
            <w:pPr>
              <w:jc w:val="both"/>
              <w:rPr>
                <w:rFonts w:ascii="Cambria" w:hAnsi="Cambria"/>
                <w:bCs/>
                <w:sz w:val="19"/>
                <w:szCs w:val="19"/>
                <w:lang w:val="es-ES"/>
              </w:rPr>
            </w:pPr>
            <w:r>
              <w:rPr>
                <w:rFonts w:ascii="Cambria" w:hAnsi="Cambria"/>
                <w:bCs/>
                <w:sz w:val="19"/>
                <w:szCs w:val="19"/>
                <w:lang w:val="es-ES"/>
              </w:rPr>
              <w:t>20 de julio de 2017</w:t>
            </w:r>
          </w:p>
        </w:tc>
      </w:tr>
      <w:tr w:rsidR="00F06354" w:rsidRPr="00AC626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C2052D" w:rsidRDefault="00F06354" w:rsidP="00F06354">
            <w:pPr>
              <w:jc w:val="center"/>
              <w:rPr>
                <w:rFonts w:ascii="Cambria" w:hAnsi="Cambria"/>
                <w:bCs/>
                <w:color w:val="FFFFFF" w:themeColor="background1"/>
                <w:sz w:val="19"/>
                <w:szCs w:val="19"/>
                <w:lang w:val="es-ES"/>
              </w:rPr>
            </w:pPr>
            <w:r w:rsidRPr="00C2052D">
              <w:rPr>
                <w:rFonts w:ascii="Cambria" w:hAnsi="Cambria"/>
                <w:bCs/>
                <w:color w:val="FFFFFF" w:themeColor="background1"/>
                <w:sz w:val="19"/>
                <w:szCs w:val="19"/>
                <w:lang w:val="es-ES"/>
              </w:rPr>
              <w:t>Obser</w:t>
            </w:r>
            <w:r w:rsidR="00D77503" w:rsidRPr="00C2052D">
              <w:rPr>
                <w:rFonts w:ascii="Cambria" w:hAnsi="Cambria"/>
                <w:bCs/>
                <w:color w:val="FFFFFF" w:themeColor="background1"/>
                <w:sz w:val="19"/>
                <w:szCs w:val="19"/>
                <w:lang w:val="es-ES"/>
              </w:rPr>
              <w:t>vaciones adicionales del Estado</w:t>
            </w:r>
          </w:p>
        </w:tc>
        <w:tc>
          <w:tcPr>
            <w:tcW w:w="6570" w:type="dxa"/>
            <w:vAlign w:val="center"/>
          </w:tcPr>
          <w:p w14:paraId="3CE49AFE" w14:textId="603F25AA" w:rsidR="00F06354" w:rsidRPr="00C2052D" w:rsidRDefault="000D222E" w:rsidP="00F06354">
            <w:pPr>
              <w:jc w:val="both"/>
              <w:rPr>
                <w:rFonts w:ascii="Cambria" w:hAnsi="Cambria"/>
                <w:bCs/>
                <w:sz w:val="19"/>
                <w:szCs w:val="19"/>
                <w:lang w:val="es-ES"/>
              </w:rPr>
            </w:pPr>
            <w:r w:rsidRPr="00C2052D">
              <w:rPr>
                <w:rFonts w:ascii="Cambria" w:hAnsi="Cambria"/>
                <w:bCs/>
                <w:sz w:val="19"/>
                <w:szCs w:val="19"/>
                <w:lang w:val="es-ES"/>
              </w:rPr>
              <w:t xml:space="preserve">19 de </w:t>
            </w:r>
            <w:r w:rsidR="00AC6264">
              <w:rPr>
                <w:rFonts w:ascii="Cambria" w:hAnsi="Cambria"/>
                <w:bCs/>
                <w:sz w:val="19"/>
                <w:szCs w:val="19"/>
                <w:lang w:val="es-ES"/>
              </w:rPr>
              <w:t>abril de 2018</w:t>
            </w:r>
          </w:p>
        </w:tc>
      </w:tr>
    </w:tbl>
    <w:p w14:paraId="21DAA666" w14:textId="5065046E" w:rsidR="003239B8" w:rsidRPr="00C2052D" w:rsidRDefault="003239B8" w:rsidP="007C402A">
      <w:pPr>
        <w:spacing w:before="120" w:after="120"/>
        <w:ind w:firstLine="720"/>
        <w:jc w:val="both"/>
        <w:rPr>
          <w:rFonts w:ascii="Cambria" w:hAnsi="Cambria"/>
          <w:b/>
          <w:bCs/>
          <w:sz w:val="20"/>
          <w:szCs w:val="20"/>
          <w:lang w:val="es-ES"/>
        </w:rPr>
      </w:pPr>
      <w:r w:rsidRPr="00C2052D">
        <w:rPr>
          <w:rFonts w:ascii="Cambria" w:hAnsi="Cambria"/>
          <w:b/>
          <w:bCs/>
          <w:sz w:val="20"/>
          <w:szCs w:val="20"/>
          <w:lang w:val="es-ES"/>
        </w:rPr>
        <w:t xml:space="preserve">III. </w:t>
      </w:r>
      <w:r w:rsidRPr="00C2052D">
        <w:rPr>
          <w:rFonts w:ascii="Cambria" w:hAnsi="Cambria"/>
          <w:b/>
          <w:bCs/>
          <w:sz w:val="20"/>
          <w:szCs w:val="20"/>
          <w:lang w:val="es-ES"/>
        </w:rPr>
        <w:tab/>
        <w:t>COMPETENCIA</w:t>
      </w:r>
      <w:r w:rsidR="00EE00E9" w:rsidRPr="00C2052D">
        <w:rPr>
          <w:rFonts w:ascii="Cambria" w:hAnsi="Cambria"/>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D3562F"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C2052D" w:rsidRDefault="00D77503" w:rsidP="005D3083">
            <w:pPr>
              <w:jc w:val="center"/>
              <w:rPr>
                <w:rFonts w:ascii="Cambria" w:hAnsi="Cambria"/>
                <w:bCs/>
                <w:i/>
                <w:color w:val="FFFFFF" w:themeColor="background1"/>
                <w:sz w:val="19"/>
                <w:szCs w:val="19"/>
                <w:lang w:val="es-ES"/>
              </w:rPr>
            </w:pPr>
            <w:r w:rsidRPr="00C2052D">
              <w:rPr>
                <w:rFonts w:ascii="Cambria" w:hAnsi="Cambria"/>
                <w:bCs/>
                <w:i/>
                <w:color w:val="FFFFFF" w:themeColor="background1"/>
                <w:sz w:val="19"/>
                <w:szCs w:val="19"/>
                <w:lang w:val="es-ES"/>
              </w:rPr>
              <w:t>Ratione personae</w:t>
            </w:r>
          </w:p>
        </w:tc>
        <w:tc>
          <w:tcPr>
            <w:tcW w:w="6570" w:type="dxa"/>
            <w:vAlign w:val="center"/>
          </w:tcPr>
          <w:p w14:paraId="7707F3E9" w14:textId="1C0A7F0D" w:rsidR="003239B8" w:rsidRPr="00C2052D" w:rsidRDefault="00D778FE" w:rsidP="005D3083">
            <w:pPr>
              <w:rPr>
                <w:rFonts w:ascii="Cambria" w:hAnsi="Cambria"/>
                <w:bCs/>
                <w:sz w:val="19"/>
                <w:szCs w:val="19"/>
                <w:lang w:val="es-ES"/>
              </w:rPr>
            </w:pPr>
            <w:r w:rsidRPr="00C2052D">
              <w:rPr>
                <w:rFonts w:ascii="Cambria" w:hAnsi="Cambria"/>
                <w:bCs/>
                <w:sz w:val="19"/>
                <w:szCs w:val="19"/>
                <w:lang w:val="es-ES"/>
              </w:rPr>
              <w:t>Sí</w:t>
            </w:r>
          </w:p>
        </w:tc>
      </w:tr>
      <w:tr w:rsidR="003239B8" w:rsidRPr="00D3562F"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C2052D" w:rsidRDefault="003239B8" w:rsidP="00D77503">
            <w:pPr>
              <w:jc w:val="center"/>
              <w:rPr>
                <w:rFonts w:ascii="Cambria" w:hAnsi="Cambria"/>
                <w:bCs/>
                <w:color w:val="FFFFFF" w:themeColor="background1"/>
                <w:sz w:val="19"/>
                <w:szCs w:val="19"/>
                <w:lang w:val="es-ES"/>
              </w:rPr>
            </w:pPr>
            <w:r w:rsidRPr="00C2052D">
              <w:rPr>
                <w:rFonts w:ascii="Cambria" w:hAnsi="Cambria"/>
                <w:bCs/>
                <w:i/>
                <w:color w:val="FFFFFF" w:themeColor="background1"/>
                <w:sz w:val="19"/>
                <w:szCs w:val="19"/>
                <w:lang w:val="es-ES"/>
              </w:rPr>
              <w:t>Ratione loci</w:t>
            </w:r>
          </w:p>
        </w:tc>
        <w:tc>
          <w:tcPr>
            <w:tcW w:w="6570" w:type="dxa"/>
            <w:vAlign w:val="center"/>
          </w:tcPr>
          <w:p w14:paraId="12C931CB" w14:textId="203E5642" w:rsidR="003239B8" w:rsidRPr="00C2052D" w:rsidRDefault="003D04CF" w:rsidP="005D3083">
            <w:pPr>
              <w:rPr>
                <w:rFonts w:ascii="Cambria" w:hAnsi="Cambria"/>
                <w:bCs/>
                <w:sz w:val="19"/>
                <w:szCs w:val="19"/>
                <w:lang w:val="es-ES"/>
              </w:rPr>
            </w:pPr>
            <w:r w:rsidRPr="00C2052D">
              <w:rPr>
                <w:rFonts w:ascii="Cambria" w:hAnsi="Cambria"/>
                <w:bCs/>
                <w:sz w:val="19"/>
                <w:szCs w:val="19"/>
                <w:lang w:val="es-ES"/>
              </w:rPr>
              <w:t>Si</w:t>
            </w:r>
          </w:p>
        </w:tc>
      </w:tr>
      <w:tr w:rsidR="003239B8" w:rsidRPr="00D3562F"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C2052D" w:rsidRDefault="003239B8" w:rsidP="005D3083">
            <w:pPr>
              <w:jc w:val="center"/>
              <w:rPr>
                <w:rFonts w:ascii="Cambria" w:hAnsi="Cambria"/>
                <w:bCs/>
                <w:color w:val="FFFFFF" w:themeColor="background1"/>
                <w:sz w:val="19"/>
                <w:szCs w:val="19"/>
                <w:lang w:val="es-ES"/>
              </w:rPr>
            </w:pPr>
            <w:r w:rsidRPr="00C2052D">
              <w:rPr>
                <w:rFonts w:ascii="Cambria" w:hAnsi="Cambria"/>
                <w:bCs/>
                <w:i/>
                <w:color w:val="FFFFFF" w:themeColor="background1"/>
                <w:sz w:val="19"/>
                <w:szCs w:val="19"/>
                <w:lang w:val="es-ES"/>
              </w:rPr>
              <w:t>Ratione temporis</w:t>
            </w:r>
          </w:p>
        </w:tc>
        <w:tc>
          <w:tcPr>
            <w:tcW w:w="6570" w:type="dxa"/>
            <w:vAlign w:val="center"/>
          </w:tcPr>
          <w:p w14:paraId="6F8B059B" w14:textId="6A5D8182" w:rsidR="003239B8" w:rsidRPr="00C2052D" w:rsidRDefault="003D04CF" w:rsidP="005D3083">
            <w:pPr>
              <w:rPr>
                <w:rFonts w:ascii="Cambria" w:hAnsi="Cambria"/>
                <w:bCs/>
                <w:sz w:val="19"/>
                <w:szCs w:val="19"/>
                <w:lang w:val="es-ES"/>
              </w:rPr>
            </w:pPr>
            <w:r w:rsidRPr="00C2052D">
              <w:rPr>
                <w:rFonts w:ascii="Cambria" w:hAnsi="Cambria"/>
                <w:bCs/>
                <w:sz w:val="19"/>
                <w:szCs w:val="19"/>
                <w:lang w:val="es-ES"/>
              </w:rPr>
              <w:t>Sí</w:t>
            </w:r>
          </w:p>
        </w:tc>
      </w:tr>
      <w:tr w:rsidR="003239B8" w:rsidRPr="00134EA3"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C2052D" w:rsidRDefault="003239B8" w:rsidP="005D3083">
            <w:pPr>
              <w:jc w:val="center"/>
              <w:rPr>
                <w:rFonts w:ascii="Cambria" w:hAnsi="Cambria"/>
                <w:bCs/>
                <w:color w:val="FFFFFF" w:themeColor="background1"/>
                <w:sz w:val="19"/>
                <w:szCs w:val="19"/>
                <w:lang w:val="es-ES"/>
              </w:rPr>
            </w:pPr>
            <w:r w:rsidRPr="00C2052D">
              <w:rPr>
                <w:rFonts w:ascii="Cambria" w:hAnsi="Cambria"/>
                <w:bCs/>
                <w:i/>
                <w:color w:val="FFFFFF" w:themeColor="background1"/>
                <w:sz w:val="19"/>
                <w:szCs w:val="19"/>
                <w:lang w:val="es-ES"/>
              </w:rPr>
              <w:t>Ratione materia</w:t>
            </w:r>
            <w:r w:rsidR="00EE00E9" w:rsidRPr="00C2052D">
              <w:rPr>
                <w:rFonts w:ascii="Cambria" w:hAnsi="Cambria"/>
                <w:bCs/>
                <w:i/>
                <w:color w:val="FFFFFF" w:themeColor="background1"/>
                <w:sz w:val="19"/>
                <w:szCs w:val="19"/>
                <w:lang w:val="es-ES"/>
              </w:rPr>
              <w:t>e</w:t>
            </w:r>
          </w:p>
        </w:tc>
        <w:tc>
          <w:tcPr>
            <w:tcW w:w="6570" w:type="dxa"/>
            <w:vAlign w:val="center"/>
          </w:tcPr>
          <w:p w14:paraId="0C122F44" w14:textId="5089E2C8" w:rsidR="003239B8" w:rsidRPr="00C2052D" w:rsidRDefault="00892CC2" w:rsidP="009966ED">
            <w:pPr>
              <w:jc w:val="both"/>
              <w:rPr>
                <w:rFonts w:ascii="Cambria" w:hAnsi="Cambria"/>
                <w:bCs/>
                <w:sz w:val="19"/>
                <w:szCs w:val="19"/>
                <w:lang w:val="es-ES"/>
              </w:rPr>
            </w:pPr>
            <w:r w:rsidRPr="00C2052D">
              <w:rPr>
                <w:rFonts w:ascii="Cambria" w:hAnsi="Cambria"/>
                <w:bCs/>
                <w:sz w:val="19"/>
                <w:szCs w:val="19"/>
                <w:lang w:val="es-ES"/>
              </w:rPr>
              <w:t>Sí, Convención Americana (depósito de instrumento realizado el 24 de marzo de 1981)</w:t>
            </w:r>
          </w:p>
        </w:tc>
      </w:tr>
    </w:tbl>
    <w:p w14:paraId="4E92C444" w14:textId="1DAF1B79" w:rsidR="003239B8" w:rsidRPr="00C2052D" w:rsidRDefault="003239B8" w:rsidP="007C402A">
      <w:pPr>
        <w:spacing w:before="120" w:after="120"/>
        <w:ind w:firstLine="720"/>
        <w:jc w:val="both"/>
        <w:rPr>
          <w:rFonts w:ascii="Cambria" w:hAnsi="Cambria"/>
          <w:b/>
          <w:bCs/>
          <w:sz w:val="20"/>
          <w:szCs w:val="20"/>
          <w:lang w:val="es-ES"/>
        </w:rPr>
      </w:pPr>
      <w:r w:rsidRPr="00C2052D">
        <w:rPr>
          <w:rFonts w:ascii="Cambria" w:hAnsi="Cambria"/>
          <w:b/>
          <w:bCs/>
          <w:sz w:val="20"/>
          <w:szCs w:val="20"/>
          <w:lang w:val="es-ES"/>
        </w:rPr>
        <w:t xml:space="preserve">IV. </w:t>
      </w:r>
      <w:r w:rsidRPr="00C2052D">
        <w:rPr>
          <w:rFonts w:ascii="Cambria" w:hAnsi="Cambria"/>
          <w:b/>
          <w:bCs/>
          <w:sz w:val="20"/>
          <w:szCs w:val="20"/>
          <w:lang w:val="es-ES"/>
        </w:rPr>
        <w:tab/>
      </w:r>
      <w:r w:rsidR="00EE00E9" w:rsidRPr="00C2052D">
        <w:rPr>
          <w:rFonts w:ascii="Cambria" w:hAnsi="Cambria"/>
          <w:b/>
          <w:bCs/>
          <w:sz w:val="20"/>
          <w:szCs w:val="20"/>
          <w:lang w:val="es-ES"/>
        </w:rPr>
        <w:t>DUPLICACIÓN</w:t>
      </w:r>
      <w:r w:rsidR="00EE00E9" w:rsidRPr="00C2052D">
        <w:rPr>
          <w:rFonts w:ascii="Cambria" w:hAnsi="Cambria"/>
          <w:b/>
          <w:bCs/>
          <w:color w:val="FFFFFF" w:themeColor="background1"/>
          <w:sz w:val="20"/>
          <w:szCs w:val="20"/>
          <w:lang w:val="es-ES"/>
        </w:rPr>
        <w:t xml:space="preserve"> </w:t>
      </w:r>
      <w:r w:rsidR="00EE00E9" w:rsidRPr="00C2052D">
        <w:rPr>
          <w:rFonts w:ascii="Cambria" w:hAnsi="Cambria"/>
          <w:b/>
          <w:bCs/>
          <w:sz w:val="20"/>
          <w:szCs w:val="20"/>
          <w:lang w:val="es-ES"/>
        </w:rPr>
        <w:t>DE PROCEDIMIENTOS Y COSA JUZGADA</w:t>
      </w:r>
      <w:r w:rsidR="00EE00E9" w:rsidRPr="00C2052D">
        <w:rPr>
          <w:rFonts w:ascii="Cambria" w:hAnsi="Cambria"/>
          <w:b/>
          <w:bCs/>
          <w:i/>
          <w:sz w:val="20"/>
          <w:szCs w:val="20"/>
          <w:lang w:val="es-ES"/>
        </w:rPr>
        <w:t xml:space="preserve"> </w:t>
      </w:r>
      <w:proofErr w:type="gramStart"/>
      <w:r w:rsidR="00EE00E9" w:rsidRPr="00C2052D">
        <w:rPr>
          <w:rFonts w:ascii="Cambria" w:hAnsi="Cambria"/>
          <w:b/>
          <w:bCs/>
          <w:sz w:val="20"/>
          <w:szCs w:val="20"/>
          <w:lang w:val="es-ES"/>
        </w:rPr>
        <w:t xml:space="preserve">INTERNACIONAL, </w:t>
      </w:r>
      <w:r w:rsidRPr="00C2052D">
        <w:rPr>
          <w:rFonts w:ascii="Cambria" w:hAnsi="Cambria"/>
          <w:b/>
          <w:bCs/>
          <w:sz w:val="20"/>
          <w:szCs w:val="20"/>
          <w:lang w:val="es-ES"/>
        </w:rPr>
        <w:t xml:space="preserve"> CARACTERIZACIÓN</w:t>
      </w:r>
      <w:proofErr w:type="gramEnd"/>
      <w:r w:rsidRPr="00C2052D">
        <w:rPr>
          <w:rFonts w:ascii="Cambria" w:hAnsi="Cambria"/>
          <w:b/>
          <w:bCs/>
          <w:sz w:val="20"/>
          <w:szCs w:val="20"/>
          <w:lang w:val="es-ES"/>
        </w:rPr>
        <w:t xml:space="preserve">, </w:t>
      </w:r>
      <w:r w:rsidRPr="00C2052D">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5"/>
        <w:gridCol w:w="6477"/>
      </w:tblGrid>
      <w:tr w:rsidR="00EE00E9" w:rsidRPr="00D3562F"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C2052D" w:rsidRDefault="00EE00E9" w:rsidP="00954B82">
            <w:pPr>
              <w:jc w:val="center"/>
              <w:rPr>
                <w:rFonts w:ascii="Cambria" w:hAnsi="Cambria"/>
                <w:bCs/>
                <w:color w:val="FFFFFF" w:themeColor="background1"/>
                <w:sz w:val="19"/>
                <w:szCs w:val="19"/>
                <w:lang w:val="es-ES"/>
              </w:rPr>
            </w:pPr>
            <w:r w:rsidRPr="00C2052D">
              <w:rPr>
                <w:rFonts w:ascii="Cambria" w:hAnsi="Cambria"/>
                <w:bCs/>
                <w:color w:val="FFFFFF" w:themeColor="background1"/>
                <w:sz w:val="19"/>
                <w:szCs w:val="19"/>
                <w:lang w:val="es-ES"/>
              </w:rPr>
              <w:t xml:space="preserve">Duplicación </w:t>
            </w:r>
            <w:r w:rsidR="00D77503" w:rsidRPr="00C2052D">
              <w:rPr>
                <w:rFonts w:ascii="Cambria" w:hAnsi="Cambria"/>
                <w:bCs/>
                <w:color w:val="FFFFFF" w:themeColor="background1"/>
                <w:sz w:val="19"/>
                <w:szCs w:val="19"/>
                <w:lang w:val="es-ES"/>
              </w:rPr>
              <w:t>y cosa juzgada internacional</w:t>
            </w:r>
          </w:p>
        </w:tc>
        <w:tc>
          <w:tcPr>
            <w:tcW w:w="6570" w:type="dxa"/>
            <w:vAlign w:val="center"/>
          </w:tcPr>
          <w:p w14:paraId="240941E6" w14:textId="48DED42A" w:rsidR="00EE00E9" w:rsidRPr="00C2052D" w:rsidRDefault="00454C28" w:rsidP="005D3083">
            <w:pPr>
              <w:jc w:val="both"/>
              <w:rPr>
                <w:rFonts w:ascii="Cambria" w:hAnsi="Cambria"/>
                <w:bCs/>
                <w:sz w:val="19"/>
                <w:szCs w:val="19"/>
                <w:lang w:val="es-ES"/>
              </w:rPr>
            </w:pPr>
            <w:r w:rsidRPr="00C2052D">
              <w:rPr>
                <w:rFonts w:ascii="Cambria" w:hAnsi="Cambria"/>
                <w:bCs/>
                <w:sz w:val="19"/>
                <w:szCs w:val="19"/>
                <w:lang w:val="es-ES"/>
              </w:rPr>
              <w:t>No</w:t>
            </w:r>
          </w:p>
        </w:tc>
      </w:tr>
      <w:tr w:rsidR="003239B8" w:rsidRPr="00AC6264" w14:paraId="15FAA7D1" w14:textId="77777777" w:rsidTr="00DE6153">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C2052D" w:rsidRDefault="003239B8" w:rsidP="00954B82">
            <w:pPr>
              <w:jc w:val="center"/>
              <w:rPr>
                <w:rFonts w:ascii="Cambria" w:hAnsi="Cambria"/>
                <w:bCs/>
                <w:i/>
                <w:color w:val="FFFFFF" w:themeColor="background1"/>
                <w:sz w:val="19"/>
                <w:szCs w:val="19"/>
                <w:lang w:val="es-ES"/>
              </w:rPr>
            </w:pPr>
            <w:r w:rsidRPr="00C2052D">
              <w:rPr>
                <w:rFonts w:ascii="Cambria" w:hAnsi="Cambria"/>
                <w:bCs/>
                <w:color w:val="FFFFFF" w:themeColor="background1"/>
                <w:sz w:val="19"/>
                <w:szCs w:val="19"/>
                <w:lang w:val="es-ES"/>
              </w:rPr>
              <w:t>Derechos admi</w:t>
            </w:r>
            <w:r w:rsidR="00954B82" w:rsidRPr="00C2052D">
              <w:rPr>
                <w:rFonts w:ascii="Cambria" w:hAnsi="Cambria"/>
                <w:bCs/>
                <w:color w:val="FFFFFF" w:themeColor="background1"/>
                <w:sz w:val="19"/>
                <w:szCs w:val="19"/>
                <w:lang w:val="es-ES"/>
              </w:rPr>
              <w:t>tidos</w:t>
            </w:r>
          </w:p>
        </w:tc>
        <w:tc>
          <w:tcPr>
            <w:tcW w:w="6570" w:type="dxa"/>
            <w:shd w:val="clear" w:color="auto" w:fill="auto"/>
            <w:vAlign w:val="center"/>
          </w:tcPr>
          <w:p w14:paraId="6310C8F7" w14:textId="326680FD" w:rsidR="003239B8" w:rsidRPr="00C2052D" w:rsidRDefault="00AC6264" w:rsidP="00B17051">
            <w:pPr>
              <w:jc w:val="both"/>
              <w:rPr>
                <w:rFonts w:ascii="Cambria" w:hAnsi="Cambria"/>
                <w:bCs/>
                <w:sz w:val="19"/>
                <w:szCs w:val="19"/>
                <w:lang w:val="es-ES"/>
              </w:rPr>
            </w:pPr>
            <w:r>
              <w:rPr>
                <w:rFonts w:ascii="Cambria" w:hAnsi="Cambria"/>
                <w:bCs/>
                <w:sz w:val="20"/>
                <w:szCs w:val="20"/>
                <w:lang w:val="es-ES"/>
              </w:rPr>
              <w:t>Ninguno</w:t>
            </w:r>
            <w:r w:rsidR="00B17051">
              <w:rPr>
                <w:rFonts w:ascii="Cambria" w:hAnsi="Cambria"/>
                <w:bCs/>
                <w:sz w:val="19"/>
                <w:szCs w:val="19"/>
                <w:lang w:val="es-ES"/>
              </w:rPr>
              <w:t xml:space="preserve"> </w:t>
            </w:r>
          </w:p>
        </w:tc>
      </w:tr>
      <w:tr w:rsidR="003239B8" w:rsidRPr="00AC6264"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C2052D" w:rsidRDefault="003239B8" w:rsidP="006775AB">
            <w:pPr>
              <w:jc w:val="center"/>
              <w:rPr>
                <w:rFonts w:ascii="Cambria" w:hAnsi="Cambria"/>
                <w:bCs/>
                <w:color w:val="FFFFFF" w:themeColor="background1"/>
                <w:sz w:val="19"/>
                <w:szCs w:val="19"/>
                <w:lang w:val="es-ES"/>
              </w:rPr>
            </w:pPr>
            <w:r w:rsidRPr="00C2052D">
              <w:rPr>
                <w:rFonts w:ascii="Cambria" w:hAnsi="Cambria"/>
                <w:bCs/>
                <w:color w:val="FFFFFF" w:themeColor="background1"/>
                <w:sz w:val="19"/>
                <w:szCs w:val="19"/>
                <w:lang w:val="es-ES"/>
              </w:rPr>
              <w:t>Agotamiento de</w:t>
            </w:r>
            <w:r w:rsidR="0069402E" w:rsidRPr="00C2052D">
              <w:rPr>
                <w:rFonts w:ascii="Cambria" w:hAnsi="Cambria"/>
                <w:bCs/>
                <w:color w:val="FFFFFF" w:themeColor="background1"/>
                <w:sz w:val="19"/>
                <w:szCs w:val="19"/>
                <w:lang w:val="es-ES"/>
              </w:rPr>
              <w:t xml:space="preserve"> </w:t>
            </w:r>
            <w:r w:rsidRPr="00C2052D">
              <w:rPr>
                <w:rFonts w:ascii="Cambria" w:hAnsi="Cambria"/>
                <w:bCs/>
                <w:color w:val="FFFFFF" w:themeColor="background1"/>
                <w:sz w:val="19"/>
                <w:szCs w:val="19"/>
                <w:lang w:val="es-ES"/>
              </w:rPr>
              <w:t xml:space="preserve">recursos </w:t>
            </w:r>
            <w:r w:rsidR="00D77503" w:rsidRPr="00C2052D">
              <w:rPr>
                <w:rFonts w:ascii="Cambria" w:hAnsi="Cambria"/>
                <w:bCs/>
                <w:color w:val="FFFFFF" w:themeColor="background1"/>
                <w:sz w:val="19"/>
                <w:szCs w:val="19"/>
                <w:lang w:val="es-ES"/>
              </w:rPr>
              <w:t>o procedencia de una excepción</w:t>
            </w:r>
          </w:p>
        </w:tc>
        <w:tc>
          <w:tcPr>
            <w:tcW w:w="6570" w:type="dxa"/>
            <w:vAlign w:val="center"/>
          </w:tcPr>
          <w:p w14:paraId="69C53E8A" w14:textId="44311818" w:rsidR="003239B8" w:rsidRPr="00C2052D" w:rsidRDefault="00454C28" w:rsidP="00BB3FBD">
            <w:pPr>
              <w:rPr>
                <w:rFonts w:ascii="Cambria" w:hAnsi="Cambria"/>
                <w:bCs/>
                <w:sz w:val="19"/>
                <w:szCs w:val="19"/>
                <w:lang w:val="es-ES"/>
              </w:rPr>
            </w:pPr>
            <w:r w:rsidRPr="00C2052D">
              <w:rPr>
                <w:rFonts w:ascii="Cambria" w:hAnsi="Cambria"/>
                <w:bCs/>
                <w:sz w:val="19"/>
                <w:szCs w:val="19"/>
                <w:lang w:val="es-ES"/>
              </w:rPr>
              <w:t>S</w:t>
            </w:r>
            <w:r w:rsidR="00AC6264">
              <w:rPr>
                <w:rFonts w:ascii="Cambria" w:hAnsi="Cambria"/>
                <w:bCs/>
                <w:sz w:val="19"/>
                <w:szCs w:val="19"/>
                <w:lang w:val="es-ES"/>
              </w:rPr>
              <w:t>í</w:t>
            </w:r>
          </w:p>
        </w:tc>
      </w:tr>
      <w:tr w:rsidR="003239B8" w:rsidRPr="00AC6264"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C2052D" w:rsidRDefault="00D77503" w:rsidP="005D3083">
            <w:pPr>
              <w:jc w:val="center"/>
              <w:rPr>
                <w:rFonts w:ascii="Cambria" w:hAnsi="Cambria"/>
                <w:bCs/>
                <w:color w:val="FFFFFF" w:themeColor="background1"/>
                <w:sz w:val="19"/>
                <w:szCs w:val="19"/>
                <w:lang w:val="es-ES"/>
              </w:rPr>
            </w:pPr>
            <w:r w:rsidRPr="00C2052D">
              <w:rPr>
                <w:rFonts w:ascii="Cambria" w:hAnsi="Cambria"/>
                <w:bCs/>
                <w:color w:val="FFFFFF" w:themeColor="background1"/>
                <w:sz w:val="19"/>
                <w:szCs w:val="19"/>
                <w:lang w:val="es-ES"/>
              </w:rPr>
              <w:t>Presentación dentro de plazo</w:t>
            </w:r>
          </w:p>
        </w:tc>
        <w:tc>
          <w:tcPr>
            <w:tcW w:w="6570" w:type="dxa"/>
            <w:vAlign w:val="center"/>
          </w:tcPr>
          <w:p w14:paraId="4A2A4569" w14:textId="6FA686A3" w:rsidR="003239B8" w:rsidRPr="00C2052D" w:rsidRDefault="00AC6264" w:rsidP="005D3083">
            <w:pPr>
              <w:rPr>
                <w:rFonts w:ascii="Cambria" w:hAnsi="Cambria"/>
                <w:bCs/>
                <w:sz w:val="19"/>
                <w:szCs w:val="19"/>
                <w:lang w:val="es-ES" w:eastAsia="ja-JP"/>
              </w:rPr>
            </w:pPr>
            <w:r>
              <w:rPr>
                <w:rFonts w:ascii="Cambria" w:hAnsi="Cambria"/>
                <w:bCs/>
                <w:sz w:val="19"/>
                <w:szCs w:val="19"/>
                <w:lang w:val="es-ES"/>
              </w:rPr>
              <w:t>No</w:t>
            </w:r>
          </w:p>
        </w:tc>
      </w:tr>
    </w:tbl>
    <w:p w14:paraId="11948192" w14:textId="77777777" w:rsidR="00712C03" w:rsidRDefault="00712C03" w:rsidP="00712C03">
      <w:pPr>
        <w:spacing w:after="120"/>
        <w:ind w:firstLine="720"/>
        <w:jc w:val="both"/>
        <w:rPr>
          <w:rFonts w:ascii="Cambria" w:hAnsi="Cambria"/>
          <w:b/>
          <w:sz w:val="20"/>
          <w:szCs w:val="20"/>
          <w:lang w:val="es-ES"/>
        </w:rPr>
      </w:pPr>
    </w:p>
    <w:p w14:paraId="4EF3AD43" w14:textId="01BED8EC" w:rsidR="002D3705" w:rsidRDefault="00223A29" w:rsidP="003D619F">
      <w:pPr>
        <w:spacing w:before="120" w:after="120"/>
        <w:ind w:firstLine="720"/>
        <w:jc w:val="both"/>
        <w:rPr>
          <w:rFonts w:ascii="Cambria" w:hAnsi="Cambria"/>
          <w:b/>
          <w:sz w:val="20"/>
          <w:szCs w:val="20"/>
          <w:lang w:val="es-ES"/>
        </w:rPr>
      </w:pPr>
      <w:r w:rsidRPr="00C2052D">
        <w:rPr>
          <w:rFonts w:ascii="Cambria" w:hAnsi="Cambria"/>
          <w:b/>
          <w:sz w:val="20"/>
          <w:szCs w:val="20"/>
          <w:lang w:val="es-ES"/>
        </w:rPr>
        <w:t xml:space="preserve">V. </w:t>
      </w:r>
      <w:r w:rsidRPr="00C2052D">
        <w:rPr>
          <w:rFonts w:ascii="Cambria" w:hAnsi="Cambria"/>
          <w:b/>
          <w:sz w:val="20"/>
          <w:szCs w:val="20"/>
          <w:lang w:val="es-ES"/>
        </w:rPr>
        <w:tab/>
      </w:r>
      <w:r w:rsidR="0034224A" w:rsidRPr="00C2052D">
        <w:rPr>
          <w:rFonts w:ascii="Cambria" w:hAnsi="Cambria"/>
          <w:b/>
          <w:sz w:val="20"/>
          <w:szCs w:val="20"/>
          <w:lang w:val="es-ES"/>
        </w:rPr>
        <w:t>RESUMEN DE LOS HECHOS ALEGADOS</w:t>
      </w:r>
    </w:p>
    <w:p w14:paraId="412E2023" w14:textId="7668FB87" w:rsidR="00AC6264" w:rsidRPr="00AC6264" w:rsidRDefault="00AC6264" w:rsidP="00134EA3">
      <w:pPr>
        <w:pStyle w:val="ListParagraph"/>
        <w:numPr>
          <w:ilvl w:val="0"/>
          <w:numId w:val="55"/>
        </w:numPr>
        <w:suppressAutoHyphens/>
        <w:spacing w:before="120" w:after="240"/>
        <w:jc w:val="both"/>
        <w:rPr>
          <w:lang w:val="es-ES"/>
        </w:rPr>
      </w:pPr>
      <w:r w:rsidRPr="00AC6264">
        <w:rPr>
          <w:sz w:val="20"/>
          <w:szCs w:val="20"/>
          <w:lang w:val="es-MX"/>
        </w:rPr>
        <w:t>Fernando Beulo Lopéz Arias (en adelante “el peticionario”) afirma haber sido condenado erróneamente por homicidio y otros delitos principalmente en base a una confesión que presuntamente fue extraída ilegalmente por la fiscalía.</w:t>
      </w:r>
    </w:p>
    <w:p w14:paraId="3C28041D" w14:textId="2CD66FC3" w:rsidR="00AC6264" w:rsidRPr="00AC6264" w:rsidRDefault="00AC6264" w:rsidP="00134EA3">
      <w:pPr>
        <w:pStyle w:val="ListParagraph"/>
        <w:numPr>
          <w:ilvl w:val="0"/>
          <w:numId w:val="55"/>
        </w:numPr>
        <w:suppressAutoHyphens/>
        <w:spacing w:before="120" w:after="240"/>
        <w:jc w:val="both"/>
        <w:rPr>
          <w:sz w:val="20"/>
          <w:szCs w:val="20"/>
          <w:lang w:val="es-ES"/>
        </w:rPr>
      </w:pPr>
      <w:r w:rsidRPr="00AC6264">
        <w:rPr>
          <w:sz w:val="20"/>
          <w:szCs w:val="20"/>
          <w:lang w:val="es-ES"/>
        </w:rPr>
        <w:t xml:space="preserve">El asesinato fue perpetrado el 12 de diciembre de 2006 en la ciudad de Naucalpan de Juárez en el estado de México, que resultó en una investigación por parte de la Oficina del Procurador Público (Procuraduría General de Justicia del Estado de México o “PGJE”). En el marco de esta investigación, el 29 de enero de 2007 el peticionario fue citado como testigo mediante citación que requirió su comparecencia el 31 de enero de 2007. El peticionario sostiene que el día anterior a su comparecencia fue detenido por agentes de la Policía </w:t>
      </w:r>
      <w:r w:rsidR="00712C03" w:rsidRPr="00AC6264">
        <w:rPr>
          <w:sz w:val="20"/>
          <w:szCs w:val="20"/>
          <w:lang w:val="es-ES"/>
        </w:rPr>
        <w:t>Judicial,</w:t>
      </w:r>
      <w:r w:rsidRPr="00AC6264">
        <w:rPr>
          <w:sz w:val="20"/>
          <w:szCs w:val="20"/>
          <w:lang w:val="es-ES"/>
        </w:rPr>
        <w:t xml:space="preserve"> quienes lo llevaron inicialmente a las oficinas de la PGJE en Naucalpan de Juárez, y </w:t>
      </w:r>
      <w:r w:rsidRPr="00AC6264">
        <w:rPr>
          <w:sz w:val="20"/>
          <w:szCs w:val="20"/>
          <w:lang w:val="es-ES"/>
        </w:rPr>
        <w:lastRenderedPageBreak/>
        <w:t>posteriormente a sus oficinas en la ciudad de Toluca de Lerdo. Presuntamente la víctima estuvo detenida incomunicada durante 27 horas, tiempo durante el cual no pudo contactar a su familia ni consultar con un abogado de su elección.</w:t>
      </w:r>
    </w:p>
    <w:p w14:paraId="4F6A6ABA" w14:textId="43E1336C" w:rsidR="00AC6264" w:rsidRPr="00AC6264" w:rsidRDefault="00AC6264" w:rsidP="00134EA3">
      <w:pPr>
        <w:pStyle w:val="ListParagraph"/>
        <w:numPr>
          <w:ilvl w:val="0"/>
          <w:numId w:val="55"/>
        </w:numPr>
        <w:suppressAutoHyphens/>
        <w:spacing w:before="120" w:after="240"/>
        <w:jc w:val="both"/>
        <w:rPr>
          <w:sz w:val="20"/>
          <w:szCs w:val="20"/>
          <w:lang w:val="es-ES"/>
        </w:rPr>
      </w:pPr>
      <w:r w:rsidRPr="00AC6264">
        <w:rPr>
          <w:sz w:val="20"/>
          <w:szCs w:val="20"/>
          <w:lang w:val="es-ES"/>
        </w:rPr>
        <w:t>Los agentes policiales que detuvieron al peticionario alegaron que este paso se justificó principalmente porque los había maldecido y amenazado; y que intentó sobornarlos para que lo liberaran ofreciéndoles un pago de un millón de pesos. El peticionario alega que fue obligado o inducido a rendir declaración en la que indicó que ordenó el asesinato mencionado y dispuso que el perpetrador material lo llevara a cabo; destaca que su declaración se dio sin la presencia de ningún abogado.</w:t>
      </w:r>
    </w:p>
    <w:p w14:paraId="317E9A87" w14:textId="1BF9C865" w:rsidR="00AC6264" w:rsidRPr="00AC6264" w:rsidRDefault="00AC6264" w:rsidP="00134EA3">
      <w:pPr>
        <w:pStyle w:val="ListParagraph"/>
        <w:numPr>
          <w:ilvl w:val="0"/>
          <w:numId w:val="55"/>
        </w:numPr>
        <w:suppressAutoHyphens/>
        <w:spacing w:before="120" w:after="240"/>
        <w:jc w:val="both"/>
        <w:rPr>
          <w:sz w:val="20"/>
          <w:szCs w:val="20"/>
          <w:lang w:val="es-ES"/>
        </w:rPr>
      </w:pPr>
      <w:r w:rsidRPr="00AC6264">
        <w:rPr>
          <w:sz w:val="20"/>
          <w:szCs w:val="20"/>
          <w:lang w:val="es-ES"/>
        </w:rPr>
        <w:t>En febrero de 2007 se inició el proceso penal contra el peticionario ante el Juzgado Penal de Primera Instancia, por los delitos de homicidio agravado (homicidio calificado), soborno (cohecho) y delitos contra la administración de justicia (ultrajes en agravio de la administración de justicia). El tribunal dictó orden de prisión preventiva el 4 de febrero de 2007, la cual se prolongó durante todo el juicio; el 29 de febrero de 2008 el peticionario fue declarado culpable de todos los delitos antes mencionados y condenado a 60 años y seis meses de prisión.</w:t>
      </w:r>
    </w:p>
    <w:p w14:paraId="58899D30" w14:textId="7619660C" w:rsidR="00AC6264" w:rsidRDefault="00AC6264" w:rsidP="00134EA3">
      <w:pPr>
        <w:pStyle w:val="ListParagraph"/>
        <w:numPr>
          <w:ilvl w:val="0"/>
          <w:numId w:val="55"/>
        </w:numPr>
        <w:suppressAutoHyphens/>
        <w:spacing w:before="120" w:after="240"/>
        <w:jc w:val="both"/>
        <w:rPr>
          <w:sz w:val="20"/>
          <w:szCs w:val="20"/>
          <w:lang w:val="es-ES"/>
        </w:rPr>
      </w:pPr>
      <w:r w:rsidRPr="00AC6264">
        <w:rPr>
          <w:sz w:val="20"/>
          <w:szCs w:val="20"/>
          <w:lang w:val="es-ES"/>
        </w:rPr>
        <w:t>Entre 2008 y 2010 el peticionario invocó infructuosamente varios recursos posteriores al juicio para impugnar sus condenas y las circunstancias que las motivaron, incluida su presunta detención ilegal. Al respecto, el peticionario interpuso recurso de apelación ante la Segunda Sala Colegiada Penal, la cual lo desestimó el 1 de julio de 2008. Posteriormente, el peticionario inició un proceso de amparo ante el Tercer Tribunal Colegiado en lo Penal del Segundo Circuito (Tercer Tribunal Colegiado en Materia Penal del Segundo Circuito o “Tercer Tribunal”). El Tercer Tribunal remitió el asunto a la Segunda Sala Colegiada en lo Penal, la cual finalmente reafirmó su sentencia anterior el 17 de marzo de 2009. Finalmente, el peticionario interpuso un recurso de revisión extraordinario en febrero de 2010, el cual fue denegado el 8 de abril de 2010.</w:t>
      </w:r>
      <w:r w:rsidRPr="00AC6264">
        <w:rPr>
          <w:rStyle w:val="FootnoteReference"/>
          <w:sz w:val="20"/>
          <w:szCs w:val="20"/>
          <w:lang w:val="es-ES"/>
        </w:rPr>
        <w:footnoteReference w:id="5"/>
      </w:r>
      <w:r w:rsidRPr="00AC6264">
        <w:rPr>
          <w:sz w:val="20"/>
          <w:szCs w:val="20"/>
          <w:lang w:val="es-ES"/>
        </w:rPr>
        <w:t xml:space="preserve"> Según el peticionario, sus representantes legales fueron notificados sobre la denegación el 8 de abril de 2010, pero no fue notificado personalmente hasta principios de 2011. El peticionario sostiene que cumplió con el requisito de agotamiento de los recursos internos antes de presentar su petición ante la CIDH.</w:t>
      </w:r>
    </w:p>
    <w:p w14:paraId="2D7900CE" w14:textId="5C8D21EC" w:rsidR="00AC6264" w:rsidRPr="00AC6264" w:rsidRDefault="00AC6264" w:rsidP="00134EA3">
      <w:pPr>
        <w:pStyle w:val="ListParagraph"/>
        <w:numPr>
          <w:ilvl w:val="0"/>
          <w:numId w:val="55"/>
        </w:numPr>
        <w:suppressAutoHyphens/>
        <w:spacing w:before="120" w:after="240"/>
        <w:jc w:val="both"/>
        <w:rPr>
          <w:sz w:val="20"/>
          <w:szCs w:val="20"/>
          <w:lang w:val="es-ES"/>
        </w:rPr>
      </w:pPr>
      <w:r w:rsidRPr="00AC6264">
        <w:rPr>
          <w:sz w:val="20"/>
          <w:szCs w:val="20"/>
          <w:lang w:val="es-ES"/>
        </w:rPr>
        <w:t>En última instancia, el peticionario sostiene que fue condenado por un homicidio que no cometió, fundamentalmente con base en una confesión que fue otorgada en violación a sus derechos, incluido el debido proceso. Sostiene además que las autoridades judiciales no proporcionaron ninguna reparación y que aplicaron o malinterpretaron disposiciones pertinentes de la legislación nacional, incluida la Constitución y el Código Penal de México.</w:t>
      </w:r>
    </w:p>
    <w:p w14:paraId="49599848" w14:textId="2AFA2A55" w:rsidR="00AC6264" w:rsidRPr="00AC6264" w:rsidRDefault="00AC6264" w:rsidP="00134EA3">
      <w:pPr>
        <w:pStyle w:val="ListParagraph"/>
        <w:numPr>
          <w:ilvl w:val="0"/>
          <w:numId w:val="55"/>
        </w:numPr>
        <w:suppressAutoHyphens/>
        <w:spacing w:before="120" w:after="240"/>
        <w:jc w:val="both"/>
        <w:rPr>
          <w:sz w:val="20"/>
          <w:szCs w:val="20"/>
          <w:lang w:val="es-ES"/>
        </w:rPr>
      </w:pPr>
      <w:r w:rsidRPr="00AC6264">
        <w:rPr>
          <w:sz w:val="20"/>
          <w:szCs w:val="20"/>
          <w:lang w:val="es-ES"/>
        </w:rPr>
        <w:t>Por su parte, el Estado sostiene que la petición es inadmisible principalmente por la falta de agotamiento de los recursos internos; presentación inoportuna; y que la adjudicación de la petición sería contraria a la denominada “fórmula de cuarta instancia”. El Estado también alega que la confesión fue emitida el 2 de febrero de 2007 en presencia de dos abogados seleccionados por el peticionario; que nunca estuvo detenido en régimen de incomunicación; y que fue implicado no solo por su confesión, sino también por otras pruebas, incluida una declaración del autor material que admitió haber disparado y asesinado a la víctima a instigación del peticionario. El Estado indica además que el peticionario fue detenido inicialmente el 30 de enero de 2007, cuando presuntamente insultó a agentes policiales e intentó sobornarlos. En definitiva, el peticionario fue procesado en febrero de 2007 por homicidio agravado, delitos contra la administración de justicia y sobornos en perjuicio de la administración de justicia; y se ordenó su prisión preventiva el 4 de febrero de 2007.</w:t>
      </w:r>
    </w:p>
    <w:p w14:paraId="5A36C024" w14:textId="6A2F2AF6" w:rsidR="00AC6264" w:rsidRPr="00AC6264" w:rsidRDefault="00AC6264" w:rsidP="00134EA3">
      <w:pPr>
        <w:pStyle w:val="ListParagraph"/>
        <w:numPr>
          <w:ilvl w:val="0"/>
          <w:numId w:val="55"/>
        </w:numPr>
        <w:suppressAutoHyphens/>
        <w:spacing w:before="120" w:after="240"/>
        <w:jc w:val="both"/>
        <w:rPr>
          <w:sz w:val="20"/>
          <w:szCs w:val="20"/>
          <w:lang w:val="es-ES"/>
        </w:rPr>
      </w:pPr>
      <w:r w:rsidRPr="00AC6264">
        <w:rPr>
          <w:sz w:val="20"/>
          <w:szCs w:val="20"/>
          <w:lang w:val="es-ES"/>
        </w:rPr>
        <w:t xml:space="preserve">Según el Estado, el 29 de febrero de 2008 el peticionario fue condenado por homicidio agravado y cohecho en perjuicio de la administración de justicia; pero absuelto de los delitos contra la administración de justicia. El peticionario fue condenado a 55 años de prisión y multa por el delito de homicidio agravado y a seis años y seis meses por el cohecho. Una apelación posterior confirmó la decisión del tribunal </w:t>
      </w:r>
      <w:r w:rsidRPr="00AC6264">
        <w:rPr>
          <w:sz w:val="20"/>
          <w:szCs w:val="20"/>
          <w:lang w:val="es-ES"/>
        </w:rPr>
        <w:lastRenderedPageBreak/>
        <w:t>de primera instancia el 1 de julio de 2008; a continuación, el peticionario invocó un recurso de amparo, que dio lugar a que el asunto fuera remitido a la Cámara de Apelaciones para su reconsideración el 12 de febrero de 2009. El 17 de marzo de 2009 la Cámara de Apelaciones dictó una nueva sentencia que redujo la pena privativa de libertad y el monto de la multa, pero que también mantuvo la condena por cohecho. El 10 de febrero de 2010 el peticionario invocó el recurso de revisión especial que posteriormente fue desestimado por infundado el 8 de abril de 2010.</w:t>
      </w:r>
    </w:p>
    <w:p w14:paraId="2E9001E6" w14:textId="72DB7402" w:rsidR="00AC6264" w:rsidRPr="00AC6264" w:rsidRDefault="00AC6264" w:rsidP="00134EA3">
      <w:pPr>
        <w:pStyle w:val="ListParagraph"/>
        <w:numPr>
          <w:ilvl w:val="0"/>
          <w:numId w:val="55"/>
        </w:numPr>
        <w:suppressAutoHyphens/>
        <w:spacing w:before="120" w:after="240"/>
        <w:jc w:val="both"/>
        <w:rPr>
          <w:sz w:val="20"/>
          <w:szCs w:val="20"/>
          <w:lang w:val="es-ES"/>
        </w:rPr>
      </w:pPr>
      <w:r w:rsidRPr="00AC6264">
        <w:rPr>
          <w:sz w:val="20"/>
          <w:szCs w:val="20"/>
          <w:lang w:val="es-ES"/>
        </w:rPr>
        <w:t>El Estado sostiene que el peticionario no agotó los recursos internos en tres aspectos. En primer lugar, sostiene que la decisión del 17 de marzo de 2009 estaba abierta a impugnación mediante recurso de apelación y, de no prosperar, mediante amparo directo. En segundo lugar, alega que la orden de prisión preventiva del 4 de febrero de 2007 también podía impugnarse mediante recurso de apelación y, en su defecto, de amparo directo. Finalmente, el Estado argumenta que el peticionario pudo haber impugnado su detención inicial mediante un proceso de amparo y, en su defecto, un recurso de apelación.</w:t>
      </w:r>
    </w:p>
    <w:p w14:paraId="67FE5667" w14:textId="6081B1BF" w:rsidR="00AC6264" w:rsidRDefault="00AC6264" w:rsidP="00134EA3">
      <w:pPr>
        <w:pStyle w:val="ListParagraph"/>
        <w:numPr>
          <w:ilvl w:val="0"/>
          <w:numId w:val="55"/>
        </w:numPr>
        <w:suppressAutoHyphens/>
        <w:spacing w:before="120" w:after="240"/>
        <w:jc w:val="both"/>
        <w:rPr>
          <w:sz w:val="20"/>
          <w:szCs w:val="20"/>
          <w:lang w:val="es-ES"/>
        </w:rPr>
      </w:pPr>
      <w:r w:rsidRPr="00AC6264">
        <w:rPr>
          <w:sz w:val="20"/>
          <w:szCs w:val="20"/>
          <w:lang w:val="es-ES"/>
        </w:rPr>
        <w:t>Según el Estado, la petición fue presentada fuera del plazo de seis meses establecido por el Reglamento de la CIDH. Al respecto, el Estado considera que la decisión final respecto de los reclamos del peticionario fue la del 17 de marzo de 2009 por el tribunal de apelaciones, la cual presuntamente fue notificada al peticionario ese mismo día. El Estado sostiene además que la petición del peticionario no fue presentada hasta el 8 de marzo de 2011, un año, 11 meses y tres semanas después de la notificación de la decisión final. El proceso posterior iniciado por el peticionario en febrero de 2010 no fue un recurso adecuado para atender sus denuncias porque no alegaba la inconstitucionalidad de ninguna ley, sino violaciones a sus derechos humanos. En todo caso, el Estado observa que el peticionario fue notificado de la desestimación de su solicitud el 8 de abril de 2010, once meses antes de que presentara su petición ante la CIDH. Alega, además, que los representantes del peticionario fueron notificados sobre esta denegatoria el 8 de abril de 2010; y que el hecho de que no fue notificado personalmente hasta mucho después no es culpa del Estado. Señala que ya sea que se calcule a partir de marzo de 2009 o abril de 2010, la petición es extemporánea.</w:t>
      </w:r>
    </w:p>
    <w:p w14:paraId="5B63B979" w14:textId="5028937B" w:rsidR="00AC6264" w:rsidRPr="00AC6264" w:rsidRDefault="00AC6264" w:rsidP="00134EA3">
      <w:pPr>
        <w:pStyle w:val="ListParagraph"/>
        <w:numPr>
          <w:ilvl w:val="0"/>
          <w:numId w:val="55"/>
        </w:numPr>
        <w:suppressAutoHyphens/>
        <w:spacing w:before="120" w:after="240"/>
        <w:jc w:val="both"/>
        <w:rPr>
          <w:sz w:val="20"/>
          <w:szCs w:val="20"/>
          <w:lang w:val="es-ES"/>
        </w:rPr>
      </w:pPr>
      <w:r w:rsidRPr="00AC6264">
        <w:rPr>
          <w:sz w:val="20"/>
          <w:szCs w:val="20"/>
          <w:lang w:val="es-ES"/>
        </w:rPr>
        <w:t>En cuanto a la denominada “fórmula de cuarta instancia”, el Estado alega que las denuncias del peticionario han sido ventiladas y resueltas ante los tribunales internos y que no es función de la CIDH revisar sus decisiones, ni conocer los alegatos del peticionario sobre alegaciones de errores jurisprudenciales. En esencia, sostiene que el mero desacuerdo con las decisiones de los tribunales internos no es base para la intervención de la Comisión Interamericana. El Estado considera que los derechos del peticionario fueron debidamente protegidos por las autoridades internas y destaca que el arresto y posterior detención del peticionario fueron lícitas y que su declaración auto inculpatoria se realizó en presencia de sus abogados. El Estado también reitera que la condena se basó no solo en la declaración auto inculpatoria sino en otras pruebas.</w:t>
      </w:r>
    </w:p>
    <w:p w14:paraId="324587DB" w14:textId="75292864" w:rsidR="00AC6264" w:rsidRPr="00AC6264" w:rsidRDefault="00AC6264" w:rsidP="00134EA3">
      <w:pPr>
        <w:pStyle w:val="ListParagraph"/>
        <w:numPr>
          <w:ilvl w:val="0"/>
          <w:numId w:val="55"/>
        </w:numPr>
        <w:suppressAutoHyphens/>
        <w:spacing w:before="120" w:after="240"/>
        <w:jc w:val="both"/>
        <w:rPr>
          <w:sz w:val="20"/>
          <w:szCs w:val="20"/>
          <w:lang w:val="es-ES"/>
        </w:rPr>
      </w:pPr>
      <w:r w:rsidRPr="00AC6264">
        <w:rPr>
          <w:sz w:val="20"/>
          <w:szCs w:val="20"/>
          <w:lang w:val="es-ES"/>
        </w:rPr>
        <w:t>En respuesta al Estado, el peticionario no niega que su declaración fue rendida en presencia de dos abogados de su elección; sin embargo, rechaza el alegato del Estado de que no agotó los recursos internos y menciona específicamente que no fue jurídicamente posible apelar la decisión de apelación de marzo de 2009. Sostiene, además, que la orden de prisión preventiva del 4 de febrero de 2007 fue interlocutoria, por lo que no es susceptible de apelación. El peticionario rechaza el argumento de cuarta instancia del Estado y reitera que existieron errores jurisprudenciales, irregularidades y violaciones al debido proceso en el proceso penal que siguen sin ser subsanadas por los tribunales internos.</w:t>
      </w:r>
    </w:p>
    <w:p w14:paraId="05336E79" w14:textId="3B63935F" w:rsidR="000A4E41" w:rsidRPr="00C2052D" w:rsidRDefault="00712C03" w:rsidP="00C205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MX"/>
        </w:rPr>
      </w:pPr>
      <w:r>
        <w:rPr>
          <w:rFonts w:asciiTheme="majorHAnsi" w:hAnsiTheme="majorHAnsi"/>
          <w:b/>
          <w:sz w:val="20"/>
          <w:szCs w:val="20"/>
          <w:lang w:val="es-MX"/>
        </w:rPr>
        <w:tab/>
      </w:r>
      <w:r w:rsidR="001A47DA" w:rsidRPr="00C2052D">
        <w:rPr>
          <w:rFonts w:asciiTheme="majorHAnsi" w:hAnsiTheme="majorHAnsi"/>
          <w:b/>
          <w:sz w:val="20"/>
          <w:szCs w:val="20"/>
          <w:lang w:val="es-MX"/>
        </w:rPr>
        <w:t>VI.</w:t>
      </w:r>
      <w:r w:rsidR="001A47DA" w:rsidRPr="00C2052D">
        <w:rPr>
          <w:rFonts w:asciiTheme="majorHAnsi" w:hAnsiTheme="majorHAnsi"/>
          <w:b/>
          <w:sz w:val="20"/>
          <w:szCs w:val="20"/>
          <w:lang w:val="es-MX"/>
        </w:rPr>
        <w:tab/>
        <w:t xml:space="preserve"> AGOTAMIENTO DE LOS RECURSOS INTERNOS Y PLAZO DE PRESENTACION</w:t>
      </w:r>
      <w:r w:rsidR="001A47DA">
        <w:rPr>
          <w:sz w:val="20"/>
          <w:szCs w:val="20"/>
          <w:lang w:val="es-MX"/>
        </w:rPr>
        <w:t>.</w:t>
      </w:r>
    </w:p>
    <w:p w14:paraId="3C1C810C" w14:textId="5AD6ECF8" w:rsidR="00AC6264" w:rsidRPr="00AC6264" w:rsidRDefault="00AC6264" w:rsidP="00134E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bCs/>
          <w:sz w:val="20"/>
          <w:szCs w:val="20"/>
          <w:lang w:val="es-ES"/>
        </w:rPr>
      </w:pPr>
      <w:r w:rsidRPr="00AC6264">
        <w:rPr>
          <w:rFonts w:eastAsia="Arial Unicode MS" w:cs="Times New Roman"/>
          <w:color w:val="auto"/>
          <w:sz w:val="20"/>
          <w:szCs w:val="20"/>
          <w:lang w:val="es-ES" w:eastAsia="en-US"/>
        </w:rPr>
        <w:t>El peticionario alega que se agotaron los recursos internos con la desestimación del recurso de revisión el 8 de abril de 2010; el Estado alega que no cumplió con dicho requisito y que, en todo caso, la sentencia de</w:t>
      </w:r>
      <w:r>
        <w:rPr>
          <w:rFonts w:eastAsia="Arial Unicode MS" w:cs="Times New Roman"/>
          <w:color w:val="auto"/>
          <w:sz w:val="20"/>
          <w:szCs w:val="20"/>
          <w:lang w:val="es-ES" w:eastAsia="en-US"/>
        </w:rPr>
        <w:t>l</w:t>
      </w:r>
      <w:r w:rsidRPr="00AC6264">
        <w:rPr>
          <w:rFonts w:eastAsia="Arial Unicode MS" w:cs="Times New Roman"/>
          <w:color w:val="auto"/>
          <w:sz w:val="20"/>
          <w:szCs w:val="20"/>
          <w:lang w:val="es-ES" w:eastAsia="en-US"/>
        </w:rPr>
        <w:t xml:space="preserve"> 17 de marzo de 2009 de la Sala de Apelaciones puso efectivamente fin al proceso penal en su contra. El Estado sostiene además que el recurso de revisión no fue un recurso adecuado para atender las denuncias del peticionario.</w:t>
      </w:r>
    </w:p>
    <w:p w14:paraId="024DCA0D" w14:textId="70FA0C45" w:rsidR="00AC6264" w:rsidRDefault="00AC6264" w:rsidP="00134E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bCs/>
          <w:sz w:val="20"/>
          <w:szCs w:val="20"/>
          <w:lang w:val="es-ES"/>
        </w:rPr>
      </w:pPr>
      <w:r w:rsidRPr="00AC6264">
        <w:rPr>
          <w:bCs/>
          <w:sz w:val="20"/>
          <w:szCs w:val="20"/>
          <w:lang w:val="es-ES"/>
        </w:rPr>
        <w:t>La norma contenida en el artículo 46.1 (a) de la Convención Americana determina que primero se deben perseguir los recursos generalmente disponibles y apropiados en el ordenamiento jurídico interno. Dichos remedios deben ser lo suficientemente seguros; es decir, accesible</w:t>
      </w:r>
      <w:r>
        <w:rPr>
          <w:bCs/>
          <w:sz w:val="20"/>
          <w:szCs w:val="20"/>
          <w:lang w:val="es-ES"/>
        </w:rPr>
        <w:t>s</w:t>
      </w:r>
      <w:r w:rsidRPr="00AC6264">
        <w:rPr>
          <w:bCs/>
          <w:sz w:val="20"/>
          <w:szCs w:val="20"/>
          <w:lang w:val="es-ES"/>
        </w:rPr>
        <w:t xml:space="preserve"> y efica</w:t>
      </w:r>
      <w:r>
        <w:rPr>
          <w:bCs/>
          <w:sz w:val="20"/>
          <w:szCs w:val="20"/>
          <w:lang w:val="es-ES"/>
        </w:rPr>
        <w:t>ces</w:t>
      </w:r>
      <w:r w:rsidRPr="00AC6264">
        <w:rPr>
          <w:bCs/>
          <w:sz w:val="20"/>
          <w:szCs w:val="20"/>
          <w:lang w:val="es-ES"/>
        </w:rPr>
        <w:t xml:space="preserve"> para resolver la situación </w:t>
      </w:r>
      <w:r w:rsidRPr="00AC6264">
        <w:rPr>
          <w:bCs/>
          <w:sz w:val="20"/>
          <w:szCs w:val="20"/>
          <w:lang w:val="es-ES"/>
        </w:rPr>
        <w:lastRenderedPageBreak/>
        <w:t>en cuestión. La CIDH ha establecido que el requisito no significa necesariamente que las presuntas víctimas estén obligadas a agotar todos los recursos a su alcance; y que si se persigue una de las opciones válidas y adecuadas de acuerdo con el ordenamiento jurídico interno y el Estado tuvo la oportunidad de resolver el asunto en su jurisdicción, se ha logrado el objetivo del derecho internacional. Con base en la información disponible, la Comisión Interamericana considera que los recursos internos relativos a la presunta víctima se agotaron en abril de 2010 por la desestimación del recurso de revisión; y que, en consecuencia, la petición cumple con el requisito establecido en el artículo 46.1 (a) de la Convención Americana.</w:t>
      </w:r>
    </w:p>
    <w:p w14:paraId="43B5A7BB" w14:textId="2B149D8E" w:rsidR="00AC6264" w:rsidRDefault="00AC6264" w:rsidP="00134E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bCs/>
          <w:sz w:val="20"/>
          <w:szCs w:val="20"/>
          <w:lang w:val="es-ES"/>
        </w:rPr>
      </w:pPr>
      <w:r>
        <w:rPr>
          <w:bCs/>
          <w:sz w:val="20"/>
          <w:szCs w:val="20"/>
          <w:lang w:val="es-ES"/>
        </w:rPr>
        <w:t>Según el Estado, n</w:t>
      </w:r>
      <w:r w:rsidRPr="00AC6264">
        <w:rPr>
          <w:bCs/>
          <w:sz w:val="20"/>
          <w:szCs w:val="20"/>
          <w:lang w:val="es-ES"/>
        </w:rPr>
        <w:t xml:space="preserve">o se cumplió con el requisito de oportunidad, ya sea que la interposición se calcule a partir de la decisión de apelación de marzo de 2009 o del sobreseimiento del recurso de revisión en abril de 2010. El peticionario reconoce que sus representantes legales fueron notificados </w:t>
      </w:r>
      <w:r>
        <w:rPr>
          <w:bCs/>
          <w:sz w:val="20"/>
          <w:szCs w:val="20"/>
          <w:lang w:val="es-ES"/>
        </w:rPr>
        <w:t xml:space="preserve">de la </w:t>
      </w:r>
      <w:r w:rsidRPr="00AC6264">
        <w:rPr>
          <w:bCs/>
          <w:sz w:val="20"/>
          <w:szCs w:val="20"/>
          <w:lang w:val="es-ES"/>
        </w:rPr>
        <w:t xml:space="preserve">última decisión en abril de 2010, pero que </w:t>
      </w:r>
      <w:r>
        <w:rPr>
          <w:bCs/>
          <w:sz w:val="20"/>
          <w:szCs w:val="20"/>
          <w:lang w:val="es-ES"/>
        </w:rPr>
        <w:t xml:space="preserve">él </w:t>
      </w:r>
      <w:r w:rsidRPr="00AC6264">
        <w:rPr>
          <w:bCs/>
          <w:sz w:val="20"/>
          <w:szCs w:val="20"/>
          <w:lang w:val="es-ES"/>
        </w:rPr>
        <w:t>no tuvo conocimiento de ella hasta principios de 2011; el Estado sostiene que no es responsable de la falta de notificación personal por parte de los abogados del peticionario. La CIDH observa que el peticionario no ha proporcionado una fecha concreta en la que fue notificado personalmente; o cualquier información para corroborar o explicar la supuesta notificación tardía. En estas circunstancias, la Comisión Interamericana considera que la notificación del 8 de abril de 2010 a sus representantes legales se extiende efectivamente al peticionario a los efectos de determinar el cumplimiento del requisito de oportunidad. Como se mencionó anteriormente, la petición no fue presentada hasta el 8 de marzo de 2011; en consecuencia, la CIDH considera que su presentación fue tardía de conformidad con el artículo 46.1 (b) de la Convención Americana.</w:t>
      </w:r>
    </w:p>
    <w:p w14:paraId="4383C625" w14:textId="3DCAD7A9" w:rsidR="00C54F44" w:rsidRPr="00AC6264" w:rsidRDefault="00AC6264" w:rsidP="00134EA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bCs/>
          <w:sz w:val="20"/>
          <w:szCs w:val="20"/>
          <w:lang w:val="es-ES"/>
        </w:rPr>
      </w:pPr>
      <w:r w:rsidRPr="00AC6264">
        <w:rPr>
          <w:bCs/>
          <w:sz w:val="20"/>
          <w:szCs w:val="20"/>
          <w:lang w:val="es-ES"/>
        </w:rPr>
        <w:t>En consecuencia, la Comisión Interamericana se abstiene de pronunciarse sobre el alegado reclamo, ya que la petición no cumple con los requisitos de admisibilidad de conformidad con el artículo 47 (a) de la Convención Americana.</w:t>
      </w:r>
    </w:p>
    <w:p w14:paraId="29BB41F5" w14:textId="29C042EA" w:rsidR="003239B8" w:rsidRPr="00C2052D" w:rsidRDefault="00EC72AB" w:rsidP="00C54F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Cambria" w:hAnsi="Cambria"/>
          <w:b/>
          <w:bCs/>
          <w:sz w:val="20"/>
          <w:szCs w:val="20"/>
          <w:lang w:val="es-ES"/>
        </w:rPr>
      </w:pPr>
      <w:r w:rsidRPr="00C2052D">
        <w:rPr>
          <w:rFonts w:ascii="Cambria" w:hAnsi="Cambria"/>
          <w:b/>
          <w:bCs/>
          <w:sz w:val="20"/>
          <w:szCs w:val="20"/>
          <w:lang w:val="es-ES"/>
        </w:rPr>
        <w:t>VI</w:t>
      </w:r>
      <w:r w:rsidR="00F04591" w:rsidRPr="00C2052D">
        <w:rPr>
          <w:rFonts w:ascii="Cambria" w:hAnsi="Cambria"/>
          <w:b/>
          <w:bCs/>
          <w:sz w:val="20"/>
          <w:szCs w:val="20"/>
          <w:lang w:val="es-ES"/>
        </w:rPr>
        <w:t>I</w:t>
      </w:r>
      <w:r w:rsidR="003239B8" w:rsidRPr="00C2052D">
        <w:rPr>
          <w:rFonts w:ascii="Cambria" w:hAnsi="Cambria"/>
          <w:b/>
          <w:bCs/>
          <w:sz w:val="20"/>
          <w:szCs w:val="20"/>
          <w:lang w:val="es-ES"/>
        </w:rPr>
        <w:t xml:space="preserve">. </w:t>
      </w:r>
      <w:r w:rsidR="003239B8" w:rsidRPr="00C2052D">
        <w:rPr>
          <w:rFonts w:ascii="Cambria" w:hAnsi="Cambria"/>
          <w:b/>
          <w:bCs/>
          <w:sz w:val="20"/>
          <w:szCs w:val="20"/>
          <w:lang w:val="es-ES"/>
        </w:rPr>
        <w:tab/>
        <w:t>DECISIÓN</w:t>
      </w:r>
    </w:p>
    <w:p w14:paraId="0FDE1D10" w14:textId="5070C792" w:rsidR="003239B8" w:rsidRPr="00C2052D" w:rsidRDefault="003239B8" w:rsidP="00134EA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2052D">
        <w:rPr>
          <w:rFonts w:ascii="Cambria" w:hAnsi="Cambria"/>
          <w:sz w:val="20"/>
          <w:szCs w:val="20"/>
          <w:lang w:val="es-ES"/>
        </w:rPr>
        <w:t xml:space="preserve">Declarar </w:t>
      </w:r>
      <w:r w:rsidR="00AC6264">
        <w:rPr>
          <w:rFonts w:ascii="Cambria" w:hAnsi="Cambria"/>
          <w:sz w:val="20"/>
          <w:szCs w:val="20"/>
          <w:lang w:val="es-ES"/>
        </w:rPr>
        <w:t>la presente petición inadmisible.</w:t>
      </w:r>
    </w:p>
    <w:p w14:paraId="4157390F" w14:textId="29E6AC05" w:rsidR="00D93A90" w:rsidRDefault="004A6A54" w:rsidP="00134EA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2052D">
        <w:rPr>
          <w:rFonts w:ascii="Cambria" w:hAnsi="Cambria"/>
          <w:sz w:val="20"/>
          <w:szCs w:val="20"/>
          <w:lang w:val="es-ES"/>
        </w:rPr>
        <w:t>Notificar a las partes la presente decisión</w:t>
      </w:r>
      <w:r w:rsidR="00AC6264">
        <w:rPr>
          <w:rFonts w:ascii="Cambria" w:hAnsi="Cambria"/>
          <w:sz w:val="20"/>
          <w:szCs w:val="20"/>
          <w:lang w:val="es-ES"/>
        </w:rPr>
        <w:t>;</w:t>
      </w:r>
      <w:r w:rsidRPr="00C2052D">
        <w:rPr>
          <w:rFonts w:ascii="Cambria" w:hAnsi="Cambria"/>
          <w:sz w:val="20"/>
          <w:szCs w:val="20"/>
          <w:lang w:val="es-ES"/>
        </w:rPr>
        <w:t xml:space="preserve"> publicar esta decisión e incluirla en su Informe Anual a la Asamblea General de la Organización de los Estados Americanos.</w:t>
      </w:r>
    </w:p>
    <w:p w14:paraId="19F4EFD5" w14:textId="5F175A14" w:rsidR="00712C03" w:rsidRPr="00A37B82" w:rsidRDefault="00712C03" w:rsidP="00134EA3">
      <w:pPr>
        <w:spacing w:after="240"/>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p>
    <w:p w14:paraId="64A184CF" w14:textId="77777777" w:rsidR="00712C03" w:rsidRPr="00A37B82" w:rsidRDefault="00712C03" w:rsidP="00712C03">
      <w:pPr>
        <w:suppressAutoHyphens/>
        <w:ind w:firstLine="720"/>
        <w:jc w:val="both"/>
        <w:rPr>
          <w:rFonts w:asciiTheme="majorHAnsi" w:hAnsiTheme="majorHAnsi" w:cs="Arial"/>
          <w:noProof/>
          <w:spacing w:val="-2"/>
          <w:sz w:val="20"/>
          <w:szCs w:val="20"/>
          <w:lang w:val="es-CL"/>
        </w:rPr>
      </w:pPr>
    </w:p>
    <w:p w14:paraId="411CC836" w14:textId="77777777" w:rsidR="00743A4E" w:rsidRDefault="00743A4E" w:rsidP="00743A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p>
    <w:p w14:paraId="08398F92" w14:textId="77777777" w:rsidR="00743A4E" w:rsidRDefault="00743A4E" w:rsidP="00743A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p>
    <w:p w14:paraId="23458040" w14:textId="77777777" w:rsidR="00743A4E" w:rsidRDefault="00743A4E" w:rsidP="00743A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p>
    <w:p w14:paraId="3C55D12C" w14:textId="77777777" w:rsidR="00743A4E" w:rsidRDefault="00743A4E" w:rsidP="00743A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p>
    <w:p w14:paraId="4346481F" w14:textId="77777777" w:rsidR="00743A4E" w:rsidRDefault="00743A4E" w:rsidP="00743A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p>
    <w:p w14:paraId="7A499D82" w14:textId="77777777" w:rsidR="00743A4E" w:rsidRDefault="00743A4E" w:rsidP="00743A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p>
    <w:p w14:paraId="4D03B8F9" w14:textId="77777777" w:rsidR="00134EA3" w:rsidRDefault="00134EA3">
      <w:pPr>
        <w:rPr>
          <w:rFonts w:ascii="Cambria" w:hAnsi="Cambria"/>
          <w:b/>
          <w:sz w:val="20"/>
          <w:szCs w:val="20"/>
          <w:lang w:val="es-ES"/>
        </w:rPr>
      </w:pPr>
      <w:r>
        <w:rPr>
          <w:rFonts w:ascii="Cambria" w:hAnsi="Cambria"/>
          <w:b/>
          <w:sz w:val="20"/>
          <w:szCs w:val="20"/>
          <w:lang w:val="es-ES"/>
        </w:rPr>
        <w:br w:type="page"/>
      </w:r>
    </w:p>
    <w:p w14:paraId="4161F1AE" w14:textId="23674D0D" w:rsidR="00743A4E" w:rsidRPr="00134EA3" w:rsidRDefault="00743A4E" w:rsidP="00743A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Cambria" w:hAnsi="Cambria"/>
          <w:b/>
          <w:sz w:val="22"/>
          <w:szCs w:val="22"/>
          <w:lang w:val="es-ES"/>
        </w:rPr>
      </w:pPr>
      <w:r w:rsidRPr="00134EA3">
        <w:rPr>
          <w:rFonts w:ascii="Cambria" w:hAnsi="Cambria"/>
          <w:b/>
          <w:sz w:val="22"/>
          <w:szCs w:val="22"/>
          <w:lang w:val="es-ES"/>
        </w:rPr>
        <w:lastRenderedPageBreak/>
        <w:t>Anexo</w:t>
      </w:r>
    </w:p>
    <w:p w14:paraId="64EA6475" w14:textId="5E6BFE88" w:rsidR="00743A4E" w:rsidRPr="00134EA3" w:rsidRDefault="00743A4E" w:rsidP="00743A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Cambria" w:hAnsi="Cambria"/>
          <w:b/>
          <w:sz w:val="22"/>
          <w:szCs w:val="22"/>
          <w:lang w:val="es-ES"/>
        </w:rPr>
      </w:pPr>
      <w:r w:rsidRPr="00134EA3">
        <w:rPr>
          <w:rFonts w:ascii="Cambria" w:hAnsi="Cambria"/>
          <w:b/>
          <w:sz w:val="22"/>
          <w:szCs w:val="22"/>
          <w:lang w:val="es-ES"/>
        </w:rPr>
        <w:t>Listado de presuntas víctimas</w:t>
      </w:r>
    </w:p>
    <w:p w14:paraId="65816B83" w14:textId="77777777" w:rsidR="00743A4E" w:rsidRDefault="00743A4E" w:rsidP="00A874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Cambria" w:hAnsi="Cambria"/>
          <w:sz w:val="20"/>
          <w:szCs w:val="20"/>
          <w:lang w:val="es-ES"/>
        </w:rPr>
      </w:pPr>
    </w:p>
    <w:p w14:paraId="08AE4C83" w14:textId="77777777" w:rsidR="00743A4E" w:rsidRDefault="00743A4E" w:rsidP="00A874F6">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sz w:val="20"/>
          <w:szCs w:val="20"/>
          <w:lang w:val="es-ES"/>
        </w:rPr>
      </w:pPr>
      <w:r w:rsidRPr="00743A4E">
        <w:rPr>
          <w:sz w:val="20"/>
          <w:szCs w:val="20"/>
          <w:lang w:val="es-ES"/>
        </w:rPr>
        <w:t xml:space="preserve">Roberto Antonio </w:t>
      </w:r>
      <w:proofErr w:type="spellStart"/>
      <w:r w:rsidRPr="00743A4E">
        <w:rPr>
          <w:sz w:val="20"/>
          <w:szCs w:val="20"/>
          <w:lang w:val="es-ES"/>
        </w:rPr>
        <w:t>Gallangos</w:t>
      </w:r>
      <w:proofErr w:type="spellEnd"/>
      <w:r w:rsidRPr="00743A4E">
        <w:rPr>
          <w:sz w:val="20"/>
          <w:szCs w:val="20"/>
          <w:lang w:val="es-ES"/>
        </w:rPr>
        <w:t xml:space="preserve"> Cruz</w:t>
      </w:r>
    </w:p>
    <w:p w14:paraId="2DF0FE85" w14:textId="5E8DD2A4" w:rsidR="00743A4E" w:rsidRDefault="00743A4E" w:rsidP="00A874F6">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sz w:val="20"/>
          <w:szCs w:val="20"/>
          <w:lang w:val="es-ES"/>
        </w:rPr>
      </w:pPr>
      <w:r>
        <w:rPr>
          <w:sz w:val="20"/>
          <w:szCs w:val="20"/>
          <w:lang w:val="es-ES"/>
        </w:rPr>
        <w:t>Carmen Vargas Pérez</w:t>
      </w:r>
    </w:p>
    <w:p w14:paraId="01D6D551" w14:textId="1C689944" w:rsidR="00743A4E" w:rsidRDefault="00743A4E" w:rsidP="00A874F6">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sz w:val="20"/>
          <w:szCs w:val="20"/>
          <w:lang w:val="es-ES"/>
        </w:rPr>
      </w:pPr>
      <w:r>
        <w:rPr>
          <w:sz w:val="20"/>
          <w:szCs w:val="20"/>
          <w:lang w:val="es-ES"/>
        </w:rPr>
        <w:t xml:space="preserve">Lucio Antonio </w:t>
      </w:r>
      <w:proofErr w:type="spellStart"/>
      <w:r>
        <w:rPr>
          <w:sz w:val="20"/>
          <w:szCs w:val="20"/>
          <w:lang w:val="es-ES"/>
        </w:rPr>
        <w:t>Gallangos</w:t>
      </w:r>
      <w:proofErr w:type="spellEnd"/>
      <w:r>
        <w:rPr>
          <w:sz w:val="20"/>
          <w:szCs w:val="20"/>
          <w:lang w:val="es-ES"/>
        </w:rPr>
        <w:t xml:space="preserve"> Vargas</w:t>
      </w:r>
    </w:p>
    <w:p w14:paraId="29C241F2" w14:textId="076E3E95" w:rsidR="00743A4E" w:rsidRDefault="00743A4E" w:rsidP="00A874F6">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sz w:val="20"/>
          <w:szCs w:val="20"/>
          <w:lang w:val="es-ES"/>
        </w:rPr>
      </w:pPr>
      <w:r>
        <w:rPr>
          <w:sz w:val="20"/>
          <w:szCs w:val="20"/>
          <w:lang w:val="es-ES"/>
        </w:rPr>
        <w:t xml:space="preserve">Aleida </w:t>
      </w:r>
      <w:proofErr w:type="spellStart"/>
      <w:r>
        <w:rPr>
          <w:sz w:val="20"/>
          <w:szCs w:val="20"/>
          <w:lang w:val="es-ES"/>
        </w:rPr>
        <w:t>Gallangos</w:t>
      </w:r>
      <w:proofErr w:type="spellEnd"/>
      <w:r>
        <w:rPr>
          <w:sz w:val="20"/>
          <w:szCs w:val="20"/>
          <w:lang w:val="es-ES"/>
        </w:rPr>
        <w:t xml:space="preserve"> Vargas</w:t>
      </w:r>
    </w:p>
    <w:p w14:paraId="73CC8098" w14:textId="2FAC3A72" w:rsidR="00743A4E" w:rsidRDefault="00743A4E" w:rsidP="00A874F6">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sz w:val="20"/>
          <w:szCs w:val="20"/>
          <w:lang w:val="es-ES"/>
        </w:rPr>
      </w:pPr>
      <w:r w:rsidRPr="00743A4E">
        <w:rPr>
          <w:sz w:val="20"/>
          <w:szCs w:val="20"/>
          <w:lang w:val="es-ES"/>
        </w:rPr>
        <w:t xml:space="preserve">Francisco Avelino </w:t>
      </w:r>
      <w:proofErr w:type="spellStart"/>
      <w:r w:rsidRPr="00743A4E">
        <w:rPr>
          <w:sz w:val="20"/>
          <w:szCs w:val="20"/>
          <w:lang w:val="es-ES"/>
        </w:rPr>
        <w:t>Gallangos</w:t>
      </w:r>
      <w:proofErr w:type="spellEnd"/>
      <w:r w:rsidRPr="00743A4E">
        <w:rPr>
          <w:sz w:val="20"/>
          <w:szCs w:val="20"/>
          <w:lang w:val="es-ES"/>
        </w:rPr>
        <w:t xml:space="preserve"> Cruz</w:t>
      </w:r>
    </w:p>
    <w:p w14:paraId="54F0A2CB" w14:textId="191FA683" w:rsidR="00A874F6" w:rsidRPr="00A874F6" w:rsidRDefault="00A874F6" w:rsidP="00A874F6">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sz w:val="20"/>
          <w:szCs w:val="20"/>
          <w:lang w:val="es-ES"/>
        </w:rPr>
      </w:pPr>
      <w:r>
        <w:rPr>
          <w:sz w:val="20"/>
          <w:szCs w:val="20"/>
          <w:lang w:val="es-MX"/>
        </w:rPr>
        <w:t>Francisco Gorostiola Toríz</w:t>
      </w:r>
    </w:p>
    <w:p w14:paraId="623EC17D" w14:textId="2EA21685" w:rsidR="00A874F6" w:rsidRPr="00743A4E" w:rsidRDefault="00A874F6" w:rsidP="00A874F6">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sz w:val="20"/>
          <w:szCs w:val="20"/>
          <w:lang w:val="es-ES"/>
        </w:rPr>
      </w:pPr>
      <w:r w:rsidRPr="00C2052D">
        <w:rPr>
          <w:sz w:val="20"/>
          <w:szCs w:val="20"/>
          <w:lang w:val="es-MX"/>
        </w:rPr>
        <w:t>Emma Cabrera Arenas</w:t>
      </w:r>
    </w:p>
    <w:sectPr w:rsidR="00A874F6" w:rsidRPr="00743A4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B7038" w14:textId="77777777" w:rsidR="00821C61" w:rsidRDefault="00821C61">
      <w:r>
        <w:separator/>
      </w:r>
    </w:p>
  </w:endnote>
  <w:endnote w:type="continuationSeparator" w:id="0">
    <w:p w14:paraId="06DDDA82" w14:textId="77777777" w:rsidR="00821C61" w:rsidRDefault="0082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77777" w:rsidR="00F93785" w:rsidRPr="00934A2C" w:rsidRDefault="00F9378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874F6">
          <w:rPr>
            <w:noProof/>
            <w:sz w:val="16"/>
            <w:szCs w:val="22"/>
          </w:rPr>
          <w:t>1</w:t>
        </w:r>
        <w:r w:rsidRPr="00934A2C">
          <w:rPr>
            <w:noProof/>
            <w:sz w:val="16"/>
            <w:szCs w:val="22"/>
          </w:rPr>
          <w:fldChar w:fldCharType="end"/>
        </w:r>
      </w:p>
    </w:sdtContent>
  </w:sdt>
  <w:p w14:paraId="68530E6A" w14:textId="77777777" w:rsidR="00F93785" w:rsidRDefault="00F93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F93785" w:rsidRPr="00934A2C" w:rsidRDefault="00F93785">
    <w:pPr>
      <w:pStyle w:val="Footer"/>
      <w:jc w:val="center"/>
      <w:rPr>
        <w:sz w:val="16"/>
        <w:szCs w:val="22"/>
      </w:rPr>
    </w:pPr>
  </w:p>
  <w:p w14:paraId="49059CE3" w14:textId="77777777" w:rsidR="00F93785" w:rsidRDefault="00F93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3A56" w14:textId="77777777" w:rsidR="00821C61" w:rsidRPr="000F35ED" w:rsidRDefault="00821C6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F2CF896" w14:textId="77777777" w:rsidR="00821C61" w:rsidRPr="000F35ED" w:rsidRDefault="00821C61" w:rsidP="000F35ED">
      <w:pPr>
        <w:rPr>
          <w:rFonts w:asciiTheme="majorHAnsi" w:hAnsiTheme="majorHAnsi"/>
          <w:sz w:val="16"/>
          <w:szCs w:val="16"/>
        </w:rPr>
      </w:pPr>
      <w:r w:rsidRPr="000F35ED">
        <w:rPr>
          <w:rFonts w:asciiTheme="majorHAnsi" w:hAnsiTheme="majorHAnsi"/>
          <w:sz w:val="16"/>
          <w:szCs w:val="16"/>
        </w:rPr>
        <w:separator/>
      </w:r>
    </w:p>
    <w:p w14:paraId="6B495061" w14:textId="77777777" w:rsidR="00821C61" w:rsidRPr="000F35ED" w:rsidRDefault="00821C61"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7481379" w14:textId="77777777" w:rsidR="00821C61" w:rsidRPr="000F35ED" w:rsidRDefault="00821C6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2B1B40A" w14:textId="3B831435" w:rsidR="00F93785" w:rsidRPr="00DE6153" w:rsidRDefault="00712C03" w:rsidP="00DE6153">
      <w:pPr>
        <w:pStyle w:val="FootnoteText"/>
        <w:spacing w:line="276" w:lineRule="auto"/>
        <w:jc w:val="both"/>
        <w:rPr>
          <w:rFonts w:asciiTheme="majorHAnsi" w:hAnsiTheme="majorHAnsi"/>
          <w:sz w:val="16"/>
          <w:szCs w:val="16"/>
          <w:lang w:val="es-ES"/>
        </w:rPr>
      </w:pPr>
      <w:r>
        <w:rPr>
          <w:rFonts w:asciiTheme="majorHAnsi" w:hAnsiTheme="majorHAnsi"/>
          <w:sz w:val="16"/>
          <w:szCs w:val="16"/>
          <w:lang w:val="es-ES"/>
        </w:rPr>
        <w:tab/>
      </w:r>
      <w:r w:rsidR="00F93785" w:rsidRPr="00DE6153">
        <w:rPr>
          <w:rStyle w:val="FootnoteReference"/>
          <w:rFonts w:asciiTheme="majorHAnsi" w:hAnsiTheme="majorHAnsi"/>
          <w:sz w:val="16"/>
          <w:szCs w:val="16"/>
        </w:rPr>
        <w:footnoteRef/>
      </w:r>
      <w:r w:rsidR="00F93785" w:rsidRPr="00DE6153">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14:paraId="215EEB52" w14:textId="12925EAE" w:rsidR="00F93785" w:rsidRPr="00DE6153" w:rsidRDefault="00712C03" w:rsidP="00DE6153">
      <w:pPr>
        <w:pStyle w:val="FootnoteText"/>
        <w:jc w:val="both"/>
        <w:rPr>
          <w:rFonts w:asciiTheme="majorHAnsi" w:hAnsiTheme="majorHAnsi"/>
          <w:sz w:val="16"/>
          <w:szCs w:val="16"/>
          <w:lang w:val="es-ES"/>
        </w:rPr>
      </w:pPr>
      <w:r>
        <w:rPr>
          <w:rFonts w:asciiTheme="majorHAnsi" w:hAnsiTheme="majorHAnsi"/>
          <w:sz w:val="16"/>
          <w:szCs w:val="16"/>
          <w:lang w:val="es-ES"/>
        </w:rPr>
        <w:tab/>
      </w:r>
      <w:r w:rsidR="00F93785" w:rsidRPr="00DE6153">
        <w:rPr>
          <w:rStyle w:val="FootnoteReference"/>
          <w:rFonts w:asciiTheme="majorHAnsi" w:hAnsiTheme="majorHAnsi"/>
          <w:sz w:val="16"/>
          <w:szCs w:val="16"/>
        </w:rPr>
        <w:footnoteRef/>
      </w:r>
      <w:r w:rsidR="00F93785" w:rsidRPr="00DE6153">
        <w:rPr>
          <w:rFonts w:asciiTheme="majorHAnsi" w:hAnsiTheme="majorHAnsi"/>
          <w:sz w:val="16"/>
          <w:szCs w:val="16"/>
          <w:lang w:val="es-ES"/>
        </w:rPr>
        <w:t xml:space="preserve"> En adelante “la Convención Americana” o “la Convención”.</w:t>
      </w:r>
    </w:p>
  </w:footnote>
  <w:footnote w:id="4">
    <w:p w14:paraId="79F07139" w14:textId="1446F8AE" w:rsidR="00F93785" w:rsidRPr="00DE6153" w:rsidRDefault="00712C03" w:rsidP="00DE6153">
      <w:pPr>
        <w:pStyle w:val="FootnoteText"/>
        <w:jc w:val="both"/>
        <w:rPr>
          <w:rFonts w:asciiTheme="majorHAnsi" w:hAnsiTheme="majorHAnsi"/>
          <w:sz w:val="16"/>
          <w:szCs w:val="16"/>
          <w:lang w:val="es-ES"/>
        </w:rPr>
      </w:pPr>
      <w:r>
        <w:rPr>
          <w:rFonts w:asciiTheme="majorHAnsi" w:hAnsiTheme="majorHAnsi"/>
          <w:sz w:val="16"/>
          <w:szCs w:val="16"/>
          <w:lang w:val="es-ES"/>
        </w:rPr>
        <w:tab/>
      </w:r>
      <w:r w:rsidR="00F93785" w:rsidRPr="00DE6153">
        <w:rPr>
          <w:rStyle w:val="FootnoteReference"/>
          <w:rFonts w:asciiTheme="majorHAnsi" w:hAnsiTheme="majorHAnsi"/>
          <w:sz w:val="16"/>
          <w:szCs w:val="16"/>
        </w:rPr>
        <w:footnoteRef/>
      </w:r>
      <w:r w:rsidR="00F93785" w:rsidRPr="00DE6153">
        <w:rPr>
          <w:rFonts w:asciiTheme="majorHAnsi" w:hAnsiTheme="majorHAnsi"/>
          <w:sz w:val="16"/>
          <w:szCs w:val="16"/>
          <w:lang w:val="es-ES"/>
        </w:rPr>
        <w:t xml:space="preserve"> Las observaciones de cada parte fueron debidamente trasladadas a la parte contraria.</w:t>
      </w:r>
    </w:p>
  </w:footnote>
  <w:footnote w:id="5">
    <w:p w14:paraId="39A814CF" w14:textId="5C00F1EB" w:rsidR="00AC6264" w:rsidRPr="00AC6264" w:rsidRDefault="00AC6264">
      <w:pPr>
        <w:pStyle w:val="FootnoteText"/>
        <w:rPr>
          <w:rFonts w:ascii="Cambria" w:hAnsi="Cambria"/>
          <w:sz w:val="16"/>
          <w:szCs w:val="16"/>
          <w:lang w:val="es-ES"/>
        </w:rPr>
      </w:pPr>
      <w:r w:rsidRPr="00AC6264">
        <w:rPr>
          <w:rStyle w:val="FootnoteReference"/>
          <w:rFonts w:ascii="Cambria" w:hAnsi="Cambria"/>
          <w:sz w:val="16"/>
          <w:szCs w:val="16"/>
        </w:rPr>
        <w:footnoteRef/>
      </w:r>
      <w:r w:rsidRPr="00AC6264">
        <w:rPr>
          <w:rFonts w:ascii="Cambria" w:hAnsi="Cambria"/>
          <w:sz w:val="16"/>
          <w:szCs w:val="16"/>
          <w:lang w:val="es-ES"/>
        </w:rPr>
        <w:t xml:space="preserve"> El peticionario también menciona haber iniciado el procedimiento de amparo en noviembre de 2010, el cual fue denegado el 3 de diciembre de 2010. Sin embargo, en su respuesta al estado del 20 de julio de 2017, parece reconocer que el remedio judicial final iniciado fue la apelación de revisión especial de febrero de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F93785" w:rsidRDefault="00F93785" w:rsidP="005D308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F93785" w:rsidRDefault="00F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F93785" w:rsidRDefault="00F93785"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F93785" w:rsidRPr="00EC7D62" w:rsidRDefault="00821C61"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0EC88F98"/>
    <w:lvl w:ilvl="0" w:tplc="5164FEF0">
      <w:start w:val="1"/>
      <w:numFmt w:val="decimal"/>
      <w:lvlText w:val="%1."/>
      <w:lvlJc w:val="left"/>
      <w:pPr>
        <w:tabs>
          <w:tab w:val="num" w:pos="720"/>
        </w:tabs>
        <w:ind w:left="0" w:firstLine="720"/>
      </w:pPr>
      <w:rPr>
        <w:rFonts w:hint="default"/>
        <w:b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12947"/>
    <w:multiLevelType w:val="hybridMultilevel"/>
    <w:tmpl w:val="B044D294"/>
    <w:lvl w:ilvl="0" w:tplc="213EACD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8C244EE"/>
    <w:multiLevelType w:val="hybridMultilevel"/>
    <w:tmpl w:val="D1CE7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2"/>
  </w:num>
  <w:num w:numId="5">
    <w:abstractNumId w:val="49"/>
  </w:num>
  <w:num w:numId="6">
    <w:abstractNumId w:val="28"/>
  </w:num>
  <w:num w:numId="7">
    <w:abstractNumId w:val="7"/>
  </w:num>
  <w:num w:numId="8">
    <w:abstractNumId w:val="17"/>
  </w:num>
  <w:num w:numId="9">
    <w:abstractNumId w:val="42"/>
  </w:num>
  <w:num w:numId="10">
    <w:abstractNumId w:val="0"/>
  </w:num>
  <w:num w:numId="11">
    <w:abstractNumId w:val="37"/>
  </w:num>
  <w:num w:numId="12">
    <w:abstractNumId w:val="38"/>
  </w:num>
  <w:num w:numId="13">
    <w:abstractNumId w:val="45"/>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7"/>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1"/>
  </w:num>
  <w:num w:numId="51">
    <w:abstractNumId w:val="21"/>
  </w:num>
  <w:num w:numId="52">
    <w:abstractNumId w:val="41"/>
  </w:num>
  <w:num w:numId="53">
    <w:abstractNumId w:val="52"/>
  </w:num>
  <w:num w:numId="54">
    <w:abstractNumId w:val="46"/>
  </w:num>
  <w:num w:numId="55">
    <w:abstractNumId w:val="5"/>
  </w:num>
  <w:num w:numId="56">
    <w:abstractNumId w:val="43"/>
  </w:num>
  <w:num w:numId="57">
    <w:abstractNumId w:val="60"/>
  </w:num>
  <w:num w:numId="58">
    <w:abstractNumId w:val="20"/>
  </w:num>
  <w:num w:numId="59">
    <w:abstractNumId w:val="3"/>
  </w:num>
  <w:num w:numId="60">
    <w:abstractNumId w:val="48"/>
  </w:num>
  <w:num w:numId="61">
    <w:abstractNumId w:val="26"/>
  </w:num>
  <w:num w:numId="62">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2FF8"/>
    <w:rsid w:val="000065D0"/>
    <w:rsid w:val="00006B74"/>
    <w:rsid w:val="00006E1F"/>
    <w:rsid w:val="000070D7"/>
    <w:rsid w:val="000104F5"/>
    <w:rsid w:val="00010BDB"/>
    <w:rsid w:val="00015701"/>
    <w:rsid w:val="0001788C"/>
    <w:rsid w:val="0002186F"/>
    <w:rsid w:val="000337EF"/>
    <w:rsid w:val="00036750"/>
    <w:rsid w:val="00040C3A"/>
    <w:rsid w:val="000419AD"/>
    <w:rsid w:val="00046910"/>
    <w:rsid w:val="00052287"/>
    <w:rsid w:val="000546AF"/>
    <w:rsid w:val="00063CBE"/>
    <w:rsid w:val="00065C47"/>
    <w:rsid w:val="000701C8"/>
    <w:rsid w:val="000716C5"/>
    <w:rsid w:val="0007182A"/>
    <w:rsid w:val="00073561"/>
    <w:rsid w:val="00073D99"/>
    <w:rsid w:val="00074295"/>
    <w:rsid w:val="00075E23"/>
    <w:rsid w:val="00081C2F"/>
    <w:rsid w:val="00082F18"/>
    <w:rsid w:val="0009006E"/>
    <w:rsid w:val="0009344A"/>
    <w:rsid w:val="00097666"/>
    <w:rsid w:val="000A19F8"/>
    <w:rsid w:val="000A3254"/>
    <w:rsid w:val="000A392E"/>
    <w:rsid w:val="000A3B07"/>
    <w:rsid w:val="000A4E41"/>
    <w:rsid w:val="000A575F"/>
    <w:rsid w:val="000A63D0"/>
    <w:rsid w:val="000B0579"/>
    <w:rsid w:val="000C1C69"/>
    <w:rsid w:val="000C3A31"/>
    <w:rsid w:val="000D10DB"/>
    <w:rsid w:val="000D222E"/>
    <w:rsid w:val="000D2FA5"/>
    <w:rsid w:val="000D6322"/>
    <w:rsid w:val="000E2789"/>
    <w:rsid w:val="000E5EB5"/>
    <w:rsid w:val="000F11FA"/>
    <w:rsid w:val="000F35ED"/>
    <w:rsid w:val="000F53C6"/>
    <w:rsid w:val="001035C6"/>
    <w:rsid w:val="00107131"/>
    <w:rsid w:val="0010736F"/>
    <w:rsid w:val="00107504"/>
    <w:rsid w:val="00107FF5"/>
    <w:rsid w:val="00111A8A"/>
    <w:rsid w:val="00113F73"/>
    <w:rsid w:val="00121CC2"/>
    <w:rsid w:val="00131D8B"/>
    <w:rsid w:val="00133EE5"/>
    <w:rsid w:val="00134A9F"/>
    <w:rsid w:val="00134EA3"/>
    <w:rsid w:val="00135BF0"/>
    <w:rsid w:val="00136E3D"/>
    <w:rsid w:val="00140368"/>
    <w:rsid w:val="0014388D"/>
    <w:rsid w:val="00143EFE"/>
    <w:rsid w:val="001479C0"/>
    <w:rsid w:val="0015330B"/>
    <w:rsid w:val="001623F3"/>
    <w:rsid w:val="00167A34"/>
    <w:rsid w:val="00176BB3"/>
    <w:rsid w:val="00177EEF"/>
    <w:rsid w:val="001833FC"/>
    <w:rsid w:val="00187BE2"/>
    <w:rsid w:val="001976D0"/>
    <w:rsid w:val="001A47DA"/>
    <w:rsid w:val="001A7870"/>
    <w:rsid w:val="001B3A00"/>
    <w:rsid w:val="001B4C00"/>
    <w:rsid w:val="001C1B41"/>
    <w:rsid w:val="001C3E03"/>
    <w:rsid w:val="001D0D70"/>
    <w:rsid w:val="001D65EF"/>
    <w:rsid w:val="001D770C"/>
    <w:rsid w:val="001E36AD"/>
    <w:rsid w:val="001E49E7"/>
    <w:rsid w:val="001F1890"/>
    <w:rsid w:val="001F271B"/>
    <w:rsid w:val="001F7201"/>
    <w:rsid w:val="00204931"/>
    <w:rsid w:val="0020653E"/>
    <w:rsid w:val="00220B10"/>
    <w:rsid w:val="00222F2B"/>
    <w:rsid w:val="00223A29"/>
    <w:rsid w:val="00223FED"/>
    <w:rsid w:val="002250A3"/>
    <w:rsid w:val="00231294"/>
    <w:rsid w:val="00235217"/>
    <w:rsid w:val="002355A9"/>
    <w:rsid w:val="00246283"/>
    <w:rsid w:val="00246D1F"/>
    <w:rsid w:val="00247403"/>
    <w:rsid w:val="00247542"/>
    <w:rsid w:val="002533CE"/>
    <w:rsid w:val="002563BA"/>
    <w:rsid w:val="00261D31"/>
    <w:rsid w:val="00263845"/>
    <w:rsid w:val="00266B61"/>
    <w:rsid w:val="0026712A"/>
    <w:rsid w:val="002704DB"/>
    <w:rsid w:val="00277BDA"/>
    <w:rsid w:val="0028334D"/>
    <w:rsid w:val="00291DDB"/>
    <w:rsid w:val="0029575A"/>
    <w:rsid w:val="002A0AAE"/>
    <w:rsid w:val="002A5820"/>
    <w:rsid w:val="002B043F"/>
    <w:rsid w:val="002B0EA0"/>
    <w:rsid w:val="002B2F42"/>
    <w:rsid w:val="002B6B9D"/>
    <w:rsid w:val="002C2F3B"/>
    <w:rsid w:val="002C3350"/>
    <w:rsid w:val="002C45FB"/>
    <w:rsid w:val="002D2B26"/>
    <w:rsid w:val="002D3705"/>
    <w:rsid w:val="002D7EA2"/>
    <w:rsid w:val="002E187C"/>
    <w:rsid w:val="002E7512"/>
    <w:rsid w:val="002F3724"/>
    <w:rsid w:val="002F3C2F"/>
    <w:rsid w:val="00302733"/>
    <w:rsid w:val="00302E7D"/>
    <w:rsid w:val="00305DCC"/>
    <w:rsid w:val="003121D5"/>
    <w:rsid w:val="00314078"/>
    <w:rsid w:val="0031535D"/>
    <w:rsid w:val="00315B68"/>
    <w:rsid w:val="00320F69"/>
    <w:rsid w:val="003239B8"/>
    <w:rsid w:val="00326F28"/>
    <w:rsid w:val="0033169F"/>
    <w:rsid w:val="00332259"/>
    <w:rsid w:val="00333544"/>
    <w:rsid w:val="003362B6"/>
    <w:rsid w:val="00337B65"/>
    <w:rsid w:val="0034224A"/>
    <w:rsid w:val="0034334A"/>
    <w:rsid w:val="00343438"/>
    <w:rsid w:val="00344977"/>
    <w:rsid w:val="00346C95"/>
    <w:rsid w:val="003506AF"/>
    <w:rsid w:val="00351155"/>
    <w:rsid w:val="003556AF"/>
    <w:rsid w:val="00356185"/>
    <w:rsid w:val="00360380"/>
    <w:rsid w:val="003745BE"/>
    <w:rsid w:val="0037519E"/>
    <w:rsid w:val="00381A69"/>
    <w:rsid w:val="00385FEE"/>
    <w:rsid w:val="00386C6C"/>
    <w:rsid w:val="00386CF0"/>
    <w:rsid w:val="003925DC"/>
    <w:rsid w:val="003942EC"/>
    <w:rsid w:val="00396A5A"/>
    <w:rsid w:val="003A27A1"/>
    <w:rsid w:val="003A6337"/>
    <w:rsid w:val="003B4FF6"/>
    <w:rsid w:val="003B70FB"/>
    <w:rsid w:val="003B7155"/>
    <w:rsid w:val="003C3520"/>
    <w:rsid w:val="003C6112"/>
    <w:rsid w:val="003C676B"/>
    <w:rsid w:val="003D04CF"/>
    <w:rsid w:val="003D0A55"/>
    <w:rsid w:val="003D3BC2"/>
    <w:rsid w:val="003D619F"/>
    <w:rsid w:val="003D6787"/>
    <w:rsid w:val="003E3938"/>
    <w:rsid w:val="003E614F"/>
    <w:rsid w:val="003E6CA1"/>
    <w:rsid w:val="003F06D2"/>
    <w:rsid w:val="003F3031"/>
    <w:rsid w:val="003F3DC5"/>
    <w:rsid w:val="00403525"/>
    <w:rsid w:val="00403A9C"/>
    <w:rsid w:val="004065A8"/>
    <w:rsid w:val="0041297F"/>
    <w:rsid w:val="004131DB"/>
    <w:rsid w:val="004153F5"/>
    <w:rsid w:val="004165C2"/>
    <w:rsid w:val="0042128A"/>
    <w:rsid w:val="00421375"/>
    <w:rsid w:val="004304AD"/>
    <w:rsid w:val="004376B9"/>
    <w:rsid w:val="00441ECB"/>
    <w:rsid w:val="00445193"/>
    <w:rsid w:val="00447CCF"/>
    <w:rsid w:val="00452618"/>
    <w:rsid w:val="0045261E"/>
    <w:rsid w:val="00454C28"/>
    <w:rsid w:val="004565BA"/>
    <w:rsid w:val="00462C1B"/>
    <w:rsid w:val="00462D4E"/>
    <w:rsid w:val="00467B7E"/>
    <w:rsid w:val="0047080D"/>
    <w:rsid w:val="00473BB4"/>
    <w:rsid w:val="0047435C"/>
    <w:rsid w:val="00476211"/>
    <w:rsid w:val="00477592"/>
    <w:rsid w:val="00486F1C"/>
    <w:rsid w:val="00491ECA"/>
    <w:rsid w:val="0049419D"/>
    <w:rsid w:val="004A2061"/>
    <w:rsid w:val="004A48FD"/>
    <w:rsid w:val="004A59CC"/>
    <w:rsid w:val="004A6A54"/>
    <w:rsid w:val="004A6A6B"/>
    <w:rsid w:val="004B01D4"/>
    <w:rsid w:val="004C20D2"/>
    <w:rsid w:val="004C2312"/>
    <w:rsid w:val="004C4B62"/>
    <w:rsid w:val="004C54C9"/>
    <w:rsid w:val="004C616A"/>
    <w:rsid w:val="004D4ABA"/>
    <w:rsid w:val="004D6025"/>
    <w:rsid w:val="004E19B1"/>
    <w:rsid w:val="004E2649"/>
    <w:rsid w:val="004E4536"/>
    <w:rsid w:val="004E4D29"/>
    <w:rsid w:val="004E68B5"/>
    <w:rsid w:val="004F66D6"/>
    <w:rsid w:val="00501399"/>
    <w:rsid w:val="00501652"/>
    <w:rsid w:val="0050633D"/>
    <w:rsid w:val="00507BC4"/>
    <w:rsid w:val="005128E4"/>
    <w:rsid w:val="005133DB"/>
    <w:rsid w:val="00517AF7"/>
    <w:rsid w:val="00525560"/>
    <w:rsid w:val="00525A68"/>
    <w:rsid w:val="005308E3"/>
    <w:rsid w:val="005362D6"/>
    <w:rsid w:val="005415E6"/>
    <w:rsid w:val="00541CA0"/>
    <w:rsid w:val="00544216"/>
    <w:rsid w:val="00544C49"/>
    <w:rsid w:val="005516A1"/>
    <w:rsid w:val="00563557"/>
    <w:rsid w:val="00571B55"/>
    <w:rsid w:val="0057402A"/>
    <w:rsid w:val="00574CB7"/>
    <w:rsid w:val="005771D0"/>
    <w:rsid w:val="00582A7F"/>
    <w:rsid w:val="0059191A"/>
    <w:rsid w:val="005921FF"/>
    <w:rsid w:val="00594707"/>
    <w:rsid w:val="00597DB7"/>
    <w:rsid w:val="005A24ED"/>
    <w:rsid w:val="005A6D0E"/>
    <w:rsid w:val="005B37CC"/>
    <w:rsid w:val="005B52B0"/>
    <w:rsid w:val="005B6806"/>
    <w:rsid w:val="005B6D22"/>
    <w:rsid w:val="005C0C45"/>
    <w:rsid w:val="005C12FF"/>
    <w:rsid w:val="005C261A"/>
    <w:rsid w:val="005C338C"/>
    <w:rsid w:val="005C4225"/>
    <w:rsid w:val="005C7989"/>
    <w:rsid w:val="005D3083"/>
    <w:rsid w:val="005D50F0"/>
    <w:rsid w:val="005D66AD"/>
    <w:rsid w:val="005E0B65"/>
    <w:rsid w:val="005E11B2"/>
    <w:rsid w:val="005E4C67"/>
    <w:rsid w:val="005F0DAD"/>
    <w:rsid w:val="005F0F33"/>
    <w:rsid w:val="005F0FA8"/>
    <w:rsid w:val="005F151C"/>
    <w:rsid w:val="005F4DF9"/>
    <w:rsid w:val="005F4E25"/>
    <w:rsid w:val="00600DEB"/>
    <w:rsid w:val="00604673"/>
    <w:rsid w:val="006068B7"/>
    <w:rsid w:val="00611614"/>
    <w:rsid w:val="00613359"/>
    <w:rsid w:val="00613F6B"/>
    <w:rsid w:val="00623864"/>
    <w:rsid w:val="006277DE"/>
    <w:rsid w:val="00627C9F"/>
    <w:rsid w:val="006300B2"/>
    <w:rsid w:val="006311E9"/>
    <w:rsid w:val="00632354"/>
    <w:rsid w:val="00632D08"/>
    <w:rsid w:val="00640053"/>
    <w:rsid w:val="00641EC2"/>
    <w:rsid w:val="00642810"/>
    <w:rsid w:val="00647756"/>
    <w:rsid w:val="00647BF8"/>
    <w:rsid w:val="006509DA"/>
    <w:rsid w:val="00652333"/>
    <w:rsid w:val="00653739"/>
    <w:rsid w:val="006775AB"/>
    <w:rsid w:val="00677E9C"/>
    <w:rsid w:val="0068009E"/>
    <w:rsid w:val="006819E9"/>
    <w:rsid w:val="00686471"/>
    <w:rsid w:val="00686FEB"/>
    <w:rsid w:val="0068794B"/>
    <w:rsid w:val="0069029C"/>
    <w:rsid w:val="00691BBE"/>
    <w:rsid w:val="00692219"/>
    <w:rsid w:val="0069402E"/>
    <w:rsid w:val="006978B1"/>
    <w:rsid w:val="006A00E3"/>
    <w:rsid w:val="006A17D2"/>
    <w:rsid w:val="006A2090"/>
    <w:rsid w:val="006A73E6"/>
    <w:rsid w:val="006B0CDD"/>
    <w:rsid w:val="006B2D5C"/>
    <w:rsid w:val="006B2EE8"/>
    <w:rsid w:val="006B34D4"/>
    <w:rsid w:val="006B6D83"/>
    <w:rsid w:val="006B779A"/>
    <w:rsid w:val="006C4EB1"/>
    <w:rsid w:val="006C7497"/>
    <w:rsid w:val="006D21CD"/>
    <w:rsid w:val="006E0166"/>
    <w:rsid w:val="006E0ECD"/>
    <w:rsid w:val="006E1E83"/>
    <w:rsid w:val="006E64F9"/>
    <w:rsid w:val="006E772A"/>
    <w:rsid w:val="006E7B34"/>
    <w:rsid w:val="006F6550"/>
    <w:rsid w:val="006F688C"/>
    <w:rsid w:val="0070697F"/>
    <w:rsid w:val="00712C03"/>
    <w:rsid w:val="0072199C"/>
    <w:rsid w:val="00722C9F"/>
    <w:rsid w:val="007253B8"/>
    <w:rsid w:val="007274EF"/>
    <w:rsid w:val="00727B0E"/>
    <w:rsid w:val="00730378"/>
    <w:rsid w:val="007304C5"/>
    <w:rsid w:val="0073598C"/>
    <w:rsid w:val="0073741F"/>
    <w:rsid w:val="007411FF"/>
    <w:rsid w:val="00743A4E"/>
    <w:rsid w:val="00745466"/>
    <w:rsid w:val="00755810"/>
    <w:rsid w:val="00755C45"/>
    <w:rsid w:val="00757131"/>
    <w:rsid w:val="007608C4"/>
    <w:rsid w:val="00761633"/>
    <w:rsid w:val="0076643F"/>
    <w:rsid w:val="00777F63"/>
    <w:rsid w:val="00781F4D"/>
    <w:rsid w:val="007852B5"/>
    <w:rsid w:val="00792BE3"/>
    <w:rsid w:val="00796A37"/>
    <w:rsid w:val="00797230"/>
    <w:rsid w:val="007A5817"/>
    <w:rsid w:val="007B0189"/>
    <w:rsid w:val="007B01F9"/>
    <w:rsid w:val="007B05C4"/>
    <w:rsid w:val="007B2744"/>
    <w:rsid w:val="007B60E9"/>
    <w:rsid w:val="007B6CC3"/>
    <w:rsid w:val="007C2363"/>
    <w:rsid w:val="007C3334"/>
    <w:rsid w:val="007C402A"/>
    <w:rsid w:val="007D2B98"/>
    <w:rsid w:val="007D4AF0"/>
    <w:rsid w:val="007D7C02"/>
    <w:rsid w:val="007E1036"/>
    <w:rsid w:val="007E21BC"/>
    <w:rsid w:val="007E58FE"/>
    <w:rsid w:val="007E6688"/>
    <w:rsid w:val="007E7C82"/>
    <w:rsid w:val="007F2720"/>
    <w:rsid w:val="007F588D"/>
    <w:rsid w:val="00802748"/>
    <w:rsid w:val="00802C2D"/>
    <w:rsid w:val="00803F1C"/>
    <w:rsid w:val="0080600E"/>
    <w:rsid w:val="0081628A"/>
    <w:rsid w:val="00817612"/>
    <w:rsid w:val="00821C61"/>
    <w:rsid w:val="0082272B"/>
    <w:rsid w:val="00822D64"/>
    <w:rsid w:val="00825796"/>
    <w:rsid w:val="008306AF"/>
    <w:rsid w:val="008338A4"/>
    <w:rsid w:val="00834D49"/>
    <w:rsid w:val="00837C45"/>
    <w:rsid w:val="008411F0"/>
    <w:rsid w:val="00843107"/>
    <w:rsid w:val="008439BC"/>
    <w:rsid w:val="00844730"/>
    <w:rsid w:val="008457C2"/>
    <w:rsid w:val="00857A82"/>
    <w:rsid w:val="00862EC4"/>
    <w:rsid w:val="00871526"/>
    <w:rsid w:val="00873836"/>
    <w:rsid w:val="00874B67"/>
    <w:rsid w:val="00875668"/>
    <w:rsid w:val="00881310"/>
    <w:rsid w:val="00881381"/>
    <w:rsid w:val="00885737"/>
    <w:rsid w:val="00890650"/>
    <w:rsid w:val="00891568"/>
    <w:rsid w:val="00892CC2"/>
    <w:rsid w:val="00897652"/>
    <w:rsid w:val="00897E12"/>
    <w:rsid w:val="008A0F81"/>
    <w:rsid w:val="008A310C"/>
    <w:rsid w:val="008A6FC6"/>
    <w:rsid w:val="008A7885"/>
    <w:rsid w:val="008A7E0F"/>
    <w:rsid w:val="008B12F5"/>
    <w:rsid w:val="008B5932"/>
    <w:rsid w:val="008B6219"/>
    <w:rsid w:val="008C0223"/>
    <w:rsid w:val="008C068A"/>
    <w:rsid w:val="008C5751"/>
    <w:rsid w:val="008C6142"/>
    <w:rsid w:val="008D5978"/>
    <w:rsid w:val="008D768D"/>
    <w:rsid w:val="008E0FD8"/>
    <w:rsid w:val="008E328A"/>
    <w:rsid w:val="008E3759"/>
    <w:rsid w:val="008E3BFE"/>
    <w:rsid w:val="008E6DFE"/>
    <w:rsid w:val="008E7900"/>
    <w:rsid w:val="008F1912"/>
    <w:rsid w:val="0090270B"/>
    <w:rsid w:val="00903057"/>
    <w:rsid w:val="009041DC"/>
    <w:rsid w:val="00917B5A"/>
    <w:rsid w:val="00920A58"/>
    <w:rsid w:val="00920A8C"/>
    <w:rsid w:val="009346EB"/>
    <w:rsid w:val="00934A2C"/>
    <w:rsid w:val="00935F06"/>
    <w:rsid w:val="00937B3A"/>
    <w:rsid w:val="009424C5"/>
    <w:rsid w:val="00944949"/>
    <w:rsid w:val="00954165"/>
    <w:rsid w:val="00954B82"/>
    <w:rsid w:val="00957000"/>
    <w:rsid w:val="00962436"/>
    <w:rsid w:val="009626A0"/>
    <w:rsid w:val="0096706E"/>
    <w:rsid w:val="00967C16"/>
    <w:rsid w:val="00974491"/>
    <w:rsid w:val="00975C4E"/>
    <w:rsid w:val="00981C80"/>
    <w:rsid w:val="00981FBA"/>
    <w:rsid w:val="00985D3F"/>
    <w:rsid w:val="00987FD5"/>
    <w:rsid w:val="009966ED"/>
    <w:rsid w:val="00997BC5"/>
    <w:rsid w:val="009A4F41"/>
    <w:rsid w:val="009B381B"/>
    <w:rsid w:val="009B4858"/>
    <w:rsid w:val="009B4A41"/>
    <w:rsid w:val="009B6610"/>
    <w:rsid w:val="009C2FC5"/>
    <w:rsid w:val="009D1753"/>
    <w:rsid w:val="009D6502"/>
    <w:rsid w:val="009D7611"/>
    <w:rsid w:val="009D78A5"/>
    <w:rsid w:val="009E08DD"/>
    <w:rsid w:val="009E0B61"/>
    <w:rsid w:val="009E1E74"/>
    <w:rsid w:val="009E25F2"/>
    <w:rsid w:val="009E2719"/>
    <w:rsid w:val="009E53DE"/>
    <w:rsid w:val="009E7C00"/>
    <w:rsid w:val="009F1029"/>
    <w:rsid w:val="009F171D"/>
    <w:rsid w:val="009F548B"/>
    <w:rsid w:val="009F55AF"/>
    <w:rsid w:val="00A042F3"/>
    <w:rsid w:val="00A0691C"/>
    <w:rsid w:val="00A07BDF"/>
    <w:rsid w:val="00A11E44"/>
    <w:rsid w:val="00A154C8"/>
    <w:rsid w:val="00A22397"/>
    <w:rsid w:val="00A32313"/>
    <w:rsid w:val="00A328B3"/>
    <w:rsid w:val="00A33889"/>
    <w:rsid w:val="00A34EA6"/>
    <w:rsid w:val="00A37193"/>
    <w:rsid w:val="00A40B91"/>
    <w:rsid w:val="00A50FCF"/>
    <w:rsid w:val="00A5256B"/>
    <w:rsid w:val="00A528D1"/>
    <w:rsid w:val="00A534FE"/>
    <w:rsid w:val="00A610CD"/>
    <w:rsid w:val="00A625E0"/>
    <w:rsid w:val="00A67309"/>
    <w:rsid w:val="00A70165"/>
    <w:rsid w:val="00A73380"/>
    <w:rsid w:val="00A74947"/>
    <w:rsid w:val="00A754B4"/>
    <w:rsid w:val="00A758AA"/>
    <w:rsid w:val="00A80328"/>
    <w:rsid w:val="00A82733"/>
    <w:rsid w:val="00A874F6"/>
    <w:rsid w:val="00A90836"/>
    <w:rsid w:val="00A92093"/>
    <w:rsid w:val="00AA09A2"/>
    <w:rsid w:val="00AA7996"/>
    <w:rsid w:val="00AA7FA8"/>
    <w:rsid w:val="00AC19CB"/>
    <w:rsid w:val="00AC56D9"/>
    <w:rsid w:val="00AC6264"/>
    <w:rsid w:val="00AD1886"/>
    <w:rsid w:val="00AE5488"/>
    <w:rsid w:val="00AE6F91"/>
    <w:rsid w:val="00AF5571"/>
    <w:rsid w:val="00B01F5A"/>
    <w:rsid w:val="00B06B4E"/>
    <w:rsid w:val="00B07341"/>
    <w:rsid w:val="00B11EC3"/>
    <w:rsid w:val="00B17051"/>
    <w:rsid w:val="00B202B5"/>
    <w:rsid w:val="00B21BAE"/>
    <w:rsid w:val="00B248CF"/>
    <w:rsid w:val="00B24A6E"/>
    <w:rsid w:val="00B26C92"/>
    <w:rsid w:val="00B30539"/>
    <w:rsid w:val="00B314DB"/>
    <w:rsid w:val="00B33E89"/>
    <w:rsid w:val="00B359AD"/>
    <w:rsid w:val="00B361F2"/>
    <w:rsid w:val="00B3718B"/>
    <w:rsid w:val="00B400E1"/>
    <w:rsid w:val="00B402A0"/>
    <w:rsid w:val="00B4333B"/>
    <w:rsid w:val="00B43F04"/>
    <w:rsid w:val="00B4632A"/>
    <w:rsid w:val="00B472EB"/>
    <w:rsid w:val="00B5067D"/>
    <w:rsid w:val="00B5180D"/>
    <w:rsid w:val="00B530F1"/>
    <w:rsid w:val="00B57297"/>
    <w:rsid w:val="00B5747B"/>
    <w:rsid w:val="00B72CF0"/>
    <w:rsid w:val="00B73419"/>
    <w:rsid w:val="00B736AF"/>
    <w:rsid w:val="00B742BE"/>
    <w:rsid w:val="00B76F12"/>
    <w:rsid w:val="00B77629"/>
    <w:rsid w:val="00B806C6"/>
    <w:rsid w:val="00B84F45"/>
    <w:rsid w:val="00B85B8F"/>
    <w:rsid w:val="00B87359"/>
    <w:rsid w:val="00B97946"/>
    <w:rsid w:val="00BA276C"/>
    <w:rsid w:val="00BA5544"/>
    <w:rsid w:val="00BA65ED"/>
    <w:rsid w:val="00BB306F"/>
    <w:rsid w:val="00BB3FBD"/>
    <w:rsid w:val="00BB6A22"/>
    <w:rsid w:val="00BC0849"/>
    <w:rsid w:val="00BC6CD0"/>
    <w:rsid w:val="00BD2C40"/>
    <w:rsid w:val="00BD4B89"/>
    <w:rsid w:val="00BD5922"/>
    <w:rsid w:val="00BD6B07"/>
    <w:rsid w:val="00BD76D9"/>
    <w:rsid w:val="00BE78BC"/>
    <w:rsid w:val="00BF02CB"/>
    <w:rsid w:val="00BF514A"/>
    <w:rsid w:val="00BF6FD8"/>
    <w:rsid w:val="00BF7247"/>
    <w:rsid w:val="00BF775D"/>
    <w:rsid w:val="00C03680"/>
    <w:rsid w:val="00C054DF"/>
    <w:rsid w:val="00C10AFC"/>
    <w:rsid w:val="00C17EF7"/>
    <w:rsid w:val="00C2052D"/>
    <w:rsid w:val="00C21562"/>
    <w:rsid w:val="00C21762"/>
    <w:rsid w:val="00C21FEF"/>
    <w:rsid w:val="00C24543"/>
    <w:rsid w:val="00C256A2"/>
    <w:rsid w:val="00C349D1"/>
    <w:rsid w:val="00C35A26"/>
    <w:rsid w:val="00C4086E"/>
    <w:rsid w:val="00C45714"/>
    <w:rsid w:val="00C51515"/>
    <w:rsid w:val="00C53910"/>
    <w:rsid w:val="00C54F44"/>
    <w:rsid w:val="00C55525"/>
    <w:rsid w:val="00C5660B"/>
    <w:rsid w:val="00C56854"/>
    <w:rsid w:val="00C5788A"/>
    <w:rsid w:val="00C66B72"/>
    <w:rsid w:val="00C67B8D"/>
    <w:rsid w:val="00C71C0F"/>
    <w:rsid w:val="00C720F6"/>
    <w:rsid w:val="00C8050C"/>
    <w:rsid w:val="00C8155E"/>
    <w:rsid w:val="00C82746"/>
    <w:rsid w:val="00C843C4"/>
    <w:rsid w:val="00C84586"/>
    <w:rsid w:val="00C87AC4"/>
    <w:rsid w:val="00C94901"/>
    <w:rsid w:val="00C9567A"/>
    <w:rsid w:val="00CA48A3"/>
    <w:rsid w:val="00CA7AFD"/>
    <w:rsid w:val="00CB212D"/>
    <w:rsid w:val="00CB2660"/>
    <w:rsid w:val="00CB7FB9"/>
    <w:rsid w:val="00CC5E90"/>
    <w:rsid w:val="00CD046C"/>
    <w:rsid w:val="00CD0D85"/>
    <w:rsid w:val="00CD186A"/>
    <w:rsid w:val="00CD464D"/>
    <w:rsid w:val="00CE076C"/>
    <w:rsid w:val="00CE1DE0"/>
    <w:rsid w:val="00CE5199"/>
    <w:rsid w:val="00CE63D1"/>
    <w:rsid w:val="00CE66D5"/>
    <w:rsid w:val="00CF1039"/>
    <w:rsid w:val="00CF637A"/>
    <w:rsid w:val="00D059DE"/>
    <w:rsid w:val="00D05ABD"/>
    <w:rsid w:val="00D108D4"/>
    <w:rsid w:val="00D111EE"/>
    <w:rsid w:val="00D13FCE"/>
    <w:rsid w:val="00D17E8C"/>
    <w:rsid w:val="00D20354"/>
    <w:rsid w:val="00D30216"/>
    <w:rsid w:val="00D306D1"/>
    <w:rsid w:val="00D30800"/>
    <w:rsid w:val="00D31F73"/>
    <w:rsid w:val="00D32752"/>
    <w:rsid w:val="00D33384"/>
    <w:rsid w:val="00D34786"/>
    <w:rsid w:val="00D348D1"/>
    <w:rsid w:val="00D3562F"/>
    <w:rsid w:val="00D35EB9"/>
    <w:rsid w:val="00D37BFC"/>
    <w:rsid w:val="00D42822"/>
    <w:rsid w:val="00D47504"/>
    <w:rsid w:val="00D47A8E"/>
    <w:rsid w:val="00D5058A"/>
    <w:rsid w:val="00D52D14"/>
    <w:rsid w:val="00D545BA"/>
    <w:rsid w:val="00D55256"/>
    <w:rsid w:val="00D56D93"/>
    <w:rsid w:val="00D60C4C"/>
    <w:rsid w:val="00D650DB"/>
    <w:rsid w:val="00D66CD9"/>
    <w:rsid w:val="00D712D3"/>
    <w:rsid w:val="00D71422"/>
    <w:rsid w:val="00D72DC6"/>
    <w:rsid w:val="00D73F5E"/>
    <w:rsid w:val="00D7541D"/>
    <w:rsid w:val="00D7558D"/>
    <w:rsid w:val="00D77503"/>
    <w:rsid w:val="00D778FE"/>
    <w:rsid w:val="00D8061B"/>
    <w:rsid w:val="00D81895"/>
    <w:rsid w:val="00D81D92"/>
    <w:rsid w:val="00D876F9"/>
    <w:rsid w:val="00D877B6"/>
    <w:rsid w:val="00D93A90"/>
    <w:rsid w:val="00DA4810"/>
    <w:rsid w:val="00DA7B5F"/>
    <w:rsid w:val="00DB59F5"/>
    <w:rsid w:val="00DC11E7"/>
    <w:rsid w:val="00DC7023"/>
    <w:rsid w:val="00DC769A"/>
    <w:rsid w:val="00DD061E"/>
    <w:rsid w:val="00DD3D86"/>
    <w:rsid w:val="00DD6FE6"/>
    <w:rsid w:val="00DE12F0"/>
    <w:rsid w:val="00DE28CE"/>
    <w:rsid w:val="00DE3815"/>
    <w:rsid w:val="00DE6153"/>
    <w:rsid w:val="00DF1EC4"/>
    <w:rsid w:val="00DF51E9"/>
    <w:rsid w:val="00DF6CFD"/>
    <w:rsid w:val="00E01943"/>
    <w:rsid w:val="00E0340B"/>
    <w:rsid w:val="00E04A90"/>
    <w:rsid w:val="00E0551F"/>
    <w:rsid w:val="00E163BF"/>
    <w:rsid w:val="00E219C7"/>
    <w:rsid w:val="00E26CCA"/>
    <w:rsid w:val="00E27F56"/>
    <w:rsid w:val="00E3162D"/>
    <w:rsid w:val="00E4118C"/>
    <w:rsid w:val="00E43157"/>
    <w:rsid w:val="00E461CE"/>
    <w:rsid w:val="00E50EDC"/>
    <w:rsid w:val="00E52F8B"/>
    <w:rsid w:val="00E716FA"/>
    <w:rsid w:val="00E72072"/>
    <w:rsid w:val="00E720CA"/>
    <w:rsid w:val="00E77A14"/>
    <w:rsid w:val="00E811DA"/>
    <w:rsid w:val="00E84EB5"/>
    <w:rsid w:val="00E85662"/>
    <w:rsid w:val="00E8789F"/>
    <w:rsid w:val="00E92747"/>
    <w:rsid w:val="00E97B71"/>
    <w:rsid w:val="00EA2A61"/>
    <w:rsid w:val="00EA3D34"/>
    <w:rsid w:val="00EA4B75"/>
    <w:rsid w:val="00EA68A8"/>
    <w:rsid w:val="00EB0DE2"/>
    <w:rsid w:val="00EB454D"/>
    <w:rsid w:val="00EC19C2"/>
    <w:rsid w:val="00EC26E9"/>
    <w:rsid w:val="00EC72AB"/>
    <w:rsid w:val="00ED2F03"/>
    <w:rsid w:val="00ED549D"/>
    <w:rsid w:val="00ED74FA"/>
    <w:rsid w:val="00ED76BE"/>
    <w:rsid w:val="00ED7F05"/>
    <w:rsid w:val="00EE006C"/>
    <w:rsid w:val="00EE00E9"/>
    <w:rsid w:val="00EE014D"/>
    <w:rsid w:val="00EE2CCA"/>
    <w:rsid w:val="00EF2314"/>
    <w:rsid w:val="00EF35AB"/>
    <w:rsid w:val="00EF4C44"/>
    <w:rsid w:val="00EF619B"/>
    <w:rsid w:val="00F00B55"/>
    <w:rsid w:val="00F02AD1"/>
    <w:rsid w:val="00F04591"/>
    <w:rsid w:val="00F06354"/>
    <w:rsid w:val="00F20450"/>
    <w:rsid w:val="00F253CC"/>
    <w:rsid w:val="00F332EF"/>
    <w:rsid w:val="00F3424B"/>
    <w:rsid w:val="00F34AB9"/>
    <w:rsid w:val="00F37106"/>
    <w:rsid w:val="00F51184"/>
    <w:rsid w:val="00F519CF"/>
    <w:rsid w:val="00F53168"/>
    <w:rsid w:val="00F56BA5"/>
    <w:rsid w:val="00F5725F"/>
    <w:rsid w:val="00F60E22"/>
    <w:rsid w:val="00F63B39"/>
    <w:rsid w:val="00F75FE6"/>
    <w:rsid w:val="00F7706A"/>
    <w:rsid w:val="00F772EA"/>
    <w:rsid w:val="00F81395"/>
    <w:rsid w:val="00F81887"/>
    <w:rsid w:val="00F81BB8"/>
    <w:rsid w:val="00F917D1"/>
    <w:rsid w:val="00F9342C"/>
    <w:rsid w:val="00F93785"/>
    <w:rsid w:val="00F9653B"/>
    <w:rsid w:val="00FA0025"/>
    <w:rsid w:val="00FA459D"/>
    <w:rsid w:val="00FA56EA"/>
    <w:rsid w:val="00FB4B5C"/>
    <w:rsid w:val="00FB62CF"/>
    <w:rsid w:val="00FC0F4A"/>
    <w:rsid w:val="00FC3330"/>
    <w:rsid w:val="00FD3C3B"/>
    <w:rsid w:val="00FE07DD"/>
    <w:rsid w:val="00FE6B45"/>
    <w:rsid w:val="00FF119E"/>
    <w:rsid w:val="00FF1414"/>
    <w:rsid w:val="00FF21C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10CDD-D937-4AB2-BBB0-484AC469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2290</Words>
  <Characters>12253</Characters>
  <Application>Microsoft Office Word</Application>
  <DocSecurity>0</DocSecurity>
  <Lines>255</Lines>
  <Paragraphs>69</Paragraphs>
  <ScaleCrop>false</ScaleCrop>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185/21</dc:title>
  <dc:creator/>
  <cp:lastModifiedBy/>
  <cp:revision>1</cp:revision>
  <dcterms:created xsi:type="dcterms:W3CDTF">2021-09-24T15:51:00Z</dcterms:created>
  <dcterms:modified xsi:type="dcterms:W3CDTF">2021-09-24T15:52:00Z</dcterms:modified>
</cp:coreProperties>
</file>