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F6398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030D725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92AAD">
                              <w:rPr>
                                <w:rFonts w:asciiTheme="majorHAnsi" w:hAnsiTheme="majorHAnsi" w:cs="Arial"/>
                                <w:b/>
                                <w:bCs/>
                                <w:color w:val="0D0D0D" w:themeColor="text1" w:themeTint="F2"/>
                                <w:sz w:val="36"/>
                                <w:szCs w:val="22"/>
                                <w:lang w:val="es-ES_tradnl"/>
                              </w:rPr>
                              <w:t>127</w:t>
                            </w:r>
                            <w:r w:rsidR="007B05C4" w:rsidRPr="00E92AAD">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70FC2D2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802F6">
                              <w:rPr>
                                <w:rFonts w:asciiTheme="majorHAnsi" w:hAnsiTheme="majorHAnsi" w:cs="Arial"/>
                                <w:b/>
                                <w:color w:val="0D0D0D" w:themeColor="text1" w:themeTint="F2"/>
                                <w:sz w:val="36"/>
                                <w:szCs w:val="22"/>
                                <w:lang w:val="es-ES_tradnl"/>
                              </w:rPr>
                              <w:t>1197-12</w:t>
                            </w:r>
                            <w:r w:rsidR="00246D1F" w:rsidRPr="004E2649">
                              <w:rPr>
                                <w:rFonts w:asciiTheme="majorHAnsi" w:hAnsiTheme="majorHAnsi" w:cs="Arial"/>
                                <w:b/>
                                <w:color w:val="0D0D0D" w:themeColor="text1" w:themeTint="F2"/>
                                <w:sz w:val="36"/>
                                <w:szCs w:val="22"/>
                                <w:lang w:val="es-ES_tradnl"/>
                              </w:rPr>
                              <w:t xml:space="preserve"> </w:t>
                            </w:r>
                          </w:p>
                          <w:p w14:paraId="317F581C" w14:textId="155E232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4352EE14" w:rsidR="005B52B0" w:rsidRPr="0010736F" w:rsidRDefault="000802F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LUZ GRICELDA MONGE TALAVERA</w:t>
                            </w:r>
                          </w:p>
                          <w:bookmarkEnd w:id="1"/>
                          <w:p w14:paraId="0409BA94" w14:textId="22F93F71" w:rsidR="005B52B0" w:rsidRPr="0010736F" w:rsidRDefault="000802F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030D725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92AAD">
                        <w:rPr>
                          <w:rFonts w:asciiTheme="majorHAnsi" w:hAnsiTheme="majorHAnsi" w:cs="Arial"/>
                          <w:b/>
                          <w:bCs/>
                          <w:color w:val="0D0D0D" w:themeColor="text1" w:themeTint="F2"/>
                          <w:sz w:val="36"/>
                          <w:szCs w:val="22"/>
                          <w:lang w:val="es-ES_tradnl"/>
                        </w:rPr>
                        <w:t>127</w:t>
                      </w:r>
                      <w:r w:rsidR="007B05C4" w:rsidRPr="00E92AAD">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70FC2D2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802F6">
                        <w:rPr>
                          <w:rFonts w:asciiTheme="majorHAnsi" w:hAnsiTheme="majorHAnsi" w:cs="Arial"/>
                          <w:b/>
                          <w:color w:val="0D0D0D" w:themeColor="text1" w:themeTint="F2"/>
                          <w:sz w:val="36"/>
                          <w:szCs w:val="22"/>
                          <w:lang w:val="es-ES_tradnl"/>
                        </w:rPr>
                        <w:t>1197-12</w:t>
                      </w:r>
                      <w:r w:rsidR="00246D1F" w:rsidRPr="004E2649">
                        <w:rPr>
                          <w:rFonts w:asciiTheme="majorHAnsi" w:hAnsiTheme="majorHAnsi" w:cs="Arial"/>
                          <w:b/>
                          <w:color w:val="0D0D0D" w:themeColor="text1" w:themeTint="F2"/>
                          <w:sz w:val="36"/>
                          <w:szCs w:val="22"/>
                          <w:lang w:val="es-ES_tradnl"/>
                        </w:rPr>
                        <w:t xml:space="preserve"> </w:t>
                      </w:r>
                    </w:p>
                    <w:p w14:paraId="317F581C" w14:textId="155E232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4352EE14" w:rsidR="005B52B0" w:rsidRPr="0010736F" w:rsidRDefault="000802F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LUZ GRICELDA MONGE TALAVERA</w:t>
                      </w:r>
                    </w:p>
                    <w:bookmarkEnd w:id="1"/>
                    <w:p w14:paraId="0409BA94" w14:textId="22F93F71" w:rsidR="005B52B0" w:rsidRPr="0010736F" w:rsidRDefault="000802F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0CE669FF" w:rsidR="00627C9F" w:rsidRPr="00E92AAD"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r w:rsidRPr="00E92AAD">
                              <w:rPr>
                                <w:rFonts w:asciiTheme="minorHAnsi" w:hAnsiTheme="minorHAnsi"/>
                                <w:color w:val="FFFFFF" w:themeColor="background1"/>
                                <w:sz w:val="22"/>
                                <w:lang w:val="pt-BR"/>
                              </w:rPr>
                              <w:t>/II</w:t>
                            </w:r>
                          </w:p>
                          <w:p w14:paraId="28E8B0DD" w14:textId="0BC44599" w:rsidR="00627C9F" w:rsidRPr="00E92AAD" w:rsidRDefault="00627C9F" w:rsidP="007A5817">
                            <w:pPr>
                              <w:spacing w:line="276" w:lineRule="auto"/>
                              <w:jc w:val="right"/>
                              <w:rPr>
                                <w:rFonts w:asciiTheme="minorHAnsi" w:hAnsiTheme="minorHAnsi"/>
                                <w:color w:val="FFFFFF" w:themeColor="background1"/>
                                <w:sz w:val="22"/>
                                <w:lang w:val="es-419"/>
                              </w:rPr>
                            </w:pPr>
                            <w:r w:rsidRPr="00E92AAD">
                              <w:rPr>
                                <w:rFonts w:asciiTheme="minorHAnsi" w:hAnsiTheme="minorHAnsi"/>
                                <w:color w:val="FFFFFF" w:themeColor="background1"/>
                                <w:sz w:val="22"/>
                                <w:lang w:val="es-419"/>
                              </w:rPr>
                              <w:t xml:space="preserve">Doc. </w:t>
                            </w:r>
                            <w:r w:rsidR="00E92AAD">
                              <w:rPr>
                                <w:rFonts w:asciiTheme="minorHAnsi" w:hAnsiTheme="minorHAnsi"/>
                                <w:color w:val="FFFFFF" w:themeColor="background1"/>
                                <w:sz w:val="22"/>
                                <w:lang w:val="es-419"/>
                              </w:rPr>
                              <w:t>135</w:t>
                            </w:r>
                          </w:p>
                          <w:p w14:paraId="01D5CFED" w14:textId="41B89341" w:rsidR="00627C9F" w:rsidRPr="00C25ADB" w:rsidRDefault="00E92AA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junio</w:t>
                            </w:r>
                            <w:r w:rsidR="00627C9F" w:rsidRPr="00E92AAD">
                              <w:rPr>
                                <w:rFonts w:asciiTheme="minorHAnsi" w:hAnsiTheme="minorHAnsi"/>
                                <w:color w:val="FFFFFF" w:themeColor="background1"/>
                                <w:sz w:val="22"/>
                                <w:lang w:val="es-PA"/>
                              </w:rPr>
                              <w:t xml:space="preserve"> 20</w:t>
                            </w:r>
                            <w:r w:rsidR="00C23BA4" w:rsidRPr="00E92AAD">
                              <w:rPr>
                                <w:rFonts w:asciiTheme="minorHAnsi" w:hAnsiTheme="minorHAnsi"/>
                                <w:color w:val="FFFFFF" w:themeColor="background1"/>
                                <w:sz w:val="22"/>
                                <w:lang w:val="es-PA"/>
                              </w:rPr>
                              <w:t>2</w:t>
                            </w:r>
                            <w:r w:rsidR="00AD265D" w:rsidRPr="00E92AAD">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0CE669FF" w:rsidR="00627C9F" w:rsidRPr="00E92AAD"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r w:rsidRPr="00E92AAD">
                        <w:rPr>
                          <w:rFonts w:asciiTheme="minorHAnsi" w:hAnsiTheme="minorHAnsi"/>
                          <w:color w:val="FFFFFF" w:themeColor="background1"/>
                          <w:sz w:val="22"/>
                          <w:lang w:val="pt-BR"/>
                        </w:rPr>
                        <w:t>/II</w:t>
                      </w:r>
                    </w:p>
                    <w:p w14:paraId="28E8B0DD" w14:textId="0BC44599" w:rsidR="00627C9F" w:rsidRPr="00E92AAD" w:rsidRDefault="00627C9F" w:rsidP="007A5817">
                      <w:pPr>
                        <w:spacing w:line="276" w:lineRule="auto"/>
                        <w:jc w:val="right"/>
                        <w:rPr>
                          <w:rFonts w:asciiTheme="minorHAnsi" w:hAnsiTheme="minorHAnsi"/>
                          <w:color w:val="FFFFFF" w:themeColor="background1"/>
                          <w:sz w:val="22"/>
                          <w:lang w:val="es-419"/>
                        </w:rPr>
                      </w:pPr>
                      <w:r w:rsidRPr="00E92AAD">
                        <w:rPr>
                          <w:rFonts w:asciiTheme="minorHAnsi" w:hAnsiTheme="minorHAnsi"/>
                          <w:color w:val="FFFFFF" w:themeColor="background1"/>
                          <w:sz w:val="22"/>
                          <w:lang w:val="es-419"/>
                        </w:rPr>
                        <w:t xml:space="preserve">Doc. </w:t>
                      </w:r>
                      <w:r w:rsidR="00E92AAD">
                        <w:rPr>
                          <w:rFonts w:asciiTheme="minorHAnsi" w:hAnsiTheme="minorHAnsi"/>
                          <w:color w:val="FFFFFF" w:themeColor="background1"/>
                          <w:sz w:val="22"/>
                          <w:lang w:val="es-419"/>
                        </w:rPr>
                        <w:t>135</w:t>
                      </w:r>
                    </w:p>
                    <w:p w14:paraId="01D5CFED" w14:textId="41B89341" w:rsidR="00627C9F" w:rsidRPr="00C25ADB" w:rsidRDefault="00E92AA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junio</w:t>
                      </w:r>
                      <w:r w:rsidR="00627C9F" w:rsidRPr="00E92AAD">
                        <w:rPr>
                          <w:rFonts w:asciiTheme="minorHAnsi" w:hAnsiTheme="minorHAnsi"/>
                          <w:color w:val="FFFFFF" w:themeColor="background1"/>
                          <w:sz w:val="22"/>
                          <w:lang w:val="es-PA"/>
                        </w:rPr>
                        <w:t xml:space="preserve"> 20</w:t>
                      </w:r>
                      <w:r w:rsidR="00C23BA4" w:rsidRPr="00E92AAD">
                        <w:rPr>
                          <w:rFonts w:asciiTheme="minorHAnsi" w:hAnsiTheme="minorHAnsi"/>
                          <w:color w:val="FFFFFF" w:themeColor="background1"/>
                          <w:sz w:val="22"/>
                          <w:lang w:val="es-PA"/>
                        </w:rPr>
                        <w:t>2</w:t>
                      </w:r>
                      <w:r w:rsidR="00AD265D" w:rsidRPr="00E92AAD">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6FAD8DA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E92AAD">
                              <w:rPr>
                                <w:rFonts w:asciiTheme="majorHAnsi" w:hAnsiTheme="majorHAnsi"/>
                                <w:color w:val="0D0D0D" w:themeColor="text1" w:themeTint="F2"/>
                                <w:sz w:val="18"/>
                                <w:szCs w:val="22"/>
                                <w:lang w:val="es-ES"/>
                              </w:rPr>
                              <w:t xml:space="preserve">Comisión el </w:t>
                            </w:r>
                            <w:r w:rsidR="00E92AAD">
                              <w:rPr>
                                <w:rFonts w:asciiTheme="majorHAnsi" w:hAnsiTheme="majorHAnsi"/>
                                <w:color w:val="0D0D0D" w:themeColor="text1" w:themeTint="F2"/>
                                <w:sz w:val="18"/>
                                <w:szCs w:val="22"/>
                                <w:lang w:val="es-ES"/>
                              </w:rPr>
                              <w:t>3</w:t>
                            </w:r>
                            <w:r w:rsidRPr="00E92AAD">
                              <w:rPr>
                                <w:rFonts w:asciiTheme="majorHAnsi" w:hAnsiTheme="majorHAnsi"/>
                                <w:color w:val="0D0D0D" w:themeColor="text1" w:themeTint="F2"/>
                                <w:sz w:val="18"/>
                                <w:szCs w:val="22"/>
                                <w:lang w:val="es-ES"/>
                              </w:rPr>
                              <w:t xml:space="preserve"> de </w:t>
                            </w:r>
                            <w:r w:rsidR="00E92AAD">
                              <w:rPr>
                                <w:rFonts w:asciiTheme="majorHAnsi" w:hAnsiTheme="majorHAnsi"/>
                                <w:color w:val="0D0D0D" w:themeColor="text1" w:themeTint="F2"/>
                                <w:sz w:val="18"/>
                                <w:szCs w:val="22"/>
                                <w:lang w:val="es-ES"/>
                              </w:rPr>
                              <w:t>junio</w:t>
                            </w:r>
                            <w:r w:rsidR="00F81BB8" w:rsidRPr="00E92AAD">
                              <w:rPr>
                                <w:rFonts w:asciiTheme="majorHAnsi" w:hAnsiTheme="majorHAnsi"/>
                                <w:color w:val="0D0D0D" w:themeColor="text1" w:themeTint="F2"/>
                                <w:sz w:val="18"/>
                                <w:szCs w:val="22"/>
                                <w:lang w:val="es-ES"/>
                              </w:rPr>
                              <w:t xml:space="preserve"> </w:t>
                            </w:r>
                            <w:r w:rsidRPr="00E92AAD">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EB119E">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6FAD8DA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E92AAD">
                        <w:rPr>
                          <w:rFonts w:asciiTheme="majorHAnsi" w:hAnsiTheme="majorHAnsi"/>
                          <w:color w:val="0D0D0D" w:themeColor="text1" w:themeTint="F2"/>
                          <w:sz w:val="18"/>
                          <w:szCs w:val="22"/>
                          <w:lang w:val="es-ES"/>
                        </w:rPr>
                        <w:t xml:space="preserve">Comisión el </w:t>
                      </w:r>
                      <w:r w:rsidR="00E92AAD">
                        <w:rPr>
                          <w:rFonts w:asciiTheme="majorHAnsi" w:hAnsiTheme="majorHAnsi"/>
                          <w:color w:val="0D0D0D" w:themeColor="text1" w:themeTint="F2"/>
                          <w:sz w:val="18"/>
                          <w:szCs w:val="22"/>
                          <w:lang w:val="es-ES"/>
                        </w:rPr>
                        <w:t>3</w:t>
                      </w:r>
                      <w:r w:rsidRPr="00E92AAD">
                        <w:rPr>
                          <w:rFonts w:asciiTheme="majorHAnsi" w:hAnsiTheme="majorHAnsi"/>
                          <w:color w:val="0D0D0D" w:themeColor="text1" w:themeTint="F2"/>
                          <w:sz w:val="18"/>
                          <w:szCs w:val="22"/>
                          <w:lang w:val="es-ES"/>
                        </w:rPr>
                        <w:t xml:space="preserve"> de </w:t>
                      </w:r>
                      <w:r w:rsidR="00E92AAD">
                        <w:rPr>
                          <w:rFonts w:asciiTheme="majorHAnsi" w:hAnsiTheme="majorHAnsi"/>
                          <w:color w:val="0D0D0D" w:themeColor="text1" w:themeTint="F2"/>
                          <w:sz w:val="18"/>
                          <w:szCs w:val="22"/>
                          <w:lang w:val="es-ES"/>
                        </w:rPr>
                        <w:t>junio</w:t>
                      </w:r>
                      <w:r w:rsidR="00F81BB8" w:rsidRPr="00E92AAD">
                        <w:rPr>
                          <w:rFonts w:asciiTheme="majorHAnsi" w:hAnsiTheme="majorHAnsi"/>
                          <w:color w:val="0D0D0D" w:themeColor="text1" w:themeTint="F2"/>
                          <w:sz w:val="18"/>
                          <w:szCs w:val="22"/>
                          <w:lang w:val="es-ES"/>
                        </w:rPr>
                        <w:t xml:space="preserve"> </w:t>
                      </w:r>
                      <w:r w:rsidRPr="00E92AAD">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EB119E">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2F57F05B">
                <wp:simplePos x="0" y="0"/>
                <wp:positionH relativeFrom="column">
                  <wp:posOffset>1333500</wp:posOffset>
                </wp:positionH>
                <wp:positionV relativeFrom="paragraph">
                  <wp:posOffset>3901</wp:posOffset>
                </wp:positionV>
                <wp:extent cx="5246914"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246914"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50188E7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E92AAD">
                              <w:rPr>
                                <w:rFonts w:asciiTheme="majorHAnsi" w:hAnsiTheme="majorHAnsi"/>
                                <w:color w:val="595959" w:themeColor="text1" w:themeTint="A6"/>
                                <w:sz w:val="18"/>
                                <w:szCs w:val="18"/>
                                <w:lang w:val="pt-BR"/>
                              </w:rPr>
                              <w:t xml:space="preserve">No. </w:t>
                            </w:r>
                            <w:r w:rsidR="00E92AAD" w:rsidRPr="00E92AAD">
                              <w:rPr>
                                <w:rFonts w:asciiTheme="majorHAnsi" w:hAnsiTheme="majorHAnsi"/>
                                <w:color w:val="595959" w:themeColor="text1" w:themeTint="A6"/>
                                <w:sz w:val="18"/>
                                <w:szCs w:val="18"/>
                                <w:lang w:val="pt-BR"/>
                              </w:rPr>
                              <w:t>127</w:t>
                            </w:r>
                            <w:r w:rsidR="007B05C4" w:rsidRPr="00E92AAD">
                              <w:rPr>
                                <w:rFonts w:asciiTheme="majorHAnsi" w:hAnsiTheme="majorHAnsi"/>
                                <w:color w:val="595959" w:themeColor="text1" w:themeTint="A6"/>
                                <w:sz w:val="18"/>
                                <w:szCs w:val="18"/>
                                <w:lang w:val="pt-BR"/>
                              </w:rPr>
                              <w:t>/</w:t>
                            </w:r>
                            <w:r w:rsidR="00E92AAD" w:rsidRPr="00E92AAD">
                              <w:rPr>
                                <w:rFonts w:asciiTheme="majorHAnsi" w:hAnsiTheme="majorHAnsi"/>
                                <w:color w:val="595959" w:themeColor="text1" w:themeTint="A6"/>
                                <w:sz w:val="18"/>
                                <w:szCs w:val="18"/>
                                <w:lang w:val="pt-BR"/>
                              </w:rPr>
                              <w:t>21</w:t>
                            </w:r>
                            <w:r w:rsidRPr="00E92AAD">
                              <w:rPr>
                                <w:rFonts w:asciiTheme="majorHAnsi" w:hAnsiTheme="majorHAnsi"/>
                                <w:color w:val="595959" w:themeColor="text1" w:themeTint="A6"/>
                                <w:sz w:val="18"/>
                                <w:szCs w:val="18"/>
                                <w:lang w:val="pt-BR"/>
                              </w:rPr>
                              <w:t xml:space="preserve">. </w:t>
                            </w:r>
                            <w:proofErr w:type="spellStart"/>
                            <w:r w:rsidR="000433C9" w:rsidRPr="00E92AAD">
                              <w:rPr>
                                <w:rFonts w:asciiTheme="majorHAnsi" w:hAnsiTheme="majorHAnsi"/>
                                <w:color w:val="595959" w:themeColor="text1" w:themeTint="A6"/>
                                <w:sz w:val="18"/>
                                <w:szCs w:val="18"/>
                                <w:lang w:val="es-ES_tradnl"/>
                              </w:rPr>
                              <w:t>Petici</w:t>
                            </w:r>
                            <w:r w:rsidR="000433C9" w:rsidRPr="00E92AAD">
                              <w:rPr>
                                <w:rFonts w:asciiTheme="majorHAnsi" w:hAnsiTheme="majorHAnsi"/>
                                <w:color w:val="595959" w:themeColor="text1" w:themeTint="A6"/>
                                <w:sz w:val="18"/>
                                <w:szCs w:val="18"/>
                                <w:lang w:val="es-ES"/>
                              </w:rPr>
                              <w:t>ón</w:t>
                            </w:r>
                            <w:proofErr w:type="spellEnd"/>
                            <w:r w:rsidR="000433C9" w:rsidRPr="00E92AAD">
                              <w:rPr>
                                <w:rFonts w:asciiTheme="majorHAnsi" w:hAnsiTheme="majorHAnsi"/>
                                <w:color w:val="595959" w:themeColor="text1" w:themeTint="A6"/>
                                <w:sz w:val="18"/>
                                <w:szCs w:val="18"/>
                                <w:lang w:val="es-ES"/>
                              </w:rPr>
                              <w:t xml:space="preserve"> </w:t>
                            </w:r>
                            <w:r w:rsidR="000802F6" w:rsidRPr="00E92AAD">
                              <w:rPr>
                                <w:rFonts w:asciiTheme="majorHAnsi" w:hAnsiTheme="majorHAnsi"/>
                                <w:color w:val="595959" w:themeColor="text1" w:themeTint="A6"/>
                                <w:sz w:val="18"/>
                                <w:szCs w:val="18"/>
                                <w:lang w:val="es-ES"/>
                              </w:rPr>
                              <w:t>1197-12</w:t>
                            </w:r>
                            <w:r w:rsidR="000433C9" w:rsidRPr="00E92AAD">
                              <w:rPr>
                                <w:rFonts w:asciiTheme="majorHAnsi" w:hAnsiTheme="majorHAnsi"/>
                                <w:color w:val="595959" w:themeColor="text1" w:themeTint="A6"/>
                                <w:sz w:val="18"/>
                                <w:szCs w:val="18"/>
                                <w:lang w:val="es-ES"/>
                              </w:rPr>
                              <w:t>.</w:t>
                            </w:r>
                            <w:r w:rsidR="000802F6" w:rsidRPr="00E92AAD">
                              <w:rPr>
                                <w:rFonts w:asciiTheme="majorHAnsi" w:hAnsiTheme="majorHAnsi"/>
                                <w:color w:val="595959" w:themeColor="text1" w:themeTint="A6"/>
                                <w:sz w:val="18"/>
                                <w:szCs w:val="18"/>
                                <w:lang w:val="es-ES"/>
                              </w:rPr>
                              <w:t xml:space="preserve"> </w:t>
                            </w:r>
                            <w:r w:rsidRPr="00E92AAD">
                              <w:rPr>
                                <w:rFonts w:asciiTheme="majorHAnsi" w:hAnsiTheme="majorHAnsi"/>
                                <w:color w:val="595959" w:themeColor="text1" w:themeTint="A6"/>
                                <w:sz w:val="18"/>
                                <w:szCs w:val="18"/>
                                <w:lang w:val="es-ES_tradnl"/>
                              </w:rPr>
                              <w:t xml:space="preserve">Admisibilidad. </w:t>
                            </w:r>
                            <w:r w:rsidR="000802F6" w:rsidRPr="00E92AAD">
                              <w:rPr>
                                <w:rFonts w:asciiTheme="majorHAnsi" w:hAnsiTheme="majorHAnsi"/>
                                <w:color w:val="595959" w:themeColor="text1" w:themeTint="A6"/>
                                <w:sz w:val="18"/>
                                <w:szCs w:val="18"/>
                                <w:lang w:val="es-ES_tradnl"/>
                              </w:rPr>
                              <w:t>Luz Gricelda Monge Talavera</w:t>
                            </w:r>
                            <w:r w:rsidRPr="00E92AAD">
                              <w:rPr>
                                <w:rFonts w:asciiTheme="majorHAnsi" w:hAnsiTheme="majorHAnsi"/>
                                <w:color w:val="595959" w:themeColor="text1" w:themeTint="A6"/>
                                <w:sz w:val="18"/>
                                <w:szCs w:val="18"/>
                                <w:lang w:val="es-ES_tradnl"/>
                              </w:rPr>
                              <w:t xml:space="preserve">. </w:t>
                            </w:r>
                            <w:r w:rsidR="000802F6" w:rsidRPr="00E92AAD">
                              <w:rPr>
                                <w:rFonts w:asciiTheme="majorHAnsi" w:hAnsiTheme="majorHAnsi"/>
                                <w:color w:val="595959" w:themeColor="text1" w:themeTint="A6"/>
                                <w:sz w:val="18"/>
                                <w:szCs w:val="18"/>
                                <w:lang w:val="es-ES_tradnl"/>
                              </w:rPr>
                              <w:t>Perú</w:t>
                            </w:r>
                            <w:r w:rsidRPr="00E92AAD">
                              <w:rPr>
                                <w:rFonts w:asciiTheme="majorHAnsi" w:hAnsiTheme="majorHAnsi"/>
                                <w:color w:val="595959" w:themeColor="text1" w:themeTint="A6"/>
                                <w:sz w:val="18"/>
                                <w:szCs w:val="18"/>
                                <w:lang w:val="es-ES_tradnl"/>
                              </w:rPr>
                              <w:t xml:space="preserve">. </w:t>
                            </w:r>
                            <w:r w:rsidR="00E92AAD">
                              <w:rPr>
                                <w:rFonts w:asciiTheme="majorHAnsi" w:hAnsiTheme="majorHAnsi"/>
                                <w:color w:val="595959" w:themeColor="text1" w:themeTint="A6"/>
                                <w:sz w:val="18"/>
                                <w:szCs w:val="18"/>
                                <w:lang w:val="es-ES"/>
                              </w:rPr>
                              <w:t>3 de junio de 2021</w:t>
                            </w:r>
                            <w:r w:rsidRPr="00E92AAD">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9339C4" id="Text Box 10" o:spid="_x0000_s1030" type="#_x0000_t202" style="position:absolute;left:0;text-align:left;margin-left:105pt;margin-top:.3pt;width:413.1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" filled="f" stroked="f" strokeweight=".5pt">
                <v:textbox>
                  <w:txbxContent>
                    <w:p w14:paraId="54375F82" w14:textId="50188E7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E92AAD">
                        <w:rPr>
                          <w:rFonts w:asciiTheme="majorHAnsi" w:hAnsiTheme="majorHAnsi"/>
                          <w:color w:val="595959" w:themeColor="text1" w:themeTint="A6"/>
                          <w:sz w:val="18"/>
                          <w:szCs w:val="18"/>
                          <w:lang w:val="pt-BR"/>
                        </w:rPr>
                        <w:t xml:space="preserve">No. </w:t>
                      </w:r>
                      <w:r w:rsidR="00E92AAD" w:rsidRPr="00E92AAD">
                        <w:rPr>
                          <w:rFonts w:asciiTheme="majorHAnsi" w:hAnsiTheme="majorHAnsi"/>
                          <w:color w:val="595959" w:themeColor="text1" w:themeTint="A6"/>
                          <w:sz w:val="18"/>
                          <w:szCs w:val="18"/>
                          <w:lang w:val="pt-BR"/>
                        </w:rPr>
                        <w:t>127</w:t>
                      </w:r>
                      <w:r w:rsidR="007B05C4" w:rsidRPr="00E92AAD">
                        <w:rPr>
                          <w:rFonts w:asciiTheme="majorHAnsi" w:hAnsiTheme="majorHAnsi"/>
                          <w:color w:val="595959" w:themeColor="text1" w:themeTint="A6"/>
                          <w:sz w:val="18"/>
                          <w:szCs w:val="18"/>
                          <w:lang w:val="pt-BR"/>
                        </w:rPr>
                        <w:t>/</w:t>
                      </w:r>
                      <w:r w:rsidR="00E92AAD" w:rsidRPr="00E92AAD">
                        <w:rPr>
                          <w:rFonts w:asciiTheme="majorHAnsi" w:hAnsiTheme="majorHAnsi"/>
                          <w:color w:val="595959" w:themeColor="text1" w:themeTint="A6"/>
                          <w:sz w:val="18"/>
                          <w:szCs w:val="18"/>
                          <w:lang w:val="pt-BR"/>
                        </w:rPr>
                        <w:t>21</w:t>
                      </w:r>
                      <w:r w:rsidRPr="00E92AAD">
                        <w:rPr>
                          <w:rFonts w:asciiTheme="majorHAnsi" w:hAnsiTheme="majorHAnsi"/>
                          <w:color w:val="595959" w:themeColor="text1" w:themeTint="A6"/>
                          <w:sz w:val="18"/>
                          <w:szCs w:val="18"/>
                          <w:lang w:val="pt-BR"/>
                        </w:rPr>
                        <w:t xml:space="preserve">. </w:t>
                      </w:r>
                      <w:proofErr w:type="spellStart"/>
                      <w:r w:rsidR="000433C9" w:rsidRPr="00E92AAD">
                        <w:rPr>
                          <w:rFonts w:asciiTheme="majorHAnsi" w:hAnsiTheme="majorHAnsi"/>
                          <w:color w:val="595959" w:themeColor="text1" w:themeTint="A6"/>
                          <w:sz w:val="18"/>
                          <w:szCs w:val="18"/>
                          <w:lang w:val="es-ES_tradnl"/>
                        </w:rPr>
                        <w:t>Petici</w:t>
                      </w:r>
                      <w:r w:rsidR="000433C9" w:rsidRPr="00E92AAD">
                        <w:rPr>
                          <w:rFonts w:asciiTheme="majorHAnsi" w:hAnsiTheme="majorHAnsi"/>
                          <w:color w:val="595959" w:themeColor="text1" w:themeTint="A6"/>
                          <w:sz w:val="18"/>
                          <w:szCs w:val="18"/>
                          <w:lang w:val="es-ES"/>
                        </w:rPr>
                        <w:t>ón</w:t>
                      </w:r>
                      <w:proofErr w:type="spellEnd"/>
                      <w:r w:rsidR="000433C9" w:rsidRPr="00E92AAD">
                        <w:rPr>
                          <w:rFonts w:asciiTheme="majorHAnsi" w:hAnsiTheme="majorHAnsi"/>
                          <w:color w:val="595959" w:themeColor="text1" w:themeTint="A6"/>
                          <w:sz w:val="18"/>
                          <w:szCs w:val="18"/>
                          <w:lang w:val="es-ES"/>
                        </w:rPr>
                        <w:t xml:space="preserve"> </w:t>
                      </w:r>
                      <w:r w:rsidR="000802F6" w:rsidRPr="00E92AAD">
                        <w:rPr>
                          <w:rFonts w:asciiTheme="majorHAnsi" w:hAnsiTheme="majorHAnsi"/>
                          <w:color w:val="595959" w:themeColor="text1" w:themeTint="A6"/>
                          <w:sz w:val="18"/>
                          <w:szCs w:val="18"/>
                          <w:lang w:val="es-ES"/>
                        </w:rPr>
                        <w:t>1197-12</w:t>
                      </w:r>
                      <w:r w:rsidR="000433C9" w:rsidRPr="00E92AAD">
                        <w:rPr>
                          <w:rFonts w:asciiTheme="majorHAnsi" w:hAnsiTheme="majorHAnsi"/>
                          <w:color w:val="595959" w:themeColor="text1" w:themeTint="A6"/>
                          <w:sz w:val="18"/>
                          <w:szCs w:val="18"/>
                          <w:lang w:val="es-ES"/>
                        </w:rPr>
                        <w:t>.</w:t>
                      </w:r>
                      <w:r w:rsidR="000802F6" w:rsidRPr="00E92AAD">
                        <w:rPr>
                          <w:rFonts w:asciiTheme="majorHAnsi" w:hAnsiTheme="majorHAnsi"/>
                          <w:color w:val="595959" w:themeColor="text1" w:themeTint="A6"/>
                          <w:sz w:val="18"/>
                          <w:szCs w:val="18"/>
                          <w:lang w:val="es-ES"/>
                        </w:rPr>
                        <w:t xml:space="preserve"> </w:t>
                      </w:r>
                      <w:r w:rsidRPr="00E92AAD">
                        <w:rPr>
                          <w:rFonts w:asciiTheme="majorHAnsi" w:hAnsiTheme="majorHAnsi"/>
                          <w:color w:val="595959" w:themeColor="text1" w:themeTint="A6"/>
                          <w:sz w:val="18"/>
                          <w:szCs w:val="18"/>
                          <w:lang w:val="es-ES_tradnl"/>
                        </w:rPr>
                        <w:t xml:space="preserve">Admisibilidad. </w:t>
                      </w:r>
                      <w:r w:rsidR="000802F6" w:rsidRPr="00E92AAD">
                        <w:rPr>
                          <w:rFonts w:asciiTheme="majorHAnsi" w:hAnsiTheme="majorHAnsi"/>
                          <w:color w:val="595959" w:themeColor="text1" w:themeTint="A6"/>
                          <w:sz w:val="18"/>
                          <w:szCs w:val="18"/>
                          <w:lang w:val="es-ES_tradnl"/>
                        </w:rPr>
                        <w:t>Luz Gricelda Monge Talavera</w:t>
                      </w:r>
                      <w:r w:rsidRPr="00E92AAD">
                        <w:rPr>
                          <w:rFonts w:asciiTheme="majorHAnsi" w:hAnsiTheme="majorHAnsi"/>
                          <w:color w:val="595959" w:themeColor="text1" w:themeTint="A6"/>
                          <w:sz w:val="18"/>
                          <w:szCs w:val="18"/>
                          <w:lang w:val="es-ES_tradnl"/>
                        </w:rPr>
                        <w:t xml:space="preserve">. </w:t>
                      </w:r>
                      <w:r w:rsidR="000802F6" w:rsidRPr="00E92AAD">
                        <w:rPr>
                          <w:rFonts w:asciiTheme="majorHAnsi" w:hAnsiTheme="majorHAnsi"/>
                          <w:color w:val="595959" w:themeColor="text1" w:themeTint="A6"/>
                          <w:sz w:val="18"/>
                          <w:szCs w:val="18"/>
                          <w:lang w:val="es-ES_tradnl"/>
                        </w:rPr>
                        <w:t>Perú</w:t>
                      </w:r>
                      <w:r w:rsidRPr="00E92AAD">
                        <w:rPr>
                          <w:rFonts w:asciiTheme="majorHAnsi" w:hAnsiTheme="majorHAnsi"/>
                          <w:color w:val="595959" w:themeColor="text1" w:themeTint="A6"/>
                          <w:sz w:val="18"/>
                          <w:szCs w:val="18"/>
                          <w:lang w:val="es-ES_tradnl"/>
                        </w:rPr>
                        <w:t xml:space="preserve">. </w:t>
                      </w:r>
                      <w:r w:rsidR="00E92AAD">
                        <w:rPr>
                          <w:rFonts w:asciiTheme="majorHAnsi" w:hAnsiTheme="majorHAnsi"/>
                          <w:color w:val="595959" w:themeColor="text1" w:themeTint="A6"/>
                          <w:sz w:val="18"/>
                          <w:szCs w:val="18"/>
                          <w:lang w:val="es-ES"/>
                        </w:rPr>
                        <w:t>3 de junio de 2021</w:t>
                      </w:r>
                      <w:r w:rsidRPr="00E92AAD">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3503876B" w:rsidR="00D72DC6" w:rsidRPr="00D72DC6" w:rsidRDefault="00EB119E" w:rsidP="00F02AD1">
                            <w:pPr>
                              <w:rPr>
                                <w:color w:val="FFFFFF" w:themeColor="background1"/>
                                <w14:textFill>
                                  <w14:noFill/>
                                </w14:textFill>
                              </w:rPr>
                            </w:pPr>
                            <w:r>
                              <w:rPr>
                                <w:noProof/>
                                <w:color w:val="FFFFFF" w:themeColor="background1"/>
                              </w:rPr>
                              <w:drawing>
                                <wp:inline distT="0" distB="0" distL="0" distR="0" wp14:anchorId="636EDF66" wp14:editId="2F7D297E">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786CDA1" w14:textId="3503876B" w:rsidR="00D72DC6" w:rsidRPr="00D72DC6" w:rsidRDefault="00EB119E" w:rsidP="00F02AD1">
                      <w:pPr>
                        <w:rPr>
                          <w:color w:val="FFFFFF" w:themeColor="background1"/>
                          <w14:textFill>
                            <w14:noFill/>
                          </w14:textFill>
                        </w:rPr>
                      </w:pPr>
                      <w:r>
                        <w:rPr>
                          <w:noProof/>
                          <w:color w:val="FFFFFF" w:themeColor="background1"/>
                        </w:rPr>
                        <w:drawing>
                          <wp:inline distT="0" distB="0" distL="0" distR="0" wp14:anchorId="636EDF66" wp14:editId="2F7D297E">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59DEF526" w:rsidR="003239B8" w:rsidRPr="000D05CB" w:rsidRDefault="000802F6" w:rsidP="008D2290">
            <w:pPr>
              <w:jc w:val="both"/>
              <w:rPr>
                <w:rFonts w:ascii="Cambria" w:hAnsi="Cambria"/>
                <w:bCs/>
                <w:sz w:val="20"/>
                <w:szCs w:val="20"/>
              </w:rPr>
            </w:pPr>
            <w:r>
              <w:rPr>
                <w:rFonts w:ascii="Cambria" w:hAnsi="Cambria"/>
                <w:bCs/>
                <w:sz w:val="20"/>
                <w:szCs w:val="20"/>
              </w:rPr>
              <w:t xml:space="preserve">Luz </w:t>
            </w:r>
            <w:proofErr w:type="spellStart"/>
            <w:r>
              <w:rPr>
                <w:rFonts w:ascii="Cambria" w:hAnsi="Cambria"/>
                <w:bCs/>
                <w:sz w:val="20"/>
                <w:szCs w:val="20"/>
              </w:rPr>
              <w:t>Gricelda</w:t>
            </w:r>
            <w:proofErr w:type="spellEnd"/>
            <w:r>
              <w:rPr>
                <w:rFonts w:ascii="Cambria" w:hAnsi="Cambria"/>
                <w:bCs/>
                <w:sz w:val="20"/>
                <w:szCs w:val="20"/>
              </w:rPr>
              <w:t xml:space="preserve"> </w:t>
            </w:r>
            <w:proofErr w:type="spellStart"/>
            <w:r>
              <w:rPr>
                <w:rFonts w:ascii="Cambria" w:hAnsi="Cambria"/>
                <w:bCs/>
                <w:sz w:val="20"/>
                <w:szCs w:val="20"/>
              </w:rPr>
              <w:t>Monge</w:t>
            </w:r>
            <w:proofErr w:type="spellEnd"/>
            <w:r>
              <w:rPr>
                <w:rFonts w:ascii="Cambria" w:hAnsi="Cambria"/>
                <w:bCs/>
                <w:sz w:val="20"/>
                <w:szCs w:val="20"/>
              </w:rPr>
              <w:t xml:space="preserve"> Talavera</w:t>
            </w:r>
          </w:p>
        </w:tc>
      </w:tr>
      <w:tr w:rsidR="003239B8" w:rsidRPr="001E49E7"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9C605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35AE32F1" w:rsidR="003239B8" w:rsidRPr="000D05CB" w:rsidRDefault="000802F6" w:rsidP="008D2290">
            <w:pPr>
              <w:jc w:val="both"/>
              <w:rPr>
                <w:rFonts w:ascii="Cambria" w:hAnsi="Cambria"/>
                <w:bCs/>
                <w:sz w:val="20"/>
                <w:szCs w:val="20"/>
                <w:lang w:val="es-ES"/>
              </w:rPr>
            </w:pPr>
            <w:r>
              <w:rPr>
                <w:rFonts w:ascii="Cambria" w:hAnsi="Cambria"/>
                <w:bCs/>
                <w:sz w:val="20"/>
                <w:szCs w:val="20"/>
                <w:lang w:val="es-ES"/>
              </w:rPr>
              <w:t>Luz Gricelda Monge Talavera</w:t>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1C9987E7" w:rsidR="003239B8" w:rsidRPr="000D05CB" w:rsidRDefault="000802F6" w:rsidP="008D2290">
            <w:pPr>
              <w:jc w:val="both"/>
              <w:rPr>
                <w:rFonts w:ascii="Cambria" w:hAnsi="Cambria"/>
                <w:bCs/>
                <w:sz w:val="20"/>
                <w:szCs w:val="20"/>
              </w:rPr>
            </w:pPr>
            <w:r>
              <w:rPr>
                <w:rFonts w:ascii="Cambria" w:hAnsi="Cambria"/>
                <w:bCs/>
                <w:sz w:val="20"/>
                <w:szCs w:val="20"/>
              </w:rPr>
              <w:t>Perú</w:t>
            </w:r>
            <w:r w:rsidR="004A6A54" w:rsidRPr="000D05CB">
              <w:rPr>
                <w:rStyle w:val="FootnoteReference"/>
                <w:rFonts w:ascii="Cambria" w:hAnsi="Cambria"/>
                <w:bCs/>
                <w:sz w:val="20"/>
                <w:szCs w:val="20"/>
              </w:rPr>
              <w:footnoteReference w:id="2"/>
            </w:r>
          </w:p>
        </w:tc>
      </w:tr>
      <w:tr w:rsidR="00223A29" w:rsidRPr="00EB119E"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161E892A" w:rsidR="00223A29" w:rsidRPr="006011E2" w:rsidRDefault="006011E2" w:rsidP="008D2290">
            <w:pPr>
              <w:jc w:val="both"/>
              <w:rPr>
                <w:rFonts w:ascii="Cambria" w:hAnsi="Cambria"/>
                <w:bCs/>
                <w:sz w:val="20"/>
                <w:szCs w:val="20"/>
                <w:lang w:val="es-CO"/>
              </w:rPr>
            </w:pPr>
            <w:r w:rsidRPr="006011E2">
              <w:rPr>
                <w:rFonts w:ascii="Cambria" w:hAnsi="Cambria"/>
                <w:bCs/>
                <w:sz w:val="20"/>
                <w:szCs w:val="20"/>
                <w:lang w:val="es-CO"/>
              </w:rPr>
              <w:t>Artículos 8 (garantías judiciales) y 25 (p</w:t>
            </w:r>
            <w:r>
              <w:rPr>
                <w:rFonts w:ascii="Cambria" w:hAnsi="Cambria"/>
                <w:bCs/>
                <w:sz w:val="20"/>
                <w:szCs w:val="20"/>
                <w:lang w:val="es-CO"/>
              </w:rPr>
              <w:t>rotección judicial) de la Convención Americana sobre Derechos Humanos</w:t>
            </w:r>
            <w:r>
              <w:rPr>
                <w:rStyle w:val="FootnoteReference"/>
                <w:rFonts w:ascii="Cambria" w:hAnsi="Cambria"/>
                <w:bCs/>
                <w:sz w:val="20"/>
                <w:szCs w:val="20"/>
                <w:lang w:val="es-CO"/>
              </w:rPr>
              <w:footnoteReference w:id="3"/>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14DE917C" w:rsidR="004C2312" w:rsidRPr="003239B8" w:rsidRDefault="000802F6" w:rsidP="002625EA">
            <w:pPr>
              <w:jc w:val="both"/>
              <w:rPr>
                <w:rFonts w:ascii="Cambria" w:hAnsi="Cambria"/>
                <w:bCs/>
                <w:sz w:val="20"/>
                <w:szCs w:val="20"/>
                <w:lang w:val="es-ES"/>
              </w:rPr>
            </w:pPr>
            <w:r>
              <w:rPr>
                <w:rFonts w:ascii="Cambria" w:hAnsi="Cambria"/>
                <w:bCs/>
                <w:sz w:val="20"/>
                <w:szCs w:val="20"/>
                <w:lang w:val="es-ES"/>
              </w:rPr>
              <w:t>20 de junio de 2012</w:t>
            </w:r>
          </w:p>
        </w:tc>
      </w:tr>
      <w:tr w:rsidR="004C2312" w:rsidRPr="000802F6"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14BC565C" w:rsidR="004C2312" w:rsidRPr="003239B8" w:rsidRDefault="009E52F1" w:rsidP="008D2290">
            <w:pPr>
              <w:jc w:val="both"/>
              <w:rPr>
                <w:rFonts w:ascii="Cambria" w:hAnsi="Cambria"/>
                <w:bCs/>
                <w:sz w:val="20"/>
                <w:szCs w:val="20"/>
                <w:lang w:val="es-ES"/>
              </w:rPr>
            </w:pPr>
            <w:r>
              <w:rPr>
                <w:rFonts w:ascii="Cambria" w:hAnsi="Cambria"/>
                <w:bCs/>
                <w:sz w:val="20"/>
                <w:szCs w:val="20"/>
                <w:lang w:val="es-ES"/>
              </w:rPr>
              <w:t>24 de julio de 2017</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19B4A901" w:rsidR="004C2312" w:rsidRPr="003239B8" w:rsidRDefault="00292720" w:rsidP="008D2290">
            <w:pPr>
              <w:jc w:val="both"/>
              <w:rPr>
                <w:rFonts w:ascii="Cambria" w:hAnsi="Cambria"/>
                <w:bCs/>
                <w:sz w:val="20"/>
                <w:szCs w:val="20"/>
                <w:lang w:val="es-ES"/>
              </w:rPr>
            </w:pPr>
            <w:r>
              <w:rPr>
                <w:rFonts w:ascii="Cambria" w:hAnsi="Cambria"/>
                <w:bCs/>
                <w:sz w:val="20"/>
                <w:szCs w:val="20"/>
                <w:lang w:val="es-ES"/>
              </w:rPr>
              <w:t>3 de noviembre de 2017</w:t>
            </w:r>
          </w:p>
        </w:tc>
      </w:tr>
      <w:tr w:rsidR="004C2312" w:rsidRPr="000802F6"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466E043B" w:rsidR="004C2312" w:rsidRPr="003239B8" w:rsidRDefault="00292720" w:rsidP="008D2290">
            <w:pPr>
              <w:jc w:val="both"/>
              <w:rPr>
                <w:rFonts w:ascii="Cambria" w:hAnsi="Cambria"/>
                <w:bCs/>
                <w:sz w:val="20"/>
                <w:szCs w:val="20"/>
                <w:lang w:val="es-ES"/>
              </w:rPr>
            </w:pPr>
            <w:r>
              <w:rPr>
                <w:rFonts w:ascii="Cambria" w:hAnsi="Cambria"/>
                <w:bCs/>
                <w:sz w:val="20"/>
                <w:szCs w:val="20"/>
                <w:lang w:val="es-ES"/>
              </w:rPr>
              <w:t>17 de junio de 2018</w:t>
            </w:r>
          </w:p>
        </w:tc>
      </w:tr>
      <w:tr w:rsidR="004C2312" w:rsidRPr="009111EC"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22747AD8" w:rsidR="004C2312" w:rsidRPr="009111EC" w:rsidRDefault="00E63541" w:rsidP="008D2290">
            <w:pPr>
              <w:jc w:val="both"/>
              <w:rPr>
                <w:rFonts w:ascii="Cambria" w:hAnsi="Cambria"/>
                <w:bCs/>
                <w:sz w:val="20"/>
                <w:szCs w:val="20"/>
              </w:rPr>
            </w:pPr>
            <w:r>
              <w:rPr>
                <w:rFonts w:ascii="Cambria" w:hAnsi="Cambria"/>
                <w:bCs/>
                <w:sz w:val="20"/>
                <w:szCs w:val="20"/>
              </w:rPr>
              <w:t>15 de enero de 2019</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7FA428B3" w:rsidR="003239B8" w:rsidRPr="00B3745F" w:rsidRDefault="000802F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2095F76D" w:rsidR="003239B8" w:rsidRPr="00B3745F" w:rsidRDefault="000802F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5B6D6EAA" w:rsidR="003239B8" w:rsidRPr="00B3745F" w:rsidRDefault="000802F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EB119E"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2E9539C2" w:rsidR="003239B8" w:rsidRPr="00B3745F" w:rsidRDefault="000802F6" w:rsidP="008D2290">
            <w:pPr>
              <w:jc w:val="both"/>
              <w:rPr>
                <w:rFonts w:ascii="Cambria" w:hAnsi="Cambria"/>
                <w:bCs/>
                <w:sz w:val="20"/>
                <w:szCs w:val="20"/>
                <w:lang w:val="es-ES"/>
              </w:rPr>
            </w:pPr>
            <w:r w:rsidRPr="00193597">
              <w:rPr>
                <w:rFonts w:asciiTheme="majorHAnsi" w:hAnsiTheme="majorHAnsi"/>
                <w:bCs/>
                <w:sz w:val="20"/>
                <w:szCs w:val="20"/>
                <w:lang w:val="es-ES"/>
              </w:rPr>
              <w:t>Sí, Convención Americana (depósito del instrumento de ratificación realizado el 28 de julio de 1978)</w:t>
            </w:r>
          </w:p>
        </w:tc>
      </w:tr>
    </w:tbl>
    <w:p w14:paraId="090C088B" w14:textId="7664927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0802F6"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4CC69A06" w:rsidR="00EE00E9" w:rsidRPr="00DC24E3" w:rsidRDefault="006011E2" w:rsidP="008D2290">
            <w:pPr>
              <w:jc w:val="both"/>
              <w:rPr>
                <w:rFonts w:ascii="Cambria" w:hAnsi="Cambria"/>
                <w:bCs/>
                <w:sz w:val="20"/>
                <w:szCs w:val="20"/>
                <w:lang w:val="es-ES"/>
              </w:rPr>
            </w:pPr>
            <w:r>
              <w:rPr>
                <w:rFonts w:ascii="Cambria" w:hAnsi="Cambria"/>
                <w:bCs/>
                <w:sz w:val="20"/>
                <w:szCs w:val="20"/>
                <w:lang w:val="es-ES"/>
              </w:rPr>
              <w:t>No</w:t>
            </w:r>
          </w:p>
        </w:tc>
      </w:tr>
      <w:tr w:rsidR="003239B8" w:rsidRPr="00EB119E"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505262" w:rsidRDefault="003239B8" w:rsidP="008D2290">
            <w:pPr>
              <w:jc w:val="center"/>
              <w:rPr>
                <w:rFonts w:asciiTheme="majorHAnsi" w:hAnsiTheme="majorHAnsi"/>
                <w:b/>
                <w:bCs/>
                <w:i/>
                <w:color w:val="FFFFFF" w:themeColor="background1"/>
                <w:sz w:val="20"/>
                <w:szCs w:val="20"/>
              </w:rPr>
            </w:pPr>
            <w:r w:rsidRPr="00505262">
              <w:rPr>
                <w:rFonts w:asciiTheme="majorHAnsi" w:hAnsiTheme="majorHAnsi"/>
                <w:b/>
                <w:bCs/>
                <w:color w:val="FFFFFF" w:themeColor="background1"/>
                <w:sz w:val="20"/>
                <w:szCs w:val="20"/>
              </w:rPr>
              <w:t xml:space="preserve">Derechos </w:t>
            </w:r>
            <w:proofErr w:type="spellStart"/>
            <w:r w:rsidRPr="00505262">
              <w:rPr>
                <w:rFonts w:asciiTheme="majorHAnsi" w:hAnsiTheme="majorHAnsi"/>
                <w:b/>
                <w:bCs/>
                <w:color w:val="FFFFFF" w:themeColor="background1"/>
                <w:sz w:val="20"/>
                <w:szCs w:val="20"/>
              </w:rPr>
              <w:t>declarados</w:t>
            </w:r>
            <w:proofErr w:type="spellEnd"/>
            <w:r w:rsidRPr="00505262">
              <w:rPr>
                <w:rFonts w:asciiTheme="majorHAnsi" w:hAnsiTheme="majorHAnsi"/>
                <w:b/>
                <w:bCs/>
                <w:color w:val="FFFFFF" w:themeColor="background1"/>
                <w:sz w:val="20"/>
                <w:szCs w:val="20"/>
              </w:rPr>
              <w:t xml:space="preserve"> </w:t>
            </w:r>
            <w:proofErr w:type="spellStart"/>
            <w:r w:rsidRPr="00505262">
              <w:rPr>
                <w:rFonts w:asciiTheme="majorHAnsi" w:hAnsiTheme="majorHAnsi"/>
                <w:b/>
                <w:bCs/>
                <w:color w:val="FFFFFF" w:themeColor="background1"/>
                <w:sz w:val="20"/>
                <w:szCs w:val="20"/>
              </w:rPr>
              <w:t>admisibles</w:t>
            </w:r>
            <w:proofErr w:type="spellEnd"/>
            <w:r w:rsidRPr="00505262">
              <w:rPr>
                <w:rFonts w:asciiTheme="majorHAnsi" w:hAnsiTheme="majorHAnsi"/>
                <w:b/>
                <w:bCs/>
                <w:i/>
                <w:color w:val="FFFFFF" w:themeColor="background1"/>
                <w:sz w:val="20"/>
                <w:szCs w:val="20"/>
              </w:rPr>
              <w:t>:</w:t>
            </w:r>
          </w:p>
        </w:tc>
        <w:tc>
          <w:tcPr>
            <w:tcW w:w="5760" w:type="dxa"/>
            <w:vAlign w:val="center"/>
          </w:tcPr>
          <w:p w14:paraId="384DA76B" w14:textId="3AD449F0" w:rsidR="003239B8" w:rsidRPr="00505262" w:rsidRDefault="006011E2" w:rsidP="008D2290">
            <w:pPr>
              <w:jc w:val="both"/>
              <w:rPr>
                <w:rFonts w:asciiTheme="majorHAnsi" w:hAnsiTheme="majorHAnsi"/>
                <w:bCs/>
                <w:sz w:val="20"/>
                <w:szCs w:val="20"/>
                <w:lang w:val="es-CO"/>
              </w:rPr>
            </w:pPr>
            <w:r w:rsidRPr="00505262">
              <w:rPr>
                <w:rFonts w:asciiTheme="majorHAnsi" w:hAnsiTheme="majorHAnsi"/>
                <w:bCs/>
                <w:sz w:val="20"/>
                <w:szCs w:val="20"/>
                <w:lang w:val="es-CO"/>
              </w:rPr>
              <w:t>Artículos 8 (garantías judiciales)</w:t>
            </w:r>
            <w:r w:rsidR="00505262">
              <w:rPr>
                <w:rFonts w:asciiTheme="majorHAnsi" w:hAnsiTheme="majorHAnsi"/>
                <w:bCs/>
                <w:sz w:val="20"/>
                <w:szCs w:val="20"/>
                <w:lang w:val="es-CO"/>
              </w:rPr>
              <w:t>, 9 (principio de legalidad y de retroactividad)</w:t>
            </w:r>
            <w:r w:rsidRPr="00505262">
              <w:rPr>
                <w:rFonts w:asciiTheme="majorHAnsi" w:hAnsiTheme="majorHAnsi"/>
                <w:bCs/>
                <w:sz w:val="20"/>
                <w:szCs w:val="20"/>
                <w:lang w:val="es-CO"/>
              </w:rPr>
              <w:t xml:space="preserve"> y 25 (protección judicial) de la Convención Americana, en relación con su artículo 1.1 (obligación de respetar los derechos) </w:t>
            </w:r>
          </w:p>
        </w:tc>
      </w:tr>
      <w:tr w:rsidR="003239B8" w:rsidRPr="00EB119E"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505262" w:rsidRDefault="003239B8" w:rsidP="008D2290">
            <w:pPr>
              <w:jc w:val="center"/>
              <w:rPr>
                <w:rFonts w:asciiTheme="majorHAnsi" w:hAnsiTheme="majorHAnsi"/>
                <w:b/>
                <w:bCs/>
                <w:color w:val="FFFFFF" w:themeColor="background1"/>
                <w:sz w:val="20"/>
                <w:szCs w:val="20"/>
                <w:lang w:val="es-ES"/>
              </w:rPr>
            </w:pPr>
            <w:r w:rsidRPr="00505262">
              <w:rPr>
                <w:rFonts w:asciiTheme="majorHAnsi" w:hAnsiTheme="majorHAnsi"/>
                <w:b/>
                <w:bCs/>
                <w:color w:val="FFFFFF" w:themeColor="background1"/>
                <w:sz w:val="20"/>
                <w:szCs w:val="20"/>
                <w:lang w:val="es-ES"/>
              </w:rPr>
              <w:t>Agotamiento de recursos internos</w:t>
            </w:r>
            <w:r w:rsidR="00EE00E9" w:rsidRPr="00505262">
              <w:rPr>
                <w:rFonts w:asciiTheme="majorHAnsi" w:hAnsiTheme="majorHAnsi"/>
                <w:b/>
                <w:bCs/>
                <w:color w:val="FFFFFF" w:themeColor="background1"/>
                <w:sz w:val="20"/>
                <w:szCs w:val="20"/>
                <w:lang w:val="es-ES"/>
              </w:rPr>
              <w:t xml:space="preserve"> o procedencia de una excepción</w:t>
            </w:r>
            <w:r w:rsidRPr="00505262">
              <w:rPr>
                <w:rFonts w:asciiTheme="majorHAnsi" w:hAnsiTheme="majorHAnsi"/>
                <w:b/>
                <w:bCs/>
                <w:color w:val="FFFFFF" w:themeColor="background1"/>
                <w:sz w:val="20"/>
                <w:szCs w:val="20"/>
                <w:lang w:val="es-ES"/>
              </w:rPr>
              <w:t>:</w:t>
            </w:r>
          </w:p>
        </w:tc>
        <w:tc>
          <w:tcPr>
            <w:tcW w:w="5760" w:type="dxa"/>
            <w:vAlign w:val="center"/>
          </w:tcPr>
          <w:p w14:paraId="2181E1FE" w14:textId="03AEA669" w:rsidR="003239B8" w:rsidRPr="00505262" w:rsidRDefault="006011E2" w:rsidP="008D2290">
            <w:pPr>
              <w:rPr>
                <w:rFonts w:asciiTheme="majorHAnsi" w:hAnsiTheme="majorHAnsi"/>
                <w:bCs/>
                <w:sz w:val="20"/>
                <w:szCs w:val="20"/>
                <w:lang w:val="es-ES"/>
              </w:rPr>
            </w:pPr>
            <w:r w:rsidRPr="00505262">
              <w:rPr>
                <w:rFonts w:asciiTheme="majorHAnsi" w:hAnsiTheme="majorHAnsi"/>
                <w:bCs/>
                <w:sz w:val="20"/>
                <w:szCs w:val="20"/>
                <w:lang w:val="es-ES"/>
              </w:rPr>
              <w:t>Sí, en los términos de la Sección VI</w:t>
            </w:r>
          </w:p>
        </w:tc>
      </w:tr>
      <w:tr w:rsidR="003239B8" w:rsidRPr="00505262"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505262" w:rsidRDefault="003239B8" w:rsidP="008D2290">
            <w:pPr>
              <w:jc w:val="center"/>
              <w:rPr>
                <w:rFonts w:asciiTheme="majorHAnsi" w:hAnsiTheme="majorHAnsi"/>
                <w:b/>
                <w:bCs/>
                <w:color w:val="FFFFFF" w:themeColor="background1"/>
                <w:sz w:val="20"/>
                <w:szCs w:val="20"/>
              </w:rPr>
            </w:pPr>
            <w:proofErr w:type="spellStart"/>
            <w:r w:rsidRPr="00505262">
              <w:rPr>
                <w:rFonts w:asciiTheme="majorHAnsi" w:hAnsiTheme="majorHAnsi"/>
                <w:b/>
                <w:bCs/>
                <w:color w:val="FFFFFF" w:themeColor="background1"/>
                <w:sz w:val="20"/>
                <w:szCs w:val="20"/>
              </w:rPr>
              <w:t>Presentación</w:t>
            </w:r>
            <w:proofErr w:type="spellEnd"/>
            <w:r w:rsidRPr="00505262">
              <w:rPr>
                <w:rFonts w:asciiTheme="majorHAnsi" w:hAnsiTheme="majorHAnsi"/>
                <w:b/>
                <w:bCs/>
                <w:color w:val="FFFFFF" w:themeColor="background1"/>
                <w:sz w:val="20"/>
                <w:szCs w:val="20"/>
              </w:rPr>
              <w:t xml:space="preserve"> </w:t>
            </w:r>
            <w:proofErr w:type="spellStart"/>
            <w:r w:rsidRPr="00505262">
              <w:rPr>
                <w:rFonts w:asciiTheme="majorHAnsi" w:hAnsiTheme="majorHAnsi"/>
                <w:b/>
                <w:bCs/>
                <w:color w:val="FFFFFF" w:themeColor="background1"/>
                <w:sz w:val="20"/>
                <w:szCs w:val="20"/>
              </w:rPr>
              <w:t>dentro</w:t>
            </w:r>
            <w:proofErr w:type="spellEnd"/>
            <w:r w:rsidRPr="00505262">
              <w:rPr>
                <w:rFonts w:asciiTheme="majorHAnsi" w:hAnsiTheme="majorHAnsi"/>
                <w:b/>
                <w:bCs/>
                <w:color w:val="FFFFFF" w:themeColor="background1"/>
                <w:sz w:val="20"/>
                <w:szCs w:val="20"/>
              </w:rPr>
              <w:t xml:space="preserve"> de </w:t>
            </w:r>
            <w:proofErr w:type="spellStart"/>
            <w:r w:rsidRPr="00505262">
              <w:rPr>
                <w:rFonts w:asciiTheme="majorHAnsi" w:hAnsiTheme="majorHAnsi"/>
                <w:b/>
                <w:bCs/>
                <w:color w:val="FFFFFF" w:themeColor="background1"/>
                <w:sz w:val="20"/>
                <w:szCs w:val="20"/>
              </w:rPr>
              <w:t>plazo</w:t>
            </w:r>
            <w:proofErr w:type="spellEnd"/>
            <w:r w:rsidRPr="00505262">
              <w:rPr>
                <w:rFonts w:asciiTheme="majorHAnsi" w:hAnsiTheme="majorHAnsi"/>
                <w:b/>
                <w:bCs/>
                <w:color w:val="FFFFFF" w:themeColor="background1"/>
                <w:sz w:val="20"/>
                <w:szCs w:val="20"/>
              </w:rPr>
              <w:t>:</w:t>
            </w:r>
          </w:p>
        </w:tc>
        <w:tc>
          <w:tcPr>
            <w:tcW w:w="5760" w:type="dxa"/>
            <w:vAlign w:val="center"/>
          </w:tcPr>
          <w:p w14:paraId="2B338EAC" w14:textId="5C70451F" w:rsidR="003239B8" w:rsidRPr="00505262" w:rsidRDefault="006011E2" w:rsidP="008D2290">
            <w:pPr>
              <w:rPr>
                <w:rFonts w:asciiTheme="majorHAnsi" w:hAnsiTheme="majorHAnsi"/>
                <w:bCs/>
                <w:sz w:val="20"/>
                <w:szCs w:val="20"/>
              </w:rPr>
            </w:pPr>
            <w:proofErr w:type="spellStart"/>
            <w:r w:rsidRPr="00505262">
              <w:rPr>
                <w:rFonts w:asciiTheme="majorHAnsi" w:hAnsiTheme="majorHAnsi"/>
                <w:bCs/>
                <w:sz w:val="20"/>
                <w:szCs w:val="20"/>
              </w:rPr>
              <w:t>Sí</w:t>
            </w:r>
            <w:proofErr w:type="spellEnd"/>
          </w:p>
        </w:tc>
      </w:tr>
    </w:tbl>
    <w:p w14:paraId="20F8626A" w14:textId="77777777" w:rsidR="003239B8" w:rsidRPr="00505262" w:rsidRDefault="00223A29" w:rsidP="003239B8">
      <w:pPr>
        <w:spacing w:before="240" w:after="240"/>
        <w:ind w:firstLine="720"/>
        <w:jc w:val="both"/>
        <w:rPr>
          <w:rFonts w:asciiTheme="majorHAnsi" w:hAnsiTheme="majorHAnsi"/>
          <w:b/>
          <w:sz w:val="20"/>
          <w:szCs w:val="20"/>
          <w:lang w:val="es-UY"/>
        </w:rPr>
      </w:pPr>
      <w:r w:rsidRPr="00505262">
        <w:rPr>
          <w:rFonts w:asciiTheme="majorHAnsi" w:hAnsiTheme="majorHAnsi"/>
          <w:b/>
          <w:sz w:val="20"/>
          <w:szCs w:val="20"/>
          <w:lang w:val="es-UY"/>
        </w:rPr>
        <w:t xml:space="preserve">V. </w:t>
      </w:r>
      <w:r w:rsidRPr="00505262">
        <w:rPr>
          <w:rFonts w:asciiTheme="majorHAnsi" w:hAnsiTheme="majorHAnsi"/>
          <w:b/>
          <w:sz w:val="20"/>
          <w:szCs w:val="20"/>
          <w:lang w:val="es-UY"/>
        </w:rPr>
        <w:tab/>
      </w:r>
      <w:r w:rsidR="003239B8" w:rsidRPr="00505262">
        <w:rPr>
          <w:rFonts w:asciiTheme="majorHAnsi" w:hAnsiTheme="majorHAnsi"/>
          <w:b/>
          <w:sz w:val="20"/>
          <w:szCs w:val="20"/>
          <w:lang w:val="es-UY"/>
        </w:rPr>
        <w:t xml:space="preserve">HECHOS ALEGADOS </w:t>
      </w:r>
    </w:p>
    <w:p w14:paraId="294F59DD" w14:textId="14831C74" w:rsidR="00A11E44" w:rsidRPr="00505262" w:rsidRDefault="00505262" w:rsidP="0050526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1. </w:t>
      </w:r>
      <w:r w:rsidR="001703AD">
        <w:rPr>
          <w:rFonts w:asciiTheme="majorHAnsi" w:hAnsiTheme="majorHAnsi"/>
          <w:sz w:val="20"/>
          <w:szCs w:val="20"/>
          <w:lang w:val="es-AR"/>
        </w:rPr>
        <w:tab/>
      </w:r>
      <w:r w:rsidR="006011E2" w:rsidRPr="00505262">
        <w:rPr>
          <w:rFonts w:asciiTheme="majorHAnsi" w:hAnsiTheme="majorHAnsi"/>
          <w:sz w:val="20"/>
          <w:szCs w:val="20"/>
          <w:lang w:val="es-AR"/>
        </w:rPr>
        <w:t>La señora Luz Gricelda Monge solicita a la Comisión Interamericana que declare internacionalmente responsable al Estado peruano por la violación de sus derechos humanos</w:t>
      </w:r>
      <w:r w:rsidR="001703AD">
        <w:rPr>
          <w:rFonts w:asciiTheme="majorHAnsi" w:hAnsiTheme="majorHAnsi"/>
          <w:sz w:val="20"/>
          <w:szCs w:val="20"/>
          <w:lang w:val="es-AR"/>
        </w:rPr>
        <w:t xml:space="preserve"> por</w:t>
      </w:r>
      <w:r w:rsidR="006011E2" w:rsidRPr="00505262">
        <w:rPr>
          <w:rFonts w:asciiTheme="majorHAnsi" w:hAnsiTheme="majorHAnsi"/>
          <w:sz w:val="20"/>
          <w:szCs w:val="20"/>
          <w:lang w:val="es-AR"/>
        </w:rPr>
        <w:t xml:space="preserve"> haber sido </w:t>
      </w:r>
      <w:r w:rsidR="009F2CBA">
        <w:rPr>
          <w:rFonts w:asciiTheme="majorHAnsi" w:hAnsiTheme="majorHAnsi"/>
          <w:sz w:val="20"/>
          <w:szCs w:val="20"/>
          <w:lang w:val="es-AR"/>
        </w:rPr>
        <w:t xml:space="preserve">removida </w:t>
      </w:r>
      <w:r w:rsidR="006011E2" w:rsidRPr="00505262">
        <w:rPr>
          <w:rFonts w:asciiTheme="majorHAnsi" w:hAnsiTheme="majorHAnsi"/>
          <w:sz w:val="20"/>
          <w:szCs w:val="20"/>
          <w:lang w:val="es-AR"/>
        </w:rPr>
        <w:t>de su cargo en la Defensoría del Pueblo</w:t>
      </w:r>
      <w:r w:rsidR="001703AD">
        <w:rPr>
          <w:rFonts w:asciiTheme="majorHAnsi" w:hAnsiTheme="majorHAnsi"/>
          <w:sz w:val="20"/>
          <w:szCs w:val="20"/>
          <w:lang w:val="es-AR"/>
        </w:rPr>
        <w:t>,</w:t>
      </w:r>
      <w:r w:rsidR="006011E2" w:rsidRPr="00505262">
        <w:rPr>
          <w:rFonts w:asciiTheme="majorHAnsi" w:hAnsiTheme="majorHAnsi"/>
          <w:sz w:val="20"/>
          <w:szCs w:val="20"/>
          <w:lang w:val="es-AR"/>
        </w:rPr>
        <w:t xml:space="preserve"> tras un proceso que considera lesionó sus garantías procedimentales, y por aludidas irregularidades procesales </w:t>
      </w:r>
      <w:r w:rsidR="009F2CBA">
        <w:rPr>
          <w:rFonts w:asciiTheme="majorHAnsi" w:hAnsiTheme="majorHAnsi"/>
          <w:sz w:val="20"/>
          <w:szCs w:val="20"/>
          <w:lang w:val="es-AR"/>
        </w:rPr>
        <w:t xml:space="preserve">ocurridas </w:t>
      </w:r>
      <w:r w:rsidR="006011E2" w:rsidRPr="00505262">
        <w:rPr>
          <w:rFonts w:asciiTheme="majorHAnsi" w:hAnsiTheme="majorHAnsi"/>
          <w:sz w:val="20"/>
          <w:szCs w:val="20"/>
          <w:lang w:val="es-AR"/>
        </w:rPr>
        <w:t xml:space="preserve">durante el proceso </w:t>
      </w:r>
      <w:r w:rsidR="002C4D64" w:rsidRPr="00505262">
        <w:rPr>
          <w:rFonts w:asciiTheme="majorHAnsi" w:hAnsiTheme="majorHAnsi"/>
          <w:sz w:val="20"/>
          <w:szCs w:val="20"/>
          <w:lang w:val="es-AR"/>
        </w:rPr>
        <w:t xml:space="preserve">judicial </w:t>
      </w:r>
      <w:r w:rsidR="006011E2" w:rsidRPr="00505262">
        <w:rPr>
          <w:rFonts w:asciiTheme="majorHAnsi" w:hAnsiTheme="majorHAnsi"/>
          <w:sz w:val="20"/>
          <w:szCs w:val="20"/>
          <w:lang w:val="es-AR"/>
        </w:rPr>
        <w:t>de amparo subsiguiente</w:t>
      </w:r>
      <w:r w:rsidR="009F2CBA">
        <w:rPr>
          <w:rFonts w:asciiTheme="majorHAnsi" w:hAnsiTheme="majorHAnsi"/>
          <w:sz w:val="20"/>
          <w:szCs w:val="20"/>
          <w:lang w:val="es-AR"/>
        </w:rPr>
        <w:t>, específicamente ante el Tribunal Constitucional del Perú</w:t>
      </w:r>
      <w:r w:rsidR="006011E2" w:rsidRPr="00505262">
        <w:rPr>
          <w:rFonts w:asciiTheme="majorHAnsi" w:hAnsiTheme="majorHAnsi"/>
          <w:sz w:val="20"/>
          <w:szCs w:val="20"/>
          <w:lang w:val="es-AR"/>
        </w:rPr>
        <w:t>.</w:t>
      </w:r>
    </w:p>
    <w:p w14:paraId="42D26D34" w14:textId="77777777" w:rsidR="00CE5CD2" w:rsidRDefault="00505262" w:rsidP="0050526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2. </w:t>
      </w:r>
      <w:r w:rsidR="001703AD">
        <w:rPr>
          <w:rFonts w:asciiTheme="majorHAnsi" w:hAnsiTheme="majorHAnsi"/>
          <w:sz w:val="20"/>
          <w:szCs w:val="20"/>
          <w:lang w:val="es-AR"/>
        </w:rPr>
        <w:tab/>
      </w:r>
      <w:r w:rsidR="002C4D64" w:rsidRPr="00505262">
        <w:rPr>
          <w:rFonts w:asciiTheme="majorHAnsi" w:hAnsiTheme="majorHAnsi"/>
          <w:sz w:val="20"/>
          <w:szCs w:val="20"/>
          <w:lang w:val="es-AR"/>
        </w:rPr>
        <w:t>Explica la peticionaria que fue designada</w:t>
      </w:r>
      <w:r w:rsidR="004625B0" w:rsidRPr="00505262">
        <w:rPr>
          <w:rFonts w:asciiTheme="majorHAnsi" w:hAnsiTheme="majorHAnsi"/>
          <w:sz w:val="20"/>
          <w:szCs w:val="20"/>
          <w:lang w:val="es-AR"/>
        </w:rPr>
        <w:t xml:space="preserve"> </w:t>
      </w:r>
      <w:r w:rsidR="002C4D64" w:rsidRPr="00505262">
        <w:rPr>
          <w:rFonts w:asciiTheme="majorHAnsi" w:hAnsiTheme="majorHAnsi"/>
          <w:sz w:val="20"/>
          <w:szCs w:val="20"/>
          <w:lang w:val="es-AR"/>
        </w:rPr>
        <w:t xml:space="preserve">como Defensora Adjunta para </w:t>
      </w:r>
      <w:r w:rsidR="004625B0" w:rsidRPr="00505262">
        <w:rPr>
          <w:rFonts w:asciiTheme="majorHAnsi" w:hAnsiTheme="majorHAnsi"/>
          <w:sz w:val="20"/>
          <w:szCs w:val="20"/>
          <w:lang w:val="es-AR"/>
        </w:rPr>
        <w:t xml:space="preserve">los Derechos de la Mujer en la Defensoría del Pueblo, tras un concurso público, </w:t>
      </w:r>
      <w:r w:rsidR="002C4D64" w:rsidRPr="00505262">
        <w:rPr>
          <w:rFonts w:asciiTheme="majorHAnsi" w:hAnsiTheme="majorHAnsi"/>
          <w:sz w:val="20"/>
          <w:szCs w:val="20"/>
          <w:lang w:val="es-AR"/>
        </w:rPr>
        <w:t xml:space="preserve">mediante </w:t>
      </w:r>
      <w:r w:rsidR="004625B0" w:rsidRPr="00505262">
        <w:rPr>
          <w:rFonts w:asciiTheme="majorHAnsi" w:hAnsiTheme="majorHAnsi"/>
          <w:sz w:val="20"/>
          <w:szCs w:val="20"/>
          <w:lang w:val="es-AR"/>
        </w:rPr>
        <w:t>R</w:t>
      </w:r>
      <w:r w:rsidR="002C4D64" w:rsidRPr="00505262">
        <w:rPr>
          <w:rFonts w:asciiTheme="majorHAnsi" w:hAnsiTheme="majorHAnsi"/>
          <w:sz w:val="20"/>
          <w:szCs w:val="20"/>
          <w:lang w:val="es-AR"/>
        </w:rPr>
        <w:t>esolución</w:t>
      </w:r>
      <w:r w:rsidR="004625B0" w:rsidRPr="00505262">
        <w:rPr>
          <w:rFonts w:asciiTheme="majorHAnsi" w:hAnsiTheme="majorHAnsi"/>
          <w:sz w:val="20"/>
          <w:szCs w:val="20"/>
          <w:lang w:val="es-AR"/>
        </w:rPr>
        <w:t xml:space="preserve"> Defensorial No. 022-</w:t>
      </w:r>
      <w:r w:rsidR="004625B0" w:rsidRPr="00505262">
        <w:rPr>
          <w:rFonts w:asciiTheme="majorHAnsi" w:hAnsiTheme="majorHAnsi"/>
          <w:sz w:val="20"/>
          <w:szCs w:val="20"/>
          <w:lang w:val="es-AR"/>
        </w:rPr>
        <w:lastRenderedPageBreak/>
        <w:t>2006/DP, por un período legal de tres años</w:t>
      </w:r>
      <w:r w:rsidR="002C4D64" w:rsidRPr="00505262">
        <w:rPr>
          <w:rFonts w:asciiTheme="majorHAnsi" w:hAnsiTheme="majorHAnsi"/>
          <w:sz w:val="20"/>
          <w:szCs w:val="20"/>
          <w:lang w:val="es-AR"/>
        </w:rPr>
        <w:t xml:space="preserve">. </w:t>
      </w:r>
      <w:r w:rsidR="004625B0" w:rsidRPr="00505262">
        <w:rPr>
          <w:rFonts w:asciiTheme="majorHAnsi" w:hAnsiTheme="majorHAnsi"/>
          <w:sz w:val="20"/>
          <w:szCs w:val="20"/>
          <w:lang w:val="es-AR"/>
        </w:rPr>
        <w:t xml:space="preserve">Según precisa, se trata de un cargo público del nivel directivo que le confirió </w:t>
      </w:r>
      <w:r w:rsidR="009F2CBA">
        <w:rPr>
          <w:rFonts w:asciiTheme="majorHAnsi" w:hAnsiTheme="majorHAnsi"/>
          <w:sz w:val="20"/>
          <w:szCs w:val="20"/>
          <w:lang w:val="es-AR"/>
        </w:rPr>
        <w:t>e</w:t>
      </w:r>
      <w:r w:rsidR="004625B0" w:rsidRPr="00505262">
        <w:rPr>
          <w:rFonts w:asciiTheme="majorHAnsi" w:hAnsiTheme="majorHAnsi"/>
          <w:sz w:val="20"/>
          <w:szCs w:val="20"/>
          <w:lang w:val="es-AR"/>
        </w:rPr>
        <w:t xml:space="preserve">status de funcionaria pública. </w:t>
      </w:r>
      <w:r w:rsidR="00FD1389" w:rsidRPr="00505262">
        <w:rPr>
          <w:rFonts w:asciiTheme="majorHAnsi" w:hAnsiTheme="majorHAnsi"/>
          <w:sz w:val="20"/>
          <w:szCs w:val="20"/>
          <w:lang w:val="es-AR"/>
        </w:rPr>
        <w:t xml:space="preserve">Informa que el </w:t>
      </w:r>
      <w:r w:rsidR="004625B0" w:rsidRPr="00505262">
        <w:rPr>
          <w:rFonts w:asciiTheme="majorHAnsi" w:hAnsiTheme="majorHAnsi"/>
          <w:sz w:val="20"/>
          <w:szCs w:val="20"/>
          <w:lang w:val="es-AR"/>
        </w:rPr>
        <w:t xml:space="preserve">20 de diciembre de 2007 </w:t>
      </w:r>
      <w:r w:rsidR="00FD1389" w:rsidRPr="00505262">
        <w:rPr>
          <w:rFonts w:asciiTheme="majorHAnsi" w:hAnsiTheme="majorHAnsi"/>
          <w:sz w:val="20"/>
          <w:szCs w:val="20"/>
          <w:lang w:val="es-AR"/>
        </w:rPr>
        <w:t xml:space="preserve">fue convocada por vía telefónica a una supuesta reunión </w:t>
      </w:r>
      <w:r w:rsidR="004625B0" w:rsidRPr="00505262">
        <w:rPr>
          <w:rFonts w:asciiTheme="majorHAnsi" w:hAnsiTheme="majorHAnsi"/>
          <w:sz w:val="20"/>
          <w:szCs w:val="20"/>
          <w:lang w:val="es-AR"/>
        </w:rPr>
        <w:t xml:space="preserve">informal </w:t>
      </w:r>
      <w:r w:rsidR="00FD1389" w:rsidRPr="00505262">
        <w:rPr>
          <w:rFonts w:asciiTheme="majorHAnsi" w:hAnsiTheme="majorHAnsi"/>
          <w:sz w:val="20"/>
          <w:szCs w:val="20"/>
          <w:lang w:val="es-AR"/>
        </w:rPr>
        <w:t xml:space="preserve">de trabajo con miembros de su equipo </w:t>
      </w:r>
      <w:r w:rsidR="004625B0" w:rsidRPr="00505262">
        <w:rPr>
          <w:rFonts w:asciiTheme="majorHAnsi" w:hAnsiTheme="majorHAnsi"/>
          <w:sz w:val="20"/>
          <w:szCs w:val="20"/>
          <w:lang w:val="es-AR"/>
        </w:rPr>
        <w:t xml:space="preserve">a realizarse ese mismo día, </w:t>
      </w:r>
      <w:r w:rsidR="00FD1389" w:rsidRPr="00505262">
        <w:rPr>
          <w:rFonts w:asciiTheme="majorHAnsi" w:hAnsiTheme="majorHAnsi"/>
          <w:sz w:val="20"/>
          <w:szCs w:val="20"/>
          <w:lang w:val="es-AR"/>
        </w:rPr>
        <w:t>al acudir se enteró de que se trataba de una diligencia para notificarle sobre supuestos cargos formulados contra ella tras la recepción de quejas por maltrato laboral presentadas por sus subordinados</w:t>
      </w:r>
      <w:r w:rsidR="004625B0" w:rsidRPr="00505262">
        <w:rPr>
          <w:rFonts w:asciiTheme="majorHAnsi" w:hAnsiTheme="majorHAnsi"/>
          <w:sz w:val="20"/>
          <w:szCs w:val="20"/>
          <w:lang w:val="es-AR"/>
        </w:rPr>
        <w:t xml:space="preserve">; en efecto, </w:t>
      </w:r>
      <w:r w:rsidR="004625B0" w:rsidRPr="009F2CBA">
        <w:rPr>
          <w:rFonts w:asciiTheme="majorHAnsi" w:hAnsiTheme="majorHAnsi"/>
          <w:i/>
          <w:iCs/>
          <w:sz w:val="20"/>
          <w:szCs w:val="20"/>
          <w:lang w:val="es-AR"/>
        </w:rPr>
        <w:t>“me enteré sorprendida que estaba frente a una Comisión encargada de las investigaciones preliminares de una queja por presuntos maltratos formulada por el personal a mi cargo. Allí mismo, se me pidió explicaciones sobre dicha queja, cuya existencia y tenor desconocía completamente. Solicité entonces el escrito de la queja. La Comisión dijo no tenerla”</w:t>
      </w:r>
      <w:r w:rsidR="00FD1389" w:rsidRPr="00505262">
        <w:rPr>
          <w:rFonts w:asciiTheme="majorHAnsi" w:hAnsiTheme="majorHAnsi"/>
          <w:sz w:val="20"/>
          <w:szCs w:val="20"/>
          <w:lang w:val="es-AR"/>
        </w:rPr>
        <w:t xml:space="preserve">. </w:t>
      </w:r>
    </w:p>
    <w:p w14:paraId="076FD38F" w14:textId="10AADD0C" w:rsidR="004625B0" w:rsidRPr="00505262" w:rsidRDefault="00E708B6" w:rsidP="0050526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3</w:t>
      </w:r>
      <w:r w:rsidR="00CE5CD2">
        <w:rPr>
          <w:rFonts w:asciiTheme="majorHAnsi" w:hAnsiTheme="majorHAnsi"/>
          <w:sz w:val="20"/>
          <w:szCs w:val="20"/>
          <w:lang w:val="es-AR"/>
        </w:rPr>
        <w:t>.</w:t>
      </w:r>
      <w:r w:rsidR="00CE5CD2">
        <w:rPr>
          <w:rFonts w:asciiTheme="majorHAnsi" w:hAnsiTheme="majorHAnsi"/>
          <w:sz w:val="20"/>
          <w:szCs w:val="20"/>
          <w:lang w:val="es-AR"/>
        </w:rPr>
        <w:tab/>
      </w:r>
      <w:r w:rsidR="00FD1389" w:rsidRPr="00505262">
        <w:rPr>
          <w:rFonts w:asciiTheme="majorHAnsi" w:hAnsiTheme="majorHAnsi"/>
          <w:sz w:val="20"/>
          <w:szCs w:val="20"/>
          <w:lang w:val="es-AR"/>
        </w:rPr>
        <w:t xml:space="preserve">Informa que </w:t>
      </w:r>
      <w:r w:rsidR="004625B0" w:rsidRPr="00505262">
        <w:rPr>
          <w:rFonts w:asciiTheme="majorHAnsi" w:hAnsiTheme="majorHAnsi"/>
          <w:sz w:val="20"/>
          <w:szCs w:val="20"/>
          <w:lang w:val="es-AR"/>
        </w:rPr>
        <w:t>al día siguiente, 21 de diciembre de 2007, presentó un escrito negando las imputaciones verbales efectuadas en tal reunión, y solicitó que se le diera conocimiento formal y regular de la queja. Siete días después, el 28 de diciembre a las 5:00 P.M., se le notificó el memorando por el cual el Primer Adjunto (E) de la Defensoría del Pueblo le formulaba imputación de cargos y le concedía seis días para formular sus descargos. A</w:t>
      </w:r>
      <w:r w:rsidR="00FD1389" w:rsidRPr="00505262">
        <w:rPr>
          <w:rFonts w:asciiTheme="majorHAnsi" w:hAnsiTheme="majorHAnsi"/>
          <w:sz w:val="20"/>
          <w:szCs w:val="20"/>
          <w:lang w:val="es-AR"/>
        </w:rPr>
        <w:t xml:space="preserve">firma que </w:t>
      </w:r>
      <w:r w:rsidR="004625B0" w:rsidRPr="00505262">
        <w:rPr>
          <w:rFonts w:asciiTheme="majorHAnsi" w:hAnsiTheme="majorHAnsi"/>
          <w:sz w:val="20"/>
          <w:szCs w:val="20"/>
          <w:lang w:val="es-AR"/>
        </w:rPr>
        <w:t xml:space="preserve">dicho término </w:t>
      </w:r>
      <w:r w:rsidR="00FD1389" w:rsidRPr="00505262">
        <w:rPr>
          <w:rFonts w:asciiTheme="majorHAnsi" w:hAnsiTheme="majorHAnsi"/>
          <w:sz w:val="20"/>
          <w:szCs w:val="20"/>
          <w:lang w:val="es-AR"/>
        </w:rPr>
        <w:t xml:space="preserve">corrió entre el 28 de diciembre y el 3 de enero, por lo cual cuatro de esos días eran no laborables y ello le impidió acceder a las instalaciones de la Defensoría </w:t>
      </w:r>
      <w:r w:rsidR="009F2CBA">
        <w:rPr>
          <w:rFonts w:asciiTheme="majorHAnsi" w:hAnsiTheme="majorHAnsi"/>
          <w:sz w:val="20"/>
          <w:szCs w:val="20"/>
          <w:lang w:val="es-AR"/>
        </w:rPr>
        <w:t xml:space="preserve">con su abogado </w:t>
      </w:r>
      <w:r w:rsidR="00FD1389" w:rsidRPr="00505262">
        <w:rPr>
          <w:rFonts w:asciiTheme="majorHAnsi" w:hAnsiTheme="majorHAnsi"/>
          <w:sz w:val="20"/>
          <w:szCs w:val="20"/>
          <w:lang w:val="es-AR"/>
        </w:rPr>
        <w:t xml:space="preserve">para efectos de preparar su defensa. </w:t>
      </w:r>
      <w:r w:rsidR="004625B0" w:rsidRPr="00505262">
        <w:rPr>
          <w:rFonts w:asciiTheme="majorHAnsi" w:hAnsiTheme="majorHAnsi"/>
          <w:sz w:val="20"/>
          <w:szCs w:val="20"/>
          <w:lang w:val="es-AR"/>
        </w:rPr>
        <w:t xml:space="preserve">El 3 de enero pidió una prórroga del plazo, pero se le respondió señalando que ello no era razonable; </w:t>
      </w:r>
      <w:r w:rsidR="004625B0" w:rsidRPr="009F2CBA">
        <w:rPr>
          <w:rFonts w:asciiTheme="majorHAnsi" w:hAnsiTheme="majorHAnsi"/>
          <w:i/>
          <w:iCs/>
          <w:sz w:val="20"/>
          <w:szCs w:val="20"/>
          <w:lang w:val="es-AR"/>
        </w:rPr>
        <w:t>“se me colocó así, objetiva y concretamente, en una situación que de plano me imposibilitaba reunir alguna prueba. Tampoco se me permitió que mi abogado defensor acceda al expediente, conforme oportunamente lo solicité”</w:t>
      </w:r>
      <w:r w:rsidR="004625B0" w:rsidRPr="00505262">
        <w:rPr>
          <w:rFonts w:asciiTheme="majorHAnsi" w:hAnsiTheme="majorHAnsi"/>
          <w:sz w:val="20"/>
          <w:szCs w:val="20"/>
          <w:lang w:val="es-AR"/>
        </w:rPr>
        <w:t xml:space="preserve">. Igualmente afirma que en el memorando de imputación de cargos no se precisaba cuál era la falta que había cometido, por lo cual no pudo elaborar su defensa correctamente: </w:t>
      </w:r>
      <w:r w:rsidR="004625B0" w:rsidRPr="009F2CBA">
        <w:rPr>
          <w:rFonts w:asciiTheme="majorHAnsi" w:hAnsiTheme="majorHAnsi"/>
          <w:i/>
          <w:iCs/>
          <w:sz w:val="20"/>
          <w:szCs w:val="20"/>
          <w:lang w:val="es-AR"/>
        </w:rPr>
        <w:t>“en el documento de imputación de cargos, no se señala a quién maltraté, cómo maltraté, dónde maltraté, ni menos aún la fecha del supuesto maltrato. Se dice simplemente que los cargos están organizados en ‘patrones de conducta’. (…) el documento de imputación de cargos no individualiza (ni nunca se individualizó) a ningún testigo. Así, se llega a la conclusión de que he cometido falta grave sobre la base única del dicho de los firmantes de la queja; y sin ninguna otra prueba”</w:t>
      </w:r>
      <w:r w:rsidR="004625B0" w:rsidRPr="00505262">
        <w:rPr>
          <w:rFonts w:asciiTheme="majorHAnsi" w:hAnsiTheme="majorHAnsi"/>
          <w:sz w:val="20"/>
          <w:szCs w:val="20"/>
          <w:lang w:val="es-AR"/>
        </w:rPr>
        <w:t xml:space="preserve">. </w:t>
      </w:r>
    </w:p>
    <w:p w14:paraId="494A40B8" w14:textId="3522A556" w:rsidR="006011E2" w:rsidRPr="00505262" w:rsidRDefault="00E708B6" w:rsidP="0050526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4</w:t>
      </w:r>
      <w:r w:rsidR="00505262">
        <w:rPr>
          <w:rFonts w:asciiTheme="majorHAnsi" w:hAnsiTheme="majorHAnsi"/>
          <w:sz w:val="20"/>
          <w:szCs w:val="20"/>
          <w:lang w:val="es-AR"/>
        </w:rPr>
        <w:t xml:space="preserve">. </w:t>
      </w:r>
      <w:r w:rsidR="00CE5CD2">
        <w:rPr>
          <w:rFonts w:asciiTheme="majorHAnsi" w:hAnsiTheme="majorHAnsi"/>
          <w:sz w:val="20"/>
          <w:szCs w:val="20"/>
          <w:lang w:val="es-AR"/>
        </w:rPr>
        <w:tab/>
      </w:r>
      <w:r w:rsidR="00FD1389" w:rsidRPr="00505262">
        <w:rPr>
          <w:rFonts w:asciiTheme="majorHAnsi" w:hAnsiTheme="majorHAnsi"/>
          <w:sz w:val="20"/>
          <w:szCs w:val="20"/>
          <w:lang w:val="es-AR"/>
        </w:rPr>
        <w:t>Eventualmente, mediante una carta recibida el</w:t>
      </w:r>
      <w:r w:rsidR="004625B0" w:rsidRPr="00505262">
        <w:rPr>
          <w:rFonts w:asciiTheme="majorHAnsi" w:hAnsiTheme="majorHAnsi"/>
          <w:sz w:val="20"/>
          <w:szCs w:val="20"/>
          <w:lang w:val="es-AR"/>
        </w:rPr>
        <w:t xml:space="preserve"> 4 de enero de 2008</w:t>
      </w:r>
      <w:r w:rsidR="00FD1389" w:rsidRPr="00505262">
        <w:rPr>
          <w:rFonts w:asciiTheme="majorHAnsi" w:hAnsiTheme="majorHAnsi"/>
          <w:sz w:val="20"/>
          <w:szCs w:val="20"/>
          <w:lang w:val="es-AR"/>
        </w:rPr>
        <w:t>, el</w:t>
      </w:r>
      <w:r w:rsidR="004625B0" w:rsidRPr="00505262">
        <w:rPr>
          <w:rFonts w:asciiTheme="majorHAnsi" w:hAnsiTheme="majorHAnsi"/>
          <w:sz w:val="20"/>
          <w:szCs w:val="20"/>
          <w:lang w:val="es-AR"/>
        </w:rPr>
        <w:t xml:space="preserve"> Primer Adjunto (e) de la Defensoría del Pueblo le comunicó</w:t>
      </w:r>
      <w:r w:rsidR="00661084" w:rsidRPr="00505262">
        <w:rPr>
          <w:rFonts w:asciiTheme="majorHAnsi" w:hAnsiTheme="majorHAnsi"/>
          <w:sz w:val="20"/>
          <w:szCs w:val="20"/>
          <w:lang w:val="es-AR"/>
        </w:rPr>
        <w:t xml:space="preserve"> mediante memorando que su vínculo laboral </w:t>
      </w:r>
      <w:r w:rsidR="00FD1389" w:rsidRPr="00505262">
        <w:rPr>
          <w:rFonts w:asciiTheme="majorHAnsi" w:hAnsiTheme="majorHAnsi"/>
          <w:sz w:val="20"/>
          <w:szCs w:val="20"/>
          <w:lang w:val="es-AR"/>
        </w:rPr>
        <w:t xml:space="preserve">había sido </w:t>
      </w:r>
      <w:r w:rsidR="00661084" w:rsidRPr="00505262">
        <w:rPr>
          <w:rFonts w:asciiTheme="majorHAnsi" w:hAnsiTheme="majorHAnsi"/>
          <w:sz w:val="20"/>
          <w:szCs w:val="20"/>
          <w:lang w:val="es-AR"/>
        </w:rPr>
        <w:t xml:space="preserve">extinguido </w:t>
      </w:r>
      <w:r w:rsidR="00FD1389" w:rsidRPr="00505262">
        <w:rPr>
          <w:rFonts w:asciiTheme="majorHAnsi" w:hAnsiTheme="majorHAnsi"/>
          <w:sz w:val="20"/>
          <w:szCs w:val="20"/>
          <w:lang w:val="es-AR"/>
        </w:rPr>
        <w:t>por la supuesta comisión de una falta disciplinaria grave.</w:t>
      </w:r>
      <w:r w:rsidR="00661084" w:rsidRPr="00505262">
        <w:rPr>
          <w:rFonts w:asciiTheme="majorHAnsi" w:hAnsiTheme="majorHAnsi"/>
          <w:sz w:val="20"/>
          <w:szCs w:val="20"/>
          <w:lang w:val="es-AR"/>
        </w:rPr>
        <w:t xml:space="preserve"> La señora Monge precisa que el Primer Adjunto se encontraba </w:t>
      </w:r>
      <w:r w:rsidR="009F2CBA">
        <w:rPr>
          <w:rFonts w:asciiTheme="majorHAnsi" w:hAnsiTheme="majorHAnsi"/>
          <w:sz w:val="20"/>
          <w:szCs w:val="20"/>
          <w:lang w:val="es-AR"/>
        </w:rPr>
        <w:t xml:space="preserve">en ese momento </w:t>
      </w:r>
      <w:r w:rsidR="00661084" w:rsidRPr="00505262">
        <w:rPr>
          <w:rFonts w:asciiTheme="majorHAnsi" w:hAnsiTheme="majorHAnsi"/>
          <w:sz w:val="20"/>
          <w:szCs w:val="20"/>
          <w:lang w:val="es-AR"/>
        </w:rPr>
        <w:t xml:space="preserve">encargado de la atención del Despacho de la Defensora del Pueblo mediante delegación de funciones entre el 17 de diciembre de 2007 y el 8 de enero de 2008. El 23 de enero de 2008 </w:t>
      </w:r>
      <w:r w:rsidR="009F2CBA">
        <w:rPr>
          <w:rFonts w:asciiTheme="majorHAnsi" w:hAnsiTheme="majorHAnsi"/>
          <w:sz w:val="20"/>
          <w:szCs w:val="20"/>
          <w:lang w:val="es-AR"/>
        </w:rPr>
        <w:t xml:space="preserve">la señora Monge </w:t>
      </w:r>
      <w:r w:rsidR="00661084" w:rsidRPr="00505262">
        <w:rPr>
          <w:rFonts w:asciiTheme="majorHAnsi" w:hAnsiTheme="majorHAnsi"/>
          <w:sz w:val="20"/>
          <w:szCs w:val="20"/>
          <w:lang w:val="es-AR"/>
        </w:rPr>
        <w:t xml:space="preserve">presentó a la Defensora del Pueblo un escrito solicitándole que en forma oficiosa declarara la nulidad de los memorandos de imputación y de terminación del vínculo laboral, pero solamente recibió una respuesta del Primer Adjunto (e), quien mediante oficio del 4 de febrero de 2008 señaló que su solicitud no era procedente </w:t>
      </w:r>
      <w:r w:rsidR="00661084" w:rsidRPr="009F2CBA">
        <w:rPr>
          <w:rFonts w:asciiTheme="majorHAnsi" w:hAnsiTheme="majorHAnsi"/>
          <w:i/>
          <w:iCs/>
          <w:sz w:val="20"/>
          <w:szCs w:val="20"/>
          <w:lang w:val="es-AR"/>
        </w:rPr>
        <w:t>“pues los actos en cuestión, es decir los actos de una institución pública como la Defensoría del Pueblo, no están sujetos a la Ley de Procedimiento Administrativo General”</w:t>
      </w:r>
      <w:r w:rsidR="00661084" w:rsidRPr="00505262">
        <w:rPr>
          <w:rFonts w:asciiTheme="majorHAnsi" w:hAnsiTheme="majorHAnsi"/>
          <w:sz w:val="20"/>
          <w:szCs w:val="20"/>
          <w:lang w:val="es-AR"/>
        </w:rPr>
        <w:t>.</w:t>
      </w:r>
    </w:p>
    <w:p w14:paraId="6B9BBE5C" w14:textId="2C231150" w:rsidR="00FA62FE" w:rsidRPr="00505262" w:rsidRDefault="00E708B6" w:rsidP="00E708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AR"/>
        </w:rPr>
      </w:pPr>
      <w:r>
        <w:rPr>
          <w:rFonts w:asciiTheme="majorHAnsi" w:hAnsiTheme="majorHAnsi"/>
          <w:sz w:val="20"/>
          <w:szCs w:val="20"/>
          <w:lang w:val="es-AR"/>
        </w:rPr>
        <w:t>5</w:t>
      </w:r>
      <w:r w:rsidR="00505262">
        <w:rPr>
          <w:rFonts w:asciiTheme="majorHAnsi" w:hAnsiTheme="majorHAnsi"/>
          <w:sz w:val="20"/>
          <w:szCs w:val="20"/>
          <w:lang w:val="es-AR"/>
        </w:rPr>
        <w:t xml:space="preserve">. </w:t>
      </w:r>
      <w:r>
        <w:rPr>
          <w:rFonts w:asciiTheme="majorHAnsi" w:hAnsiTheme="majorHAnsi"/>
          <w:sz w:val="20"/>
          <w:szCs w:val="20"/>
          <w:lang w:val="es-AR"/>
        </w:rPr>
        <w:tab/>
      </w:r>
      <w:r w:rsidR="00661084" w:rsidRPr="00505262">
        <w:rPr>
          <w:rFonts w:asciiTheme="majorHAnsi" w:hAnsiTheme="majorHAnsi"/>
          <w:sz w:val="20"/>
          <w:szCs w:val="20"/>
          <w:lang w:val="es-AR"/>
        </w:rPr>
        <w:t xml:space="preserve">La señora Monge afirma que el procedimiento que se siguió para destituirla se realizó al margen de lo establecido en la Ley Orgánica de la Defensoría del Pueblo, que no fue invocada para despedirla, sino el Decreto Legislativo 728, ley de productividad y competitividad laboral que regula el </w:t>
      </w:r>
      <w:r w:rsidR="009F2CBA">
        <w:rPr>
          <w:rFonts w:asciiTheme="majorHAnsi" w:hAnsiTheme="majorHAnsi"/>
          <w:sz w:val="20"/>
          <w:szCs w:val="20"/>
          <w:lang w:val="es-AR"/>
        </w:rPr>
        <w:t>r</w:t>
      </w:r>
      <w:r w:rsidR="00661084" w:rsidRPr="00505262">
        <w:rPr>
          <w:rFonts w:asciiTheme="majorHAnsi" w:hAnsiTheme="majorHAnsi"/>
          <w:sz w:val="20"/>
          <w:szCs w:val="20"/>
          <w:lang w:val="es-AR"/>
        </w:rPr>
        <w:t xml:space="preserve">égimen laboral de la actividad privada. También controvierte la peticionaria la competencia del Primer Adjunto en su </w:t>
      </w:r>
      <w:r w:rsidR="009F2CBA" w:rsidRPr="009F2CBA">
        <w:rPr>
          <w:rFonts w:asciiTheme="majorHAnsi" w:hAnsiTheme="majorHAnsi"/>
          <w:sz w:val="20"/>
          <w:szCs w:val="20"/>
          <w:lang w:val="es-AR"/>
        </w:rPr>
        <w:t>estatus</w:t>
      </w:r>
      <w:r w:rsidR="009F2CBA">
        <w:rPr>
          <w:rFonts w:asciiTheme="majorHAnsi" w:hAnsiTheme="majorHAnsi"/>
          <w:i/>
          <w:iCs/>
          <w:sz w:val="20"/>
          <w:szCs w:val="20"/>
          <w:lang w:val="es-AR"/>
        </w:rPr>
        <w:t xml:space="preserve"> </w:t>
      </w:r>
      <w:r w:rsidR="00661084" w:rsidRPr="00505262">
        <w:rPr>
          <w:rFonts w:asciiTheme="majorHAnsi" w:hAnsiTheme="majorHAnsi"/>
          <w:sz w:val="20"/>
          <w:szCs w:val="20"/>
          <w:lang w:val="es-AR"/>
        </w:rPr>
        <w:t xml:space="preserve">de encargado para designar o cesar vínculos funcionales con la Defensoría. La señora Monge considera que </w:t>
      </w:r>
      <w:r w:rsidR="00661084" w:rsidRPr="00505262">
        <w:rPr>
          <w:rFonts w:asciiTheme="majorHAnsi" w:hAnsiTheme="majorHAnsi"/>
          <w:i/>
          <w:iCs/>
          <w:sz w:val="20"/>
          <w:szCs w:val="20"/>
          <w:lang w:val="es-AR"/>
        </w:rPr>
        <w:t>“en el presente caso no estamos ante una simple vulneración del ‘derecho al trabajo’ de un servidor público sometido al régimen laboral de la actividad privada, sino ante una sucesión de actos incompatibles con los derechos y garantías que según la Convención integran el debido proceso”</w:t>
      </w:r>
      <w:r w:rsidR="00661084" w:rsidRPr="00505262">
        <w:rPr>
          <w:rFonts w:asciiTheme="majorHAnsi" w:hAnsiTheme="majorHAnsi"/>
          <w:sz w:val="20"/>
          <w:szCs w:val="20"/>
          <w:lang w:val="es-AR"/>
        </w:rPr>
        <w:t xml:space="preserve">. En su criterio, su destitución se efectuó mediante un acto administrativo sancionatorio que no cumplió las garantías del debido proceso que le eran aplicables a la luz de la Convención Americana. Para la señora Monge, el Decreto Legislativo 728 </w:t>
      </w:r>
      <w:r w:rsidR="00FA62FE" w:rsidRPr="00505262">
        <w:rPr>
          <w:rFonts w:asciiTheme="majorHAnsi" w:hAnsiTheme="majorHAnsi"/>
          <w:sz w:val="20"/>
          <w:szCs w:val="20"/>
          <w:lang w:val="es-AR"/>
        </w:rPr>
        <w:t xml:space="preserve">invocado en los memorandos de imputación y cese </w:t>
      </w:r>
      <w:r w:rsidR="00661084" w:rsidRPr="00505262">
        <w:rPr>
          <w:rFonts w:asciiTheme="majorHAnsi" w:hAnsiTheme="majorHAnsi"/>
          <w:sz w:val="20"/>
          <w:szCs w:val="20"/>
          <w:lang w:val="es-AR"/>
        </w:rPr>
        <w:t>no le era aplicable a su proceso de destitución</w:t>
      </w:r>
      <w:r w:rsidR="009F2CBA">
        <w:rPr>
          <w:rFonts w:asciiTheme="majorHAnsi" w:hAnsiTheme="majorHAnsi"/>
          <w:sz w:val="20"/>
          <w:szCs w:val="20"/>
          <w:lang w:val="es-AR"/>
        </w:rPr>
        <w:t>, regido exclusivamente por la Ley Orgánica de la Defensoría del Pueblo</w:t>
      </w:r>
      <w:r w:rsidR="00661084" w:rsidRPr="00505262">
        <w:rPr>
          <w:rFonts w:asciiTheme="majorHAnsi" w:hAnsiTheme="majorHAnsi"/>
          <w:sz w:val="20"/>
          <w:szCs w:val="20"/>
          <w:lang w:val="es-AR"/>
        </w:rPr>
        <w:t xml:space="preserve">: </w:t>
      </w:r>
    </w:p>
    <w:p w14:paraId="601238CC" w14:textId="345AA1D9" w:rsidR="00661084" w:rsidRPr="00EB119E" w:rsidRDefault="00661084" w:rsidP="00B724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18"/>
          <w:lang w:val="es-AR"/>
        </w:rPr>
      </w:pPr>
      <w:r w:rsidRPr="00EB119E">
        <w:rPr>
          <w:rFonts w:asciiTheme="majorHAnsi" w:hAnsiTheme="majorHAnsi"/>
          <w:sz w:val="20"/>
          <w:szCs w:val="18"/>
          <w:lang w:val="es-AR"/>
        </w:rPr>
        <w:t>La citada ley no es aplicable debido a que, si bien es cierto, conforme a la Ley No. 26602, todo el personal de la Defensoría del Pueblo está comprendido en el régimen laboral de la actividad privada (Texto Único Ordenado del Decreto Legislativo No. 728), los Adjuntos a la Defensoría del Pueblo</w:t>
      </w:r>
      <w:r w:rsidR="00FA62FE" w:rsidRPr="00EB119E">
        <w:rPr>
          <w:rFonts w:asciiTheme="majorHAnsi" w:hAnsiTheme="majorHAnsi"/>
          <w:sz w:val="20"/>
          <w:szCs w:val="18"/>
          <w:lang w:val="es-AR"/>
        </w:rPr>
        <w:t xml:space="preserve"> (al igual que la propia Defensora del Pueblo) tienen un régimen laboral, en cuanto </w:t>
      </w:r>
      <w:r w:rsidR="00FA62FE" w:rsidRPr="00EB119E">
        <w:rPr>
          <w:rFonts w:asciiTheme="majorHAnsi" w:hAnsiTheme="majorHAnsi"/>
          <w:sz w:val="20"/>
          <w:szCs w:val="18"/>
          <w:lang w:val="es-AR"/>
        </w:rPr>
        <w:lastRenderedPageBreak/>
        <w:t xml:space="preserve">a su designación y cese, específicamente previsto en la propia Ley Orgánica de la Defensoría del Pueblo. Así la designación de un Adjunto, conforme al art. 7 de la LODP, es realizada previo un concurso público, por un plazo de tres años y formalizada mediante Resolución Defensorial. Un Adjunto, regularmente designado, no es contratado bajo ninguna de las modalidades previstas en el D. </w:t>
      </w:r>
      <w:proofErr w:type="spellStart"/>
      <w:r w:rsidR="00FA62FE" w:rsidRPr="00EB119E">
        <w:rPr>
          <w:rFonts w:asciiTheme="majorHAnsi" w:hAnsiTheme="majorHAnsi"/>
          <w:sz w:val="20"/>
          <w:szCs w:val="18"/>
          <w:lang w:val="es-AR"/>
        </w:rPr>
        <w:t>Leg</w:t>
      </w:r>
      <w:proofErr w:type="spellEnd"/>
      <w:r w:rsidR="00FA62FE" w:rsidRPr="00EB119E">
        <w:rPr>
          <w:rFonts w:asciiTheme="majorHAnsi" w:hAnsiTheme="majorHAnsi"/>
          <w:sz w:val="20"/>
          <w:szCs w:val="18"/>
          <w:lang w:val="es-AR"/>
        </w:rPr>
        <w:t>. 728, tampoco está sujeto a período de prueba ni tiene contrato escrito registrado en el Ministerio de Trabajo. De igual forma el cese de un adjunto debe realizarse en estricto cumplimiento de la Ley Orgánica de la Defensoría del Pueblo que precisa tanto la autoridad competente para proceder al cese como las causales que pueden motivarlo. Decisión que al igual que la designación debe formalizarse mediante una Resolución Defensorial, NO mediante un Memorando como sucede en el caso de autos.</w:t>
      </w:r>
    </w:p>
    <w:p w14:paraId="784D631E" w14:textId="5A2E09A3" w:rsidR="009E52F1" w:rsidRPr="00505262" w:rsidRDefault="00417AD6" w:rsidP="00B724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6</w:t>
      </w:r>
      <w:r w:rsidR="00505262">
        <w:rPr>
          <w:rFonts w:asciiTheme="majorHAnsi" w:hAnsiTheme="majorHAnsi"/>
          <w:sz w:val="20"/>
          <w:szCs w:val="20"/>
          <w:lang w:val="es-AR"/>
        </w:rPr>
        <w:t xml:space="preserve">. </w:t>
      </w:r>
      <w:r w:rsidR="00B724C8">
        <w:rPr>
          <w:rFonts w:asciiTheme="majorHAnsi" w:hAnsiTheme="majorHAnsi"/>
          <w:sz w:val="20"/>
          <w:szCs w:val="20"/>
          <w:lang w:val="es-AR"/>
        </w:rPr>
        <w:tab/>
        <w:t>El 15 de febrero de 2008 l</w:t>
      </w:r>
      <w:r w:rsidR="00FD1389" w:rsidRPr="00505262">
        <w:rPr>
          <w:rFonts w:asciiTheme="majorHAnsi" w:hAnsiTheme="majorHAnsi"/>
          <w:sz w:val="20"/>
          <w:szCs w:val="20"/>
          <w:lang w:val="es-AR"/>
        </w:rPr>
        <w:t>a señora Monge promovió contra este proceso de destitución una acción de amparo constitucional</w:t>
      </w:r>
      <w:r w:rsidR="004625B0" w:rsidRPr="00505262">
        <w:rPr>
          <w:rFonts w:asciiTheme="majorHAnsi" w:hAnsiTheme="majorHAnsi"/>
          <w:sz w:val="20"/>
          <w:szCs w:val="20"/>
          <w:lang w:val="es-AR"/>
        </w:rPr>
        <w:t xml:space="preserve">. </w:t>
      </w:r>
      <w:r w:rsidR="009E52F1" w:rsidRPr="00505262">
        <w:rPr>
          <w:rFonts w:asciiTheme="majorHAnsi" w:hAnsiTheme="majorHAnsi"/>
          <w:sz w:val="20"/>
          <w:szCs w:val="20"/>
          <w:lang w:val="es-AR"/>
        </w:rPr>
        <w:t xml:space="preserve">Inicialmente, el 11º Juzgado Civil de Lima en sentencia del 20 de febrero de 2008 declaró improcedente la acción, alegando que </w:t>
      </w:r>
      <w:r w:rsidR="009E52F1" w:rsidRPr="009F2CBA">
        <w:rPr>
          <w:rFonts w:asciiTheme="majorHAnsi" w:hAnsiTheme="majorHAnsi"/>
          <w:i/>
          <w:iCs/>
          <w:sz w:val="20"/>
          <w:szCs w:val="20"/>
          <w:lang w:val="es-AR"/>
        </w:rPr>
        <w:t>“es evidente que la actora debe de recurrir a otro tipo de vía procedimental que contemple la actuación de una etapa probatoria que en acciones como la presente no se encuentra regulada a tenor del artículo 9 de la Ley No. 28237; y en la que puede lograr también la protección de sus derechos constitucionales”</w:t>
      </w:r>
      <w:r w:rsidR="009E52F1" w:rsidRPr="00505262">
        <w:rPr>
          <w:rFonts w:asciiTheme="majorHAnsi" w:hAnsiTheme="majorHAnsi"/>
          <w:sz w:val="20"/>
          <w:szCs w:val="20"/>
          <w:lang w:val="es-AR"/>
        </w:rPr>
        <w:t xml:space="preserve">. Esta sentencia fue anulada mediante resolución del 1º de julio de 2008 de la Corte Superior de Lima – Octava Sala Civil, en la cual se consideró que el Juzgado de instancia sí debía entrar a estudiar la posible vulneración de derechos constitucionales planteada por la señora Monge. En cumplimiento de esta disposición, el 11º Juzgado Civil de Lima estudió de fondo los reclamos constitucionales de la peticionaria y declaró </w:t>
      </w:r>
      <w:r w:rsidR="004625B0" w:rsidRPr="00505262">
        <w:rPr>
          <w:rFonts w:asciiTheme="majorHAnsi" w:hAnsiTheme="majorHAnsi"/>
          <w:sz w:val="20"/>
          <w:szCs w:val="20"/>
          <w:lang w:val="es-AR"/>
        </w:rPr>
        <w:t xml:space="preserve">infundada </w:t>
      </w:r>
      <w:r w:rsidR="009E52F1" w:rsidRPr="00505262">
        <w:rPr>
          <w:rFonts w:asciiTheme="majorHAnsi" w:hAnsiTheme="majorHAnsi"/>
          <w:sz w:val="20"/>
          <w:szCs w:val="20"/>
          <w:lang w:val="es-AR"/>
        </w:rPr>
        <w:t xml:space="preserve">la acción de protección </w:t>
      </w:r>
      <w:r w:rsidR="004625B0" w:rsidRPr="00505262">
        <w:rPr>
          <w:rFonts w:asciiTheme="majorHAnsi" w:hAnsiTheme="majorHAnsi"/>
          <w:sz w:val="20"/>
          <w:szCs w:val="20"/>
          <w:lang w:val="es-AR"/>
        </w:rPr>
        <w:t>en decisión del 12 de noviembre de 2008</w:t>
      </w:r>
      <w:r w:rsidR="009E52F1" w:rsidRPr="00505262">
        <w:rPr>
          <w:rFonts w:asciiTheme="majorHAnsi" w:hAnsiTheme="majorHAnsi"/>
          <w:sz w:val="20"/>
          <w:szCs w:val="20"/>
          <w:lang w:val="es-AR"/>
        </w:rPr>
        <w:t>, por razones de fondo atinentes al procedimiento que se siguió en la destitución de la señora Monge</w:t>
      </w:r>
      <w:r w:rsidR="00FD1389" w:rsidRPr="00505262">
        <w:rPr>
          <w:rFonts w:asciiTheme="majorHAnsi" w:hAnsiTheme="majorHAnsi"/>
          <w:sz w:val="20"/>
          <w:szCs w:val="20"/>
          <w:lang w:val="es-AR"/>
        </w:rPr>
        <w:t>.</w:t>
      </w:r>
      <w:r w:rsidR="004625B0" w:rsidRPr="00505262">
        <w:rPr>
          <w:rFonts w:asciiTheme="majorHAnsi" w:hAnsiTheme="majorHAnsi"/>
          <w:sz w:val="20"/>
          <w:szCs w:val="20"/>
          <w:lang w:val="es-AR"/>
        </w:rPr>
        <w:t xml:space="preserve"> Apelada esta decisión, fue confirmada por la Segunda Sala Civil de la Corte Superior de Lima en resolución del 30 de junio de 2009</w:t>
      </w:r>
      <w:r w:rsidR="009E52F1" w:rsidRPr="00505262">
        <w:rPr>
          <w:rFonts w:asciiTheme="majorHAnsi" w:hAnsiTheme="majorHAnsi"/>
          <w:sz w:val="20"/>
          <w:szCs w:val="20"/>
          <w:lang w:val="es-AR"/>
        </w:rPr>
        <w:t>, por motivos igualmente sustantivos y sin que se planteara la improcedencia formal de la acción de amparo</w:t>
      </w:r>
      <w:r w:rsidR="004625B0" w:rsidRPr="00505262">
        <w:rPr>
          <w:rFonts w:asciiTheme="majorHAnsi" w:hAnsiTheme="majorHAnsi"/>
          <w:sz w:val="20"/>
          <w:szCs w:val="20"/>
          <w:lang w:val="es-AR"/>
        </w:rPr>
        <w:t xml:space="preserve">. </w:t>
      </w:r>
    </w:p>
    <w:p w14:paraId="5A988C9C" w14:textId="77777777" w:rsidR="00847944" w:rsidRDefault="00993246" w:rsidP="009932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7</w:t>
      </w:r>
      <w:r w:rsidR="00505262">
        <w:rPr>
          <w:rFonts w:asciiTheme="majorHAnsi" w:hAnsiTheme="majorHAnsi"/>
          <w:sz w:val="20"/>
          <w:szCs w:val="20"/>
          <w:lang w:val="es-AR"/>
        </w:rPr>
        <w:t xml:space="preserve">. </w:t>
      </w:r>
      <w:r>
        <w:rPr>
          <w:rFonts w:asciiTheme="majorHAnsi" w:hAnsiTheme="majorHAnsi"/>
          <w:sz w:val="20"/>
          <w:szCs w:val="20"/>
          <w:lang w:val="es-AR"/>
        </w:rPr>
        <w:tab/>
      </w:r>
      <w:r w:rsidR="004625B0" w:rsidRPr="00505262">
        <w:rPr>
          <w:rFonts w:asciiTheme="majorHAnsi" w:hAnsiTheme="majorHAnsi"/>
          <w:sz w:val="20"/>
          <w:szCs w:val="20"/>
          <w:lang w:val="es-AR"/>
        </w:rPr>
        <w:t>Contra esta negativa la señora Monge promovió un recurso de agravio constitucional el 12 de agosto de 2009; el proceso llegó al Tribunal Constitucional, donde fue objeto de</w:t>
      </w:r>
      <w:r w:rsidR="00316A3D" w:rsidRPr="00505262">
        <w:rPr>
          <w:rFonts w:asciiTheme="majorHAnsi" w:hAnsiTheme="majorHAnsi"/>
          <w:sz w:val="20"/>
          <w:szCs w:val="20"/>
          <w:lang w:val="es-AR"/>
        </w:rPr>
        <w:t xml:space="preserve"> una decisión </w:t>
      </w:r>
      <w:r w:rsidR="009F2CBA">
        <w:rPr>
          <w:rFonts w:asciiTheme="majorHAnsi" w:hAnsiTheme="majorHAnsi"/>
          <w:sz w:val="20"/>
          <w:szCs w:val="20"/>
          <w:lang w:val="es-AR"/>
        </w:rPr>
        <w:t xml:space="preserve">inicialmente </w:t>
      </w:r>
      <w:r w:rsidR="00316A3D" w:rsidRPr="00505262">
        <w:rPr>
          <w:rFonts w:asciiTheme="majorHAnsi" w:hAnsiTheme="majorHAnsi"/>
          <w:sz w:val="20"/>
          <w:szCs w:val="20"/>
          <w:lang w:val="es-AR"/>
        </w:rPr>
        <w:t>aprobada por</w:t>
      </w:r>
      <w:r w:rsidR="004625B0" w:rsidRPr="00505262">
        <w:rPr>
          <w:rFonts w:asciiTheme="majorHAnsi" w:hAnsiTheme="majorHAnsi"/>
          <w:sz w:val="20"/>
          <w:szCs w:val="20"/>
          <w:lang w:val="es-AR"/>
        </w:rPr>
        <w:t xml:space="preserve"> </w:t>
      </w:r>
      <w:r w:rsidR="00F417F0" w:rsidRPr="00505262">
        <w:rPr>
          <w:rFonts w:asciiTheme="majorHAnsi" w:hAnsiTheme="majorHAnsi"/>
          <w:sz w:val="20"/>
          <w:szCs w:val="20"/>
          <w:lang w:val="es-AR"/>
        </w:rPr>
        <w:t xml:space="preserve">dos votos declarando improcedente el amparo </w:t>
      </w:r>
      <w:r w:rsidR="009F2CBA">
        <w:rPr>
          <w:rFonts w:asciiTheme="majorHAnsi" w:hAnsiTheme="majorHAnsi"/>
          <w:sz w:val="20"/>
          <w:szCs w:val="20"/>
          <w:lang w:val="es-AR"/>
        </w:rPr>
        <w:t xml:space="preserve">al existir una vía procesal idónea distinta </w:t>
      </w:r>
      <w:r w:rsidR="00316A3D" w:rsidRPr="00505262">
        <w:rPr>
          <w:rFonts w:asciiTheme="majorHAnsi" w:hAnsiTheme="majorHAnsi"/>
          <w:sz w:val="20"/>
          <w:szCs w:val="20"/>
          <w:lang w:val="es-AR"/>
        </w:rPr>
        <w:t xml:space="preserve">(magistrados Mesía Ramírez y Beaumont Callirgos) </w:t>
      </w:r>
      <w:r w:rsidR="00F417F0" w:rsidRPr="00505262">
        <w:rPr>
          <w:rFonts w:asciiTheme="majorHAnsi" w:hAnsiTheme="majorHAnsi"/>
          <w:sz w:val="20"/>
          <w:szCs w:val="20"/>
          <w:lang w:val="es-AR"/>
        </w:rPr>
        <w:t>y un voto concediéndolo</w:t>
      </w:r>
      <w:r w:rsidR="00316A3D" w:rsidRPr="00505262">
        <w:rPr>
          <w:rFonts w:asciiTheme="majorHAnsi" w:hAnsiTheme="majorHAnsi"/>
          <w:sz w:val="20"/>
          <w:szCs w:val="20"/>
          <w:lang w:val="es-AR"/>
        </w:rPr>
        <w:t xml:space="preserve"> </w:t>
      </w:r>
      <w:r w:rsidR="009F2CBA">
        <w:rPr>
          <w:rFonts w:asciiTheme="majorHAnsi" w:hAnsiTheme="majorHAnsi"/>
          <w:sz w:val="20"/>
          <w:szCs w:val="20"/>
          <w:lang w:val="es-AR"/>
        </w:rPr>
        <w:t xml:space="preserve">por razones sustantivas </w:t>
      </w:r>
      <w:r w:rsidR="00316A3D" w:rsidRPr="00505262">
        <w:rPr>
          <w:rFonts w:asciiTheme="majorHAnsi" w:hAnsiTheme="majorHAnsi"/>
          <w:sz w:val="20"/>
          <w:szCs w:val="20"/>
          <w:lang w:val="es-AR"/>
        </w:rPr>
        <w:t xml:space="preserve">(magistrado </w:t>
      </w:r>
      <w:proofErr w:type="spellStart"/>
      <w:r w:rsidR="00316A3D" w:rsidRPr="00505262">
        <w:rPr>
          <w:rFonts w:asciiTheme="majorHAnsi" w:hAnsiTheme="majorHAnsi"/>
          <w:sz w:val="20"/>
          <w:szCs w:val="20"/>
          <w:lang w:val="es-AR"/>
        </w:rPr>
        <w:t>Eto</w:t>
      </w:r>
      <w:proofErr w:type="spellEnd"/>
      <w:r w:rsidR="00316A3D" w:rsidRPr="00505262">
        <w:rPr>
          <w:rFonts w:asciiTheme="majorHAnsi" w:hAnsiTheme="majorHAnsi"/>
          <w:sz w:val="20"/>
          <w:szCs w:val="20"/>
          <w:lang w:val="es-AR"/>
        </w:rPr>
        <w:t xml:space="preserve"> Cruz)</w:t>
      </w:r>
      <w:r w:rsidR="00F417F0" w:rsidRPr="00505262">
        <w:rPr>
          <w:rFonts w:asciiTheme="majorHAnsi" w:hAnsiTheme="majorHAnsi"/>
          <w:sz w:val="20"/>
          <w:szCs w:val="20"/>
          <w:lang w:val="es-AR"/>
        </w:rPr>
        <w:t>, por lo cual se llamó a un cuarto magistrado a dirimir la discordia</w:t>
      </w:r>
      <w:r w:rsidR="00316A3D" w:rsidRPr="00505262">
        <w:rPr>
          <w:rFonts w:asciiTheme="majorHAnsi" w:hAnsiTheme="majorHAnsi"/>
          <w:sz w:val="20"/>
          <w:szCs w:val="20"/>
          <w:lang w:val="es-AR"/>
        </w:rPr>
        <w:t xml:space="preserve"> (magistrado Calle </w:t>
      </w:r>
      <w:proofErr w:type="spellStart"/>
      <w:r w:rsidR="00316A3D" w:rsidRPr="00505262">
        <w:rPr>
          <w:rFonts w:asciiTheme="majorHAnsi" w:hAnsiTheme="majorHAnsi"/>
          <w:sz w:val="20"/>
          <w:szCs w:val="20"/>
          <w:lang w:val="es-AR"/>
        </w:rPr>
        <w:t>Hayen</w:t>
      </w:r>
      <w:proofErr w:type="spellEnd"/>
      <w:r w:rsidR="00316A3D" w:rsidRPr="00505262">
        <w:rPr>
          <w:rFonts w:asciiTheme="majorHAnsi" w:hAnsiTheme="majorHAnsi"/>
          <w:sz w:val="20"/>
          <w:szCs w:val="20"/>
          <w:lang w:val="es-AR"/>
        </w:rPr>
        <w:t>)</w:t>
      </w:r>
      <w:r w:rsidR="00F417F0" w:rsidRPr="00505262">
        <w:rPr>
          <w:rFonts w:asciiTheme="majorHAnsi" w:hAnsiTheme="majorHAnsi"/>
          <w:sz w:val="20"/>
          <w:szCs w:val="20"/>
          <w:lang w:val="es-AR"/>
        </w:rPr>
        <w:t>, quien consideró procedente el amparo</w:t>
      </w:r>
      <w:r w:rsidR="00316A3D" w:rsidRPr="00505262">
        <w:rPr>
          <w:rFonts w:asciiTheme="majorHAnsi" w:hAnsiTheme="majorHAnsi"/>
          <w:sz w:val="20"/>
          <w:szCs w:val="20"/>
          <w:lang w:val="es-AR"/>
        </w:rPr>
        <w:t xml:space="preserve"> al haberse violado los derechos de la señora Monge</w:t>
      </w:r>
      <w:r w:rsidR="00F417F0" w:rsidRPr="00505262">
        <w:rPr>
          <w:rFonts w:asciiTheme="majorHAnsi" w:hAnsiTheme="majorHAnsi"/>
          <w:sz w:val="20"/>
          <w:szCs w:val="20"/>
          <w:lang w:val="es-AR"/>
        </w:rPr>
        <w:t xml:space="preserve">. Habiéndose producido así un empate, se convocó a un quinto magistrado </w:t>
      </w:r>
      <w:r w:rsidR="00316A3D" w:rsidRPr="00505262">
        <w:rPr>
          <w:rFonts w:asciiTheme="majorHAnsi" w:hAnsiTheme="majorHAnsi"/>
          <w:sz w:val="20"/>
          <w:szCs w:val="20"/>
          <w:lang w:val="es-AR"/>
        </w:rPr>
        <w:t xml:space="preserve">(magistrado </w:t>
      </w:r>
      <w:r>
        <w:rPr>
          <w:rFonts w:asciiTheme="majorHAnsi" w:hAnsiTheme="majorHAnsi"/>
          <w:sz w:val="20"/>
          <w:szCs w:val="20"/>
          <w:lang w:val="es-AR"/>
        </w:rPr>
        <w:t>Á</w:t>
      </w:r>
      <w:r w:rsidR="00316A3D" w:rsidRPr="00505262">
        <w:rPr>
          <w:rFonts w:asciiTheme="majorHAnsi" w:hAnsiTheme="majorHAnsi"/>
          <w:sz w:val="20"/>
          <w:szCs w:val="20"/>
          <w:lang w:val="es-AR"/>
        </w:rPr>
        <w:t xml:space="preserve">lvarez Miranda) </w:t>
      </w:r>
      <w:r w:rsidR="00F417F0" w:rsidRPr="00505262">
        <w:rPr>
          <w:rFonts w:asciiTheme="majorHAnsi" w:hAnsiTheme="majorHAnsi"/>
          <w:sz w:val="20"/>
          <w:szCs w:val="20"/>
          <w:lang w:val="es-AR"/>
        </w:rPr>
        <w:t>para dirimir la votación, y éste emitió un voto considerando parcialmente fundada la demanda y ordenando la reincorporación transitoria de la señora Monge a la Defensoría mientras se rehacía en forma válida el procedimiento sancionatorio. Pese a haberse obtenido tres votos favorables, el Tribunal Constitucional nuevamente llamó a otro magistrado para dirimir una discordia -que la peticionaria considera inexistente-</w:t>
      </w:r>
      <w:r w:rsidR="000D0DE2" w:rsidRPr="00505262">
        <w:rPr>
          <w:rFonts w:asciiTheme="majorHAnsi" w:hAnsiTheme="majorHAnsi"/>
          <w:sz w:val="20"/>
          <w:szCs w:val="20"/>
          <w:lang w:val="es-AR"/>
        </w:rPr>
        <w:t xml:space="preserve"> por considerar que </w:t>
      </w:r>
      <w:r w:rsidR="00316A3D" w:rsidRPr="00505262">
        <w:rPr>
          <w:rFonts w:asciiTheme="majorHAnsi" w:hAnsiTheme="majorHAnsi"/>
          <w:sz w:val="20"/>
          <w:szCs w:val="20"/>
          <w:lang w:val="es-AR"/>
        </w:rPr>
        <w:t xml:space="preserve">persistía un </w:t>
      </w:r>
      <w:r w:rsidR="000D0DE2" w:rsidRPr="00505262">
        <w:rPr>
          <w:rFonts w:asciiTheme="majorHAnsi" w:hAnsiTheme="majorHAnsi"/>
          <w:sz w:val="20"/>
          <w:szCs w:val="20"/>
          <w:lang w:val="es-AR"/>
        </w:rPr>
        <w:t xml:space="preserve">desacuerdo en </w:t>
      </w:r>
      <w:r w:rsidR="00316A3D" w:rsidRPr="00505262">
        <w:rPr>
          <w:rFonts w:asciiTheme="majorHAnsi" w:hAnsiTheme="majorHAnsi"/>
          <w:sz w:val="20"/>
          <w:szCs w:val="20"/>
          <w:lang w:val="es-AR"/>
        </w:rPr>
        <w:t xml:space="preserve">cuanto a </w:t>
      </w:r>
      <w:r w:rsidR="000D0DE2" w:rsidRPr="00505262">
        <w:rPr>
          <w:rFonts w:asciiTheme="majorHAnsi" w:hAnsiTheme="majorHAnsi"/>
          <w:sz w:val="20"/>
          <w:szCs w:val="20"/>
          <w:lang w:val="es-AR"/>
        </w:rPr>
        <w:t>los fundamentos de una eventual decisión</w:t>
      </w:r>
      <w:r w:rsidR="00F417F0" w:rsidRPr="00505262">
        <w:rPr>
          <w:rFonts w:asciiTheme="majorHAnsi" w:hAnsiTheme="majorHAnsi"/>
          <w:sz w:val="20"/>
          <w:szCs w:val="20"/>
          <w:lang w:val="es-AR"/>
        </w:rPr>
        <w:t xml:space="preserve">; y éste sexto magistrado </w:t>
      </w:r>
      <w:r w:rsidR="00316A3D" w:rsidRPr="00505262">
        <w:rPr>
          <w:rFonts w:asciiTheme="majorHAnsi" w:hAnsiTheme="majorHAnsi"/>
          <w:sz w:val="20"/>
          <w:szCs w:val="20"/>
          <w:lang w:val="es-AR"/>
        </w:rPr>
        <w:t xml:space="preserve">(magistrado </w:t>
      </w:r>
      <w:proofErr w:type="spellStart"/>
      <w:r w:rsidR="00316A3D" w:rsidRPr="00505262">
        <w:rPr>
          <w:rFonts w:asciiTheme="majorHAnsi" w:hAnsiTheme="majorHAnsi"/>
          <w:sz w:val="20"/>
          <w:szCs w:val="20"/>
          <w:lang w:val="es-AR"/>
        </w:rPr>
        <w:t>Urviola</w:t>
      </w:r>
      <w:proofErr w:type="spellEnd"/>
      <w:r w:rsidR="00316A3D" w:rsidRPr="00505262">
        <w:rPr>
          <w:rFonts w:asciiTheme="majorHAnsi" w:hAnsiTheme="majorHAnsi"/>
          <w:sz w:val="20"/>
          <w:szCs w:val="20"/>
          <w:lang w:val="es-AR"/>
        </w:rPr>
        <w:t xml:space="preserve"> </w:t>
      </w:r>
      <w:proofErr w:type="spellStart"/>
      <w:r w:rsidR="00316A3D" w:rsidRPr="00505262">
        <w:rPr>
          <w:rFonts w:asciiTheme="majorHAnsi" w:hAnsiTheme="majorHAnsi"/>
          <w:sz w:val="20"/>
          <w:szCs w:val="20"/>
          <w:lang w:val="es-AR"/>
        </w:rPr>
        <w:t>Hani</w:t>
      </w:r>
      <w:proofErr w:type="spellEnd"/>
      <w:r w:rsidR="00316A3D" w:rsidRPr="00505262">
        <w:rPr>
          <w:rFonts w:asciiTheme="majorHAnsi" w:hAnsiTheme="majorHAnsi"/>
          <w:sz w:val="20"/>
          <w:szCs w:val="20"/>
          <w:lang w:val="es-AR"/>
        </w:rPr>
        <w:t xml:space="preserve">) </w:t>
      </w:r>
      <w:r w:rsidR="00F417F0" w:rsidRPr="00505262">
        <w:rPr>
          <w:rFonts w:asciiTheme="majorHAnsi" w:hAnsiTheme="majorHAnsi"/>
          <w:sz w:val="20"/>
          <w:szCs w:val="20"/>
          <w:lang w:val="es-AR"/>
        </w:rPr>
        <w:t>votó a favor de la improcedencia del amparo por haber operado la sustracción de materia, al haber pasado el tiempo correspondiente al período del cargo de la señora Monge en la Defensoría</w:t>
      </w:r>
      <w:r w:rsidR="00292720" w:rsidRPr="00505262">
        <w:rPr>
          <w:rFonts w:asciiTheme="majorHAnsi" w:hAnsiTheme="majorHAnsi"/>
          <w:sz w:val="20"/>
          <w:szCs w:val="20"/>
          <w:lang w:val="es-AR"/>
        </w:rPr>
        <w:t xml:space="preserve"> y haber devenido el daño, en consecuencia, irreparable</w:t>
      </w:r>
      <w:r w:rsidR="00F417F0" w:rsidRPr="00505262">
        <w:rPr>
          <w:rFonts w:asciiTheme="majorHAnsi" w:hAnsiTheme="majorHAnsi"/>
          <w:sz w:val="20"/>
          <w:szCs w:val="20"/>
          <w:lang w:val="es-AR"/>
        </w:rPr>
        <w:t xml:space="preserve">. Al haber recibido este </w:t>
      </w:r>
      <w:r w:rsidR="00316A3D" w:rsidRPr="00505262">
        <w:rPr>
          <w:rFonts w:asciiTheme="majorHAnsi" w:hAnsiTheme="majorHAnsi"/>
          <w:sz w:val="20"/>
          <w:szCs w:val="20"/>
          <w:lang w:val="es-AR"/>
        </w:rPr>
        <w:t>nuevo</w:t>
      </w:r>
      <w:r w:rsidR="00F417F0" w:rsidRPr="00505262">
        <w:rPr>
          <w:rFonts w:asciiTheme="majorHAnsi" w:hAnsiTheme="majorHAnsi"/>
          <w:sz w:val="20"/>
          <w:szCs w:val="20"/>
          <w:lang w:val="es-AR"/>
        </w:rPr>
        <w:t xml:space="preserve"> voto negativo, mediante resolución del 25 de agosto de 2011 el Tribunal declaró improcedente la demanda. </w:t>
      </w:r>
    </w:p>
    <w:p w14:paraId="426B44A6" w14:textId="2E69DA8D" w:rsidR="000C4BB9" w:rsidRPr="000C4BB9" w:rsidRDefault="00847944" w:rsidP="009932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18"/>
          <w:szCs w:val="18"/>
          <w:lang w:val="es-AR"/>
        </w:rPr>
      </w:pPr>
      <w:r>
        <w:rPr>
          <w:rFonts w:asciiTheme="majorHAnsi" w:hAnsiTheme="majorHAnsi"/>
          <w:sz w:val="20"/>
          <w:szCs w:val="20"/>
          <w:lang w:val="es-AR"/>
        </w:rPr>
        <w:t>8.</w:t>
      </w:r>
      <w:r>
        <w:rPr>
          <w:rFonts w:asciiTheme="majorHAnsi" w:hAnsiTheme="majorHAnsi"/>
          <w:sz w:val="20"/>
          <w:szCs w:val="20"/>
          <w:lang w:val="es-AR"/>
        </w:rPr>
        <w:tab/>
      </w:r>
      <w:r w:rsidR="00F417F0" w:rsidRPr="00505262">
        <w:rPr>
          <w:rFonts w:asciiTheme="majorHAnsi" w:hAnsiTheme="majorHAnsi"/>
          <w:sz w:val="20"/>
          <w:szCs w:val="20"/>
          <w:lang w:val="es-AR"/>
        </w:rPr>
        <w:t xml:space="preserve">En la </w:t>
      </w:r>
      <w:r w:rsidR="00316A3D" w:rsidRPr="00505262">
        <w:rPr>
          <w:rFonts w:asciiTheme="majorHAnsi" w:hAnsiTheme="majorHAnsi"/>
          <w:sz w:val="20"/>
          <w:szCs w:val="20"/>
          <w:lang w:val="es-AR"/>
        </w:rPr>
        <w:t xml:space="preserve">“Razón de Relatoría” del Tribunal Constitucional sobre la </w:t>
      </w:r>
      <w:r w:rsidR="00F417F0" w:rsidRPr="00505262">
        <w:rPr>
          <w:rFonts w:asciiTheme="majorHAnsi" w:hAnsiTheme="majorHAnsi"/>
          <w:sz w:val="20"/>
          <w:szCs w:val="20"/>
          <w:lang w:val="es-AR"/>
        </w:rPr>
        <w:t xml:space="preserve">resolución en cuestión se precisó que </w:t>
      </w:r>
      <w:r w:rsidR="00F417F0" w:rsidRPr="009F2CBA">
        <w:rPr>
          <w:rFonts w:asciiTheme="majorHAnsi" w:hAnsiTheme="majorHAnsi"/>
          <w:i/>
          <w:iCs/>
          <w:sz w:val="20"/>
          <w:szCs w:val="20"/>
          <w:lang w:val="es-AR"/>
        </w:rPr>
        <w:t>“pese a disentir en sus fundamentos, los votos de los magistrados concuerdan en el sentido del fallo y alcanzan el quórum suficiente para formar sentencia”</w:t>
      </w:r>
      <w:r w:rsidR="00F417F0" w:rsidRPr="00505262">
        <w:rPr>
          <w:rFonts w:asciiTheme="majorHAnsi" w:hAnsiTheme="majorHAnsi"/>
          <w:sz w:val="20"/>
          <w:szCs w:val="20"/>
          <w:lang w:val="es-AR"/>
        </w:rPr>
        <w:t xml:space="preserve">. </w:t>
      </w:r>
      <w:r w:rsidR="00316A3D" w:rsidRPr="00505262">
        <w:rPr>
          <w:rFonts w:asciiTheme="majorHAnsi" w:hAnsiTheme="majorHAnsi"/>
          <w:sz w:val="20"/>
          <w:szCs w:val="20"/>
          <w:lang w:val="es-AR"/>
        </w:rPr>
        <w:t xml:space="preserve">También se transcribió allí la parte resolutiva de la sentencia, en la cual se lee: </w:t>
      </w:r>
      <w:r w:rsidR="00316A3D" w:rsidRPr="009F2CBA">
        <w:rPr>
          <w:rFonts w:asciiTheme="majorHAnsi" w:hAnsiTheme="majorHAnsi"/>
          <w:i/>
          <w:iCs/>
          <w:sz w:val="20"/>
          <w:szCs w:val="20"/>
          <w:lang w:val="es-AR"/>
        </w:rPr>
        <w:t xml:space="preserve">“Resuelve, con el voto en mayoría de los magistrados </w:t>
      </w:r>
      <w:proofErr w:type="spellStart"/>
      <w:r w:rsidR="00316A3D" w:rsidRPr="009F2CBA">
        <w:rPr>
          <w:rFonts w:asciiTheme="majorHAnsi" w:hAnsiTheme="majorHAnsi"/>
          <w:i/>
          <w:iCs/>
          <w:sz w:val="20"/>
          <w:szCs w:val="20"/>
          <w:lang w:val="es-AR"/>
        </w:rPr>
        <w:t>Mesia</w:t>
      </w:r>
      <w:proofErr w:type="spellEnd"/>
      <w:r w:rsidR="00316A3D" w:rsidRPr="009F2CBA">
        <w:rPr>
          <w:rFonts w:asciiTheme="majorHAnsi" w:hAnsiTheme="majorHAnsi"/>
          <w:i/>
          <w:iCs/>
          <w:sz w:val="20"/>
          <w:szCs w:val="20"/>
          <w:lang w:val="es-AR"/>
        </w:rPr>
        <w:t xml:space="preserve"> Ramírez y Beaumont Callirgos, que se agrega; el voto en discordia del magistrado </w:t>
      </w:r>
      <w:proofErr w:type="spellStart"/>
      <w:r w:rsidR="00316A3D" w:rsidRPr="009F2CBA">
        <w:rPr>
          <w:rFonts w:asciiTheme="majorHAnsi" w:hAnsiTheme="majorHAnsi"/>
          <w:i/>
          <w:iCs/>
          <w:sz w:val="20"/>
          <w:szCs w:val="20"/>
          <w:lang w:val="es-AR"/>
        </w:rPr>
        <w:t>Eto</w:t>
      </w:r>
      <w:proofErr w:type="spellEnd"/>
      <w:r w:rsidR="00316A3D" w:rsidRPr="009F2CBA">
        <w:rPr>
          <w:rFonts w:asciiTheme="majorHAnsi" w:hAnsiTheme="majorHAnsi"/>
          <w:i/>
          <w:iCs/>
          <w:sz w:val="20"/>
          <w:szCs w:val="20"/>
          <w:lang w:val="es-AR"/>
        </w:rPr>
        <w:t xml:space="preserve"> Cruz, al que se suma el voto del magistrado Calle </w:t>
      </w:r>
      <w:proofErr w:type="spellStart"/>
      <w:r w:rsidR="00316A3D" w:rsidRPr="009F2CBA">
        <w:rPr>
          <w:rFonts w:asciiTheme="majorHAnsi" w:hAnsiTheme="majorHAnsi"/>
          <w:i/>
          <w:iCs/>
          <w:sz w:val="20"/>
          <w:szCs w:val="20"/>
          <w:lang w:val="es-AR"/>
        </w:rPr>
        <w:t>Hayen</w:t>
      </w:r>
      <w:proofErr w:type="spellEnd"/>
      <w:r w:rsidR="00316A3D" w:rsidRPr="009F2CBA">
        <w:rPr>
          <w:rFonts w:asciiTheme="majorHAnsi" w:hAnsiTheme="majorHAnsi"/>
          <w:i/>
          <w:iCs/>
          <w:sz w:val="20"/>
          <w:szCs w:val="20"/>
          <w:lang w:val="es-AR"/>
        </w:rPr>
        <w:t xml:space="preserve">, que se acompañan; el voto singular del magistrado </w:t>
      </w:r>
      <w:r>
        <w:rPr>
          <w:rFonts w:asciiTheme="majorHAnsi" w:hAnsiTheme="majorHAnsi"/>
          <w:i/>
          <w:iCs/>
          <w:sz w:val="20"/>
          <w:szCs w:val="20"/>
          <w:lang w:val="es-AR"/>
        </w:rPr>
        <w:t>Á</w:t>
      </w:r>
      <w:r w:rsidR="00316A3D" w:rsidRPr="009F2CBA">
        <w:rPr>
          <w:rFonts w:asciiTheme="majorHAnsi" w:hAnsiTheme="majorHAnsi"/>
          <w:i/>
          <w:iCs/>
          <w:sz w:val="20"/>
          <w:szCs w:val="20"/>
          <w:lang w:val="es-AR"/>
        </w:rPr>
        <w:t xml:space="preserve">lvarez Miranda, llamado a dirimir, que se agrega; y el voto finalmente dirimente del magistrado </w:t>
      </w:r>
      <w:proofErr w:type="spellStart"/>
      <w:r w:rsidR="00316A3D" w:rsidRPr="009F2CBA">
        <w:rPr>
          <w:rFonts w:asciiTheme="majorHAnsi" w:hAnsiTheme="majorHAnsi"/>
          <w:i/>
          <w:iCs/>
          <w:sz w:val="20"/>
          <w:szCs w:val="20"/>
          <w:lang w:val="es-AR"/>
        </w:rPr>
        <w:t>Urviola</w:t>
      </w:r>
      <w:proofErr w:type="spellEnd"/>
      <w:r w:rsidR="00316A3D" w:rsidRPr="009F2CBA">
        <w:rPr>
          <w:rFonts w:asciiTheme="majorHAnsi" w:hAnsiTheme="majorHAnsi"/>
          <w:i/>
          <w:iCs/>
          <w:sz w:val="20"/>
          <w:szCs w:val="20"/>
          <w:lang w:val="es-AR"/>
        </w:rPr>
        <w:t xml:space="preserve"> </w:t>
      </w:r>
      <w:proofErr w:type="spellStart"/>
      <w:r w:rsidR="00316A3D" w:rsidRPr="009F2CBA">
        <w:rPr>
          <w:rFonts w:asciiTheme="majorHAnsi" w:hAnsiTheme="majorHAnsi"/>
          <w:i/>
          <w:iCs/>
          <w:sz w:val="20"/>
          <w:szCs w:val="20"/>
          <w:lang w:val="es-AR"/>
        </w:rPr>
        <w:t>Hani</w:t>
      </w:r>
      <w:proofErr w:type="spellEnd"/>
      <w:r w:rsidR="00316A3D" w:rsidRPr="009F2CBA">
        <w:rPr>
          <w:rFonts w:asciiTheme="majorHAnsi" w:hAnsiTheme="majorHAnsi"/>
          <w:i/>
          <w:iCs/>
          <w:sz w:val="20"/>
          <w:szCs w:val="20"/>
          <w:lang w:val="es-AR"/>
        </w:rPr>
        <w:t>, que también se acompaña a los autos, Declarar IMPROCEDENTE la demanda”</w:t>
      </w:r>
      <w:r w:rsidR="00316A3D" w:rsidRPr="00505262">
        <w:rPr>
          <w:rFonts w:asciiTheme="majorHAnsi" w:hAnsiTheme="majorHAnsi"/>
          <w:sz w:val="20"/>
          <w:szCs w:val="20"/>
          <w:lang w:val="es-AR"/>
        </w:rPr>
        <w:t xml:space="preserve">. </w:t>
      </w:r>
      <w:r w:rsidR="000C4BB9">
        <w:rPr>
          <w:rFonts w:asciiTheme="majorHAnsi" w:hAnsiTheme="majorHAnsi"/>
          <w:sz w:val="18"/>
          <w:szCs w:val="18"/>
          <w:lang w:val="es-AR"/>
        </w:rPr>
        <w:t>L</w:t>
      </w:r>
      <w:r w:rsidR="00F417F0" w:rsidRPr="00505262">
        <w:rPr>
          <w:rFonts w:asciiTheme="majorHAnsi" w:hAnsiTheme="majorHAnsi"/>
          <w:sz w:val="20"/>
          <w:szCs w:val="20"/>
          <w:lang w:val="es-AR"/>
        </w:rPr>
        <w:t xml:space="preserve">os magistrados Carlos Mesía Ramírez y Ricardo Beaumont </w:t>
      </w:r>
      <w:proofErr w:type="spellStart"/>
      <w:r w:rsidR="00F417F0" w:rsidRPr="00505262">
        <w:rPr>
          <w:rFonts w:asciiTheme="majorHAnsi" w:hAnsiTheme="majorHAnsi"/>
          <w:sz w:val="20"/>
          <w:szCs w:val="20"/>
          <w:lang w:val="es-AR"/>
        </w:rPr>
        <w:t>Calligros</w:t>
      </w:r>
      <w:proofErr w:type="spellEnd"/>
      <w:r w:rsidR="00F417F0" w:rsidRPr="00505262">
        <w:rPr>
          <w:rFonts w:asciiTheme="majorHAnsi" w:hAnsiTheme="majorHAnsi"/>
          <w:sz w:val="20"/>
          <w:szCs w:val="20"/>
          <w:lang w:val="es-AR"/>
        </w:rPr>
        <w:t xml:space="preserve"> justificaron </w:t>
      </w:r>
      <w:r w:rsidR="000C4BB9">
        <w:rPr>
          <w:rFonts w:asciiTheme="majorHAnsi" w:hAnsiTheme="majorHAnsi"/>
          <w:sz w:val="20"/>
          <w:szCs w:val="20"/>
          <w:lang w:val="es-AR"/>
        </w:rPr>
        <w:t xml:space="preserve">en sus votos </w:t>
      </w:r>
      <w:r w:rsidR="00F417F0" w:rsidRPr="00505262">
        <w:rPr>
          <w:rFonts w:asciiTheme="majorHAnsi" w:hAnsiTheme="majorHAnsi"/>
          <w:sz w:val="20"/>
          <w:szCs w:val="20"/>
          <w:lang w:val="es-AR"/>
        </w:rPr>
        <w:t xml:space="preserve">la declaratoria de improcedencia del amparo en el hecho de que </w:t>
      </w:r>
      <w:r w:rsidR="00F417F0" w:rsidRPr="00505262">
        <w:rPr>
          <w:rFonts w:asciiTheme="majorHAnsi" w:hAnsiTheme="majorHAnsi"/>
          <w:i/>
          <w:iCs/>
          <w:sz w:val="20"/>
          <w:szCs w:val="20"/>
          <w:lang w:val="es-AR"/>
        </w:rPr>
        <w:t>“existe una vía procedimental específica e igualmente satisfactoria para la protección del derecho constitucional supuestamente vulnerado</w:t>
      </w:r>
      <w:r w:rsidR="00316A3D" w:rsidRPr="00505262">
        <w:rPr>
          <w:rFonts w:asciiTheme="majorHAnsi" w:hAnsiTheme="majorHAnsi"/>
          <w:i/>
          <w:iCs/>
          <w:sz w:val="20"/>
          <w:szCs w:val="20"/>
          <w:lang w:val="es-AR"/>
        </w:rPr>
        <w:t>, la misma que cuenta con etapa probatoria, necesaria para dilucidar los hechos controvertidos formulados por las partes, dado que en autos no existen suficientes elementos de juicio</w:t>
      </w:r>
      <w:r w:rsidR="00F417F0" w:rsidRPr="00505262">
        <w:rPr>
          <w:rFonts w:asciiTheme="majorHAnsi" w:hAnsiTheme="majorHAnsi"/>
          <w:i/>
          <w:iCs/>
          <w:sz w:val="20"/>
          <w:szCs w:val="20"/>
          <w:lang w:val="es-AR"/>
        </w:rPr>
        <w:t>”</w:t>
      </w:r>
      <w:r w:rsidR="00F417F0" w:rsidRPr="00505262">
        <w:rPr>
          <w:rFonts w:asciiTheme="majorHAnsi" w:hAnsiTheme="majorHAnsi"/>
          <w:sz w:val="20"/>
          <w:szCs w:val="20"/>
          <w:lang w:val="es-AR"/>
        </w:rPr>
        <w:t>.</w:t>
      </w:r>
      <w:r w:rsidR="004625B0" w:rsidRPr="00505262">
        <w:rPr>
          <w:rFonts w:asciiTheme="majorHAnsi" w:hAnsiTheme="majorHAnsi"/>
          <w:sz w:val="20"/>
          <w:szCs w:val="20"/>
          <w:lang w:val="es-AR"/>
        </w:rPr>
        <w:t xml:space="preserve"> </w:t>
      </w:r>
      <w:r w:rsidR="000D0DE2" w:rsidRPr="00505262">
        <w:rPr>
          <w:rFonts w:asciiTheme="majorHAnsi" w:hAnsiTheme="majorHAnsi"/>
          <w:sz w:val="20"/>
          <w:szCs w:val="20"/>
          <w:lang w:val="es-AR"/>
        </w:rPr>
        <w:t xml:space="preserve">El tercer magistrado que votó por la </w:t>
      </w:r>
      <w:r w:rsidR="000D0DE2" w:rsidRPr="00505262">
        <w:rPr>
          <w:rFonts w:asciiTheme="majorHAnsi" w:hAnsiTheme="majorHAnsi"/>
          <w:sz w:val="20"/>
          <w:szCs w:val="20"/>
          <w:lang w:val="es-AR"/>
        </w:rPr>
        <w:lastRenderedPageBreak/>
        <w:t xml:space="preserve">improcedencia </w:t>
      </w:r>
      <w:r w:rsidR="000C4BB9">
        <w:rPr>
          <w:rFonts w:asciiTheme="majorHAnsi" w:hAnsiTheme="majorHAnsi"/>
          <w:sz w:val="20"/>
          <w:szCs w:val="20"/>
          <w:lang w:val="es-AR"/>
        </w:rPr>
        <w:t xml:space="preserve">-magistrado </w:t>
      </w:r>
      <w:proofErr w:type="spellStart"/>
      <w:r w:rsidR="000C4BB9">
        <w:rPr>
          <w:rFonts w:asciiTheme="majorHAnsi" w:hAnsiTheme="majorHAnsi"/>
          <w:sz w:val="20"/>
          <w:szCs w:val="20"/>
          <w:lang w:val="es-AR"/>
        </w:rPr>
        <w:t>Urviola</w:t>
      </w:r>
      <w:proofErr w:type="spellEnd"/>
      <w:r w:rsidR="000C4BB9">
        <w:rPr>
          <w:rFonts w:asciiTheme="majorHAnsi" w:hAnsiTheme="majorHAnsi"/>
          <w:sz w:val="20"/>
          <w:szCs w:val="20"/>
          <w:lang w:val="es-AR"/>
        </w:rPr>
        <w:t xml:space="preserve"> </w:t>
      </w:r>
      <w:proofErr w:type="spellStart"/>
      <w:r w:rsidR="000C4BB9">
        <w:rPr>
          <w:rFonts w:asciiTheme="majorHAnsi" w:hAnsiTheme="majorHAnsi"/>
          <w:sz w:val="20"/>
          <w:szCs w:val="20"/>
          <w:lang w:val="es-AR"/>
        </w:rPr>
        <w:t>Hani</w:t>
      </w:r>
      <w:proofErr w:type="spellEnd"/>
      <w:r w:rsidR="000C4BB9">
        <w:rPr>
          <w:rFonts w:asciiTheme="majorHAnsi" w:hAnsiTheme="majorHAnsi"/>
          <w:sz w:val="20"/>
          <w:szCs w:val="20"/>
          <w:lang w:val="es-AR"/>
        </w:rPr>
        <w:t xml:space="preserve">- </w:t>
      </w:r>
      <w:r w:rsidR="000D0DE2" w:rsidRPr="00505262">
        <w:rPr>
          <w:rFonts w:asciiTheme="majorHAnsi" w:hAnsiTheme="majorHAnsi"/>
          <w:sz w:val="20"/>
          <w:szCs w:val="20"/>
          <w:lang w:val="es-AR"/>
        </w:rPr>
        <w:t>consideró que había operado la sustracción de materia</w:t>
      </w:r>
      <w:r w:rsidR="000C4BB9">
        <w:rPr>
          <w:rFonts w:asciiTheme="majorHAnsi" w:hAnsiTheme="majorHAnsi"/>
          <w:sz w:val="20"/>
          <w:szCs w:val="20"/>
          <w:lang w:val="es-AR"/>
        </w:rPr>
        <w:t>, sin pronunciarse sobre la procedibilidad formal del amparo en este caso</w:t>
      </w:r>
      <w:r w:rsidR="000D0DE2" w:rsidRPr="00505262">
        <w:rPr>
          <w:rFonts w:asciiTheme="majorHAnsi" w:hAnsiTheme="majorHAnsi"/>
          <w:sz w:val="20"/>
          <w:szCs w:val="20"/>
          <w:lang w:val="es-AR"/>
        </w:rPr>
        <w:t xml:space="preserve">. </w:t>
      </w:r>
    </w:p>
    <w:p w14:paraId="28356D65" w14:textId="0B8241ED" w:rsidR="000C4BB9" w:rsidRPr="00505262" w:rsidRDefault="00847944" w:rsidP="008479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9</w:t>
      </w:r>
      <w:r w:rsidR="000C4BB9">
        <w:rPr>
          <w:rFonts w:asciiTheme="majorHAnsi" w:hAnsiTheme="majorHAnsi"/>
          <w:sz w:val="20"/>
          <w:szCs w:val="20"/>
          <w:lang w:val="es-AR"/>
        </w:rPr>
        <w:t xml:space="preserve">. </w:t>
      </w:r>
      <w:r>
        <w:rPr>
          <w:rFonts w:asciiTheme="majorHAnsi" w:hAnsiTheme="majorHAnsi"/>
          <w:sz w:val="20"/>
          <w:szCs w:val="20"/>
          <w:lang w:val="es-AR"/>
        </w:rPr>
        <w:tab/>
      </w:r>
      <w:r w:rsidR="000C4BB9" w:rsidRPr="00505262">
        <w:rPr>
          <w:rFonts w:asciiTheme="majorHAnsi" w:hAnsiTheme="majorHAnsi"/>
          <w:sz w:val="20"/>
          <w:szCs w:val="20"/>
          <w:lang w:val="es-AR"/>
        </w:rPr>
        <w:t xml:space="preserve">Ante ello la señora Monge alega: </w:t>
      </w:r>
    </w:p>
    <w:p w14:paraId="40C9284C" w14:textId="77777777" w:rsidR="000C4BB9" w:rsidRPr="00EB119E" w:rsidRDefault="000C4BB9" w:rsidP="008479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18"/>
          <w:lang w:val="es-AR"/>
        </w:rPr>
      </w:pPr>
      <w:r w:rsidRPr="00EB119E">
        <w:rPr>
          <w:rFonts w:asciiTheme="majorHAnsi" w:hAnsiTheme="majorHAnsi"/>
          <w:sz w:val="20"/>
          <w:szCs w:val="18"/>
          <w:lang w:val="es-AR"/>
        </w:rPr>
        <w:t xml:space="preserve">Es claro, a partir de su mismo texto, que la resolución de fecha 25 de agosto de 2011, no contiene votos conformes en mayoría para hacer sentencia, y no se adecúa a lo establecido en el Artículo 11, primer párrafo, </w:t>
      </w:r>
      <w:r w:rsidRPr="00EB119E">
        <w:rPr>
          <w:rFonts w:asciiTheme="majorHAnsi" w:hAnsiTheme="majorHAnsi"/>
          <w:i/>
          <w:iCs/>
          <w:sz w:val="20"/>
          <w:szCs w:val="18"/>
          <w:lang w:val="es-AR"/>
        </w:rPr>
        <w:t>in fine</w:t>
      </w:r>
      <w:r w:rsidRPr="00EB119E">
        <w:rPr>
          <w:rFonts w:asciiTheme="majorHAnsi" w:hAnsiTheme="majorHAnsi"/>
          <w:sz w:val="20"/>
          <w:szCs w:val="18"/>
          <w:lang w:val="es-AR"/>
        </w:rPr>
        <w:t xml:space="preserve">, del Reglamento Normativo del Tribunal Constitucional, ya que, lo que existe entre las decisiones de los magistrados Mesía Ramírez, Beaumont </w:t>
      </w:r>
      <w:proofErr w:type="spellStart"/>
      <w:r w:rsidRPr="00EB119E">
        <w:rPr>
          <w:rFonts w:asciiTheme="majorHAnsi" w:hAnsiTheme="majorHAnsi"/>
          <w:sz w:val="20"/>
          <w:szCs w:val="18"/>
          <w:lang w:val="es-AR"/>
        </w:rPr>
        <w:t>Callirgos</w:t>
      </w:r>
      <w:proofErr w:type="spellEnd"/>
      <w:r w:rsidRPr="00EB119E">
        <w:rPr>
          <w:rFonts w:asciiTheme="majorHAnsi" w:hAnsiTheme="majorHAnsi"/>
          <w:sz w:val="20"/>
          <w:szCs w:val="18"/>
          <w:lang w:val="es-AR"/>
        </w:rPr>
        <w:t xml:space="preserve"> y </w:t>
      </w:r>
      <w:proofErr w:type="spellStart"/>
      <w:r w:rsidRPr="00EB119E">
        <w:rPr>
          <w:rFonts w:asciiTheme="majorHAnsi" w:hAnsiTheme="majorHAnsi"/>
          <w:sz w:val="20"/>
          <w:szCs w:val="18"/>
          <w:lang w:val="es-AR"/>
        </w:rPr>
        <w:t>Urviola</w:t>
      </w:r>
      <w:proofErr w:type="spellEnd"/>
      <w:r w:rsidRPr="00EB119E">
        <w:rPr>
          <w:rFonts w:asciiTheme="majorHAnsi" w:hAnsiTheme="majorHAnsi"/>
          <w:sz w:val="20"/>
          <w:szCs w:val="18"/>
          <w:lang w:val="es-AR"/>
        </w:rPr>
        <w:t xml:space="preserve"> </w:t>
      </w:r>
      <w:proofErr w:type="spellStart"/>
      <w:r w:rsidRPr="00EB119E">
        <w:rPr>
          <w:rFonts w:asciiTheme="majorHAnsi" w:hAnsiTheme="majorHAnsi"/>
          <w:sz w:val="20"/>
          <w:szCs w:val="18"/>
          <w:lang w:val="es-AR"/>
        </w:rPr>
        <w:t>Hani</w:t>
      </w:r>
      <w:proofErr w:type="spellEnd"/>
      <w:r w:rsidRPr="00EB119E">
        <w:rPr>
          <w:rFonts w:asciiTheme="majorHAnsi" w:hAnsiTheme="majorHAnsi"/>
          <w:sz w:val="20"/>
          <w:szCs w:val="18"/>
          <w:lang w:val="es-AR"/>
        </w:rPr>
        <w:t xml:space="preserve"> (como la misma Resolución lo precisa) es sólo una coincidencia en el fallo, en el sentido de declarar improcedente la demanda, pero no en los fundamentos de los votos. Lo cual deriva en la ausencia de la conformidad necesaria con los cuales el Tribunal Constitucional pretende hacer sentencia para desestimar mi demanda de amparo.</w:t>
      </w:r>
    </w:p>
    <w:p w14:paraId="03529D3E" w14:textId="46B60DAC" w:rsidR="00316A3D" w:rsidRPr="00505262" w:rsidRDefault="00710C90" w:rsidP="00A71B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10</w:t>
      </w:r>
      <w:r w:rsidR="000C4BB9">
        <w:rPr>
          <w:rFonts w:asciiTheme="majorHAnsi" w:hAnsiTheme="majorHAnsi"/>
          <w:sz w:val="20"/>
          <w:szCs w:val="20"/>
          <w:lang w:val="es-AR"/>
        </w:rPr>
        <w:t xml:space="preserve">. </w:t>
      </w:r>
      <w:r w:rsidR="00A71BCF">
        <w:rPr>
          <w:rFonts w:asciiTheme="majorHAnsi" w:hAnsiTheme="majorHAnsi"/>
          <w:sz w:val="20"/>
          <w:szCs w:val="20"/>
          <w:lang w:val="es-AR"/>
        </w:rPr>
        <w:tab/>
      </w:r>
      <w:r w:rsidR="000D0DE2" w:rsidRPr="00505262">
        <w:rPr>
          <w:rFonts w:asciiTheme="majorHAnsi" w:hAnsiTheme="majorHAnsi"/>
          <w:sz w:val="20"/>
          <w:szCs w:val="20"/>
          <w:lang w:val="es-AR"/>
        </w:rPr>
        <w:t xml:space="preserve">Al </w:t>
      </w:r>
      <w:r w:rsidR="004625B0" w:rsidRPr="00505262">
        <w:rPr>
          <w:rFonts w:asciiTheme="majorHAnsi" w:hAnsiTheme="majorHAnsi"/>
          <w:sz w:val="20"/>
          <w:szCs w:val="20"/>
          <w:lang w:val="es-AR"/>
        </w:rPr>
        <w:t>considerar que la votación de la sentencia había sido lesiva de las normas procedimentales aplicables en materia de quórum y mayorías, la señora Monge presentó un recurso de reposición, declarado improcedente por el Tribunal Constitucional en decisión del 22 de septiembre de 2011</w:t>
      </w:r>
      <w:r>
        <w:rPr>
          <w:rFonts w:asciiTheme="majorHAnsi" w:hAnsiTheme="majorHAnsi"/>
          <w:sz w:val="20"/>
          <w:szCs w:val="20"/>
          <w:lang w:val="es-AR"/>
        </w:rPr>
        <w:t>.</w:t>
      </w:r>
      <w:r w:rsidR="004625B0" w:rsidRPr="00505262">
        <w:rPr>
          <w:rFonts w:asciiTheme="majorHAnsi" w:hAnsiTheme="majorHAnsi"/>
          <w:sz w:val="20"/>
          <w:szCs w:val="20"/>
          <w:lang w:val="es-AR"/>
        </w:rPr>
        <w:t xml:space="preserve"> </w:t>
      </w:r>
      <w:r>
        <w:rPr>
          <w:rFonts w:asciiTheme="majorHAnsi" w:hAnsiTheme="majorHAnsi"/>
          <w:sz w:val="20"/>
          <w:szCs w:val="20"/>
          <w:lang w:val="es-AR"/>
        </w:rPr>
        <w:t>P</w:t>
      </w:r>
      <w:r w:rsidR="004625B0" w:rsidRPr="00505262">
        <w:rPr>
          <w:rFonts w:asciiTheme="majorHAnsi" w:hAnsiTheme="majorHAnsi"/>
          <w:sz w:val="20"/>
          <w:szCs w:val="20"/>
          <w:lang w:val="es-AR"/>
        </w:rPr>
        <w:t xml:space="preserve">osteriormente promovió un recurso de nulidad contra </w:t>
      </w:r>
      <w:r w:rsidR="000D0DE2" w:rsidRPr="00505262">
        <w:rPr>
          <w:rFonts w:asciiTheme="majorHAnsi" w:hAnsiTheme="majorHAnsi"/>
          <w:sz w:val="20"/>
          <w:szCs w:val="20"/>
          <w:lang w:val="es-AR"/>
        </w:rPr>
        <w:t xml:space="preserve">la </w:t>
      </w:r>
      <w:r w:rsidR="004625B0" w:rsidRPr="00505262">
        <w:rPr>
          <w:rFonts w:asciiTheme="majorHAnsi" w:hAnsiTheme="majorHAnsi"/>
          <w:sz w:val="20"/>
          <w:szCs w:val="20"/>
          <w:lang w:val="es-AR"/>
        </w:rPr>
        <w:t>decisi</w:t>
      </w:r>
      <w:r w:rsidR="000D0DE2" w:rsidRPr="00505262">
        <w:rPr>
          <w:rFonts w:asciiTheme="majorHAnsi" w:hAnsiTheme="majorHAnsi"/>
          <w:sz w:val="20"/>
          <w:szCs w:val="20"/>
          <w:lang w:val="es-AR"/>
        </w:rPr>
        <w:t>ón de llamar al sexto magistrado a dirimir la discordia en la votación</w:t>
      </w:r>
      <w:r w:rsidR="004625B0" w:rsidRPr="00505262">
        <w:rPr>
          <w:rFonts w:asciiTheme="majorHAnsi" w:hAnsiTheme="majorHAnsi"/>
          <w:sz w:val="20"/>
          <w:szCs w:val="20"/>
          <w:lang w:val="es-AR"/>
        </w:rPr>
        <w:t xml:space="preserve">, </w:t>
      </w:r>
      <w:r w:rsidR="000D0DE2" w:rsidRPr="00505262">
        <w:rPr>
          <w:rFonts w:asciiTheme="majorHAnsi" w:hAnsiTheme="majorHAnsi"/>
          <w:sz w:val="20"/>
          <w:szCs w:val="20"/>
          <w:lang w:val="es-AR"/>
        </w:rPr>
        <w:t xml:space="preserve">recurso </w:t>
      </w:r>
      <w:r w:rsidR="004625B0" w:rsidRPr="00505262">
        <w:rPr>
          <w:rFonts w:asciiTheme="majorHAnsi" w:hAnsiTheme="majorHAnsi"/>
          <w:sz w:val="20"/>
          <w:szCs w:val="20"/>
          <w:lang w:val="es-AR"/>
        </w:rPr>
        <w:t>igualmente denegado por el Tribunal Constitucional el 9 de noviembre de 2011. Esta última decisión le fue notificada a la señora Monge el 22 de diciembre de 2011</w:t>
      </w:r>
      <w:r w:rsidR="00505262">
        <w:rPr>
          <w:rFonts w:asciiTheme="majorHAnsi" w:hAnsiTheme="majorHAnsi"/>
          <w:sz w:val="20"/>
          <w:szCs w:val="20"/>
          <w:lang w:val="es-AR"/>
        </w:rPr>
        <w:t xml:space="preserve">. </w:t>
      </w:r>
      <w:r w:rsidR="00316A3D" w:rsidRPr="00505262">
        <w:rPr>
          <w:rFonts w:asciiTheme="majorHAnsi" w:hAnsiTheme="majorHAnsi"/>
          <w:sz w:val="20"/>
          <w:szCs w:val="20"/>
          <w:lang w:val="es-AR"/>
        </w:rPr>
        <w:t xml:space="preserve">En la resolución del recurso de reposición presentado por la señora Monge, el Tribunal Constitucional explicó con respecto a las votaciones obtenidas en el caso: </w:t>
      </w:r>
    </w:p>
    <w:p w14:paraId="2237EFBF" w14:textId="539B74A0" w:rsidR="00316A3D" w:rsidRPr="00EB119E" w:rsidRDefault="00316A3D" w:rsidP="00A71B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18"/>
          <w:lang w:val="es-AR"/>
        </w:rPr>
      </w:pPr>
      <w:r w:rsidRPr="00EB119E">
        <w:rPr>
          <w:rFonts w:asciiTheme="majorHAnsi" w:hAnsiTheme="majorHAnsi"/>
          <w:sz w:val="20"/>
          <w:szCs w:val="18"/>
          <w:lang w:val="es-AR"/>
        </w:rPr>
        <w:t xml:space="preserve">…debe manifestarse que en el itinerario resolutivo del caso de autos en esta sede, se produjo discordia y, luego de sucesivos llamados a dirimir, un empate entre las posiciones mayoritarias que asumieron los magistrados avocados a la dilucidación de la controversia (unos por declarar improcedente la demanda -los magistrados </w:t>
      </w:r>
      <w:proofErr w:type="spellStart"/>
      <w:r w:rsidRPr="00EB119E">
        <w:rPr>
          <w:rFonts w:asciiTheme="majorHAnsi" w:hAnsiTheme="majorHAnsi"/>
          <w:sz w:val="20"/>
          <w:szCs w:val="18"/>
          <w:lang w:val="es-AR"/>
        </w:rPr>
        <w:t>Mesia</w:t>
      </w:r>
      <w:proofErr w:type="spellEnd"/>
      <w:r w:rsidRPr="00EB119E">
        <w:rPr>
          <w:rFonts w:asciiTheme="majorHAnsi" w:hAnsiTheme="majorHAnsi"/>
          <w:sz w:val="20"/>
          <w:szCs w:val="18"/>
          <w:lang w:val="es-AR"/>
        </w:rPr>
        <w:t xml:space="preserve"> Ramírez y Beaumont Callirgos- y otros por declararla fundada -los magistrados </w:t>
      </w:r>
      <w:proofErr w:type="spellStart"/>
      <w:r w:rsidRPr="00EB119E">
        <w:rPr>
          <w:rFonts w:asciiTheme="majorHAnsi" w:hAnsiTheme="majorHAnsi"/>
          <w:sz w:val="20"/>
          <w:szCs w:val="18"/>
          <w:lang w:val="es-AR"/>
        </w:rPr>
        <w:t>Eto</w:t>
      </w:r>
      <w:proofErr w:type="spellEnd"/>
      <w:r w:rsidRPr="00EB119E">
        <w:rPr>
          <w:rFonts w:asciiTheme="majorHAnsi" w:hAnsiTheme="majorHAnsi"/>
          <w:sz w:val="20"/>
          <w:szCs w:val="18"/>
          <w:lang w:val="es-AR"/>
        </w:rPr>
        <w:t xml:space="preserve"> Cruz y Calle </w:t>
      </w:r>
      <w:proofErr w:type="spellStart"/>
      <w:r w:rsidRPr="00EB119E">
        <w:rPr>
          <w:rFonts w:asciiTheme="majorHAnsi" w:hAnsiTheme="majorHAnsi"/>
          <w:sz w:val="20"/>
          <w:szCs w:val="18"/>
          <w:lang w:val="es-AR"/>
        </w:rPr>
        <w:t>Hayen</w:t>
      </w:r>
      <w:proofErr w:type="spellEnd"/>
      <w:r w:rsidR="00292720" w:rsidRPr="00EB119E">
        <w:rPr>
          <w:rFonts w:asciiTheme="majorHAnsi" w:hAnsiTheme="majorHAnsi"/>
          <w:sz w:val="20"/>
          <w:szCs w:val="18"/>
          <w:lang w:val="es-AR"/>
        </w:rPr>
        <w:t>-</w:t>
      </w:r>
      <w:r w:rsidRPr="00EB119E">
        <w:rPr>
          <w:rFonts w:asciiTheme="majorHAnsi" w:hAnsiTheme="majorHAnsi"/>
          <w:sz w:val="20"/>
          <w:szCs w:val="18"/>
          <w:lang w:val="es-AR"/>
        </w:rPr>
        <w:t xml:space="preserve">), quedando como minoritaria la posición singular del magistrado </w:t>
      </w:r>
      <w:r w:rsidR="00710C90" w:rsidRPr="00EB119E">
        <w:rPr>
          <w:rFonts w:asciiTheme="majorHAnsi" w:hAnsiTheme="majorHAnsi"/>
          <w:sz w:val="20"/>
          <w:szCs w:val="18"/>
          <w:lang w:val="es-AR"/>
        </w:rPr>
        <w:t>Álvarez</w:t>
      </w:r>
      <w:r w:rsidRPr="00EB119E">
        <w:rPr>
          <w:rFonts w:asciiTheme="majorHAnsi" w:hAnsiTheme="majorHAnsi"/>
          <w:sz w:val="20"/>
          <w:szCs w:val="18"/>
          <w:lang w:val="es-AR"/>
        </w:rPr>
        <w:t xml:space="preserve"> Miranda. El propio magistrado ha dejado constancia de su posición insular en el inicio de su voto, remarcando que disiente de las otras posiciones expuestas. Sus fundamentos y, sobre todo, el fano por el que opta su voto, divergen no solo de la declaratoria de improcedencia de la demanda, sino también de la opción estimatoria </w:t>
      </w:r>
      <w:r w:rsidRPr="00EB119E">
        <w:rPr>
          <w:rFonts w:asciiTheme="majorHAnsi" w:hAnsiTheme="majorHAnsi"/>
          <w:i/>
          <w:iCs/>
          <w:sz w:val="20"/>
          <w:szCs w:val="18"/>
          <w:lang w:val="es-AR"/>
        </w:rPr>
        <w:t xml:space="preserve">in </w:t>
      </w:r>
      <w:proofErr w:type="spellStart"/>
      <w:r w:rsidRPr="00EB119E">
        <w:rPr>
          <w:rFonts w:asciiTheme="majorHAnsi" w:hAnsiTheme="majorHAnsi"/>
          <w:i/>
          <w:iCs/>
          <w:sz w:val="20"/>
          <w:szCs w:val="18"/>
          <w:lang w:val="es-AR"/>
        </w:rPr>
        <w:t>low</w:t>
      </w:r>
      <w:proofErr w:type="spellEnd"/>
      <w:r w:rsidRPr="00EB119E">
        <w:rPr>
          <w:rFonts w:asciiTheme="majorHAnsi" w:hAnsiTheme="majorHAnsi"/>
          <w:sz w:val="20"/>
          <w:szCs w:val="18"/>
          <w:lang w:val="es-AR"/>
        </w:rPr>
        <w:t xml:space="preserve">. </w:t>
      </w:r>
      <w:r w:rsidR="00292720" w:rsidRPr="00EB119E">
        <w:rPr>
          <w:rFonts w:asciiTheme="majorHAnsi" w:hAnsiTheme="majorHAnsi"/>
          <w:sz w:val="20"/>
          <w:szCs w:val="18"/>
          <w:lang w:val="es-AR"/>
        </w:rPr>
        <w:t xml:space="preserve">|| Que, entonces, como bien lo expresa la Razón de Relatoría, el voto del magistrado </w:t>
      </w:r>
      <w:proofErr w:type="spellStart"/>
      <w:r w:rsidR="00292720" w:rsidRPr="00EB119E">
        <w:rPr>
          <w:rFonts w:asciiTheme="majorHAnsi" w:hAnsiTheme="majorHAnsi"/>
          <w:sz w:val="20"/>
          <w:szCs w:val="18"/>
          <w:lang w:val="es-AR"/>
        </w:rPr>
        <w:t>Urviola</w:t>
      </w:r>
      <w:proofErr w:type="spellEnd"/>
      <w:r w:rsidR="00292720" w:rsidRPr="00EB119E">
        <w:rPr>
          <w:rFonts w:asciiTheme="majorHAnsi" w:hAnsiTheme="majorHAnsi"/>
          <w:sz w:val="20"/>
          <w:szCs w:val="18"/>
          <w:lang w:val="es-AR"/>
        </w:rPr>
        <w:t xml:space="preserve"> </w:t>
      </w:r>
      <w:proofErr w:type="spellStart"/>
      <w:r w:rsidR="00292720" w:rsidRPr="00EB119E">
        <w:rPr>
          <w:rFonts w:asciiTheme="majorHAnsi" w:hAnsiTheme="majorHAnsi"/>
          <w:sz w:val="20"/>
          <w:szCs w:val="18"/>
          <w:lang w:val="es-AR"/>
        </w:rPr>
        <w:t>Hani</w:t>
      </w:r>
      <w:proofErr w:type="spellEnd"/>
      <w:r w:rsidR="00292720" w:rsidRPr="00EB119E">
        <w:rPr>
          <w:rFonts w:asciiTheme="majorHAnsi" w:hAnsiTheme="majorHAnsi"/>
          <w:sz w:val="20"/>
          <w:szCs w:val="18"/>
          <w:lang w:val="es-AR"/>
        </w:rPr>
        <w:t xml:space="preserve"> se constituyó como el finalmente dirimente, pues si bien su fundamentación difiere de los votos que ya se habían emitido, su fallo se decantó por la declaratoria de improcedencia de la demanda. Dada la confluencia alcanzada en el fallo con el voto de los magistrados </w:t>
      </w:r>
      <w:proofErr w:type="spellStart"/>
      <w:r w:rsidR="00292720" w:rsidRPr="00EB119E">
        <w:rPr>
          <w:rFonts w:asciiTheme="majorHAnsi" w:hAnsiTheme="majorHAnsi"/>
          <w:sz w:val="20"/>
          <w:szCs w:val="18"/>
          <w:lang w:val="es-AR"/>
        </w:rPr>
        <w:t>Mesia</w:t>
      </w:r>
      <w:proofErr w:type="spellEnd"/>
      <w:r w:rsidR="00292720" w:rsidRPr="00EB119E">
        <w:rPr>
          <w:rFonts w:asciiTheme="majorHAnsi" w:hAnsiTheme="majorHAnsi"/>
          <w:sz w:val="20"/>
          <w:szCs w:val="18"/>
          <w:lang w:val="es-AR"/>
        </w:rPr>
        <w:t xml:space="preserve"> Ramírez y Beaumont Callirgos, la Razón de Relatoría no hizo sino dejar constancia que ya se había conseguido resolución (…).</w:t>
      </w:r>
    </w:p>
    <w:p w14:paraId="3720CCB4" w14:textId="0EEE6763" w:rsidR="00FD1389" w:rsidRPr="00505262" w:rsidRDefault="00710C90" w:rsidP="00710C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11</w:t>
      </w:r>
      <w:r w:rsidR="00505262">
        <w:rPr>
          <w:rFonts w:asciiTheme="majorHAnsi" w:hAnsiTheme="majorHAnsi"/>
          <w:sz w:val="20"/>
          <w:szCs w:val="20"/>
          <w:lang w:val="es-AR"/>
        </w:rPr>
        <w:t xml:space="preserve">. </w:t>
      </w:r>
      <w:r>
        <w:rPr>
          <w:rFonts w:asciiTheme="majorHAnsi" w:hAnsiTheme="majorHAnsi"/>
          <w:sz w:val="20"/>
          <w:szCs w:val="20"/>
          <w:lang w:val="es-AR"/>
        </w:rPr>
        <w:tab/>
      </w:r>
      <w:r w:rsidR="00FD1389" w:rsidRPr="00505262">
        <w:rPr>
          <w:rFonts w:asciiTheme="majorHAnsi" w:hAnsiTheme="majorHAnsi"/>
          <w:sz w:val="20"/>
          <w:szCs w:val="20"/>
          <w:lang w:val="es-AR"/>
        </w:rPr>
        <w:t xml:space="preserve">Según la señora Monge, su proceso de destitución le generó perjuicios tanto económicos como profesionales, familiares y psicológicos. </w:t>
      </w:r>
      <w:r w:rsidR="00661084" w:rsidRPr="00505262">
        <w:rPr>
          <w:rFonts w:asciiTheme="majorHAnsi" w:hAnsiTheme="majorHAnsi"/>
          <w:sz w:val="20"/>
          <w:szCs w:val="20"/>
          <w:lang w:val="es-AR"/>
        </w:rPr>
        <w:t xml:space="preserve">Para ella, se desconocieron los </w:t>
      </w:r>
      <w:r w:rsidR="000C4BB9">
        <w:rPr>
          <w:rFonts w:asciiTheme="majorHAnsi" w:hAnsiTheme="majorHAnsi"/>
          <w:sz w:val="20"/>
          <w:szCs w:val="20"/>
          <w:lang w:val="es-AR"/>
        </w:rPr>
        <w:t xml:space="preserve">siguientes </w:t>
      </w:r>
      <w:r w:rsidR="00661084" w:rsidRPr="00505262">
        <w:rPr>
          <w:rFonts w:asciiTheme="majorHAnsi" w:hAnsiTheme="majorHAnsi"/>
          <w:sz w:val="20"/>
          <w:szCs w:val="20"/>
          <w:lang w:val="es-AR"/>
        </w:rPr>
        <w:t>derechos</w:t>
      </w:r>
      <w:r w:rsidR="000C4BB9">
        <w:rPr>
          <w:rFonts w:asciiTheme="majorHAnsi" w:hAnsiTheme="majorHAnsi"/>
          <w:sz w:val="20"/>
          <w:szCs w:val="20"/>
          <w:lang w:val="es-AR"/>
        </w:rPr>
        <w:t>:</w:t>
      </w:r>
      <w:r w:rsidR="00661084" w:rsidRPr="00505262">
        <w:rPr>
          <w:rFonts w:asciiTheme="majorHAnsi" w:hAnsiTheme="majorHAnsi"/>
          <w:sz w:val="20"/>
          <w:szCs w:val="20"/>
          <w:lang w:val="es-AR"/>
        </w:rPr>
        <w:t xml:space="preserve"> </w:t>
      </w:r>
      <w:r>
        <w:rPr>
          <w:rFonts w:asciiTheme="majorHAnsi" w:hAnsiTheme="majorHAnsi"/>
          <w:sz w:val="20"/>
          <w:szCs w:val="20"/>
          <w:lang w:val="es-AR"/>
        </w:rPr>
        <w:t xml:space="preserve">(a) </w:t>
      </w:r>
      <w:r w:rsidR="000C4BB9">
        <w:rPr>
          <w:rFonts w:asciiTheme="majorHAnsi" w:hAnsiTheme="majorHAnsi"/>
          <w:sz w:val="20"/>
          <w:szCs w:val="20"/>
          <w:lang w:val="es-AR"/>
        </w:rPr>
        <w:t xml:space="preserve">a la </w:t>
      </w:r>
      <w:r w:rsidR="00661084" w:rsidRPr="00505262">
        <w:rPr>
          <w:rFonts w:asciiTheme="majorHAnsi" w:hAnsiTheme="majorHAnsi"/>
          <w:sz w:val="20"/>
          <w:szCs w:val="20"/>
          <w:lang w:val="es-AR"/>
        </w:rPr>
        <w:t>defensa en sede administrativa -porque no se le comunicó previa y detalladamente la queja formulada en su contra, ni cuáles faltas constituiría una conducta que no se precisó cuál era a la luz del régimen laboral privado aplicable y el reglamento interno-</w:t>
      </w:r>
      <w:r w:rsidR="00FA62FE" w:rsidRPr="00505262">
        <w:rPr>
          <w:rFonts w:asciiTheme="majorHAnsi" w:hAnsiTheme="majorHAnsi"/>
          <w:sz w:val="20"/>
          <w:szCs w:val="20"/>
          <w:lang w:val="es-AR"/>
        </w:rPr>
        <w:t>;</w:t>
      </w:r>
      <w:r w:rsidR="00661084" w:rsidRPr="00505262">
        <w:rPr>
          <w:rFonts w:asciiTheme="majorHAnsi" w:hAnsiTheme="majorHAnsi"/>
          <w:sz w:val="20"/>
          <w:szCs w:val="20"/>
          <w:lang w:val="es-AR"/>
        </w:rPr>
        <w:t xml:space="preserve"> </w:t>
      </w:r>
      <w:r>
        <w:rPr>
          <w:rFonts w:asciiTheme="majorHAnsi" w:hAnsiTheme="majorHAnsi"/>
          <w:sz w:val="20"/>
          <w:szCs w:val="20"/>
          <w:lang w:val="es-AR"/>
        </w:rPr>
        <w:t xml:space="preserve">(b) </w:t>
      </w:r>
      <w:r w:rsidR="00661084" w:rsidRPr="00505262">
        <w:rPr>
          <w:rFonts w:asciiTheme="majorHAnsi" w:hAnsiTheme="majorHAnsi"/>
          <w:sz w:val="20"/>
          <w:szCs w:val="20"/>
          <w:lang w:val="es-AR"/>
        </w:rPr>
        <w:t>a contar con el tiempo y los medios necesarios para preparar su defensa -dado que se le otorgó un plazo irrazonable en fechas no laborables-</w:t>
      </w:r>
      <w:r w:rsidR="00FA62FE" w:rsidRPr="00505262">
        <w:rPr>
          <w:rFonts w:asciiTheme="majorHAnsi" w:hAnsiTheme="majorHAnsi"/>
          <w:sz w:val="20"/>
          <w:szCs w:val="20"/>
          <w:lang w:val="es-AR"/>
        </w:rPr>
        <w:t xml:space="preserve">; </w:t>
      </w:r>
      <w:r>
        <w:rPr>
          <w:rFonts w:asciiTheme="majorHAnsi" w:hAnsiTheme="majorHAnsi"/>
          <w:sz w:val="20"/>
          <w:szCs w:val="20"/>
          <w:lang w:val="es-AR"/>
        </w:rPr>
        <w:t xml:space="preserve">(c) </w:t>
      </w:r>
      <w:r w:rsidR="00FA62FE" w:rsidRPr="00505262">
        <w:rPr>
          <w:rFonts w:asciiTheme="majorHAnsi" w:hAnsiTheme="majorHAnsi"/>
          <w:sz w:val="20"/>
          <w:szCs w:val="20"/>
          <w:lang w:val="es-AR"/>
        </w:rPr>
        <w:t xml:space="preserve">a ser juzgada por autoridad competente -dado que en su criterio el Primer Adjunto carecía de facultades para destituirla-; </w:t>
      </w:r>
      <w:r>
        <w:rPr>
          <w:rFonts w:asciiTheme="majorHAnsi" w:hAnsiTheme="majorHAnsi"/>
          <w:sz w:val="20"/>
          <w:szCs w:val="20"/>
          <w:lang w:val="es-AR"/>
        </w:rPr>
        <w:t xml:space="preserve">(d) </w:t>
      </w:r>
      <w:r w:rsidR="00FA62FE" w:rsidRPr="00505262">
        <w:rPr>
          <w:rFonts w:asciiTheme="majorHAnsi" w:hAnsiTheme="majorHAnsi"/>
          <w:sz w:val="20"/>
          <w:szCs w:val="20"/>
          <w:lang w:val="es-AR"/>
        </w:rPr>
        <w:t>a la presunción de inocencia -por la falta de pruebas sobre su supuesta mala conducta-</w:t>
      </w:r>
      <w:r>
        <w:rPr>
          <w:rFonts w:asciiTheme="majorHAnsi" w:hAnsiTheme="majorHAnsi"/>
          <w:sz w:val="20"/>
          <w:szCs w:val="20"/>
          <w:lang w:val="es-AR"/>
        </w:rPr>
        <w:t>;</w:t>
      </w:r>
      <w:r w:rsidR="00FA62FE" w:rsidRPr="00505262">
        <w:rPr>
          <w:rFonts w:asciiTheme="majorHAnsi" w:hAnsiTheme="majorHAnsi"/>
          <w:sz w:val="20"/>
          <w:szCs w:val="20"/>
          <w:lang w:val="es-AR"/>
        </w:rPr>
        <w:t xml:space="preserve"> y </w:t>
      </w:r>
      <w:r>
        <w:rPr>
          <w:rFonts w:asciiTheme="majorHAnsi" w:hAnsiTheme="majorHAnsi"/>
          <w:sz w:val="20"/>
          <w:szCs w:val="20"/>
          <w:lang w:val="es-AR"/>
        </w:rPr>
        <w:t xml:space="preserve">(e) </w:t>
      </w:r>
      <w:r w:rsidR="00FA62FE" w:rsidRPr="00505262">
        <w:rPr>
          <w:rFonts w:asciiTheme="majorHAnsi" w:hAnsiTheme="majorHAnsi"/>
          <w:sz w:val="20"/>
          <w:szCs w:val="20"/>
          <w:lang w:val="es-AR"/>
        </w:rPr>
        <w:t>al principio de legalidad -por haberse invocado normas inaplicables del Decreto Legislativo 728, en vez de la Ley Orgánica de la Defensoría del Pueblo, para justificar su cese laboral-. Por otra parte, tras el proceso judicial de amparo por ella promovido, considera que se violó su derecho a la protección judicial y a contar con un recurso efectivo; afirma que la tramitación de su demanda de amparo se extendió injustificadamente durante aproximadamente cuatro años -fue interpuesta el 15 de febrero de 2008 y fue finalmente declarada improcedente mediante resolución notificada el 22 de diciembre de 2011-, demora que a su vez fue invocada por los magistrados que tomaron la decisión de denegar el amparo como razón para declarar improcedente la demanda, al haber concluido el período para el cual había sido designada, tornándose así irreparable la afectación y operando la sustracción de materia.</w:t>
      </w:r>
    </w:p>
    <w:p w14:paraId="618F8B62" w14:textId="64926AEE" w:rsidR="00FD1389" w:rsidRPr="00505262" w:rsidRDefault="00505262" w:rsidP="00D867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lastRenderedPageBreak/>
        <w:t>1</w:t>
      </w:r>
      <w:r w:rsidR="00D867AC">
        <w:rPr>
          <w:rFonts w:asciiTheme="majorHAnsi" w:hAnsiTheme="majorHAnsi"/>
          <w:sz w:val="20"/>
          <w:szCs w:val="20"/>
          <w:lang w:val="es-AR"/>
        </w:rPr>
        <w:t>2</w:t>
      </w:r>
      <w:r>
        <w:rPr>
          <w:rFonts w:asciiTheme="majorHAnsi" w:hAnsiTheme="majorHAnsi"/>
          <w:sz w:val="20"/>
          <w:szCs w:val="20"/>
          <w:lang w:val="es-AR"/>
        </w:rPr>
        <w:t xml:space="preserve">. </w:t>
      </w:r>
      <w:r w:rsidR="00D867AC">
        <w:rPr>
          <w:rFonts w:asciiTheme="majorHAnsi" w:hAnsiTheme="majorHAnsi"/>
          <w:sz w:val="20"/>
          <w:szCs w:val="20"/>
          <w:lang w:val="es-AR"/>
        </w:rPr>
        <w:tab/>
      </w:r>
      <w:r w:rsidR="00FD1389" w:rsidRPr="00505262">
        <w:rPr>
          <w:rFonts w:asciiTheme="majorHAnsi" w:hAnsiTheme="majorHAnsi"/>
          <w:sz w:val="20"/>
          <w:szCs w:val="20"/>
          <w:lang w:val="es-AR"/>
        </w:rPr>
        <w:t>El Estado,</w:t>
      </w:r>
      <w:r w:rsidR="00D867AC">
        <w:rPr>
          <w:rFonts w:asciiTheme="majorHAnsi" w:hAnsiTheme="majorHAnsi"/>
          <w:sz w:val="20"/>
          <w:szCs w:val="20"/>
          <w:lang w:val="es-AR"/>
        </w:rPr>
        <w:t xml:space="preserve"> por su parte,</w:t>
      </w:r>
      <w:r w:rsidR="00FD1389" w:rsidRPr="00505262">
        <w:rPr>
          <w:rFonts w:asciiTheme="majorHAnsi" w:hAnsiTheme="majorHAnsi"/>
          <w:sz w:val="20"/>
          <w:szCs w:val="20"/>
          <w:lang w:val="es-AR"/>
        </w:rPr>
        <w:t xml:space="preserve"> </w:t>
      </w:r>
      <w:r w:rsidR="00D867AC">
        <w:rPr>
          <w:rFonts w:asciiTheme="majorHAnsi" w:hAnsiTheme="majorHAnsi"/>
          <w:sz w:val="20"/>
          <w:szCs w:val="20"/>
          <w:lang w:val="es-AR"/>
        </w:rPr>
        <w:t xml:space="preserve">presenta </w:t>
      </w:r>
      <w:r w:rsidR="00FD1389" w:rsidRPr="00505262">
        <w:rPr>
          <w:rFonts w:asciiTheme="majorHAnsi" w:hAnsiTheme="majorHAnsi"/>
          <w:sz w:val="20"/>
          <w:szCs w:val="20"/>
          <w:lang w:val="es-AR"/>
        </w:rPr>
        <w:t xml:space="preserve">en su contestación inicial argumentos sustantivos atinentes al fondo de los reclamos presentados por la señora Monge; en su memorial, </w:t>
      </w:r>
      <w:r w:rsidR="00292720" w:rsidRPr="00505262">
        <w:rPr>
          <w:rFonts w:asciiTheme="majorHAnsi" w:hAnsiTheme="majorHAnsi"/>
          <w:sz w:val="20"/>
          <w:szCs w:val="20"/>
          <w:lang w:val="es-AR"/>
        </w:rPr>
        <w:t xml:space="preserve">expone </w:t>
      </w:r>
      <w:r w:rsidR="00FD1389" w:rsidRPr="00505262">
        <w:rPr>
          <w:rFonts w:asciiTheme="majorHAnsi" w:hAnsiTheme="majorHAnsi"/>
          <w:sz w:val="20"/>
          <w:szCs w:val="20"/>
          <w:lang w:val="es-AR"/>
        </w:rPr>
        <w:t xml:space="preserve">distintas razones por las cuales considera que no se lesionaron los derechos a </w:t>
      </w:r>
      <w:r w:rsidR="00292720" w:rsidRPr="00505262">
        <w:rPr>
          <w:rFonts w:asciiTheme="majorHAnsi" w:hAnsiTheme="majorHAnsi"/>
          <w:sz w:val="20"/>
          <w:szCs w:val="20"/>
          <w:lang w:val="es-AR"/>
        </w:rPr>
        <w:t>las garantías del debido proceso y a la protección judicial de la peticionaria, por lo cual afirma que no se han caracterizado violaciones de la Convención Americana en la petición y pide que ésta se declare inadmisible.</w:t>
      </w:r>
      <w:r w:rsidR="00FD1389" w:rsidRPr="00505262">
        <w:rPr>
          <w:rFonts w:asciiTheme="majorHAnsi" w:hAnsiTheme="majorHAnsi"/>
          <w:sz w:val="20"/>
          <w:szCs w:val="20"/>
          <w:lang w:val="es-AR"/>
        </w:rPr>
        <w:t xml:space="preserve">    </w:t>
      </w:r>
    </w:p>
    <w:p w14:paraId="5FEC7E7D" w14:textId="58787C40" w:rsidR="00D867AC" w:rsidRDefault="00505262" w:rsidP="00D867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1</w:t>
      </w:r>
      <w:r w:rsidR="00D867AC">
        <w:rPr>
          <w:rFonts w:asciiTheme="majorHAnsi" w:hAnsiTheme="majorHAnsi"/>
          <w:sz w:val="20"/>
          <w:szCs w:val="20"/>
          <w:lang w:val="es-AR"/>
        </w:rPr>
        <w:t>3</w:t>
      </w:r>
      <w:r>
        <w:rPr>
          <w:rFonts w:asciiTheme="majorHAnsi" w:hAnsiTheme="majorHAnsi"/>
          <w:sz w:val="20"/>
          <w:szCs w:val="20"/>
          <w:lang w:val="es-AR"/>
        </w:rPr>
        <w:t xml:space="preserve">. </w:t>
      </w:r>
      <w:r w:rsidR="00D867AC">
        <w:rPr>
          <w:rFonts w:asciiTheme="majorHAnsi" w:hAnsiTheme="majorHAnsi"/>
          <w:sz w:val="20"/>
          <w:szCs w:val="20"/>
          <w:lang w:val="es-AR"/>
        </w:rPr>
        <w:tab/>
      </w:r>
      <w:r w:rsidR="00FD1389" w:rsidRPr="00505262">
        <w:rPr>
          <w:rFonts w:asciiTheme="majorHAnsi" w:hAnsiTheme="majorHAnsi"/>
          <w:sz w:val="20"/>
          <w:szCs w:val="20"/>
          <w:lang w:val="es-AR"/>
        </w:rPr>
        <w:t xml:space="preserve">Posteriormente, en sus observaciones adicionales, el Estado profundiza en los alegatos sustantivos sobre el fondo de la cuestión; y efectúa </w:t>
      </w:r>
      <w:r w:rsidR="00E63541" w:rsidRPr="00505262">
        <w:rPr>
          <w:rFonts w:asciiTheme="majorHAnsi" w:hAnsiTheme="majorHAnsi"/>
          <w:sz w:val="20"/>
          <w:szCs w:val="20"/>
          <w:lang w:val="es-AR"/>
        </w:rPr>
        <w:t xml:space="preserve">numerosas </w:t>
      </w:r>
      <w:r w:rsidR="00FD1389" w:rsidRPr="00505262">
        <w:rPr>
          <w:rFonts w:asciiTheme="majorHAnsi" w:hAnsiTheme="majorHAnsi"/>
          <w:sz w:val="20"/>
          <w:szCs w:val="20"/>
          <w:lang w:val="es-AR"/>
        </w:rPr>
        <w:t xml:space="preserve">precisiones y correcciones </w:t>
      </w:r>
      <w:r w:rsidR="000C4BB9">
        <w:rPr>
          <w:rFonts w:asciiTheme="majorHAnsi" w:hAnsiTheme="majorHAnsi"/>
          <w:sz w:val="20"/>
          <w:szCs w:val="20"/>
          <w:lang w:val="es-AR"/>
        </w:rPr>
        <w:t xml:space="preserve">puntuales </w:t>
      </w:r>
      <w:r w:rsidR="00FD1389" w:rsidRPr="00505262">
        <w:rPr>
          <w:rFonts w:asciiTheme="majorHAnsi" w:hAnsiTheme="majorHAnsi"/>
          <w:sz w:val="20"/>
          <w:szCs w:val="20"/>
          <w:lang w:val="es-AR"/>
        </w:rPr>
        <w:t>al relato de los hechos efectuado por la señora Monge</w:t>
      </w:r>
      <w:r w:rsidR="00D867AC">
        <w:rPr>
          <w:rFonts w:asciiTheme="majorHAnsi" w:hAnsiTheme="majorHAnsi"/>
          <w:sz w:val="20"/>
          <w:szCs w:val="20"/>
          <w:lang w:val="es-AR"/>
        </w:rPr>
        <w:t>;</w:t>
      </w:r>
      <w:r w:rsidR="00FD1389" w:rsidRPr="00505262">
        <w:rPr>
          <w:rFonts w:asciiTheme="majorHAnsi" w:hAnsiTheme="majorHAnsi"/>
          <w:sz w:val="20"/>
          <w:szCs w:val="20"/>
          <w:lang w:val="es-AR"/>
        </w:rPr>
        <w:t xml:space="preserve"> </w:t>
      </w:r>
      <w:r w:rsidR="00BD2893">
        <w:rPr>
          <w:rFonts w:asciiTheme="majorHAnsi" w:hAnsiTheme="majorHAnsi"/>
          <w:sz w:val="20"/>
          <w:szCs w:val="20"/>
          <w:lang w:val="es-AR"/>
        </w:rPr>
        <w:t xml:space="preserve">y </w:t>
      </w:r>
      <w:r w:rsidR="00FD1389" w:rsidRPr="00505262">
        <w:rPr>
          <w:rFonts w:asciiTheme="majorHAnsi" w:hAnsiTheme="majorHAnsi"/>
          <w:sz w:val="20"/>
          <w:szCs w:val="20"/>
          <w:lang w:val="es-AR"/>
        </w:rPr>
        <w:t>formula la excepción de falta de agotamiento de los recursos domésticos</w:t>
      </w:r>
      <w:r w:rsidR="00BD2893">
        <w:rPr>
          <w:rFonts w:asciiTheme="majorHAnsi" w:hAnsiTheme="majorHAnsi"/>
          <w:sz w:val="20"/>
          <w:szCs w:val="20"/>
          <w:lang w:val="es-AR"/>
        </w:rPr>
        <w:t xml:space="preserve">, debido a que alega que debieron haber recurrido a un proceso laboral ordinario. </w:t>
      </w:r>
      <w:r w:rsidR="00FD1389" w:rsidRPr="00505262">
        <w:rPr>
          <w:rFonts w:asciiTheme="majorHAnsi" w:hAnsiTheme="majorHAnsi"/>
          <w:sz w:val="20"/>
          <w:szCs w:val="20"/>
          <w:lang w:val="es-AR"/>
        </w:rPr>
        <w:t xml:space="preserve"> </w:t>
      </w:r>
    </w:p>
    <w:p w14:paraId="7F3E0358" w14:textId="29333D1F" w:rsidR="00E63541" w:rsidRPr="00505262" w:rsidRDefault="00D867AC" w:rsidP="00D867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14.</w:t>
      </w:r>
      <w:r>
        <w:rPr>
          <w:rFonts w:asciiTheme="majorHAnsi" w:hAnsiTheme="majorHAnsi"/>
          <w:sz w:val="20"/>
          <w:szCs w:val="20"/>
          <w:lang w:val="es-AR"/>
        </w:rPr>
        <w:tab/>
      </w:r>
      <w:r w:rsidR="00FD1389" w:rsidRPr="00505262">
        <w:rPr>
          <w:rFonts w:asciiTheme="majorHAnsi" w:hAnsiTheme="majorHAnsi"/>
          <w:sz w:val="20"/>
          <w:szCs w:val="20"/>
          <w:lang w:val="es-AR"/>
        </w:rPr>
        <w:t xml:space="preserve">Para los efectos del presente informe de admisibilidad, es relevante </w:t>
      </w:r>
      <w:r w:rsidR="009F108D">
        <w:rPr>
          <w:rFonts w:asciiTheme="majorHAnsi" w:hAnsiTheme="majorHAnsi"/>
          <w:sz w:val="20"/>
          <w:szCs w:val="20"/>
          <w:lang w:val="es-AR"/>
        </w:rPr>
        <w:t>su</w:t>
      </w:r>
      <w:r w:rsidR="00FD1389" w:rsidRPr="00505262">
        <w:rPr>
          <w:rFonts w:asciiTheme="majorHAnsi" w:hAnsiTheme="majorHAnsi"/>
          <w:sz w:val="20"/>
          <w:szCs w:val="20"/>
          <w:lang w:val="es-AR"/>
        </w:rPr>
        <w:t xml:space="preserve"> precisión fáctica de que la señora Monge no fue sometida a un proceso administrativo disciplinario</w:t>
      </w:r>
      <w:r w:rsidR="00E63541" w:rsidRPr="00505262">
        <w:rPr>
          <w:rFonts w:asciiTheme="majorHAnsi" w:hAnsiTheme="majorHAnsi"/>
          <w:sz w:val="20"/>
          <w:szCs w:val="20"/>
          <w:lang w:val="es-AR"/>
        </w:rPr>
        <w:t xml:space="preserve"> previo a su destitución</w:t>
      </w:r>
      <w:r w:rsidR="00FD1389" w:rsidRPr="00505262">
        <w:rPr>
          <w:rFonts w:asciiTheme="majorHAnsi" w:hAnsiTheme="majorHAnsi"/>
          <w:sz w:val="20"/>
          <w:szCs w:val="20"/>
          <w:lang w:val="es-AR"/>
        </w:rPr>
        <w:t>, sino a un proceso de tipo laboral</w:t>
      </w:r>
      <w:r w:rsidR="00E63541" w:rsidRPr="00505262">
        <w:rPr>
          <w:rFonts w:asciiTheme="majorHAnsi" w:hAnsiTheme="majorHAnsi"/>
          <w:sz w:val="20"/>
          <w:szCs w:val="20"/>
          <w:lang w:val="es-AR"/>
        </w:rPr>
        <w:t xml:space="preserve"> bajo el Decreto Legislativo 728</w:t>
      </w:r>
      <w:r w:rsidR="00FD1389" w:rsidRPr="00505262">
        <w:rPr>
          <w:rFonts w:asciiTheme="majorHAnsi" w:hAnsiTheme="majorHAnsi"/>
          <w:sz w:val="20"/>
          <w:szCs w:val="20"/>
          <w:lang w:val="es-AR"/>
        </w:rPr>
        <w:t>, dado su régimen de vinculación a la Defensoría; por lo cual considera que para controvertir dicho proceso de destitución y su decisión resultante, la señora Monge debió haber recurrido a un proceso laboral</w:t>
      </w:r>
      <w:r w:rsidR="00E63541" w:rsidRPr="00505262">
        <w:rPr>
          <w:rFonts w:asciiTheme="majorHAnsi" w:hAnsiTheme="majorHAnsi"/>
          <w:sz w:val="20"/>
          <w:szCs w:val="20"/>
          <w:lang w:val="es-AR"/>
        </w:rPr>
        <w:t xml:space="preserve"> ordinario ante la justicia nacional</w:t>
      </w:r>
      <w:r w:rsidR="00FD1389" w:rsidRPr="00505262">
        <w:rPr>
          <w:rFonts w:asciiTheme="majorHAnsi" w:hAnsiTheme="majorHAnsi"/>
          <w:sz w:val="20"/>
          <w:szCs w:val="20"/>
          <w:lang w:val="es-AR"/>
        </w:rPr>
        <w:t xml:space="preserve">. A este respecto el Estado argumenta:  </w:t>
      </w:r>
      <w:r w:rsidR="00E63541" w:rsidRPr="000C4BB9">
        <w:rPr>
          <w:rFonts w:asciiTheme="majorHAnsi" w:hAnsiTheme="majorHAnsi"/>
          <w:i/>
          <w:iCs/>
          <w:sz w:val="20"/>
          <w:szCs w:val="20"/>
          <w:lang w:val="es-AR"/>
        </w:rPr>
        <w:t>“el Estado considera que la peticionaria debió haber interpuesto una demanda laboral y no un amparo, ello por constituir una vía satisfactoria para el derecho reclamado, siendo ello así, y dada la particularidad del presente caso en el cual la peticionaria pertenecía al régimen de la actividad laboral y fue despedida en función a normas laborales Texto Único Ordenado Decreto Legislativo No. 728, Ley de Productividad y Competitividad Laboral Decreto Supremo No. 003-97-TR de fecha 27 de marzo de 1997, por lo cual correspondía que la peticionaria interpusiera una demanda laboral.”</w:t>
      </w:r>
      <w:r w:rsidR="00E63541" w:rsidRPr="00505262">
        <w:rPr>
          <w:rFonts w:asciiTheme="majorHAnsi" w:hAnsiTheme="majorHAnsi"/>
          <w:sz w:val="20"/>
          <w:szCs w:val="20"/>
          <w:lang w:val="es-AR"/>
        </w:rPr>
        <w:t xml:space="preserve"> A este respecto, el Estado cita el pronunciamiento de los magistrados del Tribunal Constitucional Mesía Ramírez y Beaumont </w:t>
      </w:r>
      <w:proofErr w:type="spellStart"/>
      <w:r w:rsidR="00E63541" w:rsidRPr="00505262">
        <w:rPr>
          <w:rFonts w:asciiTheme="majorHAnsi" w:hAnsiTheme="majorHAnsi"/>
          <w:sz w:val="20"/>
          <w:szCs w:val="20"/>
          <w:lang w:val="es-AR"/>
        </w:rPr>
        <w:t>Calligros</w:t>
      </w:r>
      <w:proofErr w:type="spellEnd"/>
      <w:r w:rsidR="00E63541" w:rsidRPr="00505262">
        <w:rPr>
          <w:rFonts w:asciiTheme="majorHAnsi" w:hAnsiTheme="majorHAnsi"/>
          <w:sz w:val="20"/>
          <w:szCs w:val="20"/>
          <w:lang w:val="es-AR"/>
        </w:rPr>
        <w:t xml:space="preserve"> enfatizando que existía otra vía procesal idónea, según se citó arriba; y concluye que la peticionaria </w:t>
      </w:r>
      <w:r w:rsidR="00E63541" w:rsidRPr="000C4BB9">
        <w:rPr>
          <w:rFonts w:asciiTheme="majorHAnsi" w:hAnsiTheme="majorHAnsi"/>
          <w:i/>
          <w:iCs/>
          <w:sz w:val="20"/>
          <w:szCs w:val="20"/>
          <w:lang w:val="es-AR"/>
        </w:rPr>
        <w:t>“optó por una vía que no era la idónea y efectiva según las características del caso concreto, lo que impidió que las autoridades correspondientes le otorgaran una solución a sus reclamos”</w:t>
      </w:r>
      <w:r w:rsidR="009F108D">
        <w:rPr>
          <w:rFonts w:asciiTheme="majorHAnsi" w:hAnsiTheme="majorHAnsi"/>
          <w:i/>
          <w:iCs/>
          <w:sz w:val="20"/>
          <w:szCs w:val="20"/>
          <w:lang w:val="es-AR"/>
        </w:rPr>
        <w:t>,</w:t>
      </w:r>
      <w:r w:rsidR="00E63541" w:rsidRPr="00505262">
        <w:rPr>
          <w:rFonts w:asciiTheme="majorHAnsi" w:hAnsiTheme="majorHAnsi"/>
          <w:sz w:val="20"/>
          <w:szCs w:val="20"/>
          <w:lang w:val="es-AR"/>
        </w:rPr>
        <w:t xml:space="preserve"> con lo cual afirma </w:t>
      </w:r>
      <w:r w:rsidR="009F108D">
        <w:rPr>
          <w:rFonts w:asciiTheme="majorHAnsi" w:hAnsiTheme="majorHAnsi"/>
          <w:sz w:val="20"/>
          <w:szCs w:val="20"/>
          <w:lang w:val="es-AR"/>
        </w:rPr>
        <w:t xml:space="preserve">Perú </w:t>
      </w:r>
      <w:r w:rsidR="00E63541" w:rsidRPr="00505262">
        <w:rPr>
          <w:rFonts w:asciiTheme="majorHAnsi" w:hAnsiTheme="majorHAnsi"/>
          <w:sz w:val="20"/>
          <w:szCs w:val="20"/>
          <w:lang w:val="es-AR"/>
        </w:rPr>
        <w:t>que se dejó de agotar los recursos de la jurisdicción interna, ya que el amparo no era la vía judicial adecuada.</w:t>
      </w:r>
    </w:p>
    <w:p w14:paraId="643745C8" w14:textId="77777777" w:rsidR="003239B8" w:rsidRPr="00505262" w:rsidRDefault="003239B8" w:rsidP="00B96E4D">
      <w:pPr>
        <w:spacing w:before="240" w:after="240"/>
        <w:ind w:left="720"/>
        <w:jc w:val="both"/>
        <w:rPr>
          <w:rFonts w:asciiTheme="majorHAnsi" w:hAnsiTheme="majorHAnsi"/>
          <w:sz w:val="20"/>
          <w:szCs w:val="20"/>
          <w:lang w:val="es-UY"/>
        </w:rPr>
      </w:pPr>
      <w:r w:rsidRPr="00505262">
        <w:rPr>
          <w:rFonts w:asciiTheme="majorHAnsi" w:eastAsia="Cambria" w:hAnsiTheme="majorHAnsi" w:cs="Cambria"/>
          <w:b/>
          <w:bCs/>
          <w:color w:val="000000"/>
          <w:sz w:val="20"/>
          <w:szCs w:val="20"/>
          <w:u w:color="000000"/>
          <w:lang w:val="es-ES" w:eastAsia="es-ES"/>
        </w:rPr>
        <w:t>VI.</w:t>
      </w:r>
      <w:r w:rsidRPr="00505262">
        <w:rPr>
          <w:rFonts w:asciiTheme="majorHAnsi" w:eastAsia="Cambria" w:hAnsiTheme="majorHAnsi" w:cs="Cambria"/>
          <w:b/>
          <w:bCs/>
          <w:color w:val="000000"/>
          <w:sz w:val="20"/>
          <w:szCs w:val="20"/>
          <w:u w:color="000000"/>
          <w:lang w:val="es-ES" w:eastAsia="es-ES"/>
        </w:rPr>
        <w:tab/>
      </w:r>
      <w:r w:rsidR="004A6A54" w:rsidRPr="00505262">
        <w:rPr>
          <w:rFonts w:asciiTheme="majorHAnsi" w:hAnsiTheme="majorHAnsi"/>
          <w:b/>
          <w:bCs/>
          <w:sz w:val="20"/>
          <w:szCs w:val="20"/>
          <w:lang w:val="es-ES_tradnl"/>
        </w:rPr>
        <w:t xml:space="preserve">ANÁLISIS DE </w:t>
      </w:r>
      <w:r w:rsidR="00C21FEF" w:rsidRPr="00505262">
        <w:rPr>
          <w:rFonts w:asciiTheme="majorHAnsi" w:hAnsiTheme="majorHAnsi"/>
          <w:b/>
          <w:sz w:val="20"/>
          <w:szCs w:val="20"/>
          <w:lang w:val="es-ES"/>
        </w:rPr>
        <w:t>AGOTAMIENTO DE LOS RECURSOS INTERNOS Y PLAZO DE PRESENTACIÓN</w:t>
      </w:r>
      <w:r w:rsidR="00C21FEF" w:rsidRPr="00505262">
        <w:rPr>
          <w:rFonts w:asciiTheme="majorHAnsi" w:eastAsia="Cambria" w:hAnsiTheme="majorHAnsi" w:cs="Cambria"/>
          <w:b/>
          <w:bCs/>
          <w:color w:val="000000"/>
          <w:sz w:val="20"/>
          <w:szCs w:val="20"/>
          <w:u w:color="000000"/>
          <w:lang w:val="es-ES" w:eastAsia="es-ES"/>
        </w:rPr>
        <w:t xml:space="preserve"> </w:t>
      </w:r>
    </w:p>
    <w:p w14:paraId="26332B69" w14:textId="16642AC2" w:rsidR="000C4BB9" w:rsidRDefault="00505262" w:rsidP="0050526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B96E4D">
        <w:rPr>
          <w:rFonts w:asciiTheme="majorHAnsi" w:hAnsiTheme="majorHAnsi"/>
          <w:sz w:val="20"/>
          <w:szCs w:val="20"/>
          <w:lang w:val="es-ES"/>
        </w:rPr>
        <w:t>5</w:t>
      </w:r>
      <w:r>
        <w:rPr>
          <w:rFonts w:asciiTheme="majorHAnsi" w:hAnsiTheme="majorHAnsi"/>
          <w:sz w:val="20"/>
          <w:szCs w:val="20"/>
          <w:lang w:val="es-ES"/>
        </w:rPr>
        <w:t xml:space="preserve">. </w:t>
      </w:r>
      <w:r w:rsidR="00B96E4D">
        <w:rPr>
          <w:rFonts w:asciiTheme="majorHAnsi" w:hAnsiTheme="majorHAnsi"/>
          <w:sz w:val="20"/>
          <w:szCs w:val="20"/>
          <w:lang w:val="es-ES"/>
        </w:rPr>
        <w:tab/>
      </w:r>
      <w:r w:rsidR="000D68B0" w:rsidRPr="00505262">
        <w:rPr>
          <w:rFonts w:asciiTheme="majorHAnsi" w:hAnsiTheme="majorHAnsi"/>
          <w:sz w:val="20"/>
          <w:szCs w:val="20"/>
          <w:lang w:val="es-ES"/>
        </w:rPr>
        <w:t>Tras un examen cuidadoso del expediente, la CIDH observa que l</w:t>
      </w:r>
      <w:r w:rsidR="000D0DE2" w:rsidRPr="00505262">
        <w:rPr>
          <w:rFonts w:asciiTheme="majorHAnsi" w:hAnsiTheme="majorHAnsi"/>
          <w:sz w:val="20"/>
          <w:szCs w:val="20"/>
          <w:lang w:val="es-ES"/>
        </w:rPr>
        <w:t>a improcedencia del recurso constitucional de amparo en este caso</w:t>
      </w:r>
      <w:r w:rsidR="00276C19">
        <w:rPr>
          <w:rFonts w:asciiTheme="majorHAnsi" w:hAnsiTheme="majorHAnsi"/>
          <w:sz w:val="20"/>
          <w:szCs w:val="20"/>
          <w:lang w:val="es-ES"/>
        </w:rPr>
        <w:t>,</w:t>
      </w:r>
      <w:r w:rsidR="000D0DE2" w:rsidRPr="00505262">
        <w:rPr>
          <w:rFonts w:asciiTheme="majorHAnsi" w:hAnsiTheme="majorHAnsi"/>
          <w:sz w:val="20"/>
          <w:szCs w:val="20"/>
          <w:lang w:val="es-ES"/>
        </w:rPr>
        <w:t xml:space="preserve"> </w:t>
      </w:r>
      <w:r w:rsidR="000D68B0" w:rsidRPr="00505262">
        <w:rPr>
          <w:rFonts w:asciiTheme="majorHAnsi" w:hAnsiTheme="majorHAnsi"/>
          <w:sz w:val="20"/>
          <w:szCs w:val="20"/>
          <w:lang w:val="es-ES"/>
        </w:rPr>
        <w:t xml:space="preserve">dada </w:t>
      </w:r>
      <w:r w:rsidR="000D0DE2" w:rsidRPr="00505262">
        <w:rPr>
          <w:rFonts w:asciiTheme="majorHAnsi" w:hAnsiTheme="majorHAnsi"/>
          <w:sz w:val="20"/>
          <w:szCs w:val="20"/>
          <w:lang w:val="es-ES"/>
        </w:rPr>
        <w:t>la existencia de otra vía procesal idónea</w:t>
      </w:r>
      <w:r w:rsidR="00276C19">
        <w:rPr>
          <w:rFonts w:asciiTheme="majorHAnsi" w:hAnsiTheme="majorHAnsi"/>
          <w:sz w:val="20"/>
          <w:szCs w:val="20"/>
          <w:lang w:val="es-ES"/>
        </w:rPr>
        <w:t>,</w:t>
      </w:r>
      <w:r w:rsidR="000D0DE2" w:rsidRPr="00505262">
        <w:rPr>
          <w:rFonts w:asciiTheme="majorHAnsi" w:hAnsiTheme="majorHAnsi"/>
          <w:sz w:val="20"/>
          <w:szCs w:val="20"/>
          <w:lang w:val="es-ES"/>
        </w:rPr>
        <w:t xml:space="preserve"> fue</w:t>
      </w:r>
      <w:r w:rsidR="00276C19">
        <w:rPr>
          <w:rFonts w:asciiTheme="majorHAnsi" w:hAnsiTheme="majorHAnsi"/>
          <w:sz w:val="20"/>
          <w:szCs w:val="20"/>
          <w:lang w:val="es-ES"/>
        </w:rPr>
        <w:t xml:space="preserve"> señalada</w:t>
      </w:r>
      <w:r w:rsidR="000D0DE2" w:rsidRPr="00505262">
        <w:rPr>
          <w:rFonts w:asciiTheme="majorHAnsi" w:hAnsiTheme="majorHAnsi"/>
          <w:sz w:val="20"/>
          <w:szCs w:val="20"/>
          <w:lang w:val="es-ES"/>
        </w:rPr>
        <w:t xml:space="preserve"> </w:t>
      </w:r>
      <w:r w:rsidR="000C4BB9">
        <w:rPr>
          <w:rFonts w:asciiTheme="majorHAnsi" w:hAnsiTheme="majorHAnsi"/>
          <w:sz w:val="20"/>
          <w:szCs w:val="20"/>
          <w:lang w:val="es-ES"/>
        </w:rPr>
        <w:t xml:space="preserve">en dos momentos: inicialmente por el juez de amparo de </w:t>
      </w:r>
      <w:r w:rsidR="000D0DE2" w:rsidRPr="00505262">
        <w:rPr>
          <w:rFonts w:asciiTheme="majorHAnsi" w:hAnsiTheme="majorHAnsi"/>
          <w:sz w:val="20"/>
          <w:szCs w:val="20"/>
          <w:lang w:val="es-ES"/>
        </w:rPr>
        <w:t>primera instancia</w:t>
      </w:r>
      <w:r w:rsidR="000C4BB9">
        <w:rPr>
          <w:rFonts w:asciiTheme="majorHAnsi" w:hAnsiTheme="majorHAnsi"/>
          <w:sz w:val="20"/>
          <w:szCs w:val="20"/>
          <w:lang w:val="es-ES"/>
        </w:rPr>
        <w:t>,</w:t>
      </w:r>
      <w:r w:rsidR="000D0DE2" w:rsidRPr="00505262">
        <w:rPr>
          <w:rFonts w:asciiTheme="majorHAnsi" w:hAnsiTheme="majorHAnsi"/>
          <w:sz w:val="20"/>
          <w:szCs w:val="20"/>
          <w:lang w:val="es-ES"/>
        </w:rPr>
        <w:t xml:space="preserve"> en la resolución </w:t>
      </w:r>
      <w:r w:rsidR="000C4BB9">
        <w:rPr>
          <w:rFonts w:asciiTheme="majorHAnsi" w:hAnsiTheme="majorHAnsi"/>
          <w:sz w:val="20"/>
          <w:szCs w:val="20"/>
          <w:lang w:val="es-ES"/>
        </w:rPr>
        <w:t>del 20 de febrero de 2008</w:t>
      </w:r>
      <w:r w:rsidR="00276C19">
        <w:rPr>
          <w:rFonts w:asciiTheme="majorHAnsi" w:hAnsiTheme="majorHAnsi"/>
          <w:sz w:val="20"/>
          <w:szCs w:val="20"/>
          <w:lang w:val="es-ES"/>
        </w:rPr>
        <w:t>,</w:t>
      </w:r>
      <w:r w:rsidR="000C4BB9">
        <w:rPr>
          <w:rFonts w:asciiTheme="majorHAnsi" w:hAnsiTheme="majorHAnsi"/>
          <w:sz w:val="20"/>
          <w:szCs w:val="20"/>
          <w:lang w:val="es-ES"/>
        </w:rPr>
        <w:t xml:space="preserve"> que fue </w:t>
      </w:r>
      <w:r w:rsidR="000D0DE2" w:rsidRPr="00505262">
        <w:rPr>
          <w:rFonts w:asciiTheme="majorHAnsi" w:hAnsiTheme="majorHAnsi"/>
          <w:sz w:val="20"/>
          <w:szCs w:val="20"/>
          <w:lang w:val="es-ES"/>
        </w:rPr>
        <w:t>anulada</w:t>
      </w:r>
      <w:r w:rsidR="000C4BB9">
        <w:rPr>
          <w:rFonts w:asciiTheme="majorHAnsi" w:hAnsiTheme="majorHAnsi"/>
          <w:sz w:val="20"/>
          <w:szCs w:val="20"/>
          <w:lang w:val="es-ES"/>
        </w:rPr>
        <w:t xml:space="preserve"> en segunda instancia</w:t>
      </w:r>
      <w:r w:rsidR="00276C19">
        <w:rPr>
          <w:rFonts w:asciiTheme="majorHAnsi" w:hAnsiTheme="majorHAnsi"/>
          <w:sz w:val="20"/>
          <w:szCs w:val="20"/>
          <w:lang w:val="es-ES"/>
        </w:rPr>
        <w:t>;</w:t>
      </w:r>
      <w:r w:rsidR="000D0DE2" w:rsidRPr="00505262">
        <w:rPr>
          <w:rFonts w:asciiTheme="majorHAnsi" w:hAnsiTheme="majorHAnsi"/>
          <w:sz w:val="20"/>
          <w:szCs w:val="20"/>
          <w:lang w:val="es-ES"/>
        </w:rPr>
        <w:t xml:space="preserve"> y posteriormente por dos magistrados del Tribunal Constitucional</w:t>
      </w:r>
      <w:r w:rsidR="000C4BB9">
        <w:rPr>
          <w:rFonts w:asciiTheme="majorHAnsi" w:hAnsiTheme="majorHAnsi"/>
          <w:sz w:val="20"/>
          <w:szCs w:val="20"/>
          <w:lang w:val="es-ES"/>
        </w:rPr>
        <w:t>, en sus votos individuales</w:t>
      </w:r>
      <w:r w:rsidR="008C7221">
        <w:rPr>
          <w:rFonts w:asciiTheme="majorHAnsi" w:hAnsiTheme="majorHAnsi"/>
          <w:sz w:val="20"/>
          <w:szCs w:val="20"/>
          <w:lang w:val="es-ES"/>
        </w:rPr>
        <w:t>,</w:t>
      </w:r>
      <w:r w:rsidR="000D0DE2" w:rsidRPr="00505262">
        <w:rPr>
          <w:rFonts w:asciiTheme="majorHAnsi" w:hAnsiTheme="majorHAnsi"/>
          <w:sz w:val="20"/>
          <w:szCs w:val="20"/>
          <w:lang w:val="es-ES"/>
        </w:rPr>
        <w:t xml:space="preserve"> que </w:t>
      </w:r>
      <w:r w:rsidR="000C4BB9">
        <w:rPr>
          <w:rFonts w:asciiTheme="majorHAnsi" w:hAnsiTheme="majorHAnsi"/>
          <w:sz w:val="20"/>
          <w:szCs w:val="20"/>
          <w:lang w:val="es-ES"/>
        </w:rPr>
        <w:t xml:space="preserve">en sí mismos </w:t>
      </w:r>
      <w:r w:rsidR="000D0DE2" w:rsidRPr="00505262">
        <w:rPr>
          <w:rFonts w:asciiTheme="majorHAnsi" w:hAnsiTheme="majorHAnsi"/>
          <w:sz w:val="20"/>
          <w:szCs w:val="20"/>
          <w:lang w:val="es-ES"/>
        </w:rPr>
        <w:t>no conformaron mayoría</w:t>
      </w:r>
      <w:r w:rsidR="008C7221">
        <w:rPr>
          <w:rFonts w:asciiTheme="majorHAnsi" w:hAnsiTheme="majorHAnsi"/>
          <w:sz w:val="20"/>
          <w:szCs w:val="20"/>
          <w:lang w:val="es-ES"/>
        </w:rPr>
        <w:t xml:space="preserve"> en cuanto a sus fundamentos de derecho</w:t>
      </w:r>
      <w:r w:rsidR="000D0DE2" w:rsidRPr="00505262">
        <w:rPr>
          <w:rFonts w:asciiTheme="majorHAnsi" w:hAnsiTheme="majorHAnsi"/>
          <w:sz w:val="20"/>
          <w:szCs w:val="20"/>
          <w:lang w:val="es-ES"/>
        </w:rPr>
        <w:t xml:space="preserve">. Adoptando una postura contraria, </w:t>
      </w:r>
      <w:r w:rsidR="000D68B0" w:rsidRPr="00505262">
        <w:rPr>
          <w:rFonts w:asciiTheme="majorHAnsi" w:hAnsiTheme="majorHAnsi"/>
          <w:sz w:val="20"/>
          <w:szCs w:val="20"/>
          <w:lang w:val="es-ES"/>
        </w:rPr>
        <w:t xml:space="preserve">consideraron que el amparo sí era una vía </w:t>
      </w:r>
      <w:r w:rsidR="008C7221">
        <w:rPr>
          <w:rFonts w:asciiTheme="majorHAnsi" w:hAnsiTheme="majorHAnsi"/>
          <w:sz w:val="20"/>
          <w:szCs w:val="20"/>
          <w:lang w:val="es-ES"/>
        </w:rPr>
        <w:t xml:space="preserve">judicial </w:t>
      </w:r>
      <w:r w:rsidR="000D68B0" w:rsidRPr="00505262">
        <w:rPr>
          <w:rFonts w:asciiTheme="majorHAnsi" w:hAnsiTheme="majorHAnsi"/>
          <w:sz w:val="20"/>
          <w:szCs w:val="20"/>
          <w:lang w:val="es-ES"/>
        </w:rPr>
        <w:t>idónea y entraron a pronunciar</w:t>
      </w:r>
      <w:r w:rsidR="00DD281B">
        <w:rPr>
          <w:rFonts w:asciiTheme="majorHAnsi" w:hAnsiTheme="majorHAnsi"/>
          <w:sz w:val="20"/>
          <w:szCs w:val="20"/>
          <w:lang w:val="es-ES"/>
        </w:rPr>
        <w:t>se</w:t>
      </w:r>
      <w:r w:rsidR="000D68B0" w:rsidRPr="00505262">
        <w:rPr>
          <w:rFonts w:asciiTheme="majorHAnsi" w:hAnsiTheme="majorHAnsi"/>
          <w:sz w:val="20"/>
          <w:szCs w:val="20"/>
          <w:lang w:val="es-ES"/>
        </w:rPr>
        <w:t xml:space="preserve"> </w:t>
      </w:r>
      <w:r w:rsidR="000D0DE2" w:rsidRPr="00505262">
        <w:rPr>
          <w:rFonts w:asciiTheme="majorHAnsi" w:hAnsiTheme="majorHAnsi"/>
          <w:sz w:val="20"/>
          <w:szCs w:val="20"/>
          <w:lang w:val="es-ES"/>
        </w:rPr>
        <w:t>sobre el fondo de la cuestión</w:t>
      </w:r>
      <w:r w:rsidR="000D68B0" w:rsidRPr="00505262">
        <w:rPr>
          <w:rFonts w:asciiTheme="majorHAnsi" w:hAnsiTheme="majorHAnsi"/>
          <w:sz w:val="20"/>
          <w:szCs w:val="20"/>
          <w:lang w:val="es-ES"/>
        </w:rPr>
        <w:t xml:space="preserve"> las siguientes autoridades</w:t>
      </w:r>
      <w:r w:rsidR="000D0DE2" w:rsidRPr="00505262">
        <w:rPr>
          <w:rFonts w:asciiTheme="majorHAnsi" w:hAnsiTheme="majorHAnsi"/>
          <w:sz w:val="20"/>
          <w:szCs w:val="20"/>
          <w:lang w:val="es-ES"/>
        </w:rPr>
        <w:t>:</w:t>
      </w:r>
      <w:r w:rsidR="000C4BB9">
        <w:rPr>
          <w:rFonts w:asciiTheme="majorHAnsi" w:hAnsiTheme="majorHAnsi"/>
          <w:sz w:val="20"/>
          <w:szCs w:val="20"/>
          <w:lang w:val="es-ES"/>
        </w:rPr>
        <w:t xml:space="preserve"> </w:t>
      </w:r>
      <w:r w:rsidR="000D0DE2" w:rsidRPr="00505262">
        <w:rPr>
          <w:rFonts w:asciiTheme="majorHAnsi" w:hAnsiTheme="majorHAnsi"/>
          <w:sz w:val="20"/>
          <w:szCs w:val="20"/>
          <w:lang w:val="es-ES"/>
        </w:rPr>
        <w:t xml:space="preserve">el juez de </w:t>
      </w:r>
      <w:r w:rsidR="000C4BB9">
        <w:rPr>
          <w:rFonts w:asciiTheme="majorHAnsi" w:hAnsiTheme="majorHAnsi"/>
          <w:sz w:val="20"/>
          <w:szCs w:val="20"/>
          <w:lang w:val="es-ES"/>
        </w:rPr>
        <w:t xml:space="preserve">amparo de </w:t>
      </w:r>
      <w:r w:rsidR="000D0DE2" w:rsidRPr="00505262">
        <w:rPr>
          <w:rFonts w:asciiTheme="majorHAnsi" w:hAnsiTheme="majorHAnsi"/>
          <w:sz w:val="20"/>
          <w:szCs w:val="20"/>
          <w:lang w:val="es-ES"/>
        </w:rPr>
        <w:t xml:space="preserve">primera instancia </w:t>
      </w:r>
      <w:r w:rsidR="00BA05A3" w:rsidRPr="00505262">
        <w:rPr>
          <w:rFonts w:asciiTheme="majorHAnsi" w:hAnsiTheme="majorHAnsi"/>
          <w:sz w:val="20"/>
          <w:szCs w:val="20"/>
          <w:lang w:val="es-ES"/>
        </w:rPr>
        <w:t>en la sentencia de fondo</w:t>
      </w:r>
      <w:r w:rsidR="000C4BB9">
        <w:rPr>
          <w:rFonts w:asciiTheme="majorHAnsi" w:hAnsiTheme="majorHAnsi"/>
          <w:sz w:val="20"/>
          <w:szCs w:val="20"/>
          <w:lang w:val="es-ES"/>
        </w:rPr>
        <w:t xml:space="preserve"> del 12 de noviembre de 2008</w:t>
      </w:r>
      <w:r w:rsidR="00BA05A3" w:rsidRPr="00505262">
        <w:rPr>
          <w:rFonts w:asciiTheme="majorHAnsi" w:hAnsiTheme="majorHAnsi"/>
          <w:sz w:val="20"/>
          <w:szCs w:val="20"/>
          <w:lang w:val="es-ES"/>
        </w:rPr>
        <w:t xml:space="preserve"> (adoptada </w:t>
      </w:r>
      <w:r w:rsidR="000D0DE2" w:rsidRPr="00505262">
        <w:rPr>
          <w:rFonts w:asciiTheme="majorHAnsi" w:hAnsiTheme="majorHAnsi"/>
          <w:sz w:val="20"/>
          <w:szCs w:val="20"/>
          <w:lang w:val="es-ES"/>
        </w:rPr>
        <w:t>tras la anulación de su primera decisión</w:t>
      </w:r>
      <w:r w:rsidR="00BA05A3" w:rsidRPr="00505262">
        <w:rPr>
          <w:rFonts w:asciiTheme="majorHAnsi" w:hAnsiTheme="majorHAnsi"/>
          <w:sz w:val="20"/>
          <w:szCs w:val="20"/>
          <w:lang w:val="es-ES"/>
        </w:rPr>
        <w:t xml:space="preserve"> que declaraba la demanda improcedente por existir otra vía de defensa judicial)</w:t>
      </w:r>
      <w:r w:rsidR="000D0DE2" w:rsidRPr="00505262">
        <w:rPr>
          <w:rFonts w:asciiTheme="majorHAnsi" w:hAnsiTheme="majorHAnsi"/>
          <w:sz w:val="20"/>
          <w:szCs w:val="20"/>
          <w:lang w:val="es-ES"/>
        </w:rPr>
        <w:t xml:space="preserve">; el juez de </w:t>
      </w:r>
      <w:r w:rsidR="000C4BB9">
        <w:rPr>
          <w:rFonts w:asciiTheme="majorHAnsi" w:hAnsiTheme="majorHAnsi"/>
          <w:sz w:val="20"/>
          <w:szCs w:val="20"/>
          <w:lang w:val="es-ES"/>
        </w:rPr>
        <w:t xml:space="preserve">amparo de </w:t>
      </w:r>
      <w:r w:rsidR="000D0DE2" w:rsidRPr="00505262">
        <w:rPr>
          <w:rFonts w:asciiTheme="majorHAnsi" w:hAnsiTheme="majorHAnsi"/>
          <w:sz w:val="20"/>
          <w:szCs w:val="20"/>
          <w:lang w:val="es-ES"/>
        </w:rPr>
        <w:t>segunda instancia</w:t>
      </w:r>
      <w:r w:rsidR="000C4BB9">
        <w:rPr>
          <w:rFonts w:asciiTheme="majorHAnsi" w:hAnsiTheme="majorHAnsi"/>
          <w:sz w:val="20"/>
          <w:szCs w:val="20"/>
          <w:lang w:val="es-ES"/>
        </w:rPr>
        <w:t>, en la sentencia del 30 de junio de 2009</w:t>
      </w:r>
      <w:r w:rsidR="000D0DE2" w:rsidRPr="00505262">
        <w:rPr>
          <w:rFonts w:asciiTheme="majorHAnsi" w:hAnsiTheme="majorHAnsi"/>
          <w:sz w:val="20"/>
          <w:szCs w:val="20"/>
          <w:lang w:val="es-ES"/>
        </w:rPr>
        <w:t>; y</w:t>
      </w:r>
      <w:r w:rsidR="000C4BB9">
        <w:rPr>
          <w:rFonts w:asciiTheme="majorHAnsi" w:hAnsiTheme="majorHAnsi"/>
          <w:sz w:val="20"/>
          <w:szCs w:val="20"/>
          <w:lang w:val="es-ES"/>
        </w:rPr>
        <w:t xml:space="preserve"> </w:t>
      </w:r>
      <w:r w:rsidR="000D0DE2" w:rsidRPr="00505262">
        <w:rPr>
          <w:rFonts w:asciiTheme="majorHAnsi" w:hAnsiTheme="majorHAnsi"/>
          <w:sz w:val="20"/>
          <w:szCs w:val="20"/>
          <w:lang w:val="es-ES"/>
        </w:rPr>
        <w:t>cuatro magistrados del Tribunal Constitucional</w:t>
      </w:r>
      <w:r w:rsidR="000D68B0" w:rsidRPr="00505262">
        <w:rPr>
          <w:rFonts w:asciiTheme="majorHAnsi" w:hAnsiTheme="majorHAnsi"/>
          <w:sz w:val="20"/>
          <w:szCs w:val="20"/>
          <w:lang w:val="es-ES"/>
        </w:rPr>
        <w:t xml:space="preserve"> que depositaron sus votos, favorables o desfavorables, con base en razones de </w:t>
      </w:r>
      <w:r w:rsidR="008C7221">
        <w:rPr>
          <w:rFonts w:asciiTheme="majorHAnsi" w:hAnsiTheme="majorHAnsi"/>
          <w:sz w:val="20"/>
          <w:szCs w:val="20"/>
          <w:lang w:val="es-ES"/>
        </w:rPr>
        <w:t xml:space="preserve">procedimiento y de </w:t>
      </w:r>
      <w:r w:rsidR="000D68B0" w:rsidRPr="00505262">
        <w:rPr>
          <w:rFonts w:asciiTheme="majorHAnsi" w:hAnsiTheme="majorHAnsi"/>
          <w:sz w:val="20"/>
          <w:szCs w:val="20"/>
          <w:lang w:val="es-ES"/>
        </w:rPr>
        <w:t xml:space="preserve">fondo no vinculadas con la supuesta improcedencia del amparo </w:t>
      </w:r>
      <w:r w:rsidR="008C7221">
        <w:rPr>
          <w:rFonts w:asciiTheme="majorHAnsi" w:hAnsiTheme="majorHAnsi"/>
          <w:sz w:val="20"/>
          <w:szCs w:val="20"/>
          <w:lang w:val="es-ES"/>
        </w:rPr>
        <w:t xml:space="preserve">por existir una vía judicial alterna </w:t>
      </w:r>
      <w:r w:rsidR="000D68B0" w:rsidRPr="00505262">
        <w:rPr>
          <w:rFonts w:asciiTheme="majorHAnsi" w:hAnsiTheme="majorHAnsi"/>
          <w:sz w:val="20"/>
          <w:szCs w:val="20"/>
          <w:lang w:val="es-ES"/>
        </w:rPr>
        <w:t>para tramitar la pretensión de la señora Monge</w:t>
      </w:r>
      <w:r w:rsidR="000D0DE2" w:rsidRPr="00505262">
        <w:rPr>
          <w:rFonts w:asciiTheme="majorHAnsi" w:hAnsiTheme="majorHAnsi"/>
          <w:sz w:val="20"/>
          <w:szCs w:val="20"/>
          <w:lang w:val="es-ES"/>
        </w:rPr>
        <w:t xml:space="preserve">. La decisión final del Tribunal Constitucional incluyó tanto los votos de </w:t>
      </w:r>
      <w:r w:rsidR="00434E93" w:rsidRPr="00505262">
        <w:rPr>
          <w:rFonts w:asciiTheme="majorHAnsi" w:hAnsiTheme="majorHAnsi"/>
          <w:sz w:val="20"/>
          <w:szCs w:val="20"/>
          <w:lang w:val="es-ES"/>
        </w:rPr>
        <w:t xml:space="preserve">los </w:t>
      </w:r>
      <w:r w:rsidR="000D0DE2" w:rsidRPr="00505262">
        <w:rPr>
          <w:rFonts w:asciiTheme="majorHAnsi" w:hAnsiTheme="majorHAnsi"/>
          <w:sz w:val="20"/>
          <w:szCs w:val="20"/>
          <w:lang w:val="es-ES"/>
        </w:rPr>
        <w:t>dos magistrados</w:t>
      </w:r>
      <w:r w:rsidR="000D68B0" w:rsidRPr="00505262">
        <w:rPr>
          <w:rFonts w:asciiTheme="majorHAnsi" w:hAnsiTheme="majorHAnsi"/>
          <w:sz w:val="20"/>
          <w:szCs w:val="20"/>
          <w:lang w:val="es-ES"/>
        </w:rPr>
        <w:t xml:space="preserve"> </w:t>
      </w:r>
      <w:r w:rsidR="000D0DE2" w:rsidRPr="00505262">
        <w:rPr>
          <w:rFonts w:asciiTheme="majorHAnsi" w:hAnsiTheme="majorHAnsi"/>
          <w:sz w:val="20"/>
          <w:szCs w:val="20"/>
          <w:lang w:val="es-ES"/>
        </w:rPr>
        <w:t xml:space="preserve">que consideraron improcedente la vía procesal del amparo, como los votos de </w:t>
      </w:r>
      <w:r w:rsidR="00434E93" w:rsidRPr="00505262">
        <w:rPr>
          <w:rFonts w:asciiTheme="majorHAnsi" w:hAnsiTheme="majorHAnsi"/>
          <w:sz w:val="20"/>
          <w:szCs w:val="20"/>
          <w:lang w:val="es-ES"/>
        </w:rPr>
        <w:t xml:space="preserve">los </w:t>
      </w:r>
      <w:r w:rsidR="000D0DE2" w:rsidRPr="00505262">
        <w:rPr>
          <w:rFonts w:asciiTheme="majorHAnsi" w:hAnsiTheme="majorHAnsi"/>
          <w:sz w:val="20"/>
          <w:szCs w:val="20"/>
          <w:lang w:val="es-ES"/>
        </w:rPr>
        <w:t xml:space="preserve">otros </w:t>
      </w:r>
      <w:r w:rsidR="00434E93" w:rsidRPr="00505262">
        <w:rPr>
          <w:rFonts w:asciiTheme="majorHAnsi" w:hAnsiTheme="majorHAnsi"/>
          <w:sz w:val="20"/>
          <w:szCs w:val="20"/>
          <w:lang w:val="es-ES"/>
        </w:rPr>
        <w:t xml:space="preserve">cuatro </w:t>
      </w:r>
      <w:r w:rsidR="000D0DE2" w:rsidRPr="00505262">
        <w:rPr>
          <w:rFonts w:asciiTheme="majorHAnsi" w:hAnsiTheme="majorHAnsi"/>
          <w:sz w:val="20"/>
          <w:szCs w:val="20"/>
          <w:lang w:val="es-ES"/>
        </w:rPr>
        <w:t>magistrados que sí lo consideraron procedente</w:t>
      </w:r>
      <w:r w:rsidR="00434E93" w:rsidRPr="00505262">
        <w:rPr>
          <w:rFonts w:asciiTheme="majorHAnsi" w:hAnsiTheme="majorHAnsi"/>
          <w:sz w:val="20"/>
          <w:szCs w:val="20"/>
          <w:lang w:val="es-ES"/>
        </w:rPr>
        <w:t xml:space="preserve"> y entraron a su estudio sustantivo, llegando </w:t>
      </w:r>
      <w:r w:rsidR="008C7221">
        <w:rPr>
          <w:rFonts w:asciiTheme="majorHAnsi" w:hAnsiTheme="majorHAnsi"/>
          <w:sz w:val="20"/>
          <w:szCs w:val="20"/>
          <w:lang w:val="es-ES"/>
        </w:rPr>
        <w:t xml:space="preserve">éstos </w:t>
      </w:r>
      <w:r w:rsidR="00434E93" w:rsidRPr="00505262">
        <w:rPr>
          <w:rFonts w:asciiTheme="majorHAnsi" w:hAnsiTheme="majorHAnsi"/>
          <w:sz w:val="20"/>
          <w:szCs w:val="20"/>
          <w:lang w:val="es-ES"/>
        </w:rPr>
        <w:t xml:space="preserve">a </w:t>
      </w:r>
      <w:r w:rsidR="008C7221">
        <w:rPr>
          <w:rFonts w:asciiTheme="majorHAnsi" w:hAnsiTheme="majorHAnsi"/>
          <w:sz w:val="20"/>
          <w:szCs w:val="20"/>
          <w:lang w:val="es-ES"/>
        </w:rPr>
        <w:t xml:space="preserve">distintas </w:t>
      </w:r>
      <w:r w:rsidR="00434E93" w:rsidRPr="00505262">
        <w:rPr>
          <w:rFonts w:asciiTheme="majorHAnsi" w:hAnsiTheme="majorHAnsi"/>
          <w:sz w:val="20"/>
          <w:szCs w:val="20"/>
          <w:lang w:val="es-ES"/>
        </w:rPr>
        <w:t xml:space="preserve">conclusiones sobre si era o no correcto </w:t>
      </w:r>
      <w:r w:rsidR="008C7221">
        <w:rPr>
          <w:rFonts w:asciiTheme="majorHAnsi" w:hAnsiTheme="majorHAnsi"/>
          <w:sz w:val="20"/>
          <w:szCs w:val="20"/>
          <w:lang w:val="es-ES"/>
        </w:rPr>
        <w:t xml:space="preserve">y jurídicamente procedente </w:t>
      </w:r>
      <w:r w:rsidR="00434E93" w:rsidRPr="00505262">
        <w:rPr>
          <w:rFonts w:asciiTheme="majorHAnsi" w:hAnsiTheme="majorHAnsi"/>
          <w:sz w:val="20"/>
          <w:szCs w:val="20"/>
          <w:lang w:val="es-ES"/>
        </w:rPr>
        <w:t>otorgar el amparo</w:t>
      </w:r>
      <w:r w:rsidR="000D0DE2" w:rsidRPr="00505262">
        <w:rPr>
          <w:rFonts w:asciiTheme="majorHAnsi" w:hAnsiTheme="majorHAnsi"/>
          <w:sz w:val="20"/>
          <w:szCs w:val="20"/>
          <w:lang w:val="es-ES"/>
        </w:rPr>
        <w:t xml:space="preserve">. </w:t>
      </w:r>
    </w:p>
    <w:p w14:paraId="1B659377" w14:textId="3D77FA9C" w:rsidR="00E82443" w:rsidRDefault="000C4BB9" w:rsidP="0089172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89172B">
        <w:rPr>
          <w:rFonts w:asciiTheme="majorHAnsi" w:hAnsiTheme="majorHAnsi"/>
          <w:sz w:val="20"/>
          <w:szCs w:val="20"/>
          <w:lang w:val="es-ES"/>
        </w:rPr>
        <w:t>6</w:t>
      </w:r>
      <w:r>
        <w:rPr>
          <w:rFonts w:asciiTheme="majorHAnsi" w:hAnsiTheme="majorHAnsi"/>
          <w:sz w:val="20"/>
          <w:szCs w:val="20"/>
          <w:lang w:val="es-ES"/>
        </w:rPr>
        <w:t xml:space="preserve">. </w:t>
      </w:r>
      <w:r w:rsidR="0089172B">
        <w:rPr>
          <w:rFonts w:asciiTheme="majorHAnsi" w:hAnsiTheme="majorHAnsi"/>
          <w:sz w:val="20"/>
          <w:szCs w:val="20"/>
          <w:lang w:val="es-ES"/>
        </w:rPr>
        <w:tab/>
      </w:r>
      <w:r w:rsidR="00E82443">
        <w:rPr>
          <w:rFonts w:asciiTheme="majorHAnsi" w:hAnsiTheme="majorHAnsi"/>
          <w:sz w:val="20"/>
          <w:szCs w:val="20"/>
          <w:lang w:val="es-ES"/>
        </w:rPr>
        <w:t xml:space="preserve">Es decir, en suma y desde una perspectiva </w:t>
      </w:r>
      <w:r w:rsidR="00E82443" w:rsidRPr="00E82443">
        <w:rPr>
          <w:rFonts w:asciiTheme="majorHAnsi" w:hAnsiTheme="majorHAnsi"/>
          <w:i/>
          <w:iCs/>
          <w:sz w:val="20"/>
          <w:szCs w:val="20"/>
          <w:lang w:val="es-ES"/>
        </w:rPr>
        <w:t>pro homine</w:t>
      </w:r>
      <w:r w:rsidR="00E82443">
        <w:rPr>
          <w:rFonts w:asciiTheme="majorHAnsi" w:hAnsiTheme="majorHAnsi"/>
          <w:sz w:val="20"/>
          <w:szCs w:val="20"/>
          <w:lang w:val="es-ES"/>
        </w:rPr>
        <w:t xml:space="preserve"> del procedimiento, la Comisión no observa un consenso claro entre los jueces nacionales con respecto a la improcedencia de la vía del amparo ejercida por la peticionaria. En este sentido, la Comisión reitera que </w:t>
      </w:r>
      <w:r w:rsidR="00E82443" w:rsidRPr="002A30EC">
        <w:rPr>
          <w:rFonts w:ascii="Cambria" w:hAnsi="Cambria" w:cs="Calibri"/>
          <w:sz w:val="20"/>
          <w:szCs w:val="20"/>
          <w:lang w:val="es-ES_tradnl"/>
        </w:rPr>
        <w:t xml:space="preserve">si la presunta víctima planteó la cuestión por alguna de las alternativas válidas y adecuadas según el ordenamiento jurídico interno y el Estado tuvo la </w:t>
      </w:r>
      <w:r w:rsidR="00E82443" w:rsidRPr="002A30EC">
        <w:rPr>
          <w:rFonts w:ascii="Cambria" w:hAnsi="Cambria" w:cs="Calibri"/>
          <w:sz w:val="20"/>
          <w:szCs w:val="20"/>
          <w:lang w:val="es-ES_tradnl"/>
        </w:rPr>
        <w:lastRenderedPageBreak/>
        <w:t>oportunidad de remediar la cuestión en su jurisdicción, la finalidad de la norma internacional está cumplida</w:t>
      </w:r>
      <w:r w:rsidR="00E82443" w:rsidRPr="002A30EC">
        <w:rPr>
          <w:rStyle w:val="FootnoteReference"/>
          <w:rFonts w:ascii="Cambria" w:hAnsi="Cambria" w:cs="Calibri"/>
          <w:sz w:val="20"/>
          <w:szCs w:val="20"/>
          <w:lang w:val="es-ES_tradnl"/>
        </w:rPr>
        <w:footnoteReference w:id="5"/>
      </w:r>
      <w:r w:rsidR="00E82443" w:rsidRPr="002A30EC">
        <w:rPr>
          <w:rFonts w:ascii="Cambria" w:hAnsi="Cambria" w:cs="Calibri"/>
          <w:sz w:val="20"/>
          <w:szCs w:val="20"/>
          <w:lang w:val="es-ES_tradnl"/>
        </w:rPr>
        <w:t>.</w:t>
      </w:r>
      <w:r w:rsidR="00E82443">
        <w:rPr>
          <w:rFonts w:ascii="Cambria" w:hAnsi="Cambria" w:cs="Calibri"/>
          <w:sz w:val="20"/>
          <w:szCs w:val="20"/>
          <w:lang w:val="es-ES_tradnl"/>
        </w:rPr>
        <w:t xml:space="preserve"> Por lo tanto se cumple con el requisito establecido en el artículo 46.1.a) de la Convención Americana.</w:t>
      </w:r>
    </w:p>
    <w:p w14:paraId="22951C26" w14:textId="13580DA7" w:rsidR="00BA05A3" w:rsidRPr="00505262" w:rsidRDefault="00505262" w:rsidP="0050526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8A30B1">
        <w:rPr>
          <w:rFonts w:asciiTheme="majorHAnsi" w:hAnsiTheme="majorHAnsi"/>
          <w:sz w:val="20"/>
          <w:szCs w:val="20"/>
          <w:lang w:val="es-ES"/>
        </w:rPr>
        <w:t>7</w:t>
      </w:r>
      <w:r>
        <w:rPr>
          <w:rFonts w:asciiTheme="majorHAnsi" w:hAnsiTheme="majorHAnsi"/>
          <w:sz w:val="20"/>
          <w:szCs w:val="20"/>
          <w:lang w:val="es-ES"/>
        </w:rPr>
        <w:t xml:space="preserve">. </w:t>
      </w:r>
      <w:r w:rsidR="00E82443">
        <w:rPr>
          <w:rFonts w:asciiTheme="majorHAnsi" w:hAnsiTheme="majorHAnsi"/>
          <w:sz w:val="20"/>
          <w:szCs w:val="20"/>
          <w:lang w:val="es-ES"/>
        </w:rPr>
        <w:tab/>
      </w:r>
      <w:r w:rsidR="00BA05A3" w:rsidRPr="00505262">
        <w:rPr>
          <w:rFonts w:asciiTheme="majorHAnsi" w:hAnsiTheme="majorHAnsi"/>
          <w:sz w:val="20"/>
          <w:szCs w:val="20"/>
          <w:lang w:val="es-ES"/>
        </w:rPr>
        <w:t>En</w:t>
      </w:r>
      <w:r w:rsidR="00434E93" w:rsidRPr="00505262">
        <w:rPr>
          <w:rFonts w:asciiTheme="majorHAnsi" w:hAnsiTheme="majorHAnsi"/>
          <w:sz w:val="20"/>
          <w:szCs w:val="20"/>
          <w:lang w:val="es-ES"/>
        </w:rPr>
        <w:t xml:space="preserve"> cuanto al plazo de presentación, se observa que la última decisión adoptada dentro del proceso constitucional de amparo fue la decisión de denegar el recurso de nulidad promovido por la señora Monge contra la decisión de llamar a un sexto magistrado a dirimir la discordancia entre los jueces votantes; dicha decisión se notificó el 22 de diciembre de 2011, y la petición fue recibida en la Secretaría Ejecutiva de la CIDH el 20 de junio de 2012, estando así dentro de los seis meses previstos en el </w:t>
      </w:r>
      <w:r w:rsidR="00E82443">
        <w:rPr>
          <w:rFonts w:asciiTheme="majorHAnsi" w:hAnsiTheme="majorHAnsi"/>
          <w:sz w:val="20"/>
          <w:szCs w:val="20"/>
          <w:lang w:val="es-ES"/>
        </w:rPr>
        <w:t>a</w:t>
      </w:r>
      <w:r w:rsidR="00434E93" w:rsidRPr="00505262">
        <w:rPr>
          <w:rFonts w:asciiTheme="majorHAnsi" w:hAnsiTheme="majorHAnsi"/>
          <w:sz w:val="20"/>
          <w:szCs w:val="20"/>
          <w:lang w:val="es-ES"/>
        </w:rPr>
        <w:t xml:space="preserve">rtículo 46.1.b) de la Convención Americana. </w:t>
      </w:r>
    </w:p>
    <w:p w14:paraId="5BEFB3A9" w14:textId="2B23E833" w:rsidR="003239B8" w:rsidRPr="00505262" w:rsidRDefault="003239B8" w:rsidP="003239B8">
      <w:pPr>
        <w:pStyle w:val="ListParagraph"/>
        <w:spacing w:before="240" w:after="240"/>
        <w:jc w:val="both"/>
        <w:rPr>
          <w:rFonts w:asciiTheme="majorHAnsi" w:hAnsiTheme="majorHAnsi"/>
          <w:b/>
          <w:bCs/>
          <w:sz w:val="20"/>
          <w:szCs w:val="20"/>
          <w:lang w:val="es-UY"/>
        </w:rPr>
      </w:pPr>
      <w:r w:rsidRPr="00505262">
        <w:rPr>
          <w:rFonts w:asciiTheme="majorHAnsi" w:hAnsiTheme="majorHAnsi"/>
          <w:b/>
          <w:bCs/>
          <w:sz w:val="20"/>
          <w:szCs w:val="20"/>
          <w:lang w:val="es-ES"/>
        </w:rPr>
        <w:t>VII.</w:t>
      </w:r>
      <w:r w:rsidRPr="00505262">
        <w:rPr>
          <w:rFonts w:asciiTheme="majorHAnsi" w:hAnsiTheme="majorHAnsi"/>
          <w:b/>
          <w:bCs/>
          <w:sz w:val="20"/>
          <w:szCs w:val="20"/>
          <w:lang w:val="es-ES"/>
        </w:rPr>
        <w:tab/>
      </w:r>
      <w:r w:rsidR="004A6A54" w:rsidRPr="00505262">
        <w:rPr>
          <w:rFonts w:asciiTheme="majorHAnsi" w:hAnsiTheme="majorHAnsi"/>
          <w:b/>
          <w:bCs/>
          <w:sz w:val="20"/>
          <w:szCs w:val="20"/>
          <w:lang w:val="es-ES_tradnl"/>
        </w:rPr>
        <w:t xml:space="preserve">ANÁLISIS DE </w:t>
      </w:r>
      <w:r w:rsidR="00C21FEF" w:rsidRPr="00505262">
        <w:rPr>
          <w:rFonts w:asciiTheme="majorHAnsi" w:hAnsiTheme="majorHAnsi"/>
          <w:b/>
          <w:bCs/>
          <w:sz w:val="20"/>
          <w:szCs w:val="20"/>
          <w:lang w:val="es-ES"/>
        </w:rPr>
        <w:t xml:space="preserve">CARACTERIZACIÓN </w:t>
      </w:r>
      <w:r w:rsidR="00C21FEF" w:rsidRPr="00505262">
        <w:rPr>
          <w:rFonts w:asciiTheme="majorHAnsi" w:hAnsiTheme="majorHAnsi"/>
          <w:b/>
          <w:bCs/>
          <w:sz w:val="20"/>
          <w:szCs w:val="20"/>
          <w:lang w:val="es-UY"/>
        </w:rPr>
        <w:t>DE LOS HECHOS ALEGADOS</w:t>
      </w:r>
    </w:p>
    <w:p w14:paraId="542C81CB" w14:textId="77777777" w:rsidR="00D77C50" w:rsidRPr="00405996" w:rsidRDefault="00505262" w:rsidP="00D77C50">
      <w:pPr>
        <w:spacing w:before="240" w:after="240"/>
        <w:ind w:firstLine="720"/>
        <w:jc w:val="both"/>
        <w:rPr>
          <w:rFonts w:asciiTheme="majorHAnsi" w:hAnsiTheme="majorHAnsi" w:cs="Calibri"/>
          <w:sz w:val="20"/>
          <w:szCs w:val="20"/>
          <w:lang w:val="es-ES"/>
        </w:rPr>
      </w:pPr>
      <w:r>
        <w:rPr>
          <w:rFonts w:asciiTheme="majorHAnsi" w:hAnsiTheme="majorHAnsi"/>
          <w:sz w:val="20"/>
          <w:szCs w:val="20"/>
          <w:lang w:val="es-ES"/>
        </w:rPr>
        <w:t>1</w:t>
      </w:r>
      <w:r w:rsidR="008A30B1">
        <w:rPr>
          <w:rFonts w:asciiTheme="majorHAnsi" w:hAnsiTheme="majorHAnsi"/>
          <w:sz w:val="20"/>
          <w:szCs w:val="20"/>
          <w:lang w:val="es-ES"/>
        </w:rPr>
        <w:t>8</w:t>
      </w:r>
      <w:r>
        <w:rPr>
          <w:rFonts w:asciiTheme="majorHAnsi" w:hAnsiTheme="majorHAnsi"/>
          <w:sz w:val="20"/>
          <w:szCs w:val="20"/>
          <w:lang w:val="es-ES"/>
        </w:rPr>
        <w:t xml:space="preserve">. </w:t>
      </w:r>
      <w:r w:rsidR="00E82443">
        <w:rPr>
          <w:rFonts w:asciiTheme="majorHAnsi" w:hAnsiTheme="majorHAnsi"/>
          <w:sz w:val="20"/>
          <w:szCs w:val="20"/>
          <w:lang w:val="es-ES"/>
        </w:rPr>
        <w:tab/>
      </w:r>
      <w:r w:rsidR="00434E93" w:rsidRPr="00505262">
        <w:rPr>
          <w:rFonts w:asciiTheme="majorHAnsi" w:hAnsiTheme="majorHAnsi"/>
          <w:sz w:val="20"/>
          <w:szCs w:val="20"/>
          <w:lang w:val="es-ES"/>
        </w:rPr>
        <w:t>E</w:t>
      </w:r>
      <w:r w:rsidR="00434E93" w:rsidRPr="00505262">
        <w:rPr>
          <w:rFonts w:asciiTheme="majorHAnsi" w:hAnsiTheme="majorHAnsi" w:cs="Calibri"/>
          <w:sz w:val="20"/>
          <w:szCs w:val="20"/>
          <w:lang w:val="es-ES"/>
        </w:rPr>
        <w:t xml:space="preserve">l criterio de evaluación de la fase de admisibilidad difiere del que se utiliza para pronunciarse sobre el fondo de una petición; en esta primera fase, la Comisión debe realizar una evaluación </w:t>
      </w:r>
      <w:r w:rsidR="00434E93" w:rsidRPr="00505262">
        <w:rPr>
          <w:rFonts w:asciiTheme="majorHAnsi" w:hAnsiTheme="majorHAnsi" w:cs="Calibri"/>
          <w:i/>
          <w:iCs/>
          <w:sz w:val="20"/>
          <w:szCs w:val="20"/>
          <w:lang w:val="es-ES"/>
        </w:rPr>
        <w:t>prima facie</w:t>
      </w:r>
      <w:r w:rsidR="00434E93" w:rsidRPr="00505262">
        <w:rPr>
          <w:rFonts w:asciiTheme="majorHAnsi" w:hAnsiTheme="majorHAnsi" w:cs="Calibr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w:t>
      </w:r>
      <w:r w:rsidR="00434E93" w:rsidRPr="00405996">
        <w:rPr>
          <w:rFonts w:asciiTheme="majorHAnsi" w:hAnsiTheme="majorHAnsi" w:cs="Calibri"/>
          <w:sz w:val="20"/>
          <w:szCs w:val="20"/>
          <w:lang w:val="es-ES"/>
        </w:rPr>
        <w:t>el fondo del asunto</w:t>
      </w:r>
      <w:r w:rsidR="00434E93" w:rsidRPr="00405996">
        <w:rPr>
          <w:rStyle w:val="FootnoteReference"/>
          <w:rFonts w:asciiTheme="majorHAnsi" w:hAnsiTheme="majorHAnsi" w:cs="Calibri"/>
          <w:sz w:val="20"/>
          <w:szCs w:val="20"/>
          <w:lang w:val="es-ES"/>
        </w:rPr>
        <w:footnoteReference w:id="6"/>
      </w:r>
      <w:r w:rsidR="00434E93" w:rsidRPr="00405996">
        <w:rPr>
          <w:rFonts w:asciiTheme="majorHAnsi" w:hAnsiTheme="majorHAnsi" w:cs="Calibri"/>
          <w:sz w:val="20"/>
          <w:szCs w:val="20"/>
          <w:lang w:val="es-ES"/>
        </w:rPr>
        <w:t xml:space="preserve">. </w:t>
      </w:r>
    </w:p>
    <w:p w14:paraId="689A8F91" w14:textId="3D4AFBC0" w:rsidR="00434E93" w:rsidRDefault="00D77C50" w:rsidP="00D77C50">
      <w:pPr>
        <w:spacing w:before="240" w:after="240"/>
        <w:ind w:firstLine="720"/>
        <w:jc w:val="both"/>
        <w:rPr>
          <w:rFonts w:asciiTheme="majorHAnsi" w:hAnsiTheme="majorHAnsi"/>
          <w:sz w:val="20"/>
          <w:szCs w:val="20"/>
          <w:lang w:val="es-ES"/>
        </w:rPr>
      </w:pPr>
      <w:r w:rsidRPr="00405996">
        <w:rPr>
          <w:rFonts w:asciiTheme="majorHAnsi" w:hAnsiTheme="majorHAnsi" w:cs="Calibri"/>
          <w:sz w:val="20"/>
          <w:szCs w:val="20"/>
          <w:lang w:val="es-ES"/>
        </w:rPr>
        <w:t>19.</w:t>
      </w:r>
      <w:r w:rsidRPr="00405996">
        <w:rPr>
          <w:rFonts w:asciiTheme="majorHAnsi" w:hAnsiTheme="majorHAnsi" w:cs="Calibri"/>
          <w:sz w:val="20"/>
          <w:szCs w:val="20"/>
          <w:lang w:val="es-ES"/>
        </w:rPr>
        <w:tab/>
      </w:r>
      <w:r w:rsidR="008A30B1" w:rsidRPr="00405996">
        <w:rPr>
          <w:rFonts w:asciiTheme="majorHAnsi" w:hAnsiTheme="majorHAnsi" w:cs="Calibri"/>
          <w:sz w:val="20"/>
          <w:szCs w:val="20"/>
          <w:lang w:val="es-ES"/>
        </w:rPr>
        <w:t xml:space="preserve">A la luz de </w:t>
      </w:r>
      <w:r w:rsidR="00434E93" w:rsidRPr="00405996">
        <w:rPr>
          <w:rFonts w:asciiTheme="majorHAnsi" w:hAnsiTheme="majorHAnsi" w:cs="Calibri"/>
          <w:sz w:val="20"/>
          <w:szCs w:val="20"/>
          <w:lang w:val="es-ES"/>
        </w:rPr>
        <w:t xml:space="preserve">este estándar de apreciación </w:t>
      </w:r>
      <w:r w:rsidR="00434E93" w:rsidRPr="00405996">
        <w:rPr>
          <w:rFonts w:asciiTheme="majorHAnsi" w:hAnsiTheme="majorHAnsi" w:cs="Calibri"/>
          <w:i/>
          <w:iCs/>
          <w:sz w:val="20"/>
          <w:szCs w:val="20"/>
          <w:lang w:val="es-ES"/>
        </w:rPr>
        <w:t>prima facie</w:t>
      </w:r>
      <w:r w:rsidR="00434E93" w:rsidRPr="00405996">
        <w:rPr>
          <w:rFonts w:asciiTheme="majorHAnsi" w:hAnsiTheme="majorHAnsi" w:cs="Calibri"/>
          <w:sz w:val="20"/>
          <w:szCs w:val="20"/>
          <w:lang w:val="es-ES"/>
        </w:rPr>
        <w:t xml:space="preserve">, la CIDH considera </w:t>
      </w:r>
      <w:r w:rsidR="008A30B1" w:rsidRPr="00405996">
        <w:rPr>
          <w:rFonts w:asciiTheme="majorHAnsi" w:hAnsiTheme="majorHAnsi" w:cs="Calibri"/>
          <w:sz w:val="20"/>
          <w:szCs w:val="20"/>
          <w:lang w:val="es-ES"/>
        </w:rPr>
        <w:t xml:space="preserve">con base en </w:t>
      </w:r>
      <w:r w:rsidR="00434E93" w:rsidRPr="00405996">
        <w:rPr>
          <w:rFonts w:asciiTheme="majorHAnsi" w:hAnsiTheme="majorHAnsi" w:cs="Calibri"/>
          <w:sz w:val="20"/>
          <w:szCs w:val="20"/>
          <w:lang w:val="es-ES"/>
        </w:rPr>
        <w:t xml:space="preserve">los reclamos de la peticionaria y </w:t>
      </w:r>
      <w:r w:rsidR="00505262" w:rsidRPr="00405996">
        <w:rPr>
          <w:rFonts w:asciiTheme="majorHAnsi" w:hAnsiTheme="majorHAnsi" w:cs="Calibri"/>
          <w:sz w:val="20"/>
          <w:szCs w:val="20"/>
          <w:lang w:val="es-ES"/>
        </w:rPr>
        <w:t xml:space="preserve">de </w:t>
      </w:r>
      <w:r w:rsidR="00434E93" w:rsidRPr="00405996">
        <w:rPr>
          <w:rFonts w:asciiTheme="majorHAnsi" w:hAnsiTheme="majorHAnsi" w:cs="Calibri"/>
          <w:sz w:val="20"/>
          <w:szCs w:val="20"/>
          <w:lang w:val="es-ES"/>
        </w:rPr>
        <w:t xml:space="preserve">los argumentos de fondo postulados por el Estado, </w:t>
      </w:r>
      <w:r w:rsidR="008A30B1" w:rsidRPr="00405996">
        <w:rPr>
          <w:rFonts w:asciiTheme="majorHAnsi" w:hAnsiTheme="majorHAnsi" w:cs="Calibri"/>
          <w:sz w:val="20"/>
          <w:szCs w:val="20"/>
          <w:lang w:val="es-ES"/>
        </w:rPr>
        <w:t xml:space="preserve">que </w:t>
      </w:r>
      <w:r w:rsidR="00434E93" w:rsidRPr="00405996">
        <w:rPr>
          <w:rFonts w:asciiTheme="majorHAnsi" w:hAnsiTheme="majorHAnsi" w:cs="Calibri"/>
          <w:sz w:val="20"/>
          <w:szCs w:val="20"/>
          <w:lang w:val="es-ES"/>
        </w:rPr>
        <w:t>por lo menos los siguientes problemas jurídicos atinentes a posibles violaciones de la Convención Americana han sido claramente caracterizados en la denuncia:</w:t>
      </w:r>
      <w:r w:rsidRPr="00405996">
        <w:rPr>
          <w:rFonts w:asciiTheme="majorHAnsi" w:hAnsiTheme="majorHAnsi" w:cs="Calibri"/>
          <w:sz w:val="20"/>
          <w:szCs w:val="20"/>
          <w:lang w:val="es-ES"/>
        </w:rPr>
        <w:t xml:space="preserve"> (a) la determinación del régimen jurídico </w:t>
      </w:r>
      <w:r w:rsidRPr="00405996">
        <w:rPr>
          <w:rFonts w:asciiTheme="majorHAnsi" w:hAnsiTheme="majorHAnsi"/>
          <w:sz w:val="20"/>
          <w:szCs w:val="20"/>
          <w:lang w:val="es-ES"/>
        </w:rPr>
        <w:t>que gobierna la decisión de terminación del vínculo laboral de la señora Monge con la Defensoría del Pueblo, y en consecuencia cuál es la naturaleza del procedimiento de determinación de la comisión de una falta grave y terminación del empleo que se le siguió, para efectos de la aplicación en el mismo de las garantías del debido proceso establecidas en la Convención Americana; y (b) si se respetaron en el contexto planteado los derechos de la Sra. Monge protegidos en la Convención Americana</w:t>
      </w:r>
      <w:r w:rsidR="00CC0E03" w:rsidRPr="00405996">
        <w:rPr>
          <w:rFonts w:asciiTheme="majorHAnsi" w:hAnsiTheme="majorHAnsi"/>
          <w:sz w:val="20"/>
          <w:szCs w:val="20"/>
          <w:lang w:val="es-ES"/>
        </w:rPr>
        <w:t>, por ejemplo, los derechos al debido proceso y a la presunción de inocencia</w:t>
      </w:r>
      <w:r w:rsidRPr="00405996">
        <w:rPr>
          <w:rFonts w:asciiTheme="majorHAnsi" w:hAnsiTheme="majorHAnsi"/>
          <w:sz w:val="20"/>
          <w:szCs w:val="20"/>
          <w:lang w:val="es-ES"/>
        </w:rPr>
        <w:t>.</w:t>
      </w:r>
      <w:r>
        <w:rPr>
          <w:rFonts w:asciiTheme="majorHAnsi" w:hAnsiTheme="majorHAnsi"/>
          <w:sz w:val="20"/>
          <w:szCs w:val="20"/>
          <w:lang w:val="es-ES"/>
        </w:rPr>
        <w:t xml:space="preserve"> </w:t>
      </w:r>
    </w:p>
    <w:p w14:paraId="79D0B46E" w14:textId="7797C655" w:rsidR="00505262" w:rsidRPr="00505262" w:rsidRDefault="00D77C50" w:rsidP="0050526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20</w:t>
      </w:r>
      <w:r w:rsidR="00505262">
        <w:rPr>
          <w:rFonts w:asciiTheme="majorHAnsi" w:hAnsiTheme="majorHAnsi"/>
          <w:sz w:val="20"/>
          <w:szCs w:val="20"/>
          <w:lang w:val="es-ES"/>
        </w:rPr>
        <w:t xml:space="preserve">. </w:t>
      </w:r>
      <w:r w:rsidR="00E82443">
        <w:rPr>
          <w:rFonts w:asciiTheme="majorHAnsi" w:hAnsiTheme="majorHAnsi"/>
          <w:sz w:val="20"/>
          <w:szCs w:val="20"/>
          <w:lang w:val="es-ES"/>
        </w:rPr>
        <w:tab/>
      </w:r>
      <w:r w:rsidR="00505262">
        <w:rPr>
          <w:rFonts w:asciiTheme="majorHAnsi" w:hAnsiTheme="majorHAnsi"/>
          <w:sz w:val="20"/>
          <w:szCs w:val="20"/>
          <w:lang w:val="es-ES"/>
        </w:rPr>
        <w:t xml:space="preserve">Adicionalmente, las distintas precisiones, correcciones y alegatos de tipo fáctico presentados por el Estado hacen que se haya trabado entre las partes una controversia probatoria que también habrá de ser resuelta en la etapa de fondo del presente procedimiento, pues su contenido y complejidad trascienden el ámbito propio de la fase de admisibilidad. </w:t>
      </w:r>
      <w:r w:rsidR="00E82443">
        <w:rPr>
          <w:rFonts w:asciiTheme="majorHAnsi" w:hAnsiTheme="majorHAnsi"/>
          <w:sz w:val="20"/>
          <w:szCs w:val="20"/>
          <w:lang w:val="es-ES"/>
        </w:rPr>
        <w:t>Tomando en cuenta además el carácter de defensora de derechos humanos de la presunta víctima al momento de los hechos</w:t>
      </w:r>
      <w:r w:rsidR="00664D4B">
        <w:rPr>
          <w:rFonts w:asciiTheme="majorHAnsi" w:hAnsiTheme="majorHAnsi"/>
          <w:sz w:val="20"/>
          <w:szCs w:val="20"/>
          <w:lang w:val="es-ES"/>
        </w:rPr>
        <w:t xml:space="preserve">. </w:t>
      </w:r>
    </w:p>
    <w:p w14:paraId="79DA38D1" w14:textId="6800CEE1" w:rsidR="00434E93" w:rsidRPr="00505262" w:rsidRDefault="008A30B1" w:rsidP="00E8244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w:t>
      </w:r>
      <w:r w:rsidR="00D77C50">
        <w:rPr>
          <w:rFonts w:asciiTheme="majorHAnsi" w:hAnsiTheme="majorHAnsi"/>
          <w:sz w:val="20"/>
          <w:szCs w:val="20"/>
          <w:lang w:val="es-ES"/>
        </w:rPr>
        <w:t>1</w:t>
      </w:r>
      <w:r w:rsidR="00505262">
        <w:rPr>
          <w:rFonts w:asciiTheme="majorHAnsi" w:hAnsiTheme="majorHAnsi"/>
          <w:sz w:val="20"/>
          <w:szCs w:val="20"/>
          <w:lang w:val="es-ES"/>
        </w:rPr>
        <w:t xml:space="preserve">. </w:t>
      </w:r>
      <w:r w:rsidR="00664D4B">
        <w:rPr>
          <w:rFonts w:asciiTheme="majorHAnsi" w:hAnsiTheme="majorHAnsi"/>
          <w:sz w:val="20"/>
          <w:szCs w:val="20"/>
          <w:lang w:val="es-ES"/>
        </w:rPr>
        <w:tab/>
      </w:r>
      <w:r w:rsidR="00505262" w:rsidRPr="00505262">
        <w:rPr>
          <w:rFonts w:asciiTheme="majorHAnsi" w:hAnsiTheme="majorHAnsi"/>
          <w:sz w:val="20"/>
          <w:szCs w:val="20"/>
          <w:lang w:val="es-ES"/>
        </w:rPr>
        <w:t>En atención a estas consideraciones, y tras examinar detenidamente los elementos de hecho y de derecho expuestos por las partes, la Comisión estima que las alegaciones de la parte peticionaria no resultan manifiestamente infundadas y requieren un estudio de fondo, pues los hechos alegados, de corroborarse, podrían caracterizar violaciones a los artículos 8 (garantías judiciales), 9 (principio de legalidad y de retroactividad) y 25 (protección judicial) de la Convención Americana, en conexión con su Artículo 1.1 (obligación de respetar los derechos)</w:t>
      </w:r>
      <w:r w:rsidR="00664D4B">
        <w:rPr>
          <w:rFonts w:asciiTheme="majorHAnsi" w:hAnsiTheme="majorHAnsi"/>
          <w:sz w:val="20"/>
          <w:szCs w:val="20"/>
          <w:lang w:val="es-ES"/>
        </w:rPr>
        <w:t xml:space="preserve">, en perjuicio de la Sra. Luz Gricelda </w:t>
      </w:r>
      <w:r w:rsidR="00CC0E03">
        <w:rPr>
          <w:rFonts w:asciiTheme="majorHAnsi" w:hAnsiTheme="majorHAnsi"/>
          <w:sz w:val="20"/>
          <w:szCs w:val="20"/>
          <w:lang w:val="es-ES"/>
        </w:rPr>
        <w:t>Monge</w:t>
      </w:r>
      <w:r w:rsidR="00664D4B">
        <w:rPr>
          <w:rFonts w:asciiTheme="majorHAnsi" w:hAnsiTheme="majorHAnsi"/>
          <w:sz w:val="20"/>
          <w:szCs w:val="20"/>
          <w:lang w:val="es-ES"/>
        </w:rPr>
        <w:t xml:space="preserve"> Talavera</w:t>
      </w:r>
      <w:r w:rsidR="00505262" w:rsidRPr="00505262">
        <w:rPr>
          <w:rFonts w:asciiTheme="majorHAnsi" w:hAnsiTheme="majorHAnsi"/>
          <w:sz w:val="20"/>
          <w:szCs w:val="20"/>
          <w:lang w:val="es-ES"/>
        </w:rPr>
        <w:t>.</w:t>
      </w:r>
    </w:p>
    <w:p w14:paraId="1EDF3A5D" w14:textId="77777777" w:rsidR="003239B8" w:rsidRPr="00505262" w:rsidRDefault="003239B8" w:rsidP="003239B8">
      <w:pPr>
        <w:pStyle w:val="ListParagraph"/>
        <w:spacing w:before="240" w:after="240"/>
        <w:jc w:val="both"/>
        <w:rPr>
          <w:rFonts w:asciiTheme="majorHAnsi" w:hAnsiTheme="majorHAnsi"/>
          <w:b/>
          <w:bCs/>
          <w:sz w:val="20"/>
          <w:szCs w:val="20"/>
          <w:lang w:val="es-ES"/>
        </w:rPr>
      </w:pPr>
      <w:r w:rsidRPr="00505262">
        <w:rPr>
          <w:rFonts w:asciiTheme="majorHAnsi" w:hAnsiTheme="majorHAnsi"/>
          <w:b/>
          <w:bCs/>
          <w:sz w:val="20"/>
          <w:szCs w:val="20"/>
          <w:lang w:val="es-ES"/>
        </w:rPr>
        <w:t xml:space="preserve">VIII. </w:t>
      </w:r>
      <w:r w:rsidRPr="00505262">
        <w:rPr>
          <w:rFonts w:asciiTheme="majorHAnsi" w:hAnsiTheme="majorHAnsi"/>
          <w:b/>
          <w:bCs/>
          <w:sz w:val="20"/>
          <w:szCs w:val="20"/>
          <w:lang w:val="es-ES"/>
        </w:rPr>
        <w:tab/>
        <w:t>DECISIÓN</w:t>
      </w:r>
    </w:p>
    <w:p w14:paraId="494A0BEA" w14:textId="1F47EAE2" w:rsidR="000419AD" w:rsidRPr="00505262"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05262">
        <w:rPr>
          <w:rFonts w:asciiTheme="majorHAnsi" w:hAnsiTheme="majorHAnsi"/>
          <w:sz w:val="20"/>
          <w:szCs w:val="20"/>
          <w:lang w:val="es-ES"/>
        </w:rPr>
        <w:t xml:space="preserve">Declarar admisible la presente petición en relación con </w:t>
      </w:r>
      <w:r w:rsidR="00505262" w:rsidRPr="00505262">
        <w:rPr>
          <w:rFonts w:asciiTheme="majorHAnsi" w:hAnsiTheme="majorHAnsi"/>
          <w:sz w:val="20"/>
          <w:szCs w:val="20"/>
          <w:lang w:val="es-ES"/>
        </w:rPr>
        <w:t xml:space="preserve">los artículos 8, 9 y 25 de la Convención Americana, en conexión con su </w:t>
      </w:r>
      <w:r w:rsidR="00EB119E">
        <w:rPr>
          <w:rFonts w:asciiTheme="majorHAnsi" w:hAnsiTheme="majorHAnsi"/>
          <w:sz w:val="20"/>
          <w:szCs w:val="20"/>
          <w:lang w:val="es-ES"/>
        </w:rPr>
        <w:t>a</w:t>
      </w:r>
      <w:r w:rsidR="00505262" w:rsidRPr="00505262">
        <w:rPr>
          <w:rFonts w:asciiTheme="majorHAnsi" w:hAnsiTheme="majorHAnsi"/>
          <w:sz w:val="20"/>
          <w:szCs w:val="20"/>
          <w:lang w:val="es-ES"/>
        </w:rPr>
        <w:t>rtículo 1.1</w:t>
      </w:r>
      <w:r w:rsidR="00A758AA" w:rsidRPr="00505262">
        <w:rPr>
          <w:rFonts w:asciiTheme="majorHAnsi" w:hAnsiTheme="majorHAnsi"/>
          <w:sz w:val="20"/>
          <w:szCs w:val="20"/>
          <w:lang w:val="es-ES"/>
        </w:rPr>
        <w:t>;</w:t>
      </w:r>
      <w:r w:rsidR="007B76D3" w:rsidRPr="00505262">
        <w:rPr>
          <w:rFonts w:asciiTheme="majorHAnsi" w:hAnsiTheme="majorHAnsi"/>
          <w:sz w:val="20"/>
          <w:szCs w:val="20"/>
          <w:lang w:val="es-ES"/>
        </w:rPr>
        <w:t xml:space="preserve"> y</w:t>
      </w:r>
    </w:p>
    <w:p w14:paraId="38B7E307" w14:textId="77777777" w:rsidR="008D768D" w:rsidRPr="00505262"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05262">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AF1A1EC" w14:textId="2533EC05" w:rsidR="00E92AAD" w:rsidRPr="00A37B82" w:rsidRDefault="00E92AAD" w:rsidP="00E92AAD">
      <w:pPr>
        <w:ind w:firstLine="720"/>
        <w:jc w:val="both"/>
        <w:rPr>
          <w:rFonts w:asciiTheme="majorHAnsi" w:hAnsiTheme="majorHAnsi" w:cs="Arial"/>
          <w:noProof/>
          <w:spacing w:val="-2"/>
          <w:sz w:val="20"/>
          <w:szCs w:val="20"/>
          <w:lang w:val="es-CL"/>
        </w:rPr>
      </w:pPr>
      <w:bookmarkStart w:id="2" w:name="_Hlk74671306"/>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2DDB22D" w14:textId="77777777" w:rsidR="00E92AAD" w:rsidRPr="00A37B82" w:rsidRDefault="00E92AAD" w:rsidP="00E92AAD">
      <w:pPr>
        <w:suppressAutoHyphens/>
        <w:ind w:firstLine="720"/>
        <w:jc w:val="both"/>
        <w:rPr>
          <w:rFonts w:asciiTheme="majorHAnsi" w:hAnsiTheme="majorHAnsi" w:cs="Arial"/>
          <w:noProof/>
          <w:spacing w:val="-2"/>
          <w:sz w:val="20"/>
          <w:szCs w:val="20"/>
          <w:lang w:val="es-CL"/>
        </w:rPr>
      </w:pPr>
    </w:p>
    <w:p w14:paraId="3C1D70B1" w14:textId="77777777" w:rsidR="00E92AAD" w:rsidRDefault="00E92AAD">
      <w:pPr>
        <w:rPr>
          <w:rFonts w:ascii="Cambria" w:hAnsi="Cambria" w:cs="Arial"/>
          <w:noProof/>
          <w:sz w:val="20"/>
          <w:szCs w:val="20"/>
          <w:lang w:val="es-CL"/>
        </w:rPr>
      </w:pPr>
      <w:r>
        <w:rPr>
          <w:rFonts w:ascii="Cambria" w:hAnsi="Cambria" w:cs="Arial"/>
          <w:noProof/>
          <w:sz w:val="20"/>
          <w:szCs w:val="20"/>
          <w:lang w:val="es-CL"/>
        </w:rPr>
        <w:br w:type="page"/>
      </w:r>
    </w:p>
    <w:p w14:paraId="7E094136" w14:textId="1E68F8CC" w:rsidR="00E92AAD" w:rsidRPr="00316A94" w:rsidRDefault="00E92AAD" w:rsidP="00E92AAD">
      <w:pPr>
        <w:ind w:firstLine="720"/>
        <w:jc w:val="both"/>
        <w:rPr>
          <w:rFonts w:ascii="Cambria" w:hAnsi="Cambria" w:cs="Arial"/>
          <w:noProof/>
          <w:sz w:val="20"/>
          <w:szCs w:val="20"/>
          <w:lang w:val="es-CL"/>
        </w:rPr>
      </w:pPr>
      <w:r w:rsidRPr="00316A94">
        <w:rPr>
          <w:rFonts w:ascii="Cambria" w:hAnsi="Cambria" w:cs="Arial"/>
          <w:noProof/>
          <w:sz w:val="20"/>
          <w:szCs w:val="20"/>
          <w:lang w:val="es-CL"/>
        </w:rPr>
        <w:lastRenderedPageBreak/>
        <w:t xml:space="preserve">La que suscribe, </w:t>
      </w:r>
      <w:r w:rsidRPr="00316A94">
        <w:rPr>
          <w:rFonts w:ascii="Cambria" w:hAnsi="Cambria"/>
          <w:spacing w:val="-2"/>
          <w:sz w:val="20"/>
          <w:szCs w:val="20"/>
          <w:lang w:val="es-SV"/>
        </w:rPr>
        <w:t>Marisol Blanchard</w:t>
      </w:r>
      <w:r w:rsidRPr="00316A94">
        <w:rPr>
          <w:rFonts w:ascii="Cambria" w:hAnsi="Cambria" w:cs="Arial"/>
          <w:noProof/>
          <w:sz w:val="20"/>
          <w:szCs w:val="20"/>
          <w:lang w:val="es-CL"/>
        </w:rPr>
        <w:t>, en su carácter de Secretaria Ejecutiva Adjunta de la Comisión Interamericana de Derechos Humanos, de conformidad con el artículo 49 del Reglamento de la Comisión, certifica que es copia fiel del original depositado en los archivos de la Secretaría de la CIDH.</w:t>
      </w:r>
    </w:p>
    <w:p w14:paraId="44179ECA" w14:textId="77777777" w:rsidR="00E92AAD" w:rsidRPr="00316A94" w:rsidRDefault="00E92AAD" w:rsidP="00E92AAD">
      <w:pPr>
        <w:ind w:left="720" w:hanging="720"/>
        <w:jc w:val="center"/>
        <w:rPr>
          <w:rFonts w:ascii="Calibri Light" w:hAnsi="Calibri Light" w:cs="Arial"/>
          <w:sz w:val="20"/>
          <w:szCs w:val="20"/>
          <w:lang w:val="es-SV"/>
        </w:rPr>
      </w:pPr>
      <w:r w:rsidRPr="00316A94">
        <w:rPr>
          <w:noProof/>
        </w:rPr>
        <w:drawing>
          <wp:inline distT="0" distB="0" distL="0" distR="0" wp14:anchorId="35A021FB" wp14:editId="5B4465DC">
            <wp:extent cx="1459230" cy="13944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9230" cy="1394460"/>
                    </a:xfrm>
                    <a:prstGeom prst="rect">
                      <a:avLst/>
                    </a:prstGeom>
                    <a:noFill/>
                    <a:ln>
                      <a:noFill/>
                    </a:ln>
                  </pic:spPr>
                </pic:pic>
              </a:graphicData>
            </a:graphic>
          </wp:inline>
        </w:drawing>
      </w:r>
    </w:p>
    <w:p w14:paraId="5933940E" w14:textId="77777777" w:rsidR="00E92AAD" w:rsidRPr="004F2386" w:rsidRDefault="00E92AAD" w:rsidP="00E92AAD">
      <w:pPr>
        <w:suppressAutoHyphens/>
        <w:jc w:val="center"/>
        <w:rPr>
          <w:rFonts w:ascii="Cambria" w:hAnsi="Cambria"/>
          <w:spacing w:val="-2"/>
          <w:sz w:val="20"/>
          <w:szCs w:val="20"/>
        </w:rPr>
      </w:pPr>
      <w:r w:rsidRPr="004F2386">
        <w:rPr>
          <w:rFonts w:ascii="Cambria" w:hAnsi="Cambria"/>
          <w:spacing w:val="-2"/>
          <w:sz w:val="20"/>
          <w:szCs w:val="20"/>
        </w:rPr>
        <w:t>Marisol Blanchard</w:t>
      </w:r>
    </w:p>
    <w:p w14:paraId="2AC3D3C6" w14:textId="77777777" w:rsidR="00E92AAD" w:rsidRPr="004F2386" w:rsidRDefault="00E92AAD" w:rsidP="00E92AAD">
      <w:pPr>
        <w:suppressAutoHyphens/>
        <w:jc w:val="center"/>
        <w:rPr>
          <w:rFonts w:ascii="Cambria" w:hAnsi="Cambria"/>
          <w:spacing w:val="-2"/>
          <w:sz w:val="20"/>
          <w:szCs w:val="20"/>
        </w:rPr>
      </w:pPr>
      <w:r w:rsidRPr="004F2386">
        <w:rPr>
          <w:rFonts w:ascii="Cambria" w:hAnsi="Cambria"/>
          <w:spacing w:val="-2"/>
          <w:sz w:val="20"/>
          <w:szCs w:val="20"/>
        </w:rPr>
        <w:t xml:space="preserve">Secretaria Ejecutiva </w:t>
      </w:r>
      <w:proofErr w:type="spellStart"/>
      <w:r w:rsidRPr="004F2386">
        <w:rPr>
          <w:rFonts w:ascii="Cambria" w:hAnsi="Cambria"/>
          <w:spacing w:val="-2"/>
          <w:sz w:val="20"/>
          <w:szCs w:val="20"/>
        </w:rPr>
        <w:t>Adjunta</w:t>
      </w:r>
      <w:proofErr w:type="spellEnd"/>
    </w:p>
    <w:bookmarkEnd w:id="2"/>
    <w:p w14:paraId="018D6747" w14:textId="3B00A750" w:rsidR="00722C9F" w:rsidRPr="00505262" w:rsidRDefault="00722C9F" w:rsidP="00BD0FF5">
      <w:pPr>
        <w:jc w:val="both"/>
        <w:rPr>
          <w:rFonts w:ascii="Cambria" w:hAnsi="Cambria" w:cs="Calibri"/>
          <w:sz w:val="18"/>
          <w:szCs w:val="18"/>
          <w:lang w:val="es-ES"/>
        </w:rPr>
      </w:pPr>
    </w:p>
    <w:sectPr w:rsidR="00722C9F" w:rsidRPr="0050526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1A3EF" w14:textId="77777777" w:rsidR="009C6055" w:rsidRDefault="009C6055">
      <w:r>
        <w:separator/>
      </w:r>
    </w:p>
  </w:endnote>
  <w:endnote w:type="continuationSeparator" w:id="0">
    <w:p w14:paraId="5DD6F297" w14:textId="77777777" w:rsidR="009C6055" w:rsidRDefault="009C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85E91" w14:textId="77777777" w:rsidR="00025060" w:rsidRDefault="000250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25060">
          <w:rPr>
            <w:noProof/>
            <w:sz w:val="16"/>
            <w:szCs w:val="22"/>
          </w:rPr>
          <w:t>3</w:t>
        </w:r>
        <w:r w:rsidRPr="00934A2C">
          <w:rPr>
            <w:noProof/>
            <w:sz w:val="16"/>
            <w:szCs w:val="22"/>
          </w:rPr>
          <w:fldChar w:fldCharType="end"/>
        </w:r>
      </w:p>
    </w:sdtContent>
  </w:sdt>
  <w:p w14:paraId="331FBE7F"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8BF70" w14:textId="77777777" w:rsidR="009C6055" w:rsidRPr="000F35ED" w:rsidRDefault="009C605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EF3CF3A" w14:textId="77777777" w:rsidR="009C6055" w:rsidRPr="000F35ED" w:rsidRDefault="009C6055" w:rsidP="000F35ED">
      <w:pPr>
        <w:rPr>
          <w:rFonts w:asciiTheme="majorHAnsi" w:hAnsiTheme="majorHAnsi"/>
          <w:sz w:val="16"/>
          <w:szCs w:val="16"/>
        </w:rPr>
      </w:pPr>
      <w:r w:rsidRPr="000F35ED">
        <w:rPr>
          <w:rFonts w:asciiTheme="majorHAnsi" w:hAnsiTheme="majorHAnsi"/>
          <w:sz w:val="16"/>
          <w:szCs w:val="16"/>
        </w:rPr>
        <w:separator/>
      </w:r>
    </w:p>
    <w:p w14:paraId="1A61E2A0" w14:textId="77777777" w:rsidR="009C6055" w:rsidRPr="000F35ED" w:rsidRDefault="009C605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6683C1D" w14:textId="77777777" w:rsidR="009C6055" w:rsidRPr="000F35ED" w:rsidRDefault="009C605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9CC610B" w14:textId="0A4AB17D" w:rsidR="004A6A54" w:rsidRPr="00306F33" w:rsidRDefault="004A6A54" w:rsidP="000802F6">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l</w:t>
      </w:r>
      <w:r w:rsidR="000802F6">
        <w:rPr>
          <w:rFonts w:asciiTheme="majorHAnsi" w:hAnsiTheme="majorHAnsi"/>
          <w:sz w:val="16"/>
          <w:szCs w:val="16"/>
          <w:lang w:val="es-ES"/>
        </w:rPr>
        <w:t>a</w:t>
      </w:r>
      <w:r w:rsidRPr="00306F33">
        <w:rPr>
          <w:rFonts w:asciiTheme="majorHAnsi" w:hAnsiTheme="majorHAnsi"/>
          <w:sz w:val="16"/>
          <w:szCs w:val="16"/>
          <w:lang w:val="es-ES"/>
        </w:rPr>
        <w:t xml:space="preserve"> Comisionad</w:t>
      </w:r>
      <w:r w:rsidR="000802F6">
        <w:rPr>
          <w:rFonts w:asciiTheme="majorHAnsi" w:hAnsiTheme="majorHAnsi"/>
          <w:sz w:val="16"/>
          <w:szCs w:val="16"/>
          <w:lang w:val="es-ES"/>
        </w:rPr>
        <w:t>a</w:t>
      </w:r>
      <w:r w:rsidRPr="00306F33">
        <w:rPr>
          <w:rFonts w:asciiTheme="majorHAnsi" w:hAnsiTheme="majorHAnsi"/>
          <w:sz w:val="16"/>
          <w:szCs w:val="16"/>
          <w:lang w:val="es-ES"/>
        </w:rPr>
        <w:t xml:space="preserve"> </w:t>
      </w:r>
      <w:r w:rsidR="000802F6">
        <w:rPr>
          <w:rFonts w:asciiTheme="majorHAnsi" w:hAnsiTheme="majorHAnsi"/>
          <w:sz w:val="16"/>
          <w:szCs w:val="16"/>
          <w:lang w:val="es-ES"/>
        </w:rPr>
        <w:t>Julissa Mantilla Falcón</w:t>
      </w:r>
      <w:r w:rsidRPr="00306F33">
        <w:rPr>
          <w:rFonts w:asciiTheme="majorHAnsi" w:hAnsiTheme="majorHAnsi"/>
          <w:sz w:val="16"/>
          <w:szCs w:val="16"/>
          <w:lang w:val="es-ES"/>
        </w:rPr>
        <w:t xml:space="preserve">, de nacionalidad </w:t>
      </w:r>
      <w:r w:rsidR="000802F6">
        <w:rPr>
          <w:rFonts w:asciiTheme="majorHAnsi" w:hAnsiTheme="majorHAnsi"/>
          <w:sz w:val="16"/>
          <w:szCs w:val="16"/>
          <w:lang w:val="es-ES"/>
        </w:rPr>
        <w:t>peruana</w:t>
      </w:r>
      <w:r w:rsidRPr="00306F33">
        <w:rPr>
          <w:rFonts w:asciiTheme="majorHAnsi" w:hAnsiTheme="majorHAnsi"/>
          <w:sz w:val="16"/>
          <w:szCs w:val="16"/>
          <w:lang w:val="es-ES"/>
        </w:rPr>
        <w:t>, no participó en el debate ni en la decisión del presente asunto.</w:t>
      </w:r>
    </w:p>
  </w:footnote>
  <w:footnote w:id="3">
    <w:p w14:paraId="2C80C562" w14:textId="0AADE48B" w:rsidR="006011E2" w:rsidRPr="006011E2" w:rsidRDefault="006011E2" w:rsidP="006011E2">
      <w:pPr>
        <w:pStyle w:val="FootnoteText"/>
        <w:ind w:firstLine="720"/>
        <w:rPr>
          <w:rFonts w:asciiTheme="majorHAnsi" w:hAnsiTheme="majorHAnsi"/>
          <w:sz w:val="16"/>
          <w:szCs w:val="16"/>
          <w:lang w:val="es-CO"/>
        </w:rPr>
      </w:pPr>
      <w:r w:rsidRPr="006011E2">
        <w:rPr>
          <w:rStyle w:val="FootnoteReference"/>
          <w:rFonts w:asciiTheme="majorHAnsi" w:hAnsiTheme="majorHAnsi"/>
          <w:sz w:val="16"/>
          <w:szCs w:val="16"/>
        </w:rPr>
        <w:footnoteRef/>
      </w:r>
      <w:r w:rsidRPr="006011E2">
        <w:rPr>
          <w:rFonts w:asciiTheme="majorHAnsi" w:hAnsiTheme="majorHAnsi"/>
          <w:sz w:val="16"/>
          <w:szCs w:val="16"/>
          <w:lang w:val="es-CO"/>
        </w:rPr>
        <w:t xml:space="preserve"> En adelante, “la Convención Americana” o “la Convención”.</w:t>
      </w:r>
    </w:p>
  </w:footnote>
  <w:footnote w:id="4">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0C3D77F3" w14:textId="77777777" w:rsidR="00E82443" w:rsidRPr="00F752CD" w:rsidRDefault="00E82443" w:rsidP="00E82443">
      <w:pPr>
        <w:pStyle w:val="FootnoteText"/>
        <w:jc w:val="both"/>
        <w:rPr>
          <w:rFonts w:ascii="Cambria" w:hAnsi="Cambria"/>
          <w:sz w:val="16"/>
          <w:szCs w:val="16"/>
          <w:lang w:val="es-ES"/>
        </w:rPr>
      </w:pPr>
      <w:r w:rsidRPr="00F752CD">
        <w:rPr>
          <w:rFonts w:ascii="Cambria" w:hAnsi="Cambria"/>
          <w:sz w:val="16"/>
          <w:szCs w:val="16"/>
          <w:lang w:val="es-ES"/>
        </w:rPr>
        <w:tab/>
      </w:r>
      <w:r w:rsidRPr="00F752CD">
        <w:rPr>
          <w:rStyle w:val="FootnoteReference"/>
          <w:rFonts w:ascii="Cambria" w:hAnsi="Cambria"/>
          <w:sz w:val="16"/>
          <w:szCs w:val="16"/>
        </w:rPr>
        <w:footnoteRef/>
      </w:r>
      <w:r w:rsidRPr="00F752CD">
        <w:rPr>
          <w:rFonts w:ascii="Cambria" w:hAnsi="Cambria"/>
          <w:sz w:val="16"/>
          <w:szCs w:val="16"/>
          <w:lang w:val="es-ES"/>
        </w:rPr>
        <w:t xml:space="preserve"> CIDH, Informe No. 16/18, Petición 884-07. Admisibilidad. Victoria Piedad Palacios Tejada de Saavedra. Perú. 24 de febrero de 2018, párr. 12.</w:t>
      </w:r>
    </w:p>
  </w:footnote>
  <w:footnote w:id="6">
    <w:p w14:paraId="3367B488" w14:textId="77777777" w:rsidR="00434E93" w:rsidRPr="000B43B8" w:rsidRDefault="00434E93" w:rsidP="00434E93">
      <w:pPr>
        <w:pStyle w:val="FootnoteText"/>
        <w:ind w:firstLine="720"/>
        <w:jc w:val="both"/>
        <w:rPr>
          <w:rFonts w:asciiTheme="majorHAnsi" w:hAnsiTheme="majorHAnsi"/>
          <w:sz w:val="16"/>
          <w:szCs w:val="16"/>
          <w:lang w:val="es-U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w:t>
      </w:r>
      <w:r w:rsidRPr="00F94050">
        <w:rPr>
          <w:rFonts w:asciiTheme="majorHAnsi" w:hAnsiTheme="majorHAnsi"/>
          <w:sz w:val="16"/>
          <w:szCs w:val="16"/>
          <w:lang w:val="es-ES_tradnl"/>
        </w:rPr>
        <w:t xml:space="preserve"> Petición 681-00. Admisibilidad. Guillermo Patricio Lynn. Argentina. 16 de octubre de 2008, párr. </w:t>
      </w:r>
      <w:r w:rsidRPr="000B43B8">
        <w:rPr>
          <w:rFonts w:asciiTheme="majorHAnsi" w:hAnsiTheme="majorHAnsi"/>
          <w:sz w:val="16"/>
          <w:szCs w:val="16"/>
          <w:lang w:val="es-US"/>
        </w:rPr>
        <w:t>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9C6055"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C3E31" w14:textId="77777777" w:rsidR="00025060" w:rsidRDefault="000250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5060"/>
    <w:rsid w:val="000337EF"/>
    <w:rsid w:val="00040C3A"/>
    <w:rsid w:val="000419AD"/>
    <w:rsid w:val="000433C9"/>
    <w:rsid w:val="00043AD6"/>
    <w:rsid w:val="00071174"/>
    <w:rsid w:val="000716C5"/>
    <w:rsid w:val="00075E23"/>
    <w:rsid w:val="000802F6"/>
    <w:rsid w:val="0009344A"/>
    <w:rsid w:val="000A392E"/>
    <w:rsid w:val="000A575F"/>
    <w:rsid w:val="000C4BB9"/>
    <w:rsid w:val="000D05CB"/>
    <w:rsid w:val="000D0DE2"/>
    <w:rsid w:val="000D10DB"/>
    <w:rsid w:val="000D68B0"/>
    <w:rsid w:val="000E34E6"/>
    <w:rsid w:val="000E5EB5"/>
    <w:rsid w:val="000F35ED"/>
    <w:rsid w:val="00107131"/>
    <w:rsid w:val="0010736F"/>
    <w:rsid w:val="00113F73"/>
    <w:rsid w:val="00121CC2"/>
    <w:rsid w:val="00123DCA"/>
    <w:rsid w:val="00131425"/>
    <w:rsid w:val="00133EE5"/>
    <w:rsid w:val="00167A34"/>
    <w:rsid w:val="001703AD"/>
    <w:rsid w:val="001A520D"/>
    <w:rsid w:val="001A7870"/>
    <w:rsid w:val="001B3A00"/>
    <w:rsid w:val="001C1B41"/>
    <w:rsid w:val="001D65EF"/>
    <w:rsid w:val="001E49E7"/>
    <w:rsid w:val="001F7201"/>
    <w:rsid w:val="00223A29"/>
    <w:rsid w:val="002250A3"/>
    <w:rsid w:val="00235217"/>
    <w:rsid w:val="00246D1F"/>
    <w:rsid w:val="00247403"/>
    <w:rsid w:val="00247542"/>
    <w:rsid w:val="00266B61"/>
    <w:rsid w:val="0026712A"/>
    <w:rsid w:val="002704DB"/>
    <w:rsid w:val="00273C1E"/>
    <w:rsid w:val="00276C19"/>
    <w:rsid w:val="00285DF7"/>
    <w:rsid w:val="00292720"/>
    <w:rsid w:val="002A0AAE"/>
    <w:rsid w:val="002A4880"/>
    <w:rsid w:val="002A5820"/>
    <w:rsid w:val="002C1ABF"/>
    <w:rsid w:val="002C1C06"/>
    <w:rsid w:val="002C4D64"/>
    <w:rsid w:val="002D2B26"/>
    <w:rsid w:val="002D7EA2"/>
    <w:rsid w:val="002E187C"/>
    <w:rsid w:val="002E22CE"/>
    <w:rsid w:val="00300E1A"/>
    <w:rsid w:val="00302733"/>
    <w:rsid w:val="00305835"/>
    <w:rsid w:val="00306F33"/>
    <w:rsid w:val="00314078"/>
    <w:rsid w:val="0031535D"/>
    <w:rsid w:val="00316A3D"/>
    <w:rsid w:val="00317E5E"/>
    <w:rsid w:val="003239B8"/>
    <w:rsid w:val="0033169F"/>
    <w:rsid w:val="00344977"/>
    <w:rsid w:val="00346C95"/>
    <w:rsid w:val="00356185"/>
    <w:rsid w:val="00360380"/>
    <w:rsid w:val="00365C21"/>
    <w:rsid w:val="0037519E"/>
    <w:rsid w:val="00386CF0"/>
    <w:rsid w:val="003B70FB"/>
    <w:rsid w:val="003C676B"/>
    <w:rsid w:val="003D3BC2"/>
    <w:rsid w:val="003E6CA1"/>
    <w:rsid w:val="003F5154"/>
    <w:rsid w:val="00405996"/>
    <w:rsid w:val="00405F9C"/>
    <w:rsid w:val="004065A8"/>
    <w:rsid w:val="004165C2"/>
    <w:rsid w:val="00417AD6"/>
    <w:rsid w:val="00434E93"/>
    <w:rsid w:val="00441ECB"/>
    <w:rsid w:val="00445193"/>
    <w:rsid w:val="004625B0"/>
    <w:rsid w:val="00462C1B"/>
    <w:rsid w:val="00467B7E"/>
    <w:rsid w:val="00473BB4"/>
    <w:rsid w:val="00477592"/>
    <w:rsid w:val="00485E30"/>
    <w:rsid w:val="00486F1C"/>
    <w:rsid w:val="0049419D"/>
    <w:rsid w:val="004A6A54"/>
    <w:rsid w:val="004B421C"/>
    <w:rsid w:val="004C20D2"/>
    <w:rsid w:val="004C2312"/>
    <w:rsid w:val="004C4B62"/>
    <w:rsid w:val="004C54C9"/>
    <w:rsid w:val="004D4ABA"/>
    <w:rsid w:val="004D6025"/>
    <w:rsid w:val="004E2649"/>
    <w:rsid w:val="004F626F"/>
    <w:rsid w:val="00500A4D"/>
    <w:rsid w:val="00501399"/>
    <w:rsid w:val="005047ED"/>
    <w:rsid w:val="00505262"/>
    <w:rsid w:val="0050633D"/>
    <w:rsid w:val="00507BC4"/>
    <w:rsid w:val="005128E4"/>
    <w:rsid w:val="005133DB"/>
    <w:rsid w:val="00514504"/>
    <w:rsid w:val="00521E1F"/>
    <w:rsid w:val="00525560"/>
    <w:rsid w:val="00544C49"/>
    <w:rsid w:val="005516A1"/>
    <w:rsid w:val="005559EF"/>
    <w:rsid w:val="00563557"/>
    <w:rsid w:val="0057402A"/>
    <w:rsid w:val="005771D0"/>
    <w:rsid w:val="005833BC"/>
    <w:rsid w:val="0059191A"/>
    <w:rsid w:val="005921FF"/>
    <w:rsid w:val="005A24ED"/>
    <w:rsid w:val="005A6D0E"/>
    <w:rsid w:val="005B52B0"/>
    <w:rsid w:val="005B6806"/>
    <w:rsid w:val="005C4225"/>
    <w:rsid w:val="005F0DAD"/>
    <w:rsid w:val="005F0F33"/>
    <w:rsid w:val="00600DEB"/>
    <w:rsid w:val="006011E2"/>
    <w:rsid w:val="00627C9F"/>
    <w:rsid w:val="006311E9"/>
    <w:rsid w:val="00632354"/>
    <w:rsid w:val="00635421"/>
    <w:rsid w:val="00642810"/>
    <w:rsid w:val="00652333"/>
    <w:rsid w:val="00660DD7"/>
    <w:rsid w:val="00661084"/>
    <w:rsid w:val="00664D4B"/>
    <w:rsid w:val="0068009E"/>
    <w:rsid w:val="00692219"/>
    <w:rsid w:val="006A17D2"/>
    <w:rsid w:val="006A73E6"/>
    <w:rsid w:val="006B2D5C"/>
    <w:rsid w:val="006C0ECF"/>
    <w:rsid w:val="006C4EB1"/>
    <w:rsid w:val="006C7113"/>
    <w:rsid w:val="006E0166"/>
    <w:rsid w:val="006E2FFB"/>
    <w:rsid w:val="006E7B34"/>
    <w:rsid w:val="0070697F"/>
    <w:rsid w:val="007103C4"/>
    <w:rsid w:val="00710C90"/>
    <w:rsid w:val="0072199C"/>
    <w:rsid w:val="00722C9F"/>
    <w:rsid w:val="007253B8"/>
    <w:rsid w:val="0073741F"/>
    <w:rsid w:val="0076643F"/>
    <w:rsid w:val="00777F63"/>
    <w:rsid w:val="00780F77"/>
    <w:rsid w:val="007A5817"/>
    <w:rsid w:val="007B05C4"/>
    <w:rsid w:val="007B4690"/>
    <w:rsid w:val="007B60E9"/>
    <w:rsid w:val="007B6CC3"/>
    <w:rsid w:val="007B76D3"/>
    <w:rsid w:val="007C3334"/>
    <w:rsid w:val="007D2B98"/>
    <w:rsid w:val="007E21BC"/>
    <w:rsid w:val="007E7C82"/>
    <w:rsid w:val="007F2AA1"/>
    <w:rsid w:val="007F588D"/>
    <w:rsid w:val="00803F1C"/>
    <w:rsid w:val="0080600E"/>
    <w:rsid w:val="00814688"/>
    <w:rsid w:val="00817612"/>
    <w:rsid w:val="00821F15"/>
    <w:rsid w:val="008338A4"/>
    <w:rsid w:val="00834D49"/>
    <w:rsid w:val="00837C45"/>
    <w:rsid w:val="00844730"/>
    <w:rsid w:val="008457C2"/>
    <w:rsid w:val="00847944"/>
    <w:rsid w:val="00857A82"/>
    <w:rsid w:val="0086329A"/>
    <w:rsid w:val="00873836"/>
    <w:rsid w:val="00885737"/>
    <w:rsid w:val="00890650"/>
    <w:rsid w:val="0089172B"/>
    <w:rsid w:val="008944DC"/>
    <w:rsid w:val="00897E12"/>
    <w:rsid w:val="008A30B1"/>
    <w:rsid w:val="008A7E0F"/>
    <w:rsid w:val="008B12F5"/>
    <w:rsid w:val="008C5E2D"/>
    <w:rsid w:val="008C7221"/>
    <w:rsid w:val="008D768D"/>
    <w:rsid w:val="008E3759"/>
    <w:rsid w:val="008E3BFE"/>
    <w:rsid w:val="008F1912"/>
    <w:rsid w:val="0090270B"/>
    <w:rsid w:val="009041DC"/>
    <w:rsid w:val="00917B5A"/>
    <w:rsid w:val="00920A58"/>
    <w:rsid w:val="00920A8C"/>
    <w:rsid w:val="00934A2C"/>
    <w:rsid w:val="0096706E"/>
    <w:rsid w:val="00974491"/>
    <w:rsid w:val="00975C4E"/>
    <w:rsid w:val="00981FBA"/>
    <w:rsid w:val="00993246"/>
    <w:rsid w:val="00997BC5"/>
    <w:rsid w:val="009A4F41"/>
    <w:rsid w:val="009B381B"/>
    <w:rsid w:val="009C6055"/>
    <w:rsid w:val="009D1753"/>
    <w:rsid w:val="009D7611"/>
    <w:rsid w:val="009E0B61"/>
    <w:rsid w:val="009E52F1"/>
    <w:rsid w:val="009E53DE"/>
    <w:rsid w:val="009F108D"/>
    <w:rsid w:val="009F2CBA"/>
    <w:rsid w:val="00A11212"/>
    <w:rsid w:val="00A11E44"/>
    <w:rsid w:val="00A11EB3"/>
    <w:rsid w:val="00A30100"/>
    <w:rsid w:val="00A328B3"/>
    <w:rsid w:val="00A50FCF"/>
    <w:rsid w:val="00A528D1"/>
    <w:rsid w:val="00A610CD"/>
    <w:rsid w:val="00A71BCF"/>
    <w:rsid w:val="00A758AA"/>
    <w:rsid w:val="00AA09A2"/>
    <w:rsid w:val="00AA7996"/>
    <w:rsid w:val="00AB2293"/>
    <w:rsid w:val="00AC19CB"/>
    <w:rsid w:val="00AD265D"/>
    <w:rsid w:val="00AD789A"/>
    <w:rsid w:val="00AE5488"/>
    <w:rsid w:val="00AE6F91"/>
    <w:rsid w:val="00AF5571"/>
    <w:rsid w:val="00B07341"/>
    <w:rsid w:val="00B30539"/>
    <w:rsid w:val="00B314DB"/>
    <w:rsid w:val="00B361F2"/>
    <w:rsid w:val="00B3718B"/>
    <w:rsid w:val="00B3745F"/>
    <w:rsid w:val="00B4632A"/>
    <w:rsid w:val="00B530F1"/>
    <w:rsid w:val="00B724C8"/>
    <w:rsid w:val="00B93D7F"/>
    <w:rsid w:val="00B96E4D"/>
    <w:rsid w:val="00BA05A3"/>
    <w:rsid w:val="00BA276C"/>
    <w:rsid w:val="00BB019D"/>
    <w:rsid w:val="00BB306F"/>
    <w:rsid w:val="00BD0FF5"/>
    <w:rsid w:val="00BD2893"/>
    <w:rsid w:val="00BD4B89"/>
    <w:rsid w:val="00BD5922"/>
    <w:rsid w:val="00BF02CB"/>
    <w:rsid w:val="00BF6FD8"/>
    <w:rsid w:val="00C03680"/>
    <w:rsid w:val="00C054DF"/>
    <w:rsid w:val="00C1683F"/>
    <w:rsid w:val="00C21762"/>
    <w:rsid w:val="00C21FEF"/>
    <w:rsid w:val="00C23BA4"/>
    <w:rsid w:val="00C24468"/>
    <w:rsid w:val="00C24543"/>
    <w:rsid w:val="00C256A2"/>
    <w:rsid w:val="00C25ADB"/>
    <w:rsid w:val="00C51515"/>
    <w:rsid w:val="00C5660B"/>
    <w:rsid w:val="00C66B72"/>
    <w:rsid w:val="00C87AC4"/>
    <w:rsid w:val="00C9567A"/>
    <w:rsid w:val="00CB212D"/>
    <w:rsid w:val="00CB2660"/>
    <w:rsid w:val="00CC0E03"/>
    <w:rsid w:val="00CC5E90"/>
    <w:rsid w:val="00CD046C"/>
    <w:rsid w:val="00CE076C"/>
    <w:rsid w:val="00CE5199"/>
    <w:rsid w:val="00CE5CD2"/>
    <w:rsid w:val="00CE66D5"/>
    <w:rsid w:val="00CF637A"/>
    <w:rsid w:val="00CF66BF"/>
    <w:rsid w:val="00D059DE"/>
    <w:rsid w:val="00D05ABD"/>
    <w:rsid w:val="00D13FCE"/>
    <w:rsid w:val="00D306D1"/>
    <w:rsid w:val="00D30800"/>
    <w:rsid w:val="00D34786"/>
    <w:rsid w:val="00D37BFC"/>
    <w:rsid w:val="00D47A8E"/>
    <w:rsid w:val="00D52D14"/>
    <w:rsid w:val="00D712D3"/>
    <w:rsid w:val="00D71422"/>
    <w:rsid w:val="00D72DC6"/>
    <w:rsid w:val="00D7558D"/>
    <w:rsid w:val="00D77C50"/>
    <w:rsid w:val="00D81D92"/>
    <w:rsid w:val="00D867AC"/>
    <w:rsid w:val="00D876F9"/>
    <w:rsid w:val="00DA7B5F"/>
    <w:rsid w:val="00DC041A"/>
    <w:rsid w:val="00DC11E7"/>
    <w:rsid w:val="00DC24E3"/>
    <w:rsid w:val="00DC7023"/>
    <w:rsid w:val="00DC769A"/>
    <w:rsid w:val="00DD281B"/>
    <w:rsid w:val="00DD3D86"/>
    <w:rsid w:val="00DD4AD2"/>
    <w:rsid w:val="00DE2862"/>
    <w:rsid w:val="00DF1EC4"/>
    <w:rsid w:val="00E0340B"/>
    <w:rsid w:val="00E04A90"/>
    <w:rsid w:val="00E0551F"/>
    <w:rsid w:val="00E219C7"/>
    <w:rsid w:val="00E4118C"/>
    <w:rsid w:val="00E43157"/>
    <w:rsid w:val="00E461CE"/>
    <w:rsid w:val="00E573E4"/>
    <w:rsid w:val="00E63541"/>
    <w:rsid w:val="00E64C3D"/>
    <w:rsid w:val="00E708B6"/>
    <w:rsid w:val="00E720CA"/>
    <w:rsid w:val="00E82443"/>
    <w:rsid w:val="00E84EB5"/>
    <w:rsid w:val="00E85662"/>
    <w:rsid w:val="00E8789F"/>
    <w:rsid w:val="00E92AAD"/>
    <w:rsid w:val="00E97B71"/>
    <w:rsid w:val="00EA3D34"/>
    <w:rsid w:val="00EB119E"/>
    <w:rsid w:val="00EB454D"/>
    <w:rsid w:val="00ED549D"/>
    <w:rsid w:val="00ED5E10"/>
    <w:rsid w:val="00ED76BE"/>
    <w:rsid w:val="00EE00E9"/>
    <w:rsid w:val="00EF1AAA"/>
    <w:rsid w:val="00EF619B"/>
    <w:rsid w:val="00F00B55"/>
    <w:rsid w:val="00F02AD1"/>
    <w:rsid w:val="00F253CC"/>
    <w:rsid w:val="00F37106"/>
    <w:rsid w:val="00F417F0"/>
    <w:rsid w:val="00F44E25"/>
    <w:rsid w:val="00F519CF"/>
    <w:rsid w:val="00F56BA5"/>
    <w:rsid w:val="00F60E22"/>
    <w:rsid w:val="00F7542E"/>
    <w:rsid w:val="00F81395"/>
    <w:rsid w:val="00F81BB8"/>
    <w:rsid w:val="00F90C64"/>
    <w:rsid w:val="00F917D1"/>
    <w:rsid w:val="00F9653B"/>
    <w:rsid w:val="00FA62FE"/>
    <w:rsid w:val="00FB62CF"/>
    <w:rsid w:val="00FD1389"/>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434E9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365C21"/>
    <w:rPr>
      <w:sz w:val="16"/>
      <w:szCs w:val="16"/>
    </w:rPr>
  </w:style>
  <w:style w:type="paragraph" w:styleId="CommentText">
    <w:name w:val="annotation text"/>
    <w:basedOn w:val="Normal"/>
    <w:link w:val="CommentTextChar"/>
    <w:uiPriority w:val="99"/>
    <w:semiHidden/>
    <w:unhideWhenUsed/>
    <w:rsid w:val="00365C21"/>
    <w:rPr>
      <w:sz w:val="20"/>
      <w:szCs w:val="20"/>
    </w:rPr>
  </w:style>
  <w:style w:type="character" w:customStyle="1" w:styleId="CommentTextChar">
    <w:name w:val="Comment Text Char"/>
    <w:basedOn w:val="DefaultParagraphFont"/>
    <w:link w:val="CommentText"/>
    <w:uiPriority w:val="99"/>
    <w:semiHidden/>
    <w:rsid w:val="00365C21"/>
    <w:rPr>
      <w:lang w:val="en-US" w:eastAsia="en-US"/>
    </w:rPr>
  </w:style>
  <w:style w:type="paragraph" w:styleId="CommentSubject">
    <w:name w:val="annotation subject"/>
    <w:basedOn w:val="CommentText"/>
    <w:next w:val="CommentText"/>
    <w:link w:val="CommentSubjectChar"/>
    <w:uiPriority w:val="99"/>
    <w:semiHidden/>
    <w:unhideWhenUsed/>
    <w:rsid w:val="00365C21"/>
    <w:rPr>
      <w:b/>
      <w:bCs/>
    </w:rPr>
  </w:style>
  <w:style w:type="character" w:customStyle="1" w:styleId="CommentSubjectChar">
    <w:name w:val="Comment Subject Char"/>
    <w:basedOn w:val="CommentTextChar"/>
    <w:link w:val="CommentSubject"/>
    <w:uiPriority w:val="99"/>
    <w:semiHidden/>
    <w:rsid w:val="00365C2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73BAF"/>
    <w:rsid w:val="00200821"/>
    <w:rsid w:val="0025245B"/>
    <w:rsid w:val="002529DA"/>
    <w:rsid w:val="002A3923"/>
    <w:rsid w:val="00394049"/>
    <w:rsid w:val="003B0C71"/>
    <w:rsid w:val="004B5BBB"/>
    <w:rsid w:val="004F2DF8"/>
    <w:rsid w:val="00517E2A"/>
    <w:rsid w:val="005560E5"/>
    <w:rsid w:val="006541FE"/>
    <w:rsid w:val="006F24A1"/>
    <w:rsid w:val="006F7379"/>
    <w:rsid w:val="00794422"/>
    <w:rsid w:val="008E4335"/>
    <w:rsid w:val="009A261B"/>
    <w:rsid w:val="00AA2E17"/>
    <w:rsid w:val="00AC15A4"/>
    <w:rsid w:val="00B0336C"/>
    <w:rsid w:val="00B805A7"/>
    <w:rsid w:val="00B82626"/>
    <w:rsid w:val="00C952C5"/>
    <w:rsid w:val="00CF7DDA"/>
    <w:rsid w:val="00D241E9"/>
    <w:rsid w:val="00D7750D"/>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5B16D-17F3-4526-825B-58E66991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4230</Words>
  <Characters>22336</Characters>
  <Application>Microsoft Office Word</Application>
  <DocSecurity>0</DocSecurity>
  <Lines>455</Lines>
  <Paragraphs>113</Paragraphs>
  <ScaleCrop>false</ScaleCrop>
  <Company/>
  <LinksUpToDate>false</LinksUpToDate>
  <CharactersWithSpaces>26453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127/21</dc:title>
  <dc:creator/>
  <cp:lastModifiedBy/>
  <cp:revision>1</cp:revision>
  <dcterms:created xsi:type="dcterms:W3CDTF">2021-06-28T13:32:00Z</dcterms:created>
  <dcterms:modified xsi:type="dcterms:W3CDTF">2021-06-28T13:32:00Z</dcterms:modified>
</cp:coreProperties>
</file>