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9C7FF2">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6F65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9C7FF2">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9C7FF2">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9C7FF2">
      <w:pPr>
        <w:tabs>
          <w:tab w:val="center" w:pos="5400"/>
        </w:tabs>
        <w:suppressAutoHyphens/>
        <w:rPr>
          <w:rFonts w:asciiTheme="majorHAnsi" w:hAnsiTheme="majorHAnsi"/>
          <w:sz w:val="22"/>
          <w:szCs w:val="22"/>
          <w:lang w:val="es-ES"/>
        </w:rPr>
      </w:pPr>
    </w:p>
    <w:p w14:paraId="12A36B24" w14:textId="77777777" w:rsidR="005128E4" w:rsidRPr="00006B74" w:rsidRDefault="005128E4" w:rsidP="009C7FF2">
      <w:pPr>
        <w:tabs>
          <w:tab w:val="center" w:pos="5400"/>
        </w:tabs>
        <w:suppressAutoHyphens/>
        <w:rPr>
          <w:rFonts w:asciiTheme="majorHAnsi" w:hAnsiTheme="majorHAnsi"/>
          <w:sz w:val="22"/>
          <w:szCs w:val="22"/>
          <w:lang w:val="es-ES"/>
        </w:rPr>
      </w:pPr>
    </w:p>
    <w:p w14:paraId="2252093D" w14:textId="77777777" w:rsidR="005128E4" w:rsidRPr="00006B74" w:rsidRDefault="005128E4" w:rsidP="009C7FF2">
      <w:pPr>
        <w:tabs>
          <w:tab w:val="center" w:pos="5400"/>
        </w:tabs>
        <w:suppressAutoHyphens/>
        <w:rPr>
          <w:rFonts w:asciiTheme="majorHAnsi" w:hAnsiTheme="majorHAnsi"/>
          <w:sz w:val="22"/>
          <w:szCs w:val="22"/>
          <w:lang w:val="es-ES"/>
        </w:rPr>
      </w:pPr>
    </w:p>
    <w:p w14:paraId="403935BD"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9C7FF2">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9C7FF2">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9C7FF2">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9C7FF2">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A8111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E1219">
                              <w:rPr>
                                <w:rFonts w:asciiTheme="majorHAnsi" w:hAnsiTheme="majorHAnsi" w:cs="Arial"/>
                                <w:b/>
                                <w:bCs/>
                                <w:color w:val="0D0D0D" w:themeColor="text1" w:themeTint="F2"/>
                                <w:sz w:val="36"/>
                                <w:szCs w:val="22"/>
                                <w:lang w:val="es-ES_tradnl"/>
                              </w:rPr>
                              <w:t>113</w:t>
                            </w:r>
                            <w:r w:rsidR="007B05C4">
                              <w:rPr>
                                <w:rFonts w:asciiTheme="majorHAnsi" w:hAnsiTheme="majorHAnsi" w:cs="Arial"/>
                                <w:b/>
                                <w:bCs/>
                                <w:color w:val="0D0D0D" w:themeColor="text1" w:themeTint="F2"/>
                                <w:sz w:val="36"/>
                                <w:szCs w:val="22"/>
                                <w:lang w:val="es-ES_tradnl"/>
                              </w:rPr>
                              <w:t>/</w:t>
                            </w:r>
                            <w:r w:rsidR="00CB47D2">
                              <w:rPr>
                                <w:rFonts w:asciiTheme="majorHAnsi" w:hAnsiTheme="majorHAnsi" w:cs="Arial"/>
                                <w:b/>
                                <w:bCs/>
                                <w:color w:val="0D0D0D" w:themeColor="text1" w:themeTint="F2"/>
                                <w:sz w:val="36"/>
                                <w:szCs w:val="22"/>
                                <w:lang w:val="es-ES_tradnl"/>
                              </w:rPr>
                              <w:t>2</w:t>
                            </w:r>
                            <w:r w:rsidR="007E1219">
                              <w:rPr>
                                <w:rFonts w:asciiTheme="majorHAnsi" w:hAnsiTheme="majorHAnsi" w:cs="Arial"/>
                                <w:b/>
                                <w:bCs/>
                                <w:color w:val="0D0D0D" w:themeColor="text1" w:themeTint="F2"/>
                                <w:sz w:val="36"/>
                                <w:szCs w:val="22"/>
                                <w:lang w:val="es-ES_tradnl"/>
                              </w:rPr>
                              <w:t>1</w:t>
                            </w:r>
                          </w:p>
                          <w:p w14:paraId="09C54AB3" w14:textId="71002B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4E20">
                              <w:rPr>
                                <w:rFonts w:asciiTheme="majorHAnsi" w:hAnsiTheme="majorHAnsi" w:cs="Arial"/>
                                <w:b/>
                                <w:color w:val="0D0D0D" w:themeColor="text1" w:themeTint="F2"/>
                                <w:sz w:val="36"/>
                                <w:szCs w:val="22"/>
                                <w:lang w:val="es-ES_tradnl"/>
                              </w:rPr>
                              <w:t>849</w:t>
                            </w:r>
                            <w:r w:rsidR="00246D1F" w:rsidRPr="004E2649">
                              <w:rPr>
                                <w:rFonts w:asciiTheme="majorHAnsi" w:hAnsiTheme="majorHAnsi" w:cs="Arial"/>
                                <w:b/>
                                <w:color w:val="0D0D0D" w:themeColor="text1" w:themeTint="F2"/>
                                <w:sz w:val="36"/>
                                <w:szCs w:val="22"/>
                                <w:lang w:val="es-ES_tradnl"/>
                              </w:rPr>
                              <w:t>-</w:t>
                            </w:r>
                            <w:r w:rsidR="00694E20">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617D51E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8033545" w14:textId="2FB18699" w:rsidR="00694E20" w:rsidRPr="00694E20" w:rsidRDefault="00694E20" w:rsidP="00997BC5">
                            <w:pPr>
                              <w:spacing w:line="276" w:lineRule="auto"/>
                              <w:rPr>
                                <w:rFonts w:ascii="Cambria" w:hAnsi="Cambria"/>
                                <w:bCs/>
                                <w:lang w:val="es-AR"/>
                              </w:rPr>
                            </w:pPr>
                            <w:r w:rsidRPr="00694E20">
                              <w:rPr>
                                <w:rFonts w:ascii="Cambria" w:hAnsi="Cambria"/>
                                <w:bCs/>
                                <w:lang w:val="es-AR"/>
                              </w:rPr>
                              <w:t>DENISE BELMONT SANGÜESA Y OTROS</w:t>
                            </w:r>
                          </w:p>
                          <w:p w14:paraId="35068D0D" w14:textId="3D001A71" w:rsidR="005B52B0" w:rsidRPr="0010736F" w:rsidRDefault="00694E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A8111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E1219">
                        <w:rPr>
                          <w:rFonts w:asciiTheme="majorHAnsi" w:hAnsiTheme="majorHAnsi" w:cs="Arial"/>
                          <w:b/>
                          <w:bCs/>
                          <w:color w:val="0D0D0D" w:themeColor="text1" w:themeTint="F2"/>
                          <w:sz w:val="36"/>
                          <w:szCs w:val="22"/>
                          <w:lang w:val="es-ES_tradnl"/>
                        </w:rPr>
                        <w:t>113</w:t>
                      </w:r>
                      <w:r w:rsidR="007B05C4">
                        <w:rPr>
                          <w:rFonts w:asciiTheme="majorHAnsi" w:hAnsiTheme="majorHAnsi" w:cs="Arial"/>
                          <w:b/>
                          <w:bCs/>
                          <w:color w:val="0D0D0D" w:themeColor="text1" w:themeTint="F2"/>
                          <w:sz w:val="36"/>
                          <w:szCs w:val="22"/>
                          <w:lang w:val="es-ES_tradnl"/>
                        </w:rPr>
                        <w:t>/</w:t>
                      </w:r>
                      <w:r w:rsidR="00CB47D2">
                        <w:rPr>
                          <w:rFonts w:asciiTheme="majorHAnsi" w:hAnsiTheme="majorHAnsi" w:cs="Arial"/>
                          <w:b/>
                          <w:bCs/>
                          <w:color w:val="0D0D0D" w:themeColor="text1" w:themeTint="F2"/>
                          <w:sz w:val="36"/>
                          <w:szCs w:val="22"/>
                          <w:lang w:val="es-ES_tradnl"/>
                        </w:rPr>
                        <w:t>2</w:t>
                      </w:r>
                      <w:r w:rsidR="007E1219">
                        <w:rPr>
                          <w:rFonts w:asciiTheme="majorHAnsi" w:hAnsiTheme="majorHAnsi" w:cs="Arial"/>
                          <w:b/>
                          <w:bCs/>
                          <w:color w:val="0D0D0D" w:themeColor="text1" w:themeTint="F2"/>
                          <w:sz w:val="36"/>
                          <w:szCs w:val="22"/>
                          <w:lang w:val="es-ES_tradnl"/>
                        </w:rPr>
                        <w:t>1</w:t>
                      </w:r>
                    </w:p>
                    <w:p w14:paraId="09C54AB3" w14:textId="71002BD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4E20">
                        <w:rPr>
                          <w:rFonts w:asciiTheme="majorHAnsi" w:hAnsiTheme="majorHAnsi" w:cs="Arial"/>
                          <w:b/>
                          <w:color w:val="0D0D0D" w:themeColor="text1" w:themeTint="F2"/>
                          <w:sz w:val="36"/>
                          <w:szCs w:val="22"/>
                          <w:lang w:val="es-ES_tradnl"/>
                        </w:rPr>
                        <w:t>849</w:t>
                      </w:r>
                      <w:r w:rsidR="00246D1F" w:rsidRPr="004E2649">
                        <w:rPr>
                          <w:rFonts w:asciiTheme="majorHAnsi" w:hAnsiTheme="majorHAnsi" w:cs="Arial"/>
                          <w:b/>
                          <w:color w:val="0D0D0D" w:themeColor="text1" w:themeTint="F2"/>
                          <w:sz w:val="36"/>
                          <w:szCs w:val="22"/>
                          <w:lang w:val="es-ES_tradnl"/>
                        </w:rPr>
                        <w:t>-</w:t>
                      </w:r>
                      <w:r w:rsidR="00694E20">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617D51E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5751">
                        <w:rPr>
                          <w:rFonts w:asciiTheme="majorHAnsi" w:hAnsiTheme="majorHAnsi" w:cs="Arial"/>
                          <w:color w:val="0D0D0D" w:themeColor="text1" w:themeTint="F2"/>
                          <w:szCs w:val="22"/>
                          <w:lang w:val="es-ES_tradnl"/>
                        </w:rPr>
                        <w:t>INADMISIBILIDAD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8033545" w14:textId="2FB18699" w:rsidR="00694E20" w:rsidRPr="00694E20" w:rsidRDefault="00694E20" w:rsidP="00997BC5">
                      <w:pPr>
                        <w:spacing w:line="276" w:lineRule="auto"/>
                        <w:rPr>
                          <w:rFonts w:ascii="Cambria" w:hAnsi="Cambria"/>
                          <w:bCs/>
                          <w:lang w:val="es-AR"/>
                        </w:rPr>
                      </w:pPr>
                      <w:r w:rsidRPr="00694E20">
                        <w:rPr>
                          <w:rFonts w:ascii="Cambria" w:hAnsi="Cambria"/>
                          <w:bCs/>
                          <w:lang w:val="es-AR"/>
                        </w:rPr>
                        <w:t>DENISE BELMONT SANGÜESA Y OTROS</w:t>
                      </w:r>
                    </w:p>
                    <w:p w14:paraId="35068D0D" w14:textId="3D001A71" w:rsidR="005B52B0" w:rsidRPr="0010736F" w:rsidRDefault="00694E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57BD75B"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BC8B88F" w:rsidR="00627C9F" w:rsidRPr="007E1219" w:rsidRDefault="00627C9F" w:rsidP="007A5817">
                            <w:pPr>
                              <w:spacing w:line="276" w:lineRule="auto"/>
                              <w:jc w:val="right"/>
                              <w:rPr>
                                <w:rFonts w:asciiTheme="minorHAnsi" w:hAnsiTheme="minorHAnsi"/>
                                <w:color w:val="FFFFFF" w:themeColor="background1"/>
                                <w:sz w:val="22"/>
                                <w:lang w:val="es-419"/>
                              </w:rPr>
                            </w:pPr>
                            <w:r w:rsidRPr="007E1219">
                              <w:rPr>
                                <w:rFonts w:asciiTheme="minorHAnsi" w:hAnsiTheme="minorHAnsi"/>
                                <w:color w:val="FFFFFF" w:themeColor="background1"/>
                                <w:sz w:val="22"/>
                                <w:lang w:val="es-419"/>
                              </w:rPr>
                              <w:t xml:space="preserve">Doc. </w:t>
                            </w:r>
                            <w:r w:rsidR="007E1219">
                              <w:rPr>
                                <w:rFonts w:asciiTheme="minorHAnsi" w:hAnsiTheme="minorHAnsi"/>
                                <w:color w:val="FFFFFF" w:themeColor="background1"/>
                                <w:sz w:val="22"/>
                                <w:lang w:val="es-419"/>
                              </w:rPr>
                              <w:t>120</w:t>
                            </w:r>
                          </w:p>
                          <w:p w14:paraId="69373ED2" w14:textId="701DA77E" w:rsidR="00627C9F" w:rsidRPr="001B4C00" w:rsidRDefault="007E121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junio</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57BD75B"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BC8B88F" w:rsidR="00627C9F" w:rsidRPr="007E1219" w:rsidRDefault="00627C9F" w:rsidP="007A5817">
                      <w:pPr>
                        <w:spacing w:line="276" w:lineRule="auto"/>
                        <w:jc w:val="right"/>
                        <w:rPr>
                          <w:rFonts w:asciiTheme="minorHAnsi" w:hAnsiTheme="minorHAnsi"/>
                          <w:color w:val="FFFFFF" w:themeColor="background1"/>
                          <w:sz w:val="22"/>
                          <w:lang w:val="es-419"/>
                        </w:rPr>
                      </w:pPr>
                      <w:r w:rsidRPr="007E1219">
                        <w:rPr>
                          <w:rFonts w:asciiTheme="minorHAnsi" w:hAnsiTheme="minorHAnsi"/>
                          <w:color w:val="FFFFFF" w:themeColor="background1"/>
                          <w:sz w:val="22"/>
                          <w:lang w:val="es-419"/>
                        </w:rPr>
                        <w:t xml:space="preserve">Doc. </w:t>
                      </w:r>
                      <w:r w:rsidR="007E1219">
                        <w:rPr>
                          <w:rFonts w:asciiTheme="minorHAnsi" w:hAnsiTheme="minorHAnsi"/>
                          <w:color w:val="FFFFFF" w:themeColor="background1"/>
                          <w:sz w:val="22"/>
                          <w:lang w:val="es-419"/>
                        </w:rPr>
                        <w:t>120</w:t>
                      </w:r>
                    </w:p>
                    <w:p w14:paraId="69373ED2" w14:textId="701DA77E" w:rsidR="00627C9F" w:rsidRPr="001B4C00" w:rsidRDefault="007E121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junio</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627C9F" w:rsidRPr="001B4C00">
                        <w:rPr>
                          <w:rFonts w:asciiTheme="minorHAnsi" w:hAnsiTheme="minorHAnsi"/>
                          <w:color w:val="FFFFFF" w:themeColor="background1"/>
                          <w:sz w:val="22"/>
                          <w:lang w:val="es-ES"/>
                        </w:rPr>
                        <w:t>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9C7FF2">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9C7FF2">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9C7FF2">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9C7FF2">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9C7FF2">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9C7FF2">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9C7FF2">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9C5C1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E1219">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7E1219">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92966">
                              <w:rPr>
                                <w:rFonts w:asciiTheme="majorHAnsi" w:hAnsiTheme="majorHAnsi"/>
                                <w:color w:val="0D0D0D" w:themeColor="text1" w:themeTint="F2"/>
                                <w:sz w:val="18"/>
                                <w:szCs w:val="22"/>
                                <w:lang w:val="es-ES"/>
                              </w:rPr>
                              <w:t>2</w:t>
                            </w:r>
                            <w:r w:rsidR="007E1219">
                              <w:rPr>
                                <w:rFonts w:asciiTheme="majorHAnsi" w:hAnsiTheme="majorHAnsi"/>
                                <w:color w:val="0D0D0D" w:themeColor="text1" w:themeTint="F2"/>
                                <w:sz w:val="18"/>
                                <w:szCs w:val="22"/>
                                <w:lang w:val="es-ES"/>
                              </w:rPr>
                              <w:t>1</w:t>
                            </w:r>
                            <w:r w:rsidR="00BC1DE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9C5C1B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E1219">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7E1219">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92966">
                        <w:rPr>
                          <w:rFonts w:asciiTheme="majorHAnsi" w:hAnsiTheme="majorHAnsi"/>
                          <w:color w:val="0D0D0D" w:themeColor="text1" w:themeTint="F2"/>
                          <w:sz w:val="18"/>
                          <w:szCs w:val="22"/>
                          <w:lang w:val="es-ES"/>
                        </w:rPr>
                        <w:t>2</w:t>
                      </w:r>
                      <w:r w:rsidR="007E1219">
                        <w:rPr>
                          <w:rFonts w:asciiTheme="majorHAnsi" w:hAnsiTheme="majorHAnsi"/>
                          <w:color w:val="0D0D0D" w:themeColor="text1" w:themeTint="F2"/>
                          <w:sz w:val="18"/>
                          <w:szCs w:val="22"/>
                          <w:lang w:val="es-ES"/>
                        </w:rPr>
                        <w:t>1</w:t>
                      </w:r>
                      <w:r w:rsidR="00BC1DE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9C7FF2">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3CF8" w14:textId="77777777" w:rsidR="007E121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1219" w:rsidRPr="007E1219">
                              <w:rPr>
                                <w:rFonts w:asciiTheme="majorHAnsi" w:hAnsiTheme="majorHAnsi"/>
                                <w:color w:val="595959" w:themeColor="text1" w:themeTint="A6"/>
                                <w:sz w:val="18"/>
                                <w:szCs w:val="18"/>
                                <w:lang w:val="pt-BR"/>
                              </w:rPr>
                              <w:t>113</w:t>
                            </w:r>
                            <w:r w:rsidR="007B05C4" w:rsidRPr="007E1219">
                              <w:rPr>
                                <w:rFonts w:asciiTheme="majorHAnsi" w:hAnsiTheme="majorHAnsi"/>
                                <w:color w:val="595959" w:themeColor="text1" w:themeTint="A6"/>
                                <w:sz w:val="18"/>
                                <w:szCs w:val="18"/>
                                <w:lang w:val="pt-BR"/>
                              </w:rPr>
                              <w:t>/</w:t>
                            </w:r>
                            <w:r w:rsidR="007E1219" w:rsidRPr="007E1219">
                              <w:rPr>
                                <w:rFonts w:asciiTheme="majorHAnsi" w:hAnsiTheme="majorHAnsi"/>
                                <w:color w:val="595959" w:themeColor="text1" w:themeTint="A6"/>
                                <w:sz w:val="18"/>
                                <w:szCs w:val="18"/>
                                <w:lang w:val="pt-BR"/>
                              </w:rPr>
                              <w:t>21</w:t>
                            </w:r>
                            <w:r w:rsidRPr="007E121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E1219">
                              <w:rPr>
                                <w:rFonts w:asciiTheme="majorHAnsi" w:hAnsiTheme="majorHAnsi"/>
                                <w:color w:val="595959" w:themeColor="text1" w:themeTint="A6"/>
                                <w:sz w:val="18"/>
                                <w:szCs w:val="18"/>
                                <w:lang w:val="es-ES_tradnl"/>
                              </w:rPr>
                              <w:t>Denise Belmont Sangüesa y otros</w:t>
                            </w:r>
                            <w:r w:rsidRPr="00890650">
                              <w:rPr>
                                <w:rFonts w:asciiTheme="majorHAnsi" w:hAnsiTheme="majorHAnsi"/>
                                <w:color w:val="595959" w:themeColor="text1" w:themeTint="A6"/>
                                <w:sz w:val="18"/>
                                <w:szCs w:val="18"/>
                                <w:lang w:val="es-ES_tradnl"/>
                              </w:rPr>
                              <w:t xml:space="preserve">. </w:t>
                            </w:r>
                          </w:p>
                          <w:p w14:paraId="0D1B22CF" w14:textId="3490A922" w:rsidR="00113F73" w:rsidRPr="007B05C4" w:rsidRDefault="007E121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3 de junio de 2021</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CB53CF8" w14:textId="77777777" w:rsidR="007E121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1219" w:rsidRPr="007E1219">
                        <w:rPr>
                          <w:rFonts w:asciiTheme="majorHAnsi" w:hAnsiTheme="majorHAnsi"/>
                          <w:color w:val="595959" w:themeColor="text1" w:themeTint="A6"/>
                          <w:sz w:val="18"/>
                          <w:szCs w:val="18"/>
                          <w:lang w:val="pt-BR"/>
                        </w:rPr>
                        <w:t>113</w:t>
                      </w:r>
                      <w:r w:rsidR="007B05C4" w:rsidRPr="007E1219">
                        <w:rPr>
                          <w:rFonts w:asciiTheme="majorHAnsi" w:hAnsiTheme="majorHAnsi"/>
                          <w:color w:val="595959" w:themeColor="text1" w:themeTint="A6"/>
                          <w:sz w:val="18"/>
                          <w:szCs w:val="18"/>
                          <w:lang w:val="pt-BR"/>
                        </w:rPr>
                        <w:t>/</w:t>
                      </w:r>
                      <w:r w:rsidR="007E1219" w:rsidRPr="007E1219">
                        <w:rPr>
                          <w:rFonts w:asciiTheme="majorHAnsi" w:hAnsiTheme="majorHAnsi"/>
                          <w:color w:val="595959" w:themeColor="text1" w:themeTint="A6"/>
                          <w:sz w:val="18"/>
                          <w:szCs w:val="18"/>
                          <w:lang w:val="pt-BR"/>
                        </w:rPr>
                        <w:t>21</w:t>
                      </w:r>
                      <w:r w:rsidRPr="007E121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E1219">
                        <w:rPr>
                          <w:rFonts w:asciiTheme="majorHAnsi" w:hAnsiTheme="majorHAnsi"/>
                          <w:color w:val="595959" w:themeColor="text1" w:themeTint="A6"/>
                          <w:sz w:val="18"/>
                          <w:szCs w:val="18"/>
                          <w:lang w:val="es-ES_tradnl"/>
                        </w:rPr>
                        <w:t>Denise Belmont Sangüesa y otros</w:t>
                      </w:r>
                      <w:r w:rsidRPr="00890650">
                        <w:rPr>
                          <w:rFonts w:asciiTheme="majorHAnsi" w:hAnsiTheme="majorHAnsi"/>
                          <w:color w:val="595959" w:themeColor="text1" w:themeTint="A6"/>
                          <w:sz w:val="18"/>
                          <w:szCs w:val="18"/>
                          <w:lang w:val="es-ES_tradnl"/>
                        </w:rPr>
                        <w:t xml:space="preserve">. </w:t>
                      </w:r>
                    </w:p>
                    <w:p w14:paraId="0D1B22CF" w14:textId="3490A922" w:rsidR="00113F73" w:rsidRPr="007B05C4" w:rsidRDefault="007E121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3 de junio de 2021</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9C7FF2">
      <w:pPr>
        <w:tabs>
          <w:tab w:val="center" w:pos="5400"/>
        </w:tabs>
        <w:suppressAutoHyphens/>
        <w:jc w:val="center"/>
        <w:rPr>
          <w:rFonts w:asciiTheme="majorHAnsi" w:hAnsiTheme="majorHAnsi"/>
          <w:sz w:val="18"/>
          <w:szCs w:val="22"/>
          <w:lang w:val="es-ES"/>
        </w:rPr>
      </w:pPr>
    </w:p>
    <w:p w14:paraId="1DA07629" w14:textId="15AAF54C" w:rsidR="0090270B" w:rsidRPr="00006B74" w:rsidRDefault="00D306D1" w:rsidP="009C7FF2">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6538B4B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A911A08" w:rsidR="0070697F" w:rsidRPr="00006B74" w:rsidRDefault="007E1219" w:rsidP="009C7FF2">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E551318">
                <wp:simplePos x="0" y="0"/>
                <wp:positionH relativeFrom="column">
                  <wp:posOffset>1328057</wp:posOffset>
                </wp:positionH>
                <wp:positionV relativeFrom="paragraph">
                  <wp:posOffset>490220</wp:posOffset>
                </wp:positionV>
                <wp:extent cx="4096385" cy="664029"/>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096385" cy="6640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2" type="#_x0000_t202" style="position:absolute;left:0;text-align:left;margin-left:104.55pt;margin-top:38.6pt;width:322.55pt;height: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9C7FF2">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9C7F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071A6EFC" w:rsidR="003239B8" w:rsidRPr="00006B74" w:rsidRDefault="00694E20" w:rsidP="009C7FF2">
            <w:pPr>
              <w:jc w:val="both"/>
              <w:rPr>
                <w:rFonts w:ascii="Cambria" w:hAnsi="Cambria"/>
                <w:bCs/>
                <w:sz w:val="19"/>
                <w:szCs w:val="19"/>
                <w:lang w:val="es-ES"/>
              </w:rPr>
            </w:pPr>
            <w:r>
              <w:rPr>
                <w:rFonts w:ascii="Cambria" w:hAnsi="Cambria"/>
                <w:bCs/>
                <w:sz w:val="19"/>
                <w:szCs w:val="19"/>
                <w:lang w:val="es-ES"/>
              </w:rPr>
              <w:t>Lourdes Flores Nano</w:t>
            </w:r>
          </w:p>
        </w:tc>
      </w:tr>
      <w:tr w:rsidR="003239B8" w:rsidRPr="007E1219"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5D81821D" w:rsidR="003239B8" w:rsidRPr="00006B74" w:rsidRDefault="002355A9" w:rsidP="009C7FF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w:t>
            </w:r>
            <w:r w:rsidR="00C3455E">
              <w:rPr>
                <w:rFonts w:ascii="Cambria" w:hAnsi="Cambria"/>
                <w:bCs/>
                <w:color w:val="FFFFFF" w:themeColor="background1"/>
                <w:sz w:val="19"/>
                <w:szCs w:val="19"/>
                <w:lang w:val="es-ES"/>
              </w:rPr>
              <w:t>s</w:t>
            </w:r>
            <w:r>
              <w:rPr>
                <w:rFonts w:ascii="Cambria" w:hAnsi="Cambria"/>
                <w:bCs/>
                <w:color w:val="FFFFFF" w:themeColor="background1"/>
                <w:sz w:val="19"/>
                <w:szCs w:val="19"/>
                <w:lang w:val="es-ES"/>
              </w:rPr>
              <w:t xml:space="preserve"> víctima</w:t>
            </w:r>
            <w:r w:rsidR="00C3455E">
              <w:rPr>
                <w:rFonts w:ascii="Cambria" w:hAnsi="Cambria"/>
                <w:bCs/>
                <w:color w:val="FFFFFF" w:themeColor="background1"/>
                <w:sz w:val="19"/>
                <w:szCs w:val="19"/>
                <w:lang w:val="es-ES"/>
              </w:rPr>
              <w:t>s</w:t>
            </w:r>
          </w:p>
        </w:tc>
        <w:tc>
          <w:tcPr>
            <w:tcW w:w="6570" w:type="dxa"/>
            <w:vAlign w:val="center"/>
          </w:tcPr>
          <w:p w14:paraId="4AEBF59E" w14:textId="68F5576A" w:rsidR="003239B8" w:rsidRPr="00BC1DEF" w:rsidRDefault="00694E20" w:rsidP="009C7FF2">
            <w:pPr>
              <w:jc w:val="both"/>
              <w:rPr>
                <w:rFonts w:ascii="Cambria" w:hAnsi="Cambria"/>
                <w:bCs/>
                <w:sz w:val="19"/>
                <w:szCs w:val="19"/>
              </w:rPr>
            </w:pPr>
            <w:r w:rsidRPr="00BC1DEF">
              <w:rPr>
                <w:rFonts w:ascii="Cambria" w:hAnsi="Cambria"/>
                <w:bCs/>
                <w:sz w:val="19"/>
                <w:szCs w:val="19"/>
              </w:rPr>
              <w:t xml:space="preserve">Denise Belmont </w:t>
            </w:r>
            <w:proofErr w:type="spellStart"/>
            <w:r w:rsidRPr="00BC1DEF">
              <w:rPr>
                <w:rFonts w:ascii="Cambria" w:hAnsi="Cambria"/>
                <w:bCs/>
                <w:sz w:val="19"/>
                <w:szCs w:val="19"/>
              </w:rPr>
              <w:t>Sangüesa</w:t>
            </w:r>
            <w:proofErr w:type="spellEnd"/>
            <w:r w:rsidR="004F172D" w:rsidRPr="00BC1DEF">
              <w:rPr>
                <w:rFonts w:ascii="Cambria" w:hAnsi="Cambria"/>
                <w:bCs/>
                <w:sz w:val="19"/>
                <w:szCs w:val="19"/>
              </w:rPr>
              <w:t>,</w:t>
            </w:r>
            <w:r w:rsidRPr="00BC1DEF">
              <w:rPr>
                <w:rFonts w:ascii="Cambria" w:hAnsi="Cambria"/>
                <w:bCs/>
                <w:sz w:val="19"/>
                <w:szCs w:val="19"/>
              </w:rPr>
              <w:t xml:space="preserve"> Gilda Belmont </w:t>
            </w:r>
            <w:proofErr w:type="spellStart"/>
            <w:r w:rsidRPr="00BC1DEF">
              <w:rPr>
                <w:rFonts w:ascii="Cambria" w:hAnsi="Cambria"/>
                <w:bCs/>
                <w:sz w:val="19"/>
                <w:szCs w:val="19"/>
              </w:rPr>
              <w:t>Sangüesa</w:t>
            </w:r>
            <w:proofErr w:type="spellEnd"/>
            <w:r w:rsidRPr="00BC1DEF">
              <w:rPr>
                <w:rFonts w:ascii="Cambria" w:hAnsi="Cambria"/>
                <w:bCs/>
                <w:sz w:val="19"/>
                <w:szCs w:val="19"/>
              </w:rPr>
              <w:t xml:space="preserve">, Yvonne Belmont </w:t>
            </w:r>
            <w:proofErr w:type="spellStart"/>
            <w:r w:rsidRPr="00BC1DEF">
              <w:rPr>
                <w:rFonts w:ascii="Cambria" w:hAnsi="Cambria"/>
                <w:bCs/>
                <w:sz w:val="19"/>
                <w:szCs w:val="19"/>
              </w:rPr>
              <w:t>Sangüesa</w:t>
            </w:r>
            <w:proofErr w:type="spellEnd"/>
            <w:r w:rsidR="004F172D" w:rsidRPr="00BC1DEF">
              <w:rPr>
                <w:rFonts w:ascii="Cambria" w:hAnsi="Cambria"/>
                <w:bCs/>
                <w:sz w:val="19"/>
                <w:szCs w:val="19"/>
              </w:rPr>
              <w:t xml:space="preserve"> y</w:t>
            </w:r>
            <w:r w:rsidRPr="00BC1DEF">
              <w:rPr>
                <w:rFonts w:ascii="Cambria" w:hAnsi="Cambria"/>
                <w:bCs/>
                <w:sz w:val="19"/>
                <w:szCs w:val="19"/>
              </w:rPr>
              <w:t xml:space="preserve"> Roy Belmont </w:t>
            </w:r>
            <w:proofErr w:type="spellStart"/>
            <w:r w:rsidRPr="00BC1DEF">
              <w:rPr>
                <w:rFonts w:ascii="Cambria" w:hAnsi="Cambria"/>
                <w:bCs/>
                <w:sz w:val="19"/>
                <w:szCs w:val="19"/>
              </w:rPr>
              <w:t>Sangüesa</w:t>
            </w:r>
            <w:proofErr w:type="spellEnd"/>
            <w:r w:rsidRPr="00BC1DEF">
              <w:rPr>
                <w:rFonts w:ascii="Cambria" w:hAnsi="Cambria"/>
                <w:bCs/>
                <w:sz w:val="19"/>
                <w:szCs w:val="19"/>
              </w:rPr>
              <w:t xml:space="preserve"> </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9C7F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842233A" w:rsidR="003239B8" w:rsidRPr="00006B74" w:rsidRDefault="00694E20" w:rsidP="009C7FF2">
            <w:pPr>
              <w:jc w:val="both"/>
              <w:rPr>
                <w:rFonts w:ascii="Cambria" w:hAnsi="Cambria"/>
                <w:bCs/>
                <w:sz w:val="19"/>
                <w:szCs w:val="19"/>
                <w:lang w:val="es-ES"/>
              </w:rPr>
            </w:pPr>
            <w:r>
              <w:rPr>
                <w:rFonts w:ascii="Cambria" w:hAnsi="Cambria"/>
                <w:bCs/>
                <w:sz w:val="19"/>
                <w:szCs w:val="19"/>
                <w:lang w:val="es-ES"/>
              </w:rPr>
              <w:t>Perú</w:t>
            </w:r>
            <w:r w:rsidR="004A6A54" w:rsidRPr="00006B74">
              <w:rPr>
                <w:rStyle w:val="FootnoteReference"/>
                <w:rFonts w:ascii="Cambria" w:hAnsi="Cambria"/>
                <w:bCs/>
                <w:sz w:val="19"/>
                <w:szCs w:val="19"/>
                <w:lang w:val="es-ES"/>
              </w:rPr>
              <w:footnoteReference w:id="2"/>
            </w:r>
          </w:p>
        </w:tc>
      </w:tr>
      <w:tr w:rsidR="00223A29" w:rsidRPr="00BC1DEF"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9C7FF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447DD66E" w:rsidR="00223A29" w:rsidRPr="004F172D" w:rsidRDefault="00BF514A" w:rsidP="009C7FF2">
            <w:pPr>
              <w:jc w:val="both"/>
              <w:rPr>
                <w:rFonts w:ascii="Cambria" w:hAnsi="Cambria"/>
                <w:bCs/>
                <w:sz w:val="19"/>
                <w:szCs w:val="19"/>
                <w:lang w:val="es-ES"/>
              </w:rPr>
            </w:pPr>
            <w:r w:rsidRPr="004F172D">
              <w:rPr>
                <w:rFonts w:ascii="Cambria" w:hAnsi="Cambria"/>
                <w:bCs/>
                <w:sz w:val="19"/>
                <w:szCs w:val="19"/>
                <w:lang w:val="es-ES"/>
              </w:rPr>
              <w:t xml:space="preserve">Artículos </w:t>
            </w:r>
            <w:r w:rsidR="004F172D" w:rsidRPr="004F172D">
              <w:rPr>
                <w:rFonts w:ascii="Cambria" w:hAnsi="Cambria"/>
                <w:bCs/>
                <w:sz w:val="19"/>
                <w:szCs w:val="19"/>
                <w:lang w:val="es-ES"/>
              </w:rPr>
              <w:t>8 (garantías judiciales), 21 (propiedad privada) y 25 (protección judicial)</w:t>
            </w:r>
            <w:r w:rsidRPr="004F172D">
              <w:rPr>
                <w:rFonts w:ascii="Cambria" w:hAnsi="Cambria"/>
                <w:bCs/>
                <w:sz w:val="19"/>
                <w:szCs w:val="19"/>
                <w:lang w:val="es-ES"/>
              </w:rPr>
              <w:t xml:space="preserve"> de la Convención Americana sobre Derechos Humanos</w:t>
            </w:r>
            <w:r w:rsidRPr="004F172D">
              <w:rPr>
                <w:rStyle w:val="FootnoteReference"/>
                <w:rFonts w:ascii="Cambria" w:hAnsi="Cambria"/>
                <w:bCs/>
                <w:sz w:val="19"/>
                <w:szCs w:val="19"/>
                <w:lang w:val="es-ES"/>
              </w:rPr>
              <w:footnoteReference w:id="3"/>
            </w:r>
          </w:p>
        </w:tc>
      </w:tr>
    </w:tbl>
    <w:p w14:paraId="20263696" w14:textId="77777777" w:rsidR="003239B8" w:rsidRPr="00006B74" w:rsidRDefault="003239B8" w:rsidP="009C7FF2">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26434861" w:rsidR="004C2312" w:rsidRPr="0047080D" w:rsidRDefault="004F172D" w:rsidP="009C7FF2">
            <w:pPr>
              <w:jc w:val="both"/>
              <w:rPr>
                <w:rFonts w:ascii="Cambria" w:hAnsi="Cambria"/>
                <w:bCs/>
                <w:sz w:val="19"/>
                <w:szCs w:val="19"/>
                <w:lang w:val="es-ES"/>
              </w:rPr>
            </w:pPr>
            <w:r>
              <w:rPr>
                <w:rFonts w:ascii="Cambria" w:hAnsi="Cambria"/>
                <w:bCs/>
                <w:sz w:val="19"/>
                <w:szCs w:val="19"/>
                <w:lang w:val="es-ES"/>
              </w:rPr>
              <w:t>9 de julio de 2009</w:t>
            </w:r>
          </w:p>
        </w:tc>
      </w:tr>
      <w:tr w:rsidR="006E772A" w:rsidRPr="00BC1DEF"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1A5C97E7" w:rsidR="006E772A" w:rsidRPr="0047080D" w:rsidRDefault="006F4B38" w:rsidP="009C7FF2">
            <w:pPr>
              <w:jc w:val="both"/>
              <w:rPr>
                <w:rFonts w:ascii="Cambria" w:hAnsi="Cambria"/>
                <w:bCs/>
                <w:sz w:val="19"/>
                <w:szCs w:val="19"/>
                <w:lang w:val="es-ES"/>
              </w:rPr>
            </w:pPr>
            <w:r>
              <w:rPr>
                <w:rFonts w:ascii="Cambria" w:hAnsi="Cambria"/>
                <w:bCs/>
                <w:sz w:val="19"/>
                <w:szCs w:val="19"/>
                <w:lang w:val="es-ES"/>
              </w:rPr>
              <w:t xml:space="preserve">5 de noviembre de 2010; 14 de julio de 2011; </w:t>
            </w:r>
            <w:r w:rsidR="002F0FAD">
              <w:rPr>
                <w:rFonts w:ascii="Cambria" w:hAnsi="Cambria"/>
                <w:bCs/>
                <w:sz w:val="19"/>
                <w:szCs w:val="19"/>
                <w:lang w:val="es-ES"/>
              </w:rPr>
              <w:t>25 de julio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9C7FF2">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0FB4C05D" w:rsidR="004C2312" w:rsidRPr="0047080D" w:rsidRDefault="00B85E8E" w:rsidP="009C7FF2">
            <w:pPr>
              <w:jc w:val="both"/>
              <w:rPr>
                <w:rFonts w:ascii="Cambria" w:hAnsi="Cambria"/>
                <w:bCs/>
                <w:sz w:val="19"/>
                <w:szCs w:val="19"/>
                <w:lang w:val="es-ES"/>
              </w:rPr>
            </w:pPr>
            <w:r>
              <w:rPr>
                <w:rFonts w:ascii="Cambria" w:hAnsi="Cambria"/>
                <w:bCs/>
                <w:sz w:val="19"/>
                <w:szCs w:val="19"/>
                <w:lang w:val="es-ES"/>
              </w:rPr>
              <w:t>22 de mayo de 2015</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9C7FF2">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280C0E7C" w:rsidR="00F06354" w:rsidRPr="0047080D" w:rsidRDefault="00E1439C" w:rsidP="009C7FF2">
            <w:pPr>
              <w:jc w:val="both"/>
              <w:rPr>
                <w:rFonts w:ascii="Cambria" w:hAnsi="Cambria"/>
                <w:bCs/>
                <w:sz w:val="19"/>
                <w:szCs w:val="19"/>
                <w:lang w:val="es-ES"/>
              </w:rPr>
            </w:pPr>
            <w:r>
              <w:rPr>
                <w:rFonts w:ascii="Cambria" w:hAnsi="Cambria"/>
                <w:bCs/>
                <w:sz w:val="19"/>
                <w:szCs w:val="19"/>
                <w:lang w:val="es-ES"/>
              </w:rPr>
              <w:t>28 de agosto de 2015</w:t>
            </w:r>
          </w:p>
        </w:tc>
      </w:tr>
      <w:tr w:rsidR="00F06354" w:rsidRPr="009D69F8"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30E2194" w:rsidR="00F06354" w:rsidRPr="0047080D" w:rsidRDefault="00E1439C" w:rsidP="009C7FF2">
            <w:pPr>
              <w:jc w:val="both"/>
              <w:rPr>
                <w:rFonts w:ascii="Cambria" w:hAnsi="Cambria"/>
                <w:bCs/>
                <w:sz w:val="19"/>
                <w:szCs w:val="19"/>
                <w:lang w:val="es-ES"/>
              </w:rPr>
            </w:pPr>
            <w:r>
              <w:rPr>
                <w:rFonts w:ascii="Cambria" w:hAnsi="Cambria"/>
                <w:bCs/>
                <w:sz w:val="19"/>
                <w:szCs w:val="19"/>
                <w:lang w:val="es-ES"/>
              </w:rPr>
              <w:t>10 de octubre de 2017</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6E61491E" w:rsidR="00F06354" w:rsidRPr="0047080D" w:rsidRDefault="00E1439C" w:rsidP="009C7FF2">
            <w:pPr>
              <w:jc w:val="both"/>
              <w:rPr>
                <w:rFonts w:ascii="Cambria" w:hAnsi="Cambria"/>
                <w:bCs/>
                <w:sz w:val="19"/>
                <w:szCs w:val="19"/>
                <w:lang w:val="es-ES"/>
              </w:rPr>
            </w:pPr>
            <w:r>
              <w:rPr>
                <w:rFonts w:ascii="Cambria" w:hAnsi="Cambria"/>
                <w:bCs/>
                <w:sz w:val="19"/>
                <w:szCs w:val="19"/>
                <w:lang w:val="es-ES"/>
              </w:rPr>
              <w:t>10 de marzo de 2019</w:t>
            </w:r>
          </w:p>
        </w:tc>
      </w:tr>
    </w:tbl>
    <w:p w14:paraId="21DAA666" w14:textId="5065046E" w:rsidR="003239B8" w:rsidRPr="00006B74" w:rsidRDefault="003239B8" w:rsidP="009C7FF2">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9C7FF2">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3367A0DF" w:rsidR="003239B8" w:rsidRPr="0047080D" w:rsidRDefault="00B85E8E" w:rsidP="009C7FF2">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9C7FF2">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2D8992CF" w:rsidR="003239B8" w:rsidRPr="0047080D" w:rsidRDefault="00B85E8E" w:rsidP="009C7FF2">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9C7FF2">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2FB4D47C" w:rsidR="003239B8" w:rsidRPr="0047080D" w:rsidRDefault="00B85E8E" w:rsidP="009C7FF2">
            <w:pPr>
              <w:rPr>
                <w:rFonts w:ascii="Cambria" w:hAnsi="Cambria"/>
                <w:bCs/>
                <w:sz w:val="19"/>
                <w:szCs w:val="19"/>
                <w:lang w:val="es-ES"/>
              </w:rPr>
            </w:pPr>
            <w:r>
              <w:rPr>
                <w:rFonts w:ascii="Cambria" w:hAnsi="Cambria"/>
                <w:bCs/>
                <w:sz w:val="19"/>
                <w:szCs w:val="19"/>
                <w:lang w:val="es-ES"/>
              </w:rPr>
              <w:t>Sí</w:t>
            </w:r>
          </w:p>
        </w:tc>
      </w:tr>
      <w:tr w:rsidR="003239B8" w:rsidRPr="00BC1DEF"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9C7FF2">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3DFE943F" w:rsidR="003239B8" w:rsidRPr="0047080D" w:rsidRDefault="00B85E8E" w:rsidP="009C7FF2">
            <w:pPr>
              <w:jc w:val="both"/>
              <w:rPr>
                <w:rFonts w:ascii="Cambria" w:hAnsi="Cambria"/>
                <w:bCs/>
                <w:sz w:val="19"/>
                <w:szCs w:val="19"/>
                <w:lang w:val="es-ES"/>
              </w:rPr>
            </w:pPr>
            <w:r>
              <w:rPr>
                <w:rFonts w:ascii="Cambria" w:hAnsi="Cambria"/>
                <w:bCs/>
                <w:sz w:val="19"/>
                <w:szCs w:val="19"/>
                <w:lang w:val="es-ES"/>
              </w:rPr>
              <w:t>Sí, Convención Americana (instrumento adoptado en el 28 de julio de 1987)</w:t>
            </w:r>
          </w:p>
        </w:tc>
      </w:tr>
    </w:tbl>
    <w:p w14:paraId="4E92C444" w14:textId="7497F52A" w:rsidR="003239B8" w:rsidRPr="00006B74" w:rsidRDefault="003239B8" w:rsidP="009C7FF2">
      <w:pPr>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1439C">
        <w:rPr>
          <w:rFonts w:asciiTheme="majorHAnsi" w:hAnsiTheme="majorHAnsi"/>
          <w:b/>
          <w:bCs/>
          <w:sz w:val="20"/>
          <w:szCs w:val="20"/>
          <w:lang w:val="es-ES"/>
        </w:rPr>
        <w:t>INTERNACIONAL,</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9D69F8"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74ED49E7" w:rsidR="00EE00E9" w:rsidRPr="0047080D" w:rsidRDefault="00E1439C" w:rsidP="009C7FF2">
            <w:pPr>
              <w:jc w:val="both"/>
              <w:rPr>
                <w:rFonts w:ascii="Cambria" w:hAnsi="Cambria"/>
                <w:bCs/>
                <w:sz w:val="19"/>
                <w:szCs w:val="19"/>
                <w:lang w:val="es-ES"/>
              </w:rPr>
            </w:pPr>
            <w:r>
              <w:rPr>
                <w:rFonts w:ascii="Cambria" w:hAnsi="Cambria"/>
                <w:bCs/>
                <w:sz w:val="19"/>
                <w:szCs w:val="19"/>
                <w:lang w:val="es-ES"/>
              </w:rPr>
              <w:t>No</w:t>
            </w:r>
          </w:p>
        </w:tc>
      </w:tr>
      <w:tr w:rsidR="003239B8" w:rsidRPr="00006B7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C7FF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1817ACC8" w:rsidR="003239B8" w:rsidRPr="0047080D" w:rsidRDefault="00E1439C" w:rsidP="009C7FF2">
            <w:pPr>
              <w:jc w:val="both"/>
              <w:rPr>
                <w:rFonts w:ascii="Cambria" w:hAnsi="Cambria"/>
                <w:bCs/>
                <w:sz w:val="19"/>
                <w:szCs w:val="19"/>
                <w:lang w:val="es-ES"/>
              </w:rPr>
            </w:pPr>
            <w:r>
              <w:rPr>
                <w:rFonts w:ascii="Cambria" w:hAnsi="Cambria"/>
                <w:bCs/>
                <w:sz w:val="19"/>
                <w:szCs w:val="19"/>
                <w:lang w:val="es-ES"/>
              </w:rPr>
              <w:t>N</w:t>
            </w:r>
            <w:r w:rsidR="000C0AB6">
              <w:rPr>
                <w:rFonts w:ascii="Cambria" w:hAnsi="Cambria"/>
                <w:bCs/>
                <w:sz w:val="19"/>
                <w:szCs w:val="19"/>
                <w:lang w:val="es-ES"/>
              </w:rPr>
              <w:t>inguno</w:t>
            </w:r>
          </w:p>
        </w:tc>
      </w:tr>
      <w:tr w:rsidR="003239B8" w:rsidRPr="009D69F8"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5E7FE92E" w:rsidR="003239B8" w:rsidRPr="0047080D" w:rsidRDefault="00E1439C" w:rsidP="009C7FF2">
            <w:pPr>
              <w:rPr>
                <w:rFonts w:ascii="Cambria" w:hAnsi="Cambria"/>
                <w:bCs/>
                <w:sz w:val="19"/>
                <w:szCs w:val="19"/>
                <w:lang w:val="es-ES"/>
              </w:rPr>
            </w:pPr>
            <w:r>
              <w:rPr>
                <w:rFonts w:ascii="Cambria" w:hAnsi="Cambria"/>
                <w:bCs/>
                <w:sz w:val="19"/>
                <w:szCs w:val="19"/>
                <w:lang w:val="es-ES"/>
              </w:rPr>
              <w:t>Sí</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9C7FF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505EF71C" w:rsidR="003239B8" w:rsidRPr="0047080D" w:rsidRDefault="00E1439C" w:rsidP="009C7FF2">
            <w:pPr>
              <w:rPr>
                <w:rFonts w:ascii="Cambria" w:hAnsi="Cambria"/>
                <w:bCs/>
                <w:sz w:val="19"/>
                <w:szCs w:val="19"/>
                <w:lang w:val="es-ES"/>
              </w:rPr>
            </w:pPr>
            <w:r>
              <w:rPr>
                <w:rFonts w:ascii="Cambria" w:hAnsi="Cambria"/>
                <w:bCs/>
                <w:sz w:val="19"/>
                <w:szCs w:val="19"/>
                <w:lang w:val="es-ES"/>
              </w:rPr>
              <w:t>Sí</w:t>
            </w:r>
          </w:p>
        </w:tc>
      </w:tr>
    </w:tbl>
    <w:p w14:paraId="7DCE1B2B" w14:textId="77777777" w:rsidR="009C7FF2" w:rsidRDefault="009C7FF2" w:rsidP="009C7FF2">
      <w:pPr>
        <w:ind w:firstLine="720"/>
        <w:jc w:val="both"/>
        <w:rPr>
          <w:rFonts w:asciiTheme="majorHAnsi" w:hAnsiTheme="majorHAnsi"/>
          <w:b/>
          <w:sz w:val="20"/>
          <w:szCs w:val="20"/>
          <w:lang w:val="es-ES"/>
        </w:rPr>
      </w:pPr>
    </w:p>
    <w:p w14:paraId="18E6423B" w14:textId="24697C31" w:rsidR="003239B8" w:rsidRPr="00006B74" w:rsidRDefault="00223A29" w:rsidP="009C7FF2">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691259E" w14:textId="77777777" w:rsidR="009C7FF2" w:rsidRDefault="009C7FF2" w:rsidP="009C7F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0F06A5D2" w14:textId="5D8D08A2" w:rsidR="004001E7" w:rsidRPr="009C7FF2" w:rsidRDefault="004001E7"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sidRPr="00C92966">
        <w:rPr>
          <w:rFonts w:ascii="Cambria" w:hAnsi="Cambria"/>
          <w:sz w:val="20"/>
          <w:szCs w:val="20"/>
          <w:lang w:val="es-AR"/>
        </w:rPr>
        <w:t>La parte peticionaria</w:t>
      </w:r>
      <w:r w:rsidR="00C3455E">
        <w:rPr>
          <w:rFonts w:ascii="Cambria" w:hAnsi="Cambria"/>
          <w:sz w:val="20"/>
          <w:szCs w:val="20"/>
          <w:lang w:val="es-AR"/>
        </w:rPr>
        <w:t xml:space="preserve"> alega</w:t>
      </w:r>
      <w:r w:rsidRPr="00C92966">
        <w:rPr>
          <w:rFonts w:ascii="Cambria" w:hAnsi="Cambria"/>
          <w:sz w:val="20"/>
          <w:szCs w:val="20"/>
          <w:lang w:val="es-AR"/>
        </w:rPr>
        <w:t xml:space="preserve"> que el Estado de </w:t>
      </w:r>
      <w:r w:rsidR="00C92966" w:rsidRPr="00C92966">
        <w:rPr>
          <w:rFonts w:ascii="Cambria" w:hAnsi="Cambria"/>
          <w:sz w:val="20"/>
          <w:szCs w:val="20"/>
          <w:lang w:val="es-AR"/>
        </w:rPr>
        <w:t>Perú</w:t>
      </w:r>
      <w:r w:rsidRPr="00C92966">
        <w:rPr>
          <w:rFonts w:ascii="Cambria" w:hAnsi="Cambria"/>
          <w:sz w:val="20"/>
          <w:szCs w:val="20"/>
          <w:lang w:val="es-AR"/>
        </w:rPr>
        <w:t xml:space="preserve"> es responsable por la pérdida del capital social y del derecho de propiedad </w:t>
      </w:r>
      <w:r w:rsidRPr="00C92966">
        <w:rPr>
          <w:rFonts w:ascii="Cambria" w:hAnsi="Cambria"/>
          <w:sz w:val="20"/>
          <w:szCs w:val="20"/>
          <w:lang w:val="es-ES"/>
        </w:rPr>
        <w:t xml:space="preserve">de </w:t>
      </w:r>
      <w:r w:rsidRPr="00C92966">
        <w:rPr>
          <w:rFonts w:ascii="Cambria" w:hAnsi="Cambria"/>
          <w:bCs/>
          <w:sz w:val="19"/>
          <w:szCs w:val="19"/>
          <w:lang w:val="es-419"/>
        </w:rPr>
        <w:t>Denise, Gilda, Yvonne y Roy Belmont Sangüesa (en adelante “las presuntas víctimas”) en la empresa Laboratorios Abeefe S</w:t>
      </w:r>
      <w:r w:rsidR="00C3455E">
        <w:rPr>
          <w:rFonts w:ascii="Cambria" w:hAnsi="Cambria"/>
          <w:bCs/>
          <w:sz w:val="19"/>
          <w:szCs w:val="19"/>
          <w:lang w:val="es-419"/>
        </w:rPr>
        <w:t>.</w:t>
      </w:r>
      <w:r w:rsidRPr="00C92966">
        <w:rPr>
          <w:rFonts w:ascii="Cambria" w:hAnsi="Cambria"/>
          <w:bCs/>
          <w:sz w:val="19"/>
          <w:szCs w:val="19"/>
          <w:lang w:val="es-419"/>
        </w:rPr>
        <w:t>A</w:t>
      </w:r>
      <w:r w:rsidR="00C3455E">
        <w:rPr>
          <w:rFonts w:ascii="Cambria" w:hAnsi="Cambria"/>
          <w:bCs/>
          <w:sz w:val="19"/>
          <w:szCs w:val="19"/>
          <w:lang w:val="es-419"/>
        </w:rPr>
        <w:t xml:space="preserve">. Asimismo, sostiene </w:t>
      </w:r>
      <w:r w:rsidRPr="00C92966">
        <w:rPr>
          <w:rFonts w:ascii="Cambria" w:hAnsi="Cambria"/>
          <w:bCs/>
          <w:sz w:val="19"/>
          <w:szCs w:val="19"/>
          <w:lang w:val="es-419"/>
        </w:rPr>
        <w:t xml:space="preserve">que </w:t>
      </w:r>
      <w:r w:rsidR="00C3455E">
        <w:rPr>
          <w:rFonts w:ascii="Cambria" w:hAnsi="Cambria"/>
          <w:bCs/>
          <w:sz w:val="19"/>
          <w:szCs w:val="19"/>
          <w:lang w:val="es-419"/>
        </w:rPr>
        <w:t xml:space="preserve">fueron vulneradas sus </w:t>
      </w:r>
      <w:r w:rsidR="00C92966" w:rsidRPr="00C92966">
        <w:rPr>
          <w:rFonts w:ascii="Cambria" w:hAnsi="Cambria"/>
          <w:sz w:val="20"/>
          <w:szCs w:val="20"/>
          <w:lang w:val="es-ES"/>
        </w:rPr>
        <w:t xml:space="preserve">garantías judiciales y protección judicial, pues hubo </w:t>
      </w:r>
      <w:r w:rsidR="00C3455E">
        <w:rPr>
          <w:rFonts w:ascii="Cambria" w:hAnsi="Cambria"/>
          <w:sz w:val="20"/>
          <w:szCs w:val="20"/>
          <w:lang w:val="es-ES"/>
        </w:rPr>
        <w:t xml:space="preserve">un </w:t>
      </w:r>
      <w:r w:rsidR="00C92966" w:rsidRPr="00C92966">
        <w:rPr>
          <w:rFonts w:ascii="Cambria" w:hAnsi="Cambria"/>
          <w:sz w:val="20"/>
          <w:szCs w:val="20"/>
          <w:lang w:val="es-ES"/>
        </w:rPr>
        <w:t>cambio de juez y se aplicó la analogía de manera desfavorable a las presuntas víctimas</w:t>
      </w:r>
      <w:r w:rsidRPr="00C92966">
        <w:rPr>
          <w:rFonts w:ascii="Cambria" w:hAnsi="Cambria"/>
          <w:sz w:val="20"/>
          <w:szCs w:val="20"/>
          <w:lang w:val="es-AR"/>
        </w:rPr>
        <w:t xml:space="preserve">. </w:t>
      </w:r>
      <w:r w:rsidRPr="00C92966">
        <w:rPr>
          <w:rFonts w:ascii="Cambria" w:hAnsi="Cambria"/>
          <w:bCs/>
          <w:sz w:val="19"/>
          <w:szCs w:val="19"/>
          <w:lang w:val="es-419"/>
        </w:rPr>
        <w:t xml:space="preserve">Se indica que las presuntas víctimas </w:t>
      </w:r>
      <w:r w:rsidR="00EA7CAB" w:rsidRPr="00C92966">
        <w:rPr>
          <w:rFonts w:ascii="Cambria" w:hAnsi="Cambria"/>
          <w:bCs/>
          <w:sz w:val="19"/>
          <w:szCs w:val="19"/>
          <w:lang w:val="es-419"/>
        </w:rPr>
        <w:t>son titulares, por adquisición sucesoria, del 14.20% de las acciones representativas del capital social de Laboratorios Abeefe S</w:t>
      </w:r>
      <w:r w:rsidR="00C3455E">
        <w:rPr>
          <w:rFonts w:ascii="Cambria" w:hAnsi="Cambria"/>
          <w:bCs/>
          <w:sz w:val="19"/>
          <w:szCs w:val="19"/>
          <w:lang w:val="es-419"/>
        </w:rPr>
        <w:t>.</w:t>
      </w:r>
      <w:r w:rsidR="00EA7CAB" w:rsidRPr="00C92966">
        <w:rPr>
          <w:rFonts w:ascii="Cambria" w:hAnsi="Cambria"/>
          <w:bCs/>
          <w:sz w:val="19"/>
          <w:szCs w:val="19"/>
          <w:lang w:val="es-419"/>
        </w:rPr>
        <w:t>A</w:t>
      </w:r>
      <w:r w:rsidR="00C3455E">
        <w:rPr>
          <w:rFonts w:ascii="Cambria" w:hAnsi="Cambria"/>
          <w:bCs/>
          <w:sz w:val="19"/>
          <w:szCs w:val="19"/>
          <w:lang w:val="es-419"/>
        </w:rPr>
        <w:t>.</w:t>
      </w:r>
      <w:r w:rsidR="00EA7CAB" w:rsidRPr="00C92966">
        <w:rPr>
          <w:rFonts w:ascii="Cambria" w:hAnsi="Cambria"/>
          <w:bCs/>
          <w:sz w:val="19"/>
          <w:szCs w:val="19"/>
          <w:lang w:val="es-419"/>
        </w:rPr>
        <w:t xml:space="preserve">, pero </w:t>
      </w:r>
      <w:r w:rsidR="00C3455E">
        <w:rPr>
          <w:rFonts w:ascii="Cambria" w:hAnsi="Cambria"/>
          <w:bCs/>
          <w:sz w:val="19"/>
          <w:szCs w:val="19"/>
          <w:lang w:val="es-419"/>
        </w:rPr>
        <w:t xml:space="preserve">que debido a </w:t>
      </w:r>
      <w:r w:rsidR="00EA7CAB" w:rsidRPr="00C92966">
        <w:rPr>
          <w:rFonts w:ascii="Cambria" w:hAnsi="Cambria"/>
          <w:bCs/>
          <w:sz w:val="19"/>
          <w:szCs w:val="19"/>
          <w:lang w:val="es-419"/>
        </w:rPr>
        <w:t xml:space="preserve">actos irregulares de su hermano Alfonso Belmont Sangüesa </w:t>
      </w:r>
      <w:r w:rsidR="00EA7CAB" w:rsidRPr="00C92966">
        <w:rPr>
          <w:rFonts w:ascii="Cambria" w:hAnsi="Cambria"/>
          <w:sz w:val="20"/>
          <w:szCs w:val="20"/>
          <w:lang w:val="es-ES"/>
        </w:rPr>
        <w:t xml:space="preserve">(en adelante “el </w:t>
      </w:r>
      <w:r w:rsidR="00C3455E">
        <w:rPr>
          <w:rFonts w:ascii="Cambria" w:hAnsi="Cambria"/>
          <w:sz w:val="20"/>
          <w:szCs w:val="20"/>
          <w:lang w:val="es-ES"/>
        </w:rPr>
        <w:t>señor</w:t>
      </w:r>
      <w:r w:rsidR="00EA7CAB" w:rsidRPr="00C92966">
        <w:rPr>
          <w:rFonts w:ascii="Cambria" w:hAnsi="Cambria"/>
          <w:sz w:val="20"/>
          <w:szCs w:val="20"/>
          <w:lang w:val="es-ES"/>
        </w:rPr>
        <w:t xml:space="preserve"> Alfonso”)</w:t>
      </w:r>
      <w:r w:rsidR="00EA7CAB" w:rsidRPr="00C92966">
        <w:rPr>
          <w:rFonts w:ascii="Cambria" w:hAnsi="Cambria"/>
          <w:bCs/>
          <w:sz w:val="19"/>
          <w:szCs w:val="19"/>
          <w:lang w:val="es-419"/>
        </w:rPr>
        <w:t xml:space="preserve">, desnaturalizaron su real participación en el capital social. </w:t>
      </w:r>
    </w:p>
    <w:p w14:paraId="344825FC" w14:textId="77777777" w:rsidR="009C7FF2" w:rsidRPr="00C92966" w:rsidRDefault="009C7FF2" w:rsidP="009C7F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p w14:paraId="411129DD" w14:textId="518D638D" w:rsidR="00D75C09" w:rsidRPr="004001E7" w:rsidRDefault="00EA7CAB"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C0504D" w:themeColor="accent2"/>
          <w:sz w:val="20"/>
          <w:szCs w:val="20"/>
          <w:lang w:val="es-AR"/>
        </w:rPr>
      </w:pPr>
      <w:r w:rsidRPr="004001E7">
        <w:rPr>
          <w:rFonts w:ascii="Cambria" w:hAnsi="Cambria"/>
          <w:bCs/>
          <w:sz w:val="19"/>
          <w:szCs w:val="19"/>
          <w:lang w:val="es-419"/>
        </w:rPr>
        <w:t xml:space="preserve">Según la </w:t>
      </w:r>
      <w:r w:rsidR="00C3455E">
        <w:rPr>
          <w:rFonts w:ascii="Cambria" w:hAnsi="Cambria"/>
          <w:bCs/>
          <w:sz w:val="19"/>
          <w:szCs w:val="19"/>
          <w:lang w:val="es-419"/>
        </w:rPr>
        <w:t xml:space="preserve">parte </w:t>
      </w:r>
      <w:r w:rsidRPr="004001E7">
        <w:rPr>
          <w:rFonts w:ascii="Cambria" w:hAnsi="Cambria"/>
          <w:bCs/>
          <w:sz w:val="19"/>
          <w:szCs w:val="19"/>
          <w:lang w:val="es-419"/>
        </w:rPr>
        <w:t xml:space="preserve">peticionaria, </w:t>
      </w:r>
      <w:r w:rsidR="006031D0" w:rsidRPr="004001E7">
        <w:rPr>
          <w:rFonts w:ascii="Cambria" w:hAnsi="Cambria"/>
          <w:bCs/>
          <w:sz w:val="19"/>
          <w:szCs w:val="19"/>
          <w:lang w:val="es-419"/>
        </w:rPr>
        <w:t xml:space="preserve">las </w:t>
      </w:r>
      <w:r w:rsidR="00C3455E" w:rsidRPr="004001E7">
        <w:rPr>
          <w:rFonts w:ascii="Cambria" w:hAnsi="Cambria"/>
          <w:bCs/>
          <w:sz w:val="19"/>
          <w:szCs w:val="19"/>
          <w:lang w:val="es-419"/>
        </w:rPr>
        <w:t xml:space="preserve">acciones </w:t>
      </w:r>
      <w:r w:rsidR="00C3455E">
        <w:rPr>
          <w:rFonts w:ascii="Cambria" w:hAnsi="Cambria"/>
          <w:bCs/>
          <w:sz w:val="19"/>
          <w:szCs w:val="19"/>
          <w:lang w:val="es-419"/>
        </w:rPr>
        <w:t xml:space="preserve">de las </w:t>
      </w:r>
      <w:r w:rsidR="006031D0" w:rsidRPr="004001E7">
        <w:rPr>
          <w:rFonts w:ascii="Cambria" w:hAnsi="Cambria"/>
          <w:bCs/>
          <w:sz w:val="19"/>
          <w:szCs w:val="19"/>
          <w:lang w:val="es-419"/>
        </w:rPr>
        <w:t xml:space="preserve">presuntas víctimas </w:t>
      </w:r>
      <w:r w:rsidR="00C3455E">
        <w:rPr>
          <w:rFonts w:ascii="Cambria" w:hAnsi="Cambria"/>
          <w:bCs/>
          <w:sz w:val="19"/>
          <w:szCs w:val="19"/>
          <w:lang w:val="es-419"/>
        </w:rPr>
        <w:t xml:space="preserve">fueron </w:t>
      </w:r>
      <w:r w:rsidR="006031D0" w:rsidRPr="004001E7">
        <w:rPr>
          <w:rFonts w:ascii="Cambria" w:hAnsi="Cambria"/>
          <w:bCs/>
          <w:sz w:val="19"/>
          <w:szCs w:val="19"/>
          <w:lang w:val="es-419"/>
        </w:rPr>
        <w:t xml:space="preserve">trasferidas a la esposa y al hijo del </w:t>
      </w:r>
      <w:r w:rsidR="00C3455E">
        <w:rPr>
          <w:rFonts w:ascii="Cambria" w:hAnsi="Cambria"/>
          <w:bCs/>
          <w:sz w:val="19"/>
          <w:szCs w:val="19"/>
          <w:lang w:val="es-419"/>
        </w:rPr>
        <w:t>señor</w:t>
      </w:r>
      <w:r w:rsidR="006031D0" w:rsidRPr="004001E7">
        <w:rPr>
          <w:rFonts w:ascii="Cambria" w:hAnsi="Cambria"/>
          <w:bCs/>
          <w:sz w:val="19"/>
          <w:szCs w:val="19"/>
          <w:lang w:val="es-419"/>
        </w:rPr>
        <w:t xml:space="preserve"> Alfonso sin </w:t>
      </w:r>
      <w:r w:rsidR="00C3455E">
        <w:rPr>
          <w:rFonts w:ascii="Cambria" w:hAnsi="Cambria"/>
          <w:bCs/>
          <w:sz w:val="19"/>
          <w:szCs w:val="19"/>
          <w:lang w:val="es-419"/>
        </w:rPr>
        <w:t xml:space="preserve">el </w:t>
      </w:r>
      <w:r w:rsidR="006031D0" w:rsidRPr="004001E7">
        <w:rPr>
          <w:rFonts w:ascii="Cambria" w:hAnsi="Cambria"/>
          <w:bCs/>
          <w:sz w:val="19"/>
          <w:szCs w:val="19"/>
          <w:lang w:val="es-419"/>
        </w:rPr>
        <w:t>consentimiento</w:t>
      </w:r>
      <w:r w:rsidR="00C3455E">
        <w:rPr>
          <w:rFonts w:ascii="Cambria" w:hAnsi="Cambria"/>
          <w:bCs/>
          <w:sz w:val="19"/>
          <w:szCs w:val="19"/>
          <w:lang w:val="es-419"/>
        </w:rPr>
        <w:t xml:space="preserve"> de aquellas. L</w:t>
      </w:r>
      <w:r w:rsidR="006031D0" w:rsidRPr="004001E7">
        <w:rPr>
          <w:rFonts w:ascii="Cambria" w:hAnsi="Cambria"/>
          <w:bCs/>
          <w:sz w:val="19"/>
          <w:szCs w:val="19"/>
          <w:lang w:val="es-419"/>
        </w:rPr>
        <w:t>uego de la venta de sus acciones, los nuevos accionistas celebraron Juntas Generales de Accionistas Universales</w:t>
      </w:r>
      <w:r w:rsidR="00C3455E">
        <w:rPr>
          <w:rFonts w:ascii="Cambria" w:hAnsi="Cambria"/>
          <w:bCs/>
          <w:sz w:val="19"/>
          <w:szCs w:val="19"/>
          <w:lang w:val="es-419"/>
        </w:rPr>
        <w:t>;</w:t>
      </w:r>
      <w:r w:rsidR="006031D0" w:rsidRPr="004001E7">
        <w:rPr>
          <w:rFonts w:ascii="Cambria" w:hAnsi="Cambria"/>
          <w:bCs/>
          <w:sz w:val="19"/>
          <w:szCs w:val="19"/>
          <w:lang w:val="es-419"/>
        </w:rPr>
        <w:t xml:space="preserve"> aumentaron el capital social de la empresa</w:t>
      </w:r>
      <w:r w:rsidR="00C3455E">
        <w:rPr>
          <w:rFonts w:ascii="Cambria" w:hAnsi="Cambria"/>
          <w:bCs/>
          <w:sz w:val="19"/>
          <w:szCs w:val="19"/>
          <w:lang w:val="es-419"/>
        </w:rPr>
        <w:t>;</w:t>
      </w:r>
      <w:r w:rsidR="006031D0" w:rsidRPr="004001E7">
        <w:rPr>
          <w:rFonts w:ascii="Cambria" w:hAnsi="Cambria"/>
          <w:bCs/>
          <w:sz w:val="19"/>
          <w:szCs w:val="19"/>
          <w:lang w:val="es-419"/>
        </w:rPr>
        <w:t xml:space="preserve"> </w:t>
      </w:r>
      <w:r w:rsidR="0045581A">
        <w:rPr>
          <w:rFonts w:ascii="Cambria" w:hAnsi="Cambria"/>
          <w:bCs/>
          <w:sz w:val="19"/>
          <w:szCs w:val="19"/>
          <w:lang w:val="es-419"/>
        </w:rPr>
        <w:t xml:space="preserve">y </w:t>
      </w:r>
      <w:r w:rsidR="006031D0" w:rsidRPr="004001E7">
        <w:rPr>
          <w:rFonts w:ascii="Cambria" w:hAnsi="Cambria"/>
          <w:bCs/>
          <w:sz w:val="19"/>
          <w:szCs w:val="19"/>
          <w:lang w:val="es-419"/>
        </w:rPr>
        <w:t>fusionaron la sociedad con la Unión Química S</w:t>
      </w:r>
      <w:r w:rsidR="00C3455E">
        <w:rPr>
          <w:rFonts w:ascii="Cambria" w:hAnsi="Cambria"/>
          <w:bCs/>
          <w:sz w:val="19"/>
          <w:szCs w:val="19"/>
          <w:lang w:val="es-419"/>
        </w:rPr>
        <w:t>.</w:t>
      </w:r>
      <w:r w:rsidR="006031D0" w:rsidRPr="004001E7">
        <w:rPr>
          <w:rFonts w:ascii="Cambria" w:hAnsi="Cambria"/>
          <w:bCs/>
          <w:sz w:val="19"/>
          <w:szCs w:val="19"/>
          <w:lang w:val="es-419"/>
        </w:rPr>
        <w:t>A</w:t>
      </w:r>
      <w:r w:rsidR="00C3455E">
        <w:rPr>
          <w:rFonts w:ascii="Cambria" w:hAnsi="Cambria"/>
          <w:bCs/>
          <w:sz w:val="19"/>
          <w:szCs w:val="19"/>
          <w:lang w:val="es-419"/>
        </w:rPr>
        <w:t>. y se con</w:t>
      </w:r>
      <w:r w:rsidR="006031D0" w:rsidRPr="004001E7">
        <w:rPr>
          <w:rFonts w:ascii="Cambria" w:hAnsi="Cambria"/>
          <w:bCs/>
          <w:sz w:val="19"/>
          <w:szCs w:val="19"/>
          <w:lang w:val="es-419"/>
        </w:rPr>
        <w:t>stituy</w:t>
      </w:r>
      <w:r w:rsidR="00C3455E">
        <w:rPr>
          <w:rFonts w:ascii="Cambria" w:hAnsi="Cambria"/>
          <w:bCs/>
          <w:sz w:val="19"/>
          <w:szCs w:val="19"/>
          <w:lang w:val="es-419"/>
        </w:rPr>
        <w:t>ó</w:t>
      </w:r>
      <w:r w:rsidR="006031D0" w:rsidRPr="004001E7">
        <w:rPr>
          <w:rFonts w:ascii="Cambria" w:hAnsi="Cambria"/>
          <w:bCs/>
          <w:sz w:val="19"/>
          <w:szCs w:val="19"/>
          <w:lang w:val="es-419"/>
        </w:rPr>
        <w:t xml:space="preserve"> la sociedad Abeefe S</w:t>
      </w:r>
      <w:r w:rsidR="00C3455E">
        <w:rPr>
          <w:rFonts w:ascii="Cambria" w:hAnsi="Cambria"/>
          <w:bCs/>
          <w:sz w:val="19"/>
          <w:szCs w:val="19"/>
          <w:lang w:val="es-419"/>
        </w:rPr>
        <w:t>.</w:t>
      </w:r>
      <w:r w:rsidR="006031D0" w:rsidRPr="004001E7">
        <w:rPr>
          <w:rFonts w:ascii="Cambria" w:hAnsi="Cambria"/>
          <w:bCs/>
          <w:sz w:val="19"/>
          <w:szCs w:val="19"/>
          <w:lang w:val="es-419"/>
        </w:rPr>
        <w:t>A</w:t>
      </w:r>
      <w:r w:rsidR="00C3455E">
        <w:rPr>
          <w:rFonts w:ascii="Cambria" w:hAnsi="Cambria"/>
          <w:bCs/>
          <w:sz w:val="19"/>
          <w:szCs w:val="19"/>
          <w:lang w:val="es-419"/>
        </w:rPr>
        <w:t>.</w:t>
      </w:r>
      <w:r w:rsidR="006031D0" w:rsidRPr="004001E7">
        <w:rPr>
          <w:rFonts w:ascii="Cambria" w:hAnsi="Cambria"/>
          <w:bCs/>
          <w:sz w:val="19"/>
          <w:szCs w:val="19"/>
          <w:lang w:val="es-419"/>
        </w:rPr>
        <w:t xml:space="preserve"> </w:t>
      </w:r>
      <w:r w:rsidR="0045581A">
        <w:rPr>
          <w:rFonts w:ascii="Cambria" w:hAnsi="Cambria"/>
          <w:bCs/>
          <w:sz w:val="19"/>
          <w:szCs w:val="19"/>
          <w:lang w:val="es-419"/>
        </w:rPr>
        <w:t>E</w:t>
      </w:r>
      <w:r w:rsidR="006031D0" w:rsidRPr="004001E7">
        <w:rPr>
          <w:rFonts w:ascii="Cambria" w:hAnsi="Cambria"/>
          <w:bCs/>
          <w:sz w:val="19"/>
          <w:szCs w:val="19"/>
          <w:lang w:val="es-419"/>
        </w:rPr>
        <w:t>n 1997, las acciones fueron vendida</w:t>
      </w:r>
      <w:r w:rsidR="00C3455E">
        <w:rPr>
          <w:rFonts w:ascii="Cambria" w:hAnsi="Cambria"/>
          <w:bCs/>
          <w:sz w:val="19"/>
          <w:szCs w:val="19"/>
          <w:lang w:val="es-419"/>
        </w:rPr>
        <w:t>s</w:t>
      </w:r>
      <w:r w:rsidR="006031D0" w:rsidRPr="004001E7">
        <w:rPr>
          <w:rFonts w:ascii="Cambria" w:hAnsi="Cambria"/>
          <w:bCs/>
          <w:sz w:val="19"/>
          <w:szCs w:val="19"/>
          <w:lang w:val="es-419"/>
        </w:rPr>
        <w:t xml:space="preserve"> a Bristo</w:t>
      </w:r>
      <w:r w:rsidR="008853E2" w:rsidRPr="004001E7">
        <w:rPr>
          <w:rFonts w:ascii="Cambria" w:hAnsi="Cambria"/>
          <w:bCs/>
          <w:sz w:val="19"/>
          <w:szCs w:val="19"/>
          <w:lang w:val="es-419"/>
        </w:rPr>
        <w:t xml:space="preserve">l </w:t>
      </w:r>
      <w:r w:rsidR="006031D0" w:rsidRPr="004001E7">
        <w:rPr>
          <w:rFonts w:ascii="Cambria" w:hAnsi="Cambria"/>
          <w:bCs/>
          <w:sz w:val="19"/>
          <w:szCs w:val="19"/>
          <w:lang w:val="es-419"/>
        </w:rPr>
        <w:t>Myers Squibb por un precio que las presuntas víctimas desconocen.</w:t>
      </w:r>
    </w:p>
    <w:p w14:paraId="0EEA182B" w14:textId="77777777" w:rsidR="009C7FF2" w:rsidRPr="009C7FF2" w:rsidRDefault="009C7FF2" w:rsidP="009C7F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p>
    <w:p w14:paraId="438F3319" w14:textId="77777777" w:rsidR="00551896" w:rsidRPr="00551896" w:rsidRDefault="00D04F46"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9"/>
          <w:szCs w:val="19"/>
          <w:lang w:val="es-ES"/>
        </w:rPr>
      </w:pPr>
      <w:r>
        <w:rPr>
          <w:rFonts w:ascii="Cambria" w:hAnsi="Cambria"/>
          <w:bCs/>
          <w:sz w:val="19"/>
          <w:szCs w:val="19"/>
          <w:lang w:val="es-419"/>
        </w:rPr>
        <w:t xml:space="preserve">Las </w:t>
      </w:r>
      <w:r w:rsidR="008F4712" w:rsidRPr="007D45A4">
        <w:rPr>
          <w:rFonts w:ascii="Cambria" w:hAnsi="Cambria"/>
          <w:bCs/>
          <w:sz w:val="19"/>
          <w:szCs w:val="19"/>
          <w:lang w:val="es-419"/>
        </w:rPr>
        <w:t>presuntas víctimas iniciaron un proceso de nulidad de acto jurídico en la vía civil el 12 de agosto de 1997</w:t>
      </w:r>
      <w:r w:rsidR="00624D40">
        <w:rPr>
          <w:rFonts w:ascii="Cambria" w:hAnsi="Cambria"/>
          <w:bCs/>
          <w:sz w:val="19"/>
          <w:szCs w:val="19"/>
          <w:lang w:val="es-419"/>
        </w:rPr>
        <w:t>;</w:t>
      </w:r>
      <w:r w:rsidR="008F4712" w:rsidRPr="007D45A4">
        <w:rPr>
          <w:rFonts w:ascii="Cambria" w:hAnsi="Cambria"/>
          <w:bCs/>
          <w:sz w:val="19"/>
          <w:szCs w:val="19"/>
          <w:lang w:val="es-419"/>
        </w:rPr>
        <w:t xml:space="preserve"> </w:t>
      </w:r>
      <w:r w:rsidR="00B87052" w:rsidRPr="007D45A4">
        <w:rPr>
          <w:rFonts w:ascii="Cambria" w:hAnsi="Cambria"/>
          <w:bCs/>
          <w:sz w:val="19"/>
          <w:szCs w:val="19"/>
          <w:lang w:val="es-419"/>
        </w:rPr>
        <w:t>la jueza de la audiencia fue removida del juzgado tras proponer la devolución de las acciones.</w:t>
      </w:r>
      <w:r w:rsidR="00BA29CC" w:rsidRPr="007D45A4">
        <w:rPr>
          <w:rFonts w:ascii="Cambria" w:hAnsi="Cambria"/>
          <w:bCs/>
          <w:sz w:val="19"/>
          <w:szCs w:val="19"/>
          <w:lang w:val="es-419"/>
        </w:rPr>
        <w:t xml:space="preserve"> El juez </w:t>
      </w:r>
      <w:r w:rsidR="00624D40">
        <w:rPr>
          <w:rFonts w:ascii="Cambria" w:hAnsi="Cambria"/>
          <w:bCs/>
          <w:sz w:val="19"/>
          <w:szCs w:val="19"/>
          <w:lang w:val="es-419"/>
        </w:rPr>
        <w:t xml:space="preserve">que la reemplazó </w:t>
      </w:r>
      <w:r w:rsidR="00BA29CC" w:rsidRPr="007D45A4">
        <w:rPr>
          <w:rFonts w:ascii="Cambria" w:hAnsi="Cambria"/>
          <w:bCs/>
          <w:sz w:val="19"/>
          <w:szCs w:val="19"/>
          <w:lang w:val="es-419"/>
        </w:rPr>
        <w:t xml:space="preserve">dictó sentencia favorable a las presuntas víctimas el 30 de abril de 2001, </w:t>
      </w:r>
      <w:r w:rsidR="00624D40">
        <w:rPr>
          <w:rFonts w:ascii="Cambria" w:hAnsi="Cambria"/>
          <w:bCs/>
          <w:sz w:val="19"/>
          <w:szCs w:val="19"/>
          <w:lang w:val="es-419"/>
        </w:rPr>
        <w:t xml:space="preserve">que fue apelada por </w:t>
      </w:r>
      <w:r w:rsidR="00BA29CC" w:rsidRPr="007D45A4">
        <w:rPr>
          <w:rFonts w:ascii="Cambria" w:hAnsi="Cambria"/>
          <w:bCs/>
          <w:sz w:val="19"/>
          <w:szCs w:val="19"/>
          <w:lang w:val="es-419"/>
        </w:rPr>
        <w:t xml:space="preserve">el </w:t>
      </w:r>
      <w:r w:rsidR="00624D40">
        <w:rPr>
          <w:rFonts w:ascii="Cambria" w:hAnsi="Cambria"/>
          <w:bCs/>
          <w:sz w:val="19"/>
          <w:szCs w:val="19"/>
          <w:lang w:val="es-419"/>
        </w:rPr>
        <w:t>señor</w:t>
      </w:r>
      <w:r w:rsidR="00BA29CC" w:rsidRPr="007D45A4">
        <w:rPr>
          <w:rFonts w:ascii="Cambria" w:hAnsi="Cambria"/>
          <w:bCs/>
          <w:sz w:val="19"/>
          <w:szCs w:val="19"/>
          <w:lang w:val="es-419"/>
        </w:rPr>
        <w:t xml:space="preserve"> </w:t>
      </w:r>
      <w:r w:rsidR="00BA29CC" w:rsidRPr="007D45A4">
        <w:rPr>
          <w:rFonts w:ascii="Cambria" w:hAnsi="Cambria"/>
          <w:bCs/>
          <w:sz w:val="19"/>
          <w:szCs w:val="19"/>
          <w:lang w:val="es-419"/>
        </w:rPr>
        <w:lastRenderedPageBreak/>
        <w:t>Alfonso</w:t>
      </w:r>
      <w:r w:rsidR="00624D40">
        <w:rPr>
          <w:rFonts w:ascii="Cambria" w:hAnsi="Cambria"/>
          <w:bCs/>
          <w:sz w:val="19"/>
          <w:szCs w:val="19"/>
          <w:lang w:val="es-419"/>
        </w:rPr>
        <w:t xml:space="preserve">, que además </w:t>
      </w:r>
      <w:r w:rsidR="00BA29CC" w:rsidRPr="007D45A4">
        <w:rPr>
          <w:rFonts w:ascii="Cambria" w:hAnsi="Cambria"/>
          <w:bCs/>
          <w:sz w:val="19"/>
          <w:szCs w:val="19"/>
          <w:lang w:val="es-419"/>
        </w:rPr>
        <w:t xml:space="preserve">denunció </w:t>
      </w:r>
      <w:r w:rsidR="00624D40">
        <w:rPr>
          <w:rFonts w:ascii="Cambria" w:hAnsi="Cambria"/>
          <w:bCs/>
          <w:sz w:val="19"/>
          <w:szCs w:val="19"/>
          <w:lang w:val="es-419"/>
        </w:rPr>
        <w:t>penalmente al m</w:t>
      </w:r>
      <w:r w:rsidR="00BA29CC" w:rsidRPr="007D45A4">
        <w:rPr>
          <w:rFonts w:ascii="Cambria" w:hAnsi="Cambria"/>
          <w:bCs/>
          <w:sz w:val="19"/>
          <w:szCs w:val="19"/>
          <w:lang w:val="es-419"/>
        </w:rPr>
        <w:t xml:space="preserve">agistrado. </w:t>
      </w:r>
      <w:r w:rsidR="00624D40">
        <w:rPr>
          <w:rFonts w:ascii="Cambria" w:hAnsi="Cambria"/>
          <w:bCs/>
          <w:sz w:val="19"/>
          <w:szCs w:val="19"/>
          <w:lang w:val="es-419"/>
        </w:rPr>
        <w:t>El 31 de agosto de 2001 la</w:t>
      </w:r>
      <w:r w:rsidR="00BA29CC" w:rsidRPr="007D45A4">
        <w:rPr>
          <w:rFonts w:ascii="Cambria" w:hAnsi="Cambria"/>
          <w:bCs/>
          <w:sz w:val="19"/>
          <w:szCs w:val="19"/>
          <w:lang w:val="es-419"/>
        </w:rPr>
        <w:t xml:space="preserve"> Quinta Sala Civil de la Corte Superior de Lima determinó la nulidad de la sentencia</w:t>
      </w:r>
      <w:r w:rsidR="00624D40">
        <w:rPr>
          <w:rFonts w:ascii="Cambria" w:hAnsi="Cambria"/>
          <w:bCs/>
          <w:sz w:val="19"/>
          <w:szCs w:val="19"/>
          <w:lang w:val="es-419"/>
        </w:rPr>
        <w:t xml:space="preserve"> apelada</w:t>
      </w:r>
      <w:r w:rsidR="00BA29CC" w:rsidRPr="007D45A4">
        <w:rPr>
          <w:rFonts w:ascii="Cambria" w:hAnsi="Cambria"/>
          <w:bCs/>
          <w:sz w:val="19"/>
          <w:szCs w:val="19"/>
          <w:lang w:val="es-419"/>
        </w:rPr>
        <w:t xml:space="preserve"> </w:t>
      </w:r>
      <w:r w:rsidR="00624D40">
        <w:rPr>
          <w:rFonts w:ascii="Cambria" w:hAnsi="Cambria"/>
          <w:bCs/>
          <w:sz w:val="19"/>
          <w:szCs w:val="19"/>
          <w:lang w:val="es-419"/>
        </w:rPr>
        <w:t xml:space="preserve">y dispuso que se emitiera </w:t>
      </w:r>
      <w:r w:rsidR="009D69F8" w:rsidRPr="007D45A4">
        <w:rPr>
          <w:rFonts w:ascii="Cambria" w:hAnsi="Cambria"/>
          <w:bCs/>
          <w:sz w:val="19"/>
          <w:szCs w:val="19"/>
          <w:lang w:val="es-419"/>
        </w:rPr>
        <w:t>una nueva</w:t>
      </w:r>
      <w:r w:rsidR="00624D40">
        <w:rPr>
          <w:rFonts w:ascii="Cambria" w:hAnsi="Cambria"/>
          <w:bCs/>
          <w:sz w:val="19"/>
          <w:szCs w:val="19"/>
          <w:lang w:val="es-419"/>
        </w:rPr>
        <w:t xml:space="preserve">. Asimismo, </w:t>
      </w:r>
      <w:r w:rsidR="009D69F8" w:rsidRPr="007D45A4">
        <w:rPr>
          <w:rFonts w:ascii="Cambria" w:hAnsi="Cambria"/>
          <w:bCs/>
          <w:sz w:val="19"/>
          <w:szCs w:val="19"/>
          <w:lang w:val="es-419"/>
        </w:rPr>
        <w:t xml:space="preserve">se </w:t>
      </w:r>
      <w:r w:rsidR="008F4712" w:rsidRPr="007D45A4">
        <w:rPr>
          <w:rFonts w:ascii="Cambria" w:hAnsi="Cambria"/>
          <w:bCs/>
          <w:sz w:val="19"/>
          <w:szCs w:val="19"/>
          <w:lang w:val="es-419"/>
        </w:rPr>
        <w:t>nombró</w:t>
      </w:r>
      <w:r w:rsidR="009D69F8" w:rsidRPr="007D45A4">
        <w:rPr>
          <w:rFonts w:ascii="Cambria" w:hAnsi="Cambria"/>
          <w:bCs/>
          <w:sz w:val="19"/>
          <w:szCs w:val="19"/>
          <w:lang w:val="es-419"/>
        </w:rPr>
        <w:t xml:space="preserve"> </w:t>
      </w:r>
      <w:r w:rsidR="00624D40">
        <w:rPr>
          <w:rFonts w:ascii="Cambria" w:hAnsi="Cambria"/>
          <w:bCs/>
          <w:sz w:val="19"/>
          <w:szCs w:val="19"/>
          <w:lang w:val="es-419"/>
        </w:rPr>
        <w:t>P</w:t>
      </w:r>
      <w:r w:rsidR="008F4712" w:rsidRPr="007D45A4">
        <w:rPr>
          <w:rFonts w:ascii="Cambria" w:hAnsi="Cambria"/>
          <w:bCs/>
          <w:sz w:val="19"/>
          <w:szCs w:val="19"/>
          <w:lang w:val="es-419"/>
        </w:rPr>
        <w:t xml:space="preserve">residente </w:t>
      </w:r>
      <w:r w:rsidR="00624D40">
        <w:rPr>
          <w:rFonts w:ascii="Cambria" w:hAnsi="Cambria"/>
          <w:bCs/>
          <w:sz w:val="19"/>
          <w:szCs w:val="19"/>
          <w:lang w:val="es-419"/>
        </w:rPr>
        <w:t xml:space="preserve">de dicha Corte </w:t>
      </w:r>
      <w:r w:rsidR="008F4712" w:rsidRPr="007D45A4">
        <w:rPr>
          <w:rFonts w:ascii="Cambria" w:hAnsi="Cambria"/>
          <w:bCs/>
          <w:sz w:val="19"/>
          <w:szCs w:val="19"/>
          <w:lang w:val="es-419"/>
        </w:rPr>
        <w:t>a</w:t>
      </w:r>
      <w:r w:rsidR="00624D40">
        <w:rPr>
          <w:rFonts w:ascii="Cambria" w:hAnsi="Cambria"/>
          <w:bCs/>
          <w:sz w:val="19"/>
          <w:szCs w:val="19"/>
          <w:lang w:val="es-419"/>
        </w:rPr>
        <w:t>l abogado que había</w:t>
      </w:r>
      <w:r w:rsidR="008F4712" w:rsidRPr="007D45A4">
        <w:rPr>
          <w:rFonts w:ascii="Cambria" w:hAnsi="Cambria"/>
          <w:bCs/>
          <w:sz w:val="19"/>
          <w:szCs w:val="19"/>
          <w:lang w:val="es-419"/>
        </w:rPr>
        <w:t xml:space="preserve"> interv</w:t>
      </w:r>
      <w:r w:rsidR="00624D40">
        <w:rPr>
          <w:rFonts w:ascii="Cambria" w:hAnsi="Cambria"/>
          <w:bCs/>
          <w:sz w:val="19"/>
          <w:szCs w:val="19"/>
          <w:lang w:val="es-419"/>
        </w:rPr>
        <w:t>enido</w:t>
      </w:r>
      <w:r w:rsidR="008F4712" w:rsidRPr="007D45A4">
        <w:rPr>
          <w:rFonts w:ascii="Cambria" w:hAnsi="Cambria"/>
          <w:bCs/>
          <w:sz w:val="19"/>
          <w:szCs w:val="19"/>
          <w:lang w:val="es-419"/>
        </w:rPr>
        <w:t xml:space="preserve"> en la compra de las acciones por Bristol Myers Squibb. </w:t>
      </w:r>
      <w:r w:rsidR="00624D40">
        <w:rPr>
          <w:rFonts w:ascii="Cambria" w:hAnsi="Cambria"/>
          <w:bCs/>
          <w:sz w:val="19"/>
          <w:szCs w:val="19"/>
          <w:lang w:val="es-419"/>
        </w:rPr>
        <w:t>Los</w:t>
      </w:r>
      <w:r w:rsidR="00266B54" w:rsidRPr="007D45A4">
        <w:rPr>
          <w:rFonts w:ascii="Cambria" w:hAnsi="Cambria"/>
          <w:bCs/>
          <w:sz w:val="19"/>
          <w:szCs w:val="19"/>
          <w:lang w:val="es-419"/>
        </w:rPr>
        <w:t xml:space="preserve"> autos </w:t>
      </w:r>
      <w:r w:rsidR="00624D40">
        <w:rPr>
          <w:rFonts w:ascii="Cambria" w:hAnsi="Cambria"/>
          <w:bCs/>
          <w:sz w:val="19"/>
          <w:szCs w:val="19"/>
          <w:lang w:val="es-419"/>
        </w:rPr>
        <w:t xml:space="preserve">se devolvieron </w:t>
      </w:r>
      <w:r w:rsidR="00266B54" w:rsidRPr="007D45A4">
        <w:rPr>
          <w:rFonts w:ascii="Cambria" w:hAnsi="Cambria"/>
          <w:bCs/>
          <w:sz w:val="19"/>
          <w:szCs w:val="19"/>
          <w:lang w:val="es-419"/>
        </w:rPr>
        <w:t xml:space="preserve">para que se emitiera nueva sentencia, </w:t>
      </w:r>
      <w:r w:rsidR="00624D40">
        <w:rPr>
          <w:rFonts w:ascii="Cambria" w:hAnsi="Cambria"/>
          <w:bCs/>
          <w:sz w:val="19"/>
          <w:szCs w:val="19"/>
          <w:lang w:val="es-419"/>
        </w:rPr>
        <w:t>con indicación de pronunciarse</w:t>
      </w:r>
      <w:r w:rsidR="00266B54" w:rsidRPr="007D45A4">
        <w:rPr>
          <w:rFonts w:ascii="Cambria" w:hAnsi="Cambria"/>
          <w:bCs/>
          <w:sz w:val="19"/>
          <w:szCs w:val="19"/>
          <w:lang w:val="es-419"/>
        </w:rPr>
        <w:t xml:space="preserve"> específicamente sobre las observaciones </w:t>
      </w:r>
      <w:r w:rsidR="00624D40">
        <w:rPr>
          <w:rFonts w:ascii="Cambria" w:hAnsi="Cambria"/>
          <w:bCs/>
          <w:sz w:val="19"/>
          <w:szCs w:val="19"/>
          <w:lang w:val="es-419"/>
        </w:rPr>
        <w:t>de</w:t>
      </w:r>
      <w:r w:rsidR="00266B54" w:rsidRPr="007D45A4">
        <w:rPr>
          <w:rFonts w:ascii="Cambria" w:hAnsi="Cambria"/>
          <w:bCs/>
          <w:sz w:val="19"/>
          <w:szCs w:val="19"/>
          <w:lang w:val="es-419"/>
        </w:rPr>
        <w:t xml:space="preserve"> los peritajes grafo</w:t>
      </w:r>
      <w:r w:rsidR="00624D40">
        <w:rPr>
          <w:rFonts w:ascii="Cambria" w:hAnsi="Cambria"/>
          <w:bCs/>
          <w:sz w:val="19"/>
          <w:szCs w:val="19"/>
          <w:lang w:val="es-419"/>
        </w:rPr>
        <w:t>-</w:t>
      </w:r>
      <w:r w:rsidR="00266B54" w:rsidRPr="007D45A4">
        <w:rPr>
          <w:rFonts w:ascii="Cambria" w:hAnsi="Cambria"/>
          <w:bCs/>
          <w:sz w:val="19"/>
          <w:szCs w:val="19"/>
          <w:lang w:val="es-419"/>
        </w:rPr>
        <w:t>técnicos y contables</w:t>
      </w:r>
      <w:r w:rsidR="00624D40">
        <w:rPr>
          <w:rFonts w:ascii="Cambria" w:hAnsi="Cambria"/>
          <w:bCs/>
          <w:sz w:val="19"/>
          <w:szCs w:val="19"/>
          <w:lang w:val="es-419"/>
        </w:rPr>
        <w:t>;</w:t>
      </w:r>
      <w:r w:rsidR="00266B54" w:rsidRPr="007D45A4">
        <w:rPr>
          <w:rFonts w:ascii="Cambria" w:hAnsi="Cambria"/>
          <w:bCs/>
          <w:sz w:val="19"/>
          <w:szCs w:val="19"/>
          <w:lang w:val="es-419"/>
        </w:rPr>
        <w:t xml:space="preserve"> sobre una tacha de documentos</w:t>
      </w:r>
      <w:r w:rsidR="00624D40">
        <w:rPr>
          <w:rFonts w:ascii="Cambria" w:hAnsi="Cambria"/>
          <w:bCs/>
          <w:sz w:val="19"/>
          <w:szCs w:val="19"/>
          <w:lang w:val="es-419"/>
        </w:rPr>
        <w:t>;</w:t>
      </w:r>
      <w:r w:rsidR="00266B54" w:rsidRPr="007D45A4">
        <w:rPr>
          <w:rFonts w:ascii="Cambria" w:hAnsi="Cambria"/>
          <w:bCs/>
          <w:sz w:val="19"/>
          <w:szCs w:val="19"/>
          <w:lang w:val="es-419"/>
        </w:rPr>
        <w:t xml:space="preserve"> y sobre la pretensión de indemnización por enriquecimiento sin causa. </w:t>
      </w:r>
      <w:r w:rsidR="00BA29CC" w:rsidRPr="007D45A4">
        <w:rPr>
          <w:rFonts w:ascii="Cambria" w:hAnsi="Cambria"/>
          <w:bCs/>
          <w:sz w:val="19"/>
          <w:szCs w:val="19"/>
          <w:lang w:val="es-419"/>
        </w:rPr>
        <w:t xml:space="preserve">Según la parte peticionaria, </w:t>
      </w:r>
      <w:r w:rsidR="00703A03" w:rsidRPr="007D45A4">
        <w:rPr>
          <w:rFonts w:ascii="Cambria" w:hAnsi="Cambria"/>
          <w:bCs/>
          <w:sz w:val="19"/>
          <w:szCs w:val="19"/>
          <w:lang w:val="es-419"/>
        </w:rPr>
        <w:t xml:space="preserve">fue cambiado el </w:t>
      </w:r>
      <w:r w:rsidR="00624D40">
        <w:rPr>
          <w:rFonts w:ascii="Cambria" w:hAnsi="Cambria"/>
          <w:bCs/>
          <w:sz w:val="19"/>
          <w:szCs w:val="19"/>
          <w:lang w:val="es-419"/>
        </w:rPr>
        <w:t>magistrado d</w:t>
      </w:r>
      <w:r w:rsidR="00703A03" w:rsidRPr="007D45A4">
        <w:rPr>
          <w:rFonts w:ascii="Cambria" w:hAnsi="Cambria"/>
          <w:bCs/>
          <w:sz w:val="19"/>
          <w:szCs w:val="19"/>
          <w:lang w:val="es-419"/>
        </w:rPr>
        <w:t>el 47 Juzgado Civil de Lima</w:t>
      </w:r>
      <w:r w:rsidR="00266B54" w:rsidRPr="007D45A4">
        <w:rPr>
          <w:rFonts w:ascii="Cambria" w:hAnsi="Cambria"/>
          <w:bCs/>
          <w:sz w:val="19"/>
          <w:szCs w:val="19"/>
          <w:lang w:val="es-419"/>
        </w:rPr>
        <w:t xml:space="preserve">; </w:t>
      </w:r>
      <w:r w:rsidR="00703A03" w:rsidRPr="007D45A4">
        <w:rPr>
          <w:rFonts w:ascii="Cambria" w:hAnsi="Cambria"/>
          <w:bCs/>
          <w:sz w:val="19"/>
          <w:szCs w:val="19"/>
          <w:lang w:val="es-419"/>
        </w:rPr>
        <w:t xml:space="preserve">la nueva jueza </w:t>
      </w:r>
      <w:r w:rsidR="00624D40">
        <w:rPr>
          <w:rFonts w:ascii="Cambria" w:hAnsi="Cambria"/>
          <w:bCs/>
          <w:sz w:val="19"/>
          <w:szCs w:val="19"/>
          <w:lang w:val="es-419"/>
        </w:rPr>
        <w:t xml:space="preserve">habría </w:t>
      </w:r>
      <w:r w:rsidR="00624D40" w:rsidRPr="007D45A4">
        <w:rPr>
          <w:rFonts w:ascii="Cambria" w:hAnsi="Cambria"/>
          <w:bCs/>
          <w:sz w:val="19"/>
          <w:szCs w:val="19"/>
          <w:lang w:val="es-419"/>
        </w:rPr>
        <w:t>ret</w:t>
      </w:r>
      <w:r w:rsidR="00624D40">
        <w:rPr>
          <w:rFonts w:ascii="Cambria" w:hAnsi="Cambria"/>
          <w:bCs/>
          <w:sz w:val="19"/>
          <w:szCs w:val="19"/>
          <w:lang w:val="es-419"/>
        </w:rPr>
        <w:t xml:space="preserve">enido </w:t>
      </w:r>
      <w:r w:rsidR="00703A03" w:rsidRPr="007D45A4">
        <w:rPr>
          <w:rFonts w:ascii="Cambria" w:hAnsi="Cambria"/>
          <w:bCs/>
          <w:sz w:val="19"/>
          <w:szCs w:val="19"/>
          <w:lang w:val="es-419"/>
        </w:rPr>
        <w:t>el expediente sin emitir pronunciamiento por un año</w:t>
      </w:r>
      <w:r w:rsidR="00624D40">
        <w:rPr>
          <w:rFonts w:ascii="Cambria" w:hAnsi="Cambria"/>
          <w:bCs/>
          <w:sz w:val="19"/>
          <w:szCs w:val="19"/>
          <w:lang w:val="es-419"/>
        </w:rPr>
        <w:t>.</w:t>
      </w:r>
      <w:r w:rsidR="00703A03" w:rsidRPr="007D45A4">
        <w:rPr>
          <w:rFonts w:ascii="Cambria" w:hAnsi="Cambria"/>
          <w:bCs/>
          <w:sz w:val="19"/>
          <w:szCs w:val="19"/>
          <w:lang w:val="es-419"/>
        </w:rPr>
        <w:t xml:space="preserve"> </w:t>
      </w:r>
      <w:r w:rsidR="00624D40">
        <w:rPr>
          <w:rFonts w:ascii="Cambria" w:hAnsi="Cambria"/>
          <w:bCs/>
          <w:sz w:val="19"/>
          <w:szCs w:val="19"/>
          <w:lang w:val="es-419"/>
        </w:rPr>
        <w:t>E</w:t>
      </w:r>
      <w:r w:rsidR="00703A03" w:rsidRPr="007D45A4">
        <w:rPr>
          <w:rFonts w:ascii="Cambria" w:hAnsi="Cambria"/>
          <w:bCs/>
          <w:sz w:val="19"/>
          <w:szCs w:val="19"/>
          <w:lang w:val="es-419"/>
        </w:rPr>
        <w:t xml:space="preserve">l 20 de marzo de 2003 </w:t>
      </w:r>
      <w:r w:rsidR="00624D40">
        <w:rPr>
          <w:rFonts w:ascii="Cambria" w:hAnsi="Cambria"/>
          <w:bCs/>
          <w:sz w:val="19"/>
          <w:szCs w:val="19"/>
          <w:lang w:val="es-419"/>
        </w:rPr>
        <w:t>decidió dejar</w:t>
      </w:r>
      <w:r w:rsidR="00624D40" w:rsidRPr="007D45A4">
        <w:rPr>
          <w:rFonts w:ascii="Cambria" w:hAnsi="Cambria"/>
          <w:bCs/>
          <w:sz w:val="19"/>
          <w:szCs w:val="19"/>
          <w:lang w:val="es-419"/>
        </w:rPr>
        <w:t xml:space="preserve"> sin efecto la demanda</w:t>
      </w:r>
      <w:r w:rsidR="00624D40">
        <w:rPr>
          <w:rFonts w:ascii="Cambria" w:hAnsi="Cambria"/>
          <w:bCs/>
          <w:sz w:val="19"/>
          <w:szCs w:val="19"/>
          <w:lang w:val="es-419"/>
        </w:rPr>
        <w:t xml:space="preserve"> que, conforme a la parte peticionaria, fue</w:t>
      </w:r>
      <w:r w:rsidR="00624D40" w:rsidRPr="007D45A4">
        <w:rPr>
          <w:rFonts w:ascii="Cambria" w:hAnsi="Cambria"/>
          <w:bCs/>
          <w:sz w:val="19"/>
          <w:szCs w:val="19"/>
          <w:lang w:val="es-419"/>
        </w:rPr>
        <w:t xml:space="preserve"> </w:t>
      </w:r>
      <w:r w:rsidR="00624D40">
        <w:rPr>
          <w:rFonts w:ascii="Cambria" w:hAnsi="Cambria"/>
          <w:bCs/>
          <w:sz w:val="19"/>
          <w:szCs w:val="19"/>
          <w:lang w:val="es-419"/>
        </w:rPr>
        <w:t xml:space="preserve">contra </w:t>
      </w:r>
      <w:r w:rsidR="00624D40" w:rsidRPr="007D45A4">
        <w:rPr>
          <w:rFonts w:ascii="Cambria" w:hAnsi="Cambria"/>
          <w:bCs/>
          <w:sz w:val="19"/>
          <w:szCs w:val="19"/>
          <w:lang w:val="es-419"/>
        </w:rPr>
        <w:t xml:space="preserve">el mandato de la Corte Superior </w:t>
      </w:r>
      <w:r w:rsidR="00624D40">
        <w:rPr>
          <w:rFonts w:ascii="Cambria" w:hAnsi="Cambria"/>
          <w:bCs/>
          <w:sz w:val="19"/>
          <w:szCs w:val="19"/>
          <w:lang w:val="es-419"/>
        </w:rPr>
        <w:t xml:space="preserve">ya que utilizó nuevos </w:t>
      </w:r>
      <w:r w:rsidR="00624D40" w:rsidRPr="007D45A4">
        <w:rPr>
          <w:rFonts w:ascii="Cambria" w:hAnsi="Cambria"/>
          <w:bCs/>
          <w:sz w:val="19"/>
          <w:szCs w:val="19"/>
          <w:lang w:val="es-419"/>
        </w:rPr>
        <w:t>argumentos y análisis</w:t>
      </w:r>
      <w:r w:rsidR="00266B54" w:rsidRPr="007D45A4">
        <w:rPr>
          <w:rFonts w:ascii="Cambria" w:hAnsi="Cambria"/>
          <w:bCs/>
          <w:sz w:val="19"/>
          <w:szCs w:val="19"/>
          <w:lang w:val="es-419"/>
        </w:rPr>
        <w:t xml:space="preserve">. </w:t>
      </w:r>
    </w:p>
    <w:p w14:paraId="514265C8" w14:textId="77777777" w:rsidR="00551896" w:rsidRPr="00551896" w:rsidRDefault="00551896" w:rsidP="0055189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19"/>
          <w:szCs w:val="19"/>
          <w:lang w:val="es-ES"/>
        </w:rPr>
      </w:pPr>
    </w:p>
    <w:p w14:paraId="75020CF1" w14:textId="3D8B1E7B" w:rsidR="006A0FFE" w:rsidRPr="009C7FF2" w:rsidRDefault="00703A03"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9"/>
          <w:szCs w:val="19"/>
          <w:lang w:val="es-ES"/>
        </w:rPr>
      </w:pPr>
      <w:r w:rsidRPr="007D45A4">
        <w:rPr>
          <w:rFonts w:ascii="Cambria" w:hAnsi="Cambria"/>
          <w:bCs/>
          <w:sz w:val="19"/>
          <w:szCs w:val="19"/>
          <w:lang w:val="es-419"/>
        </w:rPr>
        <w:t xml:space="preserve">Las presuntas víctimas apelaron </w:t>
      </w:r>
      <w:r w:rsidR="00551896">
        <w:rPr>
          <w:rFonts w:ascii="Cambria" w:hAnsi="Cambria"/>
          <w:bCs/>
          <w:sz w:val="19"/>
          <w:szCs w:val="19"/>
          <w:lang w:val="es-419"/>
        </w:rPr>
        <w:t>esta última</w:t>
      </w:r>
      <w:r w:rsidRPr="007D45A4">
        <w:rPr>
          <w:rFonts w:ascii="Cambria" w:hAnsi="Cambria"/>
          <w:bCs/>
          <w:sz w:val="19"/>
          <w:szCs w:val="19"/>
          <w:lang w:val="es-419"/>
        </w:rPr>
        <w:t xml:space="preserve"> sentencia, </w:t>
      </w:r>
      <w:r w:rsidR="00624D40">
        <w:rPr>
          <w:rFonts w:ascii="Cambria" w:hAnsi="Cambria"/>
          <w:bCs/>
          <w:sz w:val="19"/>
          <w:szCs w:val="19"/>
          <w:lang w:val="es-419"/>
        </w:rPr>
        <w:t>que</w:t>
      </w:r>
      <w:r w:rsidRPr="007D45A4">
        <w:rPr>
          <w:rFonts w:ascii="Cambria" w:hAnsi="Cambria"/>
          <w:bCs/>
          <w:sz w:val="19"/>
          <w:szCs w:val="19"/>
          <w:lang w:val="es-419"/>
        </w:rPr>
        <w:t xml:space="preserve"> fue confirmada por la Quinta Sala de la Corte Superior de Lima</w:t>
      </w:r>
      <w:r w:rsidR="009C7FF2">
        <w:rPr>
          <w:rFonts w:ascii="Cambria" w:hAnsi="Cambria"/>
          <w:bCs/>
          <w:sz w:val="19"/>
          <w:szCs w:val="19"/>
          <w:lang w:val="es-419"/>
        </w:rPr>
        <w:t>. El</w:t>
      </w:r>
      <w:r w:rsidR="009C7FF2" w:rsidRPr="007D45A4">
        <w:rPr>
          <w:rFonts w:ascii="Cambria" w:hAnsi="Cambria"/>
          <w:bCs/>
          <w:sz w:val="19"/>
          <w:szCs w:val="19"/>
          <w:lang w:val="es-419"/>
        </w:rPr>
        <w:t xml:space="preserve"> 9 de octubre de 2003 </w:t>
      </w:r>
      <w:r w:rsidRPr="007D45A4">
        <w:rPr>
          <w:rFonts w:ascii="Cambria" w:hAnsi="Cambria"/>
          <w:bCs/>
          <w:sz w:val="19"/>
          <w:szCs w:val="19"/>
          <w:lang w:val="es-419"/>
        </w:rPr>
        <w:t xml:space="preserve">presentaron un </w:t>
      </w:r>
      <w:r w:rsidR="009C7FF2">
        <w:rPr>
          <w:rFonts w:ascii="Cambria" w:hAnsi="Cambria"/>
          <w:bCs/>
          <w:sz w:val="19"/>
          <w:szCs w:val="19"/>
          <w:lang w:val="es-419"/>
        </w:rPr>
        <w:t>r</w:t>
      </w:r>
      <w:r w:rsidRPr="007D45A4">
        <w:rPr>
          <w:rFonts w:ascii="Cambria" w:hAnsi="Cambria"/>
          <w:bCs/>
          <w:sz w:val="19"/>
          <w:szCs w:val="19"/>
          <w:lang w:val="es-419"/>
        </w:rPr>
        <w:t xml:space="preserve">ecurso de </w:t>
      </w:r>
      <w:r w:rsidR="009C7FF2">
        <w:rPr>
          <w:rFonts w:ascii="Cambria" w:hAnsi="Cambria"/>
          <w:bCs/>
          <w:sz w:val="19"/>
          <w:szCs w:val="19"/>
          <w:lang w:val="es-419"/>
        </w:rPr>
        <w:t>c</w:t>
      </w:r>
      <w:r w:rsidRPr="007D45A4">
        <w:rPr>
          <w:rFonts w:ascii="Cambria" w:hAnsi="Cambria"/>
          <w:bCs/>
          <w:sz w:val="19"/>
          <w:szCs w:val="19"/>
          <w:lang w:val="es-419"/>
        </w:rPr>
        <w:t xml:space="preserve">asación </w:t>
      </w:r>
      <w:r w:rsidR="008016B9" w:rsidRPr="007D45A4">
        <w:rPr>
          <w:rFonts w:ascii="Cambria" w:hAnsi="Cambria"/>
          <w:bCs/>
          <w:sz w:val="19"/>
          <w:szCs w:val="19"/>
          <w:lang w:val="es-419"/>
        </w:rPr>
        <w:t>juzgado por una composición irregular de la Corte</w:t>
      </w:r>
      <w:r w:rsidR="008C71E7" w:rsidRPr="007D45A4">
        <w:rPr>
          <w:rFonts w:ascii="Cambria" w:hAnsi="Cambria"/>
          <w:bCs/>
          <w:sz w:val="19"/>
          <w:szCs w:val="19"/>
          <w:lang w:val="es-419"/>
        </w:rPr>
        <w:t xml:space="preserve"> ante la </w:t>
      </w:r>
      <w:r w:rsidR="00266B54" w:rsidRPr="007D45A4">
        <w:rPr>
          <w:rFonts w:ascii="Cambria" w:hAnsi="Cambria"/>
          <w:bCs/>
          <w:sz w:val="19"/>
          <w:szCs w:val="19"/>
          <w:lang w:val="es-419"/>
        </w:rPr>
        <w:t>abstención del Juez Presidente</w:t>
      </w:r>
      <w:r w:rsidR="009C7FF2">
        <w:rPr>
          <w:rFonts w:ascii="Cambria" w:hAnsi="Cambria"/>
          <w:bCs/>
          <w:sz w:val="19"/>
          <w:szCs w:val="19"/>
          <w:lang w:val="es-419"/>
        </w:rPr>
        <w:t xml:space="preserve">. Afirma que este hecho no </w:t>
      </w:r>
      <w:r w:rsidR="002B7E54" w:rsidRPr="007D45A4">
        <w:rPr>
          <w:rFonts w:ascii="Cambria" w:hAnsi="Cambria"/>
          <w:bCs/>
          <w:sz w:val="19"/>
          <w:szCs w:val="19"/>
          <w:lang w:val="es-419"/>
        </w:rPr>
        <w:t>fue informad</w:t>
      </w:r>
      <w:r w:rsidR="009C7FF2">
        <w:rPr>
          <w:rFonts w:ascii="Cambria" w:hAnsi="Cambria"/>
          <w:bCs/>
          <w:sz w:val="19"/>
          <w:szCs w:val="19"/>
          <w:lang w:val="es-419"/>
        </w:rPr>
        <w:t>o</w:t>
      </w:r>
      <w:r w:rsidR="002B7E54" w:rsidRPr="007D45A4">
        <w:rPr>
          <w:rFonts w:ascii="Cambria" w:hAnsi="Cambria"/>
          <w:bCs/>
          <w:sz w:val="19"/>
          <w:szCs w:val="19"/>
          <w:lang w:val="es-419"/>
        </w:rPr>
        <w:t xml:space="preserve"> a las presuntas víctimas </w:t>
      </w:r>
      <w:r w:rsidR="009C7FF2">
        <w:rPr>
          <w:rFonts w:ascii="Cambria" w:hAnsi="Cambria"/>
          <w:bCs/>
          <w:sz w:val="19"/>
          <w:szCs w:val="19"/>
          <w:lang w:val="es-419"/>
        </w:rPr>
        <w:t xml:space="preserve">sino hasta </w:t>
      </w:r>
      <w:r w:rsidR="002B7E54" w:rsidRPr="007D45A4">
        <w:rPr>
          <w:rFonts w:ascii="Cambria" w:hAnsi="Cambria"/>
          <w:bCs/>
          <w:sz w:val="19"/>
          <w:szCs w:val="19"/>
          <w:lang w:val="es-419"/>
        </w:rPr>
        <w:t xml:space="preserve">el 19 de julio de 2004; </w:t>
      </w:r>
      <w:r w:rsidR="009C7FF2">
        <w:rPr>
          <w:rFonts w:ascii="Cambria" w:hAnsi="Cambria"/>
          <w:bCs/>
          <w:sz w:val="19"/>
          <w:szCs w:val="19"/>
          <w:lang w:val="es-419"/>
        </w:rPr>
        <w:t xml:space="preserve">y que </w:t>
      </w:r>
      <w:r w:rsidR="002B7E54" w:rsidRPr="007D45A4">
        <w:rPr>
          <w:rFonts w:ascii="Cambria" w:hAnsi="Cambria"/>
          <w:bCs/>
          <w:sz w:val="19"/>
          <w:szCs w:val="19"/>
          <w:lang w:val="es-419"/>
        </w:rPr>
        <w:t>además hubo</w:t>
      </w:r>
      <w:r w:rsidR="008016B9" w:rsidRPr="007D45A4">
        <w:rPr>
          <w:rFonts w:ascii="Cambria" w:hAnsi="Cambria"/>
          <w:bCs/>
          <w:sz w:val="19"/>
          <w:szCs w:val="19"/>
          <w:lang w:val="es-419"/>
        </w:rPr>
        <w:t xml:space="preserve"> una serie de recusaciones e inhibitorias de los jueces</w:t>
      </w:r>
      <w:r w:rsidR="002B7E54" w:rsidRPr="007D45A4">
        <w:rPr>
          <w:rFonts w:ascii="Cambria" w:hAnsi="Cambria"/>
          <w:bCs/>
          <w:sz w:val="19"/>
          <w:szCs w:val="19"/>
          <w:lang w:val="es-419"/>
        </w:rPr>
        <w:t xml:space="preserve">. </w:t>
      </w:r>
      <w:r w:rsidR="009C7FF2">
        <w:rPr>
          <w:rFonts w:ascii="Cambria" w:hAnsi="Cambria"/>
          <w:bCs/>
          <w:sz w:val="19"/>
          <w:szCs w:val="19"/>
          <w:lang w:val="es-419"/>
        </w:rPr>
        <w:t>El</w:t>
      </w:r>
      <w:r w:rsidR="002B7E54" w:rsidRPr="007D45A4">
        <w:rPr>
          <w:rFonts w:ascii="Cambria" w:hAnsi="Cambria"/>
          <w:bCs/>
          <w:sz w:val="19"/>
          <w:szCs w:val="19"/>
          <w:lang w:val="es-419"/>
        </w:rPr>
        <w:t xml:space="preserve"> recurso de casación fue declarado improcedente</w:t>
      </w:r>
      <w:r w:rsidR="009C7FF2" w:rsidRPr="009C7FF2">
        <w:rPr>
          <w:rFonts w:ascii="Cambria" w:hAnsi="Cambria"/>
          <w:sz w:val="19"/>
          <w:szCs w:val="19"/>
          <w:lang w:val="es-ES"/>
        </w:rPr>
        <w:t xml:space="preserve"> </w:t>
      </w:r>
      <w:r w:rsidR="009C7FF2" w:rsidRPr="007D45A4">
        <w:rPr>
          <w:rFonts w:ascii="Cambria" w:hAnsi="Cambria"/>
          <w:sz w:val="19"/>
          <w:szCs w:val="19"/>
          <w:lang w:val="es-ES"/>
        </w:rPr>
        <w:t>e</w:t>
      </w:r>
      <w:r w:rsidR="009C7FF2" w:rsidRPr="007D45A4">
        <w:rPr>
          <w:rFonts w:ascii="Cambria" w:hAnsi="Cambria"/>
          <w:bCs/>
          <w:sz w:val="19"/>
          <w:szCs w:val="19"/>
          <w:lang w:val="es-419"/>
        </w:rPr>
        <w:t>l 21 de julio de 2004</w:t>
      </w:r>
      <w:r w:rsidR="002B7E54" w:rsidRPr="007D45A4">
        <w:rPr>
          <w:rFonts w:ascii="Cambria" w:hAnsi="Cambria"/>
          <w:bCs/>
          <w:sz w:val="19"/>
          <w:szCs w:val="19"/>
          <w:lang w:val="es-419"/>
        </w:rPr>
        <w:t xml:space="preserve">, </w:t>
      </w:r>
      <w:r w:rsidR="009C7FF2">
        <w:rPr>
          <w:rFonts w:ascii="Cambria" w:hAnsi="Cambria"/>
          <w:bCs/>
          <w:sz w:val="19"/>
          <w:szCs w:val="19"/>
          <w:lang w:val="es-419"/>
        </w:rPr>
        <w:t xml:space="preserve">en </w:t>
      </w:r>
      <w:r w:rsidR="002B7E54" w:rsidRPr="007D45A4">
        <w:rPr>
          <w:rFonts w:ascii="Cambria" w:hAnsi="Cambria"/>
          <w:bCs/>
          <w:sz w:val="19"/>
          <w:szCs w:val="19"/>
          <w:lang w:val="es-419"/>
        </w:rPr>
        <w:t xml:space="preserve">contra </w:t>
      </w:r>
      <w:r w:rsidR="009C7FF2">
        <w:rPr>
          <w:rFonts w:ascii="Cambria" w:hAnsi="Cambria"/>
          <w:bCs/>
          <w:sz w:val="19"/>
          <w:szCs w:val="19"/>
          <w:lang w:val="es-419"/>
        </w:rPr>
        <w:t xml:space="preserve">de lo establecido en </w:t>
      </w:r>
      <w:r w:rsidR="002B7E54" w:rsidRPr="007D45A4">
        <w:rPr>
          <w:rFonts w:ascii="Cambria" w:hAnsi="Cambria"/>
          <w:bCs/>
          <w:sz w:val="19"/>
          <w:szCs w:val="19"/>
          <w:lang w:val="es-419"/>
        </w:rPr>
        <w:t>el artículo 47 del Código Procesal Civil peruano</w:t>
      </w:r>
      <w:r w:rsidR="009C7FF2">
        <w:rPr>
          <w:rFonts w:ascii="Cambria" w:hAnsi="Cambria"/>
          <w:bCs/>
          <w:sz w:val="19"/>
          <w:szCs w:val="19"/>
          <w:lang w:val="es-419"/>
        </w:rPr>
        <w:t>.</w:t>
      </w:r>
      <w:r w:rsidR="002B7E54" w:rsidRPr="007D45A4">
        <w:rPr>
          <w:rFonts w:ascii="Cambria" w:hAnsi="Cambria"/>
          <w:bCs/>
          <w:sz w:val="19"/>
          <w:szCs w:val="19"/>
          <w:lang w:val="es-419"/>
        </w:rPr>
        <w:t xml:space="preserve"> </w:t>
      </w:r>
      <w:r w:rsidR="009C7FF2">
        <w:rPr>
          <w:rFonts w:ascii="Cambria" w:hAnsi="Cambria"/>
          <w:bCs/>
          <w:sz w:val="19"/>
          <w:szCs w:val="19"/>
          <w:lang w:val="es-419"/>
        </w:rPr>
        <w:t xml:space="preserve">Dicho artículo </w:t>
      </w:r>
      <w:r w:rsidR="007D45A4" w:rsidRPr="007D45A4">
        <w:rPr>
          <w:rFonts w:ascii="Cambria" w:hAnsi="Cambria"/>
          <w:bCs/>
          <w:sz w:val="19"/>
          <w:szCs w:val="19"/>
          <w:lang w:val="es-419"/>
        </w:rPr>
        <w:t>estipula que deben transcurrir cuando menos 3 días hábiles entre la fecha de la notificación y la actuación procesal,</w:t>
      </w:r>
      <w:r w:rsidR="009C7FF2">
        <w:rPr>
          <w:rFonts w:ascii="Cambria" w:hAnsi="Cambria"/>
          <w:bCs/>
          <w:sz w:val="19"/>
          <w:szCs w:val="19"/>
          <w:lang w:val="es-419"/>
        </w:rPr>
        <w:t xml:space="preserve"> </w:t>
      </w:r>
      <w:r w:rsidR="002B7E54" w:rsidRPr="007D45A4">
        <w:rPr>
          <w:rFonts w:ascii="Cambria" w:hAnsi="Cambria"/>
          <w:bCs/>
          <w:sz w:val="19"/>
          <w:szCs w:val="19"/>
          <w:lang w:val="es-419"/>
        </w:rPr>
        <w:t xml:space="preserve">razón por la cual las presuntas víctimas interpusieron </w:t>
      </w:r>
      <w:r w:rsidR="009C7FF2">
        <w:rPr>
          <w:rFonts w:ascii="Cambria" w:hAnsi="Cambria"/>
          <w:bCs/>
          <w:sz w:val="19"/>
          <w:szCs w:val="19"/>
          <w:lang w:val="es-419"/>
        </w:rPr>
        <w:t xml:space="preserve">un </w:t>
      </w:r>
      <w:r w:rsidR="002B7E54" w:rsidRPr="007D45A4">
        <w:rPr>
          <w:rFonts w:ascii="Cambria" w:hAnsi="Cambria"/>
          <w:bCs/>
          <w:sz w:val="19"/>
          <w:szCs w:val="19"/>
          <w:lang w:val="es-419"/>
        </w:rPr>
        <w:t>recurso de nulidad</w:t>
      </w:r>
      <w:r w:rsidR="009C7FF2">
        <w:rPr>
          <w:rFonts w:ascii="Cambria" w:hAnsi="Cambria"/>
          <w:bCs/>
          <w:sz w:val="19"/>
          <w:szCs w:val="19"/>
          <w:lang w:val="es-419"/>
        </w:rPr>
        <w:t xml:space="preserve"> que fue </w:t>
      </w:r>
      <w:r w:rsidR="00556E72" w:rsidRPr="007D45A4">
        <w:rPr>
          <w:rFonts w:ascii="Cambria" w:hAnsi="Cambria"/>
          <w:bCs/>
          <w:sz w:val="19"/>
          <w:szCs w:val="19"/>
          <w:lang w:val="es-419"/>
        </w:rPr>
        <w:t xml:space="preserve">declarado infundado el 5 de octubre de 2004. Además, el 10 de diciembre </w:t>
      </w:r>
      <w:r w:rsidR="009C7FF2">
        <w:rPr>
          <w:rFonts w:ascii="Cambria" w:hAnsi="Cambria"/>
          <w:bCs/>
          <w:sz w:val="19"/>
          <w:szCs w:val="19"/>
          <w:lang w:val="es-419"/>
        </w:rPr>
        <w:t xml:space="preserve">de 2004 </w:t>
      </w:r>
      <w:r w:rsidR="00556E72" w:rsidRPr="007D45A4">
        <w:rPr>
          <w:rFonts w:ascii="Cambria" w:hAnsi="Cambria"/>
          <w:bCs/>
          <w:sz w:val="19"/>
          <w:szCs w:val="19"/>
          <w:lang w:val="es-419"/>
        </w:rPr>
        <w:t>present</w:t>
      </w:r>
      <w:r w:rsidR="00551896">
        <w:rPr>
          <w:rFonts w:ascii="Cambria" w:hAnsi="Cambria"/>
          <w:bCs/>
          <w:sz w:val="19"/>
          <w:szCs w:val="19"/>
          <w:lang w:val="es-419"/>
        </w:rPr>
        <w:t>aron</w:t>
      </w:r>
      <w:r w:rsidR="00556E72" w:rsidRPr="007D45A4">
        <w:rPr>
          <w:rFonts w:ascii="Cambria" w:hAnsi="Cambria"/>
          <w:bCs/>
          <w:sz w:val="19"/>
          <w:szCs w:val="19"/>
          <w:lang w:val="es-419"/>
        </w:rPr>
        <w:t xml:space="preserve"> </w:t>
      </w:r>
      <w:r w:rsidR="009C7FF2">
        <w:rPr>
          <w:rFonts w:ascii="Cambria" w:hAnsi="Cambria"/>
          <w:bCs/>
          <w:sz w:val="19"/>
          <w:szCs w:val="19"/>
          <w:lang w:val="es-419"/>
        </w:rPr>
        <w:t>un r</w:t>
      </w:r>
      <w:r w:rsidR="00556E72" w:rsidRPr="007D45A4">
        <w:rPr>
          <w:rFonts w:ascii="Cambria" w:hAnsi="Cambria"/>
          <w:bCs/>
          <w:sz w:val="19"/>
          <w:szCs w:val="19"/>
          <w:lang w:val="es-419"/>
        </w:rPr>
        <w:t xml:space="preserve">ecurso de amparo, </w:t>
      </w:r>
      <w:r w:rsidR="009C7FF2">
        <w:rPr>
          <w:rFonts w:ascii="Cambria" w:hAnsi="Cambria"/>
          <w:bCs/>
          <w:sz w:val="19"/>
          <w:szCs w:val="19"/>
          <w:lang w:val="es-419"/>
        </w:rPr>
        <w:t xml:space="preserve">que se </w:t>
      </w:r>
      <w:r w:rsidR="00556E72" w:rsidRPr="007D45A4">
        <w:rPr>
          <w:rFonts w:ascii="Cambria" w:hAnsi="Cambria"/>
          <w:bCs/>
          <w:sz w:val="19"/>
          <w:szCs w:val="19"/>
          <w:lang w:val="es-419"/>
        </w:rPr>
        <w:t>declar</w:t>
      </w:r>
      <w:r w:rsidR="009C7FF2">
        <w:rPr>
          <w:rFonts w:ascii="Cambria" w:hAnsi="Cambria"/>
          <w:bCs/>
          <w:sz w:val="19"/>
          <w:szCs w:val="19"/>
          <w:lang w:val="es-419"/>
        </w:rPr>
        <w:t>ó</w:t>
      </w:r>
      <w:r w:rsidR="00556E72" w:rsidRPr="007D45A4">
        <w:rPr>
          <w:rFonts w:ascii="Cambria" w:hAnsi="Cambria"/>
          <w:bCs/>
          <w:sz w:val="19"/>
          <w:szCs w:val="19"/>
          <w:lang w:val="es-419"/>
        </w:rPr>
        <w:t xml:space="preserve"> infundado</w:t>
      </w:r>
      <w:r w:rsidR="009C7FF2">
        <w:rPr>
          <w:rFonts w:ascii="Cambria" w:hAnsi="Cambria"/>
          <w:bCs/>
          <w:sz w:val="19"/>
          <w:szCs w:val="19"/>
          <w:lang w:val="es-419"/>
        </w:rPr>
        <w:t>;</w:t>
      </w:r>
      <w:r w:rsidR="00556E72" w:rsidRPr="007D45A4">
        <w:rPr>
          <w:rFonts w:ascii="Cambria" w:hAnsi="Cambria"/>
          <w:bCs/>
          <w:sz w:val="19"/>
          <w:szCs w:val="19"/>
          <w:lang w:val="es-419"/>
        </w:rPr>
        <w:t xml:space="preserve"> </w:t>
      </w:r>
      <w:r w:rsidR="00551896">
        <w:rPr>
          <w:rFonts w:ascii="Cambria" w:hAnsi="Cambria"/>
          <w:bCs/>
          <w:sz w:val="19"/>
          <w:szCs w:val="19"/>
          <w:lang w:val="es-419"/>
        </w:rPr>
        <w:t xml:space="preserve">y </w:t>
      </w:r>
      <w:r w:rsidR="009C7FF2" w:rsidRPr="007D45A4">
        <w:rPr>
          <w:rFonts w:ascii="Cambria" w:hAnsi="Cambria"/>
          <w:bCs/>
          <w:sz w:val="19"/>
          <w:szCs w:val="19"/>
          <w:lang w:val="es-419"/>
        </w:rPr>
        <w:t xml:space="preserve">el 24 de julio de 2007 </w:t>
      </w:r>
      <w:r w:rsidR="00551896">
        <w:rPr>
          <w:rFonts w:ascii="Cambria" w:hAnsi="Cambria"/>
          <w:bCs/>
          <w:sz w:val="19"/>
          <w:szCs w:val="19"/>
          <w:lang w:val="es-419"/>
        </w:rPr>
        <w:t xml:space="preserve">plantearon </w:t>
      </w:r>
      <w:r w:rsidR="009C7FF2">
        <w:rPr>
          <w:rFonts w:ascii="Cambria" w:hAnsi="Cambria"/>
          <w:bCs/>
          <w:sz w:val="19"/>
          <w:szCs w:val="19"/>
          <w:lang w:val="es-419"/>
        </w:rPr>
        <w:t xml:space="preserve">un </w:t>
      </w:r>
      <w:r w:rsidR="00556E72" w:rsidRPr="007D45A4">
        <w:rPr>
          <w:rFonts w:ascii="Cambria" w:hAnsi="Cambria"/>
          <w:bCs/>
          <w:sz w:val="19"/>
          <w:szCs w:val="19"/>
          <w:lang w:val="es-419"/>
        </w:rPr>
        <w:t xml:space="preserve">recurso de agravio constitucional </w:t>
      </w:r>
      <w:r w:rsidR="009C7FF2">
        <w:rPr>
          <w:rFonts w:ascii="Cambria" w:hAnsi="Cambria"/>
          <w:bCs/>
          <w:sz w:val="19"/>
          <w:szCs w:val="19"/>
          <w:lang w:val="es-419"/>
        </w:rPr>
        <w:t xml:space="preserve">que se </w:t>
      </w:r>
      <w:r w:rsidR="00857B7A" w:rsidRPr="007D45A4">
        <w:rPr>
          <w:rFonts w:ascii="Cambria" w:hAnsi="Cambria"/>
          <w:bCs/>
          <w:sz w:val="19"/>
          <w:szCs w:val="19"/>
          <w:lang w:val="es-419"/>
        </w:rPr>
        <w:t>declar</w:t>
      </w:r>
      <w:r w:rsidR="009C7FF2">
        <w:rPr>
          <w:rFonts w:ascii="Cambria" w:hAnsi="Cambria"/>
          <w:bCs/>
          <w:sz w:val="19"/>
          <w:szCs w:val="19"/>
          <w:lang w:val="es-419"/>
        </w:rPr>
        <w:t>ó</w:t>
      </w:r>
      <w:r w:rsidR="00857B7A" w:rsidRPr="007D45A4">
        <w:rPr>
          <w:rFonts w:ascii="Cambria" w:hAnsi="Cambria"/>
          <w:bCs/>
          <w:sz w:val="19"/>
          <w:szCs w:val="19"/>
          <w:lang w:val="es-419"/>
        </w:rPr>
        <w:t xml:space="preserve"> infunda</w:t>
      </w:r>
      <w:r w:rsidR="009C7FF2">
        <w:rPr>
          <w:rFonts w:ascii="Cambria" w:hAnsi="Cambria"/>
          <w:bCs/>
          <w:sz w:val="19"/>
          <w:szCs w:val="19"/>
          <w:lang w:val="es-419"/>
        </w:rPr>
        <w:t>do. La parte peticionaria</w:t>
      </w:r>
      <w:r w:rsidR="00857B7A" w:rsidRPr="007D45A4">
        <w:rPr>
          <w:rFonts w:ascii="Cambria" w:hAnsi="Cambria"/>
          <w:bCs/>
          <w:sz w:val="19"/>
          <w:szCs w:val="19"/>
          <w:lang w:val="es-419"/>
        </w:rPr>
        <w:t xml:space="preserve"> sostiene </w:t>
      </w:r>
      <w:r w:rsidR="002F0FAD" w:rsidRPr="007D45A4">
        <w:rPr>
          <w:rFonts w:ascii="Cambria" w:hAnsi="Cambria"/>
          <w:bCs/>
          <w:sz w:val="19"/>
          <w:szCs w:val="19"/>
          <w:lang w:val="es-419"/>
        </w:rPr>
        <w:t xml:space="preserve">no </w:t>
      </w:r>
      <w:r w:rsidR="009C7FF2">
        <w:rPr>
          <w:rFonts w:ascii="Cambria" w:hAnsi="Cambria"/>
          <w:bCs/>
          <w:sz w:val="19"/>
          <w:szCs w:val="19"/>
          <w:lang w:val="es-419"/>
        </w:rPr>
        <w:t xml:space="preserve">se </w:t>
      </w:r>
      <w:r w:rsidR="002F0FAD" w:rsidRPr="007D45A4">
        <w:rPr>
          <w:rFonts w:ascii="Cambria" w:hAnsi="Cambria"/>
          <w:bCs/>
          <w:sz w:val="19"/>
          <w:szCs w:val="19"/>
          <w:lang w:val="es-419"/>
        </w:rPr>
        <w:t>podía</w:t>
      </w:r>
      <w:r w:rsidR="009C7FF2">
        <w:rPr>
          <w:rFonts w:ascii="Cambria" w:hAnsi="Cambria"/>
          <w:bCs/>
          <w:sz w:val="19"/>
          <w:szCs w:val="19"/>
          <w:lang w:val="es-419"/>
        </w:rPr>
        <w:t>n</w:t>
      </w:r>
      <w:r w:rsidR="002F0FAD" w:rsidRPr="007D45A4">
        <w:rPr>
          <w:rFonts w:ascii="Cambria" w:hAnsi="Cambria"/>
          <w:bCs/>
          <w:sz w:val="19"/>
          <w:szCs w:val="19"/>
          <w:lang w:val="es-419"/>
        </w:rPr>
        <w:t xml:space="preserve"> aplica</w:t>
      </w:r>
      <w:r w:rsidR="009C7FF2">
        <w:rPr>
          <w:rFonts w:ascii="Cambria" w:hAnsi="Cambria"/>
          <w:bCs/>
          <w:sz w:val="19"/>
          <w:szCs w:val="19"/>
          <w:lang w:val="es-419"/>
        </w:rPr>
        <w:t>r por</w:t>
      </w:r>
      <w:r w:rsidR="002F0FAD" w:rsidRPr="007D45A4">
        <w:rPr>
          <w:rFonts w:ascii="Cambria" w:hAnsi="Cambria"/>
          <w:bCs/>
          <w:sz w:val="19"/>
          <w:szCs w:val="19"/>
          <w:lang w:val="es-419"/>
        </w:rPr>
        <w:t xml:space="preserve"> analogía normas que afecten o restrinjan </w:t>
      </w:r>
      <w:r w:rsidR="00551896">
        <w:rPr>
          <w:rFonts w:ascii="Cambria" w:hAnsi="Cambria"/>
          <w:bCs/>
          <w:sz w:val="19"/>
          <w:szCs w:val="19"/>
          <w:lang w:val="es-419"/>
        </w:rPr>
        <w:t>derechos fundamentales.</w:t>
      </w:r>
    </w:p>
    <w:p w14:paraId="7AC5AC93" w14:textId="77777777" w:rsidR="009C7FF2" w:rsidRPr="007D45A4" w:rsidRDefault="009C7FF2" w:rsidP="009C7FF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9"/>
          <w:szCs w:val="19"/>
          <w:lang w:val="es-ES"/>
        </w:rPr>
      </w:pPr>
    </w:p>
    <w:p w14:paraId="47A48C9E" w14:textId="294A5049" w:rsidR="00ED252A" w:rsidRPr="00D04F46" w:rsidRDefault="00ED252A"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bCs/>
          <w:sz w:val="19"/>
          <w:szCs w:val="19"/>
          <w:lang w:val="es-419"/>
        </w:rPr>
        <w:t xml:space="preserve">De otra parte, el Estado sostiene que, en </w:t>
      </w:r>
      <w:r w:rsidR="00551896">
        <w:rPr>
          <w:rFonts w:ascii="Cambria" w:hAnsi="Cambria"/>
          <w:bCs/>
          <w:sz w:val="19"/>
          <w:szCs w:val="19"/>
          <w:lang w:val="es-419"/>
        </w:rPr>
        <w:t xml:space="preserve">su </w:t>
      </w:r>
      <w:r>
        <w:rPr>
          <w:rFonts w:ascii="Cambria" w:hAnsi="Cambria"/>
          <w:bCs/>
          <w:sz w:val="19"/>
          <w:szCs w:val="19"/>
          <w:lang w:val="es-419"/>
        </w:rPr>
        <w:t>sentencia de amparo</w:t>
      </w:r>
      <w:r w:rsidR="00551896">
        <w:rPr>
          <w:rFonts w:ascii="Cambria" w:hAnsi="Cambria"/>
          <w:bCs/>
          <w:sz w:val="19"/>
          <w:szCs w:val="19"/>
          <w:lang w:val="es-419"/>
        </w:rPr>
        <w:t xml:space="preserve"> de</w:t>
      </w:r>
      <w:r>
        <w:rPr>
          <w:rFonts w:ascii="Cambria" w:hAnsi="Cambria"/>
          <w:bCs/>
          <w:sz w:val="19"/>
          <w:szCs w:val="19"/>
          <w:lang w:val="es-419"/>
        </w:rPr>
        <w:t xml:space="preserve"> 2007, el Tribunal Constitucional acept</w:t>
      </w:r>
      <w:r w:rsidR="003E06D9">
        <w:rPr>
          <w:rFonts w:ascii="Cambria" w:hAnsi="Cambria"/>
          <w:bCs/>
          <w:sz w:val="19"/>
          <w:szCs w:val="19"/>
          <w:lang w:val="es-419"/>
        </w:rPr>
        <w:t>ó</w:t>
      </w:r>
      <w:r>
        <w:rPr>
          <w:rFonts w:ascii="Cambria" w:hAnsi="Cambria"/>
          <w:bCs/>
          <w:sz w:val="19"/>
          <w:szCs w:val="19"/>
          <w:lang w:val="es-419"/>
        </w:rPr>
        <w:t xml:space="preserve"> la abstención </w:t>
      </w:r>
      <w:r w:rsidR="00551896">
        <w:rPr>
          <w:rFonts w:ascii="Cambria" w:hAnsi="Cambria"/>
          <w:bCs/>
          <w:sz w:val="19"/>
          <w:szCs w:val="19"/>
          <w:lang w:val="es-419"/>
        </w:rPr>
        <w:t xml:space="preserve">por decoro </w:t>
      </w:r>
      <w:r>
        <w:rPr>
          <w:rFonts w:ascii="Cambria" w:hAnsi="Cambria"/>
          <w:bCs/>
          <w:sz w:val="19"/>
          <w:szCs w:val="19"/>
          <w:lang w:val="es-419"/>
        </w:rPr>
        <w:t>del magistrado que había sido abogado de una de las partes</w:t>
      </w:r>
      <w:r w:rsidR="00551896">
        <w:rPr>
          <w:rFonts w:ascii="Cambria" w:hAnsi="Cambria"/>
          <w:bCs/>
          <w:sz w:val="19"/>
          <w:szCs w:val="19"/>
          <w:lang w:val="es-419"/>
        </w:rPr>
        <w:t>;</w:t>
      </w:r>
      <w:r>
        <w:rPr>
          <w:rFonts w:ascii="Cambria" w:hAnsi="Cambria"/>
          <w:bCs/>
          <w:sz w:val="19"/>
          <w:szCs w:val="19"/>
          <w:lang w:val="es-419"/>
        </w:rPr>
        <w:t xml:space="preserve"> </w:t>
      </w:r>
      <w:r w:rsidR="00551896">
        <w:rPr>
          <w:rFonts w:ascii="Cambria" w:hAnsi="Cambria"/>
          <w:bCs/>
          <w:sz w:val="19"/>
          <w:szCs w:val="19"/>
          <w:lang w:val="es-419"/>
        </w:rPr>
        <w:t>con tal motivo</w:t>
      </w:r>
      <w:r>
        <w:rPr>
          <w:rFonts w:ascii="Cambria" w:hAnsi="Cambria"/>
          <w:bCs/>
          <w:sz w:val="19"/>
          <w:szCs w:val="19"/>
          <w:lang w:val="es-419"/>
        </w:rPr>
        <w:t xml:space="preserve">, la votación quedó en empate. Afirma </w:t>
      </w:r>
      <w:r w:rsidR="00551896">
        <w:rPr>
          <w:rFonts w:ascii="Cambria" w:hAnsi="Cambria"/>
          <w:bCs/>
          <w:sz w:val="19"/>
          <w:szCs w:val="19"/>
          <w:lang w:val="es-419"/>
        </w:rPr>
        <w:t xml:space="preserve">asimismo </w:t>
      </w:r>
      <w:r>
        <w:rPr>
          <w:rFonts w:ascii="Cambria" w:hAnsi="Cambria"/>
          <w:bCs/>
          <w:sz w:val="19"/>
          <w:szCs w:val="19"/>
          <w:lang w:val="es-419"/>
        </w:rPr>
        <w:t>que la demanda de las presuntas víctimas fue negada porque el diseño legal del Tribunal Constitucional no contempla magistrado</w:t>
      </w:r>
      <w:r w:rsidR="00551896">
        <w:rPr>
          <w:rFonts w:ascii="Cambria" w:hAnsi="Cambria"/>
          <w:bCs/>
          <w:sz w:val="19"/>
          <w:szCs w:val="19"/>
          <w:lang w:val="es-419"/>
        </w:rPr>
        <w:t>s</w:t>
      </w:r>
      <w:r>
        <w:rPr>
          <w:rFonts w:ascii="Cambria" w:hAnsi="Cambria"/>
          <w:bCs/>
          <w:sz w:val="19"/>
          <w:szCs w:val="19"/>
          <w:lang w:val="es-419"/>
        </w:rPr>
        <w:t xml:space="preserve"> suplentes a quienes se pueda recurrir</w:t>
      </w:r>
      <w:r w:rsidR="00551896">
        <w:rPr>
          <w:rFonts w:ascii="Cambria" w:hAnsi="Cambria"/>
          <w:bCs/>
          <w:sz w:val="19"/>
          <w:szCs w:val="19"/>
          <w:lang w:val="es-419"/>
        </w:rPr>
        <w:t>;</w:t>
      </w:r>
      <w:r>
        <w:rPr>
          <w:rFonts w:ascii="Cambria" w:hAnsi="Cambria"/>
          <w:bCs/>
          <w:sz w:val="19"/>
          <w:szCs w:val="19"/>
          <w:lang w:val="es-419"/>
        </w:rPr>
        <w:t xml:space="preserve"> y </w:t>
      </w:r>
      <w:r w:rsidR="00551896">
        <w:rPr>
          <w:rFonts w:ascii="Cambria" w:hAnsi="Cambria"/>
          <w:bCs/>
          <w:sz w:val="19"/>
          <w:szCs w:val="19"/>
          <w:lang w:val="es-419"/>
        </w:rPr>
        <w:t xml:space="preserve">que </w:t>
      </w:r>
      <w:r>
        <w:rPr>
          <w:rFonts w:ascii="Cambria" w:hAnsi="Cambria"/>
          <w:bCs/>
          <w:sz w:val="19"/>
          <w:szCs w:val="19"/>
          <w:lang w:val="es-419"/>
        </w:rPr>
        <w:t xml:space="preserve">no </w:t>
      </w:r>
      <w:r w:rsidR="00551896">
        <w:rPr>
          <w:rFonts w:ascii="Cambria" w:hAnsi="Cambria"/>
          <w:bCs/>
          <w:sz w:val="19"/>
          <w:szCs w:val="19"/>
          <w:lang w:val="es-419"/>
        </w:rPr>
        <w:t xml:space="preserve">es aplicable el concepto de </w:t>
      </w:r>
      <w:r>
        <w:rPr>
          <w:rFonts w:ascii="Cambria" w:hAnsi="Cambria"/>
          <w:bCs/>
          <w:i/>
          <w:sz w:val="19"/>
          <w:szCs w:val="19"/>
          <w:lang w:val="es-419"/>
        </w:rPr>
        <w:t xml:space="preserve">primus inter pares </w:t>
      </w:r>
      <w:r>
        <w:rPr>
          <w:rFonts w:ascii="Cambria" w:hAnsi="Cambria"/>
          <w:bCs/>
          <w:sz w:val="19"/>
          <w:szCs w:val="19"/>
          <w:lang w:val="es-419"/>
        </w:rPr>
        <w:t xml:space="preserve">entre los magistrados que lo componen, </w:t>
      </w:r>
      <w:r w:rsidR="00551896">
        <w:rPr>
          <w:rFonts w:ascii="Cambria" w:hAnsi="Cambria"/>
          <w:bCs/>
          <w:sz w:val="19"/>
          <w:szCs w:val="19"/>
          <w:lang w:val="es-419"/>
        </w:rPr>
        <w:t xml:space="preserve">con lo </w:t>
      </w:r>
      <w:r>
        <w:rPr>
          <w:rFonts w:ascii="Cambria" w:hAnsi="Cambria"/>
          <w:bCs/>
          <w:sz w:val="19"/>
          <w:szCs w:val="19"/>
          <w:lang w:val="es-419"/>
        </w:rPr>
        <w:t>que</w:t>
      </w:r>
      <w:r w:rsidR="00551896">
        <w:rPr>
          <w:rFonts w:ascii="Cambria" w:hAnsi="Cambria"/>
          <w:bCs/>
          <w:sz w:val="19"/>
          <w:szCs w:val="19"/>
          <w:lang w:val="es-419"/>
        </w:rPr>
        <w:t xml:space="preserve"> resulta</w:t>
      </w:r>
      <w:r>
        <w:rPr>
          <w:rFonts w:ascii="Cambria" w:hAnsi="Cambria"/>
          <w:bCs/>
          <w:sz w:val="19"/>
          <w:szCs w:val="19"/>
          <w:lang w:val="es-419"/>
        </w:rPr>
        <w:t xml:space="preserve"> imposi</w:t>
      </w:r>
      <w:r w:rsidR="00551896">
        <w:rPr>
          <w:rFonts w:ascii="Cambria" w:hAnsi="Cambria"/>
          <w:bCs/>
          <w:sz w:val="19"/>
          <w:szCs w:val="19"/>
          <w:lang w:val="es-419"/>
        </w:rPr>
        <w:t>ble</w:t>
      </w:r>
      <w:r>
        <w:rPr>
          <w:rFonts w:ascii="Cambria" w:hAnsi="Cambria"/>
          <w:bCs/>
          <w:sz w:val="19"/>
          <w:szCs w:val="19"/>
          <w:lang w:val="es-419"/>
        </w:rPr>
        <w:t xml:space="preserve"> la doble votación del Pre</w:t>
      </w:r>
      <w:r w:rsidR="00014E71">
        <w:rPr>
          <w:rFonts w:ascii="Cambria" w:hAnsi="Cambria"/>
          <w:bCs/>
          <w:sz w:val="19"/>
          <w:szCs w:val="19"/>
          <w:lang w:val="es-419"/>
        </w:rPr>
        <w:t xml:space="preserve">sidente del Tribunal. El Estado sostiene que </w:t>
      </w:r>
      <w:r>
        <w:rPr>
          <w:rFonts w:ascii="Cambria" w:hAnsi="Cambria"/>
          <w:bCs/>
          <w:sz w:val="19"/>
          <w:szCs w:val="19"/>
          <w:lang w:val="es-419"/>
        </w:rPr>
        <w:t xml:space="preserve">se aplicó </w:t>
      </w:r>
      <w:r w:rsidR="00551896">
        <w:rPr>
          <w:rFonts w:ascii="Cambria" w:hAnsi="Cambria"/>
          <w:bCs/>
          <w:sz w:val="19"/>
          <w:szCs w:val="19"/>
          <w:lang w:val="es-419"/>
        </w:rPr>
        <w:t xml:space="preserve">por analogía </w:t>
      </w:r>
      <w:r>
        <w:rPr>
          <w:rFonts w:ascii="Cambria" w:hAnsi="Cambria"/>
          <w:bCs/>
          <w:sz w:val="19"/>
          <w:szCs w:val="19"/>
          <w:lang w:val="es-419"/>
        </w:rPr>
        <w:t xml:space="preserve">el artículo 5 de la Ley Orgánica del Tribunal, </w:t>
      </w:r>
      <w:r w:rsidR="00551896">
        <w:rPr>
          <w:rFonts w:ascii="Cambria" w:hAnsi="Cambria"/>
          <w:bCs/>
          <w:sz w:val="19"/>
          <w:szCs w:val="19"/>
          <w:lang w:val="es-419"/>
        </w:rPr>
        <w:t xml:space="preserve">ya </w:t>
      </w:r>
      <w:r>
        <w:rPr>
          <w:rFonts w:ascii="Cambria" w:hAnsi="Cambria"/>
          <w:bCs/>
          <w:sz w:val="19"/>
          <w:szCs w:val="19"/>
          <w:lang w:val="es-419"/>
        </w:rPr>
        <w:t xml:space="preserve">que no </w:t>
      </w:r>
      <w:r w:rsidR="00551896">
        <w:rPr>
          <w:rFonts w:ascii="Cambria" w:hAnsi="Cambria"/>
          <w:bCs/>
          <w:sz w:val="19"/>
          <w:szCs w:val="19"/>
          <w:lang w:val="es-419"/>
        </w:rPr>
        <w:t>hab</w:t>
      </w:r>
      <w:r>
        <w:rPr>
          <w:rFonts w:ascii="Cambria" w:hAnsi="Cambria"/>
          <w:bCs/>
          <w:sz w:val="19"/>
          <w:szCs w:val="19"/>
          <w:lang w:val="es-419"/>
        </w:rPr>
        <w:t xml:space="preserve">ía norma procesal aplicable al caso. </w:t>
      </w:r>
    </w:p>
    <w:p w14:paraId="34A2775B" w14:textId="3CFB1553" w:rsidR="00D04F46" w:rsidRPr="006A0FFE" w:rsidRDefault="00D04F46" w:rsidP="00D04F4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FE6F5AE" w14:textId="20876073" w:rsidR="004C616A" w:rsidRDefault="004C616A" w:rsidP="009C7FF2">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048BEA3B" w14:textId="77777777" w:rsidR="00D04F46" w:rsidRPr="00D04F46" w:rsidRDefault="00D04F46" w:rsidP="00D04F46">
      <w:pPr>
        <w:jc w:val="both"/>
        <w:rPr>
          <w:rFonts w:asciiTheme="majorHAnsi" w:hAnsiTheme="majorHAnsi"/>
          <w:b/>
          <w:bCs/>
          <w:sz w:val="20"/>
          <w:szCs w:val="20"/>
          <w:lang w:val="es-ES"/>
        </w:rPr>
      </w:pPr>
    </w:p>
    <w:p w14:paraId="3BB8A98B" w14:textId="20D415F0" w:rsidR="00CB47D2" w:rsidRDefault="009C1D34" w:rsidP="009C7FF2">
      <w:pPr>
        <w:pStyle w:val="ListParagraph"/>
        <w:numPr>
          <w:ilvl w:val="0"/>
          <w:numId w:val="55"/>
        </w:numPr>
        <w:contextualSpacing/>
        <w:jc w:val="both"/>
        <w:rPr>
          <w:rFonts w:cs="Calibri"/>
          <w:sz w:val="20"/>
          <w:szCs w:val="20"/>
          <w:lang w:val="es-ES_tradnl"/>
        </w:rPr>
      </w:pPr>
      <w:r w:rsidRPr="009C1D34">
        <w:rPr>
          <w:rFonts w:cs="Calibri"/>
          <w:sz w:val="20"/>
          <w:szCs w:val="20"/>
          <w:lang w:val="es-ES_tradnl"/>
        </w:rPr>
        <w:t>E</w:t>
      </w:r>
      <w:r w:rsidRPr="009C1D34">
        <w:rPr>
          <w:rFonts w:cs="Calibri"/>
          <w:sz w:val="20"/>
          <w:szCs w:val="20"/>
          <w:lang w:val="es-ES"/>
        </w:rPr>
        <w:t xml:space="preserve">l requisito del agotamiento </w:t>
      </w:r>
      <w:r w:rsidR="00014E71" w:rsidRPr="009C1D34">
        <w:rPr>
          <w:rFonts w:cs="Calibri"/>
          <w:sz w:val="20"/>
          <w:szCs w:val="20"/>
          <w:lang w:val="es-ES"/>
        </w:rPr>
        <w:t xml:space="preserve">previo </w:t>
      </w:r>
      <w:r w:rsidRPr="009C1D34">
        <w:rPr>
          <w:rFonts w:cs="Calibri"/>
          <w:sz w:val="20"/>
          <w:szCs w:val="20"/>
          <w:lang w:val="es-ES"/>
        </w:rPr>
        <w:t>de los recursos internos tiene como objeto permitir que las autoridades nacionales conozcan sobre la supuesta violación de un derecho protegido y, de ser apropiado, solucionen la situación antes de que sea conocida por una instancia internacional</w:t>
      </w:r>
      <w:r w:rsidRPr="009C1D34">
        <w:rPr>
          <w:rStyle w:val="FootnoteReference"/>
          <w:rFonts w:cs="Calibri"/>
          <w:sz w:val="20"/>
          <w:szCs w:val="20"/>
          <w:lang w:val="es-ES"/>
        </w:rPr>
        <w:footnoteReference w:id="5"/>
      </w:r>
      <w:r w:rsidRPr="009C1D34">
        <w:rPr>
          <w:rFonts w:cs="Calibri"/>
          <w:sz w:val="20"/>
          <w:szCs w:val="20"/>
          <w:lang w:val="es-ES"/>
        </w:rPr>
        <w:t>. En el presente caso</w:t>
      </w:r>
      <w:r w:rsidR="00014E71">
        <w:rPr>
          <w:rFonts w:cs="Calibri"/>
          <w:sz w:val="20"/>
          <w:szCs w:val="20"/>
          <w:lang w:val="es-ES"/>
        </w:rPr>
        <w:t xml:space="preserve"> no hubo</w:t>
      </w:r>
      <w:r w:rsidRPr="009C1D34">
        <w:rPr>
          <w:rFonts w:cs="Calibri"/>
          <w:sz w:val="20"/>
          <w:szCs w:val="20"/>
          <w:lang w:val="es-ES_tradnl"/>
        </w:rPr>
        <w:t xml:space="preserve"> cuestionamiento del Estado acerca del agotamiento de los recursos internos por parte de</w:t>
      </w:r>
      <w:r w:rsidR="00014E71">
        <w:rPr>
          <w:rFonts w:cs="Calibri"/>
          <w:sz w:val="20"/>
          <w:szCs w:val="20"/>
          <w:lang w:val="es-ES_tradnl"/>
        </w:rPr>
        <w:t xml:space="preserve"> </w:t>
      </w:r>
      <w:r w:rsidRPr="009C1D34">
        <w:rPr>
          <w:rFonts w:cs="Calibri"/>
          <w:sz w:val="20"/>
          <w:szCs w:val="20"/>
          <w:lang w:val="es-ES_tradnl"/>
        </w:rPr>
        <w:t>l</w:t>
      </w:r>
      <w:r w:rsidR="00014E71">
        <w:rPr>
          <w:rFonts w:cs="Calibri"/>
          <w:sz w:val="20"/>
          <w:szCs w:val="20"/>
          <w:lang w:val="es-ES_tradnl"/>
        </w:rPr>
        <w:t>a parte</w:t>
      </w:r>
      <w:r w:rsidRPr="009C1D34">
        <w:rPr>
          <w:rFonts w:cs="Calibri"/>
          <w:sz w:val="20"/>
          <w:szCs w:val="20"/>
          <w:lang w:val="es-ES_tradnl"/>
        </w:rPr>
        <w:t xml:space="preserve"> peticionari</w:t>
      </w:r>
      <w:r w:rsidR="00014E71">
        <w:rPr>
          <w:rFonts w:cs="Calibri"/>
          <w:sz w:val="20"/>
          <w:szCs w:val="20"/>
          <w:lang w:val="es-ES_tradnl"/>
        </w:rPr>
        <w:t>a</w:t>
      </w:r>
      <w:r w:rsidRPr="009C1D34">
        <w:rPr>
          <w:rFonts w:cs="Calibri"/>
          <w:sz w:val="20"/>
          <w:szCs w:val="20"/>
          <w:lang w:val="es-ES_tradnl"/>
        </w:rPr>
        <w:t xml:space="preserve">, </w:t>
      </w:r>
      <w:r w:rsidR="00014E71">
        <w:rPr>
          <w:rFonts w:cs="Calibri"/>
          <w:sz w:val="20"/>
          <w:szCs w:val="20"/>
          <w:lang w:val="es-ES_tradnl"/>
        </w:rPr>
        <w:t xml:space="preserve">por lo que </w:t>
      </w:r>
      <w:r w:rsidRPr="009C1D34">
        <w:rPr>
          <w:rFonts w:cs="Calibri"/>
          <w:sz w:val="20"/>
          <w:szCs w:val="20"/>
          <w:lang w:val="es-ES_tradnl"/>
        </w:rPr>
        <w:t>se puede presumir su renuncia tácita a valerse de este medio de defensa establecido en su favor.</w:t>
      </w:r>
      <w:r w:rsidRPr="009C1D34">
        <w:rPr>
          <w:rStyle w:val="FootnoteReference"/>
          <w:rFonts w:cs="Calibri"/>
          <w:sz w:val="20"/>
          <w:szCs w:val="20"/>
        </w:rPr>
        <w:footnoteReference w:id="6"/>
      </w:r>
    </w:p>
    <w:p w14:paraId="2D4B2142" w14:textId="77777777" w:rsidR="00D04F46" w:rsidRPr="00014E71" w:rsidRDefault="00D04F46" w:rsidP="00D04F46">
      <w:pPr>
        <w:contextualSpacing/>
        <w:jc w:val="both"/>
        <w:rPr>
          <w:rFonts w:cs="Calibri"/>
          <w:sz w:val="20"/>
          <w:szCs w:val="20"/>
          <w:lang w:val="es-ES_tradnl"/>
        </w:rPr>
      </w:pPr>
    </w:p>
    <w:p w14:paraId="323FA2B5" w14:textId="7A21B05F" w:rsidR="009C1D34" w:rsidRPr="009C1D34" w:rsidRDefault="009C1D34" w:rsidP="009C7FF2">
      <w:pPr>
        <w:pStyle w:val="ListParagraph"/>
        <w:numPr>
          <w:ilvl w:val="0"/>
          <w:numId w:val="55"/>
        </w:numPr>
        <w:contextualSpacing/>
        <w:jc w:val="both"/>
        <w:rPr>
          <w:rFonts w:cs="Calibri"/>
          <w:sz w:val="20"/>
          <w:szCs w:val="20"/>
          <w:lang w:val="es-ES_tradnl"/>
        </w:rPr>
      </w:pPr>
      <w:r w:rsidRPr="009C1D34">
        <w:rPr>
          <w:rFonts w:cs="Calibri"/>
          <w:sz w:val="20"/>
          <w:szCs w:val="20"/>
          <w:lang w:val="es-ES_tradnl"/>
        </w:rPr>
        <w:t xml:space="preserve">Asimismo, la Comisión nota que en el presente caso hay una decisión definitiva de la más alta instancia judicial de Perú sobre los hechos denunciados, </w:t>
      </w:r>
      <w:r w:rsidR="00014E71">
        <w:rPr>
          <w:rFonts w:cs="Calibri"/>
          <w:sz w:val="20"/>
          <w:szCs w:val="20"/>
          <w:lang w:val="es-ES_tradnl"/>
        </w:rPr>
        <w:t xml:space="preserve">en el marco </w:t>
      </w:r>
      <w:r w:rsidR="00144700">
        <w:rPr>
          <w:rFonts w:cs="Calibri"/>
          <w:sz w:val="20"/>
          <w:szCs w:val="20"/>
          <w:lang w:val="es-ES_tradnl"/>
        </w:rPr>
        <w:t xml:space="preserve">de un </w:t>
      </w:r>
      <w:r w:rsidR="00014E71">
        <w:rPr>
          <w:rFonts w:cs="Calibri"/>
          <w:sz w:val="20"/>
          <w:szCs w:val="20"/>
          <w:lang w:val="es-ES_tradnl"/>
        </w:rPr>
        <w:t>r</w:t>
      </w:r>
      <w:r w:rsidR="00144700">
        <w:rPr>
          <w:rFonts w:cs="Calibri"/>
          <w:sz w:val="20"/>
          <w:szCs w:val="20"/>
          <w:lang w:val="es-ES_tradnl"/>
        </w:rPr>
        <w:t xml:space="preserve">ecurso de </w:t>
      </w:r>
      <w:r w:rsidR="00014E71">
        <w:rPr>
          <w:rFonts w:cs="Calibri"/>
          <w:sz w:val="20"/>
          <w:szCs w:val="20"/>
          <w:lang w:val="es-ES_tradnl"/>
        </w:rPr>
        <w:t>a</w:t>
      </w:r>
      <w:r w:rsidR="00144700">
        <w:rPr>
          <w:rFonts w:cs="Calibri"/>
          <w:sz w:val="20"/>
          <w:szCs w:val="20"/>
          <w:lang w:val="es-ES_tradnl"/>
        </w:rPr>
        <w:t xml:space="preserve">gravio </w:t>
      </w:r>
      <w:r w:rsidR="00014E71">
        <w:rPr>
          <w:rFonts w:cs="Calibri"/>
          <w:sz w:val="20"/>
          <w:szCs w:val="20"/>
          <w:lang w:val="es-ES_tradnl"/>
        </w:rPr>
        <w:t>c</w:t>
      </w:r>
      <w:r w:rsidR="00144700">
        <w:rPr>
          <w:rFonts w:cs="Calibri"/>
          <w:sz w:val="20"/>
          <w:szCs w:val="20"/>
          <w:lang w:val="es-ES_tradnl"/>
        </w:rPr>
        <w:t xml:space="preserve">onstitucional, por </w:t>
      </w:r>
      <w:r w:rsidRPr="009C1D34">
        <w:rPr>
          <w:rFonts w:cs="Calibri"/>
          <w:sz w:val="20"/>
          <w:szCs w:val="20"/>
          <w:lang w:val="es-ES_tradnl"/>
        </w:rPr>
        <w:t>la</w:t>
      </w:r>
      <w:r w:rsidR="00144700">
        <w:rPr>
          <w:rFonts w:cs="Calibri"/>
          <w:sz w:val="20"/>
          <w:szCs w:val="20"/>
          <w:lang w:val="es-ES_tradnl"/>
        </w:rPr>
        <w:t xml:space="preserve"> </w:t>
      </w:r>
      <w:r w:rsidR="00014E71">
        <w:rPr>
          <w:rFonts w:cs="Calibri"/>
          <w:sz w:val="20"/>
          <w:szCs w:val="20"/>
          <w:lang w:val="es-ES_tradnl"/>
        </w:rPr>
        <w:t xml:space="preserve">que </w:t>
      </w:r>
      <w:r w:rsidRPr="009C1D34">
        <w:rPr>
          <w:rFonts w:cs="Calibri"/>
          <w:sz w:val="20"/>
          <w:szCs w:val="20"/>
          <w:lang w:val="es-ES_tradnl"/>
        </w:rPr>
        <w:t>considera que se han agotado los recursos internos en los términos del artículo 46.1.a de la Convención Americana</w:t>
      </w:r>
      <w:r w:rsidRPr="009C1D34">
        <w:rPr>
          <w:rStyle w:val="FootnoteReference"/>
          <w:rFonts w:cs="Calibri"/>
          <w:sz w:val="20"/>
          <w:szCs w:val="20"/>
        </w:rPr>
        <w:footnoteReference w:id="7"/>
      </w:r>
      <w:r w:rsidRPr="009C1D34">
        <w:rPr>
          <w:rFonts w:cs="Calibri"/>
          <w:sz w:val="20"/>
          <w:szCs w:val="20"/>
          <w:lang w:val="es-ES_tradnl"/>
        </w:rPr>
        <w:t>.</w:t>
      </w:r>
      <w:r>
        <w:rPr>
          <w:rFonts w:cs="Calibri"/>
          <w:sz w:val="20"/>
          <w:szCs w:val="20"/>
          <w:lang w:val="es-ES_tradnl"/>
        </w:rPr>
        <w:t xml:space="preserve"> </w:t>
      </w:r>
      <w:r w:rsidR="00014E71">
        <w:rPr>
          <w:rFonts w:cs="Calibri"/>
          <w:sz w:val="20"/>
          <w:szCs w:val="20"/>
          <w:lang w:val="es-ES_tradnl"/>
        </w:rPr>
        <w:t>Las</w:t>
      </w:r>
      <w:r>
        <w:rPr>
          <w:rFonts w:cs="Calibri"/>
          <w:sz w:val="20"/>
          <w:szCs w:val="20"/>
          <w:lang w:val="es-ES_tradnl"/>
        </w:rPr>
        <w:t xml:space="preserve"> presuntas víctimas fueron notifica</w:t>
      </w:r>
      <w:r w:rsidR="00014E71">
        <w:rPr>
          <w:rFonts w:cs="Calibri"/>
          <w:sz w:val="20"/>
          <w:szCs w:val="20"/>
          <w:lang w:val="es-ES_tradnl"/>
        </w:rPr>
        <w:t>da</w:t>
      </w:r>
      <w:r>
        <w:rPr>
          <w:rFonts w:cs="Calibri"/>
          <w:sz w:val="20"/>
          <w:szCs w:val="20"/>
          <w:lang w:val="es-ES_tradnl"/>
        </w:rPr>
        <w:t xml:space="preserve">s el 24 de marzo de 2009 y presentaron la petición a la CIDH el </w:t>
      </w:r>
      <w:r w:rsidRPr="009C1D34">
        <w:rPr>
          <w:bCs/>
          <w:sz w:val="19"/>
          <w:szCs w:val="19"/>
          <w:lang w:val="es-ES"/>
        </w:rPr>
        <w:t>9 de julio de 2009</w:t>
      </w:r>
      <w:r>
        <w:rPr>
          <w:bCs/>
          <w:sz w:val="19"/>
          <w:szCs w:val="19"/>
          <w:lang w:val="es-ES"/>
        </w:rPr>
        <w:t xml:space="preserve">, </w:t>
      </w:r>
      <w:r w:rsidR="00014E71">
        <w:rPr>
          <w:bCs/>
          <w:sz w:val="19"/>
          <w:szCs w:val="19"/>
          <w:lang w:val="es-ES"/>
        </w:rPr>
        <w:t xml:space="preserve">por lo que </w:t>
      </w:r>
      <w:r>
        <w:rPr>
          <w:bCs/>
          <w:sz w:val="19"/>
          <w:szCs w:val="19"/>
          <w:lang w:val="es-ES"/>
        </w:rPr>
        <w:t xml:space="preserve">la Comisión considera que </w:t>
      </w:r>
      <w:r w:rsidR="00014E71">
        <w:rPr>
          <w:bCs/>
          <w:sz w:val="19"/>
          <w:szCs w:val="19"/>
          <w:lang w:val="es-ES"/>
        </w:rPr>
        <w:t xml:space="preserve">se ha cumplido con el plazo máximo de </w:t>
      </w:r>
      <w:r>
        <w:rPr>
          <w:bCs/>
          <w:sz w:val="19"/>
          <w:szCs w:val="19"/>
          <w:lang w:val="es-ES"/>
        </w:rPr>
        <w:t>seis meses</w:t>
      </w:r>
      <w:r w:rsidR="00014E71">
        <w:rPr>
          <w:bCs/>
          <w:sz w:val="19"/>
          <w:szCs w:val="19"/>
          <w:lang w:val="es-ES"/>
        </w:rPr>
        <w:t xml:space="preserve"> que impone</w:t>
      </w:r>
      <w:r>
        <w:rPr>
          <w:bCs/>
          <w:sz w:val="19"/>
          <w:szCs w:val="19"/>
          <w:lang w:val="es-ES"/>
        </w:rPr>
        <w:t xml:space="preserve"> el artículo 46.1.6 de </w:t>
      </w:r>
      <w:r w:rsidR="00014E71">
        <w:rPr>
          <w:bCs/>
          <w:sz w:val="19"/>
          <w:szCs w:val="19"/>
          <w:lang w:val="es-ES"/>
        </w:rPr>
        <w:t>dicho tratado</w:t>
      </w:r>
      <w:r>
        <w:rPr>
          <w:bCs/>
          <w:sz w:val="19"/>
          <w:szCs w:val="19"/>
          <w:lang w:val="es-ES"/>
        </w:rPr>
        <w:t xml:space="preserve">. </w:t>
      </w:r>
    </w:p>
    <w:p w14:paraId="5DD3D82C" w14:textId="77777777" w:rsidR="009C1D34" w:rsidRPr="009C1D34" w:rsidRDefault="009C1D34" w:rsidP="009C7FF2">
      <w:pPr>
        <w:contextualSpacing/>
        <w:jc w:val="both"/>
        <w:rPr>
          <w:rFonts w:cs="Calibri"/>
          <w:sz w:val="20"/>
          <w:szCs w:val="20"/>
          <w:lang w:val="es-ES_tradnl"/>
        </w:rPr>
      </w:pPr>
    </w:p>
    <w:p w14:paraId="7090A929" w14:textId="7058A29E" w:rsidR="00F04591" w:rsidRDefault="00F04591" w:rsidP="009C7FF2">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136368BC" w14:textId="77777777" w:rsidR="00D04F46" w:rsidRPr="00D04F46" w:rsidRDefault="00D04F46" w:rsidP="00D04F46">
      <w:pPr>
        <w:jc w:val="both"/>
        <w:rPr>
          <w:rFonts w:asciiTheme="majorHAnsi" w:hAnsiTheme="majorHAnsi"/>
          <w:b/>
          <w:bCs/>
          <w:sz w:val="20"/>
          <w:szCs w:val="20"/>
          <w:lang w:val="es-ES"/>
        </w:rPr>
      </w:pPr>
    </w:p>
    <w:p w14:paraId="405DFEDE" w14:textId="526FB2ED" w:rsidR="00006B74" w:rsidRPr="00D04F46" w:rsidRDefault="00CB47D2"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6572E">
        <w:rPr>
          <w:rFonts w:ascii="Cambria" w:hAnsi="Cambria"/>
          <w:sz w:val="20"/>
          <w:szCs w:val="20"/>
          <w:lang w:val="es-ES"/>
        </w:rPr>
        <w:t xml:space="preserve">La </w:t>
      </w:r>
      <w:r w:rsidR="00014E71">
        <w:rPr>
          <w:rFonts w:ascii="Cambria" w:hAnsi="Cambria"/>
          <w:sz w:val="20"/>
          <w:szCs w:val="20"/>
          <w:lang w:val="es-ES"/>
        </w:rPr>
        <w:t>parte peticionaria</w:t>
      </w:r>
      <w:r w:rsidRPr="0086572E">
        <w:rPr>
          <w:rFonts w:ascii="Cambria" w:hAnsi="Cambria"/>
          <w:sz w:val="20"/>
          <w:szCs w:val="20"/>
          <w:lang w:val="es-ES"/>
        </w:rPr>
        <w:t xml:space="preserve"> alega </w:t>
      </w:r>
      <w:r w:rsidR="00014E71">
        <w:rPr>
          <w:rFonts w:ascii="Cambria" w:hAnsi="Cambria"/>
          <w:sz w:val="20"/>
          <w:szCs w:val="20"/>
          <w:lang w:val="es-ES"/>
        </w:rPr>
        <w:t>como hechos violatorios la pé</w:t>
      </w:r>
      <w:r w:rsidR="00DF7F26" w:rsidRPr="0086572E">
        <w:rPr>
          <w:rFonts w:ascii="Cambria" w:hAnsi="Cambria"/>
          <w:sz w:val="20"/>
          <w:szCs w:val="20"/>
          <w:lang w:val="es-ES"/>
        </w:rPr>
        <w:t>rdida de d</w:t>
      </w:r>
      <w:r w:rsidR="0086572E" w:rsidRPr="0086572E">
        <w:rPr>
          <w:rFonts w:ascii="Cambria" w:hAnsi="Cambria"/>
          <w:sz w:val="20"/>
          <w:szCs w:val="20"/>
          <w:lang w:val="es-ES"/>
        </w:rPr>
        <w:t xml:space="preserve">el capital social de la </w:t>
      </w:r>
      <w:r w:rsidR="0086572E" w:rsidRPr="0086572E">
        <w:rPr>
          <w:rFonts w:ascii="Cambria" w:hAnsi="Cambria"/>
          <w:bCs/>
          <w:sz w:val="19"/>
          <w:szCs w:val="19"/>
          <w:lang w:val="es-419"/>
        </w:rPr>
        <w:t>empresa Laboratorios Abeefe S</w:t>
      </w:r>
      <w:r w:rsidR="00014E71">
        <w:rPr>
          <w:rFonts w:ascii="Cambria" w:hAnsi="Cambria"/>
          <w:bCs/>
          <w:sz w:val="19"/>
          <w:szCs w:val="19"/>
          <w:lang w:val="es-419"/>
        </w:rPr>
        <w:t>.</w:t>
      </w:r>
      <w:r w:rsidR="0086572E" w:rsidRPr="0086572E">
        <w:rPr>
          <w:rFonts w:ascii="Cambria" w:hAnsi="Cambria"/>
          <w:bCs/>
          <w:sz w:val="19"/>
          <w:szCs w:val="19"/>
          <w:lang w:val="es-419"/>
        </w:rPr>
        <w:t>A</w:t>
      </w:r>
      <w:r w:rsidR="00014E71">
        <w:rPr>
          <w:rFonts w:ascii="Cambria" w:hAnsi="Cambria"/>
          <w:bCs/>
          <w:sz w:val="19"/>
          <w:szCs w:val="19"/>
          <w:lang w:val="es-419"/>
        </w:rPr>
        <w:t>.</w:t>
      </w:r>
      <w:r w:rsidR="0086572E" w:rsidRPr="0086572E">
        <w:rPr>
          <w:rFonts w:ascii="Cambria" w:hAnsi="Cambria"/>
          <w:bCs/>
          <w:sz w:val="19"/>
          <w:szCs w:val="19"/>
          <w:lang w:val="es-419"/>
        </w:rPr>
        <w:t>, de</w:t>
      </w:r>
      <w:r w:rsidR="00014E71">
        <w:rPr>
          <w:rFonts w:ascii="Cambria" w:hAnsi="Cambria"/>
          <w:bCs/>
          <w:sz w:val="19"/>
          <w:szCs w:val="19"/>
          <w:lang w:val="es-419"/>
        </w:rPr>
        <w:t xml:space="preserve">l que hacían parte </w:t>
      </w:r>
      <w:r w:rsidR="0086572E" w:rsidRPr="0086572E">
        <w:rPr>
          <w:rFonts w:ascii="Cambria" w:hAnsi="Cambria"/>
          <w:bCs/>
          <w:sz w:val="19"/>
          <w:szCs w:val="19"/>
          <w:lang w:val="es-419"/>
        </w:rPr>
        <w:t xml:space="preserve">las presuntas víctimas, </w:t>
      </w:r>
      <w:r w:rsidR="00014E71">
        <w:rPr>
          <w:rFonts w:ascii="Cambria" w:hAnsi="Cambria"/>
          <w:bCs/>
          <w:sz w:val="19"/>
          <w:szCs w:val="19"/>
          <w:lang w:val="es-419"/>
        </w:rPr>
        <w:t xml:space="preserve">así como </w:t>
      </w:r>
      <w:r w:rsidR="0086572E" w:rsidRPr="0086572E">
        <w:rPr>
          <w:rFonts w:ascii="Cambria" w:hAnsi="Cambria"/>
          <w:bCs/>
          <w:sz w:val="19"/>
          <w:szCs w:val="19"/>
          <w:lang w:val="es-419"/>
        </w:rPr>
        <w:t>la composición de</w:t>
      </w:r>
      <w:r w:rsidR="00014E71">
        <w:rPr>
          <w:rFonts w:ascii="Cambria" w:hAnsi="Cambria"/>
          <w:bCs/>
          <w:sz w:val="19"/>
          <w:szCs w:val="19"/>
          <w:lang w:val="es-419"/>
        </w:rPr>
        <w:t xml:space="preserve"> </w:t>
      </w:r>
      <w:r w:rsidR="0086572E" w:rsidRPr="0086572E">
        <w:rPr>
          <w:rFonts w:ascii="Cambria" w:hAnsi="Cambria"/>
          <w:bCs/>
          <w:sz w:val="19"/>
          <w:szCs w:val="19"/>
          <w:lang w:val="es-419"/>
        </w:rPr>
        <w:t>l</w:t>
      </w:r>
      <w:r w:rsidR="003E06D9">
        <w:rPr>
          <w:rFonts w:ascii="Cambria" w:hAnsi="Cambria"/>
          <w:bCs/>
          <w:sz w:val="19"/>
          <w:szCs w:val="19"/>
          <w:lang w:val="es-419"/>
        </w:rPr>
        <w:t>o</w:t>
      </w:r>
      <w:r w:rsidR="00014E71">
        <w:rPr>
          <w:rFonts w:ascii="Cambria" w:hAnsi="Cambria"/>
          <w:bCs/>
          <w:sz w:val="19"/>
          <w:szCs w:val="19"/>
          <w:lang w:val="es-419"/>
        </w:rPr>
        <w:t xml:space="preserve">s tribunales en los procesos </w:t>
      </w:r>
      <w:r w:rsidR="0086572E" w:rsidRPr="0086572E">
        <w:rPr>
          <w:rFonts w:ascii="Cambria" w:hAnsi="Cambria"/>
          <w:bCs/>
          <w:sz w:val="19"/>
          <w:szCs w:val="19"/>
          <w:lang w:val="es-419"/>
        </w:rPr>
        <w:t xml:space="preserve">que </w:t>
      </w:r>
      <w:r w:rsidR="00014E71">
        <w:rPr>
          <w:rFonts w:ascii="Cambria" w:hAnsi="Cambria"/>
          <w:bCs/>
          <w:sz w:val="19"/>
          <w:szCs w:val="19"/>
          <w:lang w:val="es-419"/>
        </w:rPr>
        <w:t>llevaron a confirman tal situación</w:t>
      </w:r>
      <w:r w:rsidR="0086572E" w:rsidRPr="0086572E">
        <w:rPr>
          <w:rFonts w:ascii="Cambria" w:hAnsi="Cambria"/>
          <w:bCs/>
          <w:sz w:val="19"/>
          <w:szCs w:val="19"/>
          <w:lang w:val="es-419"/>
        </w:rPr>
        <w:t xml:space="preserve">. </w:t>
      </w:r>
      <w:r w:rsidR="00014E71">
        <w:rPr>
          <w:rFonts w:ascii="Cambria" w:hAnsi="Cambria"/>
          <w:bCs/>
          <w:sz w:val="19"/>
          <w:szCs w:val="19"/>
          <w:lang w:val="es-419"/>
        </w:rPr>
        <w:t>Por su parte</w:t>
      </w:r>
      <w:r w:rsidR="000B0579" w:rsidRPr="0086572E">
        <w:rPr>
          <w:rFonts w:ascii="Cambria" w:hAnsi="Cambria"/>
          <w:sz w:val="20"/>
          <w:szCs w:val="20"/>
          <w:lang w:val="es-ES"/>
        </w:rPr>
        <w:t>, el Estado afirma que</w:t>
      </w:r>
      <w:r w:rsidR="00B97946" w:rsidRPr="0086572E">
        <w:rPr>
          <w:rFonts w:ascii="Cambria" w:hAnsi="Cambria"/>
          <w:sz w:val="20"/>
          <w:szCs w:val="20"/>
          <w:lang w:val="es-ES"/>
        </w:rPr>
        <w:t xml:space="preserve"> los hechos alegados no caracterizan violaciones a los derechos humanos porque</w:t>
      </w:r>
      <w:r w:rsidR="000B0579" w:rsidRPr="0086572E">
        <w:rPr>
          <w:rFonts w:ascii="Cambria" w:hAnsi="Cambria"/>
          <w:sz w:val="20"/>
          <w:szCs w:val="20"/>
          <w:lang w:val="es-ES"/>
        </w:rPr>
        <w:t xml:space="preserve"> </w:t>
      </w:r>
      <w:r w:rsidR="00B85E8E" w:rsidRPr="0086572E">
        <w:rPr>
          <w:rFonts w:ascii="Cambria" w:hAnsi="Cambria"/>
          <w:sz w:val="20"/>
          <w:szCs w:val="20"/>
          <w:lang w:val="es-ES"/>
        </w:rPr>
        <w:t>solo se menci</w:t>
      </w:r>
      <w:r w:rsidR="00014E71">
        <w:rPr>
          <w:rFonts w:ascii="Cambria" w:hAnsi="Cambria"/>
          <w:sz w:val="20"/>
          <w:szCs w:val="20"/>
          <w:lang w:val="es-ES"/>
        </w:rPr>
        <w:t>ona</w:t>
      </w:r>
      <w:r w:rsidR="00B85E8E" w:rsidRPr="0086572E">
        <w:rPr>
          <w:rFonts w:ascii="Cambria" w:hAnsi="Cambria"/>
          <w:sz w:val="20"/>
          <w:szCs w:val="20"/>
          <w:lang w:val="es-ES"/>
        </w:rPr>
        <w:t xml:space="preserve"> </w:t>
      </w:r>
      <w:r w:rsidR="00014E71">
        <w:rPr>
          <w:rFonts w:ascii="Cambria" w:hAnsi="Cambria"/>
          <w:sz w:val="20"/>
          <w:szCs w:val="20"/>
          <w:lang w:val="es-ES"/>
        </w:rPr>
        <w:t>e</w:t>
      </w:r>
      <w:r w:rsidR="00B85E8E" w:rsidRPr="0086572E">
        <w:rPr>
          <w:rFonts w:ascii="Cambria" w:hAnsi="Cambria"/>
          <w:sz w:val="20"/>
          <w:szCs w:val="20"/>
          <w:lang w:val="es-ES"/>
        </w:rPr>
        <w:t xml:space="preserve">l derecho de propiedad de las presuntas víctimas </w:t>
      </w:r>
      <w:r w:rsidR="00014E71">
        <w:rPr>
          <w:rFonts w:ascii="Cambria" w:hAnsi="Cambria"/>
          <w:sz w:val="20"/>
          <w:szCs w:val="20"/>
          <w:lang w:val="es-ES"/>
        </w:rPr>
        <w:t xml:space="preserve">pero </w:t>
      </w:r>
      <w:r w:rsidR="00B85E8E" w:rsidRPr="0086572E">
        <w:rPr>
          <w:rFonts w:ascii="Cambria" w:hAnsi="Cambria"/>
          <w:sz w:val="20"/>
          <w:szCs w:val="20"/>
          <w:lang w:val="es-ES"/>
        </w:rPr>
        <w:t xml:space="preserve">sin hacer una conexión </w:t>
      </w:r>
      <w:r w:rsidR="00014E71">
        <w:rPr>
          <w:rFonts w:ascii="Cambria" w:hAnsi="Cambria"/>
          <w:sz w:val="20"/>
          <w:szCs w:val="20"/>
          <w:lang w:val="es-ES"/>
        </w:rPr>
        <w:t xml:space="preserve">con </w:t>
      </w:r>
      <w:r w:rsidR="00B85E8E" w:rsidRPr="0086572E">
        <w:rPr>
          <w:rFonts w:ascii="Cambria" w:hAnsi="Cambria"/>
          <w:sz w:val="20"/>
          <w:szCs w:val="20"/>
          <w:lang w:val="es-ES"/>
        </w:rPr>
        <w:t>uno o más hechos que se consider</w:t>
      </w:r>
      <w:r w:rsidR="00014E71">
        <w:rPr>
          <w:rFonts w:ascii="Cambria" w:hAnsi="Cambria"/>
          <w:sz w:val="20"/>
          <w:szCs w:val="20"/>
          <w:lang w:val="es-ES"/>
        </w:rPr>
        <w:t>e</w:t>
      </w:r>
      <w:r w:rsidR="00266B54" w:rsidRPr="0086572E">
        <w:rPr>
          <w:rFonts w:ascii="Cambria" w:hAnsi="Cambria"/>
          <w:sz w:val="20"/>
          <w:szCs w:val="20"/>
          <w:lang w:val="es-ES"/>
        </w:rPr>
        <w:t xml:space="preserve">n </w:t>
      </w:r>
      <w:r w:rsidR="00014E71" w:rsidRPr="0086572E">
        <w:rPr>
          <w:rFonts w:ascii="Cambria" w:hAnsi="Cambria"/>
          <w:sz w:val="20"/>
          <w:szCs w:val="20"/>
          <w:lang w:val="es-ES"/>
        </w:rPr>
        <w:t>lesivos; y</w:t>
      </w:r>
      <w:r w:rsidR="00014E71">
        <w:rPr>
          <w:rFonts w:ascii="Cambria" w:hAnsi="Cambria"/>
          <w:sz w:val="20"/>
          <w:szCs w:val="20"/>
          <w:lang w:val="es-ES"/>
        </w:rPr>
        <w:t xml:space="preserve"> que </w:t>
      </w:r>
      <w:r w:rsidR="006A0FFE" w:rsidRPr="0086572E">
        <w:rPr>
          <w:rFonts w:ascii="Cambria" w:hAnsi="Cambria"/>
          <w:bCs/>
          <w:sz w:val="19"/>
          <w:szCs w:val="19"/>
          <w:lang w:val="es-419"/>
        </w:rPr>
        <w:lastRenderedPageBreak/>
        <w:t xml:space="preserve">conforme </w:t>
      </w:r>
      <w:r w:rsidR="00014E71">
        <w:rPr>
          <w:rFonts w:ascii="Cambria" w:hAnsi="Cambria"/>
          <w:bCs/>
          <w:sz w:val="19"/>
          <w:szCs w:val="19"/>
          <w:lang w:val="es-419"/>
        </w:rPr>
        <w:t>a</w:t>
      </w:r>
      <w:r w:rsidR="006A0FFE" w:rsidRPr="0086572E">
        <w:rPr>
          <w:rFonts w:ascii="Cambria" w:hAnsi="Cambria"/>
          <w:bCs/>
          <w:sz w:val="19"/>
          <w:szCs w:val="19"/>
          <w:lang w:val="es-419"/>
        </w:rPr>
        <w:t>l artículo 145 de la Ley Orgánica del Poder Judicial, cuando h</w:t>
      </w:r>
      <w:r w:rsidR="00014E71">
        <w:rPr>
          <w:rFonts w:ascii="Cambria" w:hAnsi="Cambria"/>
          <w:bCs/>
          <w:sz w:val="19"/>
          <w:szCs w:val="19"/>
          <w:lang w:val="es-419"/>
        </w:rPr>
        <w:t>ubiera</w:t>
      </w:r>
      <w:r w:rsidR="006A0FFE" w:rsidRPr="0086572E">
        <w:rPr>
          <w:rFonts w:ascii="Cambria" w:hAnsi="Cambria"/>
          <w:bCs/>
          <w:sz w:val="19"/>
          <w:szCs w:val="19"/>
          <w:lang w:val="es-419"/>
        </w:rPr>
        <w:t xml:space="preserve"> impedimento de </w:t>
      </w:r>
      <w:r w:rsidR="00014E71">
        <w:rPr>
          <w:rFonts w:ascii="Cambria" w:hAnsi="Cambria"/>
          <w:bCs/>
          <w:sz w:val="19"/>
          <w:szCs w:val="19"/>
          <w:lang w:val="es-419"/>
        </w:rPr>
        <w:t>algu</w:t>
      </w:r>
      <w:r w:rsidR="006A0FFE" w:rsidRPr="0086572E">
        <w:rPr>
          <w:rFonts w:ascii="Cambria" w:hAnsi="Cambria"/>
          <w:bCs/>
          <w:sz w:val="19"/>
          <w:szCs w:val="19"/>
          <w:lang w:val="es-419"/>
        </w:rPr>
        <w:t xml:space="preserve">no de los vocales, se </w:t>
      </w:r>
      <w:r w:rsidR="00014E71">
        <w:rPr>
          <w:rFonts w:ascii="Cambria" w:hAnsi="Cambria"/>
          <w:bCs/>
          <w:sz w:val="19"/>
          <w:szCs w:val="19"/>
          <w:lang w:val="es-419"/>
        </w:rPr>
        <w:t xml:space="preserve">debe </w:t>
      </w:r>
      <w:r w:rsidR="006A0FFE" w:rsidRPr="0086572E">
        <w:rPr>
          <w:rFonts w:ascii="Cambria" w:hAnsi="Cambria"/>
          <w:bCs/>
          <w:sz w:val="19"/>
          <w:szCs w:val="19"/>
          <w:lang w:val="es-419"/>
        </w:rPr>
        <w:t xml:space="preserve">llamar a los magistrados consejeros que correspondan, en </w:t>
      </w:r>
      <w:r w:rsidR="00014E71">
        <w:rPr>
          <w:rFonts w:ascii="Cambria" w:hAnsi="Cambria"/>
          <w:bCs/>
          <w:sz w:val="19"/>
          <w:szCs w:val="19"/>
          <w:lang w:val="es-419"/>
        </w:rPr>
        <w:t xml:space="preserve">orden de </w:t>
      </w:r>
      <w:r w:rsidR="006A0FFE" w:rsidRPr="0086572E">
        <w:rPr>
          <w:rFonts w:ascii="Cambria" w:hAnsi="Cambria"/>
          <w:bCs/>
          <w:sz w:val="19"/>
          <w:szCs w:val="19"/>
          <w:lang w:val="es-419"/>
        </w:rPr>
        <w:t>antigüedad</w:t>
      </w:r>
      <w:r w:rsidR="00014E71">
        <w:rPr>
          <w:rFonts w:ascii="Cambria" w:hAnsi="Cambria"/>
          <w:bCs/>
          <w:sz w:val="19"/>
          <w:szCs w:val="19"/>
          <w:lang w:val="es-419"/>
        </w:rPr>
        <w:t xml:space="preserve">; y que la manera en que se hicieron las suplencias </w:t>
      </w:r>
      <w:r w:rsidR="006A0FFE" w:rsidRPr="0086572E">
        <w:rPr>
          <w:rFonts w:ascii="Cambria" w:hAnsi="Cambria"/>
          <w:bCs/>
          <w:sz w:val="19"/>
          <w:szCs w:val="19"/>
          <w:lang w:val="es-419"/>
        </w:rPr>
        <w:t>fue debidamente motivad</w:t>
      </w:r>
      <w:r w:rsidR="00014E71">
        <w:rPr>
          <w:rFonts w:ascii="Cambria" w:hAnsi="Cambria"/>
          <w:bCs/>
          <w:sz w:val="19"/>
          <w:szCs w:val="19"/>
          <w:lang w:val="es-419"/>
        </w:rPr>
        <w:t>a</w:t>
      </w:r>
      <w:r w:rsidR="006A0FFE" w:rsidRPr="0086572E">
        <w:rPr>
          <w:rFonts w:ascii="Cambria" w:hAnsi="Cambria"/>
          <w:bCs/>
          <w:sz w:val="19"/>
          <w:szCs w:val="19"/>
          <w:lang w:val="es-419"/>
        </w:rPr>
        <w:t xml:space="preserve"> en la </w:t>
      </w:r>
      <w:r w:rsidR="00014E71">
        <w:rPr>
          <w:rFonts w:ascii="Cambria" w:hAnsi="Cambria"/>
          <w:bCs/>
          <w:sz w:val="19"/>
          <w:szCs w:val="19"/>
          <w:lang w:val="es-419"/>
        </w:rPr>
        <w:t>sentencia</w:t>
      </w:r>
      <w:r w:rsidR="006A0FFE" w:rsidRPr="0086572E">
        <w:rPr>
          <w:rFonts w:ascii="Cambria" w:hAnsi="Cambria"/>
          <w:bCs/>
          <w:sz w:val="19"/>
          <w:szCs w:val="19"/>
          <w:lang w:val="es-419"/>
        </w:rPr>
        <w:t xml:space="preserve">. Además, afirma que </w:t>
      </w:r>
      <w:r w:rsidR="00D46BC8">
        <w:rPr>
          <w:rFonts w:ascii="Cambria" w:hAnsi="Cambria"/>
          <w:bCs/>
          <w:sz w:val="19"/>
          <w:szCs w:val="19"/>
          <w:lang w:val="es-419"/>
        </w:rPr>
        <w:t>una de las recusaciones se realizó</w:t>
      </w:r>
      <w:r w:rsidR="006A0FFE" w:rsidRPr="0086572E">
        <w:rPr>
          <w:rFonts w:ascii="Cambria" w:hAnsi="Cambria"/>
          <w:bCs/>
          <w:sz w:val="19"/>
          <w:szCs w:val="19"/>
          <w:lang w:val="es-419"/>
        </w:rPr>
        <w:t xml:space="preserve"> </w:t>
      </w:r>
      <w:r w:rsidR="00D46BC8">
        <w:rPr>
          <w:rFonts w:ascii="Cambria" w:hAnsi="Cambria"/>
          <w:bCs/>
          <w:sz w:val="19"/>
          <w:szCs w:val="19"/>
          <w:lang w:val="es-419"/>
        </w:rPr>
        <w:t>fuera de tiempo;</w:t>
      </w:r>
      <w:r w:rsidR="000B0579" w:rsidRPr="0086572E">
        <w:rPr>
          <w:rFonts w:ascii="Cambria" w:hAnsi="Cambria"/>
          <w:sz w:val="20"/>
          <w:szCs w:val="20"/>
          <w:lang w:val="es-ES"/>
        </w:rPr>
        <w:t xml:space="preserve"> </w:t>
      </w:r>
      <w:r w:rsidR="00D46BC8">
        <w:rPr>
          <w:rFonts w:ascii="Cambria" w:hAnsi="Cambria"/>
          <w:sz w:val="20"/>
          <w:szCs w:val="20"/>
          <w:lang w:val="es-ES"/>
        </w:rPr>
        <w:t xml:space="preserve">que uno de los jueces cuya imparcialidad fue cuestionada por las presuntas víctimas </w:t>
      </w:r>
      <w:r w:rsidR="006A0FFE" w:rsidRPr="0086572E">
        <w:rPr>
          <w:rFonts w:ascii="Cambria" w:hAnsi="Cambria"/>
          <w:bCs/>
          <w:sz w:val="19"/>
          <w:szCs w:val="19"/>
          <w:lang w:val="es-419"/>
        </w:rPr>
        <w:t xml:space="preserve">se abstuvo del proceso por </w:t>
      </w:r>
      <w:r w:rsidR="00D46BC8">
        <w:rPr>
          <w:rFonts w:ascii="Cambria" w:hAnsi="Cambria"/>
          <w:bCs/>
          <w:sz w:val="19"/>
          <w:szCs w:val="19"/>
          <w:lang w:val="es-419"/>
        </w:rPr>
        <w:t>r</w:t>
      </w:r>
      <w:r w:rsidR="006A0FFE" w:rsidRPr="0086572E">
        <w:rPr>
          <w:rFonts w:ascii="Cambria" w:hAnsi="Cambria"/>
          <w:bCs/>
          <w:sz w:val="19"/>
          <w:szCs w:val="19"/>
          <w:lang w:val="es-419"/>
        </w:rPr>
        <w:t xml:space="preserve">esolución de 22 de junio de 2004; </w:t>
      </w:r>
      <w:r w:rsidR="00D46BC8">
        <w:rPr>
          <w:rFonts w:ascii="Cambria" w:hAnsi="Cambria"/>
          <w:bCs/>
          <w:sz w:val="19"/>
          <w:szCs w:val="19"/>
          <w:lang w:val="es-419"/>
        </w:rPr>
        <w:t>que</w:t>
      </w:r>
      <w:r w:rsidR="006A0FFE" w:rsidRPr="0086572E">
        <w:rPr>
          <w:rFonts w:ascii="Cambria" w:hAnsi="Cambria"/>
          <w:sz w:val="19"/>
          <w:szCs w:val="19"/>
          <w:lang w:val="es-ES"/>
        </w:rPr>
        <w:t xml:space="preserve"> </w:t>
      </w:r>
      <w:r w:rsidR="00D46BC8" w:rsidRPr="0086572E">
        <w:rPr>
          <w:rFonts w:ascii="Cambria" w:hAnsi="Cambria"/>
          <w:sz w:val="19"/>
          <w:szCs w:val="19"/>
          <w:lang w:val="es-ES"/>
        </w:rPr>
        <w:t xml:space="preserve">según la legislación peruana </w:t>
      </w:r>
      <w:r w:rsidR="006A0FFE" w:rsidRPr="0086572E">
        <w:rPr>
          <w:rFonts w:ascii="Cambria" w:hAnsi="Cambria"/>
          <w:sz w:val="19"/>
          <w:szCs w:val="19"/>
          <w:lang w:val="es-ES"/>
        </w:rPr>
        <w:t>para la calificación del recurso de casación no se requiere vista ni solicitud de uso de la palabra</w:t>
      </w:r>
      <w:r w:rsidR="00D46BC8">
        <w:rPr>
          <w:rFonts w:ascii="Cambria" w:hAnsi="Cambria"/>
          <w:sz w:val="19"/>
          <w:szCs w:val="19"/>
          <w:lang w:val="es-ES"/>
        </w:rPr>
        <w:t>,</w:t>
      </w:r>
      <w:r w:rsidR="00ED252A" w:rsidRPr="0086572E">
        <w:rPr>
          <w:rFonts w:ascii="Cambria" w:hAnsi="Cambria"/>
          <w:sz w:val="19"/>
          <w:szCs w:val="19"/>
          <w:lang w:val="es-ES"/>
        </w:rPr>
        <w:t xml:space="preserve"> </w:t>
      </w:r>
      <w:r w:rsidR="00D46BC8">
        <w:rPr>
          <w:rFonts w:ascii="Cambria" w:hAnsi="Cambria"/>
          <w:sz w:val="19"/>
          <w:szCs w:val="19"/>
          <w:lang w:val="es-ES"/>
        </w:rPr>
        <w:t>ni</w:t>
      </w:r>
      <w:r w:rsidR="00ED252A" w:rsidRPr="0086572E">
        <w:rPr>
          <w:rFonts w:ascii="Cambria" w:hAnsi="Cambria"/>
          <w:sz w:val="19"/>
          <w:szCs w:val="19"/>
          <w:lang w:val="es-ES"/>
        </w:rPr>
        <w:t xml:space="preserve"> tampoco día y hora para la vista de la causa; </w:t>
      </w:r>
      <w:r w:rsidR="00D46BC8">
        <w:rPr>
          <w:rFonts w:ascii="Cambria" w:hAnsi="Cambria"/>
          <w:sz w:val="19"/>
          <w:szCs w:val="19"/>
          <w:lang w:val="es-ES"/>
        </w:rPr>
        <w:t>y finalmente, que</w:t>
      </w:r>
      <w:r w:rsidR="00ED252A" w:rsidRPr="0086572E">
        <w:rPr>
          <w:rFonts w:ascii="Cambria" w:hAnsi="Cambria"/>
          <w:sz w:val="19"/>
          <w:szCs w:val="19"/>
          <w:lang w:val="es-ES"/>
        </w:rPr>
        <w:t xml:space="preserve"> la parte peticionaria </w:t>
      </w:r>
      <w:r w:rsidR="00D46BC8">
        <w:rPr>
          <w:rFonts w:ascii="Cambria" w:hAnsi="Cambria"/>
          <w:sz w:val="19"/>
          <w:szCs w:val="19"/>
          <w:lang w:val="es-ES"/>
        </w:rPr>
        <w:t xml:space="preserve">pretende utilizar </w:t>
      </w:r>
      <w:r w:rsidR="00ED252A" w:rsidRPr="0086572E">
        <w:rPr>
          <w:rFonts w:ascii="Cambria" w:hAnsi="Cambria"/>
          <w:sz w:val="19"/>
          <w:szCs w:val="19"/>
          <w:lang w:val="es-ES"/>
        </w:rPr>
        <w:t xml:space="preserve">a la CIDH como un tribunal de cuarta instancia. </w:t>
      </w:r>
    </w:p>
    <w:p w14:paraId="68A6431E" w14:textId="77777777" w:rsidR="00D04F46" w:rsidRPr="0086572E" w:rsidRDefault="00D04F46" w:rsidP="00D04F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D5DB37E" w14:textId="2A89D517" w:rsidR="0083568C" w:rsidRPr="00D04F46" w:rsidRDefault="00D46BC8" w:rsidP="009C7F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La</w:t>
      </w:r>
      <w:r w:rsidR="00E1439C" w:rsidRPr="005E77F6">
        <w:rPr>
          <w:rFonts w:asciiTheme="majorHAnsi" w:hAnsiTheme="majorHAnsi"/>
          <w:sz w:val="20"/>
          <w:szCs w:val="20"/>
          <w:lang w:val="es-ES"/>
        </w:rPr>
        <w:t xml:space="preserve"> Comisión </w:t>
      </w:r>
      <w:r>
        <w:rPr>
          <w:rFonts w:asciiTheme="majorHAnsi" w:hAnsiTheme="majorHAnsi"/>
          <w:sz w:val="20"/>
          <w:szCs w:val="20"/>
          <w:lang w:val="es-ES"/>
        </w:rPr>
        <w:t xml:space="preserve">destaca </w:t>
      </w:r>
      <w:r w:rsidR="0083568C" w:rsidRPr="005E77F6">
        <w:rPr>
          <w:rFonts w:asciiTheme="majorHAnsi" w:hAnsiTheme="majorHAnsi"/>
          <w:sz w:val="20"/>
          <w:szCs w:val="20"/>
          <w:lang w:val="es-ES"/>
        </w:rPr>
        <w:t>que,</w:t>
      </w:r>
      <w:r w:rsidR="00E1439C" w:rsidRPr="005E77F6">
        <w:rPr>
          <w:rFonts w:asciiTheme="majorHAnsi" w:hAnsiTheme="majorHAnsi"/>
          <w:sz w:val="20"/>
          <w:szCs w:val="20"/>
          <w:lang w:val="es-ES"/>
        </w:rPr>
        <w:t xml:space="preserve"> </w:t>
      </w:r>
      <w:r w:rsidR="00E1439C" w:rsidRPr="005E77F6">
        <w:rPr>
          <w:rFonts w:asciiTheme="majorHAnsi" w:hAnsiTheme="majorHAnsi" w:cs="Calibri"/>
          <w:sz w:val="20"/>
          <w:szCs w:val="20"/>
          <w:lang w:val="es-ES"/>
        </w:rPr>
        <w:t>e</w:t>
      </w:r>
      <w:r w:rsidR="00E1439C" w:rsidRPr="005E77F6">
        <w:rPr>
          <w:rFonts w:asciiTheme="majorHAnsi" w:hAnsiTheme="majorHAnsi" w:cs="Calibri"/>
          <w:sz w:val="20"/>
          <w:szCs w:val="20"/>
          <w:lang w:val="es-ES_tradnl"/>
        </w:rPr>
        <w:t>n principio, es imputable a</w:t>
      </w:r>
      <w:r>
        <w:rPr>
          <w:rFonts w:asciiTheme="majorHAnsi" w:hAnsiTheme="majorHAnsi" w:cs="Calibri"/>
          <w:sz w:val="20"/>
          <w:szCs w:val="20"/>
          <w:lang w:val="es-ES_tradnl"/>
        </w:rPr>
        <w:t xml:space="preserve"> un</w:t>
      </w:r>
      <w:r w:rsidR="00E1439C" w:rsidRPr="005E77F6">
        <w:rPr>
          <w:rFonts w:asciiTheme="majorHAnsi" w:hAnsiTheme="majorHAnsi" w:cs="Calibri"/>
          <w:sz w:val="20"/>
          <w:szCs w:val="20"/>
          <w:lang w:val="es-ES_tradnl"/>
        </w:rPr>
        <w:t xml:space="preserve"> Estado toda violación a los derechos reconocidos por la Convención </w:t>
      </w:r>
      <w:r>
        <w:rPr>
          <w:rFonts w:asciiTheme="majorHAnsi" w:hAnsiTheme="majorHAnsi" w:cs="Calibri"/>
          <w:sz w:val="20"/>
          <w:szCs w:val="20"/>
          <w:lang w:val="es-ES_tradnl"/>
        </w:rPr>
        <w:t>Americana realizada</w:t>
      </w:r>
      <w:r w:rsidR="00E1439C" w:rsidRPr="005E77F6">
        <w:rPr>
          <w:rFonts w:asciiTheme="majorHAnsi" w:hAnsiTheme="majorHAnsi" w:cs="Calibri"/>
          <w:sz w:val="20"/>
          <w:szCs w:val="20"/>
          <w:lang w:val="es-ES_tradnl"/>
        </w:rPr>
        <w:t xml:space="preserve"> por un acto del poder público o de personas que actúan prevalidas de los poderes que ostentan por su carácter oficial. No obstante, un hecho ilícito violatorio de los derechos humanos que inicialmente no resulte imputable directamente a un Estado </w:t>
      </w:r>
      <w:r>
        <w:rPr>
          <w:rFonts w:asciiTheme="majorHAnsi" w:hAnsiTheme="majorHAnsi" w:cs="Calibri"/>
          <w:sz w:val="20"/>
          <w:szCs w:val="20"/>
          <w:lang w:val="es-ES_tradnl"/>
        </w:rPr>
        <w:t>--</w:t>
      </w:r>
      <w:r w:rsidR="00E1439C" w:rsidRPr="005E77F6">
        <w:rPr>
          <w:rFonts w:asciiTheme="majorHAnsi" w:hAnsiTheme="majorHAnsi" w:cs="Calibri"/>
          <w:sz w:val="20"/>
          <w:szCs w:val="20"/>
          <w:lang w:val="es-ES_tradnl"/>
        </w:rPr>
        <w:t>por ejemplo, por ser obra de un particular o por no haberse identificado al autor de la trasgresión</w:t>
      </w:r>
      <w:r>
        <w:rPr>
          <w:rFonts w:asciiTheme="majorHAnsi" w:hAnsiTheme="majorHAnsi" w:cs="Calibri"/>
          <w:sz w:val="20"/>
          <w:szCs w:val="20"/>
          <w:lang w:val="es-ES_tradnl"/>
        </w:rPr>
        <w:t>--</w:t>
      </w:r>
      <w:r w:rsidR="00E1439C" w:rsidRPr="005E77F6">
        <w:rPr>
          <w:rFonts w:asciiTheme="majorHAnsi" w:hAnsiTheme="majorHAnsi" w:cs="Calibri"/>
          <w:sz w:val="20"/>
          <w:szCs w:val="20"/>
          <w:lang w:val="es-ES_tradnl"/>
        </w:rPr>
        <w:t xml:space="preserve"> puede acarrear la responsabilidad internacional del Estado, no por ese hecho en sí mismo, sino por falta de debida diligencia para prevenir la violación o para tratarla en los términos requeridos por la Convención.</w:t>
      </w:r>
      <w:r w:rsidR="0083568C" w:rsidRPr="005E77F6">
        <w:rPr>
          <w:rFonts w:asciiTheme="majorHAnsi" w:hAnsiTheme="majorHAnsi" w:cs="Calibri"/>
          <w:sz w:val="20"/>
          <w:szCs w:val="20"/>
          <w:lang w:val="es-ES_tradnl"/>
        </w:rPr>
        <w:t xml:space="preserve"> Sin embargo, </w:t>
      </w:r>
      <w:r>
        <w:rPr>
          <w:rFonts w:asciiTheme="majorHAnsi" w:hAnsiTheme="majorHAnsi" w:cs="Calibri"/>
          <w:sz w:val="20"/>
          <w:szCs w:val="20"/>
          <w:lang w:val="es-ES_tradnl"/>
        </w:rPr>
        <w:t xml:space="preserve">en </w:t>
      </w:r>
      <w:r w:rsidR="0083568C" w:rsidRPr="005E77F6">
        <w:rPr>
          <w:rFonts w:asciiTheme="majorHAnsi" w:hAnsiTheme="majorHAnsi" w:cs="Calibri"/>
          <w:sz w:val="20"/>
          <w:szCs w:val="20"/>
          <w:lang w:val="es-ES_tradnl"/>
        </w:rPr>
        <w:t>el presente caso la parte peticionaria no hace relación entre la acción de</w:t>
      </w:r>
      <w:r>
        <w:rPr>
          <w:rFonts w:asciiTheme="majorHAnsi" w:hAnsiTheme="majorHAnsi" w:cs="Calibri"/>
          <w:sz w:val="20"/>
          <w:szCs w:val="20"/>
          <w:lang w:val="es-ES_tradnl"/>
        </w:rPr>
        <w:t xml:space="preserve"> </w:t>
      </w:r>
      <w:r w:rsidR="0083568C" w:rsidRPr="005E77F6">
        <w:rPr>
          <w:rFonts w:asciiTheme="majorHAnsi" w:hAnsiTheme="majorHAnsi" w:cs="Calibri"/>
          <w:sz w:val="20"/>
          <w:szCs w:val="20"/>
          <w:lang w:val="es-ES_tradnl"/>
        </w:rPr>
        <w:t>l</w:t>
      </w:r>
      <w:r>
        <w:rPr>
          <w:rFonts w:asciiTheme="majorHAnsi" w:hAnsiTheme="majorHAnsi" w:cs="Calibri"/>
          <w:sz w:val="20"/>
          <w:szCs w:val="20"/>
          <w:lang w:val="es-ES_tradnl"/>
        </w:rPr>
        <w:t>a persona</w:t>
      </w:r>
      <w:r w:rsidR="0083568C" w:rsidRPr="005E77F6">
        <w:rPr>
          <w:rFonts w:asciiTheme="majorHAnsi" w:hAnsiTheme="majorHAnsi" w:cs="Calibri"/>
          <w:sz w:val="20"/>
          <w:szCs w:val="20"/>
          <w:lang w:val="es-ES_tradnl"/>
        </w:rPr>
        <w:t xml:space="preserve"> privad</w:t>
      </w:r>
      <w:r>
        <w:rPr>
          <w:rFonts w:asciiTheme="majorHAnsi" w:hAnsiTheme="majorHAnsi" w:cs="Calibri"/>
          <w:sz w:val="20"/>
          <w:szCs w:val="20"/>
          <w:lang w:val="es-ES_tradnl"/>
        </w:rPr>
        <w:t>a</w:t>
      </w:r>
      <w:r w:rsidR="0083568C" w:rsidRPr="005E77F6">
        <w:rPr>
          <w:rFonts w:asciiTheme="majorHAnsi" w:hAnsiTheme="majorHAnsi" w:cs="Calibri"/>
          <w:sz w:val="20"/>
          <w:szCs w:val="20"/>
          <w:lang w:val="es-ES_tradnl"/>
        </w:rPr>
        <w:t xml:space="preserve"> </w:t>
      </w:r>
      <w:r>
        <w:rPr>
          <w:rFonts w:asciiTheme="majorHAnsi" w:hAnsiTheme="majorHAnsi" w:cs="Calibri"/>
          <w:sz w:val="20"/>
          <w:szCs w:val="20"/>
          <w:lang w:val="es-ES_tradnl"/>
        </w:rPr>
        <w:t>--</w:t>
      </w:r>
      <w:r w:rsidR="0083568C" w:rsidRPr="005E77F6">
        <w:rPr>
          <w:rFonts w:asciiTheme="majorHAnsi" w:hAnsiTheme="majorHAnsi" w:cs="Calibri"/>
          <w:sz w:val="20"/>
          <w:szCs w:val="20"/>
          <w:lang w:val="es-ES_tradnl"/>
        </w:rPr>
        <w:t xml:space="preserve">el </w:t>
      </w:r>
      <w:r>
        <w:rPr>
          <w:rFonts w:asciiTheme="majorHAnsi" w:hAnsiTheme="majorHAnsi" w:cs="Calibri"/>
          <w:sz w:val="20"/>
          <w:szCs w:val="20"/>
          <w:lang w:val="es-ES_tradnl"/>
        </w:rPr>
        <w:t>señor</w:t>
      </w:r>
      <w:r w:rsidR="0083568C" w:rsidRPr="005E77F6">
        <w:rPr>
          <w:rFonts w:asciiTheme="majorHAnsi" w:hAnsiTheme="majorHAnsi" w:cs="Calibri"/>
          <w:sz w:val="20"/>
          <w:szCs w:val="20"/>
          <w:lang w:val="es-ES_tradnl"/>
        </w:rPr>
        <w:t xml:space="preserve"> </w:t>
      </w:r>
      <w:r w:rsidR="0083568C" w:rsidRPr="005E77F6">
        <w:rPr>
          <w:rFonts w:ascii="Cambria" w:hAnsi="Cambria"/>
          <w:bCs/>
          <w:sz w:val="20"/>
          <w:szCs w:val="20"/>
          <w:lang w:val="es-419"/>
        </w:rPr>
        <w:t>Alfonso</w:t>
      </w:r>
      <w:r>
        <w:rPr>
          <w:rFonts w:ascii="Cambria" w:hAnsi="Cambria"/>
          <w:bCs/>
          <w:sz w:val="20"/>
          <w:szCs w:val="20"/>
          <w:lang w:val="es-419"/>
        </w:rPr>
        <w:t>--</w:t>
      </w:r>
      <w:r w:rsidR="0083568C" w:rsidRPr="005E77F6">
        <w:rPr>
          <w:rFonts w:ascii="Cambria" w:hAnsi="Cambria"/>
          <w:bCs/>
          <w:sz w:val="20"/>
          <w:szCs w:val="20"/>
          <w:lang w:val="es-419"/>
        </w:rPr>
        <w:t xml:space="preserve"> que supuestamente violó el derecho de propiedad de las presuntas víctimas, y la posibilidad </w:t>
      </w:r>
      <w:r>
        <w:rPr>
          <w:rFonts w:ascii="Cambria" w:hAnsi="Cambria"/>
          <w:bCs/>
          <w:sz w:val="20"/>
          <w:szCs w:val="20"/>
          <w:lang w:val="es-419"/>
        </w:rPr>
        <w:t xml:space="preserve">que habría tenido </w:t>
      </w:r>
      <w:r w:rsidR="0083568C" w:rsidRPr="005E77F6">
        <w:rPr>
          <w:rFonts w:ascii="Cambria" w:hAnsi="Cambria"/>
          <w:bCs/>
          <w:sz w:val="20"/>
          <w:szCs w:val="20"/>
          <w:lang w:val="es-419"/>
        </w:rPr>
        <w:t xml:space="preserve">el Estado peruano de prevenir </w:t>
      </w:r>
      <w:r>
        <w:rPr>
          <w:rFonts w:ascii="Cambria" w:hAnsi="Cambria"/>
          <w:bCs/>
          <w:sz w:val="20"/>
          <w:szCs w:val="20"/>
          <w:lang w:val="es-419"/>
        </w:rPr>
        <w:t>y</w:t>
      </w:r>
      <w:r w:rsidR="0083568C" w:rsidRPr="005E77F6">
        <w:rPr>
          <w:rFonts w:ascii="Cambria" w:hAnsi="Cambria"/>
          <w:bCs/>
          <w:sz w:val="20"/>
          <w:szCs w:val="20"/>
          <w:lang w:val="es-419"/>
        </w:rPr>
        <w:t xml:space="preserve"> sancionar dicha violación. Es decir, no </w:t>
      </w:r>
      <w:r>
        <w:rPr>
          <w:rFonts w:ascii="Cambria" w:hAnsi="Cambria"/>
          <w:bCs/>
          <w:sz w:val="20"/>
          <w:szCs w:val="20"/>
          <w:lang w:val="es-419"/>
        </w:rPr>
        <w:t xml:space="preserve">se </w:t>
      </w:r>
      <w:r w:rsidR="0083568C" w:rsidRPr="005E77F6">
        <w:rPr>
          <w:rFonts w:ascii="Cambria" w:hAnsi="Cambria"/>
          <w:bCs/>
          <w:sz w:val="20"/>
          <w:szCs w:val="20"/>
          <w:lang w:val="es-419"/>
        </w:rPr>
        <w:t xml:space="preserve">presenta la posibilidad de responsabilizar el Estado por </w:t>
      </w:r>
      <w:r>
        <w:rPr>
          <w:rFonts w:ascii="Cambria" w:hAnsi="Cambria"/>
          <w:bCs/>
          <w:sz w:val="20"/>
          <w:szCs w:val="20"/>
          <w:lang w:val="es-419"/>
        </w:rPr>
        <w:t xml:space="preserve">el </w:t>
      </w:r>
      <w:r w:rsidR="0083568C" w:rsidRPr="005E77F6">
        <w:rPr>
          <w:rFonts w:ascii="Cambria" w:hAnsi="Cambria"/>
          <w:bCs/>
          <w:sz w:val="20"/>
          <w:szCs w:val="20"/>
          <w:lang w:val="es-419"/>
        </w:rPr>
        <w:t xml:space="preserve">hecho de </w:t>
      </w:r>
      <w:r>
        <w:rPr>
          <w:rFonts w:ascii="Cambria" w:hAnsi="Cambria"/>
          <w:bCs/>
          <w:sz w:val="20"/>
          <w:szCs w:val="20"/>
          <w:lang w:val="es-419"/>
        </w:rPr>
        <w:t xml:space="preserve">un </w:t>
      </w:r>
      <w:r w:rsidR="0083568C" w:rsidRPr="005E77F6">
        <w:rPr>
          <w:rFonts w:ascii="Cambria" w:hAnsi="Cambria"/>
          <w:bCs/>
          <w:sz w:val="20"/>
          <w:szCs w:val="20"/>
          <w:lang w:val="es-419"/>
        </w:rPr>
        <w:t xml:space="preserve">tercero, </w:t>
      </w:r>
      <w:r>
        <w:rPr>
          <w:rFonts w:ascii="Cambria" w:hAnsi="Cambria"/>
          <w:bCs/>
          <w:sz w:val="20"/>
          <w:szCs w:val="20"/>
          <w:lang w:val="es-419"/>
        </w:rPr>
        <w:t xml:space="preserve">ya </w:t>
      </w:r>
      <w:r w:rsidR="0083568C" w:rsidRPr="005E77F6">
        <w:rPr>
          <w:rFonts w:ascii="Cambria" w:hAnsi="Cambria"/>
          <w:bCs/>
          <w:sz w:val="20"/>
          <w:szCs w:val="20"/>
          <w:lang w:val="es-419"/>
        </w:rPr>
        <w:t xml:space="preserve">que no se demuestra que Perú </w:t>
      </w:r>
      <w:r>
        <w:rPr>
          <w:rFonts w:ascii="Cambria" w:hAnsi="Cambria"/>
          <w:bCs/>
          <w:sz w:val="20"/>
          <w:szCs w:val="20"/>
          <w:lang w:val="es-419"/>
        </w:rPr>
        <w:t>tuviera</w:t>
      </w:r>
      <w:r w:rsidR="0083568C" w:rsidRPr="005E77F6">
        <w:rPr>
          <w:rFonts w:ascii="Cambria" w:hAnsi="Cambria"/>
          <w:bCs/>
          <w:sz w:val="20"/>
          <w:szCs w:val="20"/>
          <w:lang w:val="es-419"/>
        </w:rPr>
        <w:t xml:space="preserve"> conocimiento de los hechos </w:t>
      </w:r>
      <w:r>
        <w:rPr>
          <w:rFonts w:ascii="Cambria" w:hAnsi="Cambria"/>
          <w:bCs/>
          <w:sz w:val="20"/>
          <w:szCs w:val="20"/>
          <w:lang w:val="es-419"/>
        </w:rPr>
        <w:t>ni</w:t>
      </w:r>
      <w:r w:rsidR="0083568C" w:rsidRPr="005E77F6">
        <w:rPr>
          <w:rFonts w:ascii="Cambria" w:hAnsi="Cambria"/>
          <w:bCs/>
          <w:sz w:val="20"/>
          <w:szCs w:val="20"/>
          <w:lang w:val="es-419"/>
        </w:rPr>
        <w:t xml:space="preserve"> la posibilidad de evitarlos</w:t>
      </w:r>
      <w:r>
        <w:rPr>
          <w:rFonts w:ascii="Cambria" w:hAnsi="Cambria"/>
          <w:bCs/>
          <w:sz w:val="20"/>
          <w:szCs w:val="20"/>
          <w:lang w:val="es-419"/>
        </w:rPr>
        <w:t>.</w:t>
      </w:r>
      <w:r w:rsidR="0083568C" w:rsidRPr="005E77F6">
        <w:rPr>
          <w:rFonts w:ascii="Cambria" w:hAnsi="Cambria"/>
          <w:bCs/>
          <w:sz w:val="20"/>
          <w:szCs w:val="20"/>
          <w:lang w:val="es-419"/>
        </w:rPr>
        <w:t xml:space="preserve"> </w:t>
      </w:r>
      <w:r>
        <w:rPr>
          <w:rFonts w:ascii="Cambria" w:hAnsi="Cambria"/>
          <w:bCs/>
          <w:sz w:val="20"/>
          <w:szCs w:val="20"/>
          <w:lang w:val="es-419"/>
        </w:rPr>
        <w:t>La información disponible t</w:t>
      </w:r>
      <w:r w:rsidR="0083568C" w:rsidRPr="005E77F6">
        <w:rPr>
          <w:rFonts w:ascii="Cambria" w:hAnsi="Cambria"/>
          <w:bCs/>
          <w:sz w:val="20"/>
          <w:szCs w:val="20"/>
          <w:lang w:val="es-419"/>
        </w:rPr>
        <w:t xml:space="preserve">ampoco </w:t>
      </w:r>
      <w:r>
        <w:rPr>
          <w:rFonts w:ascii="Cambria" w:hAnsi="Cambria"/>
          <w:bCs/>
          <w:sz w:val="20"/>
          <w:szCs w:val="20"/>
          <w:lang w:val="es-419"/>
        </w:rPr>
        <w:t xml:space="preserve">demuestra que </w:t>
      </w:r>
      <w:r w:rsidR="0083568C" w:rsidRPr="005E77F6">
        <w:rPr>
          <w:rFonts w:ascii="Cambria" w:hAnsi="Cambria"/>
          <w:bCs/>
          <w:sz w:val="20"/>
          <w:szCs w:val="20"/>
          <w:lang w:val="es-419"/>
        </w:rPr>
        <w:t>h</w:t>
      </w:r>
      <w:r>
        <w:rPr>
          <w:rFonts w:ascii="Cambria" w:hAnsi="Cambria"/>
          <w:bCs/>
          <w:sz w:val="20"/>
          <w:szCs w:val="20"/>
          <w:lang w:val="es-419"/>
        </w:rPr>
        <w:t>ubier</w:t>
      </w:r>
      <w:r w:rsidR="0083568C" w:rsidRPr="005E77F6">
        <w:rPr>
          <w:rFonts w:ascii="Cambria" w:hAnsi="Cambria"/>
          <w:bCs/>
          <w:sz w:val="20"/>
          <w:szCs w:val="20"/>
          <w:lang w:val="es-419"/>
        </w:rPr>
        <w:t>a sido omiso en las investigaciones de las violaciones al derecho de propiedad</w:t>
      </w:r>
      <w:r>
        <w:rPr>
          <w:rFonts w:ascii="Cambria" w:hAnsi="Cambria"/>
          <w:bCs/>
          <w:sz w:val="20"/>
          <w:szCs w:val="20"/>
          <w:lang w:val="es-419"/>
        </w:rPr>
        <w:t xml:space="preserve"> denunciadas</w:t>
      </w:r>
      <w:r w:rsidR="0083568C" w:rsidRPr="005E77F6">
        <w:rPr>
          <w:rFonts w:ascii="Cambria" w:hAnsi="Cambria"/>
          <w:bCs/>
          <w:sz w:val="20"/>
          <w:szCs w:val="20"/>
          <w:lang w:val="es-419"/>
        </w:rPr>
        <w:t xml:space="preserve">, </w:t>
      </w:r>
      <w:r>
        <w:rPr>
          <w:rFonts w:ascii="Cambria" w:hAnsi="Cambria"/>
          <w:bCs/>
          <w:sz w:val="20"/>
          <w:szCs w:val="20"/>
          <w:lang w:val="es-419"/>
        </w:rPr>
        <w:t>por lo que no es posible</w:t>
      </w:r>
      <w:r w:rsidR="0083568C" w:rsidRPr="005E77F6">
        <w:rPr>
          <w:rFonts w:asciiTheme="majorHAnsi" w:hAnsiTheme="majorHAnsi"/>
          <w:sz w:val="20"/>
          <w:szCs w:val="20"/>
          <w:lang w:val="es-ES"/>
        </w:rPr>
        <w:t xml:space="preserve"> concluir que </w:t>
      </w:r>
      <w:r w:rsidR="0083568C" w:rsidRPr="005E77F6">
        <w:rPr>
          <w:rFonts w:asciiTheme="majorHAnsi" w:hAnsiTheme="majorHAnsi" w:cs="Calibri"/>
          <w:sz w:val="20"/>
          <w:szCs w:val="20"/>
          <w:lang w:val="es-ES_tradnl"/>
        </w:rPr>
        <w:t xml:space="preserve">Estado puede haber violado el </w:t>
      </w:r>
      <w:r w:rsidR="0083568C" w:rsidRPr="005E77F6">
        <w:rPr>
          <w:rFonts w:ascii="Cambria" w:hAnsi="Cambria"/>
          <w:bCs/>
          <w:sz w:val="20"/>
          <w:szCs w:val="20"/>
          <w:lang w:val="es-ES"/>
        </w:rPr>
        <w:t xml:space="preserve">artículo 21 </w:t>
      </w:r>
      <w:r w:rsidRPr="005E77F6">
        <w:rPr>
          <w:rFonts w:ascii="Cambria" w:hAnsi="Cambria"/>
          <w:bCs/>
          <w:sz w:val="20"/>
          <w:szCs w:val="20"/>
          <w:lang w:val="es-ES"/>
        </w:rPr>
        <w:t>de la Convención Americana</w:t>
      </w:r>
      <w:r>
        <w:rPr>
          <w:rFonts w:ascii="Cambria" w:hAnsi="Cambria"/>
          <w:bCs/>
          <w:sz w:val="20"/>
          <w:szCs w:val="20"/>
          <w:lang w:val="es-ES"/>
        </w:rPr>
        <w:t xml:space="preserve"> sobre derecho a la </w:t>
      </w:r>
      <w:r w:rsidR="0083568C" w:rsidRPr="005E77F6">
        <w:rPr>
          <w:rFonts w:ascii="Cambria" w:hAnsi="Cambria"/>
          <w:bCs/>
          <w:sz w:val="20"/>
          <w:szCs w:val="20"/>
          <w:lang w:val="es-ES"/>
        </w:rPr>
        <w:t>propiedad.</w:t>
      </w:r>
    </w:p>
    <w:p w14:paraId="09FC5ED7" w14:textId="77777777" w:rsidR="00D04F46" w:rsidRPr="005E77F6" w:rsidRDefault="00D04F46" w:rsidP="00D04F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D142784" w14:textId="6B61A386" w:rsidR="0086572E" w:rsidRDefault="00C41A61" w:rsidP="009C7FF2">
      <w:pPr>
        <w:pStyle w:val="ListParagraph"/>
        <w:numPr>
          <w:ilvl w:val="0"/>
          <w:numId w:val="55"/>
        </w:numPr>
        <w:contextualSpacing/>
        <w:jc w:val="both"/>
        <w:rPr>
          <w:rFonts w:cs="Calibri"/>
          <w:sz w:val="20"/>
          <w:szCs w:val="20"/>
          <w:lang w:val="es-ES_tradnl"/>
        </w:rPr>
      </w:pPr>
      <w:r>
        <w:rPr>
          <w:rFonts w:cs="Calibri"/>
          <w:sz w:val="20"/>
          <w:szCs w:val="20"/>
          <w:lang w:val="es-ES_tradnl"/>
        </w:rPr>
        <w:t>En cuanto al</w:t>
      </w:r>
      <w:r w:rsidR="0083568C">
        <w:rPr>
          <w:rFonts w:cs="Calibri"/>
          <w:sz w:val="20"/>
          <w:szCs w:val="20"/>
          <w:lang w:val="es-ES_tradnl"/>
        </w:rPr>
        <w:t xml:space="preserve"> alegato de cuarta instancia, </w:t>
      </w:r>
      <w:r w:rsidR="0083568C" w:rsidRPr="0083568C">
        <w:rPr>
          <w:rFonts w:cs="Calibri"/>
          <w:sz w:val="20"/>
          <w:szCs w:val="20"/>
          <w:lang w:val="es-ES_tradnl"/>
        </w:rPr>
        <w:t xml:space="preserve">a efectos de la admisibilidad </w:t>
      </w:r>
      <w:r w:rsidRPr="0083568C">
        <w:rPr>
          <w:rFonts w:cs="Calibri"/>
          <w:sz w:val="20"/>
          <w:szCs w:val="20"/>
          <w:lang w:val="es-ES_tradnl"/>
        </w:rPr>
        <w:t xml:space="preserve">la Comisión </w:t>
      </w:r>
      <w:r w:rsidR="0083568C" w:rsidRPr="0083568C">
        <w:rPr>
          <w:rFonts w:cs="Calibri"/>
          <w:sz w:val="20"/>
          <w:szCs w:val="20"/>
          <w:lang w:val="es-ES_tradnl"/>
        </w:rPr>
        <w:t>debe decidir si los hechos alegados pueden caracterizar una violación de derechos, según lo estipulado en el artículo 47(b) de la Convención Americana</w:t>
      </w:r>
      <w:r>
        <w:rPr>
          <w:rFonts w:cs="Calibri"/>
          <w:sz w:val="20"/>
          <w:szCs w:val="20"/>
          <w:lang w:val="es-ES_tradnl"/>
        </w:rPr>
        <w:t>;</w:t>
      </w:r>
      <w:r w:rsidR="0083568C" w:rsidRPr="0083568C">
        <w:rPr>
          <w:rFonts w:cs="Calibri"/>
          <w:sz w:val="20"/>
          <w:szCs w:val="20"/>
          <w:lang w:val="es-ES_tradnl"/>
        </w:rPr>
        <w:t xml:space="preserve"> o si la petición es manifiestamente infundada o es evidente su total improcedencia, conforme al inciso (c) de dicho artículo. El criterio de evaluación de esos requisitos difiere del que se utiliza para pronunciarse sobre el fondo de una petición. Asimismo, </w:t>
      </w:r>
      <w:r>
        <w:rPr>
          <w:rFonts w:cs="Calibri"/>
          <w:sz w:val="20"/>
          <w:szCs w:val="20"/>
          <w:lang w:val="es-ES_tradnl"/>
        </w:rPr>
        <w:t xml:space="preserve">la CIDH </w:t>
      </w:r>
      <w:r w:rsidR="0083568C" w:rsidRPr="0083568C">
        <w:rPr>
          <w:rFonts w:cs="Calibri"/>
          <w:sz w:val="20"/>
          <w:szCs w:val="20"/>
          <w:lang w:val="es-ES_tradnl"/>
        </w:rPr>
        <w:t xml:space="preserve">es competente para declarar admisible una petición cuando ésta se refiere a procesos internos que podrían ser violatorios de derechos garantizados por la Convención Americana. </w:t>
      </w:r>
      <w:r>
        <w:rPr>
          <w:rFonts w:cs="Calibri"/>
          <w:sz w:val="20"/>
          <w:szCs w:val="20"/>
          <w:lang w:val="es-ES_tradnl"/>
        </w:rPr>
        <w:t>D</w:t>
      </w:r>
      <w:r w:rsidR="0083568C" w:rsidRPr="0083568C">
        <w:rPr>
          <w:rFonts w:cs="Calibri"/>
          <w:sz w:val="20"/>
          <w:szCs w:val="20"/>
          <w:lang w:val="es-ES_tradnl"/>
        </w:rPr>
        <w:t xml:space="preserve">e acuerdo con las normas convencionales citadas, en concordancia con el artículo 34 de su Reglamento, el análisis de admisibilidad </w:t>
      </w:r>
      <w:r>
        <w:rPr>
          <w:rFonts w:cs="Calibri"/>
          <w:sz w:val="20"/>
          <w:szCs w:val="20"/>
          <w:lang w:val="es-ES_tradnl"/>
        </w:rPr>
        <w:t xml:space="preserve">de la Comisión Interamericana </w:t>
      </w:r>
      <w:r w:rsidR="0083568C" w:rsidRPr="0083568C">
        <w:rPr>
          <w:rFonts w:cs="Calibri"/>
          <w:sz w:val="20"/>
          <w:szCs w:val="20"/>
          <w:lang w:val="es-ES_tradnl"/>
        </w:rPr>
        <w:t xml:space="preserve">se centra en la verificación de tales requisitos, </w:t>
      </w:r>
      <w:r>
        <w:rPr>
          <w:rFonts w:cs="Calibri"/>
          <w:sz w:val="20"/>
          <w:szCs w:val="20"/>
          <w:lang w:val="es-ES_tradnl"/>
        </w:rPr>
        <w:t xml:space="preserve">que </w:t>
      </w:r>
      <w:r w:rsidR="0083568C" w:rsidRPr="0083568C">
        <w:rPr>
          <w:rFonts w:cs="Calibri"/>
          <w:sz w:val="20"/>
          <w:szCs w:val="20"/>
          <w:lang w:val="es-ES_tradnl"/>
        </w:rPr>
        <w:t xml:space="preserve">se refieren a elementos que, de ser ciertos, podrían constituir </w:t>
      </w:r>
      <w:r w:rsidR="0083568C" w:rsidRPr="00C41A61">
        <w:rPr>
          <w:rFonts w:cs="Calibri"/>
          <w:i/>
          <w:sz w:val="20"/>
          <w:szCs w:val="20"/>
          <w:lang w:val="es-ES_tradnl"/>
        </w:rPr>
        <w:t>prima facie</w:t>
      </w:r>
      <w:r w:rsidR="0083568C" w:rsidRPr="0083568C">
        <w:rPr>
          <w:rFonts w:cs="Calibri"/>
          <w:sz w:val="20"/>
          <w:szCs w:val="20"/>
          <w:lang w:val="es-ES_tradnl"/>
        </w:rPr>
        <w:t xml:space="preserve"> violaciones a la Convención Americana. </w:t>
      </w:r>
      <w:r w:rsidR="0083568C">
        <w:rPr>
          <w:rFonts w:cs="Calibri"/>
          <w:sz w:val="20"/>
          <w:szCs w:val="20"/>
          <w:lang w:val="es-ES_tradnl"/>
        </w:rPr>
        <w:t>En el presente caso, la CIDH observa que el Estado ha fundament</w:t>
      </w:r>
      <w:r>
        <w:rPr>
          <w:rFonts w:cs="Calibri"/>
          <w:sz w:val="20"/>
          <w:szCs w:val="20"/>
          <w:lang w:val="es-ES_tradnl"/>
        </w:rPr>
        <w:t>ad</w:t>
      </w:r>
      <w:r w:rsidR="0083568C">
        <w:rPr>
          <w:rFonts w:cs="Calibri"/>
          <w:sz w:val="20"/>
          <w:szCs w:val="20"/>
          <w:lang w:val="es-ES_tradnl"/>
        </w:rPr>
        <w:t>o todos los recursos presentados por las presuntas víctimas y que ha garantizado</w:t>
      </w:r>
      <w:r w:rsidRPr="00C41A61">
        <w:rPr>
          <w:rFonts w:cs="Calibri"/>
          <w:sz w:val="20"/>
          <w:szCs w:val="20"/>
          <w:lang w:val="es-ES_tradnl"/>
        </w:rPr>
        <w:t xml:space="preserve"> </w:t>
      </w:r>
      <w:r>
        <w:rPr>
          <w:rFonts w:cs="Calibri"/>
          <w:sz w:val="20"/>
          <w:szCs w:val="20"/>
          <w:lang w:val="es-ES_tradnl"/>
        </w:rPr>
        <w:t>los estándares de debido proceso legal</w:t>
      </w:r>
      <w:r w:rsidR="00961DAD">
        <w:rPr>
          <w:rFonts w:cs="Calibri"/>
          <w:sz w:val="20"/>
          <w:szCs w:val="20"/>
          <w:lang w:val="es-ES_tradnl"/>
        </w:rPr>
        <w:t>;</w:t>
      </w:r>
      <w:r w:rsidR="0083568C">
        <w:rPr>
          <w:rFonts w:cs="Calibri"/>
          <w:sz w:val="20"/>
          <w:szCs w:val="20"/>
          <w:lang w:val="es-ES_tradnl"/>
        </w:rPr>
        <w:t xml:space="preserve"> </w:t>
      </w:r>
      <w:r w:rsidR="00961DAD">
        <w:rPr>
          <w:rFonts w:cs="Calibri"/>
          <w:sz w:val="20"/>
          <w:szCs w:val="20"/>
          <w:lang w:val="es-ES_tradnl"/>
        </w:rPr>
        <w:t xml:space="preserve">asimismo, se </w:t>
      </w:r>
      <w:r w:rsidR="003E06D9">
        <w:rPr>
          <w:rFonts w:cs="Calibri"/>
          <w:sz w:val="20"/>
          <w:szCs w:val="20"/>
          <w:lang w:val="es-ES_tradnl"/>
        </w:rPr>
        <w:t>atendie</w:t>
      </w:r>
      <w:r w:rsidR="00961DAD">
        <w:rPr>
          <w:rFonts w:cs="Calibri"/>
          <w:sz w:val="20"/>
          <w:szCs w:val="20"/>
          <w:lang w:val="es-ES_tradnl"/>
        </w:rPr>
        <w:t>ron</w:t>
      </w:r>
      <w:r w:rsidR="003E06D9">
        <w:rPr>
          <w:rFonts w:cs="Calibri"/>
          <w:sz w:val="20"/>
          <w:szCs w:val="20"/>
          <w:lang w:val="es-ES_tradnl"/>
        </w:rPr>
        <w:t xml:space="preserve"> las solicitudes de recusación y </w:t>
      </w:r>
      <w:r w:rsidR="00961DAD">
        <w:rPr>
          <w:rFonts w:cs="Calibri"/>
          <w:sz w:val="20"/>
          <w:szCs w:val="20"/>
          <w:lang w:val="es-ES_tradnl"/>
        </w:rPr>
        <w:t xml:space="preserve">se </w:t>
      </w:r>
      <w:r w:rsidR="003E06D9">
        <w:rPr>
          <w:rFonts w:cs="Calibri"/>
          <w:sz w:val="20"/>
          <w:szCs w:val="20"/>
          <w:lang w:val="es-ES_tradnl"/>
        </w:rPr>
        <w:t>estableci</w:t>
      </w:r>
      <w:r w:rsidR="00961DAD">
        <w:rPr>
          <w:rFonts w:cs="Calibri"/>
          <w:sz w:val="20"/>
          <w:szCs w:val="20"/>
          <w:lang w:val="es-ES_tradnl"/>
        </w:rPr>
        <w:t>ó</w:t>
      </w:r>
      <w:r w:rsidR="003E06D9">
        <w:rPr>
          <w:rFonts w:cs="Calibri"/>
          <w:sz w:val="20"/>
          <w:szCs w:val="20"/>
          <w:lang w:val="es-ES_tradnl"/>
        </w:rPr>
        <w:t xml:space="preserve"> la nulidad correspondiente. </w:t>
      </w:r>
    </w:p>
    <w:p w14:paraId="3075EC8F" w14:textId="77777777" w:rsidR="0086572E" w:rsidRPr="00C41A61" w:rsidRDefault="0086572E" w:rsidP="009C7FF2">
      <w:pPr>
        <w:contextualSpacing/>
        <w:jc w:val="both"/>
        <w:rPr>
          <w:rFonts w:cs="Calibri"/>
          <w:sz w:val="20"/>
          <w:szCs w:val="20"/>
          <w:lang w:val="es-ES_tradnl"/>
        </w:rPr>
      </w:pPr>
    </w:p>
    <w:p w14:paraId="7DB5E171" w14:textId="401112C1" w:rsidR="005E77F6" w:rsidRPr="005E77F6" w:rsidRDefault="005E77F6" w:rsidP="009C7FF2">
      <w:pPr>
        <w:pStyle w:val="ListParagraph"/>
        <w:numPr>
          <w:ilvl w:val="0"/>
          <w:numId w:val="55"/>
        </w:numPr>
        <w:contextualSpacing/>
        <w:jc w:val="both"/>
        <w:rPr>
          <w:rFonts w:cs="Calibri"/>
          <w:sz w:val="20"/>
          <w:szCs w:val="20"/>
          <w:lang w:val="es-ES_tradnl"/>
        </w:rPr>
      </w:pPr>
      <w:r w:rsidRPr="005E77F6">
        <w:rPr>
          <w:rFonts w:cs="Calibri"/>
          <w:sz w:val="20"/>
          <w:szCs w:val="20"/>
          <w:lang w:val="es-ES_tradnl"/>
        </w:rPr>
        <w:t>En atención a estas consideraciones</w:t>
      </w:r>
      <w:r w:rsidR="00C41A61">
        <w:rPr>
          <w:rFonts w:cs="Calibri"/>
          <w:sz w:val="20"/>
          <w:szCs w:val="20"/>
          <w:lang w:val="es-ES_tradnl"/>
        </w:rPr>
        <w:t xml:space="preserve"> sustentadas en</w:t>
      </w:r>
      <w:r w:rsidRPr="005E77F6">
        <w:rPr>
          <w:rFonts w:cs="Calibri"/>
          <w:sz w:val="20"/>
          <w:szCs w:val="20"/>
          <w:lang w:val="es-ES_tradnl"/>
        </w:rPr>
        <w:t xml:space="preserve"> la información aportada por ambas partes en el trámite de la presente petición, la C</w:t>
      </w:r>
      <w:r>
        <w:rPr>
          <w:rFonts w:cs="Calibri"/>
          <w:sz w:val="20"/>
          <w:szCs w:val="20"/>
          <w:lang w:val="es-ES_tradnl"/>
        </w:rPr>
        <w:t xml:space="preserve">IDH </w:t>
      </w:r>
      <w:r w:rsidRPr="005E77F6">
        <w:rPr>
          <w:rFonts w:cs="Calibri"/>
          <w:sz w:val="20"/>
          <w:szCs w:val="20"/>
          <w:lang w:val="es-ES_tradnl"/>
        </w:rPr>
        <w:t xml:space="preserve">concluye que </w:t>
      </w:r>
      <w:r>
        <w:rPr>
          <w:rFonts w:cs="Calibri"/>
          <w:sz w:val="20"/>
          <w:szCs w:val="20"/>
          <w:lang w:val="es-ES_tradnl"/>
        </w:rPr>
        <w:t xml:space="preserve">la parte peticionaria </w:t>
      </w:r>
      <w:r w:rsidR="00C41A61">
        <w:rPr>
          <w:rFonts w:cs="Calibri"/>
          <w:sz w:val="20"/>
          <w:szCs w:val="20"/>
          <w:lang w:val="es-ES_tradnl"/>
        </w:rPr>
        <w:t xml:space="preserve">tampoco ha </w:t>
      </w:r>
      <w:r>
        <w:rPr>
          <w:rFonts w:cs="Calibri"/>
          <w:sz w:val="20"/>
          <w:szCs w:val="20"/>
          <w:lang w:val="es-ES_tradnl"/>
        </w:rPr>
        <w:t>presenta</w:t>
      </w:r>
      <w:r w:rsidR="00C41A61">
        <w:rPr>
          <w:rFonts w:cs="Calibri"/>
          <w:sz w:val="20"/>
          <w:szCs w:val="20"/>
          <w:lang w:val="es-ES_tradnl"/>
        </w:rPr>
        <w:t>do</w:t>
      </w:r>
      <w:r>
        <w:rPr>
          <w:rFonts w:cs="Calibri"/>
          <w:sz w:val="20"/>
          <w:szCs w:val="20"/>
          <w:lang w:val="es-ES_tradnl"/>
        </w:rPr>
        <w:t xml:space="preserve"> elementos suficientes que </w:t>
      </w:r>
      <w:r w:rsidRPr="005E77F6">
        <w:rPr>
          <w:rFonts w:cs="Calibri"/>
          <w:sz w:val="20"/>
          <w:szCs w:val="20"/>
          <w:lang w:val="es-ES_tradnl"/>
        </w:rPr>
        <w:t xml:space="preserve">podrían caracterizar violaciones a los derechos </w:t>
      </w:r>
      <w:r w:rsidR="0045581A">
        <w:rPr>
          <w:rFonts w:cs="Calibri"/>
          <w:sz w:val="20"/>
          <w:szCs w:val="20"/>
          <w:lang w:val="es-ES_tradnl"/>
        </w:rPr>
        <w:t xml:space="preserve">reconocidos </w:t>
      </w:r>
      <w:r w:rsidRPr="005E77F6">
        <w:rPr>
          <w:rFonts w:cs="Calibri"/>
          <w:sz w:val="20"/>
          <w:szCs w:val="20"/>
          <w:lang w:val="es-ES_tradnl"/>
        </w:rPr>
        <w:t>en los artículos 8 (garantías judiciales) y 25 (protección judicial) de la Convención Americana</w:t>
      </w:r>
      <w:r>
        <w:rPr>
          <w:rFonts w:cs="Calibri"/>
          <w:sz w:val="20"/>
          <w:szCs w:val="20"/>
          <w:lang w:val="es-ES_tradnl"/>
        </w:rPr>
        <w:t>.</w:t>
      </w:r>
    </w:p>
    <w:p w14:paraId="504AD8AC" w14:textId="1A7E241C" w:rsidR="006A0FFE" w:rsidRPr="005E77F6" w:rsidRDefault="006A0FFE" w:rsidP="009C7F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29BB41F5" w14:textId="2851F5F9" w:rsidR="003239B8" w:rsidRPr="00006B74" w:rsidRDefault="00EC72AB" w:rsidP="009C7F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3AC1BECE" w14:textId="77777777" w:rsidR="00D04F46" w:rsidRPr="00D04F46" w:rsidRDefault="00D04F46" w:rsidP="00D04F46">
      <w:pPr>
        <w:jc w:val="both"/>
        <w:rPr>
          <w:sz w:val="20"/>
          <w:szCs w:val="20"/>
          <w:lang w:val="es-ES"/>
        </w:rPr>
      </w:pPr>
    </w:p>
    <w:p w14:paraId="570DA61C" w14:textId="765D4B47" w:rsidR="000419AD" w:rsidRPr="00E1439C" w:rsidRDefault="000419AD" w:rsidP="009C7FF2">
      <w:pPr>
        <w:pStyle w:val="ListParagraph"/>
        <w:numPr>
          <w:ilvl w:val="0"/>
          <w:numId w:val="56"/>
        </w:numPr>
        <w:jc w:val="both"/>
        <w:rPr>
          <w:rFonts w:eastAsia="Arial Unicode MS" w:cs="Times New Roman"/>
          <w:color w:val="auto"/>
          <w:sz w:val="20"/>
          <w:szCs w:val="20"/>
          <w:lang w:val="es-ES" w:eastAsia="en-US"/>
        </w:rPr>
      </w:pPr>
      <w:r w:rsidRPr="00E1439C">
        <w:rPr>
          <w:rFonts w:eastAsia="Arial Unicode MS" w:cs="Times New Roman"/>
          <w:color w:val="auto"/>
          <w:sz w:val="20"/>
          <w:szCs w:val="20"/>
          <w:lang w:val="es-ES" w:eastAsia="en-US"/>
        </w:rPr>
        <w:t xml:space="preserve">Declarar inadmisible la presente petición en relación con </w:t>
      </w:r>
      <w:r w:rsidR="003A6337" w:rsidRPr="00E1439C">
        <w:rPr>
          <w:color w:val="auto"/>
          <w:sz w:val="20"/>
          <w:szCs w:val="20"/>
          <w:lang w:val="es-ES"/>
        </w:rPr>
        <w:t xml:space="preserve">los artículos </w:t>
      </w:r>
      <w:r w:rsidR="00E1439C" w:rsidRPr="00E1439C">
        <w:rPr>
          <w:bCs/>
          <w:color w:val="auto"/>
          <w:sz w:val="19"/>
          <w:szCs w:val="19"/>
          <w:lang w:val="es-ES"/>
        </w:rPr>
        <w:t>8</w:t>
      </w:r>
      <w:r w:rsidR="00961DAD">
        <w:rPr>
          <w:bCs/>
          <w:color w:val="auto"/>
          <w:sz w:val="19"/>
          <w:szCs w:val="19"/>
          <w:lang w:val="es-ES"/>
        </w:rPr>
        <w:t>,</w:t>
      </w:r>
      <w:r w:rsidR="00E1439C" w:rsidRPr="00E1439C">
        <w:rPr>
          <w:bCs/>
          <w:color w:val="auto"/>
          <w:sz w:val="19"/>
          <w:szCs w:val="19"/>
          <w:lang w:val="es-ES"/>
        </w:rPr>
        <w:t xml:space="preserve"> 21 y 25 de la Convención Americana</w:t>
      </w:r>
      <w:r w:rsidR="0045581A">
        <w:rPr>
          <w:bCs/>
          <w:color w:val="auto"/>
          <w:sz w:val="19"/>
          <w:szCs w:val="19"/>
          <w:lang w:val="es-ES"/>
        </w:rPr>
        <w:t>.</w:t>
      </w:r>
    </w:p>
    <w:p w14:paraId="16675A63" w14:textId="77777777" w:rsidR="00D04F46" w:rsidRDefault="00D04F46" w:rsidP="00D04F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157390F" w14:textId="1B1B640F" w:rsidR="00D93A90" w:rsidRDefault="004A6A54" w:rsidP="009C7F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1439C">
        <w:rPr>
          <w:rFonts w:asciiTheme="majorHAnsi" w:hAnsiTheme="majorHAnsi"/>
          <w:sz w:val="20"/>
          <w:szCs w:val="20"/>
          <w:lang w:val="es-ES"/>
        </w:rPr>
        <w:t>Notificar a las partes la presente decisión; y publicar</w:t>
      </w:r>
      <w:r w:rsidR="0045581A">
        <w:rPr>
          <w:rFonts w:asciiTheme="majorHAnsi" w:hAnsiTheme="majorHAnsi"/>
          <w:sz w:val="20"/>
          <w:szCs w:val="20"/>
          <w:lang w:val="es-ES"/>
        </w:rPr>
        <w:t>la</w:t>
      </w:r>
      <w:r w:rsidRPr="00E1439C">
        <w:rPr>
          <w:rFonts w:asciiTheme="majorHAnsi" w:hAnsiTheme="majorHAnsi"/>
          <w:sz w:val="20"/>
          <w:szCs w:val="20"/>
          <w:lang w:val="es-ES"/>
        </w:rPr>
        <w:t xml:space="preserve"> e incluirla en su Informe Anual a la Asamblea General de la Organización de los Estados Americanos.</w:t>
      </w:r>
    </w:p>
    <w:p w14:paraId="47CE0204" w14:textId="77777777" w:rsidR="007E1219" w:rsidRDefault="007E1219" w:rsidP="007E1219">
      <w:pPr>
        <w:pStyle w:val="ListParagraph"/>
        <w:rPr>
          <w:rFonts w:asciiTheme="majorHAnsi" w:hAnsiTheme="majorHAnsi"/>
          <w:sz w:val="20"/>
          <w:szCs w:val="20"/>
          <w:lang w:val="es-ES"/>
        </w:rPr>
      </w:pPr>
    </w:p>
    <w:p w14:paraId="4DD61202" w14:textId="0BB19530" w:rsidR="00443183" w:rsidRPr="00A37B82" w:rsidRDefault="00443183" w:rsidP="0044318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Start w:id="1" w:name="_GoBack"/>
      <w:bookmarkEnd w:id="1"/>
    </w:p>
    <w:sectPr w:rsidR="0044318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1FB8A" w14:textId="77777777" w:rsidR="00BC6B98" w:rsidRDefault="00BC6B98">
      <w:r>
        <w:separator/>
      </w:r>
    </w:p>
  </w:endnote>
  <w:endnote w:type="continuationSeparator" w:id="0">
    <w:p w14:paraId="37FD3BEF" w14:textId="77777777" w:rsidR="00BC6B98" w:rsidRDefault="00BC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D52C" w14:textId="77777777" w:rsidR="00C200DC" w:rsidRDefault="00C20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F5E102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200DC">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30F4" w14:textId="77777777" w:rsidR="00BC6B98" w:rsidRPr="000F35ED" w:rsidRDefault="00BC6B9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3328AD" w14:textId="77777777" w:rsidR="00BC6B98" w:rsidRPr="000F35ED" w:rsidRDefault="00BC6B98" w:rsidP="000F35ED">
      <w:pPr>
        <w:rPr>
          <w:rFonts w:asciiTheme="majorHAnsi" w:hAnsiTheme="majorHAnsi"/>
          <w:sz w:val="16"/>
          <w:szCs w:val="16"/>
        </w:rPr>
      </w:pPr>
      <w:r w:rsidRPr="000F35ED">
        <w:rPr>
          <w:rFonts w:asciiTheme="majorHAnsi" w:hAnsiTheme="majorHAnsi"/>
          <w:sz w:val="16"/>
          <w:szCs w:val="16"/>
        </w:rPr>
        <w:separator/>
      </w:r>
    </w:p>
    <w:p w14:paraId="22AC2C5F" w14:textId="77777777" w:rsidR="00BC6B98" w:rsidRPr="000F35ED" w:rsidRDefault="00BC6B9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08CDEA4" w14:textId="77777777" w:rsidR="00BC6B98" w:rsidRPr="000F35ED" w:rsidRDefault="00BC6B9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BA0924E" w:rsidR="004A6A54" w:rsidRPr="00694E20" w:rsidRDefault="007E1219" w:rsidP="00DD061E">
      <w:pPr>
        <w:pStyle w:val="FootnoteText"/>
        <w:jc w:val="both"/>
        <w:rPr>
          <w:rFonts w:ascii="Cambria" w:hAnsi="Cambria"/>
          <w:color w:val="auto"/>
          <w:sz w:val="16"/>
          <w:szCs w:val="16"/>
          <w:lang w:val="es-ES"/>
        </w:rPr>
      </w:pPr>
      <w:r>
        <w:rPr>
          <w:rFonts w:ascii="Cambria" w:hAnsi="Cambria"/>
          <w:sz w:val="16"/>
          <w:szCs w:val="16"/>
          <w:lang w:val="es-ES"/>
        </w:rPr>
        <w:tab/>
      </w:r>
      <w:r w:rsidR="004A6A54" w:rsidRPr="00DD061E">
        <w:rPr>
          <w:rStyle w:val="FootnoteReference"/>
          <w:rFonts w:ascii="Cambria" w:hAnsi="Cambria"/>
          <w:sz w:val="16"/>
          <w:szCs w:val="16"/>
        </w:rPr>
        <w:footnoteRef/>
      </w:r>
      <w:r w:rsidR="004A6A54" w:rsidRPr="00DD061E">
        <w:rPr>
          <w:rFonts w:ascii="Cambria" w:hAnsi="Cambria"/>
          <w:sz w:val="16"/>
          <w:szCs w:val="16"/>
          <w:lang w:val="es-ES"/>
        </w:rPr>
        <w:t xml:space="preserve"> Conforme a lo disp</w:t>
      </w:r>
      <w:r w:rsidR="004A6A54" w:rsidRPr="00694E20">
        <w:rPr>
          <w:rFonts w:ascii="Cambria" w:hAnsi="Cambria"/>
          <w:color w:val="auto"/>
          <w:sz w:val="16"/>
          <w:szCs w:val="16"/>
          <w:lang w:val="es-ES"/>
        </w:rPr>
        <w:t xml:space="preserve">uesto en el artículo 17.2.a del Reglamento de la Comisión, </w:t>
      </w:r>
      <w:r w:rsidR="00CB47D2">
        <w:rPr>
          <w:rFonts w:ascii="Cambria" w:hAnsi="Cambria"/>
          <w:color w:val="auto"/>
          <w:sz w:val="16"/>
          <w:szCs w:val="16"/>
          <w:lang w:val="es-ES"/>
        </w:rPr>
        <w:t>la Comisionada</w:t>
      </w:r>
      <w:r w:rsidR="003942EC" w:rsidRPr="00694E20">
        <w:rPr>
          <w:rFonts w:ascii="Cambria" w:hAnsi="Cambria"/>
          <w:color w:val="auto"/>
          <w:sz w:val="16"/>
          <w:szCs w:val="16"/>
          <w:lang w:val="es-ES"/>
        </w:rPr>
        <w:t xml:space="preserve"> </w:t>
      </w:r>
      <w:r w:rsidR="00CB47D2">
        <w:rPr>
          <w:rFonts w:ascii="Cambria" w:hAnsi="Cambria"/>
          <w:color w:val="auto"/>
          <w:sz w:val="16"/>
          <w:szCs w:val="16"/>
          <w:lang w:val="es-ES"/>
        </w:rPr>
        <w:t xml:space="preserve">Julissa Mantilla </w:t>
      </w:r>
      <w:r w:rsidR="0045581A">
        <w:rPr>
          <w:rFonts w:ascii="Cambria" w:hAnsi="Cambria"/>
          <w:color w:val="auto"/>
          <w:sz w:val="16"/>
          <w:szCs w:val="16"/>
          <w:lang w:val="es-ES"/>
        </w:rPr>
        <w:t>Falcón</w:t>
      </w:r>
      <w:r w:rsidR="004A6A54" w:rsidRPr="00694E20">
        <w:rPr>
          <w:rFonts w:ascii="Cambria" w:hAnsi="Cambria"/>
          <w:color w:val="auto"/>
          <w:sz w:val="16"/>
          <w:szCs w:val="16"/>
          <w:lang w:val="es-ES"/>
        </w:rPr>
        <w:t xml:space="preserve">, de nacionalidad </w:t>
      </w:r>
      <w:r w:rsidR="00694E20" w:rsidRPr="00694E20">
        <w:rPr>
          <w:rFonts w:ascii="Cambria" w:hAnsi="Cambria"/>
          <w:color w:val="auto"/>
          <w:sz w:val="16"/>
          <w:szCs w:val="16"/>
          <w:lang w:val="es-ES"/>
        </w:rPr>
        <w:t>peruana</w:t>
      </w:r>
      <w:r w:rsidR="004A6A54" w:rsidRPr="00694E20">
        <w:rPr>
          <w:rFonts w:ascii="Cambria" w:hAnsi="Cambria"/>
          <w:color w:val="auto"/>
          <w:sz w:val="16"/>
          <w:szCs w:val="16"/>
          <w:lang w:val="es-ES"/>
        </w:rPr>
        <w:t>, no participó en el debate ni en la decisión del presente asunto.</w:t>
      </w:r>
    </w:p>
  </w:footnote>
  <w:footnote w:id="3">
    <w:p w14:paraId="215EEB52" w14:textId="52B2D127" w:rsidR="00BF514A" w:rsidRPr="00DD061E" w:rsidRDefault="007E1219" w:rsidP="00DD061E">
      <w:pPr>
        <w:pStyle w:val="FootnoteText"/>
        <w:jc w:val="both"/>
        <w:rPr>
          <w:rFonts w:ascii="Cambria" w:hAnsi="Cambria"/>
          <w:sz w:val="16"/>
          <w:szCs w:val="16"/>
          <w:lang w:val="es-ES"/>
        </w:rPr>
      </w:pPr>
      <w:r>
        <w:rPr>
          <w:rFonts w:ascii="Cambria" w:hAnsi="Cambria"/>
          <w:sz w:val="16"/>
          <w:szCs w:val="16"/>
          <w:lang w:val="es-ES"/>
        </w:rPr>
        <w:tab/>
      </w:r>
      <w:r w:rsidR="00BF514A" w:rsidRPr="00DD061E">
        <w:rPr>
          <w:rStyle w:val="FootnoteReference"/>
          <w:rFonts w:ascii="Cambria" w:hAnsi="Cambria"/>
          <w:sz w:val="16"/>
          <w:szCs w:val="16"/>
        </w:rPr>
        <w:footnoteRef/>
      </w:r>
      <w:r w:rsidR="00BF514A" w:rsidRPr="00DD061E">
        <w:rPr>
          <w:rFonts w:ascii="Cambria" w:hAnsi="Cambria"/>
          <w:sz w:val="16"/>
          <w:szCs w:val="16"/>
          <w:lang w:val="es-ES"/>
        </w:rPr>
        <w:t xml:space="preserve"> En adelante “la Convención Americana” o “la Convención”.</w:t>
      </w:r>
    </w:p>
  </w:footnote>
  <w:footnote w:id="4">
    <w:p w14:paraId="79F07139" w14:textId="310EAB85" w:rsidR="008E3BFE" w:rsidRPr="00DD061E" w:rsidRDefault="007E1219" w:rsidP="00DD061E">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contraria.</w:t>
      </w:r>
    </w:p>
  </w:footnote>
  <w:footnote w:id="5">
    <w:p w14:paraId="75A67D73" w14:textId="1AD6EBCE" w:rsidR="009C1D34" w:rsidRPr="006132CC" w:rsidRDefault="007E1219" w:rsidP="009C1D34">
      <w:pPr>
        <w:pStyle w:val="FootnoteText"/>
        <w:jc w:val="both"/>
        <w:rPr>
          <w:rFonts w:ascii="Cambria" w:hAnsi="Cambria"/>
          <w:sz w:val="16"/>
          <w:szCs w:val="16"/>
          <w:lang w:val="es-ES"/>
        </w:rPr>
      </w:pPr>
      <w:r>
        <w:rPr>
          <w:rFonts w:ascii="Cambria" w:hAnsi="Cambria"/>
          <w:sz w:val="16"/>
          <w:szCs w:val="16"/>
          <w:lang w:val="es-ES"/>
        </w:rPr>
        <w:tab/>
      </w:r>
      <w:r w:rsidR="009C1D34" w:rsidRPr="006132CC">
        <w:rPr>
          <w:rStyle w:val="FootnoteReference"/>
          <w:rFonts w:ascii="Cambria" w:hAnsi="Cambria"/>
          <w:sz w:val="16"/>
          <w:szCs w:val="16"/>
        </w:rPr>
        <w:footnoteRef/>
      </w:r>
      <w:r w:rsidR="009C1D34" w:rsidRPr="006132CC">
        <w:rPr>
          <w:rFonts w:ascii="Cambria" w:hAnsi="Cambria"/>
          <w:sz w:val="16"/>
          <w:szCs w:val="16"/>
          <w:lang w:val="es-ES"/>
        </w:rPr>
        <w:t xml:space="preserve"> CIDH, Informe No. 82/17</w:t>
      </w:r>
      <w:r w:rsidR="009C1D34">
        <w:rPr>
          <w:rFonts w:ascii="Cambria" w:hAnsi="Cambria"/>
          <w:sz w:val="16"/>
          <w:szCs w:val="16"/>
          <w:lang w:val="es-ES"/>
        </w:rPr>
        <w:t>, Petición 1067-07</w:t>
      </w:r>
      <w:r w:rsidR="009C1D34" w:rsidRPr="006132CC">
        <w:rPr>
          <w:rFonts w:ascii="Cambria" w:hAnsi="Cambria"/>
          <w:sz w:val="16"/>
          <w:szCs w:val="16"/>
          <w:lang w:val="es-ES"/>
        </w:rPr>
        <w:t>. Admisibilidad. Rosa Ángela Martino y María Cristina González. Argentina. 7 de julio de 2017, párr. 12.</w:t>
      </w:r>
    </w:p>
  </w:footnote>
  <w:footnote w:id="6">
    <w:p w14:paraId="75538C18" w14:textId="4220F32F" w:rsidR="009C1D34" w:rsidRPr="006132CC" w:rsidRDefault="007E1219" w:rsidP="009C1D34">
      <w:pPr>
        <w:pStyle w:val="FootnoteText"/>
        <w:jc w:val="both"/>
        <w:rPr>
          <w:rFonts w:ascii="Cambria" w:hAnsi="Cambria"/>
          <w:sz w:val="16"/>
          <w:szCs w:val="16"/>
          <w:lang w:val="es-ES"/>
        </w:rPr>
      </w:pPr>
      <w:r>
        <w:rPr>
          <w:rFonts w:ascii="Cambria" w:hAnsi="Cambria"/>
          <w:sz w:val="16"/>
          <w:szCs w:val="16"/>
          <w:lang w:val="es-ES"/>
        </w:rPr>
        <w:tab/>
      </w:r>
      <w:r w:rsidR="009C1D34" w:rsidRPr="006132CC">
        <w:rPr>
          <w:rStyle w:val="FootnoteReference"/>
          <w:rFonts w:ascii="Cambria" w:hAnsi="Cambria"/>
          <w:sz w:val="16"/>
          <w:szCs w:val="16"/>
        </w:rPr>
        <w:footnoteRef/>
      </w:r>
      <w:r w:rsidR="009C1D34" w:rsidRPr="006132CC">
        <w:rPr>
          <w:rFonts w:ascii="Cambria" w:hAnsi="Cambria"/>
          <w:sz w:val="16"/>
          <w:szCs w:val="16"/>
          <w:lang w:val="es-ES"/>
        </w:rPr>
        <w:t xml:space="preserve"> CIDH, Informe No. 88/17</w:t>
      </w:r>
      <w:r w:rsidR="009C1D34">
        <w:rPr>
          <w:rFonts w:ascii="Cambria" w:hAnsi="Cambria"/>
          <w:sz w:val="16"/>
          <w:szCs w:val="16"/>
          <w:lang w:val="es-ES"/>
        </w:rPr>
        <w:t>, Petición 1286-06</w:t>
      </w:r>
      <w:r w:rsidR="009C1D34" w:rsidRPr="006132CC">
        <w:rPr>
          <w:rFonts w:ascii="Cambria" w:hAnsi="Cambria"/>
          <w:sz w:val="16"/>
          <w:szCs w:val="16"/>
          <w:lang w:val="es-ES"/>
        </w:rPr>
        <w:t>. Admisibilidad. Familia Rivas. El Salvador. 7 de julio de 2017, párr. 13.</w:t>
      </w:r>
    </w:p>
  </w:footnote>
  <w:footnote w:id="7">
    <w:p w14:paraId="43417F19" w14:textId="051E3881" w:rsidR="009C1D34" w:rsidRPr="006132CC" w:rsidRDefault="007E1219" w:rsidP="009C1D34">
      <w:pPr>
        <w:pStyle w:val="FootnoteText"/>
        <w:jc w:val="both"/>
        <w:rPr>
          <w:rFonts w:ascii="Cambria" w:hAnsi="Cambria"/>
          <w:sz w:val="16"/>
          <w:szCs w:val="16"/>
          <w:lang w:val="es-ES"/>
        </w:rPr>
      </w:pPr>
      <w:r>
        <w:rPr>
          <w:rFonts w:ascii="Cambria" w:hAnsi="Cambria"/>
          <w:sz w:val="16"/>
          <w:szCs w:val="16"/>
          <w:lang w:val="es-ES"/>
        </w:rPr>
        <w:tab/>
      </w:r>
      <w:r w:rsidR="009C1D34" w:rsidRPr="006132CC">
        <w:rPr>
          <w:rStyle w:val="FootnoteReference"/>
          <w:rFonts w:ascii="Cambria" w:hAnsi="Cambria"/>
          <w:sz w:val="16"/>
          <w:szCs w:val="16"/>
        </w:rPr>
        <w:footnoteRef/>
      </w:r>
      <w:r w:rsidR="009C1D34" w:rsidRPr="006132CC">
        <w:rPr>
          <w:rFonts w:ascii="Cambria" w:hAnsi="Cambria"/>
          <w:sz w:val="16"/>
          <w:szCs w:val="16"/>
          <w:lang w:val="es-ES"/>
        </w:rPr>
        <w:t xml:space="preserve"> CIDH, Informe No. 51/18</w:t>
      </w:r>
      <w:r w:rsidR="009C1D34">
        <w:rPr>
          <w:rFonts w:ascii="Cambria" w:hAnsi="Cambria"/>
          <w:sz w:val="16"/>
          <w:szCs w:val="16"/>
          <w:lang w:val="es-ES"/>
        </w:rPr>
        <w:t>, Petición 1779-12</w:t>
      </w:r>
      <w:r w:rsidR="009C1D34" w:rsidRPr="006132CC">
        <w:rPr>
          <w:rFonts w:ascii="Cambria" w:hAnsi="Cambria"/>
          <w:sz w:val="16"/>
          <w:szCs w:val="16"/>
          <w:lang w:val="es-ES"/>
        </w:rPr>
        <w:t xml:space="preserve">. Admisibilidad. Pueblos Indígenas Maya Kaqchikel de Sumpango y otros. Guatemala. 5 de mayo de 2018, </w:t>
      </w:r>
      <w:proofErr w:type="spellStart"/>
      <w:r w:rsidR="009C1D34" w:rsidRPr="006132CC">
        <w:rPr>
          <w:rFonts w:ascii="Cambria" w:hAnsi="Cambria"/>
          <w:sz w:val="16"/>
          <w:szCs w:val="16"/>
          <w:lang w:val="es-ES"/>
        </w:rPr>
        <w:t>párrs</w:t>
      </w:r>
      <w:proofErr w:type="spellEnd"/>
      <w:r w:rsidR="009C1D34" w:rsidRPr="006132CC">
        <w:rPr>
          <w:rFonts w:ascii="Cambria" w:hAnsi="Cambria"/>
          <w:sz w:val="16"/>
          <w:szCs w:val="16"/>
          <w:lang w:val="es-ES"/>
        </w:rPr>
        <w:t>. 13, 14 y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C6B9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CED34" w14:textId="77777777" w:rsidR="00C200DC" w:rsidRDefault="00C2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82E03FC"/>
    <w:lvl w:ilvl="0" w:tplc="6324C6BA">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8752B2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6"/>
  </w:num>
  <w:num w:numId="61">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4E71"/>
    <w:rsid w:val="00015701"/>
    <w:rsid w:val="0001788C"/>
    <w:rsid w:val="0002186F"/>
    <w:rsid w:val="000337EF"/>
    <w:rsid w:val="00040C3A"/>
    <w:rsid w:val="00041076"/>
    <w:rsid w:val="000419AD"/>
    <w:rsid w:val="000716C5"/>
    <w:rsid w:val="00075E23"/>
    <w:rsid w:val="0009006E"/>
    <w:rsid w:val="0009344A"/>
    <w:rsid w:val="000A19F8"/>
    <w:rsid w:val="000A3254"/>
    <w:rsid w:val="000A392E"/>
    <w:rsid w:val="000A575F"/>
    <w:rsid w:val="000A63D0"/>
    <w:rsid w:val="000B0579"/>
    <w:rsid w:val="000B0FDB"/>
    <w:rsid w:val="000C0AB6"/>
    <w:rsid w:val="000C1C69"/>
    <w:rsid w:val="000C3A31"/>
    <w:rsid w:val="000D10DB"/>
    <w:rsid w:val="000E2789"/>
    <w:rsid w:val="000E5EB5"/>
    <w:rsid w:val="000F35ED"/>
    <w:rsid w:val="00107131"/>
    <w:rsid w:val="0010736F"/>
    <w:rsid w:val="00111A8A"/>
    <w:rsid w:val="00113F73"/>
    <w:rsid w:val="00121CC2"/>
    <w:rsid w:val="00131D8B"/>
    <w:rsid w:val="00133EE5"/>
    <w:rsid w:val="00136E3D"/>
    <w:rsid w:val="00143EFE"/>
    <w:rsid w:val="00144700"/>
    <w:rsid w:val="001479C0"/>
    <w:rsid w:val="0015330B"/>
    <w:rsid w:val="00167A34"/>
    <w:rsid w:val="00176BB3"/>
    <w:rsid w:val="00177EEF"/>
    <w:rsid w:val="001A4BA2"/>
    <w:rsid w:val="001A7870"/>
    <w:rsid w:val="001B3A00"/>
    <w:rsid w:val="001B4C00"/>
    <w:rsid w:val="001C1B41"/>
    <w:rsid w:val="001D65EF"/>
    <w:rsid w:val="001E49E7"/>
    <w:rsid w:val="001F271B"/>
    <w:rsid w:val="001F7201"/>
    <w:rsid w:val="00204931"/>
    <w:rsid w:val="00223A29"/>
    <w:rsid w:val="002250A3"/>
    <w:rsid w:val="00231294"/>
    <w:rsid w:val="00235217"/>
    <w:rsid w:val="002355A9"/>
    <w:rsid w:val="00246D1F"/>
    <w:rsid w:val="00247403"/>
    <w:rsid w:val="00247542"/>
    <w:rsid w:val="00266B54"/>
    <w:rsid w:val="00266B61"/>
    <w:rsid w:val="0026712A"/>
    <w:rsid w:val="002704DB"/>
    <w:rsid w:val="00271A23"/>
    <w:rsid w:val="00277BDA"/>
    <w:rsid w:val="0029575A"/>
    <w:rsid w:val="002A0AAE"/>
    <w:rsid w:val="002A5820"/>
    <w:rsid w:val="002B7E54"/>
    <w:rsid w:val="002C3350"/>
    <w:rsid w:val="002D2B26"/>
    <w:rsid w:val="002D7EA2"/>
    <w:rsid w:val="002E187C"/>
    <w:rsid w:val="002E7512"/>
    <w:rsid w:val="002F0FAD"/>
    <w:rsid w:val="002F3724"/>
    <w:rsid w:val="00302733"/>
    <w:rsid w:val="003121D5"/>
    <w:rsid w:val="00314078"/>
    <w:rsid w:val="0031535D"/>
    <w:rsid w:val="003239B8"/>
    <w:rsid w:val="0033169F"/>
    <w:rsid w:val="0034224A"/>
    <w:rsid w:val="00343438"/>
    <w:rsid w:val="00344977"/>
    <w:rsid w:val="00346C95"/>
    <w:rsid w:val="00351155"/>
    <w:rsid w:val="00356185"/>
    <w:rsid w:val="00360380"/>
    <w:rsid w:val="0037519E"/>
    <w:rsid w:val="00386C6C"/>
    <w:rsid w:val="00386CF0"/>
    <w:rsid w:val="003942EC"/>
    <w:rsid w:val="003A6337"/>
    <w:rsid w:val="003B4FF6"/>
    <w:rsid w:val="003B70FB"/>
    <w:rsid w:val="003C6112"/>
    <w:rsid w:val="003C676B"/>
    <w:rsid w:val="003D0A55"/>
    <w:rsid w:val="003D3BC2"/>
    <w:rsid w:val="003E06D9"/>
    <w:rsid w:val="003E614F"/>
    <w:rsid w:val="003E6CA1"/>
    <w:rsid w:val="004001E7"/>
    <w:rsid w:val="004065A8"/>
    <w:rsid w:val="004153F5"/>
    <w:rsid w:val="004165C2"/>
    <w:rsid w:val="004255C6"/>
    <w:rsid w:val="004304AD"/>
    <w:rsid w:val="00441ECB"/>
    <w:rsid w:val="00443183"/>
    <w:rsid w:val="00445193"/>
    <w:rsid w:val="00447CCF"/>
    <w:rsid w:val="0045581A"/>
    <w:rsid w:val="004565BA"/>
    <w:rsid w:val="00462C1B"/>
    <w:rsid w:val="00467B7E"/>
    <w:rsid w:val="0047080D"/>
    <w:rsid w:val="00473BB4"/>
    <w:rsid w:val="00476211"/>
    <w:rsid w:val="00477592"/>
    <w:rsid w:val="00486F1C"/>
    <w:rsid w:val="0049419D"/>
    <w:rsid w:val="004A59CC"/>
    <w:rsid w:val="004A6A54"/>
    <w:rsid w:val="004C20D2"/>
    <w:rsid w:val="004C2312"/>
    <w:rsid w:val="004C4B62"/>
    <w:rsid w:val="004C54C9"/>
    <w:rsid w:val="004C616A"/>
    <w:rsid w:val="004D0FCE"/>
    <w:rsid w:val="004D4ABA"/>
    <w:rsid w:val="004D6025"/>
    <w:rsid w:val="004E19B1"/>
    <w:rsid w:val="004E2649"/>
    <w:rsid w:val="004F172D"/>
    <w:rsid w:val="00501399"/>
    <w:rsid w:val="00501652"/>
    <w:rsid w:val="0050633D"/>
    <w:rsid w:val="00507BC4"/>
    <w:rsid w:val="005128E4"/>
    <w:rsid w:val="005133DB"/>
    <w:rsid w:val="00525560"/>
    <w:rsid w:val="005415E6"/>
    <w:rsid w:val="00544216"/>
    <w:rsid w:val="00544C49"/>
    <w:rsid w:val="005516A1"/>
    <w:rsid w:val="00551896"/>
    <w:rsid w:val="00556E72"/>
    <w:rsid w:val="00563557"/>
    <w:rsid w:val="0057402A"/>
    <w:rsid w:val="00574CB7"/>
    <w:rsid w:val="005771D0"/>
    <w:rsid w:val="0059191A"/>
    <w:rsid w:val="005921FF"/>
    <w:rsid w:val="00594707"/>
    <w:rsid w:val="005A24ED"/>
    <w:rsid w:val="005A6D0E"/>
    <w:rsid w:val="005B37CC"/>
    <w:rsid w:val="005B52B0"/>
    <w:rsid w:val="005B6806"/>
    <w:rsid w:val="005B6D22"/>
    <w:rsid w:val="005C261A"/>
    <w:rsid w:val="005C4225"/>
    <w:rsid w:val="005C7989"/>
    <w:rsid w:val="005D66AD"/>
    <w:rsid w:val="005E0B65"/>
    <w:rsid w:val="005E11B2"/>
    <w:rsid w:val="005E77F6"/>
    <w:rsid w:val="005F0DAD"/>
    <w:rsid w:val="005F0F33"/>
    <w:rsid w:val="00600DEB"/>
    <w:rsid w:val="006031D0"/>
    <w:rsid w:val="006068B7"/>
    <w:rsid w:val="00611CD3"/>
    <w:rsid w:val="00624D40"/>
    <w:rsid w:val="006277DE"/>
    <w:rsid w:val="00627C9F"/>
    <w:rsid w:val="006310C4"/>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94E20"/>
    <w:rsid w:val="006A0FFE"/>
    <w:rsid w:val="006A17D2"/>
    <w:rsid w:val="006A73E6"/>
    <w:rsid w:val="006B2D5C"/>
    <w:rsid w:val="006B2EE8"/>
    <w:rsid w:val="006C4EB1"/>
    <w:rsid w:val="006E0166"/>
    <w:rsid w:val="006E772A"/>
    <w:rsid w:val="006E7B34"/>
    <w:rsid w:val="006F4B38"/>
    <w:rsid w:val="00703A03"/>
    <w:rsid w:val="0070697F"/>
    <w:rsid w:val="0072199C"/>
    <w:rsid w:val="00722C9F"/>
    <w:rsid w:val="007253B8"/>
    <w:rsid w:val="00727B0E"/>
    <w:rsid w:val="0073598C"/>
    <w:rsid w:val="0073741F"/>
    <w:rsid w:val="0076643F"/>
    <w:rsid w:val="007703BE"/>
    <w:rsid w:val="00777F63"/>
    <w:rsid w:val="007852B5"/>
    <w:rsid w:val="00796A37"/>
    <w:rsid w:val="007A5817"/>
    <w:rsid w:val="007B05C4"/>
    <w:rsid w:val="007B60E9"/>
    <w:rsid w:val="007B6CC3"/>
    <w:rsid w:val="007C3334"/>
    <w:rsid w:val="007C402A"/>
    <w:rsid w:val="007D2B98"/>
    <w:rsid w:val="007D45A4"/>
    <w:rsid w:val="007D7C02"/>
    <w:rsid w:val="007E1219"/>
    <w:rsid w:val="007E21BC"/>
    <w:rsid w:val="007E58FE"/>
    <w:rsid w:val="007E7C82"/>
    <w:rsid w:val="007F588D"/>
    <w:rsid w:val="008016B9"/>
    <w:rsid w:val="00802748"/>
    <w:rsid w:val="00803F1C"/>
    <w:rsid w:val="0080600E"/>
    <w:rsid w:val="00817612"/>
    <w:rsid w:val="008338A4"/>
    <w:rsid w:val="00834D49"/>
    <w:rsid w:val="0083568C"/>
    <w:rsid w:val="00837C45"/>
    <w:rsid w:val="008411F0"/>
    <w:rsid w:val="008439BC"/>
    <w:rsid w:val="00844730"/>
    <w:rsid w:val="008457C2"/>
    <w:rsid w:val="00857A82"/>
    <w:rsid w:val="00857B7A"/>
    <w:rsid w:val="0086572E"/>
    <w:rsid w:val="00871526"/>
    <w:rsid w:val="008733EC"/>
    <w:rsid w:val="00873836"/>
    <w:rsid w:val="00875668"/>
    <w:rsid w:val="008853E2"/>
    <w:rsid w:val="00885737"/>
    <w:rsid w:val="00890650"/>
    <w:rsid w:val="00897E12"/>
    <w:rsid w:val="008A0F81"/>
    <w:rsid w:val="008A310C"/>
    <w:rsid w:val="008A7E0F"/>
    <w:rsid w:val="008B12F5"/>
    <w:rsid w:val="008B5932"/>
    <w:rsid w:val="008C5751"/>
    <w:rsid w:val="008C71E7"/>
    <w:rsid w:val="008D768D"/>
    <w:rsid w:val="008E0FD8"/>
    <w:rsid w:val="008E328A"/>
    <w:rsid w:val="008E3759"/>
    <w:rsid w:val="008E3BFE"/>
    <w:rsid w:val="008E7900"/>
    <w:rsid w:val="008F1912"/>
    <w:rsid w:val="008F4712"/>
    <w:rsid w:val="0090270B"/>
    <w:rsid w:val="009041DC"/>
    <w:rsid w:val="00917B5A"/>
    <w:rsid w:val="00920A58"/>
    <w:rsid w:val="00920A8C"/>
    <w:rsid w:val="00934A2C"/>
    <w:rsid w:val="00935F06"/>
    <w:rsid w:val="00937B3A"/>
    <w:rsid w:val="00954B82"/>
    <w:rsid w:val="00957000"/>
    <w:rsid w:val="00961DAD"/>
    <w:rsid w:val="00962436"/>
    <w:rsid w:val="0096706E"/>
    <w:rsid w:val="00974491"/>
    <w:rsid w:val="00975C4E"/>
    <w:rsid w:val="00981FBA"/>
    <w:rsid w:val="00997BC5"/>
    <w:rsid w:val="009A170D"/>
    <w:rsid w:val="009A4F41"/>
    <w:rsid w:val="009B381B"/>
    <w:rsid w:val="009C1D34"/>
    <w:rsid w:val="009C2FC5"/>
    <w:rsid w:val="009C7FF2"/>
    <w:rsid w:val="009D1753"/>
    <w:rsid w:val="009D6502"/>
    <w:rsid w:val="009D69F8"/>
    <w:rsid w:val="009D7611"/>
    <w:rsid w:val="009D78A5"/>
    <w:rsid w:val="009E08DD"/>
    <w:rsid w:val="009E0B61"/>
    <w:rsid w:val="009E53DE"/>
    <w:rsid w:val="009E7C00"/>
    <w:rsid w:val="00A0691C"/>
    <w:rsid w:val="00A11E44"/>
    <w:rsid w:val="00A154C8"/>
    <w:rsid w:val="00A22397"/>
    <w:rsid w:val="00A32313"/>
    <w:rsid w:val="00A328B3"/>
    <w:rsid w:val="00A50FCF"/>
    <w:rsid w:val="00A528D1"/>
    <w:rsid w:val="00A610CD"/>
    <w:rsid w:val="00A625E0"/>
    <w:rsid w:val="00A74947"/>
    <w:rsid w:val="00A758AA"/>
    <w:rsid w:val="00A92093"/>
    <w:rsid w:val="00AA09A2"/>
    <w:rsid w:val="00AA7996"/>
    <w:rsid w:val="00AC19CB"/>
    <w:rsid w:val="00AD1886"/>
    <w:rsid w:val="00AE5488"/>
    <w:rsid w:val="00AE6F91"/>
    <w:rsid w:val="00AF5571"/>
    <w:rsid w:val="00B06B4E"/>
    <w:rsid w:val="00B07341"/>
    <w:rsid w:val="00B202B5"/>
    <w:rsid w:val="00B30539"/>
    <w:rsid w:val="00B314DB"/>
    <w:rsid w:val="00B361F2"/>
    <w:rsid w:val="00B3718B"/>
    <w:rsid w:val="00B4632A"/>
    <w:rsid w:val="00B5067D"/>
    <w:rsid w:val="00B530F1"/>
    <w:rsid w:val="00B57297"/>
    <w:rsid w:val="00B736AF"/>
    <w:rsid w:val="00B742BE"/>
    <w:rsid w:val="00B85E8E"/>
    <w:rsid w:val="00B87052"/>
    <w:rsid w:val="00B87359"/>
    <w:rsid w:val="00B97946"/>
    <w:rsid w:val="00BA276C"/>
    <w:rsid w:val="00BA29CC"/>
    <w:rsid w:val="00BA5544"/>
    <w:rsid w:val="00BB306F"/>
    <w:rsid w:val="00BB3FBD"/>
    <w:rsid w:val="00BC1DEF"/>
    <w:rsid w:val="00BC6B98"/>
    <w:rsid w:val="00BC6CD0"/>
    <w:rsid w:val="00BD4B89"/>
    <w:rsid w:val="00BD5922"/>
    <w:rsid w:val="00BD76D9"/>
    <w:rsid w:val="00BF02CB"/>
    <w:rsid w:val="00BF514A"/>
    <w:rsid w:val="00BF5D4E"/>
    <w:rsid w:val="00BF6FD8"/>
    <w:rsid w:val="00BF775D"/>
    <w:rsid w:val="00C03680"/>
    <w:rsid w:val="00C054DF"/>
    <w:rsid w:val="00C10AFC"/>
    <w:rsid w:val="00C200DC"/>
    <w:rsid w:val="00C21562"/>
    <w:rsid w:val="00C21762"/>
    <w:rsid w:val="00C21FEF"/>
    <w:rsid w:val="00C24543"/>
    <w:rsid w:val="00C256A2"/>
    <w:rsid w:val="00C3455E"/>
    <w:rsid w:val="00C35A26"/>
    <w:rsid w:val="00C41A61"/>
    <w:rsid w:val="00C51515"/>
    <w:rsid w:val="00C53910"/>
    <w:rsid w:val="00C5660B"/>
    <w:rsid w:val="00C56854"/>
    <w:rsid w:val="00C5788A"/>
    <w:rsid w:val="00C66B72"/>
    <w:rsid w:val="00C87AC4"/>
    <w:rsid w:val="00C92966"/>
    <w:rsid w:val="00C9567A"/>
    <w:rsid w:val="00CA48A3"/>
    <w:rsid w:val="00CB212D"/>
    <w:rsid w:val="00CB2660"/>
    <w:rsid w:val="00CB47D2"/>
    <w:rsid w:val="00CC5E90"/>
    <w:rsid w:val="00CD046C"/>
    <w:rsid w:val="00CD186A"/>
    <w:rsid w:val="00CE076C"/>
    <w:rsid w:val="00CE5199"/>
    <w:rsid w:val="00CE66D5"/>
    <w:rsid w:val="00CF637A"/>
    <w:rsid w:val="00D04F46"/>
    <w:rsid w:val="00D059DE"/>
    <w:rsid w:val="00D05ABD"/>
    <w:rsid w:val="00D13FCE"/>
    <w:rsid w:val="00D17E8C"/>
    <w:rsid w:val="00D306D1"/>
    <w:rsid w:val="00D30800"/>
    <w:rsid w:val="00D34786"/>
    <w:rsid w:val="00D37BFC"/>
    <w:rsid w:val="00D42822"/>
    <w:rsid w:val="00D46BC8"/>
    <w:rsid w:val="00D47A8E"/>
    <w:rsid w:val="00D52D14"/>
    <w:rsid w:val="00D55256"/>
    <w:rsid w:val="00D56D93"/>
    <w:rsid w:val="00D712D3"/>
    <w:rsid w:val="00D71422"/>
    <w:rsid w:val="00D72DC6"/>
    <w:rsid w:val="00D73F5E"/>
    <w:rsid w:val="00D7558D"/>
    <w:rsid w:val="00D75C09"/>
    <w:rsid w:val="00D77503"/>
    <w:rsid w:val="00D81D92"/>
    <w:rsid w:val="00D876F9"/>
    <w:rsid w:val="00D877B6"/>
    <w:rsid w:val="00D93A90"/>
    <w:rsid w:val="00DA7B5F"/>
    <w:rsid w:val="00DB3993"/>
    <w:rsid w:val="00DC11E7"/>
    <w:rsid w:val="00DC7023"/>
    <w:rsid w:val="00DC769A"/>
    <w:rsid w:val="00DD061E"/>
    <w:rsid w:val="00DD3D86"/>
    <w:rsid w:val="00DE12F0"/>
    <w:rsid w:val="00DF1EC4"/>
    <w:rsid w:val="00DF51E9"/>
    <w:rsid w:val="00DF7F26"/>
    <w:rsid w:val="00E01943"/>
    <w:rsid w:val="00E0340B"/>
    <w:rsid w:val="00E04A90"/>
    <w:rsid w:val="00E0551F"/>
    <w:rsid w:val="00E1439C"/>
    <w:rsid w:val="00E219C7"/>
    <w:rsid w:val="00E26CCA"/>
    <w:rsid w:val="00E27F56"/>
    <w:rsid w:val="00E4118C"/>
    <w:rsid w:val="00E43157"/>
    <w:rsid w:val="00E461CE"/>
    <w:rsid w:val="00E720CA"/>
    <w:rsid w:val="00E84EB5"/>
    <w:rsid w:val="00E85662"/>
    <w:rsid w:val="00E8789F"/>
    <w:rsid w:val="00E92747"/>
    <w:rsid w:val="00E97B71"/>
    <w:rsid w:val="00EA3D34"/>
    <w:rsid w:val="00EA7CAB"/>
    <w:rsid w:val="00EB454D"/>
    <w:rsid w:val="00EC26E9"/>
    <w:rsid w:val="00EC72AB"/>
    <w:rsid w:val="00ED252A"/>
    <w:rsid w:val="00ED2F03"/>
    <w:rsid w:val="00ED549D"/>
    <w:rsid w:val="00ED76BE"/>
    <w:rsid w:val="00ED7F05"/>
    <w:rsid w:val="00EE00E9"/>
    <w:rsid w:val="00EE014D"/>
    <w:rsid w:val="00EF35AB"/>
    <w:rsid w:val="00EF4C44"/>
    <w:rsid w:val="00EF619B"/>
    <w:rsid w:val="00F00B55"/>
    <w:rsid w:val="00F02AD1"/>
    <w:rsid w:val="00F04591"/>
    <w:rsid w:val="00F06354"/>
    <w:rsid w:val="00F23A9D"/>
    <w:rsid w:val="00F253CC"/>
    <w:rsid w:val="00F332EF"/>
    <w:rsid w:val="00F37106"/>
    <w:rsid w:val="00F519CF"/>
    <w:rsid w:val="00F53168"/>
    <w:rsid w:val="00F56BA5"/>
    <w:rsid w:val="00F60E22"/>
    <w:rsid w:val="00F63B39"/>
    <w:rsid w:val="00F659CA"/>
    <w:rsid w:val="00F81395"/>
    <w:rsid w:val="00F81887"/>
    <w:rsid w:val="00F81BB8"/>
    <w:rsid w:val="00F851DE"/>
    <w:rsid w:val="00F917D1"/>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1EF2-C9ED-4AA3-B3A9-2B740556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10222</Characters>
  <Application>Microsoft Office Word</Application>
  <DocSecurity>0</DocSecurity>
  <Lines>192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113/21</dc:title>
  <dc:creator/>
  <cp:lastModifiedBy/>
  <cp:revision>1</cp:revision>
  <dcterms:created xsi:type="dcterms:W3CDTF">2021-06-28T13:42:00Z</dcterms:created>
  <dcterms:modified xsi:type="dcterms:W3CDTF">2021-06-28T13:42:00Z</dcterms:modified>
</cp:coreProperties>
</file>