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64F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9783D56">
                <wp:simplePos x="0" y="0"/>
                <wp:positionH relativeFrom="column">
                  <wp:posOffset>1355271</wp:posOffset>
                </wp:positionH>
                <wp:positionV relativeFrom="paragraph">
                  <wp:posOffset>107859</wp:posOffset>
                </wp:positionV>
                <wp:extent cx="5061858"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61858"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4E57DC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94634C">
                              <w:rPr>
                                <w:rFonts w:asciiTheme="majorHAnsi" w:hAnsiTheme="majorHAnsi" w:cs="Arial"/>
                                <w:b/>
                                <w:bCs/>
                                <w:color w:val="0D0D0D" w:themeColor="text1" w:themeTint="F2"/>
                                <w:sz w:val="36"/>
                                <w:szCs w:val="40"/>
                                <w:lang w:val="es-ES_tradnl"/>
                              </w:rPr>
                              <w:t>.</w:t>
                            </w:r>
                            <w:r w:rsidR="007B05C4" w:rsidRPr="0094634C">
                              <w:rPr>
                                <w:rFonts w:asciiTheme="majorHAnsi" w:hAnsiTheme="majorHAnsi" w:cs="Arial"/>
                                <w:b/>
                                <w:bCs/>
                                <w:color w:val="0D0D0D" w:themeColor="text1" w:themeTint="F2"/>
                                <w:sz w:val="36"/>
                                <w:szCs w:val="22"/>
                                <w:lang w:val="es-ES_tradnl"/>
                              </w:rPr>
                              <w:t xml:space="preserve"> </w:t>
                            </w:r>
                            <w:r w:rsidR="0094634C">
                              <w:rPr>
                                <w:rFonts w:asciiTheme="majorHAnsi" w:hAnsiTheme="majorHAnsi" w:cs="Arial"/>
                                <w:b/>
                                <w:bCs/>
                                <w:color w:val="0D0D0D" w:themeColor="text1" w:themeTint="F2"/>
                                <w:sz w:val="36"/>
                                <w:szCs w:val="22"/>
                                <w:lang w:val="es-ES_tradnl"/>
                              </w:rPr>
                              <w:t>286</w:t>
                            </w:r>
                            <w:r w:rsidR="007B05C4" w:rsidRPr="0094634C">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5E3BB59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C577A">
                              <w:rPr>
                                <w:rFonts w:asciiTheme="majorHAnsi" w:hAnsiTheme="majorHAnsi" w:cs="Arial"/>
                                <w:b/>
                                <w:color w:val="0D0D0D" w:themeColor="text1" w:themeTint="F2"/>
                                <w:sz w:val="36"/>
                                <w:szCs w:val="22"/>
                                <w:lang w:val="es-ES_tradnl"/>
                              </w:rPr>
                              <w:t>1267-11</w:t>
                            </w:r>
                            <w:r w:rsidR="00246D1F" w:rsidRPr="004E2649">
                              <w:rPr>
                                <w:rFonts w:asciiTheme="majorHAnsi" w:hAnsiTheme="majorHAnsi" w:cs="Arial"/>
                                <w:b/>
                                <w:color w:val="0D0D0D" w:themeColor="text1" w:themeTint="F2"/>
                                <w:sz w:val="36"/>
                                <w:szCs w:val="22"/>
                                <w:lang w:val="es-ES_tradnl"/>
                              </w:rPr>
                              <w:t xml:space="preserve"> </w:t>
                            </w:r>
                          </w:p>
                          <w:p w14:paraId="317F581C" w14:textId="3D8FD5D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08DDAC41" w:rsidR="005B52B0" w:rsidRPr="0010736F" w:rsidRDefault="00FC577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ALAN ALBERTO FLORES CABRERA Y </w:t>
                            </w:r>
                            <w:r w:rsidR="00E3435A">
                              <w:rPr>
                                <w:rFonts w:asciiTheme="majorHAnsi" w:hAnsiTheme="majorHAnsi" w:cs="Arial"/>
                                <w:color w:val="0D0D0D" w:themeColor="text1" w:themeTint="F2"/>
                                <w:szCs w:val="22"/>
                                <w:lang w:val="es-ES_tradnl"/>
                              </w:rPr>
                              <w:t xml:space="preserve">TEODORO </w:t>
                            </w:r>
                            <w:r>
                              <w:rPr>
                                <w:rFonts w:asciiTheme="majorHAnsi" w:hAnsiTheme="majorHAnsi" w:cs="Arial"/>
                                <w:color w:val="0D0D0D" w:themeColor="text1" w:themeTint="F2"/>
                                <w:szCs w:val="22"/>
                                <w:lang w:val="es-ES_tradnl"/>
                              </w:rPr>
                              <w:t>RONAL ORREGO VERDÚN</w:t>
                            </w:r>
                          </w:p>
                          <w:bookmarkEnd w:id="0"/>
                          <w:p w14:paraId="0409BA94" w14:textId="3E60CBF5" w:rsidR="005B52B0" w:rsidRPr="0010736F" w:rsidRDefault="00FC577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7pt;margin-top:8.5pt;width:398.5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" filled="f" stroked="f" strokeweight=".5pt">
                <v:textbox>
                  <w:txbxContent>
                    <w:p w14:paraId="4E10340D" w14:textId="54E57DC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94634C">
                        <w:rPr>
                          <w:rFonts w:asciiTheme="majorHAnsi" w:hAnsiTheme="majorHAnsi" w:cs="Arial"/>
                          <w:b/>
                          <w:bCs/>
                          <w:color w:val="0D0D0D" w:themeColor="text1" w:themeTint="F2"/>
                          <w:sz w:val="36"/>
                          <w:szCs w:val="40"/>
                          <w:lang w:val="es-ES_tradnl"/>
                        </w:rPr>
                        <w:t>.</w:t>
                      </w:r>
                      <w:r w:rsidR="007B05C4" w:rsidRPr="0094634C">
                        <w:rPr>
                          <w:rFonts w:asciiTheme="majorHAnsi" w:hAnsiTheme="majorHAnsi" w:cs="Arial"/>
                          <w:b/>
                          <w:bCs/>
                          <w:color w:val="0D0D0D" w:themeColor="text1" w:themeTint="F2"/>
                          <w:sz w:val="36"/>
                          <w:szCs w:val="22"/>
                          <w:lang w:val="es-ES_tradnl"/>
                        </w:rPr>
                        <w:t xml:space="preserve"> </w:t>
                      </w:r>
                      <w:r w:rsidR="0094634C">
                        <w:rPr>
                          <w:rFonts w:asciiTheme="majorHAnsi" w:hAnsiTheme="majorHAnsi" w:cs="Arial"/>
                          <w:b/>
                          <w:bCs/>
                          <w:color w:val="0D0D0D" w:themeColor="text1" w:themeTint="F2"/>
                          <w:sz w:val="36"/>
                          <w:szCs w:val="22"/>
                          <w:lang w:val="es-ES_tradnl"/>
                        </w:rPr>
                        <w:t>286</w:t>
                      </w:r>
                      <w:r w:rsidR="007B05C4" w:rsidRPr="0094634C">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5E3BB59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C577A">
                        <w:rPr>
                          <w:rFonts w:asciiTheme="majorHAnsi" w:hAnsiTheme="majorHAnsi" w:cs="Arial"/>
                          <w:b/>
                          <w:color w:val="0D0D0D" w:themeColor="text1" w:themeTint="F2"/>
                          <w:sz w:val="36"/>
                          <w:szCs w:val="22"/>
                          <w:lang w:val="es-ES_tradnl"/>
                        </w:rPr>
                        <w:t>1267-11</w:t>
                      </w:r>
                      <w:r w:rsidR="00246D1F" w:rsidRPr="004E2649">
                        <w:rPr>
                          <w:rFonts w:asciiTheme="majorHAnsi" w:hAnsiTheme="majorHAnsi" w:cs="Arial"/>
                          <w:b/>
                          <w:color w:val="0D0D0D" w:themeColor="text1" w:themeTint="F2"/>
                          <w:sz w:val="36"/>
                          <w:szCs w:val="22"/>
                          <w:lang w:val="es-ES_tradnl"/>
                        </w:rPr>
                        <w:t xml:space="preserve"> </w:t>
                      </w:r>
                    </w:p>
                    <w:p w14:paraId="317F581C" w14:textId="3D8FD5D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08DDAC41" w:rsidR="005B52B0" w:rsidRPr="0010736F" w:rsidRDefault="00FC577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ALAN ALBERTO FLORES CABRERA Y </w:t>
                      </w:r>
                      <w:r w:rsidR="00E3435A">
                        <w:rPr>
                          <w:rFonts w:asciiTheme="majorHAnsi" w:hAnsiTheme="majorHAnsi" w:cs="Arial"/>
                          <w:color w:val="0D0D0D" w:themeColor="text1" w:themeTint="F2"/>
                          <w:szCs w:val="22"/>
                          <w:lang w:val="es-ES_tradnl"/>
                        </w:rPr>
                        <w:t xml:space="preserve">TEODORO </w:t>
                      </w:r>
                      <w:r>
                        <w:rPr>
                          <w:rFonts w:asciiTheme="majorHAnsi" w:hAnsiTheme="majorHAnsi" w:cs="Arial"/>
                          <w:color w:val="0D0D0D" w:themeColor="text1" w:themeTint="F2"/>
                          <w:szCs w:val="22"/>
                          <w:lang w:val="es-ES_tradnl"/>
                        </w:rPr>
                        <w:t>RONAL ORREGO VERDÚN</w:t>
                      </w:r>
                    </w:p>
                    <w:bookmarkEnd w:id="1"/>
                    <w:p w14:paraId="0409BA94" w14:textId="3E60CBF5" w:rsidR="005B52B0" w:rsidRPr="0010736F" w:rsidRDefault="00FC577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B69BA83" w:rsidR="00627C9F" w:rsidRPr="00311473" w:rsidRDefault="00834D49" w:rsidP="007A5817">
                            <w:pPr>
                              <w:spacing w:line="276" w:lineRule="auto"/>
                              <w:jc w:val="right"/>
                              <w:rPr>
                                <w:rFonts w:asciiTheme="minorHAnsi" w:hAnsiTheme="minorHAnsi"/>
                                <w:color w:val="FFFFFF" w:themeColor="background1"/>
                                <w:sz w:val="22"/>
                                <w:lang w:val="es-419"/>
                              </w:rPr>
                            </w:pPr>
                            <w:r w:rsidRPr="00311473">
                              <w:rPr>
                                <w:rFonts w:asciiTheme="minorHAnsi" w:hAnsiTheme="minorHAnsi"/>
                                <w:color w:val="FFFFFF" w:themeColor="background1"/>
                                <w:sz w:val="22"/>
                                <w:lang w:val="es-419"/>
                              </w:rPr>
                              <w:t>OEA/Ser.L/V/II</w:t>
                            </w:r>
                          </w:p>
                          <w:p w14:paraId="28E8B0DD" w14:textId="2050C794" w:rsidR="00627C9F" w:rsidRPr="00311473" w:rsidRDefault="00627C9F" w:rsidP="007A5817">
                            <w:pPr>
                              <w:spacing w:line="276" w:lineRule="auto"/>
                              <w:jc w:val="right"/>
                              <w:rPr>
                                <w:rFonts w:asciiTheme="minorHAnsi" w:hAnsiTheme="minorHAnsi"/>
                                <w:color w:val="FFFFFF" w:themeColor="background1"/>
                                <w:sz w:val="22"/>
                                <w:lang w:val="es-419"/>
                              </w:rPr>
                            </w:pPr>
                            <w:r w:rsidRPr="00311473">
                              <w:rPr>
                                <w:rFonts w:asciiTheme="minorHAnsi" w:hAnsiTheme="minorHAnsi"/>
                                <w:color w:val="FFFFFF" w:themeColor="background1"/>
                                <w:sz w:val="22"/>
                                <w:lang w:val="es-419"/>
                              </w:rPr>
                              <w:t xml:space="preserve">Doc. </w:t>
                            </w:r>
                            <w:r w:rsidR="0094634C" w:rsidRPr="00311473">
                              <w:rPr>
                                <w:rFonts w:asciiTheme="minorHAnsi" w:hAnsiTheme="minorHAnsi"/>
                                <w:color w:val="FFFFFF" w:themeColor="background1"/>
                                <w:sz w:val="22"/>
                                <w:lang w:val="es-419"/>
                              </w:rPr>
                              <w:t>296</w:t>
                            </w:r>
                          </w:p>
                          <w:p w14:paraId="01D5CFED" w14:textId="72D58E97" w:rsidR="00627C9F" w:rsidRPr="00C25ADB" w:rsidRDefault="0094634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3B69BA83" w:rsidR="00627C9F" w:rsidRPr="00311473" w:rsidRDefault="00834D49" w:rsidP="007A5817">
                      <w:pPr>
                        <w:spacing w:line="276" w:lineRule="auto"/>
                        <w:jc w:val="right"/>
                        <w:rPr>
                          <w:rFonts w:asciiTheme="minorHAnsi" w:hAnsiTheme="minorHAnsi"/>
                          <w:color w:val="FFFFFF" w:themeColor="background1"/>
                          <w:sz w:val="22"/>
                          <w:lang w:val="es-419"/>
                        </w:rPr>
                      </w:pPr>
                      <w:r w:rsidRPr="00311473">
                        <w:rPr>
                          <w:rFonts w:asciiTheme="minorHAnsi" w:hAnsiTheme="minorHAnsi"/>
                          <w:color w:val="FFFFFF" w:themeColor="background1"/>
                          <w:sz w:val="22"/>
                          <w:lang w:val="es-419"/>
                        </w:rPr>
                        <w:t>OEA/</w:t>
                      </w:r>
                      <w:proofErr w:type="spellStart"/>
                      <w:r w:rsidRPr="00311473">
                        <w:rPr>
                          <w:rFonts w:asciiTheme="minorHAnsi" w:hAnsiTheme="minorHAnsi"/>
                          <w:color w:val="FFFFFF" w:themeColor="background1"/>
                          <w:sz w:val="22"/>
                          <w:lang w:val="es-419"/>
                        </w:rPr>
                        <w:t>Ser.L</w:t>
                      </w:r>
                      <w:proofErr w:type="spellEnd"/>
                      <w:r w:rsidRPr="00311473">
                        <w:rPr>
                          <w:rFonts w:asciiTheme="minorHAnsi" w:hAnsiTheme="minorHAnsi"/>
                          <w:color w:val="FFFFFF" w:themeColor="background1"/>
                          <w:sz w:val="22"/>
                          <w:lang w:val="es-419"/>
                        </w:rPr>
                        <w:t>/V/II</w:t>
                      </w:r>
                    </w:p>
                    <w:p w14:paraId="28E8B0DD" w14:textId="2050C794" w:rsidR="00627C9F" w:rsidRPr="00311473" w:rsidRDefault="00627C9F" w:rsidP="007A5817">
                      <w:pPr>
                        <w:spacing w:line="276" w:lineRule="auto"/>
                        <w:jc w:val="right"/>
                        <w:rPr>
                          <w:rFonts w:asciiTheme="minorHAnsi" w:hAnsiTheme="minorHAnsi"/>
                          <w:color w:val="FFFFFF" w:themeColor="background1"/>
                          <w:sz w:val="22"/>
                          <w:lang w:val="es-419"/>
                        </w:rPr>
                      </w:pPr>
                      <w:r w:rsidRPr="00311473">
                        <w:rPr>
                          <w:rFonts w:asciiTheme="minorHAnsi" w:hAnsiTheme="minorHAnsi"/>
                          <w:color w:val="FFFFFF" w:themeColor="background1"/>
                          <w:sz w:val="22"/>
                          <w:lang w:val="es-419"/>
                        </w:rPr>
                        <w:t xml:space="preserve">Doc. </w:t>
                      </w:r>
                      <w:r w:rsidR="0094634C" w:rsidRPr="00311473">
                        <w:rPr>
                          <w:rFonts w:asciiTheme="minorHAnsi" w:hAnsiTheme="minorHAnsi"/>
                          <w:color w:val="FFFFFF" w:themeColor="background1"/>
                          <w:sz w:val="22"/>
                          <w:lang w:val="es-419"/>
                        </w:rPr>
                        <w:t>296</w:t>
                      </w:r>
                    </w:p>
                    <w:p w14:paraId="01D5CFED" w14:textId="72D58E97" w:rsidR="00627C9F" w:rsidRPr="00C25ADB" w:rsidRDefault="0094634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AA9BB" w14:textId="7E44D3F5" w:rsidR="00DD3D86" w:rsidRPr="00311473" w:rsidRDefault="0094634C" w:rsidP="00247403">
                            <w:pPr>
                              <w:tabs>
                                <w:tab w:val="center" w:pos="5400"/>
                              </w:tabs>
                              <w:suppressAutoHyphens/>
                              <w:spacing w:before="60"/>
                              <w:rPr>
                                <w:rFonts w:asciiTheme="majorHAnsi" w:hAnsiTheme="majorHAnsi" w:cs="Univers"/>
                                <w:color w:val="0D0D0D" w:themeColor="text1" w:themeTint="F2"/>
                                <w:sz w:val="18"/>
                                <w:szCs w:val="20"/>
                                <w:lang w:val="es-ES"/>
                              </w:rPr>
                            </w:pPr>
                            <w:r w:rsidRPr="0094634C">
                              <w:rPr>
                                <w:rFonts w:asciiTheme="majorHAnsi" w:hAnsiTheme="majorHAnsi"/>
                                <w:color w:val="0D0D0D" w:themeColor="text1" w:themeTint="F2"/>
                                <w:sz w:val="18"/>
                                <w:szCs w:val="22"/>
                                <w:lang w:val="es-ES"/>
                              </w:rPr>
                              <w:t>Aprobado electr</w:t>
                            </w:r>
                            <w:r w:rsidRPr="0094634C">
                              <w:rPr>
                                <w:rFonts w:asciiTheme="majorHAnsi" w:hAnsiTheme="majorHAnsi"/>
                                <w:color w:val="0D0D0D" w:themeColor="text1" w:themeTint="F2"/>
                                <w:sz w:val="18"/>
                                <w:szCs w:val="22"/>
                                <w:lang w:val="es-ES_tradnl"/>
                              </w:rPr>
                              <w:t>ónicamente</w:t>
                            </w:r>
                            <w:r w:rsidRPr="0094634C">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26</w:t>
                            </w:r>
                            <w:r w:rsidRPr="0094634C">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octubre</w:t>
                            </w:r>
                            <w:r w:rsidRPr="0094634C">
                              <w:rPr>
                                <w:rFonts w:asciiTheme="majorHAnsi" w:hAnsiTheme="majorHAnsi"/>
                                <w:color w:val="0D0D0D" w:themeColor="text1" w:themeTint="F2"/>
                                <w:sz w:val="18"/>
                                <w:szCs w:val="22"/>
                                <w:lang w:val="es-ES"/>
                              </w:rPr>
                              <w:t xml:space="preserve"> de 2021</w:t>
                            </w:r>
                            <w:r w:rsidR="006F0652">
                              <w:rPr>
                                <w:rFonts w:asciiTheme="majorHAnsi" w:hAnsiTheme="majorHAnsi"/>
                                <w:color w:val="0D0D0D" w:themeColor="text1" w:themeTint="F2"/>
                                <w:sz w:val="18"/>
                                <w:szCs w:val="22"/>
                                <w:lang w:val="es-ES"/>
                              </w:rPr>
                              <w:t>.</w:t>
                            </w:r>
                            <w:r w:rsidR="00E461CE" w:rsidRPr="0094634C">
                              <w:rPr>
                                <w:rFonts w:asciiTheme="majorHAnsi" w:hAnsiTheme="majorHAnsi"/>
                                <w:color w:val="0D0D0D" w:themeColor="text1" w:themeTint="F2"/>
                                <w:sz w:val="18"/>
                                <w:szCs w:val="20"/>
                                <w:lang w:val="es-ES"/>
                              </w:rPr>
                              <w:br/>
                            </w:r>
                          </w:p>
                          <w:p w14:paraId="6ADE3EED" w14:textId="4454FF8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5CAA9BB" w14:textId="7E44D3F5" w:rsidR="00DD3D86" w:rsidRPr="00311473" w:rsidRDefault="0094634C" w:rsidP="00247403">
                      <w:pPr>
                        <w:tabs>
                          <w:tab w:val="center" w:pos="5400"/>
                        </w:tabs>
                        <w:suppressAutoHyphens/>
                        <w:spacing w:before="60"/>
                        <w:rPr>
                          <w:rFonts w:asciiTheme="majorHAnsi" w:hAnsiTheme="majorHAnsi" w:cs="Univers"/>
                          <w:color w:val="0D0D0D" w:themeColor="text1" w:themeTint="F2"/>
                          <w:sz w:val="18"/>
                          <w:szCs w:val="20"/>
                          <w:lang w:val="es-ES"/>
                        </w:rPr>
                      </w:pPr>
                      <w:r w:rsidRPr="0094634C">
                        <w:rPr>
                          <w:rFonts w:asciiTheme="majorHAnsi" w:hAnsiTheme="majorHAnsi"/>
                          <w:color w:val="0D0D0D" w:themeColor="text1" w:themeTint="F2"/>
                          <w:sz w:val="18"/>
                          <w:szCs w:val="22"/>
                          <w:lang w:val="es-ES"/>
                        </w:rPr>
                        <w:t xml:space="preserve">Aprobado </w:t>
                      </w:r>
                      <w:proofErr w:type="spellStart"/>
                      <w:r w:rsidRPr="0094634C">
                        <w:rPr>
                          <w:rFonts w:asciiTheme="majorHAnsi" w:hAnsiTheme="majorHAnsi"/>
                          <w:color w:val="0D0D0D" w:themeColor="text1" w:themeTint="F2"/>
                          <w:sz w:val="18"/>
                          <w:szCs w:val="22"/>
                          <w:lang w:val="es-ES"/>
                        </w:rPr>
                        <w:t>electr</w:t>
                      </w:r>
                      <w:r w:rsidRPr="0094634C">
                        <w:rPr>
                          <w:rFonts w:asciiTheme="majorHAnsi" w:hAnsiTheme="majorHAnsi"/>
                          <w:color w:val="0D0D0D" w:themeColor="text1" w:themeTint="F2"/>
                          <w:sz w:val="18"/>
                          <w:szCs w:val="22"/>
                          <w:lang w:val="es-ES_tradnl"/>
                        </w:rPr>
                        <w:t>ónicamente</w:t>
                      </w:r>
                      <w:proofErr w:type="spellEnd"/>
                      <w:r w:rsidRPr="0094634C">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26</w:t>
                      </w:r>
                      <w:r w:rsidRPr="0094634C">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octubre</w:t>
                      </w:r>
                      <w:r w:rsidRPr="0094634C">
                        <w:rPr>
                          <w:rFonts w:asciiTheme="majorHAnsi" w:hAnsiTheme="majorHAnsi"/>
                          <w:color w:val="0D0D0D" w:themeColor="text1" w:themeTint="F2"/>
                          <w:sz w:val="18"/>
                          <w:szCs w:val="22"/>
                          <w:lang w:val="es-ES"/>
                        </w:rPr>
                        <w:t xml:space="preserve"> de 2021</w:t>
                      </w:r>
                      <w:r w:rsidR="006F0652">
                        <w:rPr>
                          <w:rFonts w:asciiTheme="majorHAnsi" w:hAnsiTheme="majorHAnsi"/>
                          <w:color w:val="0D0D0D" w:themeColor="text1" w:themeTint="F2"/>
                          <w:sz w:val="18"/>
                          <w:szCs w:val="22"/>
                          <w:lang w:val="es-ES"/>
                        </w:rPr>
                        <w:t>.</w:t>
                      </w:r>
                      <w:r w:rsidR="00E461CE" w:rsidRPr="0094634C">
                        <w:rPr>
                          <w:rFonts w:asciiTheme="majorHAnsi" w:hAnsiTheme="majorHAnsi"/>
                          <w:color w:val="0D0D0D" w:themeColor="text1" w:themeTint="F2"/>
                          <w:sz w:val="18"/>
                          <w:szCs w:val="20"/>
                          <w:lang w:val="es-ES"/>
                        </w:rPr>
                        <w:br/>
                      </w:r>
                    </w:p>
                    <w:p w14:paraId="6ADE3EED" w14:textId="4454FF8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764A68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94634C">
                              <w:rPr>
                                <w:rFonts w:asciiTheme="majorHAnsi" w:hAnsiTheme="majorHAnsi"/>
                                <w:color w:val="595959" w:themeColor="text1" w:themeTint="A6"/>
                                <w:sz w:val="18"/>
                                <w:szCs w:val="18"/>
                                <w:lang w:val="pt-BR"/>
                              </w:rPr>
                              <w:t xml:space="preserve">No. </w:t>
                            </w:r>
                            <w:r w:rsidR="0094634C" w:rsidRPr="0094634C">
                              <w:rPr>
                                <w:rFonts w:asciiTheme="majorHAnsi" w:hAnsiTheme="majorHAnsi"/>
                                <w:color w:val="595959" w:themeColor="text1" w:themeTint="A6"/>
                                <w:sz w:val="18"/>
                                <w:szCs w:val="18"/>
                                <w:lang w:val="pt-BR"/>
                              </w:rPr>
                              <w:t>286</w:t>
                            </w:r>
                            <w:r w:rsidR="007B05C4" w:rsidRPr="0094634C">
                              <w:rPr>
                                <w:rFonts w:asciiTheme="majorHAnsi" w:hAnsiTheme="majorHAnsi"/>
                                <w:color w:val="595959" w:themeColor="text1" w:themeTint="A6"/>
                                <w:sz w:val="18"/>
                                <w:szCs w:val="18"/>
                                <w:lang w:val="pt-BR"/>
                              </w:rPr>
                              <w:t>/</w:t>
                            </w:r>
                            <w:r w:rsidR="0094634C" w:rsidRPr="0094634C">
                              <w:rPr>
                                <w:rFonts w:asciiTheme="majorHAnsi" w:hAnsiTheme="majorHAnsi"/>
                                <w:color w:val="595959" w:themeColor="text1" w:themeTint="A6"/>
                                <w:sz w:val="18"/>
                                <w:szCs w:val="18"/>
                                <w:lang w:val="pt-BR"/>
                              </w:rPr>
                              <w:t>21</w:t>
                            </w:r>
                            <w:r w:rsidRPr="0094634C">
                              <w:rPr>
                                <w:rFonts w:asciiTheme="majorHAnsi" w:hAnsiTheme="majorHAnsi"/>
                                <w:color w:val="595959" w:themeColor="text1" w:themeTint="A6"/>
                                <w:sz w:val="18"/>
                                <w:szCs w:val="18"/>
                                <w:lang w:val="pt-BR"/>
                              </w:rPr>
                              <w:t xml:space="preserve">. </w:t>
                            </w:r>
                            <w:r w:rsidR="000433C9" w:rsidRPr="0094634C">
                              <w:rPr>
                                <w:rFonts w:asciiTheme="majorHAnsi" w:hAnsiTheme="majorHAnsi"/>
                                <w:color w:val="595959" w:themeColor="text1" w:themeTint="A6"/>
                                <w:sz w:val="18"/>
                                <w:szCs w:val="18"/>
                                <w:lang w:val="es-ES_tradnl"/>
                              </w:rPr>
                              <w:t>Petici</w:t>
                            </w:r>
                            <w:r w:rsidR="000433C9" w:rsidRPr="0094634C">
                              <w:rPr>
                                <w:rFonts w:asciiTheme="majorHAnsi" w:hAnsiTheme="majorHAnsi"/>
                                <w:color w:val="595959" w:themeColor="text1" w:themeTint="A6"/>
                                <w:sz w:val="18"/>
                                <w:szCs w:val="18"/>
                                <w:lang w:val="es-ES"/>
                              </w:rPr>
                              <w:t xml:space="preserve">ón </w:t>
                            </w:r>
                            <w:r w:rsidR="00FC577A" w:rsidRPr="0094634C">
                              <w:rPr>
                                <w:rFonts w:asciiTheme="majorHAnsi" w:hAnsiTheme="majorHAnsi"/>
                                <w:color w:val="595959" w:themeColor="text1" w:themeTint="A6"/>
                                <w:sz w:val="18"/>
                                <w:szCs w:val="18"/>
                                <w:lang w:val="es-ES"/>
                              </w:rPr>
                              <w:t>1267-11</w:t>
                            </w:r>
                            <w:r w:rsidR="000433C9" w:rsidRPr="0094634C">
                              <w:rPr>
                                <w:rFonts w:asciiTheme="majorHAnsi" w:hAnsiTheme="majorHAnsi"/>
                                <w:color w:val="595959" w:themeColor="text1" w:themeTint="A6"/>
                                <w:sz w:val="18"/>
                                <w:szCs w:val="18"/>
                                <w:lang w:val="es-ES"/>
                              </w:rPr>
                              <w:t xml:space="preserve">. </w:t>
                            </w:r>
                            <w:r w:rsidRPr="0094634C">
                              <w:rPr>
                                <w:rFonts w:asciiTheme="majorHAnsi" w:hAnsiTheme="majorHAnsi"/>
                                <w:color w:val="595959" w:themeColor="text1" w:themeTint="A6"/>
                                <w:sz w:val="18"/>
                                <w:szCs w:val="18"/>
                                <w:lang w:val="es-ES_tradnl"/>
                              </w:rPr>
                              <w:t xml:space="preserve">Admisibilidad. </w:t>
                            </w:r>
                            <w:r w:rsidR="00FC577A" w:rsidRPr="0094634C">
                              <w:rPr>
                                <w:rFonts w:asciiTheme="majorHAnsi" w:hAnsiTheme="majorHAnsi"/>
                                <w:color w:val="595959" w:themeColor="text1" w:themeTint="A6"/>
                                <w:sz w:val="18"/>
                                <w:szCs w:val="18"/>
                                <w:lang w:val="es-ES_tradnl"/>
                              </w:rPr>
                              <w:t>Alan Alberto Flores Cabrera y</w:t>
                            </w:r>
                            <w:r w:rsidR="00F56012" w:rsidRPr="0094634C">
                              <w:rPr>
                                <w:rFonts w:asciiTheme="majorHAnsi" w:hAnsiTheme="majorHAnsi"/>
                                <w:color w:val="595959" w:themeColor="text1" w:themeTint="A6"/>
                                <w:sz w:val="18"/>
                                <w:szCs w:val="18"/>
                                <w:lang w:val="es-ES_tradnl"/>
                              </w:rPr>
                              <w:t xml:space="preserve"> Teodoro</w:t>
                            </w:r>
                            <w:r w:rsidR="00FC577A" w:rsidRPr="0094634C">
                              <w:rPr>
                                <w:rFonts w:asciiTheme="majorHAnsi" w:hAnsiTheme="majorHAnsi"/>
                                <w:color w:val="595959" w:themeColor="text1" w:themeTint="A6"/>
                                <w:sz w:val="18"/>
                                <w:szCs w:val="18"/>
                                <w:lang w:val="es-ES_tradnl"/>
                              </w:rPr>
                              <w:t xml:space="preserve"> Ronal Orrego Verdún</w:t>
                            </w:r>
                            <w:r w:rsidRPr="0094634C">
                              <w:rPr>
                                <w:rFonts w:asciiTheme="majorHAnsi" w:hAnsiTheme="majorHAnsi"/>
                                <w:color w:val="595959" w:themeColor="text1" w:themeTint="A6"/>
                                <w:sz w:val="18"/>
                                <w:szCs w:val="18"/>
                                <w:lang w:val="es-ES_tradnl"/>
                              </w:rPr>
                              <w:t xml:space="preserve">. </w:t>
                            </w:r>
                            <w:r w:rsidR="00FC577A" w:rsidRPr="0094634C">
                              <w:rPr>
                                <w:rFonts w:asciiTheme="majorHAnsi" w:hAnsiTheme="majorHAnsi"/>
                                <w:color w:val="595959" w:themeColor="text1" w:themeTint="A6"/>
                                <w:sz w:val="18"/>
                                <w:szCs w:val="18"/>
                                <w:lang w:val="es-ES_tradnl"/>
                              </w:rPr>
                              <w:t>Paraguay</w:t>
                            </w:r>
                            <w:r w:rsidRPr="0094634C">
                              <w:rPr>
                                <w:rFonts w:asciiTheme="majorHAnsi" w:hAnsiTheme="majorHAnsi"/>
                                <w:color w:val="595959" w:themeColor="text1" w:themeTint="A6"/>
                                <w:sz w:val="18"/>
                                <w:szCs w:val="18"/>
                                <w:lang w:val="es-ES_tradnl"/>
                              </w:rPr>
                              <w:t xml:space="preserve">. </w:t>
                            </w:r>
                            <w:r w:rsidR="0094634C">
                              <w:rPr>
                                <w:rFonts w:asciiTheme="majorHAnsi" w:hAnsiTheme="majorHAnsi"/>
                                <w:color w:val="595959" w:themeColor="text1" w:themeTint="A6"/>
                                <w:sz w:val="18"/>
                                <w:szCs w:val="18"/>
                                <w:lang w:val="es-ES"/>
                              </w:rPr>
                              <w:t>26 de octubre de 2021</w:t>
                            </w:r>
                            <w:r w:rsidRPr="0094634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764A68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94634C">
                        <w:rPr>
                          <w:rFonts w:asciiTheme="majorHAnsi" w:hAnsiTheme="majorHAnsi"/>
                          <w:color w:val="595959" w:themeColor="text1" w:themeTint="A6"/>
                          <w:sz w:val="18"/>
                          <w:szCs w:val="18"/>
                          <w:lang w:val="pt-BR"/>
                        </w:rPr>
                        <w:t xml:space="preserve">No. </w:t>
                      </w:r>
                      <w:r w:rsidR="0094634C" w:rsidRPr="0094634C">
                        <w:rPr>
                          <w:rFonts w:asciiTheme="majorHAnsi" w:hAnsiTheme="majorHAnsi"/>
                          <w:color w:val="595959" w:themeColor="text1" w:themeTint="A6"/>
                          <w:sz w:val="18"/>
                          <w:szCs w:val="18"/>
                          <w:lang w:val="pt-BR"/>
                        </w:rPr>
                        <w:t>286</w:t>
                      </w:r>
                      <w:r w:rsidR="007B05C4" w:rsidRPr="0094634C">
                        <w:rPr>
                          <w:rFonts w:asciiTheme="majorHAnsi" w:hAnsiTheme="majorHAnsi"/>
                          <w:color w:val="595959" w:themeColor="text1" w:themeTint="A6"/>
                          <w:sz w:val="18"/>
                          <w:szCs w:val="18"/>
                          <w:lang w:val="pt-BR"/>
                        </w:rPr>
                        <w:t>/</w:t>
                      </w:r>
                      <w:r w:rsidR="0094634C" w:rsidRPr="0094634C">
                        <w:rPr>
                          <w:rFonts w:asciiTheme="majorHAnsi" w:hAnsiTheme="majorHAnsi"/>
                          <w:color w:val="595959" w:themeColor="text1" w:themeTint="A6"/>
                          <w:sz w:val="18"/>
                          <w:szCs w:val="18"/>
                          <w:lang w:val="pt-BR"/>
                        </w:rPr>
                        <w:t>21</w:t>
                      </w:r>
                      <w:r w:rsidRPr="0094634C">
                        <w:rPr>
                          <w:rFonts w:asciiTheme="majorHAnsi" w:hAnsiTheme="majorHAnsi"/>
                          <w:color w:val="595959" w:themeColor="text1" w:themeTint="A6"/>
                          <w:sz w:val="18"/>
                          <w:szCs w:val="18"/>
                          <w:lang w:val="pt-BR"/>
                        </w:rPr>
                        <w:t xml:space="preserve">. </w:t>
                      </w:r>
                      <w:proofErr w:type="spellStart"/>
                      <w:r w:rsidR="000433C9" w:rsidRPr="0094634C">
                        <w:rPr>
                          <w:rFonts w:asciiTheme="majorHAnsi" w:hAnsiTheme="majorHAnsi"/>
                          <w:color w:val="595959" w:themeColor="text1" w:themeTint="A6"/>
                          <w:sz w:val="18"/>
                          <w:szCs w:val="18"/>
                          <w:lang w:val="es-ES_tradnl"/>
                        </w:rPr>
                        <w:t>Petici</w:t>
                      </w:r>
                      <w:r w:rsidR="000433C9" w:rsidRPr="0094634C">
                        <w:rPr>
                          <w:rFonts w:asciiTheme="majorHAnsi" w:hAnsiTheme="majorHAnsi"/>
                          <w:color w:val="595959" w:themeColor="text1" w:themeTint="A6"/>
                          <w:sz w:val="18"/>
                          <w:szCs w:val="18"/>
                          <w:lang w:val="es-ES"/>
                        </w:rPr>
                        <w:t>ón</w:t>
                      </w:r>
                      <w:proofErr w:type="spellEnd"/>
                      <w:r w:rsidR="000433C9" w:rsidRPr="0094634C">
                        <w:rPr>
                          <w:rFonts w:asciiTheme="majorHAnsi" w:hAnsiTheme="majorHAnsi"/>
                          <w:color w:val="595959" w:themeColor="text1" w:themeTint="A6"/>
                          <w:sz w:val="18"/>
                          <w:szCs w:val="18"/>
                          <w:lang w:val="es-ES"/>
                        </w:rPr>
                        <w:t xml:space="preserve"> </w:t>
                      </w:r>
                      <w:r w:rsidR="00FC577A" w:rsidRPr="0094634C">
                        <w:rPr>
                          <w:rFonts w:asciiTheme="majorHAnsi" w:hAnsiTheme="majorHAnsi"/>
                          <w:color w:val="595959" w:themeColor="text1" w:themeTint="A6"/>
                          <w:sz w:val="18"/>
                          <w:szCs w:val="18"/>
                          <w:lang w:val="es-ES"/>
                        </w:rPr>
                        <w:t>1267-11</w:t>
                      </w:r>
                      <w:r w:rsidR="000433C9" w:rsidRPr="0094634C">
                        <w:rPr>
                          <w:rFonts w:asciiTheme="majorHAnsi" w:hAnsiTheme="majorHAnsi"/>
                          <w:color w:val="595959" w:themeColor="text1" w:themeTint="A6"/>
                          <w:sz w:val="18"/>
                          <w:szCs w:val="18"/>
                          <w:lang w:val="es-ES"/>
                        </w:rPr>
                        <w:t xml:space="preserve">. </w:t>
                      </w:r>
                      <w:r w:rsidRPr="0094634C">
                        <w:rPr>
                          <w:rFonts w:asciiTheme="majorHAnsi" w:hAnsiTheme="majorHAnsi"/>
                          <w:color w:val="595959" w:themeColor="text1" w:themeTint="A6"/>
                          <w:sz w:val="18"/>
                          <w:szCs w:val="18"/>
                          <w:lang w:val="es-ES_tradnl"/>
                        </w:rPr>
                        <w:t xml:space="preserve">Admisibilidad. </w:t>
                      </w:r>
                      <w:r w:rsidR="00FC577A" w:rsidRPr="0094634C">
                        <w:rPr>
                          <w:rFonts w:asciiTheme="majorHAnsi" w:hAnsiTheme="majorHAnsi"/>
                          <w:color w:val="595959" w:themeColor="text1" w:themeTint="A6"/>
                          <w:sz w:val="18"/>
                          <w:szCs w:val="18"/>
                          <w:lang w:val="es-ES_tradnl"/>
                        </w:rPr>
                        <w:t>Alan Alberto Flores Cabrera y</w:t>
                      </w:r>
                      <w:r w:rsidR="00F56012" w:rsidRPr="0094634C">
                        <w:rPr>
                          <w:rFonts w:asciiTheme="majorHAnsi" w:hAnsiTheme="majorHAnsi"/>
                          <w:color w:val="595959" w:themeColor="text1" w:themeTint="A6"/>
                          <w:sz w:val="18"/>
                          <w:szCs w:val="18"/>
                          <w:lang w:val="es-ES_tradnl"/>
                        </w:rPr>
                        <w:t xml:space="preserve"> Teodoro</w:t>
                      </w:r>
                      <w:r w:rsidR="00FC577A" w:rsidRPr="0094634C">
                        <w:rPr>
                          <w:rFonts w:asciiTheme="majorHAnsi" w:hAnsiTheme="majorHAnsi"/>
                          <w:color w:val="595959" w:themeColor="text1" w:themeTint="A6"/>
                          <w:sz w:val="18"/>
                          <w:szCs w:val="18"/>
                          <w:lang w:val="es-ES_tradnl"/>
                        </w:rPr>
                        <w:t xml:space="preserve"> Ronal Orrego Verdún</w:t>
                      </w:r>
                      <w:r w:rsidRPr="0094634C">
                        <w:rPr>
                          <w:rFonts w:asciiTheme="majorHAnsi" w:hAnsiTheme="majorHAnsi"/>
                          <w:color w:val="595959" w:themeColor="text1" w:themeTint="A6"/>
                          <w:sz w:val="18"/>
                          <w:szCs w:val="18"/>
                          <w:lang w:val="es-ES_tradnl"/>
                        </w:rPr>
                        <w:t xml:space="preserve">. </w:t>
                      </w:r>
                      <w:r w:rsidR="00FC577A" w:rsidRPr="0094634C">
                        <w:rPr>
                          <w:rFonts w:asciiTheme="majorHAnsi" w:hAnsiTheme="majorHAnsi"/>
                          <w:color w:val="595959" w:themeColor="text1" w:themeTint="A6"/>
                          <w:sz w:val="18"/>
                          <w:szCs w:val="18"/>
                          <w:lang w:val="es-ES_tradnl"/>
                        </w:rPr>
                        <w:t>Paraguay</w:t>
                      </w:r>
                      <w:r w:rsidRPr="0094634C">
                        <w:rPr>
                          <w:rFonts w:asciiTheme="majorHAnsi" w:hAnsiTheme="majorHAnsi"/>
                          <w:color w:val="595959" w:themeColor="text1" w:themeTint="A6"/>
                          <w:sz w:val="18"/>
                          <w:szCs w:val="18"/>
                          <w:lang w:val="es-ES_tradnl"/>
                        </w:rPr>
                        <w:t xml:space="preserve">. </w:t>
                      </w:r>
                      <w:r w:rsidR="0094634C">
                        <w:rPr>
                          <w:rFonts w:asciiTheme="majorHAnsi" w:hAnsiTheme="majorHAnsi"/>
                          <w:color w:val="595959" w:themeColor="text1" w:themeTint="A6"/>
                          <w:sz w:val="18"/>
                          <w:szCs w:val="18"/>
                          <w:lang w:val="es-ES"/>
                        </w:rPr>
                        <w:t>26 de octubre de 2021</w:t>
                      </w:r>
                      <w:r w:rsidRPr="0094634C">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5971EAD9" w:rsidR="00D72DC6" w:rsidRPr="00D72DC6" w:rsidRDefault="0094634C" w:rsidP="00F02AD1">
                            <w:pPr>
                              <w:rPr>
                                <w:color w:val="FFFFFF" w:themeColor="background1"/>
                                <w14:textFill>
                                  <w14:noFill/>
                                </w14:textFill>
                              </w:rPr>
                            </w:pPr>
                            <w:r>
                              <w:rPr>
                                <w:noProof/>
                                <w:color w:val="FFFFFF" w:themeColor="background1"/>
                              </w:rPr>
                              <w:drawing>
                                <wp:inline distT="0" distB="0" distL="0" distR="0" wp14:anchorId="024B6A6A" wp14:editId="223E2759">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5971EAD9" w:rsidR="00D72DC6" w:rsidRPr="00D72DC6" w:rsidRDefault="0094634C" w:rsidP="00F02AD1">
                      <w:pPr>
                        <w:rPr>
                          <w:color w:val="FFFFFF" w:themeColor="background1"/>
                          <w14:textFill>
                            <w14:noFill/>
                          </w14:textFill>
                        </w:rPr>
                      </w:pPr>
                      <w:r>
                        <w:rPr>
                          <w:noProof/>
                          <w:color w:val="FFFFFF" w:themeColor="background1"/>
                        </w:rPr>
                        <w:drawing>
                          <wp:inline distT="0" distB="0" distL="0" distR="0" wp14:anchorId="024B6A6A" wp14:editId="223E2759">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B7154" w14:paraId="251EC4D6" w14:textId="77777777" w:rsidTr="00F9151D">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7124A019" w14:textId="736BE6E4" w:rsidR="003239B8" w:rsidRPr="00253BBC" w:rsidRDefault="00253BBC" w:rsidP="008D2290">
            <w:pPr>
              <w:jc w:val="both"/>
              <w:rPr>
                <w:rFonts w:ascii="Cambria" w:hAnsi="Cambria"/>
                <w:bCs/>
                <w:sz w:val="20"/>
                <w:szCs w:val="20"/>
                <w:lang w:val="es-CO"/>
              </w:rPr>
            </w:pPr>
            <w:r w:rsidRPr="00253BBC">
              <w:rPr>
                <w:rFonts w:ascii="Cambria" w:hAnsi="Cambria"/>
                <w:bCs/>
                <w:sz w:val="20"/>
                <w:szCs w:val="20"/>
                <w:lang w:val="es-CO"/>
              </w:rPr>
              <w:t>Alan Alberto Flores Cabrera, María</w:t>
            </w:r>
            <w:r>
              <w:rPr>
                <w:rFonts w:ascii="Cambria" w:hAnsi="Cambria"/>
                <w:bCs/>
                <w:sz w:val="20"/>
                <w:szCs w:val="20"/>
                <w:lang w:val="es-CO"/>
              </w:rPr>
              <w:t xml:space="preserve"> José Flores,</w:t>
            </w:r>
            <w:r w:rsidR="00E3435A">
              <w:rPr>
                <w:rFonts w:ascii="Cambria" w:hAnsi="Cambria"/>
                <w:bCs/>
                <w:sz w:val="20"/>
                <w:szCs w:val="20"/>
                <w:lang w:val="es-CO"/>
              </w:rPr>
              <w:t xml:space="preserve"> Teodoro</w:t>
            </w:r>
            <w:r>
              <w:rPr>
                <w:rFonts w:ascii="Cambria" w:hAnsi="Cambria"/>
                <w:bCs/>
                <w:sz w:val="20"/>
                <w:szCs w:val="20"/>
                <w:lang w:val="es-CO"/>
              </w:rPr>
              <w:t xml:space="preserve"> Ronal Orrego Verdún</w:t>
            </w:r>
          </w:p>
        </w:tc>
      </w:tr>
      <w:tr w:rsidR="003239B8" w:rsidRPr="005B7154" w14:paraId="73B5DC3A" w14:textId="77777777" w:rsidTr="00F9151D">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53503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4F7E87" w14:textId="18BFCDE8" w:rsidR="003239B8" w:rsidRPr="000D05CB" w:rsidRDefault="00253BBC" w:rsidP="008D2290">
            <w:pPr>
              <w:jc w:val="both"/>
              <w:rPr>
                <w:rFonts w:ascii="Cambria" w:hAnsi="Cambria"/>
                <w:bCs/>
                <w:sz w:val="20"/>
                <w:szCs w:val="20"/>
                <w:lang w:val="es-ES"/>
              </w:rPr>
            </w:pPr>
            <w:r>
              <w:rPr>
                <w:rFonts w:ascii="Cambria" w:hAnsi="Cambria"/>
                <w:bCs/>
                <w:sz w:val="20"/>
                <w:szCs w:val="20"/>
                <w:lang w:val="es-ES"/>
              </w:rPr>
              <w:t xml:space="preserve">Alan Alberto Flores Cabrera y </w:t>
            </w:r>
            <w:r w:rsidR="00E3435A">
              <w:rPr>
                <w:rFonts w:ascii="Cambria" w:hAnsi="Cambria"/>
                <w:bCs/>
                <w:sz w:val="20"/>
                <w:szCs w:val="20"/>
                <w:lang w:val="es-ES"/>
              </w:rPr>
              <w:t xml:space="preserve">Teodoro </w:t>
            </w:r>
            <w:r>
              <w:rPr>
                <w:rFonts w:ascii="Cambria" w:hAnsi="Cambria"/>
                <w:bCs/>
                <w:sz w:val="20"/>
                <w:szCs w:val="20"/>
                <w:lang w:val="es-ES"/>
              </w:rPr>
              <w:t>Ronal Orrego Verdún</w:t>
            </w:r>
            <w:r w:rsidR="005126D2">
              <w:rPr>
                <w:rStyle w:val="FootnoteReference"/>
                <w:rFonts w:ascii="Cambria" w:hAnsi="Cambria"/>
                <w:bCs/>
                <w:sz w:val="20"/>
                <w:szCs w:val="20"/>
                <w:lang w:val="es-ES"/>
              </w:rPr>
              <w:footnoteReference w:id="2"/>
            </w:r>
          </w:p>
        </w:tc>
      </w:tr>
      <w:tr w:rsidR="003239B8" w14:paraId="675EB5A9" w14:textId="77777777" w:rsidTr="00F9151D">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6BC7B459" w14:textId="5026E921" w:rsidR="003239B8" w:rsidRPr="000D05CB" w:rsidRDefault="00253BBC" w:rsidP="008D2290">
            <w:pPr>
              <w:jc w:val="both"/>
              <w:rPr>
                <w:rFonts w:ascii="Cambria" w:hAnsi="Cambria"/>
                <w:bCs/>
                <w:sz w:val="20"/>
                <w:szCs w:val="20"/>
              </w:rPr>
            </w:pPr>
            <w:r>
              <w:rPr>
                <w:rFonts w:ascii="Cambria" w:hAnsi="Cambria"/>
                <w:bCs/>
                <w:sz w:val="20"/>
                <w:szCs w:val="20"/>
              </w:rPr>
              <w:t>Paraguay</w:t>
            </w:r>
          </w:p>
        </w:tc>
      </w:tr>
      <w:tr w:rsidR="00223A29" w:rsidRPr="005B7154" w14:paraId="0DD95EE1" w14:textId="77777777" w:rsidTr="00F9151D">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848044A" w14:textId="29E013D5" w:rsidR="00223A29" w:rsidRPr="00253BBC" w:rsidRDefault="00253BBC" w:rsidP="008D2290">
            <w:pPr>
              <w:jc w:val="both"/>
              <w:rPr>
                <w:rFonts w:ascii="Cambria" w:hAnsi="Cambria"/>
                <w:bCs/>
                <w:sz w:val="20"/>
                <w:szCs w:val="20"/>
                <w:lang w:val="es-CO"/>
              </w:rPr>
            </w:pPr>
            <w:r w:rsidRPr="00253BBC">
              <w:rPr>
                <w:rFonts w:ascii="Cambria" w:hAnsi="Cambria"/>
                <w:bCs/>
                <w:sz w:val="20"/>
                <w:szCs w:val="20"/>
                <w:lang w:val="es-CO"/>
              </w:rPr>
              <w:t>Artículos 5 (integridad personal), 7 (</w:t>
            </w:r>
            <w:r>
              <w:rPr>
                <w:rFonts w:ascii="Cambria" w:hAnsi="Cambria"/>
                <w:bCs/>
                <w:sz w:val="20"/>
                <w:szCs w:val="20"/>
                <w:lang w:val="es-CO"/>
              </w:rPr>
              <w:t>l</w:t>
            </w:r>
            <w:r w:rsidRPr="00253BBC">
              <w:rPr>
                <w:rFonts w:ascii="Cambria" w:hAnsi="Cambria"/>
                <w:bCs/>
                <w:sz w:val="20"/>
                <w:szCs w:val="20"/>
                <w:lang w:val="es-CO"/>
              </w:rPr>
              <w:t>ibertad perso</w:t>
            </w:r>
            <w:r>
              <w:rPr>
                <w:rFonts w:ascii="Cambria" w:hAnsi="Cambria"/>
                <w:bCs/>
                <w:sz w:val="20"/>
                <w:szCs w:val="20"/>
                <w:lang w:val="es-CO"/>
              </w:rPr>
              <w:t xml:space="preserve">nal), 8 (garantías judiciales), 16 (libertad de asociación), </w:t>
            </w:r>
            <w:r w:rsidR="009F03E5">
              <w:rPr>
                <w:rFonts w:ascii="Cambria" w:hAnsi="Cambria"/>
                <w:bCs/>
                <w:sz w:val="20"/>
                <w:szCs w:val="20"/>
                <w:lang w:val="es-CO"/>
              </w:rPr>
              <w:t>24 (igualdad ante la ley)</w:t>
            </w:r>
            <w:r w:rsidR="00436432">
              <w:rPr>
                <w:rFonts w:ascii="Cambria" w:hAnsi="Cambria"/>
                <w:bCs/>
                <w:sz w:val="20"/>
                <w:szCs w:val="20"/>
                <w:lang w:val="es-CO"/>
              </w:rPr>
              <w:t xml:space="preserve"> y 25 (protección judicial) de la Convención Americana sobre Derechos Humanos</w:t>
            </w:r>
            <w:r w:rsidR="00436432">
              <w:rPr>
                <w:rStyle w:val="FootnoteReference"/>
                <w:rFonts w:ascii="Cambria" w:hAnsi="Cambria"/>
                <w:bCs/>
                <w:sz w:val="20"/>
                <w:szCs w:val="20"/>
                <w:lang w:val="es-CO"/>
              </w:rPr>
              <w:footnoteReference w:id="3"/>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B7154" w14:paraId="2CF459F4" w14:textId="77777777" w:rsidTr="00F9151D">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1574B66" w14:textId="61F8B044" w:rsidR="004C2312" w:rsidRPr="003239B8" w:rsidRDefault="009B4AF3" w:rsidP="002625EA">
            <w:pPr>
              <w:jc w:val="both"/>
              <w:rPr>
                <w:rFonts w:ascii="Cambria" w:hAnsi="Cambria"/>
                <w:bCs/>
                <w:sz w:val="20"/>
                <w:szCs w:val="20"/>
                <w:lang w:val="es-ES"/>
              </w:rPr>
            </w:pPr>
            <w:r>
              <w:rPr>
                <w:rFonts w:ascii="Cambria" w:hAnsi="Cambria"/>
                <w:bCs/>
                <w:sz w:val="20"/>
                <w:szCs w:val="20"/>
                <w:lang w:val="es-ES"/>
              </w:rPr>
              <w:t>19 de septiembre de 2011 y 23 de septiembre de 2011 (peticiones acumuladas)</w:t>
            </w:r>
          </w:p>
        </w:tc>
      </w:tr>
      <w:tr w:rsidR="00131425" w:rsidRPr="005B7154" w14:paraId="3193D795" w14:textId="77777777" w:rsidTr="00F9151D">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7AEA243" w14:textId="3F8AE178" w:rsidR="00131425" w:rsidRPr="003239B8" w:rsidRDefault="009B4AF3" w:rsidP="002625EA">
            <w:pPr>
              <w:jc w:val="both"/>
              <w:rPr>
                <w:rFonts w:ascii="Cambria" w:hAnsi="Cambria"/>
                <w:bCs/>
                <w:sz w:val="20"/>
                <w:szCs w:val="20"/>
                <w:lang w:val="es-ES"/>
              </w:rPr>
            </w:pPr>
            <w:r>
              <w:rPr>
                <w:rFonts w:ascii="Cambria" w:hAnsi="Cambria"/>
                <w:bCs/>
                <w:sz w:val="20"/>
                <w:szCs w:val="20"/>
                <w:lang w:val="es-ES"/>
              </w:rPr>
              <w:t>5 de octubre de 2011</w:t>
            </w:r>
            <w:r w:rsidR="00EE1468">
              <w:rPr>
                <w:rFonts w:ascii="Cambria" w:hAnsi="Cambria"/>
                <w:bCs/>
                <w:sz w:val="20"/>
                <w:szCs w:val="20"/>
                <w:lang w:val="es-ES"/>
              </w:rPr>
              <w:t>, 11 de octubre de 2011, 12 de octubre de 2011, 23 de noviembre de 2011</w:t>
            </w:r>
            <w:r w:rsidR="0046604F">
              <w:rPr>
                <w:rFonts w:ascii="Cambria" w:hAnsi="Cambria"/>
                <w:bCs/>
                <w:sz w:val="20"/>
                <w:szCs w:val="20"/>
                <w:lang w:val="es-ES"/>
              </w:rPr>
              <w:t xml:space="preserve">, </w:t>
            </w:r>
            <w:r w:rsidR="007A0EC2">
              <w:rPr>
                <w:rFonts w:ascii="Cambria" w:hAnsi="Cambria"/>
                <w:bCs/>
                <w:sz w:val="20"/>
                <w:szCs w:val="20"/>
                <w:lang w:val="es-ES"/>
              </w:rPr>
              <w:t>25 de noviembre de 2011</w:t>
            </w:r>
            <w:r w:rsidR="00F56012">
              <w:rPr>
                <w:rFonts w:ascii="Cambria" w:hAnsi="Cambria"/>
                <w:bCs/>
                <w:sz w:val="20"/>
                <w:szCs w:val="20"/>
                <w:lang w:val="es-ES"/>
              </w:rPr>
              <w:t xml:space="preserve"> y</w:t>
            </w:r>
            <w:r w:rsidR="007A0EC2">
              <w:rPr>
                <w:rFonts w:ascii="Cambria" w:hAnsi="Cambria"/>
                <w:bCs/>
                <w:sz w:val="20"/>
                <w:szCs w:val="20"/>
                <w:lang w:val="es-ES"/>
              </w:rPr>
              <w:t xml:space="preserve"> </w:t>
            </w:r>
            <w:r w:rsidR="0046604F">
              <w:rPr>
                <w:rFonts w:ascii="Cambria" w:hAnsi="Cambria"/>
                <w:bCs/>
                <w:sz w:val="20"/>
                <w:szCs w:val="20"/>
                <w:lang w:val="es-ES"/>
              </w:rPr>
              <w:t>29 de noviembre de 2011</w:t>
            </w:r>
          </w:p>
        </w:tc>
      </w:tr>
      <w:tr w:rsidR="004C2312" w:rsidRPr="00680B13" w14:paraId="009C173E" w14:textId="77777777" w:rsidTr="00F9151D">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27CD0DED" w14:textId="3BF0FCEE" w:rsidR="004C2312" w:rsidRPr="003239B8" w:rsidRDefault="00DE0EC8" w:rsidP="008D2290">
            <w:pPr>
              <w:jc w:val="both"/>
              <w:rPr>
                <w:rFonts w:ascii="Cambria" w:hAnsi="Cambria"/>
                <w:bCs/>
                <w:sz w:val="20"/>
                <w:szCs w:val="20"/>
                <w:lang w:val="es-ES"/>
              </w:rPr>
            </w:pPr>
            <w:r>
              <w:rPr>
                <w:rFonts w:ascii="Cambria" w:hAnsi="Cambria"/>
                <w:bCs/>
                <w:sz w:val="20"/>
                <w:szCs w:val="20"/>
                <w:lang w:val="es-ES"/>
              </w:rPr>
              <w:t>23 de agosto de 2018</w:t>
            </w:r>
          </w:p>
        </w:tc>
      </w:tr>
      <w:tr w:rsidR="004C2312" w:rsidRPr="004A6A54" w14:paraId="00267AB8" w14:textId="77777777" w:rsidTr="00F9151D">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37B66E1" w14:textId="0F08386E" w:rsidR="004C2312" w:rsidRPr="003239B8" w:rsidRDefault="007A0EC2" w:rsidP="008D2290">
            <w:pPr>
              <w:jc w:val="both"/>
              <w:rPr>
                <w:rFonts w:ascii="Cambria" w:hAnsi="Cambria"/>
                <w:bCs/>
                <w:sz w:val="20"/>
                <w:szCs w:val="20"/>
                <w:lang w:val="es-ES"/>
              </w:rPr>
            </w:pPr>
            <w:r>
              <w:rPr>
                <w:rFonts w:ascii="Cambria" w:hAnsi="Cambria"/>
                <w:bCs/>
                <w:sz w:val="20"/>
                <w:szCs w:val="20"/>
                <w:lang w:val="es-ES"/>
              </w:rPr>
              <w:t>11 de abril de 2019</w:t>
            </w:r>
          </w:p>
        </w:tc>
      </w:tr>
      <w:tr w:rsidR="00F9151D" w:rsidRPr="004A6A54" w14:paraId="1CC110D8" w14:textId="77777777" w:rsidTr="00F9151D">
        <w:tc>
          <w:tcPr>
            <w:tcW w:w="3600" w:type="dxa"/>
            <w:tcBorders>
              <w:top w:val="single" w:sz="6" w:space="0" w:color="auto"/>
              <w:bottom w:val="single" w:sz="6" w:space="0" w:color="auto"/>
            </w:tcBorders>
            <w:shd w:val="clear" w:color="auto" w:fill="386294"/>
            <w:vAlign w:val="center"/>
          </w:tcPr>
          <w:p w14:paraId="2FF43618" w14:textId="34451769" w:rsidR="00F9151D" w:rsidRDefault="00F9151D"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Medidas cautelares</w:t>
            </w:r>
          </w:p>
        </w:tc>
        <w:tc>
          <w:tcPr>
            <w:tcW w:w="5647" w:type="dxa"/>
            <w:vAlign w:val="center"/>
          </w:tcPr>
          <w:p w14:paraId="46CC0AA4" w14:textId="0B8A8036" w:rsidR="00F9151D" w:rsidRDefault="00CF54C7" w:rsidP="008D2290">
            <w:pPr>
              <w:jc w:val="both"/>
              <w:rPr>
                <w:rFonts w:ascii="Cambria" w:hAnsi="Cambria"/>
                <w:bCs/>
                <w:sz w:val="20"/>
                <w:szCs w:val="20"/>
                <w:lang w:val="es-ES"/>
              </w:rPr>
            </w:pPr>
            <w:r>
              <w:rPr>
                <w:rFonts w:ascii="Cambria" w:hAnsi="Cambria"/>
                <w:bCs/>
                <w:sz w:val="20"/>
                <w:szCs w:val="20"/>
                <w:lang w:val="es-ES"/>
              </w:rPr>
              <w:t>MC-368-11 (Rechazada)</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61B68326" w:rsidR="003239B8" w:rsidRPr="00B3745F" w:rsidRDefault="00436432" w:rsidP="008D2290">
            <w:pPr>
              <w:rPr>
                <w:rFonts w:ascii="Cambria" w:hAnsi="Cambria"/>
                <w:bCs/>
                <w:sz w:val="20"/>
                <w:szCs w:val="20"/>
              </w:rPr>
            </w:pPr>
            <w:r>
              <w:rPr>
                <w:rFonts w:ascii="Cambria" w:hAnsi="Cambria"/>
                <w:bCs/>
                <w:sz w:val="20"/>
                <w:szCs w:val="20"/>
              </w:rPr>
              <w:t xml:space="preserve">Sí </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0301C4AE" w:rsidR="003239B8" w:rsidRPr="00B3745F" w:rsidRDefault="00436432"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1F142AFC" w:rsidR="003239B8" w:rsidRPr="00B3745F" w:rsidRDefault="00436432" w:rsidP="008D2290">
            <w:pPr>
              <w:rPr>
                <w:rFonts w:ascii="Cambria" w:hAnsi="Cambria"/>
                <w:bCs/>
                <w:sz w:val="20"/>
                <w:szCs w:val="20"/>
              </w:rPr>
            </w:pPr>
            <w:r>
              <w:rPr>
                <w:rFonts w:ascii="Cambria" w:hAnsi="Cambria"/>
                <w:bCs/>
                <w:sz w:val="20"/>
                <w:szCs w:val="20"/>
              </w:rPr>
              <w:t>Sí</w:t>
            </w:r>
          </w:p>
        </w:tc>
      </w:tr>
      <w:tr w:rsidR="003239B8" w:rsidRPr="005B7154"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68382771" w:rsidR="003239B8" w:rsidRPr="00B3745F" w:rsidRDefault="00436432" w:rsidP="008D2290">
            <w:pPr>
              <w:jc w:val="both"/>
              <w:rPr>
                <w:rFonts w:ascii="Cambria" w:hAnsi="Cambria"/>
                <w:bCs/>
                <w:sz w:val="20"/>
                <w:szCs w:val="20"/>
                <w:lang w:val="es-ES"/>
              </w:rPr>
            </w:pPr>
            <w:r>
              <w:rPr>
                <w:rFonts w:ascii="Cambria" w:hAnsi="Cambria"/>
                <w:bCs/>
                <w:sz w:val="20"/>
                <w:szCs w:val="20"/>
                <w:lang w:val="es-ES"/>
              </w:rPr>
              <w:t>Sí, Convención Americana (instrumento de ratificación depositado el 24 de agosto de 1989)</w:t>
            </w:r>
            <w:r w:rsidR="00FE0755">
              <w:rPr>
                <w:rFonts w:ascii="Cambria" w:hAnsi="Cambria"/>
                <w:bCs/>
                <w:sz w:val="20"/>
                <w:szCs w:val="20"/>
                <w:lang w:val="es-ES"/>
              </w:rPr>
              <w:t xml:space="preserve"> y Protocolo Adicional a la Convención American sobre Derechos Humanos en Materia de Derechos Económicos, Sociales y Culturales “Protocolo de San Salvador” (instrumento de ratificación realizado el 3 de junio de 1997)</w:t>
            </w:r>
          </w:p>
        </w:tc>
      </w:tr>
    </w:tbl>
    <w:p w14:paraId="090C088B" w14:textId="1AE9F53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5B7154"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58ED33A9" w:rsidR="00EE00E9" w:rsidRPr="00DC24E3" w:rsidRDefault="00436432" w:rsidP="008D2290">
            <w:pPr>
              <w:jc w:val="both"/>
              <w:rPr>
                <w:rFonts w:ascii="Cambria" w:hAnsi="Cambria"/>
                <w:bCs/>
                <w:sz w:val="20"/>
                <w:szCs w:val="20"/>
                <w:lang w:val="es-ES"/>
              </w:rPr>
            </w:pPr>
            <w:r>
              <w:rPr>
                <w:rFonts w:ascii="Cambria" w:hAnsi="Cambria"/>
                <w:bCs/>
                <w:sz w:val="20"/>
                <w:szCs w:val="20"/>
                <w:lang w:val="es-ES"/>
              </w:rPr>
              <w:t>No, en los términos de la Sección VI</w:t>
            </w:r>
          </w:p>
        </w:tc>
      </w:tr>
      <w:tr w:rsidR="003239B8" w:rsidRPr="005B7154"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22DF6203" w:rsidR="003239B8" w:rsidRPr="00436432" w:rsidRDefault="00436432" w:rsidP="008D2290">
            <w:pPr>
              <w:jc w:val="both"/>
              <w:rPr>
                <w:rFonts w:ascii="Cambria" w:hAnsi="Cambria"/>
                <w:bCs/>
                <w:sz w:val="20"/>
                <w:szCs w:val="20"/>
                <w:lang w:val="es-CO"/>
              </w:rPr>
            </w:pPr>
            <w:r w:rsidRPr="00436432">
              <w:rPr>
                <w:rFonts w:ascii="Cambria" w:hAnsi="Cambria"/>
                <w:bCs/>
                <w:sz w:val="20"/>
                <w:szCs w:val="20"/>
                <w:lang w:val="es-CO"/>
              </w:rPr>
              <w:t xml:space="preserve">Artículos 5 (integridad personal), </w:t>
            </w:r>
            <w:r w:rsidR="008F3F54">
              <w:rPr>
                <w:rFonts w:ascii="Cambria" w:hAnsi="Cambria"/>
                <w:bCs/>
                <w:sz w:val="20"/>
                <w:szCs w:val="20"/>
                <w:lang w:val="es-CO"/>
              </w:rPr>
              <w:t xml:space="preserve">7 (libertad personal), </w:t>
            </w:r>
            <w:r w:rsidRPr="00436432">
              <w:rPr>
                <w:rFonts w:ascii="Cambria" w:hAnsi="Cambria"/>
                <w:bCs/>
                <w:sz w:val="20"/>
                <w:szCs w:val="20"/>
                <w:lang w:val="es-CO"/>
              </w:rPr>
              <w:t>8 (garantías ju</w:t>
            </w:r>
            <w:r>
              <w:rPr>
                <w:rFonts w:ascii="Cambria" w:hAnsi="Cambria"/>
                <w:bCs/>
                <w:sz w:val="20"/>
                <w:szCs w:val="20"/>
                <w:lang w:val="es-CO"/>
              </w:rPr>
              <w:t>diciales), 9 (principio de legalidad y de retroactividad), 16 (libertad de asociación), 25 (protección judicial) y 26 (derechos económicos, sociales y culturales)</w:t>
            </w:r>
            <w:r w:rsidR="00F56012">
              <w:rPr>
                <w:rFonts w:ascii="Cambria" w:hAnsi="Cambria"/>
                <w:bCs/>
                <w:sz w:val="20"/>
                <w:szCs w:val="20"/>
                <w:lang w:val="es-CO"/>
              </w:rPr>
              <w:t xml:space="preserve"> de la Convención Americana, en relación con su artículo 1.1 (obligación de respetar los derechos)</w:t>
            </w:r>
            <w:r w:rsidR="00FE0755">
              <w:rPr>
                <w:rFonts w:ascii="Cambria" w:hAnsi="Cambria"/>
                <w:bCs/>
                <w:sz w:val="20"/>
                <w:szCs w:val="20"/>
                <w:lang w:val="es-CO"/>
              </w:rPr>
              <w:t>; y el artículo 8.1.a) del Protocolo de San Salvador</w:t>
            </w:r>
          </w:p>
        </w:tc>
      </w:tr>
      <w:tr w:rsidR="003239B8" w:rsidRPr="005B7154"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19E9B621" w:rsidR="003239B8" w:rsidRPr="00DC24E3" w:rsidRDefault="00436432" w:rsidP="008D2290">
            <w:pPr>
              <w:rPr>
                <w:rFonts w:ascii="Cambria" w:hAnsi="Cambria"/>
                <w:bCs/>
                <w:sz w:val="20"/>
                <w:szCs w:val="20"/>
                <w:lang w:val="es-ES"/>
              </w:rPr>
            </w:pPr>
            <w:r>
              <w:rPr>
                <w:rFonts w:ascii="Cambria" w:hAnsi="Cambria"/>
                <w:bCs/>
                <w:sz w:val="20"/>
                <w:szCs w:val="20"/>
                <w:lang w:val="es-ES"/>
              </w:rPr>
              <w:t xml:space="preserve">Sí, </w:t>
            </w:r>
            <w:r w:rsidR="00516846">
              <w:rPr>
                <w:rFonts w:ascii="Cambria" w:hAnsi="Cambria"/>
                <w:bCs/>
                <w:sz w:val="20"/>
                <w:szCs w:val="20"/>
                <w:lang w:val="es-ES"/>
              </w:rPr>
              <w:t xml:space="preserve">el </w:t>
            </w:r>
            <w:r w:rsidR="006A327B" w:rsidRPr="00CF630A">
              <w:rPr>
                <w:rFonts w:asciiTheme="majorHAnsi" w:hAnsiTheme="majorHAnsi"/>
                <w:sz w:val="20"/>
                <w:szCs w:val="20"/>
                <w:lang w:val="es-AR"/>
              </w:rPr>
              <w:t>1º de junio de 2011</w:t>
            </w:r>
          </w:p>
        </w:tc>
      </w:tr>
      <w:tr w:rsidR="003239B8" w:rsidRPr="00CF630A"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B338EAC" w14:textId="16A100FB" w:rsidR="003239B8" w:rsidRPr="00436432" w:rsidRDefault="00436432" w:rsidP="008D2290">
            <w:pPr>
              <w:rPr>
                <w:rFonts w:ascii="Cambria" w:hAnsi="Cambria"/>
                <w:bCs/>
                <w:sz w:val="20"/>
                <w:szCs w:val="20"/>
                <w:lang w:val="es-CO"/>
              </w:rPr>
            </w:pPr>
            <w:r w:rsidRPr="00436432">
              <w:rPr>
                <w:rFonts w:ascii="Cambria" w:hAnsi="Cambria"/>
                <w:bCs/>
                <w:sz w:val="20"/>
                <w:szCs w:val="20"/>
                <w:lang w:val="es-CO"/>
              </w:rPr>
              <w:t>Sí</w:t>
            </w:r>
          </w:p>
        </w:tc>
      </w:tr>
    </w:tbl>
    <w:p w14:paraId="20F8626A" w14:textId="4C0FF87D" w:rsidR="003239B8" w:rsidRDefault="00223A29" w:rsidP="008F3F54">
      <w:pPr>
        <w:ind w:firstLine="720"/>
        <w:jc w:val="both"/>
        <w:rPr>
          <w:rFonts w:asciiTheme="majorHAnsi" w:hAnsiTheme="majorHAnsi"/>
          <w:b/>
          <w:sz w:val="20"/>
          <w:szCs w:val="20"/>
          <w:lang w:val="es-UY"/>
        </w:rPr>
      </w:pPr>
      <w:r w:rsidRPr="00CF630A">
        <w:rPr>
          <w:rFonts w:asciiTheme="majorHAnsi" w:hAnsiTheme="majorHAnsi"/>
          <w:b/>
          <w:sz w:val="20"/>
          <w:szCs w:val="20"/>
          <w:lang w:val="es-UY"/>
        </w:rPr>
        <w:lastRenderedPageBreak/>
        <w:t xml:space="preserve">V. </w:t>
      </w:r>
      <w:r w:rsidRPr="00CF630A">
        <w:rPr>
          <w:rFonts w:asciiTheme="majorHAnsi" w:hAnsiTheme="majorHAnsi"/>
          <w:b/>
          <w:sz w:val="20"/>
          <w:szCs w:val="20"/>
          <w:lang w:val="es-UY"/>
        </w:rPr>
        <w:tab/>
      </w:r>
      <w:r w:rsidR="003239B8" w:rsidRPr="00CF630A">
        <w:rPr>
          <w:rFonts w:asciiTheme="majorHAnsi" w:hAnsiTheme="majorHAnsi"/>
          <w:b/>
          <w:sz w:val="20"/>
          <w:szCs w:val="20"/>
          <w:lang w:val="es-UY"/>
        </w:rPr>
        <w:t>HECHOS ALEGADOS</w:t>
      </w:r>
    </w:p>
    <w:p w14:paraId="1BBCB678" w14:textId="77777777" w:rsidR="00CF630A" w:rsidRPr="00CF630A" w:rsidRDefault="00CF630A" w:rsidP="00CF630A">
      <w:pPr>
        <w:ind w:firstLine="720"/>
        <w:jc w:val="both"/>
        <w:rPr>
          <w:rFonts w:asciiTheme="majorHAnsi" w:hAnsiTheme="majorHAnsi"/>
          <w:b/>
          <w:sz w:val="20"/>
          <w:szCs w:val="20"/>
          <w:lang w:val="es-UY"/>
        </w:rPr>
      </w:pPr>
    </w:p>
    <w:p w14:paraId="294F59DD" w14:textId="34A73D34" w:rsidR="00A11E44"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 xml:space="preserve">1. </w:t>
      </w:r>
      <w:r w:rsidR="00CF630A">
        <w:rPr>
          <w:rFonts w:asciiTheme="majorHAnsi" w:hAnsiTheme="majorHAnsi"/>
          <w:sz w:val="20"/>
          <w:szCs w:val="20"/>
          <w:lang w:val="es-AR"/>
        </w:rPr>
        <w:tab/>
      </w:r>
      <w:r w:rsidR="004234CA" w:rsidRPr="00CF630A">
        <w:rPr>
          <w:rFonts w:asciiTheme="majorHAnsi" w:hAnsiTheme="majorHAnsi"/>
          <w:sz w:val="20"/>
          <w:szCs w:val="20"/>
          <w:lang w:val="es-AR"/>
        </w:rPr>
        <w:t xml:space="preserve">La parte peticionaria </w:t>
      </w:r>
      <w:r w:rsidR="00CF630A">
        <w:rPr>
          <w:rFonts w:asciiTheme="majorHAnsi" w:hAnsiTheme="majorHAnsi"/>
          <w:sz w:val="20"/>
          <w:szCs w:val="20"/>
          <w:lang w:val="es-AR"/>
        </w:rPr>
        <w:t>alega</w:t>
      </w:r>
      <w:r w:rsidR="004234CA" w:rsidRPr="00CF630A">
        <w:rPr>
          <w:rFonts w:asciiTheme="majorHAnsi" w:hAnsiTheme="majorHAnsi"/>
          <w:sz w:val="20"/>
          <w:szCs w:val="20"/>
          <w:lang w:val="es-AR"/>
        </w:rPr>
        <w:t xml:space="preserve"> la violación de los derechos humanos de las presuntas víctimas, en virtud de su procesamiento penal y condena por </w:t>
      </w:r>
      <w:r w:rsidR="00680B13" w:rsidRPr="00CF630A">
        <w:rPr>
          <w:rFonts w:asciiTheme="majorHAnsi" w:hAnsiTheme="majorHAnsi"/>
          <w:sz w:val="20"/>
          <w:szCs w:val="20"/>
          <w:lang w:val="es-AR"/>
        </w:rPr>
        <w:t xml:space="preserve">el </w:t>
      </w:r>
      <w:r w:rsidR="004234CA" w:rsidRPr="00CF630A">
        <w:rPr>
          <w:rFonts w:asciiTheme="majorHAnsi" w:hAnsiTheme="majorHAnsi"/>
          <w:sz w:val="20"/>
          <w:szCs w:val="20"/>
          <w:lang w:val="es-AR"/>
        </w:rPr>
        <w:t xml:space="preserve">delito de </w:t>
      </w:r>
      <w:r w:rsidR="00680B13" w:rsidRPr="00CF630A">
        <w:rPr>
          <w:rFonts w:asciiTheme="majorHAnsi" w:hAnsiTheme="majorHAnsi"/>
          <w:sz w:val="20"/>
          <w:szCs w:val="20"/>
          <w:lang w:val="es-AR"/>
        </w:rPr>
        <w:t>lesión de confianza</w:t>
      </w:r>
      <w:r w:rsidR="004234CA" w:rsidRPr="00CF630A">
        <w:rPr>
          <w:rFonts w:asciiTheme="majorHAnsi" w:hAnsiTheme="majorHAnsi"/>
          <w:sz w:val="20"/>
          <w:szCs w:val="20"/>
          <w:lang w:val="es-AR"/>
        </w:rPr>
        <w:t xml:space="preserve">, todo lo cual califican </w:t>
      </w:r>
      <w:r w:rsidR="001030DF" w:rsidRPr="00CF630A">
        <w:rPr>
          <w:rFonts w:asciiTheme="majorHAnsi" w:hAnsiTheme="majorHAnsi"/>
          <w:sz w:val="20"/>
          <w:szCs w:val="20"/>
          <w:lang w:val="es-AR"/>
        </w:rPr>
        <w:t>como</w:t>
      </w:r>
      <w:r w:rsidR="004234CA" w:rsidRPr="00CF630A">
        <w:rPr>
          <w:rFonts w:asciiTheme="majorHAnsi" w:hAnsiTheme="majorHAnsi"/>
          <w:sz w:val="20"/>
          <w:szCs w:val="20"/>
          <w:lang w:val="es-AR"/>
        </w:rPr>
        <w:t xml:space="preserve"> una persecución política orquestada por las autoridades gubernamentales </w:t>
      </w:r>
      <w:r w:rsidR="001030DF" w:rsidRPr="00CF630A">
        <w:rPr>
          <w:rFonts w:asciiTheme="majorHAnsi" w:hAnsiTheme="majorHAnsi"/>
          <w:sz w:val="20"/>
          <w:szCs w:val="20"/>
          <w:lang w:val="es-AR"/>
        </w:rPr>
        <w:t xml:space="preserve">en tanto </w:t>
      </w:r>
      <w:r w:rsidR="004234CA" w:rsidRPr="00CF630A">
        <w:rPr>
          <w:rFonts w:asciiTheme="majorHAnsi" w:hAnsiTheme="majorHAnsi"/>
          <w:sz w:val="20"/>
          <w:szCs w:val="20"/>
          <w:lang w:val="es-AR"/>
        </w:rPr>
        <w:t>represalia por sus actividades como líderes sindicales</w:t>
      </w:r>
      <w:r w:rsidR="001030DF" w:rsidRPr="00CF630A">
        <w:rPr>
          <w:rFonts w:asciiTheme="majorHAnsi" w:hAnsiTheme="majorHAnsi"/>
          <w:sz w:val="20"/>
          <w:szCs w:val="20"/>
          <w:lang w:val="es-AR"/>
        </w:rPr>
        <w:t>,</w:t>
      </w:r>
      <w:r w:rsidR="004234CA" w:rsidRPr="00CF630A">
        <w:rPr>
          <w:rFonts w:asciiTheme="majorHAnsi" w:hAnsiTheme="majorHAnsi"/>
          <w:sz w:val="20"/>
          <w:szCs w:val="20"/>
          <w:lang w:val="es-AR"/>
        </w:rPr>
        <w:t xml:space="preserve"> desatada en pleno desarrollo de una huelga de 48 horas que ellos estaban organizando.</w:t>
      </w:r>
    </w:p>
    <w:p w14:paraId="0EE3C1BF" w14:textId="77777777" w:rsidR="00CF630A" w:rsidRPr="00CF630A" w:rsidRDefault="00CF630A"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1800382D" w14:textId="0173C3E5" w:rsidR="009961A6" w:rsidRDefault="00F56012" w:rsidP="00D15DC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 xml:space="preserve">2. </w:t>
      </w:r>
      <w:r w:rsidR="00CF630A">
        <w:rPr>
          <w:rFonts w:asciiTheme="majorHAnsi" w:hAnsiTheme="majorHAnsi"/>
          <w:sz w:val="20"/>
          <w:szCs w:val="20"/>
          <w:lang w:val="es-AR"/>
        </w:rPr>
        <w:tab/>
      </w:r>
      <w:r w:rsidR="004234CA" w:rsidRPr="00CF630A">
        <w:rPr>
          <w:rFonts w:asciiTheme="majorHAnsi" w:hAnsiTheme="majorHAnsi"/>
          <w:sz w:val="20"/>
          <w:szCs w:val="20"/>
          <w:lang w:val="es-AR"/>
        </w:rPr>
        <w:t>Los señores Flores y Orrego, en las dos peticiones que la CIDH resolvió acumular en el presente procedimiento, narran que eran respectivamente el Presidente y el Secretario de Finanzas de</w:t>
      </w:r>
      <w:r w:rsidR="00680B13" w:rsidRPr="00CF630A">
        <w:rPr>
          <w:rFonts w:asciiTheme="majorHAnsi" w:hAnsiTheme="majorHAnsi"/>
          <w:sz w:val="20"/>
          <w:szCs w:val="20"/>
          <w:lang w:val="es-AR"/>
        </w:rPr>
        <w:t>l sindicato</w:t>
      </w:r>
      <w:r w:rsidR="004234CA" w:rsidRPr="00CF630A">
        <w:rPr>
          <w:rFonts w:asciiTheme="majorHAnsi" w:hAnsiTheme="majorHAnsi"/>
          <w:sz w:val="20"/>
          <w:szCs w:val="20"/>
          <w:lang w:val="es-AR"/>
        </w:rPr>
        <w:t xml:space="preserve"> Central Unitaria de Trabajadores (CUT). En esa calidad, participaron </w:t>
      </w:r>
      <w:r w:rsidR="001030DF" w:rsidRPr="00CF630A">
        <w:rPr>
          <w:rFonts w:asciiTheme="majorHAnsi" w:hAnsiTheme="majorHAnsi"/>
          <w:sz w:val="20"/>
          <w:szCs w:val="20"/>
          <w:lang w:val="es-AR"/>
        </w:rPr>
        <w:t xml:space="preserve">en </w:t>
      </w:r>
      <w:r w:rsidR="004234CA" w:rsidRPr="00CF630A">
        <w:rPr>
          <w:rFonts w:asciiTheme="majorHAnsi" w:hAnsiTheme="majorHAnsi"/>
          <w:sz w:val="20"/>
          <w:szCs w:val="20"/>
          <w:lang w:val="es-AR"/>
        </w:rPr>
        <w:t xml:space="preserve">la realización de un negocio entre </w:t>
      </w:r>
      <w:r w:rsidR="009961A6" w:rsidRPr="00CF630A">
        <w:rPr>
          <w:rFonts w:asciiTheme="majorHAnsi" w:hAnsiTheme="majorHAnsi"/>
          <w:sz w:val="20"/>
          <w:szCs w:val="20"/>
          <w:lang w:val="es-AR"/>
        </w:rPr>
        <w:t xml:space="preserve">tal sindicato y el Banco Nacional de Trabajadores (BNT), consistente en </w:t>
      </w:r>
      <w:r w:rsidR="001030DF" w:rsidRPr="00CF630A">
        <w:rPr>
          <w:rFonts w:asciiTheme="majorHAnsi" w:hAnsiTheme="majorHAnsi"/>
          <w:sz w:val="20"/>
          <w:szCs w:val="20"/>
          <w:lang w:val="es-AR"/>
        </w:rPr>
        <w:t xml:space="preserve">el otorgamiento </w:t>
      </w:r>
      <w:r w:rsidR="009961A6" w:rsidRPr="00CF630A">
        <w:rPr>
          <w:rFonts w:asciiTheme="majorHAnsi" w:hAnsiTheme="majorHAnsi"/>
          <w:sz w:val="20"/>
          <w:szCs w:val="20"/>
          <w:lang w:val="es-AR"/>
        </w:rPr>
        <w:t xml:space="preserve">de </w:t>
      </w:r>
      <w:r w:rsidR="001030DF" w:rsidRPr="00CF630A">
        <w:rPr>
          <w:rFonts w:asciiTheme="majorHAnsi" w:hAnsiTheme="majorHAnsi"/>
          <w:sz w:val="20"/>
          <w:szCs w:val="20"/>
          <w:lang w:val="es-AR"/>
        </w:rPr>
        <w:t xml:space="preserve">cuantiosos </w:t>
      </w:r>
      <w:r w:rsidR="009961A6" w:rsidRPr="00CF630A">
        <w:rPr>
          <w:rFonts w:asciiTheme="majorHAnsi" w:hAnsiTheme="majorHAnsi"/>
          <w:sz w:val="20"/>
          <w:szCs w:val="20"/>
          <w:lang w:val="es-AR"/>
        </w:rPr>
        <w:t>préstamos para la adquisición de 4</w:t>
      </w:r>
      <w:r w:rsidR="00564EEB">
        <w:rPr>
          <w:rFonts w:asciiTheme="majorHAnsi" w:hAnsiTheme="majorHAnsi"/>
          <w:sz w:val="20"/>
          <w:szCs w:val="20"/>
          <w:lang w:val="es-AR"/>
        </w:rPr>
        <w:t>,</w:t>
      </w:r>
      <w:r w:rsidR="009961A6" w:rsidRPr="00CF630A">
        <w:rPr>
          <w:rFonts w:asciiTheme="majorHAnsi" w:hAnsiTheme="majorHAnsi"/>
          <w:sz w:val="20"/>
          <w:szCs w:val="20"/>
          <w:lang w:val="es-AR"/>
        </w:rPr>
        <w:t>350 nichos en el Parque Cementerio Las Acacias, que serían vendidos a sus afiliados. El negocio, que fue inicialmente aprobado por las autoridades paraguayas competentes</w:t>
      </w:r>
      <w:r w:rsidR="00557761">
        <w:rPr>
          <w:rFonts w:asciiTheme="majorHAnsi" w:hAnsiTheme="majorHAnsi"/>
          <w:sz w:val="20"/>
          <w:szCs w:val="20"/>
          <w:lang w:val="es-AR"/>
        </w:rPr>
        <w:t>,</w:t>
      </w:r>
      <w:r w:rsidR="00680B13" w:rsidRPr="00CF630A">
        <w:rPr>
          <w:rFonts w:asciiTheme="majorHAnsi" w:hAnsiTheme="majorHAnsi"/>
          <w:sz w:val="20"/>
          <w:szCs w:val="20"/>
          <w:lang w:val="es-AR"/>
        </w:rPr>
        <w:t xml:space="preserve"> incluyendo la Secretaría Técnica de Planificación de la Presidencia de la República</w:t>
      </w:r>
      <w:r w:rsidR="009961A6" w:rsidRPr="00CF630A">
        <w:rPr>
          <w:rFonts w:asciiTheme="majorHAnsi" w:hAnsiTheme="majorHAnsi"/>
          <w:sz w:val="20"/>
          <w:szCs w:val="20"/>
          <w:lang w:val="es-AR"/>
        </w:rPr>
        <w:t xml:space="preserve">, eventualmente resultó en la falta de pago de los </w:t>
      </w:r>
      <w:r w:rsidR="001030DF" w:rsidRPr="00CF630A">
        <w:rPr>
          <w:rFonts w:asciiTheme="majorHAnsi" w:hAnsiTheme="majorHAnsi"/>
          <w:sz w:val="20"/>
          <w:szCs w:val="20"/>
          <w:lang w:val="es-AR"/>
        </w:rPr>
        <w:t>millonarios</w:t>
      </w:r>
      <w:r w:rsidR="009961A6" w:rsidRPr="00CF630A">
        <w:rPr>
          <w:rFonts w:asciiTheme="majorHAnsi" w:hAnsiTheme="majorHAnsi"/>
          <w:sz w:val="20"/>
          <w:szCs w:val="20"/>
          <w:lang w:val="es-AR"/>
        </w:rPr>
        <w:t xml:space="preserve"> recursos girados en préstamo al Sindicato CUT</w:t>
      </w:r>
      <w:r w:rsidR="00557761">
        <w:rPr>
          <w:rFonts w:asciiTheme="majorHAnsi" w:hAnsiTheme="majorHAnsi"/>
          <w:sz w:val="20"/>
          <w:szCs w:val="20"/>
          <w:lang w:val="es-AR"/>
        </w:rPr>
        <w:t>.</w:t>
      </w:r>
      <w:r w:rsidR="009961A6" w:rsidRPr="00CF630A">
        <w:rPr>
          <w:rFonts w:asciiTheme="majorHAnsi" w:hAnsiTheme="majorHAnsi"/>
          <w:sz w:val="20"/>
          <w:szCs w:val="20"/>
          <w:lang w:val="es-AR"/>
        </w:rPr>
        <w:t xml:space="preserve"> </w:t>
      </w:r>
      <w:r w:rsidR="00557761">
        <w:rPr>
          <w:rFonts w:asciiTheme="majorHAnsi" w:hAnsiTheme="majorHAnsi"/>
          <w:sz w:val="20"/>
          <w:szCs w:val="20"/>
          <w:lang w:val="es-AR"/>
        </w:rPr>
        <w:t xml:space="preserve">Esta falta de pago </w:t>
      </w:r>
      <w:r w:rsidR="009961A6" w:rsidRPr="00CF630A">
        <w:rPr>
          <w:rFonts w:asciiTheme="majorHAnsi" w:hAnsiTheme="majorHAnsi"/>
          <w:sz w:val="20"/>
          <w:szCs w:val="20"/>
          <w:lang w:val="es-AR"/>
        </w:rPr>
        <w:t xml:space="preserve">contribuyó </w:t>
      </w:r>
      <w:r w:rsidR="00557761">
        <w:rPr>
          <w:rFonts w:asciiTheme="majorHAnsi" w:hAnsiTheme="majorHAnsi"/>
          <w:sz w:val="20"/>
          <w:szCs w:val="20"/>
          <w:lang w:val="es-AR"/>
        </w:rPr>
        <w:t>considerablemente</w:t>
      </w:r>
      <w:r w:rsidR="009961A6" w:rsidRPr="00CF630A">
        <w:rPr>
          <w:rFonts w:asciiTheme="majorHAnsi" w:hAnsiTheme="majorHAnsi"/>
          <w:sz w:val="20"/>
          <w:szCs w:val="20"/>
          <w:lang w:val="es-AR"/>
        </w:rPr>
        <w:t xml:space="preserve"> al subsiguiente colapso del BNT por insostenibilidad financiera</w:t>
      </w:r>
      <w:r w:rsidR="001B6169" w:rsidRPr="00CF630A">
        <w:rPr>
          <w:rFonts w:asciiTheme="majorHAnsi" w:hAnsiTheme="majorHAnsi"/>
          <w:sz w:val="20"/>
          <w:szCs w:val="20"/>
          <w:lang w:val="es-AR"/>
        </w:rPr>
        <w:t xml:space="preserve">, </w:t>
      </w:r>
      <w:r w:rsidR="00680B13" w:rsidRPr="00CF630A">
        <w:rPr>
          <w:rFonts w:asciiTheme="majorHAnsi" w:hAnsiTheme="majorHAnsi"/>
          <w:sz w:val="20"/>
          <w:szCs w:val="20"/>
          <w:lang w:val="es-AR"/>
        </w:rPr>
        <w:t xml:space="preserve">derivando </w:t>
      </w:r>
      <w:r w:rsidR="001B6169" w:rsidRPr="00CF630A">
        <w:rPr>
          <w:rFonts w:asciiTheme="majorHAnsi" w:hAnsiTheme="majorHAnsi"/>
          <w:sz w:val="20"/>
          <w:szCs w:val="20"/>
          <w:lang w:val="es-AR"/>
        </w:rPr>
        <w:t>en su quiebra y liquidación</w:t>
      </w:r>
      <w:r w:rsidR="009961A6" w:rsidRPr="00CF630A">
        <w:rPr>
          <w:rFonts w:asciiTheme="majorHAnsi" w:hAnsiTheme="majorHAnsi"/>
          <w:sz w:val="20"/>
          <w:szCs w:val="20"/>
          <w:lang w:val="es-AR"/>
        </w:rPr>
        <w:t>. Como consecuencia del cierre del BNT, se abrieron procesos penales contra quienes se señalaron de ser responsables del fracaso del banco</w:t>
      </w:r>
      <w:r w:rsidR="001B6169" w:rsidRPr="00CF630A">
        <w:rPr>
          <w:rFonts w:asciiTheme="majorHAnsi" w:hAnsiTheme="majorHAnsi"/>
          <w:sz w:val="20"/>
          <w:szCs w:val="20"/>
          <w:lang w:val="es-AR"/>
        </w:rPr>
        <w:t xml:space="preserve"> </w:t>
      </w:r>
      <w:r w:rsidR="00BC5242">
        <w:rPr>
          <w:rFonts w:asciiTheme="majorHAnsi" w:hAnsiTheme="majorHAnsi"/>
          <w:sz w:val="20"/>
          <w:szCs w:val="20"/>
          <w:lang w:val="es-AR"/>
        </w:rPr>
        <w:t>-c</w:t>
      </w:r>
      <w:r w:rsidR="001030DF" w:rsidRPr="00CF630A">
        <w:rPr>
          <w:rFonts w:asciiTheme="majorHAnsi" w:hAnsiTheme="majorHAnsi"/>
          <w:sz w:val="20"/>
          <w:szCs w:val="20"/>
          <w:lang w:val="es-AR"/>
        </w:rPr>
        <w:t xml:space="preserve">olapso </w:t>
      </w:r>
      <w:r w:rsidR="001B6169" w:rsidRPr="00CF630A">
        <w:rPr>
          <w:rFonts w:asciiTheme="majorHAnsi" w:hAnsiTheme="majorHAnsi"/>
          <w:sz w:val="20"/>
          <w:szCs w:val="20"/>
          <w:lang w:val="es-AR"/>
        </w:rPr>
        <w:t xml:space="preserve">atribuido </w:t>
      </w:r>
      <w:r w:rsidR="00680B13" w:rsidRPr="00CF630A">
        <w:rPr>
          <w:rFonts w:asciiTheme="majorHAnsi" w:hAnsiTheme="majorHAnsi"/>
          <w:sz w:val="20"/>
          <w:szCs w:val="20"/>
          <w:lang w:val="es-AR"/>
        </w:rPr>
        <w:t xml:space="preserve">por las autoridades </w:t>
      </w:r>
      <w:r w:rsidR="001B6169" w:rsidRPr="00CF630A">
        <w:rPr>
          <w:rFonts w:asciiTheme="majorHAnsi" w:hAnsiTheme="majorHAnsi"/>
          <w:sz w:val="20"/>
          <w:szCs w:val="20"/>
          <w:lang w:val="es-AR"/>
        </w:rPr>
        <w:t>a la concesión de créditos fraudulentos para proyectos inviables</w:t>
      </w:r>
      <w:r w:rsidR="00BC5242">
        <w:rPr>
          <w:rFonts w:asciiTheme="majorHAnsi" w:hAnsiTheme="majorHAnsi"/>
          <w:sz w:val="20"/>
          <w:szCs w:val="20"/>
          <w:lang w:val="es-AR"/>
        </w:rPr>
        <w:t>-</w:t>
      </w:r>
      <w:r w:rsidR="001B6169" w:rsidRPr="00CF630A">
        <w:rPr>
          <w:rFonts w:asciiTheme="majorHAnsi" w:hAnsiTheme="majorHAnsi"/>
          <w:sz w:val="20"/>
          <w:szCs w:val="20"/>
          <w:lang w:val="es-AR"/>
        </w:rPr>
        <w:t>,</w:t>
      </w:r>
      <w:r w:rsidR="009961A6" w:rsidRPr="00CF630A">
        <w:rPr>
          <w:rFonts w:asciiTheme="majorHAnsi" w:hAnsiTheme="majorHAnsi"/>
          <w:sz w:val="20"/>
          <w:szCs w:val="20"/>
          <w:lang w:val="es-AR"/>
        </w:rPr>
        <w:t xml:space="preserve"> entre ellos los directivos de la CUT por razón del empréstito destinado a la compra de los nichos funerarios. </w:t>
      </w:r>
    </w:p>
    <w:p w14:paraId="4400FF8B" w14:textId="77777777" w:rsidR="004E04B9" w:rsidRPr="00CF630A" w:rsidRDefault="004E04B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5170E8AD" w14:textId="5BB6D408" w:rsidR="0055344C" w:rsidRPr="00CF630A" w:rsidRDefault="00D15D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3</w:t>
      </w:r>
      <w:r w:rsidR="00F56012" w:rsidRPr="00CF630A">
        <w:rPr>
          <w:rFonts w:asciiTheme="majorHAnsi" w:hAnsiTheme="majorHAnsi"/>
          <w:sz w:val="20"/>
          <w:szCs w:val="20"/>
          <w:lang w:val="es-AR"/>
        </w:rPr>
        <w:t xml:space="preserve">. </w:t>
      </w:r>
      <w:r w:rsidR="004E04B9">
        <w:rPr>
          <w:rFonts w:asciiTheme="majorHAnsi" w:hAnsiTheme="majorHAnsi"/>
          <w:sz w:val="20"/>
          <w:szCs w:val="20"/>
          <w:lang w:val="es-AR"/>
        </w:rPr>
        <w:tab/>
      </w:r>
      <w:r>
        <w:rPr>
          <w:rFonts w:asciiTheme="majorHAnsi" w:hAnsiTheme="majorHAnsi"/>
          <w:sz w:val="20"/>
          <w:szCs w:val="20"/>
          <w:lang w:val="es-AR"/>
        </w:rPr>
        <w:t>L</w:t>
      </w:r>
      <w:r w:rsidR="009961A6" w:rsidRPr="00CF630A">
        <w:rPr>
          <w:rFonts w:asciiTheme="majorHAnsi" w:hAnsiTheme="majorHAnsi"/>
          <w:sz w:val="20"/>
          <w:szCs w:val="20"/>
          <w:lang w:val="es-AR"/>
        </w:rPr>
        <w:t xml:space="preserve">as autoridades </w:t>
      </w:r>
      <w:r w:rsidR="00564EEB">
        <w:rPr>
          <w:rFonts w:asciiTheme="majorHAnsi" w:hAnsiTheme="majorHAnsi"/>
          <w:sz w:val="20"/>
          <w:szCs w:val="20"/>
          <w:lang w:val="es-AR"/>
        </w:rPr>
        <w:t>judiciales</w:t>
      </w:r>
      <w:r w:rsidR="009961A6" w:rsidRPr="00CF630A">
        <w:rPr>
          <w:rFonts w:asciiTheme="majorHAnsi" w:hAnsiTheme="majorHAnsi"/>
          <w:sz w:val="20"/>
          <w:szCs w:val="20"/>
          <w:lang w:val="es-AR"/>
        </w:rPr>
        <w:t xml:space="preserve"> tramitaron las numerosas investigaciones penales conjuntamente dentro de la causa rotulada “Edgar Cattaldi y otros s/Defraudación y Estafa”, cuyo expediente ascendía a varios miles de folios, dada la complejidad de los hechos investigados y el número de personas procesadas</w:t>
      </w:r>
      <w:r w:rsidR="001030DF" w:rsidRPr="00CF630A">
        <w:rPr>
          <w:rFonts w:asciiTheme="majorHAnsi" w:hAnsiTheme="majorHAnsi"/>
          <w:sz w:val="20"/>
          <w:szCs w:val="20"/>
          <w:lang w:val="es-AR"/>
        </w:rPr>
        <w:t>, incluyendo a varios funcionarios del BNT</w:t>
      </w:r>
      <w:r w:rsidR="009961A6" w:rsidRPr="00CF630A">
        <w:rPr>
          <w:rFonts w:asciiTheme="majorHAnsi" w:hAnsiTheme="majorHAnsi"/>
          <w:sz w:val="20"/>
          <w:szCs w:val="20"/>
          <w:lang w:val="es-AR"/>
        </w:rPr>
        <w:t xml:space="preserve">. </w:t>
      </w:r>
      <w:r w:rsidR="00E3435A" w:rsidRPr="00CF630A">
        <w:rPr>
          <w:rFonts w:asciiTheme="majorHAnsi" w:hAnsiTheme="majorHAnsi"/>
          <w:sz w:val="20"/>
          <w:szCs w:val="20"/>
          <w:lang w:val="es-AR"/>
        </w:rPr>
        <w:t xml:space="preserve">Los </w:t>
      </w:r>
      <w:r w:rsidR="0055344C" w:rsidRPr="00CF630A">
        <w:rPr>
          <w:rFonts w:asciiTheme="majorHAnsi" w:hAnsiTheme="majorHAnsi"/>
          <w:sz w:val="20"/>
          <w:szCs w:val="20"/>
          <w:lang w:val="es-AR"/>
        </w:rPr>
        <w:t>señor</w:t>
      </w:r>
      <w:r w:rsidR="00E3435A" w:rsidRPr="00CF630A">
        <w:rPr>
          <w:rFonts w:asciiTheme="majorHAnsi" w:hAnsiTheme="majorHAnsi"/>
          <w:sz w:val="20"/>
          <w:szCs w:val="20"/>
          <w:lang w:val="es-AR"/>
        </w:rPr>
        <w:t>es</w:t>
      </w:r>
      <w:r w:rsidR="0055344C" w:rsidRPr="00CF630A">
        <w:rPr>
          <w:rFonts w:asciiTheme="majorHAnsi" w:hAnsiTheme="majorHAnsi"/>
          <w:sz w:val="20"/>
          <w:szCs w:val="20"/>
          <w:lang w:val="es-AR"/>
        </w:rPr>
        <w:t xml:space="preserve"> Flores</w:t>
      </w:r>
      <w:r w:rsidR="00E3435A" w:rsidRPr="00CF630A">
        <w:rPr>
          <w:rFonts w:asciiTheme="majorHAnsi" w:hAnsiTheme="majorHAnsi"/>
          <w:sz w:val="20"/>
          <w:szCs w:val="20"/>
          <w:lang w:val="es-AR"/>
        </w:rPr>
        <w:t xml:space="preserve"> y Orrego</w:t>
      </w:r>
      <w:r w:rsidR="0055344C" w:rsidRPr="00CF630A">
        <w:rPr>
          <w:rFonts w:asciiTheme="majorHAnsi" w:hAnsiTheme="majorHAnsi"/>
          <w:sz w:val="20"/>
          <w:szCs w:val="20"/>
          <w:lang w:val="es-AR"/>
        </w:rPr>
        <w:t xml:space="preserve"> fue</w:t>
      </w:r>
      <w:r w:rsidR="00E3435A" w:rsidRPr="00CF630A">
        <w:rPr>
          <w:rFonts w:asciiTheme="majorHAnsi" w:hAnsiTheme="majorHAnsi"/>
          <w:sz w:val="20"/>
          <w:szCs w:val="20"/>
          <w:lang w:val="es-AR"/>
        </w:rPr>
        <w:t>ron</w:t>
      </w:r>
      <w:r w:rsidR="0055344C" w:rsidRPr="00CF630A">
        <w:rPr>
          <w:rFonts w:asciiTheme="majorHAnsi" w:hAnsiTheme="majorHAnsi"/>
          <w:sz w:val="20"/>
          <w:szCs w:val="20"/>
          <w:lang w:val="es-AR"/>
        </w:rPr>
        <w:t xml:space="preserve"> procesado</w:t>
      </w:r>
      <w:r w:rsidR="00E3435A" w:rsidRPr="00CF630A">
        <w:rPr>
          <w:rFonts w:asciiTheme="majorHAnsi" w:hAnsiTheme="majorHAnsi"/>
          <w:sz w:val="20"/>
          <w:szCs w:val="20"/>
          <w:lang w:val="es-AR"/>
        </w:rPr>
        <w:t>s</w:t>
      </w:r>
      <w:r w:rsidR="0055344C" w:rsidRPr="00CF630A">
        <w:rPr>
          <w:rFonts w:asciiTheme="majorHAnsi" w:hAnsiTheme="majorHAnsi"/>
          <w:sz w:val="20"/>
          <w:szCs w:val="20"/>
          <w:lang w:val="es-AR"/>
        </w:rPr>
        <w:t xml:space="preserve"> a partir del 22 de junio de 2000, cuando el proceso </w:t>
      </w:r>
      <w:r w:rsidR="00E3435A" w:rsidRPr="00CF630A">
        <w:rPr>
          <w:rFonts w:asciiTheme="majorHAnsi" w:hAnsiTheme="majorHAnsi"/>
          <w:sz w:val="20"/>
          <w:szCs w:val="20"/>
          <w:lang w:val="es-AR"/>
        </w:rPr>
        <w:t xml:space="preserve">penal </w:t>
      </w:r>
      <w:r w:rsidR="0055344C" w:rsidRPr="00CF630A">
        <w:rPr>
          <w:rFonts w:asciiTheme="majorHAnsi" w:hAnsiTheme="majorHAnsi"/>
          <w:sz w:val="20"/>
          <w:szCs w:val="20"/>
          <w:lang w:val="es-AR"/>
        </w:rPr>
        <w:t xml:space="preserve">llevaba más de tres años de haberse iniciado y estando en la etapa procesal plenaria, </w:t>
      </w:r>
      <w:r w:rsidR="001030DF" w:rsidRPr="00CF630A">
        <w:rPr>
          <w:rFonts w:asciiTheme="majorHAnsi" w:hAnsiTheme="majorHAnsi"/>
          <w:sz w:val="20"/>
          <w:szCs w:val="20"/>
          <w:lang w:val="es-AR"/>
        </w:rPr>
        <w:t xml:space="preserve">siendo </w:t>
      </w:r>
      <w:r w:rsidR="0055344C" w:rsidRPr="00CF630A">
        <w:rPr>
          <w:rFonts w:asciiTheme="majorHAnsi" w:hAnsiTheme="majorHAnsi"/>
          <w:sz w:val="20"/>
          <w:szCs w:val="20"/>
          <w:lang w:val="es-AR"/>
        </w:rPr>
        <w:t xml:space="preserve">retrotraído </w:t>
      </w:r>
      <w:r w:rsidR="00C30322" w:rsidRPr="00CF630A">
        <w:rPr>
          <w:rFonts w:asciiTheme="majorHAnsi" w:hAnsiTheme="majorHAnsi"/>
          <w:sz w:val="20"/>
          <w:szCs w:val="20"/>
          <w:lang w:val="es-AR"/>
        </w:rPr>
        <w:t xml:space="preserve">formalmente </w:t>
      </w:r>
      <w:r w:rsidR="0055344C" w:rsidRPr="00CF630A">
        <w:rPr>
          <w:rFonts w:asciiTheme="majorHAnsi" w:hAnsiTheme="majorHAnsi"/>
          <w:sz w:val="20"/>
          <w:szCs w:val="20"/>
          <w:lang w:val="es-AR"/>
        </w:rPr>
        <w:t>a la etapa sumaria para efectos de su vinculación.</w:t>
      </w:r>
    </w:p>
    <w:p w14:paraId="669533EA" w14:textId="77777777" w:rsidR="00564EEB" w:rsidRDefault="00564EE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4BE55753" w14:textId="2BF5BCD9" w:rsidR="00564EEB" w:rsidRDefault="006D2B5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4</w:t>
      </w:r>
      <w:r w:rsidR="00F56012" w:rsidRPr="00CF630A">
        <w:rPr>
          <w:rFonts w:asciiTheme="majorHAnsi" w:hAnsiTheme="majorHAnsi"/>
          <w:sz w:val="20"/>
          <w:szCs w:val="20"/>
          <w:lang w:val="es-AR"/>
        </w:rPr>
        <w:t xml:space="preserve">. </w:t>
      </w:r>
      <w:r w:rsidR="00564EEB">
        <w:rPr>
          <w:rFonts w:asciiTheme="majorHAnsi" w:hAnsiTheme="majorHAnsi"/>
          <w:sz w:val="20"/>
          <w:szCs w:val="20"/>
          <w:lang w:val="es-AR"/>
        </w:rPr>
        <w:tab/>
      </w:r>
      <w:r w:rsidR="009961A6" w:rsidRPr="00CF630A">
        <w:rPr>
          <w:rFonts w:asciiTheme="majorHAnsi" w:hAnsiTheme="majorHAnsi"/>
          <w:sz w:val="20"/>
          <w:szCs w:val="20"/>
          <w:lang w:val="es-AR"/>
        </w:rPr>
        <w:t>Tras el dilatado desarrollo de este proceso penal,</w:t>
      </w:r>
      <w:r w:rsidR="00564EEB">
        <w:rPr>
          <w:rFonts w:asciiTheme="majorHAnsi" w:hAnsiTheme="majorHAnsi"/>
          <w:sz w:val="20"/>
          <w:szCs w:val="20"/>
          <w:lang w:val="es-AR"/>
        </w:rPr>
        <w:t xml:space="preserve"> </w:t>
      </w:r>
      <w:r w:rsidR="009961A6" w:rsidRPr="00CF630A">
        <w:rPr>
          <w:rFonts w:asciiTheme="majorHAnsi" w:hAnsiTheme="majorHAnsi"/>
          <w:sz w:val="20"/>
          <w:szCs w:val="20"/>
          <w:lang w:val="es-AR"/>
        </w:rPr>
        <w:t>los señores Flores y Orrego</w:t>
      </w:r>
      <w:r w:rsidR="0055344C" w:rsidRPr="00CF630A">
        <w:rPr>
          <w:rFonts w:asciiTheme="majorHAnsi" w:hAnsiTheme="majorHAnsi"/>
          <w:sz w:val="20"/>
          <w:szCs w:val="20"/>
          <w:lang w:val="es-AR"/>
        </w:rPr>
        <w:t xml:space="preserve"> y otras veinte personas</w:t>
      </w:r>
      <w:r w:rsidR="009961A6" w:rsidRPr="00CF630A">
        <w:rPr>
          <w:rFonts w:asciiTheme="majorHAnsi" w:hAnsiTheme="majorHAnsi"/>
          <w:sz w:val="20"/>
          <w:szCs w:val="20"/>
          <w:lang w:val="es-AR"/>
        </w:rPr>
        <w:t xml:space="preserve">, </w:t>
      </w:r>
      <w:r w:rsidR="00564EEB">
        <w:rPr>
          <w:rFonts w:asciiTheme="majorHAnsi" w:hAnsiTheme="majorHAnsi"/>
          <w:sz w:val="20"/>
          <w:szCs w:val="20"/>
          <w:lang w:val="es-AR"/>
        </w:rPr>
        <w:t xml:space="preserve">fueron condenadas </w:t>
      </w:r>
      <w:r w:rsidR="00D15DCB">
        <w:rPr>
          <w:rFonts w:asciiTheme="majorHAnsi" w:hAnsiTheme="majorHAnsi"/>
          <w:sz w:val="20"/>
          <w:szCs w:val="20"/>
          <w:lang w:val="es-AR"/>
        </w:rPr>
        <w:t xml:space="preserve">por el </w:t>
      </w:r>
      <w:r w:rsidR="00D15DCB" w:rsidRPr="00CF630A">
        <w:rPr>
          <w:rFonts w:asciiTheme="majorHAnsi" w:hAnsiTheme="majorHAnsi"/>
          <w:sz w:val="20"/>
          <w:szCs w:val="20"/>
          <w:lang w:val="es-AR"/>
        </w:rPr>
        <w:t>Juzgado de Liquidación y Sentencia No. 7 de la Capital</w:t>
      </w:r>
      <w:r w:rsidR="00D15DCB">
        <w:rPr>
          <w:rFonts w:asciiTheme="majorHAnsi" w:hAnsiTheme="majorHAnsi"/>
          <w:sz w:val="20"/>
          <w:szCs w:val="20"/>
          <w:lang w:val="es-AR"/>
        </w:rPr>
        <w:t>,</w:t>
      </w:r>
      <w:r w:rsidR="00D15DCB" w:rsidRPr="00CF630A">
        <w:rPr>
          <w:rFonts w:asciiTheme="majorHAnsi" w:hAnsiTheme="majorHAnsi"/>
          <w:sz w:val="20"/>
          <w:szCs w:val="20"/>
          <w:lang w:val="es-AR"/>
        </w:rPr>
        <w:t xml:space="preserve"> </w:t>
      </w:r>
      <w:r w:rsidR="0055344C" w:rsidRPr="00CF630A">
        <w:rPr>
          <w:rFonts w:asciiTheme="majorHAnsi" w:hAnsiTheme="majorHAnsi"/>
          <w:sz w:val="20"/>
          <w:szCs w:val="20"/>
          <w:lang w:val="es-AR"/>
        </w:rPr>
        <w:t>mediante sentencia del 8 de octubre de 2001</w:t>
      </w:r>
      <w:r w:rsidR="00D15DCB">
        <w:rPr>
          <w:rFonts w:asciiTheme="majorHAnsi" w:hAnsiTheme="majorHAnsi"/>
          <w:sz w:val="20"/>
          <w:szCs w:val="20"/>
          <w:lang w:val="es-AR"/>
        </w:rPr>
        <w:t>,</w:t>
      </w:r>
      <w:r w:rsidR="0055344C" w:rsidRPr="00CF630A">
        <w:rPr>
          <w:rFonts w:asciiTheme="majorHAnsi" w:hAnsiTheme="majorHAnsi"/>
          <w:sz w:val="20"/>
          <w:szCs w:val="20"/>
          <w:lang w:val="es-AR"/>
        </w:rPr>
        <w:t xml:space="preserve"> al habérseles hallado culpables del delito de lesión de confianza en grado de complicidad, </w:t>
      </w:r>
      <w:r w:rsidR="001030DF" w:rsidRPr="00CF630A">
        <w:rPr>
          <w:rFonts w:asciiTheme="majorHAnsi" w:hAnsiTheme="majorHAnsi"/>
          <w:sz w:val="20"/>
          <w:szCs w:val="20"/>
          <w:lang w:val="es-AR"/>
        </w:rPr>
        <w:t xml:space="preserve">cuya comisión </w:t>
      </w:r>
      <w:r w:rsidR="0055344C" w:rsidRPr="00CF630A">
        <w:rPr>
          <w:rFonts w:asciiTheme="majorHAnsi" w:hAnsiTheme="majorHAnsi"/>
          <w:sz w:val="20"/>
          <w:szCs w:val="20"/>
          <w:lang w:val="es-AR"/>
        </w:rPr>
        <w:t>habría causado</w:t>
      </w:r>
      <w:r w:rsidR="00564EEB">
        <w:rPr>
          <w:rFonts w:asciiTheme="majorHAnsi" w:hAnsiTheme="majorHAnsi"/>
          <w:sz w:val="20"/>
          <w:szCs w:val="20"/>
          <w:lang w:val="es-AR"/>
        </w:rPr>
        <w:t xml:space="preserve"> </w:t>
      </w:r>
      <w:r w:rsidR="0055344C" w:rsidRPr="00CF630A">
        <w:rPr>
          <w:rFonts w:asciiTheme="majorHAnsi" w:hAnsiTheme="majorHAnsi"/>
          <w:sz w:val="20"/>
          <w:szCs w:val="20"/>
          <w:lang w:val="es-AR"/>
        </w:rPr>
        <w:t>el perjuicio patrimonial al BNT</w:t>
      </w:r>
      <w:r w:rsidR="001030DF" w:rsidRPr="00CF630A">
        <w:rPr>
          <w:rFonts w:asciiTheme="majorHAnsi" w:hAnsiTheme="majorHAnsi"/>
          <w:sz w:val="20"/>
          <w:szCs w:val="20"/>
          <w:lang w:val="es-AR"/>
        </w:rPr>
        <w:t>;</w:t>
      </w:r>
      <w:r w:rsidR="0055344C" w:rsidRPr="00CF630A">
        <w:rPr>
          <w:rFonts w:asciiTheme="majorHAnsi" w:hAnsiTheme="majorHAnsi"/>
          <w:sz w:val="20"/>
          <w:szCs w:val="20"/>
          <w:lang w:val="es-AR"/>
        </w:rPr>
        <w:t xml:space="preserve"> y se les impuso la pena de siete años de cárcel. </w:t>
      </w:r>
    </w:p>
    <w:p w14:paraId="06F1C586" w14:textId="77777777" w:rsidR="00564EEB" w:rsidRDefault="00564EE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2EBED89B" w14:textId="6AA2D688" w:rsidR="0055344C" w:rsidRDefault="006D2B5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5</w:t>
      </w:r>
      <w:r w:rsidR="00564EEB">
        <w:rPr>
          <w:rFonts w:asciiTheme="majorHAnsi" w:hAnsiTheme="majorHAnsi"/>
          <w:sz w:val="20"/>
          <w:szCs w:val="20"/>
          <w:lang w:val="es-AR"/>
        </w:rPr>
        <w:t>.</w:t>
      </w:r>
      <w:r w:rsidR="00564EEB">
        <w:rPr>
          <w:rFonts w:asciiTheme="majorHAnsi" w:hAnsiTheme="majorHAnsi"/>
          <w:sz w:val="20"/>
          <w:szCs w:val="20"/>
          <w:lang w:val="es-AR"/>
        </w:rPr>
        <w:tab/>
      </w:r>
      <w:r w:rsidR="0055344C" w:rsidRPr="00CF630A">
        <w:rPr>
          <w:rFonts w:asciiTheme="majorHAnsi" w:hAnsiTheme="majorHAnsi"/>
          <w:sz w:val="20"/>
          <w:szCs w:val="20"/>
          <w:lang w:val="es-AR"/>
        </w:rPr>
        <w:t>Interpuestos recursos de apelación y nulidad por los peticionarios, la sentencia fue confirmada por el Tribunal de Apelación en lo Penal</w:t>
      </w:r>
      <w:r w:rsidR="00D15DCB">
        <w:rPr>
          <w:rFonts w:asciiTheme="majorHAnsi" w:hAnsiTheme="majorHAnsi"/>
          <w:sz w:val="20"/>
          <w:szCs w:val="20"/>
          <w:lang w:val="es-AR"/>
        </w:rPr>
        <w:t>-</w:t>
      </w:r>
      <w:r w:rsidR="0055344C" w:rsidRPr="00CF630A">
        <w:rPr>
          <w:rFonts w:asciiTheme="majorHAnsi" w:hAnsiTheme="majorHAnsi"/>
          <w:sz w:val="20"/>
          <w:szCs w:val="20"/>
          <w:lang w:val="es-AR"/>
        </w:rPr>
        <w:t>Primera Sala</w:t>
      </w:r>
      <w:r w:rsidR="00D15DCB">
        <w:rPr>
          <w:rFonts w:asciiTheme="majorHAnsi" w:hAnsiTheme="majorHAnsi"/>
          <w:sz w:val="20"/>
          <w:szCs w:val="20"/>
          <w:lang w:val="es-AR"/>
        </w:rPr>
        <w:t>,</w:t>
      </w:r>
      <w:r w:rsidR="0055344C" w:rsidRPr="00CF630A">
        <w:rPr>
          <w:rFonts w:asciiTheme="majorHAnsi" w:hAnsiTheme="majorHAnsi"/>
          <w:sz w:val="20"/>
          <w:szCs w:val="20"/>
          <w:lang w:val="es-AR"/>
        </w:rPr>
        <w:t xml:space="preserve"> </w:t>
      </w:r>
      <w:r w:rsidR="00D15DCB">
        <w:rPr>
          <w:rFonts w:asciiTheme="majorHAnsi" w:hAnsiTheme="majorHAnsi"/>
          <w:sz w:val="20"/>
          <w:szCs w:val="20"/>
          <w:lang w:val="es-AR"/>
        </w:rPr>
        <w:t>por medio del</w:t>
      </w:r>
      <w:r w:rsidR="0055344C" w:rsidRPr="00CF630A">
        <w:rPr>
          <w:rFonts w:asciiTheme="majorHAnsi" w:hAnsiTheme="majorHAnsi"/>
          <w:sz w:val="20"/>
          <w:szCs w:val="20"/>
          <w:lang w:val="es-AR"/>
        </w:rPr>
        <w:t xml:space="preserve"> Acuerdo y Sentencia No. 37 del 4 de junio de 2009. Planteados recursos de casación, la condena fue confirmada </w:t>
      </w:r>
      <w:r w:rsidR="009961A6" w:rsidRPr="00CF630A">
        <w:rPr>
          <w:rFonts w:asciiTheme="majorHAnsi" w:hAnsiTheme="majorHAnsi"/>
          <w:sz w:val="20"/>
          <w:szCs w:val="20"/>
          <w:lang w:val="es-AR"/>
        </w:rPr>
        <w:t xml:space="preserve">mediante Acuerdo y Sentencia No. 694 del </w:t>
      </w:r>
      <w:r w:rsidR="00680B13" w:rsidRPr="00CF630A">
        <w:rPr>
          <w:rFonts w:asciiTheme="majorHAnsi" w:hAnsiTheme="majorHAnsi"/>
          <w:sz w:val="20"/>
          <w:szCs w:val="20"/>
          <w:lang w:val="es-AR"/>
        </w:rPr>
        <w:t>29</w:t>
      </w:r>
      <w:r w:rsidR="009961A6" w:rsidRPr="00CF630A">
        <w:rPr>
          <w:rFonts w:asciiTheme="majorHAnsi" w:hAnsiTheme="majorHAnsi"/>
          <w:sz w:val="20"/>
          <w:szCs w:val="20"/>
          <w:lang w:val="es-AR"/>
        </w:rPr>
        <w:t xml:space="preserve"> de diciembre de 2010 de la Corte Suprema de Justicia</w:t>
      </w:r>
      <w:r w:rsidR="00D15DCB">
        <w:rPr>
          <w:rFonts w:asciiTheme="majorHAnsi" w:hAnsiTheme="majorHAnsi"/>
          <w:sz w:val="20"/>
          <w:szCs w:val="20"/>
          <w:lang w:val="es-AR"/>
        </w:rPr>
        <w:t>-</w:t>
      </w:r>
      <w:r w:rsidR="009961A6" w:rsidRPr="00CF630A">
        <w:rPr>
          <w:rFonts w:asciiTheme="majorHAnsi" w:hAnsiTheme="majorHAnsi"/>
          <w:sz w:val="20"/>
          <w:szCs w:val="20"/>
          <w:lang w:val="es-AR"/>
        </w:rPr>
        <w:t>Sala Penal</w:t>
      </w:r>
      <w:r w:rsidR="0055344C" w:rsidRPr="00CF630A">
        <w:rPr>
          <w:rFonts w:asciiTheme="majorHAnsi" w:hAnsiTheme="majorHAnsi"/>
          <w:sz w:val="20"/>
          <w:szCs w:val="20"/>
          <w:lang w:val="es-AR"/>
        </w:rPr>
        <w:t>.</w:t>
      </w:r>
      <w:r w:rsidR="009961A6" w:rsidRPr="00CF630A">
        <w:rPr>
          <w:rFonts w:asciiTheme="majorHAnsi" w:hAnsiTheme="majorHAnsi"/>
          <w:sz w:val="20"/>
          <w:szCs w:val="20"/>
          <w:lang w:val="es-AR"/>
        </w:rPr>
        <w:t xml:space="preserve"> </w:t>
      </w:r>
      <w:r w:rsidR="0055344C" w:rsidRPr="00CF630A">
        <w:rPr>
          <w:rFonts w:asciiTheme="majorHAnsi" w:hAnsiTheme="majorHAnsi"/>
          <w:sz w:val="20"/>
          <w:szCs w:val="20"/>
          <w:lang w:val="es-AR"/>
        </w:rPr>
        <w:t xml:space="preserve">Los peticionarios indican que la </w:t>
      </w:r>
      <w:r w:rsidR="009961A6" w:rsidRPr="00CF630A">
        <w:rPr>
          <w:rFonts w:asciiTheme="majorHAnsi" w:hAnsiTheme="majorHAnsi"/>
          <w:sz w:val="20"/>
          <w:szCs w:val="20"/>
          <w:lang w:val="es-AR"/>
        </w:rPr>
        <w:t>sentencia condenatoria quedó en firme tras la resolución de las aclaratorias presentadas el 1º de junio de 2011</w:t>
      </w:r>
      <w:r w:rsidR="009961A6" w:rsidRPr="00CF630A">
        <w:rPr>
          <w:rStyle w:val="FootnoteReference"/>
          <w:rFonts w:asciiTheme="majorHAnsi" w:hAnsiTheme="majorHAnsi"/>
          <w:sz w:val="20"/>
          <w:szCs w:val="20"/>
          <w:lang w:val="es-AR"/>
        </w:rPr>
        <w:footnoteReference w:id="5"/>
      </w:r>
      <w:r w:rsidR="0055344C" w:rsidRPr="00CF630A">
        <w:rPr>
          <w:rFonts w:asciiTheme="majorHAnsi" w:hAnsiTheme="majorHAnsi"/>
          <w:sz w:val="20"/>
          <w:szCs w:val="20"/>
          <w:lang w:val="es-AR"/>
        </w:rPr>
        <w:t>.</w:t>
      </w:r>
      <w:r w:rsidR="009961A6" w:rsidRPr="00CF630A">
        <w:rPr>
          <w:rFonts w:asciiTheme="majorHAnsi" w:hAnsiTheme="majorHAnsi"/>
          <w:sz w:val="20"/>
          <w:szCs w:val="20"/>
          <w:lang w:val="es-AR"/>
        </w:rPr>
        <w:t xml:space="preserve"> </w:t>
      </w:r>
    </w:p>
    <w:p w14:paraId="236D2A7B" w14:textId="77777777" w:rsidR="00D15DCB" w:rsidRPr="00CF630A" w:rsidRDefault="00D15D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35232481" w14:textId="0665B6A4" w:rsidR="009961A6" w:rsidRPr="00CF630A" w:rsidRDefault="006D2B5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6</w:t>
      </w:r>
      <w:r w:rsidR="00F56012" w:rsidRPr="00CF630A">
        <w:rPr>
          <w:rFonts w:asciiTheme="majorHAnsi" w:hAnsiTheme="majorHAnsi"/>
          <w:sz w:val="20"/>
          <w:szCs w:val="20"/>
          <w:lang w:val="es-AR"/>
        </w:rPr>
        <w:t xml:space="preserve">. </w:t>
      </w:r>
      <w:r w:rsidR="00D15DCB">
        <w:rPr>
          <w:rFonts w:asciiTheme="majorHAnsi" w:hAnsiTheme="majorHAnsi"/>
          <w:sz w:val="20"/>
          <w:szCs w:val="20"/>
          <w:lang w:val="es-AR"/>
        </w:rPr>
        <w:tab/>
      </w:r>
      <w:r w:rsidR="009961A6" w:rsidRPr="00CF630A">
        <w:rPr>
          <w:rFonts w:asciiTheme="majorHAnsi" w:hAnsiTheme="majorHAnsi"/>
          <w:sz w:val="20"/>
          <w:szCs w:val="20"/>
          <w:lang w:val="es-AR"/>
        </w:rPr>
        <w:t xml:space="preserve">El 21 de junio de 2009 los señores Flores y Orrego presentaron </w:t>
      </w:r>
      <w:r w:rsidR="00D15DCB">
        <w:rPr>
          <w:rFonts w:asciiTheme="majorHAnsi" w:hAnsiTheme="majorHAnsi"/>
          <w:sz w:val="20"/>
          <w:szCs w:val="20"/>
          <w:lang w:val="es-AR"/>
        </w:rPr>
        <w:t>r</w:t>
      </w:r>
      <w:r w:rsidR="009961A6" w:rsidRPr="00CF630A">
        <w:rPr>
          <w:rFonts w:asciiTheme="majorHAnsi" w:hAnsiTheme="majorHAnsi"/>
          <w:sz w:val="20"/>
          <w:szCs w:val="20"/>
          <w:lang w:val="es-AR"/>
        </w:rPr>
        <w:t xml:space="preserve">ecurso de </w:t>
      </w:r>
      <w:r w:rsidR="00D15DCB">
        <w:rPr>
          <w:rFonts w:asciiTheme="majorHAnsi" w:hAnsiTheme="majorHAnsi"/>
          <w:sz w:val="20"/>
          <w:szCs w:val="20"/>
          <w:lang w:val="es-AR"/>
        </w:rPr>
        <w:t>i</w:t>
      </w:r>
      <w:r w:rsidR="009961A6" w:rsidRPr="00CF630A">
        <w:rPr>
          <w:rFonts w:asciiTheme="majorHAnsi" w:hAnsiTheme="majorHAnsi"/>
          <w:sz w:val="20"/>
          <w:szCs w:val="20"/>
          <w:lang w:val="es-AR"/>
        </w:rPr>
        <w:t>nconstitucionalidad ante la Sala Constitucional de la Corte Suprema de Justicia contra el Acuerdo y Sentencia No. 37 del Tribunal de Apelaci</w:t>
      </w:r>
      <w:r w:rsidR="0055344C" w:rsidRPr="00CF630A">
        <w:rPr>
          <w:rFonts w:asciiTheme="majorHAnsi" w:hAnsiTheme="majorHAnsi"/>
          <w:sz w:val="20"/>
          <w:szCs w:val="20"/>
          <w:lang w:val="es-AR"/>
        </w:rPr>
        <w:t>ón</w:t>
      </w:r>
      <w:r w:rsidR="00D15DCB">
        <w:rPr>
          <w:rFonts w:asciiTheme="majorHAnsi" w:hAnsiTheme="majorHAnsi"/>
          <w:sz w:val="20"/>
          <w:szCs w:val="20"/>
          <w:lang w:val="es-AR"/>
        </w:rPr>
        <w:t xml:space="preserve"> </w:t>
      </w:r>
      <w:r w:rsidR="00D15DCB" w:rsidRPr="00CF630A">
        <w:rPr>
          <w:rFonts w:asciiTheme="majorHAnsi" w:hAnsiTheme="majorHAnsi"/>
          <w:sz w:val="20"/>
          <w:szCs w:val="20"/>
          <w:lang w:val="es-AR"/>
        </w:rPr>
        <w:t>en lo Penal</w:t>
      </w:r>
      <w:r w:rsidR="00D15DCB">
        <w:rPr>
          <w:rFonts w:asciiTheme="majorHAnsi" w:hAnsiTheme="majorHAnsi"/>
          <w:sz w:val="20"/>
          <w:szCs w:val="20"/>
          <w:lang w:val="es-AR"/>
        </w:rPr>
        <w:t>-</w:t>
      </w:r>
      <w:r w:rsidR="00D15DCB" w:rsidRPr="00CF630A">
        <w:rPr>
          <w:rFonts w:asciiTheme="majorHAnsi" w:hAnsiTheme="majorHAnsi"/>
          <w:sz w:val="20"/>
          <w:szCs w:val="20"/>
          <w:lang w:val="es-AR"/>
        </w:rPr>
        <w:t>Primera Sala</w:t>
      </w:r>
      <w:r w:rsidR="009961A6" w:rsidRPr="00CF630A">
        <w:rPr>
          <w:rFonts w:asciiTheme="majorHAnsi" w:hAnsiTheme="majorHAnsi"/>
          <w:sz w:val="20"/>
          <w:szCs w:val="20"/>
          <w:lang w:val="es-AR"/>
        </w:rPr>
        <w:t xml:space="preserve">, pero a la fecha de presentación de la petición ante la CIDH este recurso seguía en estado de estudio para admisión. </w:t>
      </w:r>
    </w:p>
    <w:p w14:paraId="04E55FEA" w14:textId="77777777" w:rsidR="00D15DCB" w:rsidRDefault="00D15DCB" w:rsidP="006D2B5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05CDE58A" w14:textId="21D79F17" w:rsidR="006D0BB1" w:rsidRDefault="006D2B5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7</w:t>
      </w:r>
      <w:r w:rsidR="00F56012" w:rsidRPr="00CF630A">
        <w:rPr>
          <w:rFonts w:asciiTheme="majorHAnsi" w:hAnsiTheme="majorHAnsi"/>
          <w:sz w:val="20"/>
          <w:szCs w:val="20"/>
          <w:lang w:val="es-AR"/>
        </w:rPr>
        <w:t xml:space="preserve">. </w:t>
      </w:r>
      <w:r>
        <w:rPr>
          <w:rFonts w:asciiTheme="majorHAnsi" w:hAnsiTheme="majorHAnsi"/>
          <w:sz w:val="20"/>
          <w:szCs w:val="20"/>
          <w:lang w:val="es-AR"/>
        </w:rPr>
        <w:tab/>
      </w:r>
      <w:r w:rsidR="006D0BB1" w:rsidRPr="00CF630A">
        <w:rPr>
          <w:rFonts w:asciiTheme="majorHAnsi" w:hAnsiTheme="majorHAnsi"/>
          <w:sz w:val="20"/>
          <w:szCs w:val="20"/>
          <w:lang w:val="es-AR"/>
        </w:rPr>
        <w:t xml:space="preserve">Los peticionarios alegan que en el </w:t>
      </w:r>
      <w:r>
        <w:rPr>
          <w:rFonts w:asciiTheme="majorHAnsi" w:hAnsiTheme="majorHAnsi"/>
          <w:sz w:val="20"/>
          <w:szCs w:val="20"/>
          <w:lang w:val="es-AR"/>
        </w:rPr>
        <w:t>marco</w:t>
      </w:r>
      <w:r w:rsidR="006D0BB1" w:rsidRPr="00CF630A">
        <w:rPr>
          <w:rFonts w:asciiTheme="majorHAnsi" w:hAnsiTheme="majorHAnsi"/>
          <w:sz w:val="20"/>
          <w:szCs w:val="20"/>
          <w:lang w:val="es-AR"/>
        </w:rPr>
        <w:t xml:space="preserve"> de este proceso</w:t>
      </w:r>
      <w:r>
        <w:rPr>
          <w:rFonts w:asciiTheme="majorHAnsi" w:hAnsiTheme="majorHAnsi"/>
          <w:sz w:val="20"/>
          <w:szCs w:val="20"/>
          <w:lang w:val="es-AR"/>
        </w:rPr>
        <w:t xml:space="preserve"> penal </w:t>
      </w:r>
      <w:r w:rsidR="006D0BB1" w:rsidRPr="00CF630A">
        <w:rPr>
          <w:rFonts w:asciiTheme="majorHAnsi" w:hAnsiTheme="majorHAnsi"/>
          <w:sz w:val="20"/>
          <w:szCs w:val="20"/>
          <w:lang w:val="es-AR"/>
        </w:rPr>
        <w:t xml:space="preserve">se </w:t>
      </w:r>
      <w:r w:rsidR="00A729DB">
        <w:rPr>
          <w:rFonts w:asciiTheme="majorHAnsi" w:hAnsiTheme="majorHAnsi"/>
          <w:sz w:val="20"/>
          <w:szCs w:val="20"/>
          <w:lang w:val="es-AR"/>
        </w:rPr>
        <w:t xml:space="preserve">les vulneraron los siguientes derechos humanos: </w:t>
      </w:r>
    </w:p>
    <w:p w14:paraId="6AA88F57" w14:textId="77777777" w:rsidR="006D2B5D" w:rsidRPr="00CF630A" w:rsidRDefault="006D2B5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51DDA5E4" w14:textId="5BC989BA" w:rsidR="00E3435A" w:rsidRPr="00CF630A" w:rsidRDefault="006D0BB1"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w:t>
      </w:r>
      <w:r w:rsidR="00F56012" w:rsidRPr="00CF630A">
        <w:rPr>
          <w:rFonts w:asciiTheme="majorHAnsi" w:hAnsiTheme="majorHAnsi"/>
          <w:sz w:val="20"/>
          <w:szCs w:val="20"/>
          <w:lang w:val="es-AR"/>
        </w:rPr>
        <w:t>a</w:t>
      </w:r>
      <w:r w:rsidRPr="00CF630A">
        <w:rPr>
          <w:rFonts w:asciiTheme="majorHAnsi" w:hAnsiTheme="majorHAnsi"/>
          <w:sz w:val="20"/>
          <w:szCs w:val="20"/>
          <w:lang w:val="es-AR"/>
        </w:rPr>
        <w:t xml:space="preserve">) </w:t>
      </w:r>
      <w:r w:rsidR="006D2B5D">
        <w:rPr>
          <w:rFonts w:asciiTheme="majorHAnsi" w:hAnsiTheme="majorHAnsi"/>
          <w:sz w:val="20"/>
          <w:szCs w:val="20"/>
          <w:lang w:val="es-AR"/>
        </w:rPr>
        <w:tab/>
      </w:r>
      <w:r w:rsidR="00F9151D">
        <w:rPr>
          <w:rFonts w:asciiTheme="majorHAnsi" w:hAnsiTheme="majorHAnsi"/>
          <w:sz w:val="20"/>
          <w:szCs w:val="20"/>
          <w:lang w:val="es-AR"/>
        </w:rPr>
        <w:t>E</w:t>
      </w:r>
      <w:r w:rsidR="00A729DB">
        <w:rPr>
          <w:rFonts w:asciiTheme="majorHAnsi" w:hAnsiTheme="majorHAnsi"/>
          <w:sz w:val="20"/>
          <w:szCs w:val="20"/>
          <w:lang w:val="es-AR"/>
        </w:rPr>
        <w:t xml:space="preserve">l </w:t>
      </w:r>
      <w:r w:rsidRPr="00CF630A">
        <w:rPr>
          <w:rFonts w:asciiTheme="majorHAnsi" w:hAnsiTheme="majorHAnsi"/>
          <w:sz w:val="20"/>
          <w:szCs w:val="20"/>
          <w:lang w:val="es-AR"/>
        </w:rPr>
        <w:t>derecho a la libertad personal</w:t>
      </w:r>
      <w:r w:rsidR="00A729DB">
        <w:rPr>
          <w:rFonts w:asciiTheme="majorHAnsi" w:hAnsiTheme="majorHAnsi"/>
          <w:sz w:val="20"/>
          <w:szCs w:val="20"/>
          <w:lang w:val="es-AR"/>
        </w:rPr>
        <w:t>:</w:t>
      </w:r>
      <w:r w:rsidR="00CD6F39" w:rsidRPr="00CF630A">
        <w:rPr>
          <w:rFonts w:asciiTheme="majorHAnsi" w:hAnsiTheme="majorHAnsi"/>
          <w:sz w:val="20"/>
          <w:szCs w:val="20"/>
          <w:lang w:val="es-AR"/>
        </w:rPr>
        <w:t xml:space="preserve"> por cuanto se les </w:t>
      </w:r>
      <w:r w:rsidR="00B10347">
        <w:rPr>
          <w:rFonts w:asciiTheme="majorHAnsi" w:hAnsiTheme="majorHAnsi"/>
          <w:sz w:val="20"/>
          <w:szCs w:val="20"/>
          <w:lang w:val="es-AR"/>
        </w:rPr>
        <w:t>habría impuesto</w:t>
      </w:r>
      <w:r w:rsidR="00CD6F39" w:rsidRPr="00CF630A">
        <w:rPr>
          <w:rFonts w:asciiTheme="majorHAnsi" w:hAnsiTheme="majorHAnsi"/>
          <w:sz w:val="20"/>
          <w:szCs w:val="20"/>
          <w:lang w:val="es-AR"/>
        </w:rPr>
        <w:t xml:space="preserve"> en forma irregular una medida de prisión preventiva que se extendió durante dos años</w:t>
      </w:r>
      <w:r w:rsidRPr="00CF630A">
        <w:rPr>
          <w:rFonts w:asciiTheme="majorHAnsi" w:hAnsiTheme="majorHAnsi"/>
          <w:sz w:val="20"/>
          <w:szCs w:val="20"/>
          <w:lang w:val="es-AR"/>
        </w:rPr>
        <w:t xml:space="preserve">. El 8 de octubre de 2001, un año después del inicio de su procesamiento, fueron condenados a siete años de pena privativa de la libertad por el Juez de </w:t>
      </w:r>
      <w:r w:rsidRPr="00CF630A">
        <w:rPr>
          <w:rFonts w:asciiTheme="majorHAnsi" w:hAnsiTheme="majorHAnsi"/>
          <w:sz w:val="20"/>
          <w:szCs w:val="20"/>
          <w:lang w:val="es-AR"/>
        </w:rPr>
        <w:lastRenderedPageBreak/>
        <w:t>Liquidación y Sentencia Hugo López. Dicho juez no había solicitado la prisión preventiva de los condenados, y contra la sentencia condenatoria interpusieron recurso de apelación que fue concedido</w:t>
      </w:r>
      <w:r w:rsidR="00C30322" w:rsidRPr="00CF630A">
        <w:rPr>
          <w:rFonts w:asciiTheme="majorHAnsi" w:hAnsiTheme="majorHAnsi"/>
          <w:sz w:val="20"/>
          <w:szCs w:val="20"/>
          <w:lang w:val="es-AR"/>
        </w:rPr>
        <w:t>, por lo cual no estaba en firme</w:t>
      </w:r>
      <w:r w:rsidRPr="00CF630A">
        <w:rPr>
          <w:rFonts w:asciiTheme="majorHAnsi" w:hAnsiTheme="majorHAnsi"/>
          <w:sz w:val="20"/>
          <w:szCs w:val="20"/>
          <w:lang w:val="es-AR"/>
        </w:rPr>
        <w:t xml:space="preserve">. Sin embargo, mientras se tramitaba tal recurso, el Juez Interino Luis Reyes, a pedido del </w:t>
      </w:r>
      <w:r w:rsidR="00B10347">
        <w:rPr>
          <w:rFonts w:asciiTheme="majorHAnsi" w:hAnsiTheme="majorHAnsi"/>
          <w:sz w:val="20"/>
          <w:szCs w:val="20"/>
          <w:lang w:val="es-AR"/>
        </w:rPr>
        <w:t>f</w:t>
      </w:r>
      <w:r w:rsidRPr="00CF630A">
        <w:rPr>
          <w:rFonts w:asciiTheme="majorHAnsi" w:hAnsiTheme="majorHAnsi"/>
          <w:sz w:val="20"/>
          <w:szCs w:val="20"/>
          <w:lang w:val="es-AR"/>
        </w:rPr>
        <w:t xml:space="preserve">iscal, ordenó la prisión preventiva de las presuntas víctimas, quienes alegan que tal </w:t>
      </w:r>
      <w:r w:rsidR="00B10347">
        <w:rPr>
          <w:rFonts w:asciiTheme="majorHAnsi" w:hAnsiTheme="majorHAnsi"/>
          <w:sz w:val="20"/>
          <w:szCs w:val="20"/>
          <w:lang w:val="es-AR"/>
        </w:rPr>
        <w:t>j</w:t>
      </w:r>
      <w:r w:rsidRPr="00CF630A">
        <w:rPr>
          <w:rFonts w:asciiTheme="majorHAnsi" w:hAnsiTheme="majorHAnsi"/>
          <w:sz w:val="20"/>
          <w:szCs w:val="20"/>
          <w:lang w:val="es-AR"/>
        </w:rPr>
        <w:t xml:space="preserve">uez carecía de jurisdicción para ello, con lo cual </w:t>
      </w:r>
      <w:r w:rsidR="00B10347">
        <w:rPr>
          <w:rFonts w:asciiTheme="majorHAnsi" w:hAnsiTheme="majorHAnsi"/>
          <w:sz w:val="20"/>
          <w:szCs w:val="20"/>
          <w:lang w:val="es-AR"/>
        </w:rPr>
        <w:t xml:space="preserve">aducen que </w:t>
      </w:r>
      <w:r w:rsidRPr="00CF630A">
        <w:rPr>
          <w:rFonts w:asciiTheme="majorHAnsi" w:hAnsiTheme="majorHAnsi"/>
          <w:sz w:val="20"/>
          <w:szCs w:val="20"/>
          <w:lang w:val="es-AR"/>
        </w:rPr>
        <w:t>se violó el requisito de legalidad para ordenar su privación de libertad. Los peticionarios impugnaron la orden de prisión preventiva mediante recurso de apelación, pero mientras se resolvía, se les mantuvo privados de la libertad durante dos años</w:t>
      </w:r>
      <w:r w:rsidR="00E3435A" w:rsidRPr="00CF630A">
        <w:rPr>
          <w:rFonts w:asciiTheme="majorHAnsi" w:hAnsiTheme="majorHAnsi"/>
          <w:sz w:val="20"/>
          <w:szCs w:val="20"/>
          <w:lang w:val="es-AR"/>
        </w:rPr>
        <w:t xml:space="preserve">. </w:t>
      </w:r>
    </w:p>
    <w:p w14:paraId="78B262AB" w14:textId="77777777" w:rsidR="00B10347" w:rsidRDefault="00B10347"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7B4BE2BE" w14:textId="5FF66325" w:rsidR="00B10347" w:rsidRDefault="00E3435A"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CF630A">
        <w:rPr>
          <w:rFonts w:asciiTheme="majorHAnsi" w:hAnsiTheme="majorHAnsi"/>
          <w:sz w:val="20"/>
          <w:szCs w:val="20"/>
          <w:lang w:val="es-AR"/>
        </w:rPr>
        <w:t>El señor Flores estuvo</w:t>
      </w:r>
      <w:r w:rsidR="00B10347">
        <w:rPr>
          <w:rFonts w:asciiTheme="majorHAnsi" w:hAnsiTheme="majorHAnsi"/>
          <w:sz w:val="20"/>
          <w:szCs w:val="20"/>
          <w:lang w:val="es-AR"/>
        </w:rPr>
        <w:t xml:space="preserve"> inicialmente</w:t>
      </w:r>
      <w:r w:rsidRPr="00CF630A">
        <w:rPr>
          <w:rFonts w:asciiTheme="majorHAnsi" w:hAnsiTheme="majorHAnsi"/>
          <w:sz w:val="20"/>
          <w:szCs w:val="20"/>
          <w:lang w:val="es-AR"/>
        </w:rPr>
        <w:t xml:space="preserve"> </w:t>
      </w:r>
      <w:r w:rsidR="006D0BB1" w:rsidRPr="00CF630A">
        <w:rPr>
          <w:rFonts w:asciiTheme="majorHAnsi" w:hAnsiTheme="majorHAnsi"/>
          <w:sz w:val="20"/>
          <w:szCs w:val="20"/>
          <w:lang w:val="es-AR"/>
        </w:rPr>
        <w:t>nueve meses en la Penitenciaría de Tacumb</w:t>
      </w:r>
      <w:r w:rsidR="00B10347">
        <w:rPr>
          <w:rFonts w:asciiTheme="majorHAnsi" w:hAnsiTheme="majorHAnsi"/>
          <w:sz w:val="20"/>
          <w:szCs w:val="20"/>
          <w:lang w:val="es-AR"/>
        </w:rPr>
        <w:t>ú</w:t>
      </w:r>
      <w:r w:rsidR="006D0BB1" w:rsidRPr="00CF630A">
        <w:rPr>
          <w:rFonts w:asciiTheme="majorHAnsi" w:hAnsiTheme="majorHAnsi"/>
          <w:sz w:val="20"/>
          <w:szCs w:val="20"/>
          <w:lang w:val="es-AR"/>
        </w:rPr>
        <w:t>, y después en la Fuerza de Operación Policial Especializada (FOPE)</w:t>
      </w:r>
      <w:r w:rsidR="00B10347">
        <w:rPr>
          <w:rFonts w:asciiTheme="majorHAnsi" w:hAnsiTheme="majorHAnsi"/>
          <w:sz w:val="20"/>
          <w:szCs w:val="20"/>
          <w:lang w:val="es-AR"/>
        </w:rPr>
        <w:t xml:space="preserve"> donde habría sufrido condiciones de detención contrarias a su dignidad. </w:t>
      </w:r>
      <w:r w:rsidR="006D0BB1" w:rsidRPr="00CF630A">
        <w:rPr>
          <w:rFonts w:asciiTheme="majorHAnsi" w:hAnsiTheme="majorHAnsi"/>
          <w:sz w:val="20"/>
          <w:szCs w:val="20"/>
          <w:lang w:val="es-AR"/>
        </w:rPr>
        <w:t xml:space="preserve">Posteriormente, se decidió sustituir </w:t>
      </w:r>
      <w:r w:rsidRPr="00CF630A">
        <w:rPr>
          <w:rFonts w:asciiTheme="majorHAnsi" w:hAnsiTheme="majorHAnsi"/>
          <w:sz w:val="20"/>
          <w:szCs w:val="20"/>
          <w:lang w:val="es-AR"/>
        </w:rPr>
        <w:t xml:space="preserve">al señor Flores </w:t>
      </w:r>
      <w:r w:rsidR="006D0BB1" w:rsidRPr="00CF630A">
        <w:rPr>
          <w:rFonts w:asciiTheme="majorHAnsi" w:hAnsiTheme="majorHAnsi"/>
          <w:sz w:val="20"/>
          <w:szCs w:val="20"/>
          <w:lang w:val="es-AR"/>
        </w:rPr>
        <w:t xml:space="preserve">la medida de prisión preventiva por la de arresto domiciliario con vigilancia, durante </w:t>
      </w:r>
      <w:r w:rsidR="00B10347">
        <w:rPr>
          <w:rFonts w:asciiTheme="majorHAnsi" w:hAnsiTheme="majorHAnsi"/>
          <w:sz w:val="20"/>
          <w:szCs w:val="20"/>
          <w:lang w:val="es-AR"/>
        </w:rPr>
        <w:t>quince</w:t>
      </w:r>
      <w:r w:rsidR="006D0BB1" w:rsidRPr="00CF630A">
        <w:rPr>
          <w:rFonts w:asciiTheme="majorHAnsi" w:hAnsiTheme="majorHAnsi"/>
          <w:sz w:val="20"/>
          <w:szCs w:val="20"/>
          <w:lang w:val="es-AR"/>
        </w:rPr>
        <w:t xml:space="preserve"> meses</w:t>
      </w:r>
      <w:r w:rsidR="00CD6F39" w:rsidRPr="00CF630A">
        <w:rPr>
          <w:rFonts w:asciiTheme="majorHAnsi" w:hAnsiTheme="majorHAnsi"/>
          <w:sz w:val="20"/>
          <w:szCs w:val="20"/>
          <w:lang w:val="es-AR"/>
        </w:rPr>
        <w:t>; hasta que el 31 de diciembre de 2003, mediante Auto Interlocutorio No. 358 el Tribunal de Apelación revocó el arresto domiciliario y ordenó su libertad ambulatoria, en la que se mantenía al momento de presentación de la petición. Se precisa en la petición que el señor Alan Alberto Flores abandonó el territorio paraguayo y buscó asilo político en Argentina</w:t>
      </w:r>
      <w:r w:rsidR="00B10347">
        <w:rPr>
          <w:rFonts w:asciiTheme="majorHAnsi" w:hAnsiTheme="majorHAnsi"/>
          <w:sz w:val="20"/>
          <w:szCs w:val="20"/>
          <w:lang w:val="es-AR"/>
        </w:rPr>
        <w:t xml:space="preserve"> el 6 de junio de 2011, Estado que se lo concedió.</w:t>
      </w:r>
      <w:r w:rsidR="00CD6F39" w:rsidRPr="00CF630A">
        <w:rPr>
          <w:rFonts w:asciiTheme="majorHAnsi" w:hAnsiTheme="majorHAnsi"/>
          <w:sz w:val="20"/>
          <w:szCs w:val="20"/>
          <w:lang w:val="es-AR"/>
        </w:rPr>
        <w:t xml:space="preserve"> </w:t>
      </w:r>
    </w:p>
    <w:p w14:paraId="13DCD619" w14:textId="77777777" w:rsidR="00B10347" w:rsidRDefault="00B10347"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2EC45B8A" w14:textId="77777777" w:rsidR="003969E9" w:rsidRDefault="001030DF"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CF630A">
        <w:rPr>
          <w:rFonts w:asciiTheme="majorHAnsi" w:hAnsiTheme="majorHAnsi"/>
          <w:sz w:val="20"/>
          <w:szCs w:val="20"/>
          <w:lang w:val="es-AR"/>
        </w:rPr>
        <w:t>El señor Orrego</w:t>
      </w:r>
      <w:r w:rsidR="00E3435A" w:rsidRPr="00CF630A">
        <w:rPr>
          <w:rFonts w:asciiTheme="majorHAnsi" w:hAnsiTheme="majorHAnsi"/>
          <w:sz w:val="20"/>
          <w:szCs w:val="20"/>
          <w:lang w:val="es-AR"/>
        </w:rPr>
        <w:t xml:space="preserve">, por su parte, se presentó voluntariamente el 1º de septiembre de 2003 a la Penitenciaría Nacional </w:t>
      </w:r>
      <w:r w:rsidRPr="00CF630A">
        <w:rPr>
          <w:rFonts w:asciiTheme="majorHAnsi" w:hAnsiTheme="majorHAnsi"/>
          <w:sz w:val="20"/>
          <w:szCs w:val="20"/>
          <w:lang w:val="es-AR"/>
        </w:rPr>
        <w:t xml:space="preserve"> </w:t>
      </w:r>
      <w:r w:rsidR="00E3435A" w:rsidRPr="00CF630A">
        <w:rPr>
          <w:rFonts w:asciiTheme="majorHAnsi" w:hAnsiTheme="majorHAnsi"/>
          <w:sz w:val="20"/>
          <w:szCs w:val="20"/>
          <w:lang w:val="es-AR"/>
        </w:rPr>
        <w:t xml:space="preserve">de Tacumbú, donde estuvo recluido hasta abril de 2004, y posteriormente se le impuso la medida de prisión domiciliaria controlada hasta noviembre de 2005, quedando privado de la libertad en prisión preventiva durante </w:t>
      </w:r>
      <w:r w:rsidR="003969E9">
        <w:rPr>
          <w:rFonts w:asciiTheme="majorHAnsi" w:hAnsiTheme="majorHAnsi"/>
          <w:sz w:val="20"/>
          <w:szCs w:val="20"/>
          <w:lang w:val="es-AR"/>
        </w:rPr>
        <w:t>dos</w:t>
      </w:r>
      <w:r w:rsidR="00E3435A" w:rsidRPr="00CF630A">
        <w:rPr>
          <w:rFonts w:asciiTheme="majorHAnsi" w:hAnsiTheme="majorHAnsi"/>
          <w:sz w:val="20"/>
          <w:szCs w:val="20"/>
          <w:lang w:val="es-AR"/>
        </w:rPr>
        <w:t xml:space="preserve"> años y </w:t>
      </w:r>
      <w:r w:rsidR="003969E9">
        <w:rPr>
          <w:rFonts w:asciiTheme="majorHAnsi" w:hAnsiTheme="majorHAnsi"/>
          <w:sz w:val="20"/>
          <w:szCs w:val="20"/>
          <w:lang w:val="es-AR"/>
        </w:rPr>
        <w:t>tres</w:t>
      </w:r>
      <w:r w:rsidR="00E3435A" w:rsidRPr="00CF630A">
        <w:rPr>
          <w:rFonts w:asciiTheme="majorHAnsi" w:hAnsiTheme="majorHAnsi"/>
          <w:sz w:val="20"/>
          <w:szCs w:val="20"/>
          <w:lang w:val="es-AR"/>
        </w:rPr>
        <w:t xml:space="preserve"> meses</w:t>
      </w:r>
      <w:r w:rsidR="00CC6570" w:rsidRPr="00CF630A">
        <w:rPr>
          <w:rFonts w:asciiTheme="majorHAnsi" w:hAnsiTheme="majorHAnsi"/>
          <w:sz w:val="20"/>
          <w:szCs w:val="20"/>
          <w:lang w:val="es-AR"/>
        </w:rPr>
        <w:t>, situación que finalizó cuando el Tribunal de Apelación revocó su arresto domiciliario y ordenó su libertad ambulatoria mediante auto del 24 de octubre de 2005, ejecutado un mes después.</w:t>
      </w:r>
      <w:r w:rsidR="00E3435A" w:rsidRPr="00CF630A">
        <w:rPr>
          <w:rFonts w:asciiTheme="majorHAnsi" w:hAnsiTheme="majorHAnsi"/>
          <w:sz w:val="20"/>
          <w:szCs w:val="20"/>
          <w:lang w:val="es-AR"/>
        </w:rPr>
        <w:t xml:space="preserve"> </w:t>
      </w:r>
    </w:p>
    <w:p w14:paraId="012709C7" w14:textId="77777777" w:rsidR="003969E9" w:rsidRDefault="003969E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00635382" w14:textId="08761F5B" w:rsidR="00E3435A" w:rsidRDefault="00EE1468"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CF630A">
        <w:rPr>
          <w:rFonts w:asciiTheme="majorHAnsi" w:hAnsiTheme="majorHAnsi"/>
          <w:sz w:val="20"/>
          <w:szCs w:val="20"/>
          <w:lang w:val="es-AR"/>
        </w:rPr>
        <w:t>Mediante comunicación del 23 de noviembre de 2011 la parte peticionaria informó que el señor Orrego se encontraba reclu</w:t>
      </w:r>
      <w:r w:rsidR="003969E9">
        <w:rPr>
          <w:rFonts w:asciiTheme="majorHAnsi" w:hAnsiTheme="majorHAnsi"/>
          <w:sz w:val="20"/>
          <w:szCs w:val="20"/>
          <w:lang w:val="es-AR"/>
        </w:rPr>
        <w:t>i</w:t>
      </w:r>
      <w:r w:rsidRPr="00CF630A">
        <w:rPr>
          <w:rFonts w:asciiTheme="majorHAnsi" w:hAnsiTheme="majorHAnsi"/>
          <w:sz w:val="20"/>
          <w:szCs w:val="20"/>
          <w:lang w:val="es-AR"/>
        </w:rPr>
        <w:t>do en la Penitenciaría Nacional de Tacumb</w:t>
      </w:r>
      <w:r w:rsidR="003969E9">
        <w:rPr>
          <w:rFonts w:asciiTheme="majorHAnsi" w:hAnsiTheme="majorHAnsi"/>
          <w:sz w:val="20"/>
          <w:szCs w:val="20"/>
          <w:lang w:val="es-AR"/>
        </w:rPr>
        <w:t>ú</w:t>
      </w:r>
      <w:r w:rsidRPr="00CF630A">
        <w:rPr>
          <w:rFonts w:asciiTheme="majorHAnsi" w:hAnsiTheme="majorHAnsi"/>
          <w:sz w:val="20"/>
          <w:szCs w:val="20"/>
          <w:lang w:val="es-AR"/>
        </w:rPr>
        <w:t xml:space="preserve"> desde el 21 de noviembre de 2011, cuya sobrepoblación, hacinamiento y condiciones inhumanas de reclusión ponían en riesgo su vida e integridad física.</w:t>
      </w:r>
      <w:r w:rsidR="00E3435A" w:rsidRPr="00CF630A">
        <w:rPr>
          <w:rFonts w:asciiTheme="majorHAnsi" w:hAnsiTheme="majorHAnsi"/>
          <w:sz w:val="20"/>
          <w:szCs w:val="20"/>
          <w:lang w:val="es-AR"/>
        </w:rPr>
        <w:t xml:space="preserve"> Los peticionarios indican que la prisión preventiva para el delito de lesión de confianza no podía durar más de seis meses, dado que la pena mínima para tal tipo penal era de seis meses, y el artículo 252 del Código Procesal Penal impone ese límite a su duración.</w:t>
      </w:r>
    </w:p>
    <w:p w14:paraId="369D9BEF" w14:textId="5773EA4D" w:rsidR="003969E9" w:rsidRDefault="003969E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14F07AF2" w14:textId="5AEA11D7" w:rsidR="003969E9" w:rsidRPr="00CF630A" w:rsidRDefault="003969E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CF630A">
        <w:rPr>
          <w:rFonts w:asciiTheme="majorHAnsi" w:hAnsiTheme="majorHAnsi"/>
          <w:sz w:val="20"/>
          <w:szCs w:val="20"/>
          <w:lang w:val="es-AR"/>
        </w:rPr>
        <w:t>Tras la firmeza de su condena, el señor Orrego permaneció en Paraguay donde cumplió la pena impuesta y fue beneficiado con libertad condicional el 28 de mayo de 2014, para luego declararse extinta la pena por cumplimiento total de la condena el 14 de noviembre de 2016.</w:t>
      </w:r>
    </w:p>
    <w:p w14:paraId="1AFD216A" w14:textId="77777777" w:rsidR="003969E9" w:rsidRDefault="003969E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5D9E0CB3" w14:textId="166917B3" w:rsidR="00353079" w:rsidRDefault="00DF7C01"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w:t>
      </w:r>
      <w:r w:rsidR="00F56012" w:rsidRPr="00CF630A">
        <w:rPr>
          <w:rFonts w:asciiTheme="majorHAnsi" w:hAnsiTheme="majorHAnsi"/>
          <w:sz w:val="20"/>
          <w:szCs w:val="20"/>
          <w:lang w:val="es-AR"/>
        </w:rPr>
        <w:t>b</w:t>
      </w:r>
      <w:r w:rsidRPr="00CF630A">
        <w:rPr>
          <w:rFonts w:asciiTheme="majorHAnsi" w:hAnsiTheme="majorHAnsi"/>
          <w:sz w:val="20"/>
          <w:szCs w:val="20"/>
          <w:lang w:val="es-AR"/>
        </w:rPr>
        <w:t xml:space="preserve">) </w:t>
      </w:r>
      <w:r w:rsidR="003969E9">
        <w:rPr>
          <w:rFonts w:asciiTheme="majorHAnsi" w:hAnsiTheme="majorHAnsi"/>
          <w:sz w:val="20"/>
          <w:szCs w:val="20"/>
          <w:lang w:val="es-AR"/>
        </w:rPr>
        <w:tab/>
      </w:r>
      <w:r w:rsidR="00F9151D">
        <w:rPr>
          <w:rFonts w:asciiTheme="majorHAnsi" w:hAnsiTheme="majorHAnsi"/>
          <w:sz w:val="20"/>
          <w:szCs w:val="20"/>
          <w:lang w:val="es-AR"/>
        </w:rPr>
        <w:t>E</w:t>
      </w:r>
      <w:r w:rsidRPr="00CF630A">
        <w:rPr>
          <w:rFonts w:asciiTheme="majorHAnsi" w:hAnsiTheme="majorHAnsi"/>
          <w:sz w:val="20"/>
          <w:szCs w:val="20"/>
          <w:lang w:val="es-AR"/>
        </w:rPr>
        <w:t>l principio de no retroactividad en la aplicación de la ley penal</w:t>
      </w:r>
      <w:r w:rsidR="003969E9">
        <w:rPr>
          <w:rFonts w:asciiTheme="majorHAnsi" w:hAnsiTheme="majorHAnsi"/>
          <w:sz w:val="20"/>
          <w:szCs w:val="20"/>
          <w:lang w:val="es-AR"/>
        </w:rPr>
        <w:t>:</w:t>
      </w:r>
      <w:r w:rsidR="009A6A4D" w:rsidRPr="00CF630A">
        <w:rPr>
          <w:rFonts w:asciiTheme="majorHAnsi" w:hAnsiTheme="majorHAnsi"/>
          <w:sz w:val="20"/>
          <w:szCs w:val="20"/>
          <w:lang w:val="es-AR"/>
        </w:rPr>
        <w:t xml:space="preserve"> </w:t>
      </w:r>
      <w:r w:rsidR="003969E9">
        <w:rPr>
          <w:rFonts w:asciiTheme="majorHAnsi" w:hAnsiTheme="majorHAnsi"/>
          <w:sz w:val="20"/>
          <w:szCs w:val="20"/>
          <w:lang w:val="es-AR"/>
        </w:rPr>
        <w:t>alega</w:t>
      </w:r>
      <w:r w:rsidR="000752B8">
        <w:rPr>
          <w:rFonts w:asciiTheme="majorHAnsi" w:hAnsiTheme="majorHAnsi"/>
          <w:sz w:val="20"/>
          <w:szCs w:val="20"/>
          <w:lang w:val="es-AR"/>
        </w:rPr>
        <w:t>n los peticionarios</w:t>
      </w:r>
      <w:r w:rsidR="009A6A4D" w:rsidRPr="00CF630A">
        <w:rPr>
          <w:rFonts w:asciiTheme="majorHAnsi" w:hAnsiTheme="majorHAnsi"/>
          <w:sz w:val="20"/>
          <w:szCs w:val="20"/>
          <w:lang w:val="es-AR"/>
        </w:rPr>
        <w:t xml:space="preserve"> que a los procesados se les aplicó un Código Penal que fue promulgado con posterioridad a los hechos investigados</w:t>
      </w:r>
      <w:r w:rsidRPr="00CF630A">
        <w:rPr>
          <w:rFonts w:asciiTheme="majorHAnsi" w:hAnsiTheme="majorHAnsi"/>
          <w:sz w:val="20"/>
          <w:szCs w:val="20"/>
          <w:lang w:val="es-AR"/>
        </w:rPr>
        <w:t>.</w:t>
      </w:r>
      <w:r w:rsidR="009A6A4D" w:rsidRPr="00CF630A">
        <w:rPr>
          <w:rFonts w:asciiTheme="majorHAnsi" w:hAnsiTheme="majorHAnsi"/>
          <w:sz w:val="20"/>
          <w:szCs w:val="20"/>
          <w:lang w:val="es-AR"/>
        </w:rPr>
        <w:t xml:space="preserve"> </w:t>
      </w:r>
      <w:r w:rsidR="000752B8">
        <w:rPr>
          <w:rFonts w:asciiTheme="majorHAnsi" w:hAnsiTheme="majorHAnsi"/>
          <w:sz w:val="20"/>
          <w:szCs w:val="20"/>
          <w:lang w:val="es-AR"/>
        </w:rPr>
        <w:t xml:space="preserve">Explican </w:t>
      </w:r>
      <w:r w:rsidR="009A6A4D" w:rsidRPr="00CF630A">
        <w:rPr>
          <w:rFonts w:asciiTheme="majorHAnsi" w:hAnsiTheme="majorHAnsi"/>
          <w:sz w:val="20"/>
          <w:szCs w:val="20"/>
          <w:lang w:val="es-AR"/>
        </w:rPr>
        <w:t xml:space="preserve">que los hechos investigados ocurrieron en 1995 y el proceso se inició bajo los tipos penales de defraudación y estafa, contemplados en el Código Penal de 1910; sin embargo, en 1998 entró en </w:t>
      </w:r>
      <w:r w:rsidR="000752B8">
        <w:rPr>
          <w:rFonts w:asciiTheme="majorHAnsi" w:hAnsiTheme="majorHAnsi"/>
          <w:sz w:val="20"/>
          <w:szCs w:val="20"/>
          <w:lang w:val="es-AR"/>
        </w:rPr>
        <w:t>vigor</w:t>
      </w:r>
      <w:r w:rsidR="009A6A4D" w:rsidRPr="00CF630A">
        <w:rPr>
          <w:rFonts w:asciiTheme="majorHAnsi" w:hAnsiTheme="majorHAnsi"/>
          <w:sz w:val="20"/>
          <w:szCs w:val="20"/>
          <w:lang w:val="es-AR"/>
        </w:rPr>
        <w:t xml:space="preserve"> el nuevo Código Penal del Paraguay</w:t>
      </w:r>
      <w:r w:rsidR="000752B8">
        <w:rPr>
          <w:rFonts w:asciiTheme="majorHAnsi" w:hAnsiTheme="majorHAnsi"/>
          <w:sz w:val="20"/>
          <w:szCs w:val="20"/>
          <w:lang w:val="es-AR"/>
        </w:rPr>
        <w:t xml:space="preserve">, </w:t>
      </w:r>
      <w:r w:rsidR="009A6A4D" w:rsidRPr="00CF630A">
        <w:rPr>
          <w:rFonts w:asciiTheme="majorHAnsi" w:hAnsiTheme="majorHAnsi"/>
          <w:sz w:val="20"/>
          <w:szCs w:val="20"/>
          <w:lang w:val="es-AR"/>
        </w:rPr>
        <w:t>Ley 1160/97, que derogó el anterior Código e introdujo como nuevo tipo penal la Lesión de Confianza, delito por el cual se terminó condenando a los señores Flores, Orrego y demás procesados. Los jueces de primera instancia, apelación y casación, justificaron la aplicación retroactiva de esta legislación en que supuestamente resultaría más benigna o favorable para los procesados; sin embargo, en criterio de los peticionarios ello no es así, puesto que el juicio de favorabilidad lo realizaron los juzgadores teniendo en cuenta el mínimo de la pena aplicable</w:t>
      </w:r>
      <w:r w:rsidR="000752B8">
        <w:rPr>
          <w:rFonts w:asciiTheme="majorHAnsi" w:hAnsiTheme="majorHAnsi"/>
          <w:sz w:val="20"/>
          <w:szCs w:val="20"/>
          <w:lang w:val="es-AR"/>
        </w:rPr>
        <w:t xml:space="preserve">, </w:t>
      </w:r>
      <w:r w:rsidR="009A6A4D" w:rsidRPr="00CF630A">
        <w:rPr>
          <w:rFonts w:asciiTheme="majorHAnsi" w:hAnsiTheme="majorHAnsi"/>
          <w:sz w:val="20"/>
          <w:szCs w:val="20"/>
          <w:lang w:val="es-AR"/>
        </w:rPr>
        <w:t xml:space="preserve">que era de cinco años para el delito de </w:t>
      </w:r>
      <w:r w:rsidR="000752B8">
        <w:rPr>
          <w:rFonts w:asciiTheme="majorHAnsi" w:hAnsiTheme="majorHAnsi"/>
          <w:sz w:val="20"/>
          <w:szCs w:val="20"/>
          <w:lang w:val="es-AR"/>
        </w:rPr>
        <w:t>l</w:t>
      </w:r>
      <w:r w:rsidR="009A6A4D" w:rsidRPr="00CF630A">
        <w:rPr>
          <w:rFonts w:asciiTheme="majorHAnsi" w:hAnsiTheme="majorHAnsi"/>
          <w:sz w:val="20"/>
          <w:szCs w:val="20"/>
          <w:lang w:val="es-AR"/>
        </w:rPr>
        <w:t xml:space="preserve">esión de </w:t>
      </w:r>
      <w:r w:rsidR="000752B8">
        <w:rPr>
          <w:rFonts w:asciiTheme="majorHAnsi" w:hAnsiTheme="majorHAnsi"/>
          <w:sz w:val="20"/>
          <w:szCs w:val="20"/>
          <w:lang w:val="es-AR"/>
        </w:rPr>
        <w:t>c</w:t>
      </w:r>
      <w:r w:rsidR="009A6A4D" w:rsidRPr="00CF630A">
        <w:rPr>
          <w:rFonts w:asciiTheme="majorHAnsi" w:hAnsiTheme="majorHAnsi"/>
          <w:sz w:val="20"/>
          <w:szCs w:val="20"/>
          <w:lang w:val="es-AR"/>
        </w:rPr>
        <w:t xml:space="preserve">onfianza, pero eventualmente se les terminó aplicando una pena mayor establecida en otro inciso del mismo artículo del nuevo </w:t>
      </w:r>
      <w:r w:rsidR="000752B8">
        <w:rPr>
          <w:rFonts w:asciiTheme="majorHAnsi" w:hAnsiTheme="majorHAnsi"/>
          <w:sz w:val="20"/>
          <w:szCs w:val="20"/>
          <w:lang w:val="es-AR"/>
        </w:rPr>
        <w:t>C</w:t>
      </w:r>
      <w:r w:rsidR="009A6A4D" w:rsidRPr="00CF630A">
        <w:rPr>
          <w:rFonts w:asciiTheme="majorHAnsi" w:hAnsiTheme="majorHAnsi"/>
          <w:sz w:val="20"/>
          <w:szCs w:val="20"/>
          <w:lang w:val="es-AR"/>
        </w:rPr>
        <w:t xml:space="preserve">ódigo Penal, que prevé el aumento de la pena hasta por diez años en casos “especialmente graves”; mientras que bajo el Código Penal de 1910 el tipo de </w:t>
      </w:r>
      <w:r w:rsidR="000752B8">
        <w:rPr>
          <w:rFonts w:asciiTheme="majorHAnsi" w:hAnsiTheme="majorHAnsi"/>
          <w:sz w:val="20"/>
          <w:szCs w:val="20"/>
          <w:lang w:val="es-AR"/>
        </w:rPr>
        <w:t>d</w:t>
      </w:r>
      <w:r w:rsidR="009A6A4D" w:rsidRPr="00CF630A">
        <w:rPr>
          <w:rFonts w:asciiTheme="majorHAnsi" w:hAnsiTheme="majorHAnsi"/>
          <w:sz w:val="20"/>
          <w:szCs w:val="20"/>
          <w:lang w:val="es-AR"/>
        </w:rPr>
        <w:t xml:space="preserve">efraudación </w:t>
      </w:r>
      <w:r w:rsidR="00353079" w:rsidRPr="00CF630A">
        <w:rPr>
          <w:rFonts w:asciiTheme="majorHAnsi" w:hAnsiTheme="majorHAnsi"/>
          <w:sz w:val="20"/>
          <w:szCs w:val="20"/>
          <w:lang w:val="es-AR"/>
        </w:rPr>
        <w:t>tenía una forma distinta de calcular la pena de conformidad con el valor monetario de los perjuicios</w:t>
      </w:r>
      <w:r w:rsidR="00853F80" w:rsidRPr="00CF630A">
        <w:rPr>
          <w:rFonts w:asciiTheme="majorHAnsi" w:hAnsiTheme="majorHAnsi"/>
          <w:sz w:val="20"/>
          <w:szCs w:val="20"/>
          <w:lang w:val="es-AR"/>
        </w:rPr>
        <w:t>, hasta un máximo de diez años también</w:t>
      </w:r>
      <w:r w:rsidR="00353079" w:rsidRPr="00CF630A">
        <w:rPr>
          <w:rFonts w:asciiTheme="majorHAnsi" w:hAnsiTheme="majorHAnsi"/>
          <w:sz w:val="20"/>
          <w:szCs w:val="20"/>
          <w:lang w:val="es-AR"/>
        </w:rPr>
        <w:t>.</w:t>
      </w:r>
      <w:r w:rsidR="00853F80" w:rsidRPr="00CF630A">
        <w:rPr>
          <w:rFonts w:asciiTheme="majorHAnsi" w:hAnsiTheme="majorHAnsi"/>
          <w:sz w:val="20"/>
          <w:szCs w:val="20"/>
          <w:lang w:val="es-AR"/>
        </w:rPr>
        <w:t xml:space="preserve"> </w:t>
      </w:r>
      <w:r w:rsidR="00353079" w:rsidRPr="00CF630A">
        <w:rPr>
          <w:rFonts w:asciiTheme="majorHAnsi" w:hAnsiTheme="majorHAnsi"/>
          <w:sz w:val="20"/>
          <w:szCs w:val="20"/>
          <w:lang w:val="es-AR"/>
        </w:rPr>
        <w:t xml:space="preserve">Los peticionarios también explican que la Corte Suprema de Justicia presentó una justificación adicional para la aplicación retroactiva del tipo penal </w:t>
      </w:r>
      <w:r w:rsidR="000752B8">
        <w:rPr>
          <w:rFonts w:asciiTheme="majorHAnsi" w:hAnsiTheme="majorHAnsi"/>
          <w:sz w:val="20"/>
          <w:szCs w:val="20"/>
          <w:lang w:val="es-AR"/>
        </w:rPr>
        <w:t>l</w:t>
      </w:r>
      <w:r w:rsidR="00353079" w:rsidRPr="00CF630A">
        <w:rPr>
          <w:rFonts w:asciiTheme="majorHAnsi" w:hAnsiTheme="majorHAnsi"/>
          <w:sz w:val="20"/>
          <w:szCs w:val="20"/>
          <w:lang w:val="es-AR"/>
        </w:rPr>
        <w:t xml:space="preserve">esión de </w:t>
      </w:r>
      <w:r w:rsidR="000752B8">
        <w:rPr>
          <w:rFonts w:asciiTheme="majorHAnsi" w:hAnsiTheme="majorHAnsi"/>
          <w:sz w:val="20"/>
          <w:szCs w:val="20"/>
          <w:lang w:val="es-AR"/>
        </w:rPr>
        <w:t>c</w:t>
      </w:r>
      <w:r w:rsidR="00353079" w:rsidRPr="00CF630A">
        <w:rPr>
          <w:rFonts w:asciiTheme="majorHAnsi" w:hAnsiTheme="majorHAnsi"/>
          <w:sz w:val="20"/>
          <w:szCs w:val="20"/>
          <w:lang w:val="es-AR"/>
        </w:rPr>
        <w:t>onfianza, consistente en que tanto el Código Penal derogado como el nuevo incorporaban una prohibición implícita de causar daños patrimoniales a los demás, que se veía materializada en los distintos tipos penales, por lo cual no habría habido un cambio significativo entre una y otra legislación pese a las variaciones en la descripción típica de las conductas</w:t>
      </w:r>
      <w:r w:rsidR="000752B8">
        <w:rPr>
          <w:rFonts w:asciiTheme="majorHAnsi" w:hAnsiTheme="majorHAnsi"/>
          <w:sz w:val="20"/>
          <w:szCs w:val="20"/>
          <w:lang w:val="es-AR"/>
        </w:rPr>
        <w:t xml:space="preserve">. </w:t>
      </w:r>
    </w:p>
    <w:p w14:paraId="2F0D2B4D" w14:textId="77777777" w:rsidR="000752B8" w:rsidRPr="00CF630A" w:rsidRDefault="000752B8"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0DF42F2F" w14:textId="319788A6" w:rsidR="00960CD5" w:rsidRDefault="00853F80" w:rsidP="003C453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lastRenderedPageBreak/>
        <w:t>(</w:t>
      </w:r>
      <w:r w:rsidR="00F56012" w:rsidRPr="00CF630A">
        <w:rPr>
          <w:rFonts w:asciiTheme="majorHAnsi" w:hAnsiTheme="majorHAnsi"/>
          <w:sz w:val="20"/>
          <w:szCs w:val="20"/>
          <w:lang w:val="es-AR"/>
        </w:rPr>
        <w:t>c</w:t>
      </w:r>
      <w:r w:rsidRPr="00CF630A">
        <w:rPr>
          <w:rFonts w:asciiTheme="majorHAnsi" w:hAnsiTheme="majorHAnsi"/>
          <w:sz w:val="20"/>
          <w:szCs w:val="20"/>
          <w:lang w:val="es-AR"/>
        </w:rPr>
        <w:t xml:space="preserve">) </w:t>
      </w:r>
      <w:r w:rsidR="000752B8">
        <w:rPr>
          <w:rFonts w:asciiTheme="majorHAnsi" w:hAnsiTheme="majorHAnsi"/>
          <w:sz w:val="20"/>
          <w:szCs w:val="20"/>
          <w:lang w:val="es-AR"/>
        </w:rPr>
        <w:tab/>
      </w:r>
      <w:r w:rsidR="00F9151D">
        <w:rPr>
          <w:rFonts w:asciiTheme="majorHAnsi" w:hAnsiTheme="majorHAnsi"/>
          <w:sz w:val="20"/>
          <w:szCs w:val="20"/>
          <w:lang w:val="es-AR"/>
        </w:rPr>
        <w:t>E</w:t>
      </w:r>
      <w:r w:rsidR="000752B8">
        <w:rPr>
          <w:rFonts w:asciiTheme="majorHAnsi" w:hAnsiTheme="majorHAnsi"/>
          <w:sz w:val="20"/>
          <w:szCs w:val="20"/>
          <w:lang w:val="es-AR"/>
        </w:rPr>
        <w:t>l</w:t>
      </w:r>
      <w:r w:rsidRPr="00CF630A">
        <w:rPr>
          <w:rFonts w:asciiTheme="majorHAnsi" w:hAnsiTheme="majorHAnsi"/>
          <w:sz w:val="20"/>
          <w:szCs w:val="20"/>
          <w:lang w:val="es-AR"/>
        </w:rPr>
        <w:t xml:space="preserve"> plazo razonable de duración del proceso penal</w:t>
      </w:r>
      <w:r w:rsidR="000752B8">
        <w:rPr>
          <w:rFonts w:asciiTheme="majorHAnsi" w:hAnsiTheme="majorHAnsi"/>
          <w:sz w:val="20"/>
          <w:szCs w:val="20"/>
          <w:lang w:val="es-AR"/>
        </w:rPr>
        <w:t>:</w:t>
      </w:r>
      <w:r w:rsidRPr="00CF630A">
        <w:rPr>
          <w:rFonts w:asciiTheme="majorHAnsi" w:hAnsiTheme="majorHAnsi"/>
          <w:sz w:val="20"/>
          <w:szCs w:val="20"/>
          <w:lang w:val="es-AR"/>
        </w:rPr>
        <w:t xml:space="preserve"> </w:t>
      </w:r>
      <w:r w:rsidR="00960CD5">
        <w:rPr>
          <w:rFonts w:asciiTheme="majorHAnsi" w:hAnsiTheme="majorHAnsi"/>
          <w:sz w:val="20"/>
          <w:szCs w:val="20"/>
          <w:lang w:val="es-AR"/>
        </w:rPr>
        <w:t>l</w:t>
      </w:r>
      <w:r w:rsidR="001030DF" w:rsidRPr="00CF630A">
        <w:rPr>
          <w:rFonts w:asciiTheme="majorHAnsi" w:hAnsiTheme="majorHAnsi"/>
          <w:sz w:val="20"/>
          <w:szCs w:val="20"/>
          <w:lang w:val="es-AR"/>
        </w:rPr>
        <w:t>a parte peticionaria alega que la acción penal había prescrito, de conformidad con la legislación doméstica aplicable, para el momento de adopción del fallo condenatorio.</w:t>
      </w:r>
      <w:r w:rsidR="004F64A4" w:rsidRPr="00CF630A">
        <w:rPr>
          <w:rFonts w:asciiTheme="majorHAnsi" w:hAnsiTheme="majorHAnsi"/>
          <w:sz w:val="20"/>
          <w:szCs w:val="20"/>
          <w:lang w:val="es-AR"/>
        </w:rPr>
        <w:t xml:space="preserve"> Se explica que los hechos que motivaron el proceso penal ocurrieron, según estimó la Corte Suprema de Justicia, entre septiembre de 1995 y noviembre de 2010</w:t>
      </w:r>
      <w:r w:rsidR="000752B8">
        <w:rPr>
          <w:rFonts w:asciiTheme="majorHAnsi" w:hAnsiTheme="majorHAnsi"/>
          <w:sz w:val="20"/>
          <w:szCs w:val="20"/>
          <w:lang w:val="es-AR"/>
        </w:rPr>
        <w:t xml:space="preserve">, más de quince años. </w:t>
      </w:r>
      <w:r w:rsidR="004F64A4" w:rsidRPr="00CF630A">
        <w:rPr>
          <w:rFonts w:asciiTheme="majorHAnsi" w:hAnsiTheme="majorHAnsi"/>
          <w:sz w:val="20"/>
          <w:szCs w:val="20"/>
          <w:lang w:val="es-AR"/>
        </w:rPr>
        <w:t xml:space="preserve">Según las reglas del Código Procesal Penal el plazo de prescripción del delito de lesión </w:t>
      </w:r>
      <w:r w:rsidR="000F3D17">
        <w:rPr>
          <w:rFonts w:asciiTheme="majorHAnsi" w:hAnsiTheme="majorHAnsi"/>
          <w:sz w:val="20"/>
          <w:szCs w:val="20"/>
          <w:lang w:val="es-AR"/>
        </w:rPr>
        <w:t xml:space="preserve">de confianza </w:t>
      </w:r>
      <w:r w:rsidR="004F64A4" w:rsidRPr="00CF630A">
        <w:rPr>
          <w:rFonts w:asciiTheme="majorHAnsi" w:hAnsiTheme="majorHAnsi"/>
          <w:sz w:val="20"/>
          <w:szCs w:val="20"/>
          <w:lang w:val="es-AR"/>
        </w:rPr>
        <w:t xml:space="preserve">se calcula de conformidad con el máximo de la pena privativa de la libertad aplicable, que </w:t>
      </w:r>
      <w:r w:rsidR="00960CD5">
        <w:rPr>
          <w:rFonts w:asciiTheme="majorHAnsi" w:hAnsiTheme="majorHAnsi"/>
          <w:sz w:val="20"/>
          <w:szCs w:val="20"/>
          <w:lang w:val="es-AR"/>
        </w:rPr>
        <w:t>sería</w:t>
      </w:r>
      <w:r w:rsidR="004F64A4" w:rsidRPr="00CF630A">
        <w:rPr>
          <w:rFonts w:asciiTheme="majorHAnsi" w:hAnsiTheme="majorHAnsi"/>
          <w:sz w:val="20"/>
          <w:szCs w:val="20"/>
          <w:lang w:val="es-AR"/>
        </w:rPr>
        <w:t xml:space="preserve"> de </w:t>
      </w:r>
      <w:r w:rsidR="00960CD5">
        <w:rPr>
          <w:rFonts w:asciiTheme="majorHAnsi" w:hAnsiTheme="majorHAnsi"/>
          <w:sz w:val="20"/>
          <w:szCs w:val="20"/>
          <w:lang w:val="es-AR"/>
        </w:rPr>
        <w:t>diez</w:t>
      </w:r>
      <w:r w:rsidR="004F64A4" w:rsidRPr="00CF630A">
        <w:rPr>
          <w:rFonts w:asciiTheme="majorHAnsi" w:hAnsiTheme="majorHAnsi"/>
          <w:sz w:val="20"/>
          <w:szCs w:val="20"/>
          <w:lang w:val="es-AR"/>
        </w:rPr>
        <w:t xml:space="preserve"> años; por ello, </w:t>
      </w:r>
      <w:r w:rsidR="00960CD5">
        <w:rPr>
          <w:rFonts w:asciiTheme="majorHAnsi" w:hAnsiTheme="majorHAnsi"/>
          <w:sz w:val="20"/>
          <w:szCs w:val="20"/>
          <w:lang w:val="es-AR"/>
        </w:rPr>
        <w:t xml:space="preserve">a juicio de los peticionarios </w:t>
      </w:r>
      <w:r w:rsidR="004F64A4" w:rsidRPr="00CF630A">
        <w:rPr>
          <w:rFonts w:asciiTheme="majorHAnsi" w:hAnsiTheme="majorHAnsi"/>
          <w:sz w:val="20"/>
          <w:szCs w:val="20"/>
          <w:lang w:val="es-AR"/>
        </w:rPr>
        <w:t xml:space="preserve">la prescripción habría operado más de </w:t>
      </w:r>
      <w:r w:rsidR="00960CD5">
        <w:rPr>
          <w:rFonts w:asciiTheme="majorHAnsi" w:hAnsiTheme="majorHAnsi"/>
          <w:sz w:val="20"/>
          <w:szCs w:val="20"/>
          <w:lang w:val="es-AR"/>
        </w:rPr>
        <w:t>cinco</w:t>
      </w:r>
      <w:r w:rsidR="004F64A4" w:rsidRPr="00CF630A">
        <w:rPr>
          <w:rFonts w:asciiTheme="majorHAnsi" w:hAnsiTheme="majorHAnsi"/>
          <w:sz w:val="20"/>
          <w:szCs w:val="20"/>
          <w:lang w:val="es-AR"/>
        </w:rPr>
        <w:t xml:space="preserve"> años antes de que se hubiese proferido sentencia condenatoria contra las presuntas víctimas. </w:t>
      </w:r>
    </w:p>
    <w:p w14:paraId="2D43F082" w14:textId="77777777" w:rsidR="00960CD5" w:rsidRDefault="00960CD5" w:rsidP="00960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5824A82B" w14:textId="275BD186" w:rsidR="006D0BB1" w:rsidRDefault="004F64A4" w:rsidP="00960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CF630A">
        <w:rPr>
          <w:rFonts w:asciiTheme="majorHAnsi" w:hAnsiTheme="majorHAnsi"/>
          <w:sz w:val="20"/>
          <w:szCs w:val="20"/>
          <w:lang w:val="es-AR"/>
        </w:rPr>
        <w:t>Los peticionarios invocaron la prescripción ante la Corte Suprema de Justicia, pero este máximo tribunal descartó tal argumento, explicando que la prescripción se había suspendido en aplicación de distintas disposiciones legales; específicamente recurriendo a la teoría jurídica de los “Plazos Muertos” y concluyendo que el estancamiento procesal de esta causa, que atribuyó a la multiplicidad de recursos y obstáculos presentados por la defensa de los imputados, configuró una circunstancia objetivamente insuperable que, de conformidad con la ley procesal penal, suspendía el plazo de prescripción. Para los peticionarios esta postura es incompatible con la legislación procesal penal paraguaya, ya que bajo tal sistema</w:t>
      </w:r>
      <w:r w:rsidR="00960CD5">
        <w:rPr>
          <w:rFonts w:asciiTheme="majorHAnsi" w:hAnsiTheme="majorHAnsi"/>
          <w:sz w:val="20"/>
          <w:szCs w:val="20"/>
          <w:lang w:val="es-AR"/>
        </w:rPr>
        <w:t>,</w:t>
      </w:r>
      <w:r w:rsidRPr="00CF630A">
        <w:rPr>
          <w:rFonts w:asciiTheme="majorHAnsi" w:hAnsiTheme="majorHAnsi"/>
          <w:sz w:val="20"/>
          <w:szCs w:val="20"/>
          <w:lang w:val="es-AR"/>
        </w:rPr>
        <w:t xml:space="preserve"> </w:t>
      </w:r>
      <w:r w:rsidR="00960CD5">
        <w:rPr>
          <w:rFonts w:asciiTheme="majorHAnsi" w:hAnsiTheme="majorHAnsi"/>
          <w:sz w:val="20"/>
          <w:szCs w:val="20"/>
          <w:lang w:val="es-AR"/>
        </w:rPr>
        <w:t>aducen,</w:t>
      </w:r>
      <w:r w:rsidRPr="00CF630A">
        <w:rPr>
          <w:rFonts w:asciiTheme="majorHAnsi" w:hAnsiTheme="majorHAnsi"/>
          <w:sz w:val="20"/>
          <w:szCs w:val="20"/>
          <w:lang w:val="es-AR"/>
        </w:rPr>
        <w:t xml:space="preserve"> el plazo de prescripción se suspende sólo cuando la persecución penal no pueda ser iniciada o continuada </w:t>
      </w:r>
      <w:r w:rsidR="00960CD5" w:rsidRPr="00CF630A">
        <w:rPr>
          <w:rFonts w:asciiTheme="majorHAnsi" w:hAnsiTheme="majorHAnsi"/>
          <w:sz w:val="20"/>
          <w:szCs w:val="20"/>
          <w:lang w:val="es-AR"/>
        </w:rPr>
        <w:t>debido a</w:t>
      </w:r>
      <w:r w:rsidRPr="00CF630A">
        <w:rPr>
          <w:rFonts w:asciiTheme="majorHAnsi" w:hAnsiTheme="majorHAnsi"/>
          <w:sz w:val="20"/>
          <w:szCs w:val="20"/>
          <w:lang w:val="es-AR"/>
        </w:rPr>
        <w:t xml:space="preserve"> circunstancias objetivamente insuperables, lo cual consideran no se presentó en este caso. Una de las circunstancias calificadas de dilatorias por la Corte Suprema y controvertida por los peticionarios, fue un ofrecimiento hecho por la Corte Suprema a la defensa técnica de los múltiples acusados en el sentido de que se unificara la presentación de los recursos de apelación y nulidad dentro de un plazo común para todos ellos, ofrecimiento que no fue aceptado por los defensores; esta ocurrencia procesal fue posteriormente invocada por la Corte Suprema como una de las razones para considerar suspendida la prescripción de la acción, lo cual los peticionarios rechazan, y consideran adicionalmente incompatible con la garantía judicial convencional consistente en que al acusado se le otorguen medios y tiempo suficiente para preparar su defensa. </w:t>
      </w:r>
    </w:p>
    <w:p w14:paraId="2B3FB966" w14:textId="77777777" w:rsidR="00960CD5" w:rsidRPr="00CF630A" w:rsidRDefault="00960CD5" w:rsidP="00960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015F6EB3" w14:textId="77777777" w:rsidR="00960CD5" w:rsidRDefault="00620E46"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CF630A">
        <w:rPr>
          <w:rFonts w:asciiTheme="majorHAnsi" w:hAnsiTheme="majorHAnsi"/>
          <w:sz w:val="20"/>
          <w:szCs w:val="20"/>
          <w:lang w:val="es-AR"/>
        </w:rPr>
        <w:t>Los peticionarios también informan que ante el Tribunal de Apelaciones solicitaron se declarara la prescripción de la acción penal, pero dicho Tribunal rechazó dicho pedido, declarando que la norma procesal penal que establece las reglas para el cómputo del plazo de prescripción</w:t>
      </w:r>
      <w:r w:rsidR="00960CD5">
        <w:rPr>
          <w:rFonts w:asciiTheme="majorHAnsi" w:hAnsiTheme="majorHAnsi"/>
          <w:sz w:val="20"/>
          <w:szCs w:val="20"/>
          <w:lang w:val="es-AR"/>
        </w:rPr>
        <w:t>,</w:t>
      </w:r>
      <w:r w:rsidRPr="00CF630A">
        <w:rPr>
          <w:rFonts w:asciiTheme="majorHAnsi" w:hAnsiTheme="majorHAnsi"/>
          <w:sz w:val="20"/>
          <w:szCs w:val="20"/>
          <w:lang w:val="es-AR"/>
        </w:rPr>
        <w:t xml:space="preserve"> invocada por los peticionarios</w:t>
      </w:r>
      <w:r w:rsidR="00960CD5">
        <w:rPr>
          <w:rFonts w:asciiTheme="majorHAnsi" w:hAnsiTheme="majorHAnsi"/>
          <w:sz w:val="20"/>
          <w:szCs w:val="20"/>
          <w:lang w:val="es-AR"/>
        </w:rPr>
        <w:t>,</w:t>
      </w:r>
      <w:r w:rsidRPr="00CF630A">
        <w:rPr>
          <w:rFonts w:asciiTheme="majorHAnsi" w:hAnsiTheme="majorHAnsi"/>
          <w:sz w:val="20"/>
          <w:szCs w:val="20"/>
          <w:lang w:val="es-AR"/>
        </w:rPr>
        <w:t xml:space="preserve"> era inconstitucional; con ello, afirma</w:t>
      </w:r>
      <w:r w:rsidR="00960CD5">
        <w:rPr>
          <w:rFonts w:asciiTheme="majorHAnsi" w:hAnsiTheme="majorHAnsi"/>
          <w:sz w:val="20"/>
          <w:szCs w:val="20"/>
          <w:lang w:val="es-AR"/>
        </w:rPr>
        <w:t>n los peticionarios</w:t>
      </w:r>
      <w:r w:rsidRPr="00CF630A">
        <w:rPr>
          <w:rFonts w:asciiTheme="majorHAnsi" w:hAnsiTheme="majorHAnsi"/>
          <w:sz w:val="20"/>
          <w:szCs w:val="20"/>
          <w:lang w:val="es-AR"/>
        </w:rPr>
        <w:t xml:space="preserve">, el </w:t>
      </w:r>
      <w:r w:rsidR="00960CD5">
        <w:rPr>
          <w:rFonts w:asciiTheme="majorHAnsi" w:hAnsiTheme="majorHAnsi"/>
          <w:sz w:val="20"/>
          <w:szCs w:val="20"/>
          <w:lang w:val="es-AR"/>
        </w:rPr>
        <w:t>t</w:t>
      </w:r>
      <w:r w:rsidRPr="00CF630A">
        <w:rPr>
          <w:rFonts w:asciiTheme="majorHAnsi" w:hAnsiTheme="majorHAnsi"/>
          <w:sz w:val="20"/>
          <w:szCs w:val="20"/>
          <w:lang w:val="es-AR"/>
        </w:rPr>
        <w:t xml:space="preserve">ribunal se atribuyó prerrogativas exclusivas de la Sala Constitucional de la Corte Suprema de Justicia, y realizó una aplicación incorrecta de la jurisprudencia interamericana, puesto que invocó en su defensa un fallo de la Corte Interamericana sobre la imprescriptibilidad de los delitos de lesa humanidad, precedente que los peticionarios consideran abiertamente inaplicable. </w:t>
      </w:r>
    </w:p>
    <w:p w14:paraId="708EB204" w14:textId="77777777" w:rsidR="00960CD5" w:rsidRDefault="00960CD5"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33C140A5" w14:textId="7CDBC302" w:rsidR="00620E46" w:rsidRDefault="00620E46"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CF630A">
        <w:rPr>
          <w:rFonts w:asciiTheme="majorHAnsi" w:hAnsiTheme="majorHAnsi"/>
          <w:sz w:val="20"/>
          <w:szCs w:val="20"/>
          <w:lang w:val="es-AR"/>
        </w:rPr>
        <w:t xml:space="preserve">Adicionalmente, explican que la Fiscalía General del Estado, al pronunciarse sobre los recursos de casación, solicitó a la Corte Suprema que declarara prescrita la acción penal en este caso; sin embargo la Corte Suprema declaró extemporánea la intervención de la </w:t>
      </w:r>
      <w:r w:rsidR="00960CD5">
        <w:rPr>
          <w:rFonts w:asciiTheme="majorHAnsi" w:hAnsiTheme="majorHAnsi"/>
          <w:sz w:val="20"/>
          <w:szCs w:val="20"/>
          <w:lang w:val="es-AR"/>
        </w:rPr>
        <w:t>f</w:t>
      </w:r>
      <w:r w:rsidRPr="00CF630A">
        <w:rPr>
          <w:rFonts w:asciiTheme="majorHAnsi" w:hAnsiTheme="majorHAnsi"/>
          <w:sz w:val="20"/>
          <w:szCs w:val="20"/>
          <w:lang w:val="es-AR"/>
        </w:rPr>
        <w:t xml:space="preserve">iscalía, insistiendo en su postura sobre la suspensión del plazo de prescripción en este caso – lo cual los peticionarios consideran fue incompatible con el sistema jurídico doméstico en materia de prescripción penal. </w:t>
      </w:r>
    </w:p>
    <w:p w14:paraId="7A6E7F4A" w14:textId="77777777" w:rsidR="00960CD5" w:rsidRPr="00CF630A" w:rsidRDefault="00960CD5"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19A4451E" w14:textId="24574A98" w:rsidR="00853F80" w:rsidRDefault="00620E46" w:rsidP="00960CD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w:t>
      </w:r>
      <w:r w:rsidR="00F56012" w:rsidRPr="00CF630A">
        <w:rPr>
          <w:rFonts w:asciiTheme="majorHAnsi" w:hAnsiTheme="majorHAnsi"/>
          <w:sz w:val="20"/>
          <w:szCs w:val="20"/>
          <w:lang w:val="es-AR"/>
        </w:rPr>
        <w:t>d</w:t>
      </w:r>
      <w:r w:rsidRPr="00CF630A">
        <w:rPr>
          <w:rFonts w:asciiTheme="majorHAnsi" w:hAnsiTheme="majorHAnsi"/>
          <w:sz w:val="20"/>
          <w:szCs w:val="20"/>
          <w:lang w:val="es-AR"/>
        </w:rPr>
        <w:t xml:space="preserve">) </w:t>
      </w:r>
      <w:r w:rsidR="00960CD5">
        <w:rPr>
          <w:rFonts w:asciiTheme="majorHAnsi" w:hAnsiTheme="majorHAnsi"/>
          <w:sz w:val="20"/>
          <w:szCs w:val="20"/>
          <w:lang w:val="es-AR"/>
        </w:rPr>
        <w:tab/>
      </w:r>
      <w:r w:rsidR="00F9151D">
        <w:rPr>
          <w:rFonts w:asciiTheme="majorHAnsi" w:hAnsiTheme="majorHAnsi"/>
          <w:sz w:val="20"/>
          <w:szCs w:val="20"/>
          <w:lang w:val="es-AR"/>
        </w:rPr>
        <w:t>E</w:t>
      </w:r>
      <w:r w:rsidR="00960CD5">
        <w:rPr>
          <w:rFonts w:asciiTheme="majorHAnsi" w:hAnsiTheme="majorHAnsi"/>
          <w:sz w:val="20"/>
          <w:szCs w:val="20"/>
          <w:lang w:val="es-AR"/>
        </w:rPr>
        <w:t>l derecho al</w:t>
      </w:r>
      <w:r w:rsidRPr="00CF630A">
        <w:rPr>
          <w:rFonts w:asciiTheme="majorHAnsi" w:hAnsiTheme="majorHAnsi"/>
          <w:sz w:val="20"/>
          <w:szCs w:val="20"/>
          <w:lang w:val="es-AR"/>
        </w:rPr>
        <w:t xml:space="preserve"> debido proceso</w:t>
      </w:r>
      <w:r w:rsidR="00960CD5">
        <w:rPr>
          <w:rFonts w:asciiTheme="majorHAnsi" w:hAnsiTheme="majorHAnsi"/>
          <w:sz w:val="20"/>
          <w:szCs w:val="20"/>
          <w:lang w:val="es-AR"/>
        </w:rPr>
        <w:t>:</w:t>
      </w:r>
      <w:r w:rsidRPr="00CF630A">
        <w:rPr>
          <w:rFonts w:asciiTheme="majorHAnsi" w:hAnsiTheme="majorHAnsi"/>
          <w:sz w:val="20"/>
          <w:szCs w:val="20"/>
          <w:lang w:val="es-AR"/>
        </w:rPr>
        <w:t xml:space="preserve"> en virtud de diversas irregularidades que los peticionarios describen así: (i) no se les notificó en forma debida ni oportuna </w:t>
      </w:r>
      <w:r w:rsidR="00E8694F">
        <w:rPr>
          <w:rFonts w:asciiTheme="majorHAnsi" w:hAnsiTheme="majorHAnsi"/>
          <w:sz w:val="20"/>
          <w:szCs w:val="20"/>
          <w:lang w:val="es-AR"/>
        </w:rPr>
        <w:t>acerca de</w:t>
      </w:r>
      <w:r w:rsidRPr="00CF630A">
        <w:rPr>
          <w:rFonts w:asciiTheme="majorHAnsi" w:hAnsiTheme="majorHAnsi"/>
          <w:sz w:val="20"/>
          <w:szCs w:val="20"/>
          <w:lang w:val="es-AR"/>
        </w:rPr>
        <w:t xml:space="preserve"> la integración de la Sala Penal de la Corte Suprema de Justicia, impidiéndoles ejercer su derecho a recusar magistrados; (ii) se </w:t>
      </w:r>
      <w:r w:rsidR="00E8694F">
        <w:rPr>
          <w:rFonts w:asciiTheme="majorHAnsi" w:hAnsiTheme="majorHAnsi"/>
          <w:sz w:val="20"/>
          <w:szCs w:val="20"/>
          <w:lang w:val="es-AR"/>
        </w:rPr>
        <w:t>habría incurrido</w:t>
      </w:r>
      <w:r w:rsidRPr="00CF630A">
        <w:rPr>
          <w:rFonts w:asciiTheme="majorHAnsi" w:hAnsiTheme="majorHAnsi"/>
          <w:sz w:val="20"/>
          <w:szCs w:val="20"/>
          <w:lang w:val="es-AR"/>
        </w:rPr>
        <w:t xml:space="preserve"> en una demora irregular en la resolución del caso por parte de la Corte Suprema</w:t>
      </w:r>
      <w:r w:rsidR="00E8694F">
        <w:rPr>
          <w:rFonts w:asciiTheme="majorHAnsi" w:hAnsiTheme="majorHAnsi"/>
          <w:sz w:val="20"/>
          <w:szCs w:val="20"/>
          <w:lang w:val="es-AR"/>
        </w:rPr>
        <w:t>,</w:t>
      </w:r>
      <w:r w:rsidRPr="00CF630A">
        <w:rPr>
          <w:rFonts w:asciiTheme="majorHAnsi" w:hAnsiTheme="majorHAnsi"/>
          <w:sz w:val="20"/>
          <w:szCs w:val="20"/>
          <w:lang w:val="es-AR"/>
        </w:rPr>
        <w:t xml:space="preserve"> puesto que el expediente estuvo </w:t>
      </w:r>
      <w:r w:rsidR="00E8694F">
        <w:rPr>
          <w:rFonts w:asciiTheme="majorHAnsi" w:hAnsiTheme="majorHAnsi"/>
          <w:sz w:val="20"/>
          <w:szCs w:val="20"/>
          <w:lang w:val="es-AR"/>
        </w:rPr>
        <w:t>ahí</w:t>
      </w:r>
      <w:r w:rsidRPr="00CF630A">
        <w:rPr>
          <w:rFonts w:asciiTheme="majorHAnsi" w:hAnsiTheme="majorHAnsi"/>
          <w:sz w:val="20"/>
          <w:szCs w:val="20"/>
          <w:lang w:val="es-AR"/>
        </w:rPr>
        <w:t xml:space="preserve"> más de </w:t>
      </w:r>
      <w:r w:rsidR="00E8694F">
        <w:rPr>
          <w:rFonts w:asciiTheme="majorHAnsi" w:hAnsiTheme="majorHAnsi"/>
          <w:sz w:val="20"/>
          <w:szCs w:val="20"/>
          <w:lang w:val="es-AR"/>
        </w:rPr>
        <w:t>seis</w:t>
      </w:r>
      <w:r w:rsidRPr="00CF630A">
        <w:rPr>
          <w:rFonts w:asciiTheme="majorHAnsi" w:hAnsiTheme="majorHAnsi"/>
          <w:sz w:val="20"/>
          <w:szCs w:val="20"/>
          <w:lang w:val="es-AR"/>
        </w:rPr>
        <w:t xml:space="preserve"> meses sin que se dictara decisión alguna, hipótesis que bajo el artículo 142 del Código Procesal Penal debía haber dado pie a la presunción de resolución favorable al recurrente; </w:t>
      </w:r>
      <w:r w:rsidR="00DA71E5" w:rsidRPr="00CF630A">
        <w:rPr>
          <w:rFonts w:asciiTheme="majorHAnsi" w:hAnsiTheme="majorHAnsi"/>
          <w:sz w:val="20"/>
          <w:szCs w:val="20"/>
          <w:lang w:val="es-AR"/>
        </w:rPr>
        <w:t>(</w:t>
      </w:r>
      <w:r w:rsidR="00E8694F">
        <w:rPr>
          <w:rFonts w:asciiTheme="majorHAnsi" w:hAnsiTheme="majorHAnsi"/>
          <w:sz w:val="20"/>
          <w:szCs w:val="20"/>
          <w:lang w:val="es-AR"/>
        </w:rPr>
        <w:t>iii</w:t>
      </w:r>
      <w:r w:rsidR="00DA71E5" w:rsidRPr="00CF630A">
        <w:rPr>
          <w:rFonts w:asciiTheme="majorHAnsi" w:hAnsiTheme="majorHAnsi"/>
          <w:sz w:val="20"/>
          <w:szCs w:val="20"/>
          <w:lang w:val="es-AR"/>
        </w:rPr>
        <w:t>) la Corte Suprema irregularmente decidió dentro de un mismo procedimiento especial los recursos de apelación parcial y de casación presentados contra los fallos del Tribunal de Apelación</w:t>
      </w:r>
      <w:r w:rsidR="00E8694F">
        <w:rPr>
          <w:rFonts w:asciiTheme="majorHAnsi" w:hAnsiTheme="majorHAnsi"/>
          <w:sz w:val="20"/>
          <w:szCs w:val="20"/>
          <w:lang w:val="es-AR"/>
        </w:rPr>
        <w:t>-</w:t>
      </w:r>
      <w:r w:rsidR="00DA71E5" w:rsidRPr="00CF630A">
        <w:rPr>
          <w:rFonts w:asciiTheme="majorHAnsi" w:hAnsiTheme="majorHAnsi"/>
          <w:sz w:val="20"/>
          <w:szCs w:val="20"/>
          <w:lang w:val="es-AR"/>
        </w:rPr>
        <w:t>Primera Sala, pese a que la ley procesal penal establece procedimientos distintos y específicos para conocer de cada uno de estos recursos, que son de naturaleza divergente; (</w:t>
      </w:r>
      <w:r w:rsidR="00E8694F">
        <w:rPr>
          <w:rFonts w:asciiTheme="majorHAnsi" w:hAnsiTheme="majorHAnsi"/>
          <w:sz w:val="20"/>
          <w:szCs w:val="20"/>
          <w:lang w:val="es-AR"/>
        </w:rPr>
        <w:t>i</w:t>
      </w:r>
      <w:r w:rsidR="00DA71E5" w:rsidRPr="00CF630A">
        <w:rPr>
          <w:rFonts w:asciiTheme="majorHAnsi" w:hAnsiTheme="majorHAnsi"/>
          <w:sz w:val="20"/>
          <w:szCs w:val="20"/>
          <w:lang w:val="es-AR"/>
        </w:rPr>
        <w:t>v) el magistrado de la Sala Penal Luis María Benítez Riera, antes de su intervención en el proceso como miembro de la Corte Suprema, ya había intervenido en la misma causa como miembro del Tribunal de Apelaciones, tribunal en el cual se inhibió del proceso el 23 de agosto de 1999, lo cual configuraba un motivo de recusación</w:t>
      </w:r>
      <w:r w:rsidR="00E8694F">
        <w:rPr>
          <w:rFonts w:asciiTheme="majorHAnsi" w:hAnsiTheme="majorHAnsi"/>
          <w:sz w:val="20"/>
          <w:szCs w:val="20"/>
          <w:lang w:val="es-AR"/>
        </w:rPr>
        <w:t>;</w:t>
      </w:r>
      <w:r w:rsidR="00DA71E5" w:rsidRPr="00CF630A">
        <w:rPr>
          <w:rFonts w:asciiTheme="majorHAnsi" w:hAnsiTheme="majorHAnsi"/>
          <w:sz w:val="20"/>
          <w:szCs w:val="20"/>
          <w:lang w:val="es-AR"/>
        </w:rPr>
        <w:t xml:space="preserve"> sin embargo, los peticionarios no </w:t>
      </w:r>
      <w:r w:rsidR="00E8694F">
        <w:rPr>
          <w:rFonts w:asciiTheme="majorHAnsi" w:hAnsiTheme="majorHAnsi"/>
          <w:sz w:val="20"/>
          <w:szCs w:val="20"/>
          <w:lang w:val="es-AR"/>
        </w:rPr>
        <w:t>habrían podido</w:t>
      </w:r>
      <w:r w:rsidR="00DA71E5" w:rsidRPr="00CF630A">
        <w:rPr>
          <w:rFonts w:asciiTheme="majorHAnsi" w:hAnsiTheme="majorHAnsi"/>
          <w:sz w:val="20"/>
          <w:szCs w:val="20"/>
          <w:lang w:val="es-AR"/>
        </w:rPr>
        <w:t xml:space="preserve"> plantear </w:t>
      </w:r>
      <w:r w:rsidR="00B709CC">
        <w:rPr>
          <w:rFonts w:asciiTheme="majorHAnsi" w:hAnsiTheme="majorHAnsi"/>
          <w:sz w:val="20"/>
          <w:szCs w:val="20"/>
          <w:lang w:val="es-AR"/>
        </w:rPr>
        <w:t xml:space="preserve">la recusación </w:t>
      </w:r>
      <w:r w:rsidR="00DA71E5" w:rsidRPr="00CF630A">
        <w:rPr>
          <w:rFonts w:asciiTheme="majorHAnsi" w:hAnsiTheme="majorHAnsi"/>
          <w:sz w:val="20"/>
          <w:szCs w:val="20"/>
          <w:lang w:val="es-AR"/>
        </w:rPr>
        <w:t xml:space="preserve">porque no les </w:t>
      </w:r>
      <w:r w:rsidR="00E8694F">
        <w:rPr>
          <w:rFonts w:asciiTheme="majorHAnsi" w:hAnsiTheme="majorHAnsi"/>
          <w:sz w:val="20"/>
          <w:szCs w:val="20"/>
          <w:lang w:val="es-AR"/>
        </w:rPr>
        <w:t>habría sido</w:t>
      </w:r>
      <w:r w:rsidR="00DA71E5" w:rsidRPr="00CF630A">
        <w:rPr>
          <w:rFonts w:asciiTheme="majorHAnsi" w:hAnsiTheme="majorHAnsi"/>
          <w:sz w:val="20"/>
          <w:szCs w:val="20"/>
          <w:lang w:val="es-AR"/>
        </w:rPr>
        <w:t xml:space="preserve"> informada oportunamente la composición de la Sala Penal que habría de decidir el caso; y (v) la </w:t>
      </w:r>
      <w:r w:rsidR="00DA71E5" w:rsidRPr="00CF630A">
        <w:rPr>
          <w:rFonts w:asciiTheme="majorHAnsi" w:hAnsiTheme="majorHAnsi"/>
          <w:sz w:val="20"/>
          <w:szCs w:val="20"/>
          <w:lang w:val="es-AR"/>
        </w:rPr>
        <w:lastRenderedPageBreak/>
        <w:t>Sala Constitucional de la Corte Suprema</w:t>
      </w:r>
      <w:r w:rsidR="00E8694F">
        <w:rPr>
          <w:rFonts w:asciiTheme="majorHAnsi" w:hAnsiTheme="majorHAnsi"/>
          <w:sz w:val="20"/>
          <w:szCs w:val="20"/>
          <w:lang w:val="es-AR"/>
        </w:rPr>
        <w:t xml:space="preserve"> </w:t>
      </w:r>
      <w:r w:rsidR="00DA71E5" w:rsidRPr="00CF630A">
        <w:rPr>
          <w:rFonts w:asciiTheme="majorHAnsi" w:hAnsiTheme="majorHAnsi"/>
          <w:sz w:val="20"/>
          <w:szCs w:val="20"/>
          <w:lang w:val="es-AR"/>
        </w:rPr>
        <w:t>declaró</w:t>
      </w:r>
      <w:r w:rsidR="00E8694F">
        <w:rPr>
          <w:rFonts w:asciiTheme="majorHAnsi" w:hAnsiTheme="majorHAnsi"/>
          <w:sz w:val="20"/>
          <w:szCs w:val="20"/>
          <w:lang w:val="es-AR"/>
        </w:rPr>
        <w:t xml:space="preserve"> en 2003</w:t>
      </w:r>
      <w:r w:rsidR="00DA71E5" w:rsidRPr="00CF630A">
        <w:rPr>
          <w:rFonts w:asciiTheme="majorHAnsi" w:hAnsiTheme="majorHAnsi"/>
          <w:sz w:val="20"/>
          <w:szCs w:val="20"/>
          <w:lang w:val="es-AR"/>
        </w:rPr>
        <w:t xml:space="preserve"> la inconstitucionalidad del artículo 5 de la ley de transición No. 1444, según el cual en los procesos iniciados bajo el Código de Procedimientos Penales de 1890 que no hubiesen concluido por sentencia definitiva para el 28 de febrero de 2003 quedaría extinta la acción penal; esta decisión de inconstitucionalidad, alegan los peticionarios, se aplicó en forma </w:t>
      </w:r>
      <w:r w:rsidR="00DA71E5" w:rsidRPr="00E8694F">
        <w:rPr>
          <w:rFonts w:asciiTheme="majorHAnsi" w:hAnsiTheme="majorHAnsi"/>
          <w:i/>
          <w:iCs/>
          <w:sz w:val="20"/>
          <w:szCs w:val="20"/>
          <w:lang w:val="es-AR"/>
        </w:rPr>
        <w:t>erga omnes</w:t>
      </w:r>
      <w:r w:rsidR="00DA71E5" w:rsidRPr="00CF630A">
        <w:rPr>
          <w:rFonts w:asciiTheme="majorHAnsi" w:hAnsiTheme="majorHAnsi"/>
          <w:sz w:val="20"/>
          <w:szCs w:val="20"/>
          <w:lang w:val="es-AR"/>
        </w:rPr>
        <w:t xml:space="preserve"> y sin notificarles como parte afectada; al tiempo que a los señores Flores y Orrego les declararon inaplicables los artículos 136 y 137 del Código Procesal Penal, que consagra el plazo máximo de duración del proceso penal.</w:t>
      </w:r>
    </w:p>
    <w:p w14:paraId="785348D9" w14:textId="77777777" w:rsidR="00E8694F" w:rsidRPr="00CF630A" w:rsidRDefault="00E8694F" w:rsidP="00960CD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212F50DB" w14:textId="15F1E7CD" w:rsidR="00DA71E5" w:rsidRDefault="00DA71E5" w:rsidP="00E8694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w:t>
      </w:r>
      <w:r w:rsidR="00F56012" w:rsidRPr="00CF630A">
        <w:rPr>
          <w:rFonts w:asciiTheme="majorHAnsi" w:hAnsiTheme="majorHAnsi"/>
          <w:sz w:val="20"/>
          <w:szCs w:val="20"/>
          <w:lang w:val="es-AR"/>
        </w:rPr>
        <w:t>e</w:t>
      </w:r>
      <w:r w:rsidRPr="00CF630A">
        <w:rPr>
          <w:rFonts w:asciiTheme="majorHAnsi" w:hAnsiTheme="majorHAnsi"/>
          <w:sz w:val="20"/>
          <w:szCs w:val="20"/>
          <w:lang w:val="es-AR"/>
        </w:rPr>
        <w:t xml:space="preserve">) </w:t>
      </w:r>
      <w:r w:rsidR="00E8694F">
        <w:rPr>
          <w:rFonts w:asciiTheme="majorHAnsi" w:hAnsiTheme="majorHAnsi"/>
          <w:sz w:val="20"/>
          <w:szCs w:val="20"/>
          <w:lang w:val="es-AR"/>
        </w:rPr>
        <w:tab/>
      </w:r>
      <w:r w:rsidR="00F9151D">
        <w:rPr>
          <w:rFonts w:asciiTheme="majorHAnsi" w:hAnsiTheme="majorHAnsi"/>
          <w:sz w:val="20"/>
          <w:szCs w:val="20"/>
          <w:lang w:val="es-AR"/>
        </w:rPr>
        <w:t>E</w:t>
      </w:r>
      <w:r w:rsidR="00E8694F">
        <w:rPr>
          <w:rFonts w:asciiTheme="majorHAnsi" w:hAnsiTheme="majorHAnsi"/>
          <w:sz w:val="20"/>
          <w:szCs w:val="20"/>
          <w:lang w:val="es-AR"/>
        </w:rPr>
        <w:t>l</w:t>
      </w:r>
      <w:r w:rsidRPr="00CF630A">
        <w:rPr>
          <w:rFonts w:asciiTheme="majorHAnsi" w:hAnsiTheme="majorHAnsi"/>
          <w:sz w:val="20"/>
          <w:szCs w:val="20"/>
          <w:lang w:val="es-AR"/>
        </w:rPr>
        <w:t xml:space="preserve"> derecho de defensa y el principio de contradicción</w:t>
      </w:r>
      <w:r w:rsidR="00E8694F">
        <w:rPr>
          <w:rFonts w:asciiTheme="majorHAnsi" w:hAnsiTheme="majorHAnsi"/>
          <w:sz w:val="20"/>
          <w:szCs w:val="20"/>
          <w:lang w:val="es-AR"/>
        </w:rPr>
        <w:t>:</w:t>
      </w:r>
      <w:r w:rsidRPr="00CF630A">
        <w:rPr>
          <w:rFonts w:asciiTheme="majorHAnsi" w:hAnsiTheme="majorHAnsi"/>
          <w:sz w:val="20"/>
          <w:szCs w:val="20"/>
          <w:lang w:val="es-AR"/>
        </w:rPr>
        <w:t xml:space="preserve"> puesto que</w:t>
      </w:r>
      <w:r w:rsidR="00B709CC">
        <w:rPr>
          <w:rFonts w:asciiTheme="majorHAnsi" w:hAnsiTheme="majorHAnsi"/>
          <w:sz w:val="20"/>
          <w:szCs w:val="20"/>
          <w:lang w:val="es-AR"/>
        </w:rPr>
        <w:t xml:space="preserve"> los señores</w:t>
      </w:r>
      <w:r w:rsidRPr="00CF630A">
        <w:rPr>
          <w:rFonts w:asciiTheme="majorHAnsi" w:hAnsiTheme="majorHAnsi"/>
          <w:sz w:val="20"/>
          <w:szCs w:val="20"/>
          <w:lang w:val="es-AR"/>
        </w:rPr>
        <w:t xml:space="preserve"> </w:t>
      </w:r>
      <w:r w:rsidR="00E8694F" w:rsidRPr="00CF630A">
        <w:rPr>
          <w:rFonts w:asciiTheme="majorHAnsi" w:hAnsiTheme="majorHAnsi"/>
          <w:sz w:val="20"/>
          <w:szCs w:val="20"/>
          <w:lang w:val="es-AR"/>
        </w:rPr>
        <w:t xml:space="preserve">Flores y Orrego </w:t>
      </w:r>
      <w:r w:rsidRPr="00CF630A">
        <w:rPr>
          <w:rFonts w:asciiTheme="majorHAnsi" w:hAnsiTheme="majorHAnsi"/>
          <w:sz w:val="20"/>
          <w:szCs w:val="20"/>
          <w:lang w:val="es-AR"/>
        </w:rPr>
        <w:t>fueron procesados a partir del 2000, tres años después de que el proceso penal se hubiese iniciado y después de que se hubiera tramitado y clausurado la etapa sumaria de investigación, obtención de pruebas y formulación de imputaciones</w:t>
      </w:r>
      <w:r w:rsidR="00F9151D">
        <w:rPr>
          <w:rFonts w:asciiTheme="majorHAnsi" w:hAnsiTheme="majorHAnsi"/>
          <w:sz w:val="20"/>
          <w:szCs w:val="20"/>
          <w:lang w:val="es-AR"/>
        </w:rPr>
        <w:t>.</w:t>
      </w:r>
      <w:r w:rsidRPr="00CF630A">
        <w:rPr>
          <w:rFonts w:asciiTheme="majorHAnsi" w:hAnsiTheme="majorHAnsi"/>
          <w:sz w:val="20"/>
          <w:szCs w:val="20"/>
          <w:lang w:val="es-AR"/>
        </w:rPr>
        <w:t xml:space="preserve"> </w:t>
      </w:r>
      <w:r w:rsidR="00F9151D">
        <w:rPr>
          <w:rFonts w:asciiTheme="majorHAnsi" w:hAnsiTheme="majorHAnsi"/>
          <w:sz w:val="20"/>
          <w:szCs w:val="20"/>
          <w:lang w:val="es-AR"/>
        </w:rPr>
        <w:t>C</w:t>
      </w:r>
      <w:r w:rsidRPr="00CF630A">
        <w:rPr>
          <w:rFonts w:asciiTheme="majorHAnsi" w:hAnsiTheme="majorHAnsi"/>
          <w:sz w:val="20"/>
          <w:szCs w:val="20"/>
          <w:lang w:val="es-AR"/>
        </w:rPr>
        <w:t xml:space="preserve">on ello no solamente se </w:t>
      </w:r>
      <w:r w:rsidR="00F9151D">
        <w:rPr>
          <w:rFonts w:asciiTheme="majorHAnsi" w:hAnsiTheme="majorHAnsi"/>
          <w:sz w:val="20"/>
          <w:szCs w:val="20"/>
          <w:lang w:val="es-AR"/>
        </w:rPr>
        <w:t>habría violado</w:t>
      </w:r>
      <w:r w:rsidRPr="00CF630A">
        <w:rPr>
          <w:rFonts w:asciiTheme="majorHAnsi" w:hAnsiTheme="majorHAnsi"/>
          <w:sz w:val="20"/>
          <w:szCs w:val="20"/>
          <w:lang w:val="es-AR"/>
        </w:rPr>
        <w:t xml:space="preserve"> el principio legal según el cual no se puede retrotraer un proceso a una etapa clausurada, sino que se </w:t>
      </w:r>
      <w:r w:rsidR="00F9151D">
        <w:rPr>
          <w:rFonts w:asciiTheme="majorHAnsi" w:hAnsiTheme="majorHAnsi"/>
          <w:sz w:val="20"/>
          <w:szCs w:val="20"/>
          <w:lang w:val="es-AR"/>
        </w:rPr>
        <w:t>habría violado</w:t>
      </w:r>
      <w:r w:rsidRPr="00CF630A">
        <w:rPr>
          <w:rFonts w:asciiTheme="majorHAnsi" w:hAnsiTheme="majorHAnsi"/>
          <w:sz w:val="20"/>
          <w:szCs w:val="20"/>
          <w:lang w:val="es-AR"/>
        </w:rPr>
        <w:t xml:space="preserve"> su derecho de defensa</w:t>
      </w:r>
      <w:r w:rsidR="00F9151D">
        <w:rPr>
          <w:rFonts w:asciiTheme="majorHAnsi" w:hAnsiTheme="majorHAnsi"/>
          <w:sz w:val="20"/>
          <w:szCs w:val="20"/>
          <w:lang w:val="es-AR"/>
        </w:rPr>
        <w:t xml:space="preserve">. </w:t>
      </w:r>
    </w:p>
    <w:p w14:paraId="40A84151" w14:textId="77777777" w:rsidR="00F9151D" w:rsidRPr="00CF630A" w:rsidRDefault="00F9151D" w:rsidP="00E8694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4DAB837C" w14:textId="0B92D994" w:rsidR="00C27381" w:rsidRDefault="00C27381"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w:t>
      </w:r>
      <w:r w:rsidR="00F56012" w:rsidRPr="00CF630A">
        <w:rPr>
          <w:rFonts w:asciiTheme="majorHAnsi" w:hAnsiTheme="majorHAnsi"/>
          <w:sz w:val="20"/>
          <w:szCs w:val="20"/>
          <w:lang w:val="es-AR"/>
        </w:rPr>
        <w:t>f</w:t>
      </w:r>
      <w:r w:rsidRPr="00CF630A">
        <w:rPr>
          <w:rFonts w:asciiTheme="majorHAnsi" w:hAnsiTheme="majorHAnsi"/>
          <w:sz w:val="20"/>
          <w:szCs w:val="20"/>
          <w:lang w:val="es-AR"/>
        </w:rPr>
        <w:t xml:space="preserve">) </w:t>
      </w:r>
      <w:r w:rsidR="00F9151D">
        <w:rPr>
          <w:rFonts w:asciiTheme="majorHAnsi" w:hAnsiTheme="majorHAnsi"/>
          <w:sz w:val="20"/>
          <w:szCs w:val="20"/>
          <w:lang w:val="es-AR"/>
        </w:rPr>
        <w:tab/>
        <w:t>L</w:t>
      </w:r>
      <w:r w:rsidRPr="00CF630A">
        <w:rPr>
          <w:rFonts w:asciiTheme="majorHAnsi" w:hAnsiTheme="majorHAnsi"/>
          <w:sz w:val="20"/>
          <w:szCs w:val="20"/>
          <w:lang w:val="es-AR"/>
        </w:rPr>
        <w:t>a presunción de inocencia</w:t>
      </w:r>
      <w:r w:rsidR="00F9151D">
        <w:rPr>
          <w:rFonts w:asciiTheme="majorHAnsi" w:hAnsiTheme="majorHAnsi"/>
          <w:sz w:val="20"/>
          <w:szCs w:val="20"/>
          <w:lang w:val="es-AR"/>
        </w:rPr>
        <w:t>:</w:t>
      </w:r>
      <w:r w:rsidRPr="00CF630A">
        <w:rPr>
          <w:rFonts w:asciiTheme="majorHAnsi" w:hAnsiTheme="majorHAnsi"/>
          <w:sz w:val="20"/>
          <w:szCs w:val="20"/>
          <w:lang w:val="es-AR"/>
        </w:rPr>
        <w:t xml:space="preserve"> en la medida en que la sentencia condenatoria se </w:t>
      </w:r>
      <w:r w:rsidR="00F9151D">
        <w:rPr>
          <w:rFonts w:asciiTheme="majorHAnsi" w:hAnsiTheme="majorHAnsi"/>
          <w:sz w:val="20"/>
          <w:szCs w:val="20"/>
          <w:lang w:val="es-AR"/>
        </w:rPr>
        <w:t>habría basado</w:t>
      </w:r>
      <w:r w:rsidRPr="00CF630A">
        <w:rPr>
          <w:rFonts w:asciiTheme="majorHAnsi" w:hAnsiTheme="majorHAnsi"/>
          <w:sz w:val="20"/>
          <w:szCs w:val="20"/>
          <w:lang w:val="es-AR"/>
        </w:rPr>
        <w:t xml:space="preserve"> en hechos no probados debidamente. </w:t>
      </w:r>
    </w:p>
    <w:p w14:paraId="5B8E0A67" w14:textId="77777777" w:rsidR="00F9151D" w:rsidRPr="00CF630A" w:rsidRDefault="00F9151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3C1E42F3" w14:textId="0ADD2362" w:rsidR="00857138" w:rsidRDefault="00857138" w:rsidP="00F9151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w:t>
      </w:r>
      <w:r w:rsidR="00F9151D">
        <w:rPr>
          <w:rFonts w:asciiTheme="majorHAnsi" w:hAnsiTheme="majorHAnsi"/>
          <w:sz w:val="20"/>
          <w:szCs w:val="20"/>
          <w:lang w:val="es-AR"/>
        </w:rPr>
        <w:t>g</w:t>
      </w:r>
      <w:r w:rsidRPr="00CF630A">
        <w:rPr>
          <w:rFonts w:asciiTheme="majorHAnsi" w:hAnsiTheme="majorHAnsi"/>
          <w:sz w:val="20"/>
          <w:szCs w:val="20"/>
          <w:lang w:val="es-AR"/>
        </w:rPr>
        <w:t xml:space="preserve">) </w:t>
      </w:r>
      <w:r w:rsidR="00F9151D">
        <w:rPr>
          <w:rFonts w:asciiTheme="majorHAnsi" w:hAnsiTheme="majorHAnsi"/>
          <w:sz w:val="20"/>
          <w:szCs w:val="20"/>
          <w:lang w:val="es-AR"/>
        </w:rPr>
        <w:tab/>
        <w:t>E</w:t>
      </w:r>
      <w:r w:rsidR="0055344C" w:rsidRPr="00CF630A">
        <w:rPr>
          <w:rFonts w:asciiTheme="majorHAnsi" w:hAnsiTheme="majorHAnsi"/>
          <w:sz w:val="20"/>
          <w:szCs w:val="20"/>
          <w:lang w:val="es-AR"/>
        </w:rPr>
        <w:t>l derecho a la igualdad</w:t>
      </w:r>
      <w:r w:rsidR="00F9151D">
        <w:rPr>
          <w:rFonts w:asciiTheme="majorHAnsi" w:hAnsiTheme="majorHAnsi"/>
          <w:sz w:val="20"/>
          <w:szCs w:val="20"/>
          <w:lang w:val="es-AR"/>
        </w:rPr>
        <w:t>: sobre la base de que</w:t>
      </w:r>
      <w:r w:rsidR="0055344C" w:rsidRPr="00CF630A">
        <w:rPr>
          <w:rFonts w:asciiTheme="majorHAnsi" w:hAnsiTheme="majorHAnsi"/>
          <w:sz w:val="20"/>
          <w:szCs w:val="20"/>
          <w:lang w:val="es-AR"/>
        </w:rPr>
        <w:t xml:space="preserve"> </w:t>
      </w:r>
      <w:r w:rsidR="001B6169" w:rsidRPr="00CF630A">
        <w:rPr>
          <w:rFonts w:asciiTheme="majorHAnsi" w:hAnsiTheme="majorHAnsi"/>
          <w:sz w:val="20"/>
          <w:szCs w:val="20"/>
          <w:lang w:val="es-AR"/>
        </w:rPr>
        <w:t xml:space="preserve">la quiebra y liquidación del BNT habría sido propiciada por varios negocios financieros, citados en la sentencia condenatoria; en dicho fallo se enunciaron seis distintos créditos, solo uno de los cuales era el del Parque Cementerio Las Acacias celebrado con la CUT. </w:t>
      </w:r>
      <w:r w:rsidR="00680B13" w:rsidRPr="00CF630A">
        <w:rPr>
          <w:rFonts w:asciiTheme="majorHAnsi" w:hAnsiTheme="majorHAnsi"/>
          <w:sz w:val="20"/>
          <w:szCs w:val="20"/>
          <w:lang w:val="es-AR"/>
        </w:rPr>
        <w:t>Pese a ello</w:t>
      </w:r>
      <w:r w:rsidR="00E07241" w:rsidRPr="00CF630A">
        <w:rPr>
          <w:rFonts w:asciiTheme="majorHAnsi" w:hAnsiTheme="majorHAnsi"/>
          <w:sz w:val="20"/>
          <w:szCs w:val="20"/>
          <w:lang w:val="es-AR"/>
        </w:rPr>
        <w:t>, no todas las personas y entidades involucradas en estos seis negocios crediticios fueron vinculadas al proceso penal; únicamente</w:t>
      </w:r>
      <w:r w:rsidR="00680B13" w:rsidRPr="00CF630A">
        <w:rPr>
          <w:rFonts w:asciiTheme="majorHAnsi" w:hAnsiTheme="majorHAnsi"/>
          <w:sz w:val="20"/>
          <w:szCs w:val="20"/>
          <w:lang w:val="es-AR"/>
        </w:rPr>
        <w:t xml:space="preserve"> dos de ellas</w:t>
      </w:r>
      <w:r w:rsidR="00F9151D">
        <w:rPr>
          <w:rFonts w:asciiTheme="majorHAnsi" w:hAnsiTheme="majorHAnsi"/>
          <w:sz w:val="20"/>
          <w:szCs w:val="20"/>
          <w:lang w:val="es-AR"/>
        </w:rPr>
        <w:t>:</w:t>
      </w:r>
      <w:r w:rsidR="00680B13" w:rsidRPr="00CF630A">
        <w:rPr>
          <w:rFonts w:asciiTheme="majorHAnsi" w:hAnsiTheme="majorHAnsi"/>
          <w:sz w:val="20"/>
          <w:szCs w:val="20"/>
          <w:lang w:val="es-AR"/>
        </w:rPr>
        <w:t xml:space="preserve"> las relacionadas con el Parque Cementerio Las Acacias y el Complejo Habitacional Mariano Roque Alonzo</w:t>
      </w:r>
      <w:r w:rsidRPr="00CF630A">
        <w:rPr>
          <w:rFonts w:asciiTheme="majorHAnsi" w:hAnsiTheme="majorHAnsi"/>
          <w:sz w:val="20"/>
          <w:szCs w:val="20"/>
          <w:lang w:val="es-AR"/>
        </w:rPr>
        <w:t>.</w:t>
      </w:r>
      <w:r w:rsidR="00680B13" w:rsidRPr="00CF630A">
        <w:rPr>
          <w:rFonts w:asciiTheme="majorHAnsi" w:hAnsiTheme="majorHAnsi"/>
          <w:sz w:val="20"/>
          <w:szCs w:val="20"/>
          <w:lang w:val="es-AR"/>
        </w:rPr>
        <w:t xml:space="preserve"> </w:t>
      </w:r>
      <w:r w:rsidRPr="00CF630A">
        <w:rPr>
          <w:rFonts w:asciiTheme="majorHAnsi" w:hAnsiTheme="majorHAnsi"/>
          <w:sz w:val="20"/>
          <w:szCs w:val="20"/>
          <w:lang w:val="es-AR"/>
        </w:rPr>
        <w:t xml:space="preserve"> </w:t>
      </w:r>
    </w:p>
    <w:p w14:paraId="2C2D858E" w14:textId="77777777" w:rsidR="00F9151D" w:rsidRPr="00CF630A" w:rsidRDefault="00F9151D" w:rsidP="00F9151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70E833EB" w14:textId="1CE14E1E" w:rsidR="00857138" w:rsidRDefault="00857138"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w:t>
      </w:r>
      <w:r w:rsidR="00F9151D">
        <w:rPr>
          <w:rFonts w:asciiTheme="majorHAnsi" w:hAnsiTheme="majorHAnsi"/>
          <w:sz w:val="20"/>
          <w:szCs w:val="20"/>
          <w:lang w:val="es-AR"/>
        </w:rPr>
        <w:t>h</w:t>
      </w:r>
      <w:r w:rsidRPr="00CF630A">
        <w:rPr>
          <w:rFonts w:asciiTheme="majorHAnsi" w:hAnsiTheme="majorHAnsi"/>
          <w:sz w:val="20"/>
          <w:szCs w:val="20"/>
          <w:lang w:val="es-AR"/>
        </w:rPr>
        <w:t xml:space="preserve">) </w:t>
      </w:r>
      <w:r w:rsidR="00F9151D">
        <w:rPr>
          <w:rFonts w:asciiTheme="majorHAnsi" w:hAnsiTheme="majorHAnsi"/>
          <w:sz w:val="20"/>
          <w:szCs w:val="20"/>
          <w:lang w:val="es-AR"/>
        </w:rPr>
        <w:tab/>
        <w:t>El</w:t>
      </w:r>
      <w:r w:rsidRPr="00CF630A">
        <w:rPr>
          <w:rFonts w:asciiTheme="majorHAnsi" w:hAnsiTheme="majorHAnsi"/>
          <w:sz w:val="20"/>
          <w:szCs w:val="20"/>
          <w:lang w:val="es-AR"/>
        </w:rPr>
        <w:t xml:space="preserve"> derecho a la protección judicial</w:t>
      </w:r>
      <w:r w:rsidR="00F9151D">
        <w:rPr>
          <w:rFonts w:asciiTheme="majorHAnsi" w:hAnsiTheme="majorHAnsi"/>
          <w:sz w:val="20"/>
          <w:szCs w:val="20"/>
          <w:lang w:val="es-AR"/>
        </w:rPr>
        <w:t>:</w:t>
      </w:r>
      <w:r w:rsidRPr="00CF630A">
        <w:rPr>
          <w:rFonts w:asciiTheme="majorHAnsi" w:hAnsiTheme="majorHAnsi"/>
          <w:sz w:val="20"/>
          <w:szCs w:val="20"/>
          <w:lang w:val="es-AR"/>
        </w:rPr>
        <w:t xml:space="preserve"> por la falta de resolución del recurso de inconstitucionalidad que presentaron el 21 de junio de 2009 contra el fallo de segunda instancia dictado por el Tribunal de Apelaciones; explican que la Sala Constitucional de la Corte Suprema de Justicia ha mantenido este recurso en fase de estudio para admisión</w:t>
      </w:r>
      <w:r w:rsidR="00F9151D">
        <w:rPr>
          <w:rFonts w:asciiTheme="majorHAnsi" w:hAnsiTheme="majorHAnsi"/>
          <w:sz w:val="20"/>
          <w:szCs w:val="20"/>
          <w:lang w:val="es-AR"/>
        </w:rPr>
        <w:t xml:space="preserve">. </w:t>
      </w:r>
    </w:p>
    <w:p w14:paraId="0A7EA60D" w14:textId="77777777" w:rsidR="00F9151D" w:rsidRPr="00CF630A" w:rsidRDefault="00F9151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575D5D7E" w14:textId="2F48B4A5" w:rsidR="00857138" w:rsidRPr="00CF630A" w:rsidRDefault="00857138"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w:t>
      </w:r>
      <w:r w:rsidR="00BD7FE0">
        <w:rPr>
          <w:rFonts w:asciiTheme="majorHAnsi" w:hAnsiTheme="majorHAnsi"/>
          <w:sz w:val="20"/>
          <w:szCs w:val="20"/>
          <w:lang w:val="es-AR"/>
        </w:rPr>
        <w:t>i</w:t>
      </w:r>
      <w:r w:rsidRPr="00CF630A">
        <w:rPr>
          <w:rFonts w:asciiTheme="majorHAnsi" w:hAnsiTheme="majorHAnsi"/>
          <w:sz w:val="20"/>
          <w:szCs w:val="20"/>
          <w:lang w:val="es-AR"/>
        </w:rPr>
        <w:t xml:space="preserve">) </w:t>
      </w:r>
      <w:r w:rsidR="00BD7FE0">
        <w:rPr>
          <w:rFonts w:asciiTheme="majorHAnsi" w:hAnsiTheme="majorHAnsi"/>
          <w:sz w:val="20"/>
          <w:szCs w:val="20"/>
          <w:lang w:val="es-AR"/>
        </w:rPr>
        <w:tab/>
        <w:t>L</w:t>
      </w:r>
      <w:r w:rsidR="00E07241" w:rsidRPr="00CF630A">
        <w:rPr>
          <w:rFonts w:asciiTheme="majorHAnsi" w:hAnsiTheme="majorHAnsi"/>
          <w:sz w:val="20"/>
          <w:szCs w:val="20"/>
          <w:lang w:val="es-AR"/>
        </w:rPr>
        <w:t>a libertad de asociación y los derechos de los señores Flores y Orrego como líderes sindicales</w:t>
      </w:r>
      <w:r w:rsidR="00BD7FE0">
        <w:rPr>
          <w:rFonts w:asciiTheme="majorHAnsi" w:hAnsiTheme="majorHAnsi"/>
          <w:sz w:val="20"/>
          <w:szCs w:val="20"/>
          <w:lang w:val="es-AR"/>
        </w:rPr>
        <w:t>:</w:t>
      </w:r>
      <w:r w:rsidR="00E07241" w:rsidRPr="00CF630A">
        <w:rPr>
          <w:rFonts w:asciiTheme="majorHAnsi" w:hAnsiTheme="majorHAnsi"/>
          <w:sz w:val="20"/>
          <w:szCs w:val="20"/>
          <w:lang w:val="es-AR"/>
        </w:rPr>
        <w:t xml:space="preserve"> </w:t>
      </w:r>
      <w:r w:rsidR="00BD7FE0">
        <w:rPr>
          <w:rFonts w:asciiTheme="majorHAnsi" w:hAnsiTheme="majorHAnsi"/>
          <w:sz w:val="20"/>
          <w:szCs w:val="20"/>
          <w:lang w:val="es-AR"/>
        </w:rPr>
        <w:t>e</w:t>
      </w:r>
      <w:r w:rsidR="0055344C" w:rsidRPr="00CF630A">
        <w:rPr>
          <w:rFonts w:asciiTheme="majorHAnsi" w:hAnsiTheme="majorHAnsi"/>
          <w:sz w:val="20"/>
          <w:szCs w:val="20"/>
          <w:lang w:val="es-AR"/>
        </w:rPr>
        <w:t>l señor Flores indica que fue procesado a partir del 22 de junio de 2000, día en el cual, en su calidad de Presidente de la CUT, se encontraba en plena realización de una huelga general de 48 horas convocada en el marco de varias protestas dirigidas en contra de la política de privatización de entidades públicas emprendida por el Gobierno.</w:t>
      </w:r>
      <w:r w:rsidR="00BD7FE0">
        <w:rPr>
          <w:rFonts w:asciiTheme="majorHAnsi" w:hAnsiTheme="majorHAnsi"/>
          <w:sz w:val="20"/>
          <w:szCs w:val="20"/>
          <w:lang w:val="es-AR"/>
        </w:rPr>
        <w:t xml:space="preserve"> Además, alegan persecución política en su contra.</w:t>
      </w:r>
    </w:p>
    <w:p w14:paraId="22801DA5" w14:textId="77777777" w:rsidR="00BD7FE0" w:rsidRDefault="00BD7FE0"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3A31C8A8" w14:textId="6891A518" w:rsidR="005E091E" w:rsidRPr="00CF630A" w:rsidRDefault="00491628"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8</w:t>
      </w:r>
      <w:r w:rsidR="00F56012" w:rsidRPr="00CF630A">
        <w:rPr>
          <w:rFonts w:asciiTheme="majorHAnsi" w:hAnsiTheme="majorHAnsi"/>
          <w:sz w:val="20"/>
          <w:szCs w:val="20"/>
          <w:lang w:val="es-AR"/>
        </w:rPr>
        <w:t xml:space="preserve">. </w:t>
      </w:r>
      <w:r w:rsidR="00BD7FE0">
        <w:rPr>
          <w:rFonts w:asciiTheme="majorHAnsi" w:hAnsiTheme="majorHAnsi"/>
          <w:sz w:val="20"/>
          <w:szCs w:val="20"/>
          <w:lang w:val="es-AR"/>
        </w:rPr>
        <w:tab/>
      </w:r>
      <w:r w:rsidR="007A0EC2" w:rsidRPr="00CF630A">
        <w:rPr>
          <w:rFonts w:asciiTheme="majorHAnsi" w:hAnsiTheme="majorHAnsi"/>
          <w:sz w:val="20"/>
          <w:szCs w:val="20"/>
          <w:lang w:val="es-AR"/>
        </w:rPr>
        <w:t xml:space="preserve">En su contestación, el Estado solicita que la petición sea declarada inadmisible, por cuanto en su criterio la parte peticionaria a recurrido a la CIDH en tanto órgano de apelación internacional o “cuarta instancia”; también presenta </w:t>
      </w:r>
      <w:r w:rsidR="004E4DD6">
        <w:rPr>
          <w:rFonts w:asciiTheme="majorHAnsi" w:hAnsiTheme="majorHAnsi"/>
          <w:sz w:val="20"/>
          <w:szCs w:val="20"/>
          <w:lang w:val="es-AR"/>
        </w:rPr>
        <w:t xml:space="preserve">argumentos </w:t>
      </w:r>
      <w:r w:rsidR="007A0EC2" w:rsidRPr="00CF630A">
        <w:rPr>
          <w:rFonts w:asciiTheme="majorHAnsi" w:hAnsiTheme="majorHAnsi"/>
          <w:sz w:val="20"/>
          <w:szCs w:val="20"/>
          <w:lang w:val="es-AR"/>
        </w:rPr>
        <w:t xml:space="preserve">sustantivos de fondo para </w:t>
      </w:r>
      <w:r w:rsidR="00EF1927" w:rsidRPr="00CF630A">
        <w:rPr>
          <w:rFonts w:asciiTheme="majorHAnsi" w:hAnsiTheme="majorHAnsi"/>
          <w:sz w:val="20"/>
          <w:szCs w:val="20"/>
          <w:lang w:val="es-AR"/>
        </w:rPr>
        <w:t xml:space="preserve">concluir que no se presentaron </w:t>
      </w:r>
      <w:r w:rsidR="007A0EC2" w:rsidRPr="00CF630A">
        <w:rPr>
          <w:rFonts w:asciiTheme="majorHAnsi" w:hAnsiTheme="majorHAnsi"/>
          <w:sz w:val="20"/>
          <w:szCs w:val="20"/>
          <w:lang w:val="es-AR"/>
        </w:rPr>
        <w:t xml:space="preserve">violaciones de los derechos humanos </w:t>
      </w:r>
      <w:r w:rsidR="00EF1927" w:rsidRPr="00CF630A">
        <w:rPr>
          <w:rFonts w:asciiTheme="majorHAnsi" w:hAnsiTheme="majorHAnsi"/>
          <w:sz w:val="20"/>
          <w:szCs w:val="20"/>
          <w:lang w:val="es-AR"/>
        </w:rPr>
        <w:t xml:space="preserve">en el caso bajo examen, y pedir que se de aplicación a lo dispuesto en el artículo 47 de la Convención, planteando que la representación del Paraguay </w:t>
      </w:r>
      <w:r w:rsidR="00EF1927" w:rsidRPr="00CF630A">
        <w:rPr>
          <w:rFonts w:asciiTheme="majorHAnsi" w:hAnsiTheme="majorHAnsi"/>
          <w:i/>
          <w:iCs/>
          <w:sz w:val="20"/>
          <w:szCs w:val="20"/>
          <w:lang w:val="es-AR"/>
        </w:rPr>
        <w:t>“niega absolutamente todos los extremos alegados y afirma que en ningún caso el Estado ha violado derecho alguno consagrado en la Convención Americana”.</w:t>
      </w:r>
    </w:p>
    <w:p w14:paraId="4FE95059" w14:textId="77777777" w:rsidR="00624D69" w:rsidRDefault="00624D6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517ACBA7" w14:textId="1E58696F" w:rsidR="00361735" w:rsidRDefault="00491628"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t>9</w:t>
      </w:r>
      <w:r w:rsidR="00F56012" w:rsidRPr="00CF630A">
        <w:rPr>
          <w:rFonts w:asciiTheme="majorHAnsi" w:hAnsiTheme="majorHAnsi"/>
          <w:sz w:val="20"/>
          <w:szCs w:val="20"/>
          <w:lang w:val="es-AR"/>
        </w:rPr>
        <w:t xml:space="preserve">. </w:t>
      </w:r>
      <w:r w:rsidR="00624D69">
        <w:rPr>
          <w:rFonts w:asciiTheme="majorHAnsi" w:hAnsiTheme="majorHAnsi"/>
          <w:sz w:val="20"/>
          <w:szCs w:val="20"/>
          <w:lang w:val="es-AR"/>
        </w:rPr>
        <w:tab/>
      </w:r>
      <w:r w:rsidR="00361735" w:rsidRPr="00CF630A">
        <w:rPr>
          <w:rFonts w:asciiTheme="majorHAnsi" w:hAnsiTheme="majorHAnsi"/>
          <w:sz w:val="20"/>
          <w:szCs w:val="20"/>
          <w:lang w:val="es-AR"/>
        </w:rPr>
        <w:t>Los argumentos sustantivos del Estado sobre la ausencia de violaciones de derechos humanos se resumen de la siguiente manera:</w:t>
      </w:r>
    </w:p>
    <w:p w14:paraId="72752B75" w14:textId="77777777" w:rsidR="00624D69" w:rsidRPr="00CF630A" w:rsidRDefault="00624D6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7B7234AE" w14:textId="535612BB" w:rsidR="00624D69" w:rsidRDefault="00361735"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w:t>
      </w:r>
      <w:r w:rsidR="00F56012" w:rsidRPr="00CF630A">
        <w:rPr>
          <w:rFonts w:asciiTheme="majorHAnsi" w:hAnsiTheme="majorHAnsi"/>
          <w:sz w:val="20"/>
          <w:szCs w:val="20"/>
          <w:lang w:val="es-AR"/>
        </w:rPr>
        <w:t>a</w:t>
      </w:r>
      <w:r w:rsidRPr="00CF630A">
        <w:rPr>
          <w:rFonts w:asciiTheme="majorHAnsi" w:hAnsiTheme="majorHAnsi"/>
          <w:sz w:val="20"/>
          <w:szCs w:val="20"/>
          <w:lang w:val="es-AR"/>
        </w:rPr>
        <w:t xml:space="preserve">) </w:t>
      </w:r>
      <w:r w:rsidR="0067021B">
        <w:rPr>
          <w:rFonts w:asciiTheme="majorHAnsi" w:hAnsiTheme="majorHAnsi"/>
          <w:sz w:val="20"/>
          <w:szCs w:val="20"/>
          <w:lang w:val="es-AR"/>
        </w:rPr>
        <w:tab/>
      </w:r>
      <w:r w:rsidR="0064735E" w:rsidRPr="00CF630A">
        <w:rPr>
          <w:rFonts w:asciiTheme="majorHAnsi" w:hAnsiTheme="majorHAnsi"/>
          <w:sz w:val="20"/>
          <w:szCs w:val="20"/>
          <w:lang w:val="es-AR"/>
        </w:rPr>
        <w:t>Con respecto a la alegada violación de la libertad personal, afirma el Estado que las medidas cautelares decretadas contra las presuntas víctimas fueron válidas, fundamentadas, y cumplieron con los presupuestos legales para su aplicación, dentro de los límites temporales allí establecidos. En este sentido</w:t>
      </w:r>
      <w:r w:rsidR="00624D69">
        <w:rPr>
          <w:rFonts w:asciiTheme="majorHAnsi" w:hAnsiTheme="majorHAnsi"/>
          <w:sz w:val="20"/>
          <w:szCs w:val="20"/>
          <w:lang w:val="es-AR"/>
        </w:rPr>
        <w:t>,</w:t>
      </w:r>
      <w:r w:rsidR="0064735E" w:rsidRPr="00CF630A">
        <w:rPr>
          <w:rFonts w:asciiTheme="majorHAnsi" w:hAnsiTheme="majorHAnsi"/>
          <w:sz w:val="20"/>
          <w:szCs w:val="20"/>
          <w:lang w:val="es-AR"/>
        </w:rPr>
        <w:t xml:space="preserve"> afirma que</w:t>
      </w:r>
      <w:r w:rsidR="00624D69">
        <w:rPr>
          <w:rFonts w:asciiTheme="majorHAnsi" w:hAnsiTheme="majorHAnsi"/>
          <w:sz w:val="20"/>
          <w:szCs w:val="20"/>
          <w:lang w:val="es-AR"/>
        </w:rPr>
        <w:t>:</w:t>
      </w:r>
    </w:p>
    <w:p w14:paraId="27462F7E" w14:textId="7D1A77C8" w:rsidR="00624D69" w:rsidRDefault="0064735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 xml:space="preserve"> </w:t>
      </w:r>
    </w:p>
    <w:p w14:paraId="3081E54D" w14:textId="44557715" w:rsidR="00361735" w:rsidRDefault="0064735E"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AR"/>
        </w:rPr>
      </w:pPr>
      <w:r w:rsidRPr="00624D69">
        <w:rPr>
          <w:rFonts w:asciiTheme="majorHAnsi" w:hAnsiTheme="majorHAnsi"/>
          <w:sz w:val="20"/>
          <w:szCs w:val="20"/>
          <w:lang w:val="es-AR"/>
        </w:rPr>
        <w:t xml:space="preserve">las medidas cautelares dictadas en los procedimientos penales tienen la finalidad de someter a los procesados a la jurisdicción de los tribunales nacionales y a las resultas del juicio. Por ello, la Comisión no puede dejar de considerar el hecho de que el señor Alan Alberto Flores Cabrera, disfrutando de libertad ambulatoria, se convirtió en prófugo del sistema judicial paraguayo días después de haber quedado firme la sentencia condenatoria, según se </w:t>
      </w:r>
      <w:r w:rsidRPr="00624D69">
        <w:rPr>
          <w:rFonts w:asciiTheme="majorHAnsi" w:hAnsiTheme="majorHAnsi"/>
          <w:sz w:val="20"/>
          <w:szCs w:val="20"/>
          <w:lang w:val="es-AR"/>
        </w:rPr>
        <w:lastRenderedPageBreak/>
        <w:t>vislumbra con la solicitud de asilo político presentada en la República Argentina en fecha 6 de junio de 2011.</w:t>
      </w:r>
    </w:p>
    <w:p w14:paraId="1DC6311B" w14:textId="77777777" w:rsidR="00624D69" w:rsidRPr="00624D69"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AR"/>
        </w:rPr>
      </w:pPr>
    </w:p>
    <w:p w14:paraId="7484DF4F" w14:textId="785D3DE1" w:rsidR="0064735E" w:rsidRDefault="00F56012"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 xml:space="preserve">(b) </w:t>
      </w:r>
      <w:r w:rsidR="00624D69">
        <w:rPr>
          <w:rFonts w:asciiTheme="majorHAnsi" w:hAnsiTheme="majorHAnsi"/>
          <w:sz w:val="20"/>
          <w:szCs w:val="20"/>
          <w:lang w:val="es-AR"/>
        </w:rPr>
        <w:tab/>
      </w:r>
      <w:r w:rsidR="0064735E" w:rsidRPr="00CF630A">
        <w:rPr>
          <w:rFonts w:asciiTheme="majorHAnsi" w:hAnsiTheme="majorHAnsi"/>
          <w:sz w:val="20"/>
          <w:szCs w:val="20"/>
          <w:lang w:val="es-AR"/>
        </w:rPr>
        <w:t xml:space="preserve">Frente al alegato </w:t>
      </w:r>
      <w:r w:rsidR="00624D69">
        <w:rPr>
          <w:rFonts w:asciiTheme="majorHAnsi" w:hAnsiTheme="majorHAnsi"/>
          <w:sz w:val="20"/>
          <w:szCs w:val="20"/>
          <w:lang w:val="es-AR"/>
        </w:rPr>
        <w:t>de</w:t>
      </w:r>
      <w:r w:rsidR="0064735E" w:rsidRPr="00CF630A">
        <w:rPr>
          <w:rFonts w:asciiTheme="majorHAnsi" w:hAnsiTheme="majorHAnsi"/>
          <w:sz w:val="20"/>
          <w:szCs w:val="20"/>
          <w:lang w:val="es-AR"/>
        </w:rPr>
        <w:t xml:space="preserve"> violación </w:t>
      </w:r>
      <w:r w:rsidR="00624D69">
        <w:rPr>
          <w:rFonts w:asciiTheme="majorHAnsi" w:hAnsiTheme="majorHAnsi"/>
          <w:sz w:val="20"/>
          <w:szCs w:val="20"/>
          <w:lang w:val="es-AR"/>
        </w:rPr>
        <w:t>al</w:t>
      </w:r>
      <w:r w:rsidR="0064735E" w:rsidRPr="00CF630A">
        <w:rPr>
          <w:rFonts w:asciiTheme="majorHAnsi" w:hAnsiTheme="majorHAnsi"/>
          <w:sz w:val="20"/>
          <w:szCs w:val="20"/>
          <w:lang w:val="es-AR"/>
        </w:rPr>
        <w:t xml:space="preserve"> derecho a la igualdad el Estado indica</w:t>
      </w:r>
      <w:r w:rsidR="00624D69">
        <w:rPr>
          <w:rFonts w:asciiTheme="majorHAnsi" w:hAnsiTheme="majorHAnsi"/>
          <w:sz w:val="20"/>
          <w:szCs w:val="20"/>
          <w:lang w:val="es-AR"/>
        </w:rPr>
        <w:t>,</w:t>
      </w:r>
      <w:r w:rsidR="0064735E" w:rsidRPr="00CF630A">
        <w:rPr>
          <w:rFonts w:asciiTheme="majorHAnsi" w:hAnsiTheme="majorHAnsi"/>
          <w:sz w:val="20"/>
          <w:szCs w:val="20"/>
          <w:lang w:val="es-AR"/>
        </w:rPr>
        <w:t xml:space="preserve"> en primer lugar</w:t>
      </w:r>
      <w:r w:rsidR="00624D69">
        <w:rPr>
          <w:rFonts w:asciiTheme="majorHAnsi" w:hAnsiTheme="majorHAnsi"/>
          <w:sz w:val="20"/>
          <w:szCs w:val="20"/>
          <w:lang w:val="es-AR"/>
        </w:rPr>
        <w:t>,</w:t>
      </w:r>
      <w:r w:rsidR="0064735E" w:rsidRPr="00CF630A">
        <w:rPr>
          <w:rFonts w:asciiTheme="majorHAnsi" w:hAnsiTheme="majorHAnsi"/>
          <w:sz w:val="20"/>
          <w:szCs w:val="20"/>
          <w:lang w:val="es-AR"/>
        </w:rPr>
        <w:t xml:space="preserve"> que los peticionarios fueron procesados y condenados junto con otras veinte personas, entre directivos y funcionarios del BNT, </w:t>
      </w:r>
      <w:r w:rsidR="0064735E" w:rsidRPr="00CF630A">
        <w:rPr>
          <w:rFonts w:asciiTheme="majorHAnsi" w:hAnsiTheme="majorHAnsi"/>
          <w:i/>
          <w:iCs/>
          <w:sz w:val="20"/>
          <w:szCs w:val="20"/>
          <w:lang w:val="es-AR"/>
        </w:rPr>
        <w:t xml:space="preserve">“con lo cual decae el débil argumento utilizado para intentar sostener la supuesta violación del derecho a la igualdad ante la ley </w:t>
      </w:r>
      <w:r w:rsidR="00624D69" w:rsidRPr="00624D69">
        <w:rPr>
          <w:rFonts w:asciiTheme="majorHAnsi" w:hAnsiTheme="majorHAnsi"/>
          <w:sz w:val="20"/>
          <w:szCs w:val="20"/>
          <w:lang w:val="es-AR"/>
        </w:rPr>
        <w:t>[</w:t>
      </w:r>
      <w:r w:rsidR="0064735E" w:rsidRPr="00624D69">
        <w:rPr>
          <w:rFonts w:asciiTheme="majorHAnsi" w:hAnsiTheme="majorHAnsi"/>
          <w:sz w:val="20"/>
          <w:szCs w:val="20"/>
          <w:lang w:val="es-AR"/>
        </w:rPr>
        <w:t>…</w:t>
      </w:r>
      <w:r w:rsidR="00624D69" w:rsidRPr="00624D69">
        <w:rPr>
          <w:rFonts w:asciiTheme="majorHAnsi" w:hAnsiTheme="majorHAnsi"/>
          <w:sz w:val="20"/>
          <w:szCs w:val="20"/>
          <w:lang w:val="es-AR"/>
        </w:rPr>
        <w:t>]</w:t>
      </w:r>
      <w:r w:rsidR="0064735E" w:rsidRPr="00CF630A">
        <w:rPr>
          <w:rFonts w:asciiTheme="majorHAnsi" w:hAnsiTheme="majorHAnsi"/>
          <w:i/>
          <w:iCs/>
          <w:sz w:val="20"/>
          <w:szCs w:val="20"/>
          <w:lang w:val="es-AR"/>
        </w:rPr>
        <w:t xml:space="preserve"> basados en que la causa penal habría sido una supuesta persecución sindical”</w:t>
      </w:r>
      <w:r w:rsidR="0064735E" w:rsidRPr="00CF630A">
        <w:rPr>
          <w:rFonts w:asciiTheme="majorHAnsi" w:hAnsiTheme="majorHAnsi"/>
          <w:sz w:val="20"/>
          <w:szCs w:val="20"/>
          <w:lang w:val="es-AR"/>
        </w:rPr>
        <w:t xml:space="preserve">. Enfatiza que en virtud del artículo 33 del Código Penal, cada partícipe de un hecho punible es sancionado según su responsabilidad e independientemente de la responsabilidad de otros, </w:t>
      </w:r>
      <w:r w:rsidR="0064735E" w:rsidRPr="00CF630A">
        <w:rPr>
          <w:rFonts w:asciiTheme="majorHAnsi" w:hAnsiTheme="majorHAnsi"/>
          <w:i/>
          <w:iCs/>
          <w:sz w:val="20"/>
          <w:szCs w:val="20"/>
          <w:lang w:val="es-AR"/>
        </w:rPr>
        <w:t>“y en base a este precepto fueron condenados según su propio grado de participación y culpabilidad en la comisión de los delitos que les fueron sindicados y comprobados en juicio”</w:t>
      </w:r>
      <w:r w:rsidR="00624D69">
        <w:rPr>
          <w:rFonts w:asciiTheme="majorHAnsi" w:hAnsiTheme="majorHAnsi"/>
          <w:sz w:val="20"/>
          <w:szCs w:val="20"/>
          <w:lang w:val="es-AR"/>
        </w:rPr>
        <w:t>. P</w:t>
      </w:r>
      <w:r w:rsidR="0064735E" w:rsidRPr="00CF630A">
        <w:rPr>
          <w:rFonts w:asciiTheme="majorHAnsi" w:hAnsiTheme="majorHAnsi"/>
          <w:sz w:val="20"/>
          <w:szCs w:val="20"/>
          <w:lang w:val="es-AR"/>
        </w:rPr>
        <w:t>ara el Paraguay, la correcta aplicación de esta disposición legal en el marco del juicio penal desvirtúa la supuesta discriminación invocada en la petición.</w:t>
      </w:r>
    </w:p>
    <w:p w14:paraId="2C1BD196" w14:textId="77777777" w:rsidR="00624D69" w:rsidRPr="00CF630A"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61E33337" w14:textId="219278B7" w:rsidR="0064735E" w:rsidRDefault="00F56012"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 xml:space="preserve">(c) </w:t>
      </w:r>
      <w:r w:rsidR="00624D69">
        <w:rPr>
          <w:rFonts w:asciiTheme="majorHAnsi" w:hAnsiTheme="majorHAnsi"/>
          <w:sz w:val="20"/>
          <w:szCs w:val="20"/>
          <w:lang w:val="es-AR"/>
        </w:rPr>
        <w:tab/>
      </w:r>
      <w:r w:rsidR="0064735E" w:rsidRPr="00CF630A">
        <w:rPr>
          <w:rFonts w:asciiTheme="majorHAnsi" w:hAnsiTheme="majorHAnsi"/>
          <w:sz w:val="20"/>
          <w:szCs w:val="20"/>
          <w:lang w:val="es-AR"/>
        </w:rPr>
        <w:t>Con respecto a la alegada violación de la presunción de inocencia, el Estado presenta distintos alegatos sustantivos y probatorios tendientes a demostrar que los jueces paraguayos consideraron demostrado que</w:t>
      </w:r>
      <w:r w:rsidR="004C7C88">
        <w:rPr>
          <w:rFonts w:asciiTheme="majorHAnsi" w:hAnsiTheme="majorHAnsi"/>
          <w:sz w:val="20"/>
          <w:szCs w:val="20"/>
          <w:lang w:val="es-AR"/>
        </w:rPr>
        <w:t xml:space="preserve"> los señores</w:t>
      </w:r>
      <w:r w:rsidR="0064735E" w:rsidRPr="00CF630A">
        <w:rPr>
          <w:rFonts w:asciiTheme="majorHAnsi" w:hAnsiTheme="majorHAnsi"/>
          <w:sz w:val="20"/>
          <w:szCs w:val="20"/>
          <w:lang w:val="es-AR"/>
        </w:rPr>
        <w:t xml:space="preserve"> Flores y Orrego efectivamente incurrieron en la conducta ilícita por la cual fueron condenados</w:t>
      </w:r>
      <w:r w:rsidR="00103F8A" w:rsidRPr="00CF630A">
        <w:rPr>
          <w:rFonts w:asciiTheme="majorHAnsi" w:hAnsiTheme="majorHAnsi"/>
          <w:sz w:val="20"/>
          <w:szCs w:val="20"/>
          <w:lang w:val="es-AR"/>
        </w:rPr>
        <w:t xml:space="preserve">. El Estado luego precisa el rol específico que los jueces consideraron demostrado jugaron tanto el señor Flores como el señor Orrego en las operaciones crediticias, por ellos solicitadas sin cumplir con los requisitos legales para ello ni proveer garantías idóneas de cumplimiento. </w:t>
      </w:r>
    </w:p>
    <w:p w14:paraId="40C9B9F3" w14:textId="77777777" w:rsidR="00624D69" w:rsidRPr="00CF630A"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09486852" w14:textId="6D10E108" w:rsidR="00103F8A"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 xml:space="preserve">(d) </w:t>
      </w:r>
      <w:r w:rsidR="00624D69">
        <w:rPr>
          <w:rFonts w:asciiTheme="majorHAnsi" w:hAnsiTheme="majorHAnsi"/>
          <w:sz w:val="20"/>
          <w:szCs w:val="20"/>
          <w:lang w:val="es-AR"/>
        </w:rPr>
        <w:tab/>
      </w:r>
      <w:r w:rsidR="00103F8A" w:rsidRPr="00CF630A">
        <w:rPr>
          <w:rFonts w:asciiTheme="majorHAnsi" w:hAnsiTheme="majorHAnsi"/>
          <w:sz w:val="20"/>
          <w:szCs w:val="20"/>
          <w:lang w:val="es-AR"/>
        </w:rPr>
        <w:t xml:space="preserve">Sobre la alegada violación del principio de no retroactividad de la ley penal, el Estado alega que si bien los hechos fueron cometidos bajo la vigencia del Código Penal de 1910 que consagraba las figuras de defraudación agravada y estafa, la sanción a los acusados se impuso tras la subsunción de sus conductas bajo la figura de la lesión de </w:t>
      </w:r>
      <w:r w:rsidR="00624D69">
        <w:rPr>
          <w:rFonts w:asciiTheme="majorHAnsi" w:hAnsiTheme="majorHAnsi"/>
          <w:sz w:val="20"/>
          <w:szCs w:val="20"/>
          <w:lang w:val="es-AR"/>
        </w:rPr>
        <w:t>c</w:t>
      </w:r>
      <w:r w:rsidR="00103F8A" w:rsidRPr="00CF630A">
        <w:rPr>
          <w:rFonts w:asciiTheme="majorHAnsi" w:hAnsiTheme="majorHAnsi"/>
          <w:sz w:val="20"/>
          <w:szCs w:val="20"/>
          <w:lang w:val="es-AR"/>
        </w:rPr>
        <w:t xml:space="preserve">onfianza prevista en el Código Penal vigente a partir de 1998, </w:t>
      </w:r>
      <w:r w:rsidR="00103F8A" w:rsidRPr="00CF630A">
        <w:rPr>
          <w:rFonts w:asciiTheme="majorHAnsi" w:hAnsiTheme="majorHAnsi"/>
          <w:i/>
          <w:iCs/>
          <w:sz w:val="20"/>
          <w:szCs w:val="20"/>
          <w:lang w:val="es-AR"/>
        </w:rPr>
        <w:t>“teniéndose en cuenta la ley más benigna para los condenados”</w:t>
      </w:r>
      <w:r w:rsidR="00103F8A" w:rsidRPr="00CF630A">
        <w:rPr>
          <w:rFonts w:asciiTheme="majorHAnsi" w:hAnsiTheme="majorHAnsi"/>
          <w:sz w:val="20"/>
          <w:szCs w:val="20"/>
          <w:lang w:val="es-AR"/>
        </w:rPr>
        <w:t>. El Estado argumenta en forma extensa que dicha aplicación del principio de favorabilidad tuvo sustento en la legislación penal doméstica y fue compatible con la Convención Americana; y enfatiza que si se les hubiera aplicado el antiguo Código Penal, se les habría impuesto una pena más gravosa, de conformidad con las reglas de dosificación punitiva allí establecidas.</w:t>
      </w:r>
    </w:p>
    <w:p w14:paraId="3B95E7F1" w14:textId="77777777" w:rsidR="00624D69" w:rsidRPr="00CF630A" w:rsidRDefault="00624D6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16A5FC3E" w14:textId="6FEB4CCB" w:rsidR="00103F8A" w:rsidRDefault="00F56012"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 xml:space="preserve">(e) </w:t>
      </w:r>
      <w:r w:rsidR="00491628">
        <w:rPr>
          <w:rFonts w:asciiTheme="majorHAnsi" w:hAnsiTheme="majorHAnsi"/>
          <w:sz w:val="20"/>
          <w:szCs w:val="20"/>
          <w:lang w:val="es-AR"/>
        </w:rPr>
        <w:tab/>
      </w:r>
      <w:r w:rsidR="00103F8A" w:rsidRPr="00CF630A">
        <w:rPr>
          <w:rFonts w:asciiTheme="majorHAnsi" w:hAnsiTheme="majorHAnsi"/>
          <w:sz w:val="20"/>
          <w:szCs w:val="20"/>
          <w:lang w:val="es-AR"/>
        </w:rPr>
        <w:t>En cuanto a la aludida violación del plazo razonable en el procesamiento penal, el Estado afirma que ello no se configuró, sino que el proceso se desenvolvió dentro de un término acorde a los parámetros normales, teniendo en cuenta la extrema complejidad de la causa, la cantidad de procesados y la gravedad de las conductas penales investigadas, así como los numerosos recursos planteados por cada uno de los encausados, la querella y el Ministerio Público.</w:t>
      </w:r>
      <w:r w:rsidR="0080692D" w:rsidRPr="00CF630A">
        <w:rPr>
          <w:rFonts w:asciiTheme="majorHAnsi" w:hAnsiTheme="majorHAnsi"/>
          <w:sz w:val="20"/>
          <w:szCs w:val="20"/>
          <w:lang w:val="es-AR"/>
        </w:rPr>
        <w:t xml:space="preserve"> El Estado resalta que el proceso consta de 197 tomos de 200 fojas cada uno, y que </w:t>
      </w:r>
      <w:r w:rsidR="0080692D" w:rsidRPr="00CF630A">
        <w:rPr>
          <w:rFonts w:asciiTheme="majorHAnsi" w:hAnsiTheme="majorHAnsi"/>
          <w:i/>
          <w:iCs/>
          <w:sz w:val="20"/>
          <w:szCs w:val="20"/>
          <w:lang w:val="es-AR"/>
        </w:rPr>
        <w:t xml:space="preserve">“las distintas actuaciones que enlentecieron el trámite del proceso </w:t>
      </w:r>
      <w:r w:rsidR="004C7C88">
        <w:rPr>
          <w:rFonts w:asciiTheme="majorHAnsi" w:hAnsiTheme="majorHAnsi"/>
          <w:i/>
          <w:iCs/>
          <w:sz w:val="20"/>
          <w:szCs w:val="20"/>
          <w:lang w:val="es-AR"/>
        </w:rPr>
        <w:t>s</w:t>
      </w:r>
      <w:r w:rsidR="0080692D" w:rsidRPr="00CF630A">
        <w:rPr>
          <w:rFonts w:asciiTheme="majorHAnsi" w:hAnsiTheme="majorHAnsi"/>
          <w:i/>
          <w:iCs/>
          <w:sz w:val="20"/>
          <w:szCs w:val="20"/>
          <w:lang w:val="es-AR"/>
        </w:rPr>
        <w:t>e produjeron por requerimiento expreso de los acusados”</w:t>
      </w:r>
      <w:r w:rsidR="0080692D" w:rsidRPr="00CF630A">
        <w:rPr>
          <w:rFonts w:asciiTheme="majorHAnsi" w:hAnsiTheme="majorHAnsi"/>
          <w:sz w:val="20"/>
          <w:szCs w:val="20"/>
          <w:lang w:val="es-AR"/>
        </w:rPr>
        <w:t xml:space="preserve">, siendo resueltas por las autoridades judiciales dentro de plazos razonables y sin demoras injustificadas. A este respecto Paraguay cita </w:t>
      </w:r>
      <w:r w:rsidR="0080692D" w:rsidRPr="00CF630A">
        <w:rPr>
          <w:rFonts w:asciiTheme="majorHAnsi" w:hAnsiTheme="majorHAnsi"/>
          <w:i/>
          <w:iCs/>
          <w:sz w:val="20"/>
          <w:szCs w:val="20"/>
          <w:lang w:val="es-AR"/>
        </w:rPr>
        <w:t>in extenso</w:t>
      </w:r>
      <w:r w:rsidR="0080692D" w:rsidRPr="00CF630A">
        <w:rPr>
          <w:rFonts w:asciiTheme="majorHAnsi" w:hAnsiTheme="majorHAnsi"/>
          <w:sz w:val="20"/>
          <w:szCs w:val="20"/>
          <w:lang w:val="es-AR"/>
        </w:rPr>
        <w:t xml:space="preserve"> la decisión de la Corte Suprema de Justicia que rechazó la solicitud de prescripción de la acción penal.</w:t>
      </w:r>
    </w:p>
    <w:p w14:paraId="0F7654DD" w14:textId="77777777" w:rsidR="00624D69" w:rsidRPr="00CF630A"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7681CE8E" w14:textId="434D425C" w:rsidR="0080692D" w:rsidRDefault="00F56012"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AR"/>
        </w:rPr>
      </w:pPr>
      <w:r w:rsidRPr="00CF630A">
        <w:rPr>
          <w:rFonts w:asciiTheme="majorHAnsi" w:hAnsiTheme="majorHAnsi"/>
          <w:sz w:val="20"/>
          <w:szCs w:val="20"/>
          <w:lang w:val="es-AR"/>
        </w:rPr>
        <w:t xml:space="preserve">(f) </w:t>
      </w:r>
      <w:r w:rsidR="00491628">
        <w:rPr>
          <w:rFonts w:asciiTheme="majorHAnsi" w:hAnsiTheme="majorHAnsi"/>
          <w:sz w:val="20"/>
          <w:szCs w:val="20"/>
          <w:lang w:val="es-AR"/>
        </w:rPr>
        <w:tab/>
      </w:r>
      <w:r w:rsidR="0080692D" w:rsidRPr="00CF630A">
        <w:rPr>
          <w:rFonts w:asciiTheme="majorHAnsi" w:hAnsiTheme="majorHAnsi"/>
          <w:sz w:val="20"/>
          <w:szCs w:val="20"/>
          <w:lang w:val="es-AR"/>
        </w:rPr>
        <w:t xml:space="preserve">Sobre la alegada falta de notificación a los procesados sobre la integración de la Sala Penal que los juzgaría en la Corte Suprema de Justicia, el Estado afirma que </w:t>
      </w:r>
      <w:r w:rsidR="0080692D" w:rsidRPr="00CF630A">
        <w:rPr>
          <w:rFonts w:asciiTheme="majorHAnsi" w:hAnsiTheme="majorHAnsi"/>
          <w:i/>
          <w:iCs/>
          <w:sz w:val="20"/>
          <w:szCs w:val="20"/>
          <w:lang w:val="es-AR"/>
        </w:rPr>
        <w:t>“las normas del Código Procesal Penal paraguayo establecen motivos de recusación, los cuales no han sido utilizados en su momento por los peticionarios, ni en la petición se vislumbra el motivo de agravio de los denunciantes en este punto”.</w:t>
      </w:r>
    </w:p>
    <w:p w14:paraId="74453110" w14:textId="77777777" w:rsidR="00624D69" w:rsidRPr="00CF630A"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56E960B8" w14:textId="05F79373" w:rsidR="0080692D" w:rsidRPr="00CF630A"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 xml:space="preserve">(g) </w:t>
      </w:r>
      <w:r w:rsidR="00491628">
        <w:rPr>
          <w:rFonts w:asciiTheme="majorHAnsi" w:hAnsiTheme="majorHAnsi"/>
          <w:sz w:val="20"/>
          <w:szCs w:val="20"/>
          <w:lang w:val="es-AR"/>
        </w:rPr>
        <w:tab/>
      </w:r>
      <w:r w:rsidR="0080692D" w:rsidRPr="00CF630A">
        <w:rPr>
          <w:rFonts w:asciiTheme="majorHAnsi" w:hAnsiTheme="majorHAnsi"/>
          <w:sz w:val="20"/>
          <w:szCs w:val="20"/>
          <w:lang w:val="es-AR"/>
        </w:rPr>
        <w:t xml:space="preserve">En lo referente a la motivación del fallo, el Estado afirma que las sentencias condenatorias tienen adecuada y razonable fundamentación, y </w:t>
      </w:r>
      <w:r w:rsidR="00624D69">
        <w:rPr>
          <w:rFonts w:asciiTheme="majorHAnsi" w:hAnsiTheme="majorHAnsi"/>
          <w:sz w:val="20"/>
          <w:szCs w:val="20"/>
          <w:lang w:val="es-AR"/>
        </w:rPr>
        <w:t>explica</w:t>
      </w:r>
      <w:r w:rsidR="0080692D" w:rsidRPr="00CF630A">
        <w:rPr>
          <w:rFonts w:asciiTheme="majorHAnsi" w:hAnsiTheme="majorHAnsi"/>
          <w:sz w:val="20"/>
          <w:szCs w:val="20"/>
          <w:lang w:val="es-AR"/>
        </w:rPr>
        <w:t xml:space="preserve"> por qué sí se demostró que hubo un daño patrimonial al BNT a causa de las insuficientes garantías crediticias aportadas al negocio de los nichos funerarios.</w:t>
      </w:r>
    </w:p>
    <w:p w14:paraId="6E6E61ED" w14:textId="77777777" w:rsidR="00624D69" w:rsidRDefault="00624D6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7E74945D" w14:textId="05E055F5" w:rsidR="0080692D" w:rsidRPr="00CF630A"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sidRPr="00CF630A">
        <w:rPr>
          <w:rFonts w:asciiTheme="majorHAnsi" w:hAnsiTheme="majorHAnsi"/>
          <w:sz w:val="20"/>
          <w:szCs w:val="20"/>
          <w:lang w:val="es-AR"/>
        </w:rPr>
        <w:t xml:space="preserve">(h) </w:t>
      </w:r>
      <w:r w:rsidR="00491628">
        <w:rPr>
          <w:rFonts w:asciiTheme="majorHAnsi" w:hAnsiTheme="majorHAnsi"/>
          <w:sz w:val="20"/>
          <w:szCs w:val="20"/>
          <w:lang w:val="es-AR"/>
        </w:rPr>
        <w:tab/>
      </w:r>
      <w:r w:rsidR="0080692D" w:rsidRPr="00CF630A">
        <w:rPr>
          <w:rFonts w:asciiTheme="majorHAnsi" w:hAnsiTheme="majorHAnsi"/>
          <w:sz w:val="20"/>
          <w:szCs w:val="20"/>
          <w:lang w:val="es-AR"/>
        </w:rPr>
        <w:t>Sobre la supuesta violación de la libertad de asociación y la libertad sindical, el Estado afirma que es un alegato sin fundamento, remitiéndose a su descripción de las razones de fondo por las cuales las presuntas víctimas fueron procesadas y condenadas penalmente; y resalta que las organizaciones sindicales a las que pertenecen los peticionarios han continuado operando con normalidad, incluso participando en las reuniones y actividades de la OIT.</w:t>
      </w:r>
    </w:p>
    <w:p w14:paraId="400A9F22" w14:textId="77777777" w:rsidR="00624D69"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54E95A5D" w14:textId="6650EF14" w:rsidR="00EF1927" w:rsidRDefault="00491628"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r>
        <w:rPr>
          <w:rFonts w:asciiTheme="majorHAnsi" w:hAnsiTheme="majorHAnsi"/>
          <w:sz w:val="20"/>
          <w:szCs w:val="20"/>
          <w:lang w:val="es-AR"/>
        </w:rPr>
        <w:lastRenderedPageBreak/>
        <w:t>10</w:t>
      </w:r>
      <w:r w:rsidR="00F56012" w:rsidRPr="00CF630A">
        <w:rPr>
          <w:rFonts w:asciiTheme="majorHAnsi" w:hAnsiTheme="majorHAnsi"/>
          <w:sz w:val="20"/>
          <w:szCs w:val="20"/>
          <w:lang w:val="es-AR"/>
        </w:rPr>
        <w:t xml:space="preserve">. </w:t>
      </w:r>
      <w:r>
        <w:rPr>
          <w:rFonts w:asciiTheme="majorHAnsi" w:hAnsiTheme="majorHAnsi"/>
          <w:sz w:val="20"/>
          <w:szCs w:val="20"/>
          <w:lang w:val="es-AR"/>
        </w:rPr>
        <w:tab/>
      </w:r>
      <w:r w:rsidR="0080692D" w:rsidRPr="00CF630A">
        <w:rPr>
          <w:rFonts w:asciiTheme="majorHAnsi" w:hAnsiTheme="majorHAnsi"/>
          <w:sz w:val="20"/>
          <w:szCs w:val="20"/>
          <w:lang w:val="es-AR"/>
        </w:rPr>
        <w:t>Finalmente, e</w:t>
      </w:r>
      <w:r w:rsidR="0064735E" w:rsidRPr="00CF630A">
        <w:rPr>
          <w:rFonts w:asciiTheme="majorHAnsi" w:hAnsiTheme="majorHAnsi"/>
          <w:sz w:val="20"/>
          <w:szCs w:val="20"/>
          <w:lang w:val="es-AR"/>
        </w:rPr>
        <w:t xml:space="preserve">n cuanto al recurso de los peticionarios al sistema interamericano en tanto cuarta instancia internacional, el Estado afirma que no se violó ninguna garantía de las presuntas víctimas en el curso del proceso penal. </w:t>
      </w:r>
      <w:r w:rsidR="0080692D" w:rsidRPr="00CF630A">
        <w:rPr>
          <w:rFonts w:asciiTheme="majorHAnsi" w:hAnsiTheme="majorHAnsi"/>
          <w:sz w:val="20"/>
          <w:szCs w:val="20"/>
          <w:lang w:val="es-AR"/>
        </w:rPr>
        <w:t xml:space="preserve">Precisa que los señores Flores y </w:t>
      </w:r>
      <w:r w:rsidR="00C30322" w:rsidRPr="00CF630A">
        <w:rPr>
          <w:rFonts w:asciiTheme="majorHAnsi" w:hAnsiTheme="majorHAnsi"/>
          <w:sz w:val="20"/>
          <w:szCs w:val="20"/>
          <w:lang w:val="es-AR"/>
        </w:rPr>
        <w:t>Orrego</w:t>
      </w:r>
      <w:r w:rsidR="0080692D" w:rsidRPr="00CF630A">
        <w:rPr>
          <w:rFonts w:asciiTheme="majorHAnsi" w:hAnsiTheme="majorHAnsi"/>
          <w:sz w:val="20"/>
          <w:szCs w:val="20"/>
          <w:lang w:val="es-AR"/>
        </w:rPr>
        <w:t xml:space="preserve"> fueron oídos en debida forma, con plenas garantías, por tribunales competentes, independientes e imparciales, y que ejercieron su derecho a impugnar las decisiones de primera y segunda instancia, recibiendo decisiones adoptadas en períodos razonables </w:t>
      </w:r>
      <w:r w:rsidRPr="00CF630A">
        <w:rPr>
          <w:rFonts w:asciiTheme="majorHAnsi" w:hAnsiTheme="majorHAnsi"/>
          <w:sz w:val="20"/>
          <w:szCs w:val="20"/>
          <w:lang w:val="es-AR"/>
        </w:rPr>
        <w:t>de acuerdo con</w:t>
      </w:r>
      <w:r w:rsidR="0080692D" w:rsidRPr="00CF630A">
        <w:rPr>
          <w:rFonts w:asciiTheme="majorHAnsi" w:hAnsiTheme="majorHAnsi"/>
          <w:sz w:val="20"/>
          <w:szCs w:val="20"/>
          <w:lang w:val="es-AR"/>
        </w:rPr>
        <w:t xml:space="preserve"> las circunstancias del caso. </w:t>
      </w:r>
      <w:r w:rsidR="0064735E" w:rsidRPr="00CF630A">
        <w:rPr>
          <w:rFonts w:asciiTheme="majorHAnsi" w:hAnsiTheme="majorHAnsi"/>
          <w:sz w:val="20"/>
          <w:szCs w:val="20"/>
          <w:lang w:val="es-AR"/>
        </w:rPr>
        <w:t>Considera</w:t>
      </w:r>
      <w:r w:rsidR="0080692D" w:rsidRPr="00CF630A">
        <w:rPr>
          <w:rFonts w:asciiTheme="majorHAnsi" w:hAnsiTheme="majorHAnsi"/>
          <w:sz w:val="20"/>
          <w:szCs w:val="20"/>
          <w:lang w:val="es-AR"/>
        </w:rPr>
        <w:t>, por ello,</w:t>
      </w:r>
      <w:r w:rsidR="0064735E" w:rsidRPr="00CF630A">
        <w:rPr>
          <w:rFonts w:asciiTheme="majorHAnsi" w:hAnsiTheme="majorHAnsi"/>
          <w:sz w:val="20"/>
          <w:szCs w:val="20"/>
          <w:lang w:val="es-AR"/>
        </w:rPr>
        <w:t xml:space="preserve"> que los peticionarios han manifestado simplemente su desacuerdo con la interpretación y aplicación del derecho a los hechos del caso por los jueces domésticos, lo cual no es una razón suficiente para admitir la petición.</w:t>
      </w:r>
    </w:p>
    <w:p w14:paraId="344243FA" w14:textId="77777777" w:rsidR="00491628" w:rsidRPr="00CF630A" w:rsidRDefault="00491628"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AR"/>
        </w:rPr>
      </w:pPr>
    </w:p>
    <w:p w14:paraId="3BD05CC7" w14:textId="6D369C0B" w:rsidR="00436432" w:rsidRPr="00CF630A" w:rsidRDefault="003239B8" w:rsidP="00CF630A">
      <w:pPr>
        <w:ind w:firstLine="720"/>
        <w:jc w:val="both"/>
        <w:rPr>
          <w:rFonts w:asciiTheme="majorHAnsi" w:eastAsia="Cambria" w:hAnsiTheme="majorHAnsi" w:cs="Cambria"/>
          <w:b/>
          <w:bCs/>
          <w:color w:val="000000"/>
          <w:sz w:val="20"/>
          <w:szCs w:val="20"/>
          <w:u w:color="000000"/>
          <w:lang w:val="es-ES" w:eastAsia="es-ES"/>
        </w:rPr>
      </w:pPr>
      <w:r w:rsidRPr="00CF630A">
        <w:rPr>
          <w:rFonts w:asciiTheme="majorHAnsi" w:eastAsia="Cambria" w:hAnsiTheme="majorHAnsi" w:cs="Cambria"/>
          <w:b/>
          <w:bCs/>
          <w:color w:val="000000"/>
          <w:sz w:val="20"/>
          <w:szCs w:val="20"/>
          <w:u w:color="000000"/>
          <w:lang w:val="es-ES" w:eastAsia="es-ES"/>
        </w:rPr>
        <w:t>VI.</w:t>
      </w:r>
      <w:r w:rsidR="00436432" w:rsidRPr="00CF630A">
        <w:rPr>
          <w:rFonts w:asciiTheme="majorHAnsi" w:eastAsia="Cambria" w:hAnsiTheme="majorHAnsi" w:cs="Cambria"/>
          <w:b/>
          <w:bCs/>
          <w:color w:val="000000"/>
          <w:sz w:val="20"/>
          <w:szCs w:val="20"/>
          <w:u w:color="000000"/>
          <w:lang w:val="es-ES" w:eastAsia="es-ES"/>
        </w:rPr>
        <w:t xml:space="preserve">  </w:t>
      </w:r>
      <w:r w:rsidR="00491628">
        <w:rPr>
          <w:rFonts w:asciiTheme="majorHAnsi" w:eastAsia="Cambria" w:hAnsiTheme="majorHAnsi" w:cs="Cambria"/>
          <w:b/>
          <w:bCs/>
          <w:color w:val="000000"/>
          <w:sz w:val="20"/>
          <w:szCs w:val="20"/>
          <w:u w:color="000000"/>
          <w:lang w:val="es-ES" w:eastAsia="es-ES"/>
        </w:rPr>
        <w:tab/>
      </w:r>
      <w:r w:rsidR="00436432" w:rsidRPr="00CF630A">
        <w:rPr>
          <w:rFonts w:asciiTheme="majorHAnsi" w:eastAsia="Cambria" w:hAnsiTheme="majorHAnsi" w:cs="Cambria"/>
          <w:b/>
          <w:bCs/>
          <w:color w:val="000000"/>
          <w:sz w:val="20"/>
          <w:szCs w:val="20"/>
          <w:u w:color="000000"/>
          <w:lang w:val="es-ES" w:eastAsia="es-ES"/>
        </w:rPr>
        <w:t>ANÁLISIS DE DUPLICACIÓN DE PROCEDIMIENTOS INTERNACIONALES</w:t>
      </w:r>
    </w:p>
    <w:p w14:paraId="0EFAD897" w14:textId="77777777" w:rsidR="00491628" w:rsidRDefault="00491628" w:rsidP="00CF630A">
      <w:pPr>
        <w:ind w:firstLine="720"/>
        <w:jc w:val="both"/>
        <w:rPr>
          <w:rFonts w:asciiTheme="majorHAnsi" w:eastAsia="Cambria" w:hAnsiTheme="majorHAnsi" w:cs="Cambria"/>
          <w:color w:val="000000"/>
          <w:sz w:val="20"/>
          <w:szCs w:val="20"/>
          <w:u w:color="000000"/>
          <w:lang w:val="es-ES" w:eastAsia="es-ES"/>
        </w:rPr>
      </w:pPr>
    </w:p>
    <w:p w14:paraId="53EC325E" w14:textId="40335F4B" w:rsidR="00491628" w:rsidRDefault="00F56012" w:rsidP="00CF630A">
      <w:pPr>
        <w:ind w:firstLine="720"/>
        <w:jc w:val="both"/>
        <w:rPr>
          <w:rFonts w:asciiTheme="majorHAnsi" w:eastAsia="Cambria" w:hAnsiTheme="majorHAnsi" w:cs="Cambria"/>
          <w:color w:val="000000"/>
          <w:sz w:val="20"/>
          <w:szCs w:val="20"/>
          <w:u w:color="000000"/>
          <w:lang w:val="es-ES" w:eastAsia="es-ES"/>
        </w:rPr>
      </w:pPr>
      <w:r w:rsidRPr="00CF630A">
        <w:rPr>
          <w:rFonts w:asciiTheme="majorHAnsi" w:eastAsia="Cambria" w:hAnsiTheme="majorHAnsi" w:cs="Cambria"/>
          <w:color w:val="000000"/>
          <w:sz w:val="20"/>
          <w:szCs w:val="20"/>
          <w:u w:color="000000"/>
          <w:lang w:val="es-ES" w:eastAsia="es-ES"/>
        </w:rPr>
        <w:t>1</w:t>
      </w:r>
      <w:r w:rsidR="00491628">
        <w:rPr>
          <w:rFonts w:asciiTheme="majorHAnsi" w:eastAsia="Cambria" w:hAnsiTheme="majorHAnsi" w:cs="Cambria"/>
          <w:color w:val="000000"/>
          <w:sz w:val="20"/>
          <w:szCs w:val="20"/>
          <w:u w:color="000000"/>
          <w:lang w:val="es-ES" w:eastAsia="es-ES"/>
        </w:rPr>
        <w:t>1</w:t>
      </w:r>
      <w:r w:rsidRPr="00CF630A">
        <w:rPr>
          <w:rFonts w:asciiTheme="majorHAnsi" w:eastAsia="Cambria" w:hAnsiTheme="majorHAnsi" w:cs="Cambria"/>
          <w:color w:val="000000"/>
          <w:sz w:val="20"/>
          <w:szCs w:val="20"/>
          <w:u w:color="000000"/>
          <w:lang w:val="es-ES" w:eastAsia="es-ES"/>
        </w:rPr>
        <w:t xml:space="preserve">. </w:t>
      </w:r>
      <w:r w:rsidR="00491628">
        <w:rPr>
          <w:rFonts w:asciiTheme="majorHAnsi" w:eastAsia="Cambria" w:hAnsiTheme="majorHAnsi" w:cs="Cambria"/>
          <w:color w:val="000000"/>
          <w:sz w:val="20"/>
          <w:szCs w:val="20"/>
          <w:u w:color="000000"/>
          <w:lang w:val="es-ES" w:eastAsia="es-ES"/>
        </w:rPr>
        <w:tab/>
      </w:r>
      <w:r w:rsidR="00436432" w:rsidRPr="00CF630A">
        <w:rPr>
          <w:rFonts w:asciiTheme="majorHAnsi" w:eastAsia="Cambria" w:hAnsiTheme="majorHAnsi" w:cs="Cambria"/>
          <w:color w:val="000000"/>
          <w:sz w:val="20"/>
          <w:szCs w:val="20"/>
          <w:u w:color="000000"/>
          <w:lang w:val="es-ES" w:eastAsia="es-ES"/>
        </w:rPr>
        <w:t xml:space="preserve">Como primera medida, la Comisión debe determinar si existe duplicación de procedimientos internacionales en el presente caso, teniendo en cuenta que </w:t>
      </w:r>
      <w:r w:rsidRPr="00CF630A">
        <w:rPr>
          <w:rFonts w:asciiTheme="majorHAnsi" w:eastAsia="Cambria" w:hAnsiTheme="majorHAnsi" w:cs="Cambria"/>
          <w:color w:val="000000"/>
          <w:sz w:val="20"/>
          <w:szCs w:val="20"/>
          <w:u w:color="000000"/>
          <w:lang w:val="es-ES" w:eastAsia="es-ES"/>
        </w:rPr>
        <w:t xml:space="preserve">la Organización Internacional del Trabajo – OIT </w:t>
      </w:r>
      <w:r w:rsidR="00436432" w:rsidRPr="00CF630A">
        <w:rPr>
          <w:rFonts w:asciiTheme="majorHAnsi" w:eastAsia="Cambria" w:hAnsiTheme="majorHAnsi" w:cs="Cambria"/>
          <w:color w:val="000000"/>
          <w:sz w:val="20"/>
          <w:szCs w:val="20"/>
          <w:u w:color="000000"/>
          <w:lang w:val="es-ES" w:eastAsia="es-ES"/>
        </w:rPr>
        <w:t xml:space="preserve">ha emitido </w:t>
      </w:r>
      <w:r w:rsidRPr="00CF630A">
        <w:rPr>
          <w:rFonts w:asciiTheme="majorHAnsi" w:eastAsia="Cambria" w:hAnsiTheme="majorHAnsi" w:cs="Cambria"/>
          <w:color w:val="000000"/>
          <w:sz w:val="20"/>
          <w:szCs w:val="20"/>
          <w:u w:color="000000"/>
          <w:lang w:val="es-ES" w:eastAsia="es-ES"/>
        </w:rPr>
        <w:t xml:space="preserve">algunos </w:t>
      </w:r>
      <w:r w:rsidR="00C30322" w:rsidRPr="00CF630A">
        <w:rPr>
          <w:rFonts w:asciiTheme="majorHAnsi" w:eastAsia="Cambria" w:hAnsiTheme="majorHAnsi" w:cs="Cambria"/>
          <w:color w:val="000000"/>
          <w:sz w:val="20"/>
          <w:szCs w:val="20"/>
          <w:u w:color="000000"/>
          <w:lang w:val="es-ES" w:eastAsia="es-ES"/>
        </w:rPr>
        <w:t xml:space="preserve">dictámenes </w:t>
      </w:r>
      <w:r w:rsidR="00436432" w:rsidRPr="00CF630A">
        <w:rPr>
          <w:rFonts w:asciiTheme="majorHAnsi" w:eastAsia="Cambria" w:hAnsiTheme="majorHAnsi" w:cs="Cambria"/>
          <w:color w:val="000000"/>
          <w:sz w:val="20"/>
          <w:szCs w:val="20"/>
          <w:u w:color="000000"/>
          <w:lang w:val="es-ES" w:eastAsia="es-ES"/>
        </w:rPr>
        <w:t xml:space="preserve">sobre el </w:t>
      </w:r>
      <w:r w:rsidRPr="00CF630A">
        <w:rPr>
          <w:rFonts w:asciiTheme="majorHAnsi" w:eastAsia="Cambria" w:hAnsiTheme="majorHAnsi" w:cs="Cambria"/>
          <w:color w:val="000000"/>
          <w:sz w:val="20"/>
          <w:szCs w:val="20"/>
          <w:u w:color="000000"/>
          <w:lang w:val="es-ES" w:eastAsia="es-ES"/>
        </w:rPr>
        <w:t>proceso penal en el que fueron condenados los señores Flores y Orrego</w:t>
      </w:r>
      <w:r w:rsidR="00436432" w:rsidRPr="00CF630A">
        <w:rPr>
          <w:rFonts w:asciiTheme="majorHAnsi" w:eastAsia="Cambria" w:hAnsiTheme="majorHAnsi" w:cs="Cambria"/>
          <w:color w:val="000000"/>
          <w:sz w:val="20"/>
          <w:szCs w:val="20"/>
          <w:u w:color="000000"/>
          <w:lang w:val="es-ES" w:eastAsia="es-ES"/>
        </w:rPr>
        <w:t xml:space="preserve">. Se recuerda a este respecto que la Convención Americana dispone, en su artículo 46.1.(c), que para que una petición sea admitida por la CIDH se requiere </w:t>
      </w:r>
      <w:r w:rsidR="00436432" w:rsidRPr="00CF630A">
        <w:rPr>
          <w:rFonts w:asciiTheme="majorHAnsi" w:eastAsia="Cambria" w:hAnsiTheme="majorHAnsi" w:cs="Cambria"/>
          <w:i/>
          <w:iCs/>
          <w:color w:val="000000"/>
          <w:sz w:val="20"/>
          <w:szCs w:val="20"/>
          <w:u w:color="000000"/>
          <w:lang w:val="es-ES" w:eastAsia="es-ES"/>
        </w:rPr>
        <w:t>“que la materia de la petición o comunicación no esté pendiente de otro procedimiento de arreglo internacional”</w:t>
      </w:r>
      <w:r w:rsidR="00436432" w:rsidRPr="00CF630A">
        <w:rPr>
          <w:rFonts w:asciiTheme="majorHAnsi" w:eastAsia="Cambria" w:hAnsiTheme="majorHAnsi" w:cs="Cambria"/>
          <w:color w:val="000000"/>
          <w:sz w:val="20"/>
          <w:szCs w:val="20"/>
          <w:u w:color="000000"/>
          <w:lang w:val="es-ES" w:eastAsia="es-ES"/>
        </w:rPr>
        <w:t xml:space="preserve">, y en su artículo 47(d), que la CIDH declarará inadmisible toda petición que </w:t>
      </w:r>
      <w:r w:rsidR="00436432" w:rsidRPr="00CF630A">
        <w:rPr>
          <w:rFonts w:asciiTheme="majorHAnsi" w:eastAsia="Cambria" w:hAnsiTheme="majorHAnsi" w:cs="Cambria"/>
          <w:i/>
          <w:iCs/>
          <w:color w:val="000000"/>
          <w:sz w:val="20"/>
          <w:szCs w:val="20"/>
          <w:u w:color="000000"/>
          <w:lang w:val="es-ES" w:eastAsia="es-ES"/>
        </w:rPr>
        <w:t>“sea sustancialmente la reproducción de petición o comunicación anterior ya examinada por la Comisión u otro organismo internacional”</w:t>
      </w:r>
      <w:r w:rsidR="00436432" w:rsidRPr="00CF630A">
        <w:rPr>
          <w:rFonts w:asciiTheme="majorHAnsi" w:eastAsia="Cambria" w:hAnsiTheme="majorHAnsi" w:cs="Cambria"/>
          <w:color w:val="000000"/>
          <w:sz w:val="20"/>
          <w:szCs w:val="20"/>
          <w:u w:color="000000"/>
          <w:lang w:val="es-ES" w:eastAsia="es-ES"/>
        </w:rPr>
        <w:t xml:space="preserve">. </w:t>
      </w:r>
    </w:p>
    <w:p w14:paraId="0C721D7B" w14:textId="77777777" w:rsidR="00491628" w:rsidRDefault="00491628" w:rsidP="008666EA">
      <w:pPr>
        <w:jc w:val="both"/>
        <w:rPr>
          <w:rFonts w:asciiTheme="majorHAnsi" w:hAnsiTheme="majorHAnsi"/>
          <w:sz w:val="20"/>
          <w:szCs w:val="20"/>
          <w:lang w:val="es-ES"/>
        </w:rPr>
      </w:pPr>
    </w:p>
    <w:p w14:paraId="20E7F47C" w14:textId="729F7B3A" w:rsidR="004D67FA" w:rsidRPr="008666EA" w:rsidRDefault="00F56012" w:rsidP="008666EA">
      <w:pPr>
        <w:ind w:firstLine="720"/>
        <w:jc w:val="both"/>
        <w:rPr>
          <w:rFonts w:asciiTheme="majorHAnsi" w:hAnsiTheme="majorHAnsi"/>
          <w:sz w:val="20"/>
          <w:szCs w:val="20"/>
          <w:lang w:val="es-AR"/>
        </w:rPr>
      </w:pPr>
      <w:r w:rsidRPr="00CF630A">
        <w:rPr>
          <w:rFonts w:asciiTheme="majorHAnsi" w:hAnsiTheme="majorHAnsi"/>
          <w:sz w:val="20"/>
          <w:szCs w:val="20"/>
          <w:lang w:val="es-AR"/>
        </w:rPr>
        <w:t>1</w:t>
      </w:r>
      <w:r w:rsidR="008666EA">
        <w:rPr>
          <w:rFonts w:asciiTheme="majorHAnsi" w:hAnsiTheme="majorHAnsi"/>
          <w:sz w:val="20"/>
          <w:szCs w:val="20"/>
          <w:lang w:val="es-AR"/>
        </w:rPr>
        <w:t>2</w:t>
      </w:r>
      <w:r w:rsidRPr="00CF630A">
        <w:rPr>
          <w:rFonts w:asciiTheme="majorHAnsi" w:hAnsiTheme="majorHAnsi"/>
          <w:sz w:val="20"/>
          <w:szCs w:val="20"/>
          <w:lang w:val="es-AR"/>
        </w:rPr>
        <w:t xml:space="preserve">. </w:t>
      </w:r>
      <w:r w:rsidR="00491628">
        <w:rPr>
          <w:rFonts w:asciiTheme="majorHAnsi" w:hAnsiTheme="majorHAnsi"/>
          <w:sz w:val="20"/>
          <w:szCs w:val="20"/>
          <w:lang w:val="es-AR"/>
        </w:rPr>
        <w:tab/>
      </w:r>
      <w:r w:rsidR="00B60CCD">
        <w:rPr>
          <w:rFonts w:asciiTheme="majorHAnsi" w:hAnsiTheme="majorHAnsi"/>
          <w:sz w:val="20"/>
          <w:szCs w:val="20"/>
          <w:lang w:val="es-AR"/>
        </w:rPr>
        <w:t>En el presente caso, a</w:t>
      </w:r>
      <w:r w:rsidRPr="00CF630A">
        <w:rPr>
          <w:rFonts w:asciiTheme="majorHAnsi" w:hAnsiTheme="majorHAnsi"/>
          <w:sz w:val="20"/>
          <w:szCs w:val="20"/>
          <w:lang w:val="es-AR"/>
        </w:rPr>
        <w:t xml:space="preserve"> causa del procesamiento penal de sus dirigentes, el sindicato CUT presentó una denuncia contra Paraguay ante la OIT, por violación de los Convenios 97 y 98. </w:t>
      </w:r>
      <w:r w:rsidR="004D67FA" w:rsidRPr="00CF630A">
        <w:rPr>
          <w:rFonts w:asciiTheme="majorHAnsi" w:hAnsiTheme="majorHAnsi" w:cs="Arial"/>
          <w:sz w:val="20"/>
          <w:szCs w:val="20"/>
          <w:lang w:val="es-CO"/>
        </w:rPr>
        <w:t>El Comité realizó una serie de recomendaciones respecto a algunas irregularidades procesales y de fondo. El Consejo de Administración de la OIT aprobó en junio de 2002, en su 284° Reunión Anual, las recomendaciones del Comité y así, en su Resolución N° 328 recomendó al Estado que se tomaran todas las medidas necesarias para poner en libertad a los señores Alan Flores, Jerónimo López y Reinaldo Barreto Medina y expresó su esperanza en que la autoridad judicial aceleraría los procedimientos. En noviembre de 2002, mediante la Resolución N° 329, se aprobó el informe del Comité en el que lamentó profundamente que no se hubieran tomado las medidas recomendadas y urgió al Estado para que así se hiciera.</w:t>
      </w:r>
      <w:r w:rsidRPr="00CF630A">
        <w:rPr>
          <w:rFonts w:asciiTheme="majorHAnsi" w:hAnsiTheme="majorHAnsi" w:cs="Arial"/>
          <w:sz w:val="20"/>
          <w:szCs w:val="20"/>
          <w:lang w:val="es-CO"/>
        </w:rPr>
        <w:t xml:space="preserve"> </w:t>
      </w:r>
      <w:r w:rsidR="004D67FA" w:rsidRPr="00CF630A">
        <w:rPr>
          <w:rFonts w:asciiTheme="majorHAnsi" w:hAnsiTheme="majorHAnsi" w:cs="Arial"/>
          <w:sz w:val="20"/>
          <w:szCs w:val="20"/>
          <w:lang w:val="es-CO"/>
        </w:rPr>
        <w:t xml:space="preserve">En noviembre de 2003, mediante Resolución 332° el Consejo de Administración señaló que la OIT habría constatado que el juez de primera instancia habría violado la prohibición de aplicar </w:t>
      </w:r>
      <w:r w:rsidR="004D67FA" w:rsidRPr="008666EA">
        <w:rPr>
          <w:rFonts w:asciiTheme="majorHAnsi" w:hAnsiTheme="majorHAnsi" w:cs="Arial"/>
          <w:i/>
          <w:iCs/>
          <w:sz w:val="20"/>
          <w:szCs w:val="20"/>
          <w:lang w:val="es-CO"/>
        </w:rPr>
        <w:t>ex post facto</w:t>
      </w:r>
      <w:r w:rsidR="004D67FA" w:rsidRPr="00CF630A">
        <w:rPr>
          <w:rFonts w:asciiTheme="majorHAnsi" w:hAnsiTheme="majorHAnsi" w:cs="Arial"/>
          <w:sz w:val="20"/>
          <w:szCs w:val="20"/>
          <w:lang w:val="es-CO"/>
        </w:rPr>
        <w:t xml:space="preserve"> una ley penal posterior y que la condena fue dictada sobre la base de una figura penal promulgada con posterioridad a los hechos juzgados y así la OIT urgió “firmemente por tanto una vez más al gobierno a que de inmediato tome todas las medidas para poner en libertad a los dirigentes sindicales Sres. Reinaldo Barreto Medina, Jerónimo López y Alan Flores”.</w:t>
      </w:r>
    </w:p>
    <w:p w14:paraId="7D9B0D6A" w14:textId="77777777" w:rsidR="004D67FA" w:rsidRPr="00CF630A" w:rsidRDefault="004D67FA" w:rsidP="00CF630A">
      <w:pPr>
        <w:ind w:firstLine="720"/>
        <w:jc w:val="both"/>
        <w:rPr>
          <w:rFonts w:asciiTheme="majorHAnsi" w:hAnsiTheme="majorHAnsi" w:cs="Arial"/>
          <w:sz w:val="20"/>
          <w:szCs w:val="20"/>
          <w:lang w:val="es-CO"/>
        </w:rPr>
      </w:pPr>
    </w:p>
    <w:p w14:paraId="4FBE4AAD" w14:textId="77777777" w:rsidR="006E1861" w:rsidRDefault="00F56012" w:rsidP="006E1861">
      <w:pPr>
        <w:ind w:firstLine="720"/>
        <w:jc w:val="both"/>
        <w:rPr>
          <w:rFonts w:asciiTheme="majorHAnsi" w:hAnsiTheme="majorHAnsi"/>
          <w:spacing w:val="-3"/>
          <w:sz w:val="20"/>
          <w:szCs w:val="20"/>
          <w:lang w:val="es-ES_tradnl"/>
        </w:rPr>
      </w:pPr>
      <w:r w:rsidRPr="00CF630A">
        <w:rPr>
          <w:rFonts w:asciiTheme="majorHAnsi" w:hAnsiTheme="majorHAnsi"/>
          <w:sz w:val="20"/>
          <w:szCs w:val="20"/>
          <w:lang w:val="es-ES_tradnl"/>
        </w:rPr>
        <w:t>1</w:t>
      </w:r>
      <w:r w:rsidR="008666EA">
        <w:rPr>
          <w:rFonts w:asciiTheme="majorHAnsi" w:hAnsiTheme="majorHAnsi"/>
          <w:sz w:val="20"/>
          <w:szCs w:val="20"/>
          <w:lang w:val="es-ES_tradnl"/>
        </w:rPr>
        <w:t>3</w:t>
      </w:r>
      <w:r w:rsidRPr="00CF630A">
        <w:rPr>
          <w:rFonts w:asciiTheme="majorHAnsi" w:hAnsiTheme="majorHAnsi"/>
          <w:sz w:val="20"/>
          <w:szCs w:val="20"/>
          <w:lang w:val="es-ES_tradnl"/>
        </w:rPr>
        <w:t xml:space="preserve">. </w:t>
      </w:r>
      <w:r w:rsidR="008666EA">
        <w:rPr>
          <w:rFonts w:asciiTheme="majorHAnsi" w:hAnsiTheme="majorHAnsi"/>
          <w:sz w:val="20"/>
          <w:szCs w:val="20"/>
          <w:lang w:val="es-ES_tradnl"/>
        </w:rPr>
        <w:tab/>
        <w:t>L</w:t>
      </w:r>
      <w:r w:rsidR="004D67FA" w:rsidRPr="00CF630A">
        <w:rPr>
          <w:rFonts w:asciiTheme="majorHAnsi" w:hAnsiTheme="majorHAnsi"/>
          <w:sz w:val="20"/>
          <w:szCs w:val="20"/>
          <w:lang w:val="es-ES"/>
        </w:rPr>
        <w:t xml:space="preserve">a Comisión </w:t>
      </w:r>
      <w:r w:rsidR="004D67FA" w:rsidRPr="00CF630A">
        <w:rPr>
          <w:rFonts w:asciiTheme="majorHAnsi" w:hAnsiTheme="majorHAnsi"/>
          <w:sz w:val="20"/>
          <w:szCs w:val="20"/>
          <w:lang w:val="es-ES_tradnl"/>
        </w:rPr>
        <w:t xml:space="preserve">ha sostenido </w:t>
      </w:r>
      <w:r w:rsidR="004D67FA" w:rsidRPr="00CF630A">
        <w:rPr>
          <w:rFonts w:asciiTheme="majorHAnsi" w:hAnsiTheme="majorHAnsi"/>
          <w:sz w:val="20"/>
          <w:szCs w:val="20"/>
          <w:lang w:val="es-ES"/>
        </w:rPr>
        <w:t>que para que se considere que en un caso hay duplicación o cosa juzgada internacional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w:t>
      </w:r>
      <w:bookmarkStart w:id="1" w:name="_ftnref37"/>
      <w:r w:rsidR="004D67FA" w:rsidRPr="00CF630A">
        <w:rPr>
          <w:rStyle w:val="FootnoteReference"/>
          <w:rFonts w:asciiTheme="majorHAnsi" w:hAnsiTheme="majorHAnsi"/>
          <w:sz w:val="20"/>
          <w:szCs w:val="20"/>
          <w:lang w:val="es-ES"/>
        </w:rPr>
        <w:footnoteReference w:id="6"/>
      </w:r>
      <w:bookmarkEnd w:id="1"/>
      <w:r w:rsidR="004D67FA" w:rsidRPr="00CF630A">
        <w:rPr>
          <w:rFonts w:asciiTheme="majorHAnsi" w:hAnsiTheme="majorHAnsi"/>
          <w:sz w:val="20"/>
          <w:szCs w:val="20"/>
          <w:lang w:val="es-ES"/>
        </w:rPr>
        <w:t>. En ese sentido, la Comisión ha establecido que las recomendaciones emanadas por el Comité de Libertad Sindical de la OIT no tienen la misma naturaleza que el procedimiento ante el Sistema Interamericano de protección de los derechos humanos</w:t>
      </w:r>
      <w:r w:rsidR="004D67FA" w:rsidRPr="00CF630A">
        <w:rPr>
          <w:rStyle w:val="FootnoteReference"/>
          <w:rFonts w:asciiTheme="majorHAnsi" w:hAnsiTheme="majorHAnsi"/>
          <w:sz w:val="20"/>
          <w:szCs w:val="20"/>
          <w:lang w:val="es-ES"/>
        </w:rPr>
        <w:footnoteReference w:id="7"/>
      </w:r>
      <w:r w:rsidR="004D67FA" w:rsidRPr="00CF630A">
        <w:rPr>
          <w:rFonts w:asciiTheme="majorHAnsi" w:hAnsiTheme="majorHAnsi"/>
          <w:sz w:val="20"/>
          <w:szCs w:val="20"/>
          <w:lang w:val="es-ES"/>
        </w:rPr>
        <w:t>, toda vez que dicho procedimiento produce recomendaciones y no “un arreglo efectivo de la violación denunciada”; sus decisiones "</w:t>
      </w:r>
      <w:r w:rsidR="004D67FA" w:rsidRPr="00CF630A">
        <w:rPr>
          <w:rFonts w:asciiTheme="majorHAnsi" w:hAnsiTheme="majorHAnsi"/>
          <w:spacing w:val="-3"/>
          <w:sz w:val="20"/>
          <w:szCs w:val="20"/>
          <w:lang w:val="es-ES_tradnl"/>
        </w:rPr>
        <w:t>no conlleva</w:t>
      </w:r>
      <w:r w:rsidR="004D67FA" w:rsidRPr="00CF630A">
        <w:rPr>
          <w:rFonts w:asciiTheme="majorHAnsi" w:hAnsiTheme="majorHAnsi"/>
          <w:spacing w:val="-3"/>
          <w:sz w:val="20"/>
          <w:szCs w:val="20"/>
          <w:lang w:val="es-CO"/>
        </w:rPr>
        <w:t>[n]</w:t>
      </w:r>
      <w:r w:rsidR="004D67FA" w:rsidRPr="00CF630A">
        <w:rPr>
          <w:rFonts w:asciiTheme="majorHAnsi" w:hAnsiTheme="majorHAnsi"/>
          <w:spacing w:val="-3"/>
          <w:sz w:val="20"/>
          <w:szCs w:val="20"/>
          <w:lang w:val="es-ES_tradnl"/>
        </w:rPr>
        <w:t xml:space="preserve"> ningún efecto jurídico vinculante, ni pecuniario-restitutivo, o de carácter indemnizatorio</w:t>
      </w:r>
      <w:r w:rsidR="004D67FA" w:rsidRPr="00CF630A">
        <w:rPr>
          <w:rFonts w:asciiTheme="majorHAnsi" w:hAnsiTheme="majorHAnsi"/>
          <w:sz w:val="20"/>
          <w:szCs w:val="20"/>
          <w:lang w:val="es-ES"/>
        </w:rPr>
        <w:t>"</w:t>
      </w:r>
      <w:bookmarkStart w:id="2" w:name="_ftnref38"/>
      <w:r w:rsidR="004D67FA" w:rsidRPr="00CF630A">
        <w:rPr>
          <w:rStyle w:val="FootnoteReference"/>
          <w:rFonts w:asciiTheme="majorHAnsi" w:hAnsiTheme="majorHAnsi"/>
          <w:sz w:val="20"/>
          <w:szCs w:val="20"/>
          <w:lang w:val="es-ES"/>
        </w:rPr>
        <w:footnoteReference w:id="8"/>
      </w:r>
      <w:bookmarkEnd w:id="2"/>
      <w:r w:rsidR="004D67FA" w:rsidRPr="00CF630A">
        <w:rPr>
          <w:rFonts w:asciiTheme="majorHAnsi" w:hAnsiTheme="majorHAnsi"/>
          <w:sz w:val="20"/>
          <w:szCs w:val="20"/>
          <w:lang w:val="es-ES"/>
        </w:rPr>
        <w:t>.</w:t>
      </w:r>
      <w:r w:rsidR="004D67FA" w:rsidRPr="00CF630A">
        <w:rPr>
          <w:rFonts w:asciiTheme="majorHAnsi" w:hAnsiTheme="majorHAnsi"/>
          <w:spacing w:val="-3"/>
          <w:sz w:val="20"/>
          <w:szCs w:val="20"/>
          <w:lang w:val="es-ES_tradnl"/>
        </w:rPr>
        <w:t xml:space="preserve">  </w:t>
      </w:r>
    </w:p>
    <w:p w14:paraId="0C0992D1" w14:textId="77777777" w:rsidR="006E1861" w:rsidRDefault="006E1861" w:rsidP="006E1861">
      <w:pPr>
        <w:ind w:firstLine="720"/>
        <w:jc w:val="both"/>
        <w:rPr>
          <w:rFonts w:asciiTheme="majorHAnsi" w:hAnsiTheme="majorHAnsi"/>
          <w:spacing w:val="-3"/>
          <w:sz w:val="20"/>
          <w:szCs w:val="20"/>
          <w:lang w:val="es-ES_tradnl"/>
        </w:rPr>
      </w:pPr>
    </w:p>
    <w:p w14:paraId="577CDE4B" w14:textId="4645F6AA" w:rsidR="004D67FA" w:rsidRPr="006E1861" w:rsidRDefault="006E1861" w:rsidP="006E1861">
      <w:pPr>
        <w:ind w:firstLine="720"/>
        <w:jc w:val="both"/>
        <w:rPr>
          <w:rFonts w:asciiTheme="majorHAnsi" w:hAnsiTheme="majorHAnsi"/>
          <w:sz w:val="20"/>
          <w:szCs w:val="20"/>
          <w:lang w:val="es-ES"/>
        </w:rPr>
      </w:pPr>
      <w:r>
        <w:rPr>
          <w:rFonts w:asciiTheme="majorHAnsi" w:hAnsiTheme="majorHAnsi"/>
          <w:spacing w:val="-3"/>
          <w:sz w:val="20"/>
          <w:szCs w:val="20"/>
          <w:lang w:val="es-ES_tradnl"/>
        </w:rPr>
        <w:t>14.</w:t>
      </w:r>
      <w:r>
        <w:rPr>
          <w:rFonts w:asciiTheme="majorHAnsi" w:hAnsiTheme="majorHAnsi"/>
          <w:spacing w:val="-3"/>
          <w:sz w:val="20"/>
          <w:szCs w:val="20"/>
          <w:lang w:val="es-ES_tradnl"/>
        </w:rPr>
        <w:tab/>
      </w:r>
      <w:r w:rsidR="004D67FA" w:rsidRPr="00CF630A">
        <w:rPr>
          <w:rFonts w:asciiTheme="majorHAnsi" w:hAnsiTheme="majorHAnsi"/>
          <w:sz w:val="20"/>
          <w:szCs w:val="20"/>
          <w:lang w:val="es-CO"/>
        </w:rPr>
        <w:t>Por lo tanto, la Comisión concluye en el presente caso</w:t>
      </w:r>
      <w:r w:rsidR="0017152E" w:rsidRPr="00CF630A">
        <w:rPr>
          <w:rFonts w:asciiTheme="majorHAnsi" w:hAnsiTheme="majorHAnsi"/>
          <w:sz w:val="20"/>
          <w:szCs w:val="20"/>
          <w:lang w:val="es-CO"/>
        </w:rPr>
        <w:t>, al igual que concluyó en el Informe No. 106/11 sobre el caso conexo de los demás líderes sindicales paraguayos condenados en la misma causa penal, que</w:t>
      </w:r>
      <w:r w:rsidR="004D67FA" w:rsidRPr="00CF630A">
        <w:rPr>
          <w:rFonts w:asciiTheme="majorHAnsi" w:hAnsiTheme="majorHAnsi"/>
          <w:sz w:val="20"/>
          <w:szCs w:val="20"/>
          <w:lang w:val="es-CO"/>
        </w:rPr>
        <w:t xml:space="preserve"> </w:t>
      </w:r>
      <w:r w:rsidR="00F56012" w:rsidRPr="00CF630A">
        <w:rPr>
          <w:rFonts w:asciiTheme="majorHAnsi" w:hAnsiTheme="majorHAnsi"/>
          <w:sz w:val="20"/>
          <w:szCs w:val="20"/>
          <w:lang w:val="es-ES_tradnl"/>
        </w:rPr>
        <w:t>no se ha presentado duplicación de procedimientos internacionales</w:t>
      </w:r>
      <w:r>
        <w:rPr>
          <w:rFonts w:asciiTheme="majorHAnsi" w:hAnsiTheme="majorHAnsi"/>
          <w:sz w:val="20"/>
          <w:szCs w:val="20"/>
          <w:lang w:val="es-ES_tradnl"/>
        </w:rPr>
        <w:t xml:space="preserve">. </w:t>
      </w:r>
    </w:p>
    <w:p w14:paraId="643745C8" w14:textId="0D4C91E0" w:rsidR="003239B8" w:rsidRPr="00CF630A" w:rsidRDefault="00436432" w:rsidP="00CF630A">
      <w:pPr>
        <w:ind w:firstLine="720"/>
        <w:jc w:val="both"/>
        <w:rPr>
          <w:rFonts w:asciiTheme="majorHAnsi" w:hAnsiTheme="majorHAnsi"/>
          <w:sz w:val="20"/>
          <w:szCs w:val="20"/>
          <w:lang w:val="es-UY"/>
        </w:rPr>
      </w:pPr>
      <w:r w:rsidRPr="00CF630A">
        <w:rPr>
          <w:rFonts w:asciiTheme="majorHAnsi" w:eastAsia="Cambria" w:hAnsiTheme="majorHAnsi" w:cs="Cambria"/>
          <w:b/>
          <w:bCs/>
          <w:color w:val="000000"/>
          <w:sz w:val="20"/>
          <w:szCs w:val="20"/>
          <w:u w:color="000000"/>
          <w:lang w:val="es-ES" w:eastAsia="es-ES"/>
        </w:rPr>
        <w:lastRenderedPageBreak/>
        <w:t xml:space="preserve">VII. </w:t>
      </w:r>
      <w:r w:rsidR="00566AA2">
        <w:rPr>
          <w:rFonts w:asciiTheme="majorHAnsi" w:eastAsia="Cambria" w:hAnsiTheme="majorHAnsi" w:cs="Cambria"/>
          <w:b/>
          <w:bCs/>
          <w:color w:val="000000"/>
          <w:sz w:val="20"/>
          <w:szCs w:val="20"/>
          <w:u w:color="000000"/>
          <w:lang w:val="es-ES" w:eastAsia="es-ES"/>
        </w:rPr>
        <w:tab/>
      </w:r>
      <w:r w:rsidR="004A6A54" w:rsidRPr="00CF630A">
        <w:rPr>
          <w:rFonts w:asciiTheme="majorHAnsi" w:hAnsiTheme="majorHAnsi"/>
          <w:b/>
          <w:bCs/>
          <w:sz w:val="20"/>
          <w:szCs w:val="20"/>
          <w:lang w:val="es-ES_tradnl"/>
        </w:rPr>
        <w:t xml:space="preserve">ANÁLISIS DE </w:t>
      </w:r>
      <w:r w:rsidR="00C21FEF" w:rsidRPr="00CF630A">
        <w:rPr>
          <w:rFonts w:asciiTheme="majorHAnsi" w:hAnsiTheme="majorHAnsi"/>
          <w:b/>
          <w:sz w:val="20"/>
          <w:szCs w:val="20"/>
          <w:lang w:val="es-ES"/>
        </w:rPr>
        <w:t>AGOTAMIENTO DE LOS RECURSOS INTERNOS Y PLAZO DE PRESENTACIÓN</w:t>
      </w:r>
      <w:r w:rsidR="00C21FEF" w:rsidRPr="00CF630A">
        <w:rPr>
          <w:rFonts w:asciiTheme="majorHAnsi" w:eastAsia="Cambria" w:hAnsiTheme="majorHAnsi" w:cs="Cambria"/>
          <w:b/>
          <w:bCs/>
          <w:color w:val="000000"/>
          <w:sz w:val="20"/>
          <w:szCs w:val="20"/>
          <w:u w:color="000000"/>
          <w:lang w:val="es-ES" w:eastAsia="es-ES"/>
        </w:rPr>
        <w:t xml:space="preserve"> </w:t>
      </w:r>
    </w:p>
    <w:p w14:paraId="4A738CF5" w14:textId="77777777" w:rsidR="00A604E6" w:rsidRDefault="00A604E6"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439B2A62" w14:textId="0594391D" w:rsidR="00A604E6"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CF630A">
        <w:rPr>
          <w:rFonts w:asciiTheme="majorHAnsi" w:hAnsiTheme="majorHAnsi"/>
          <w:sz w:val="20"/>
          <w:szCs w:val="20"/>
          <w:lang w:val="es-ES"/>
        </w:rPr>
        <w:t xml:space="preserve">15. </w:t>
      </w:r>
      <w:r w:rsidR="0067021B">
        <w:rPr>
          <w:rFonts w:asciiTheme="majorHAnsi" w:hAnsiTheme="majorHAnsi"/>
          <w:sz w:val="20"/>
          <w:szCs w:val="20"/>
          <w:lang w:val="es-ES"/>
        </w:rPr>
        <w:tab/>
      </w:r>
      <w:r w:rsidR="00A604E6">
        <w:rPr>
          <w:rFonts w:asciiTheme="majorHAnsi" w:hAnsiTheme="majorHAnsi"/>
          <w:sz w:val="20"/>
          <w:szCs w:val="20"/>
          <w:lang w:val="es-ES"/>
        </w:rPr>
        <w:t xml:space="preserve">En el presente caso, el proceso penal principal contra los peticionarios resultó en una sentencia condenatoria que fue confirmada </w:t>
      </w:r>
      <w:r w:rsidR="00A604E6" w:rsidRPr="00CF630A">
        <w:rPr>
          <w:rFonts w:asciiTheme="majorHAnsi" w:hAnsiTheme="majorHAnsi"/>
          <w:sz w:val="20"/>
          <w:szCs w:val="20"/>
          <w:lang w:val="es-ES"/>
        </w:rPr>
        <w:t>a nivel del Tribunal de Apelaciones y también en casación por la Corte Suprema de Justicia</w:t>
      </w:r>
      <w:r w:rsidR="00A604E6">
        <w:rPr>
          <w:rFonts w:asciiTheme="majorHAnsi" w:hAnsiTheme="majorHAnsi"/>
          <w:sz w:val="20"/>
          <w:szCs w:val="20"/>
          <w:lang w:val="es-ES"/>
        </w:rPr>
        <w:t xml:space="preserve"> </w:t>
      </w:r>
      <w:r w:rsidR="00A604E6" w:rsidRPr="00CF630A">
        <w:rPr>
          <w:rFonts w:asciiTheme="majorHAnsi" w:hAnsiTheme="majorHAnsi"/>
          <w:sz w:val="20"/>
          <w:szCs w:val="20"/>
          <w:lang w:val="es-AR"/>
        </w:rPr>
        <w:t>mediante Acuerdo y Sentencia No. 694 del 29 de diciembre de 2010</w:t>
      </w:r>
      <w:r w:rsidR="00A604E6">
        <w:rPr>
          <w:rFonts w:asciiTheme="majorHAnsi" w:hAnsiTheme="majorHAnsi"/>
          <w:sz w:val="20"/>
          <w:szCs w:val="20"/>
          <w:lang w:val="es-AR"/>
        </w:rPr>
        <w:t xml:space="preserve">, la cual habría quedado </w:t>
      </w:r>
      <w:r w:rsidR="00A604E6" w:rsidRPr="00CF630A">
        <w:rPr>
          <w:rFonts w:asciiTheme="majorHAnsi" w:hAnsiTheme="majorHAnsi"/>
          <w:sz w:val="20"/>
          <w:szCs w:val="20"/>
          <w:lang w:val="es-AR"/>
        </w:rPr>
        <w:t>en firme tras la resolución de las aclaratorias presentadas el 1º de junio de 2011</w:t>
      </w:r>
      <w:r w:rsidR="00A604E6">
        <w:rPr>
          <w:rFonts w:asciiTheme="majorHAnsi" w:hAnsiTheme="majorHAnsi"/>
          <w:sz w:val="20"/>
          <w:szCs w:val="20"/>
          <w:lang w:val="es-AR"/>
        </w:rPr>
        <w:t>.</w:t>
      </w:r>
    </w:p>
    <w:p w14:paraId="00A41E3F" w14:textId="77777777" w:rsidR="00A604E6" w:rsidRDefault="00A604E6"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4DAC095B" w14:textId="2D139EE5" w:rsidR="008C5E2D" w:rsidRPr="00CF630A" w:rsidRDefault="00A604E6"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Pr>
          <w:rFonts w:asciiTheme="majorHAnsi" w:hAnsiTheme="majorHAnsi"/>
          <w:sz w:val="20"/>
          <w:szCs w:val="20"/>
          <w:lang w:val="es-ES"/>
        </w:rPr>
        <w:t>16.</w:t>
      </w:r>
      <w:r>
        <w:rPr>
          <w:rFonts w:asciiTheme="majorHAnsi" w:hAnsiTheme="majorHAnsi"/>
          <w:sz w:val="20"/>
          <w:szCs w:val="20"/>
          <w:lang w:val="es-ES"/>
        </w:rPr>
        <w:tab/>
      </w:r>
      <w:r w:rsidR="004D67FA" w:rsidRPr="00CF630A">
        <w:rPr>
          <w:rFonts w:asciiTheme="majorHAnsi" w:hAnsiTheme="majorHAnsi"/>
          <w:sz w:val="20"/>
          <w:szCs w:val="20"/>
          <w:lang w:val="es-ES"/>
        </w:rPr>
        <w:t xml:space="preserve">El Estado no ha controvertido en este caso que los recursos domésticos hayan sido interpuestos y agotados por el peticionario en cumplimiento del deber establecido en el </w:t>
      </w:r>
      <w:r w:rsidR="00835FFF">
        <w:rPr>
          <w:rFonts w:asciiTheme="majorHAnsi" w:hAnsiTheme="majorHAnsi"/>
          <w:sz w:val="20"/>
          <w:szCs w:val="20"/>
          <w:lang w:val="es-ES"/>
        </w:rPr>
        <w:t>a</w:t>
      </w:r>
      <w:r w:rsidR="004D67FA" w:rsidRPr="00CF630A">
        <w:rPr>
          <w:rFonts w:asciiTheme="majorHAnsi" w:hAnsiTheme="majorHAnsi"/>
          <w:sz w:val="20"/>
          <w:szCs w:val="20"/>
          <w:lang w:val="es-ES"/>
        </w:rPr>
        <w:t xml:space="preserve">rtículo 46.1.a) de la Convención Americana. </w:t>
      </w:r>
      <w:r w:rsidR="004D67FA" w:rsidRPr="00CF630A">
        <w:rPr>
          <w:rFonts w:asciiTheme="majorHAnsi" w:hAnsiTheme="majorHAnsi"/>
          <w:sz w:val="20"/>
          <w:szCs w:val="20"/>
          <w:lang w:val="es-ES_tradnl" w:eastAsia="es-ES"/>
        </w:rPr>
        <w:t xml:space="preserve">La </w:t>
      </w:r>
      <w:r w:rsidR="004D67FA" w:rsidRPr="00CF630A">
        <w:rPr>
          <w:rFonts w:asciiTheme="majorHAnsi" w:eastAsia="Times New Roman" w:hAnsiTheme="majorHAnsi"/>
          <w:sz w:val="20"/>
          <w:szCs w:val="20"/>
          <w:lang w:val="es-ES_tradnl"/>
        </w:rPr>
        <w:t>CIDH ha considerado reiteradamente que en el supuesto d</w:t>
      </w:r>
      <w:r w:rsidR="004D67FA" w:rsidRPr="00CF630A">
        <w:rPr>
          <w:rFonts w:asciiTheme="majorHAnsi" w:hAnsiTheme="majorHAnsi"/>
          <w:sz w:val="20"/>
          <w:szCs w:val="20"/>
          <w:lang w:val="es-ES_tradnl"/>
        </w:rPr>
        <w:t>e no presentarse este alegato en su debido momento ante la Comisión, el Estado pierde la posibilidad de hacer uso de ese medio de defensa</w:t>
      </w:r>
      <w:bookmarkStart w:id="3" w:name="_Ref231356124"/>
      <w:r w:rsidR="004D67FA" w:rsidRPr="00CF630A">
        <w:rPr>
          <w:rFonts w:asciiTheme="majorHAnsi" w:hAnsiTheme="majorHAnsi"/>
          <w:sz w:val="20"/>
          <w:szCs w:val="20"/>
          <w:lang w:val="es-ES_tradnl"/>
        </w:rPr>
        <w:t xml:space="preserve"> en etapas subsiguientes del proceso</w:t>
      </w:r>
      <w:r w:rsidR="004D67FA" w:rsidRPr="00CF630A">
        <w:rPr>
          <w:rStyle w:val="FootnoteReference"/>
          <w:rFonts w:asciiTheme="majorHAnsi" w:hAnsiTheme="majorHAnsi"/>
          <w:sz w:val="20"/>
          <w:szCs w:val="20"/>
          <w:lang w:val="es-ES_tradnl"/>
        </w:rPr>
        <w:footnoteReference w:id="9"/>
      </w:r>
      <w:bookmarkEnd w:id="3"/>
      <w:r w:rsidR="004D67FA" w:rsidRPr="00CF630A">
        <w:rPr>
          <w:rFonts w:asciiTheme="majorHAnsi" w:hAnsiTheme="majorHAnsi"/>
          <w:sz w:val="20"/>
          <w:szCs w:val="20"/>
          <w:lang w:val="es-ES_tradnl"/>
        </w:rPr>
        <w:t>.</w:t>
      </w:r>
      <w:r w:rsidR="008C5E2D" w:rsidRPr="00CF630A">
        <w:rPr>
          <w:rFonts w:asciiTheme="majorHAnsi" w:hAnsiTheme="majorHAnsi"/>
          <w:sz w:val="20"/>
          <w:szCs w:val="20"/>
          <w:lang w:val="es-ES"/>
        </w:rPr>
        <w:t xml:space="preserve"> </w:t>
      </w:r>
    </w:p>
    <w:p w14:paraId="5F5B79A2" w14:textId="77777777" w:rsidR="0067021B" w:rsidRDefault="0067021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5FE44544" w14:textId="0D004ECF" w:rsidR="00A604E6" w:rsidRPr="00A604E6"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US"/>
        </w:rPr>
      </w:pPr>
      <w:r w:rsidRPr="00CF630A">
        <w:rPr>
          <w:rFonts w:asciiTheme="majorHAnsi" w:hAnsiTheme="majorHAnsi"/>
          <w:sz w:val="20"/>
          <w:szCs w:val="20"/>
          <w:lang w:val="es-ES"/>
        </w:rPr>
        <w:t>1</w:t>
      </w:r>
      <w:r w:rsidR="00A604E6">
        <w:rPr>
          <w:rFonts w:asciiTheme="majorHAnsi" w:hAnsiTheme="majorHAnsi"/>
          <w:sz w:val="20"/>
          <w:szCs w:val="20"/>
          <w:lang w:val="es-ES"/>
        </w:rPr>
        <w:t>7</w:t>
      </w:r>
      <w:r w:rsidRPr="00CF630A">
        <w:rPr>
          <w:rFonts w:asciiTheme="majorHAnsi" w:hAnsiTheme="majorHAnsi"/>
          <w:sz w:val="20"/>
          <w:szCs w:val="20"/>
          <w:lang w:val="es-ES"/>
        </w:rPr>
        <w:t xml:space="preserve">. </w:t>
      </w:r>
      <w:r w:rsidR="00835FFF">
        <w:rPr>
          <w:rFonts w:asciiTheme="majorHAnsi" w:hAnsiTheme="majorHAnsi"/>
          <w:sz w:val="20"/>
          <w:szCs w:val="20"/>
          <w:lang w:val="es-ES"/>
        </w:rPr>
        <w:tab/>
      </w:r>
      <w:r w:rsidR="00A604E6">
        <w:rPr>
          <w:rFonts w:asciiTheme="majorHAnsi" w:hAnsiTheme="majorHAnsi"/>
          <w:sz w:val="20"/>
          <w:szCs w:val="20"/>
          <w:lang w:val="es-ES"/>
        </w:rPr>
        <w:t>En atenci</w:t>
      </w:r>
      <w:r w:rsidR="00A604E6">
        <w:rPr>
          <w:rFonts w:asciiTheme="majorHAnsi" w:hAnsiTheme="majorHAnsi"/>
          <w:sz w:val="20"/>
          <w:szCs w:val="20"/>
          <w:lang w:val="es-US"/>
        </w:rPr>
        <w:t>ón a estas consideraci</w:t>
      </w:r>
      <w:r w:rsidR="006E1861">
        <w:rPr>
          <w:rFonts w:asciiTheme="majorHAnsi" w:hAnsiTheme="majorHAnsi"/>
          <w:sz w:val="20"/>
          <w:szCs w:val="20"/>
          <w:lang w:val="es-US"/>
        </w:rPr>
        <w:t>ones</w:t>
      </w:r>
      <w:r w:rsidR="00A604E6">
        <w:rPr>
          <w:rFonts w:asciiTheme="majorHAnsi" w:hAnsiTheme="majorHAnsi"/>
          <w:sz w:val="20"/>
          <w:szCs w:val="20"/>
          <w:lang w:val="es-US"/>
        </w:rPr>
        <w:t xml:space="preserve">, y </w:t>
      </w:r>
      <w:r w:rsidR="00FE6ACC">
        <w:rPr>
          <w:rFonts w:asciiTheme="majorHAnsi" w:hAnsiTheme="majorHAnsi"/>
          <w:sz w:val="20"/>
          <w:szCs w:val="20"/>
          <w:lang w:val="es-US"/>
        </w:rPr>
        <w:t xml:space="preserve">a </w:t>
      </w:r>
      <w:r w:rsidR="00A604E6">
        <w:rPr>
          <w:rFonts w:asciiTheme="majorHAnsi" w:hAnsiTheme="majorHAnsi"/>
          <w:sz w:val="20"/>
          <w:szCs w:val="20"/>
          <w:lang w:val="es-US"/>
        </w:rPr>
        <w:t xml:space="preserve">que no es un hecho controvertido entre las partes que se agotó el proceso penal principal a nivel interno, la Comisión concluye que la presente petición cumple con los requisitos de agotamiento de los recursos internos y plazo de presentación establecidos en los artículos 46.1.a) y 46.1.b) de la Convención Americana. </w:t>
      </w:r>
    </w:p>
    <w:p w14:paraId="2CAB5833" w14:textId="77777777" w:rsidR="00A604E6" w:rsidRDefault="00A604E6"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7336274B" w14:textId="20CAEC4C" w:rsidR="000D659E"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Pr>
          <w:rFonts w:asciiTheme="majorHAnsi" w:hAnsiTheme="majorHAnsi"/>
          <w:sz w:val="20"/>
          <w:szCs w:val="20"/>
          <w:lang w:val="es-ES"/>
        </w:rPr>
        <w:t>18.</w:t>
      </w:r>
      <w:r>
        <w:rPr>
          <w:rFonts w:asciiTheme="majorHAnsi" w:hAnsiTheme="majorHAnsi"/>
          <w:sz w:val="20"/>
          <w:szCs w:val="20"/>
          <w:lang w:val="es-ES"/>
        </w:rPr>
        <w:tab/>
        <w:t>Por otro lado, s</w:t>
      </w:r>
      <w:r w:rsidR="00F56012" w:rsidRPr="00CF630A">
        <w:rPr>
          <w:rFonts w:asciiTheme="majorHAnsi" w:hAnsiTheme="majorHAnsi"/>
          <w:sz w:val="20"/>
          <w:szCs w:val="20"/>
          <w:lang w:val="es-ES"/>
        </w:rPr>
        <w:t>i bien el proceso penal contra los señores Flores y Orrego ya resultó en una sentencia condenatoria, que fue confirmada</w:t>
      </w:r>
      <w:r>
        <w:rPr>
          <w:rFonts w:asciiTheme="majorHAnsi" w:hAnsiTheme="majorHAnsi"/>
          <w:sz w:val="20"/>
          <w:szCs w:val="20"/>
          <w:lang w:val="es-ES"/>
        </w:rPr>
        <w:t xml:space="preserve"> y está en firme, </w:t>
      </w:r>
      <w:r w:rsidR="00F56012" w:rsidRPr="00CF630A">
        <w:rPr>
          <w:rFonts w:asciiTheme="majorHAnsi" w:hAnsiTheme="majorHAnsi"/>
          <w:sz w:val="20"/>
          <w:szCs w:val="20"/>
          <w:lang w:val="es-ES"/>
        </w:rPr>
        <w:t xml:space="preserve">se observa que </w:t>
      </w:r>
      <w:r w:rsidRPr="00CF630A">
        <w:rPr>
          <w:rFonts w:asciiTheme="majorHAnsi" w:hAnsiTheme="majorHAnsi"/>
          <w:sz w:val="20"/>
          <w:szCs w:val="20"/>
          <w:lang w:val="es-ES"/>
        </w:rPr>
        <w:t xml:space="preserve">las presuntas víctimas interpusieron el 21 de junio de 2009 un </w:t>
      </w:r>
      <w:r w:rsidR="006E1861">
        <w:rPr>
          <w:rFonts w:asciiTheme="majorHAnsi" w:hAnsiTheme="majorHAnsi"/>
          <w:sz w:val="20"/>
          <w:szCs w:val="20"/>
          <w:lang w:val="es-AR"/>
        </w:rPr>
        <w:t>r</w:t>
      </w:r>
      <w:r w:rsidRPr="00CF630A">
        <w:rPr>
          <w:rFonts w:asciiTheme="majorHAnsi" w:hAnsiTheme="majorHAnsi"/>
          <w:sz w:val="20"/>
          <w:szCs w:val="20"/>
          <w:lang w:val="es-AR"/>
        </w:rPr>
        <w:t xml:space="preserve">ecurso de </w:t>
      </w:r>
      <w:r w:rsidR="006E1861">
        <w:rPr>
          <w:rFonts w:asciiTheme="majorHAnsi" w:hAnsiTheme="majorHAnsi"/>
          <w:sz w:val="20"/>
          <w:szCs w:val="20"/>
          <w:lang w:val="es-AR"/>
        </w:rPr>
        <w:t>i</w:t>
      </w:r>
      <w:r w:rsidRPr="00CF630A">
        <w:rPr>
          <w:rFonts w:asciiTheme="majorHAnsi" w:hAnsiTheme="majorHAnsi"/>
          <w:sz w:val="20"/>
          <w:szCs w:val="20"/>
          <w:lang w:val="es-AR"/>
        </w:rPr>
        <w:t>nconstitucionalidad ante la Sala Constitucional de la Corte Suprema de Justicia contra el Acuerdo y Sentencia No. 37 del Tribunal de Apelación</w:t>
      </w:r>
      <w:r>
        <w:rPr>
          <w:rFonts w:asciiTheme="majorHAnsi" w:hAnsiTheme="majorHAnsi"/>
          <w:sz w:val="20"/>
          <w:szCs w:val="20"/>
          <w:lang w:val="es-AR"/>
        </w:rPr>
        <w:t xml:space="preserve">, del cual a la fecha no se cuenta con información respecto de su resolución. Este hecho, si bien es secundario al análisis del agotamiento de los recursos internos, la Comisión lo podrá tomar en cuenta en la etapa de fondo del presente informe al analizar la alegada violación al artículo 25 (protección judicial) de la Convención Americana. </w:t>
      </w:r>
    </w:p>
    <w:p w14:paraId="12477830" w14:textId="77777777" w:rsidR="000D659E"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5BEFB3A9" w14:textId="6EAB6B9E" w:rsidR="003239B8" w:rsidRPr="00CF630A" w:rsidRDefault="003239B8" w:rsidP="00CF630A">
      <w:pPr>
        <w:pStyle w:val="ListParagraph"/>
        <w:jc w:val="both"/>
        <w:rPr>
          <w:rFonts w:asciiTheme="majorHAnsi" w:hAnsiTheme="majorHAnsi"/>
          <w:b/>
          <w:sz w:val="20"/>
          <w:szCs w:val="20"/>
          <w:lang w:val="es-ES"/>
        </w:rPr>
      </w:pPr>
      <w:r w:rsidRPr="00CF630A">
        <w:rPr>
          <w:rFonts w:asciiTheme="majorHAnsi" w:hAnsiTheme="majorHAnsi"/>
          <w:b/>
          <w:bCs/>
          <w:sz w:val="20"/>
          <w:szCs w:val="20"/>
          <w:lang w:val="es-ES"/>
        </w:rPr>
        <w:t>VII</w:t>
      </w:r>
      <w:r w:rsidR="00FE0755">
        <w:rPr>
          <w:rFonts w:asciiTheme="majorHAnsi" w:hAnsiTheme="majorHAnsi"/>
          <w:b/>
          <w:bCs/>
          <w:sz w:val="20"/>
          <w:szCs w:val="20"/>
          <w:lang w:val="es-ES"/>
        </w:rPr>
        <w:t>I</w:t>
      </w:r>
      <w:r w:rsidRPr="00CF630A">
        <w:rPr>
          <w:rFonts w:asciiTheme="majorHAnsi" w:hAnsiTheme="majorHAnsi"/>
          <w:b/>
          <w:bCs/>
          <w:sz w:val="20"/>
          <w:szCs w:val="20"/>
          <w:lang w:val="es-ES"/>
        </w:rPr>
        <w:t>.</w:t>
      </w:r>
      <w:r w:rsidRPr="00CF630A">
        <w:rPr>
          <w:rFonts w:asciiTheme="majorHAnsi" w:hAnsiTheme="majorHAnsi"/>
          <w:b/>
          <w:bCs/>
          <w:sz w:val="20"/>
          <w:szCs w:val="20"/>
          <w:lang w:val="es-ES"/>
        </w:rPr>
        <w:tab/>
      </w:r>
      <w:r w:rsidR="004A6A54" w:rsidRPr="00CF630A">
        <w:rPr>
          <w:rFonts w:asciiTheme="majorHAnsi" w:hAnsiTheme="majorHAnsi"/>
          <w:b/>
          <w:bCs/>
          <w:sz w:val="20"/>
          <w:szCs w:val="20"/>
          <w:lang w:val="es-ES_tradnl"/>
        </w:rPr>
        <w:t xml:space="preserve">ANÁLISIS DE </w:t>
      </w:r>
      <w:r w:rsidR="00C21FEF" w:rsidRPr="00CF630A">
        <w:rPr>
          <w:rFonts w:asciiTheme="majorHAnsi" w:hAnsiTheme="majorHAnsi"/>
          <w:b/>
          <w:bCs/>
          <w:sz w:val="20"/>
          <w:szCs w:val="20"/>
          <w:lang w:val="es-ES"/>
        </w:rPr>
        <w:t xml:space="preserve">CARACTERIZACIÓN </w:t>
      </w:r>
      <w:r w:rsidR="00C21FEF" w:rsidRPr="00CF630A">
        <w:rPr>
          <w:rFonts w:asciiTheme="majorHAnsi" w:hAnsiTheme="majorHAnsi"/>
          <w:b/>
          <w:bCs/>
          <w:sz w:val="20"/>
          <w:szCs w:val="20"/>
          <w:lang w:val="es-UY"/>
        </w:rPr>
        <w:t>DE LOS HECHOS ALEGADOS</w:t>
      </w:r>
    </w:p>
    <w:p w14:paraId="0BB066CA" w14:textId="77777777" w:rsidR="000D659E"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0125B6B7" w14:textId="065F0C7D" w:rsidR="001A520D" w:rsidRPr="00CF630A" w:rsidRDefault="00E356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US"/>
        </w:rPr>
      </w:pPr>
      <w:r w:rsidRPr="00CF630A">
        <w:rPr>
          <w:rFonts w:asciiTheme="majorHAnsi" w:hAnsiTheme="majorHAnsi"/>
          <w:sz w:val="20"/>
          <w:szCs w:val="20"/>
          <w:lang w:val="es-ES"/>
        </w:rPr>
        <w:t xml:space="preserve">19. </w:t>
      </w:r>
      <w:r w:rsidR="000D659E">
        <w:rPr>
          <w:rFonts w:asciiTheme="majorHAnsi" w:hAnsiTheme="majorHAnsi"/>
          <w:sz w:val="20"/>
          <w:szCs w:val="20"/>
          <w:lang w:val="es-ES"/>
        </w:rPr>
        <w:tab/>
      </w:r>
      <w:r w:rsidR="00A568CA" w:rsidRPr="00CF630A">
        <w:rPr>
          <w:rFonts w:asciiTheme="majorHAnsi" w:hAnsiTheme="majorHAnsi"/>
          <w:sz w:val="20"/>
          <w:szCs w:val="20"/>
          <w:lang w:val="es-ES"/>
        </w:rPr>
        <w:t>Como primera medida, la CIDH toma nota del argumento del Estado según el cual la parte peticionaria ha recurrido al sistema interamericano en tanto “cuarta instancia” internacional, planteando su mero descontento con decisiones judiciales domésticas válidamente adoptadas que les fueron desfavorables. 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00A568CA" w:rsidRPr="00CF630A">
        <w:rPr>
          <w:rStyle w:val="FootnoteReference"/>
          <w:rFonts w:asciiTheme="majorHAnsi" w:hAnsiTheme="majorHAnsi"/>
          <w:sz w:val="20"/>
          <w:szCs w:val="20"/>
          <w:lang w:val="es-US"/>
        </w:rPr>
        <w:footnoteReference w:id="10"/>
      </w:r>
      <w:r w:rsidR="00A568CA" w:rsidRPr="00CF630A">
        <w:rPr>
          <w:rFonts w:asciiTheme="majorHAnsi" w:hAnsiTheme="majorHAnsi"/>
          <w:sz w:val="20"/>
          <w:szCs w:val="20"/>
          <w:lang w:val="es-US"/>
        </w:rPr>
        <w:t>.</w:t>
      </w:r>
    </w:p>
    <w:p w14:paraId="3E39B15B" w14:textId="77777777" w:rsidR="000D659E"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US"/>
        </w:rPr>
      </w:pPr>
    </w:p>
    <w:p w14:paraId="4C053069" w14:textId="3D3AADAD" w:rsidR="00A568CA" w:rsidRPr="00CF630A" w:rsidRDefault="00E356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US"/>
        </w:rPr>
      </w:pPr>
      <w:r w:rsidRPr="00CF630A">
        <w:rPr>
          <w:rFonts w:asciiTheme="majorHAnsi" w:hAnsiTheme="majorHAnsi"/>
          <w:sz w:val="20"/>
          <w:szCs w:val="20"/>
          <w:lang w:val="es-US"/>
        </w:rPr>
        <w:t xml:space="preserve">20. </w:t>
      </w:r>
      <w:r w:rsidR="000D659E">
        <w:rPr>
          <w:rFonts w:asciiTheme="majorHAnsi" w:hAnsiTheme="majorHAnsi"/>
          <w:sz w:val="20"/>
          <w:szCs w:val="20"/>
          <w:lang w:val="es-US"/>
        </w:rPr>
        <w:tab/>
      </w:r>
      <w:r w:rsidR="00A568CA" w:rsidRPr="00CF630A">
        <w:rPr>
          <w:rFonts w:asciiTheme="majorHAnsi" w:hAnsiTheme="majorHAnsi"/>
          <w:sz w:val="20"/>
          <w:szCs w:val="20"/>
          <w:lang w:val="es-US"/>
        </w:rPr>
        <w:t xml:space="preserve">En </w:t>
      </w:r>
      <w:r w:rsidR="000D659E">
        <w:rPr>
          <w:rFonts w:asciiTheme="majorHAnsi" w:hAnsiTheme="majorHAnsi"/>
          <w:sz w:val="20"/>
          <w:szCs w:val="20"/>
          <w:lang w:val="es-US"/>
        </w:rPr>
        <w:t>esta línea</w:t>
      </w:r>
      <w:r w:rsidR="00A568CA" w:rsidRPr="00CF630A">
        <w:rPr>
          <w:rFonts w:asciiTheme="majorHAnsi" w:hAnsiTheme="majorHAnsi"/>
          <w:sz w:val="20"/>
          <w:szCs w:val="20"/>
          <w:lang w:val="es-US"/>
        </w:rPr>
        <w:t xml:space="preserve">, la CIDH concurre parcialmente con este alegato del Estado, </w:t>
      </w:r>
      <w:r w:rsidR="0017152E" w:rsidRPr="00CF630A">
        <w:rPr>
          <w:rFonts w:asciiTheme="majorHAnsi" w:hAnsiTheme="majorHAnsi"/>
          <w:sz w:val="20"/>
          <w:szCs w:val="20"/>
          <w:lang w:val="es-US"/>
        </w:rPr>
        <w:t xml:space="preserve">pero </w:t>
      </w:r>
      <w:r w:rsidR="00A568CA" w:rsidRPr="00CF630A">
        <w:rPr>
          <w:rFonts w:asciiTheme="majorHAnsi" w:hAnsiTheme="majorHAnsi"/>
          <w:sz w:val="20"/>
          <w:szCs w:val="20"/>
          <w:lang w:val="es-US"/>
        </w:rPr>
        <w:t xml:space="preserve">únicamente en lo atinente a los argumentos de la petición que se orientan a controvertir la valoración probatoria efectuada por los jueces paraguayos en los fallos condenatorios de primera instancia, segunda instancia y casación, con respecto a la comisión de la conducta punible de Lesión de Confianza por parte de los señores Flores y Orrego, alegatos </w:t>
      </w:r>
      <w:r w:rsidR="000D659E">
        <w:rPr>
          <w:rFonts w:asciiTheme="majorHAnsi" w:hAnsiTheme="majorHAnsi"/>
          <w:sz w:val="20"/>
          <w:szCs w:val="20"/>
          <w:lang w:val="es-US"/>
        </w:rPr>
        <w:t xml:space="preserve">arriba </w:t>
      </w:r>
      <w:r w:rsidR="00A568CA" w:rsidRPr="00CF630A">
        <w:rPr>
          <w:rFonts w:asciiTheme="majorHAnsi" w:hAnsiTheme="majorHAnsi"/>
          <w:sz w:val="20"/>
          <w:szCs w:val="20"/>
          <w:lang w:val="es-US"/>
        </w:rPr>
        <w:t xml:space="preserve">resumidos, y rubricados por los peticionarios como una vulneración de su presunción de inocencia. Dado que estos alegatos pretenden que la CIDH se erija en instancia revisora del análisis y valoración probatorios efectuados por los juzgadores domésticos, se encuentran por fuera del ámbito de competencias propio de este ente interamericano, y en consecuencia no serán admitidos. </w:t>
      </w:r>
    </w:p>
    <w:p w14:paraId="31BF50DC" w14:textId="77777777" w:rsidR="000D659E"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US"/>
        </w:rPr>
      </w:pPr>
    </w:p>
    <w:p w14:paraId="22FE033B" w14:textId="7A9797EB" w:rsidR="00262CC3" w:rsidRDefault="00E356CB" w:rsidP="00FE6AC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US"/>
        </w:rPr>
      </w:pPr>
      <w:r w:rsidRPr="00CF630A">
        <w:rPr>
          <w:rFonts w:asciiTheme="majorHAnsi" w:hAnsiTheme="majorHAnsi"/>
          <w:sz w:val="20"/>
          <w:szCs w:val="20"/>
          <w:lang w:val="es-US"/>
        </w:rPr>
        <w:t xml:space="preserve">21. </w:t>
      </w:r>
      <w:r w:rsidR="000D659E">
        <w:rPr>
          <w:rFonts w:asciiTheme="majorHAnsi" w:hAnsiTheme="majorHAnsi"/>
          <w:sz w:val="20"/>
          <w:szCs w:val="20"/>
          <w:lang w:val="es-US"/>
        </w:rPr>
        <w:tab/>
      </w:r>
      <w:r w:rsidR="00A568CA" w:rsidRPr="00CF630A">
        <w:rPr>
          <w:rFonts w:asciiTheme="majorHAnsi" w:hAnsiTheme="majorHAnsi"/>
          <w:sz w:val="20"/>
          <w:szCs w:val="20"/>
          <w:lang w:val="es-US"/>
        </w:rPr>
        <w:t xml:space="preserve">Cosa distinta sucede con los demás alegatos </w:t>
      </w:r>
      <w:r w:rsidR="00383B91">
        <w:rPr>
          <w:rFonts w:asciiTheme="majorHAnsi" w:hAnsiTheme="majorHAnsi"/>
          <w:sz w:val="20"/>
          <w:szCs w:val="20"/>
          <w:lang w:val="es-US"/>
        </w:rPr>
        <w:t>planteados por los peticionarios</w:t>
      </w:r>
      <w:r w:rsidR="00A568CA" w:rsidRPr="00CF630A">
        <w:rPr>
          <w:rFonts w:asciiTheme="majorHAnsi" w:hAnsiTheme="majorHAnsi"/>
          <w:sz w:val="20"/>
          <w:szCs w:val="20"/>
          <w:lang w:val="es-US"/>
        </w:rPr>
        <w:t xml:space="preserve">, puesto que en ellos se </w:t>
      </w:r>
      <w:r w:rsidR="00383B91">
        <w:rPr>
          <w:rFonts w:asciiTheme="majorHAnsi" w:hAnsiTheme="majorHAnsi"/>
          <w:sz w:val="20"/>
          <w:szCs w:val="20"/>
          <w:lang w:val="es-US"/>
        </w:rPr>
        <w:t xml:space="preserve">puede observar </w:t>
      </w:r>
      <w:r w:rsidR="00383B91" w:rsidRPr="00383B91">
        <w:rPr>
          <w:rFonts w:asciiTheme="majorHAnsi" w:hAnsiTheme="majorHAnsi"/>
          <w:i/>
          <w:iCs/>
          <w:sz w:val="20"/>
          <w:szCs w:val="20"/>
          <w:lang w:val="es-US"/>
        </w:rPr>
        <w:t>prima facie</w:t>
      </w:r>
      <w:r w:rsidR="00383B91">
        <w:rPr>
          <w:rFonts w:asciiTheme="majorHAnsi" w:hAnsiTheme="majorHAnsi"/>
          <w:sz w:val="20"/>
          <w:szCs w:val="20"/>
          <w:lang w:val="es-US"/>
        </w:rPr>
        <w:t xml:space="preserve"> la eventual violación de determinados</w:t>
      </w:r>
      <w:r w:rsidR="00A568CA" w:rsidRPr="00CF630A">
        <w:rPr>
          <w:rFonts w:asciiTheme="majorHAnsi" w:hAnsiTheme="majorHAnsi"/>
          <w:sz w:val="20"/>
          <w:szCs w:val="20"/>
          <w:lang w:val="es-US"/>
        </w:rPr>
        <w:t xml:space="preserve"> derechos protegidos por la Convención Americana, </w:t>
      </w:r>
      <w:r w:rsidR="00383B91">
        <w:rPr>
          <w:rFonts w:asciiTheme="majorHAnsi" w:hAnsiTheme="majorHAnsi"/>
          <w:sz w:val="20"/>
          <w:szCs w:val="20"/>
          <w:lang w:val="es-US"/>
        </w:rPr>
        <w:t>por ejemplo</w:t>
      </w:r>
      <w:r w:rsidR="00A568CA" w:rsidRPr="00CF630A">
        <w:rPr>
          <w:rFonts w:asciiTheme="majorHAnsi" w:hAnsiTheme="majorHAnsi"/>
          <w:sz w:val="20"/>
          <w:szCs w:val="20"/>
          <w:lang w:val="es-US"/>
        </w:rPr>
        <w:t>:</w:t>
      </w:r>
      <w:r w:rsidR="007D6551" w:rsidRPr="00CF630A">
        <w:rPr>
          <w:rFonts w:asciiTheme="majorHAnsi" w:hAnsiTheme="majorHAnsi"/>
          <w:sz w:val="20"/>
          <w:szCs w:val="20"/>
          <w:lang w:val="es-US"/>
        </w:rPr>
        <w:t xml:space="preserve"> </w:t>
      </w:r>
      <w:r w:rsidR="00A568CA" w:rsidRPr="00CF630A">
        <w:rPr>
          <w:rFonts w:asciiTheme="majorHAnsi" w:hAnsiTheme="majorHAnsi"/>
          <w:sz w:val="20"/>
          <w:szCs w:val="20"/>
          <w:lang w:val="es-US"/>
        </w:rPr>
        <w:t xml:space="preserve">(a) </w:t>
      </w:r>
      <w:r w:rsidR="00383B91">
        <w:rPr>
          <w:rFonts w:asciiTheme="majorHAnsi" w:hAnsiTheme="majorHAnsi"/>
          <w:sz w:val="20"/>
          <w:szCs w:val="20"/>
          <w:lang w:val="es-US"/>
        </w:rPr>
        <w:t>la</w:t>
      </w:r>
      <w:r w:rsidR="00A568CA" w:rsidRPr="00CF630A">
        <w:rPr>
          <w:rFonts w:asciiTheme="majorHAnsi" w:hAnsiTheme="majorHAnsi"/>
          <w:sz w:val="20"/>
          <w:szCs w:val="20"/>
          <w:lang w:val="es-US"/>
        </w:rPr>
        <w:t xml:space="preserve"> alegada violación </w:t>
      </w:r>
      <w:r w:rsidR="006E1861">
        <w:rPr>
          <w:rFonts w:asciiTheme="majorHAnsi" w:hAnsiTheme="majorHAnsi"/>
          <w:sz w:val="20"/>
          <w:szCs w:val="20"/>
          <w:lang w:val="es-US"/>
        </w:rPr>
        <w:t>al derecho a la libertad personal</w:t>
      </w:r>
      <w:r w:rsidR="00A568CA" w:rsidRPr="00CF630A">
        <w:rPr>
          <w:rFonts w:asciiTheme="majorHAnsi" w:hAnsiTheme="majorHAnsi"/>
          <w:sz w:val="20"/>
          <w:szCs w:val="20"/>
          <w:lang w:val="es-US"/>
        </w:rPr>
        <w:t>, en razón de la imposición irregular de prisión preventiva a las presuntas víctima</w:t>
      </w:r>
      <w:r w:rsidR="00450F77">
        <w:rPr>
          <w:rFonts w:asciiTheme="majorHAnsi" w:hAnsiTheme="majorHAnsi"/>
          <w:sz w:val="20"/>
          <w:szCs w:val="20"/>
          <w:lang w:val="es-US"/>
        </w:rPr>
        <w:t>s y</w:t>
      </w:r>
      <w:r w:rsidR="00A568CA" w:rsidRPr="00CF630A">
        <w:rPr>
          <w:rFonts w:asciiTheme="majorHAnsi" w:hAnsiTheme="majorHAnsi"/>
          <w:sz w:val="20"/>
          <w:szCs w:val="20"/>
          <w:lang w:val="es-US"/>
        </w:rPr>
        <w:t xml:space="preserve"> con duración excesiva de la misma, y en </w:t>
      </w:r>
      <w:r w:rsidR="00A568CA" w:rsidRPr="00CF630A">
        <w:rPr>
          <w:rFonts w:asciiTheme="majorHAnsi" w:hAnsiTheme="majorHAnsi"/>
          <w:sz w:val="20"/>
          <w:szCs w:val="20"/>
          <w:lang w:val="es-US"/>
        </w:rPr>
        <w:lastRenderedPageBreak/>
        <w:t>condiciones de reclusión supuestamente incompatibles con su dignidad humana;</w:t>
      </w:r>
      <w:r w:rsidR="007D6551" w:rsidRPr="00CF630A">
        <w:rPr>
          <w:rFonts w:asciiTheme="majorHAnsi" w:hAnsiTheme="majorHAnsi"/>
          <w:sz w:val="20"/>
          <w:szCs w:val="20"/>
          <w:lang w:val="es-US"/>
        </w:rPr>
        <w:t xml:space="preserve"> </w:t>
      </w:r>
      <w:r w:rsidR="00A568CA" w:rsidRPr="00CF630A">
        <w:rPr>
          <w:rFonts w:asciiTheme="majorHAnsi" w:hAnsiTheme="majorHAnsi"/>
          <w:sz w:val="20"/>
          <w:szCs w:val="20"/>
          <w:lang w:val="es-US"/>
        </w:rPr>
        <w:t xml:space="preserve">(b) </w:t>
      </w:r>
      <w:r w:rsidR="00450F77">
        <w:rPr>
          <w:rFonts w:asciiTheme="majorHAnsi" w:hAnsiTheme="majorHAnsi"/>
          <w:sz w:val="20"/>
          <w:szCs w:val="20"/>
          <w:lang w:val="es-US"/>
        </w:rPr>
        <w:t>la</w:t>
      </w:r>
      <w:r w:rsidR="00A568CA" w:rsidRPr="00CF630A">
        <w:rPr>
          <w:rFonts w:asciiTheme="majorHAnsi" w:hAnsiTheme="majorHAnsi"/>
          <w:sz w:val="20"/>
          <w:szCs w:val="20"/>
          <w:lang w:val="es-US"/>
        </w:rPr>
        <w:t xml:space="preserve"> posible violación de</w:t>
      </w:r>
      <w:r w:rsidR="006E1861">
        <w:rPr>
          <w:rFonts w:asciiTheme="majorHAnsi" w:hAnsiTheme="majorHAnsi"/>
          <w:sz w:val="20"/>
          <w:szCs w:val="20"/>
          <w:lang w:val="es-US"/>
        </w:rPr>
        <w:t>l derecho a</w:t>
      </w:r>
      <w:r w:rsidR="004F48C1" w:rsidRPr="00CF630A">
        <w:rPr>
          <w:rFonts w:asciiTheme="majorHAnsi" w:hAnsiTheme="majorHAnsi"/>
          <w:sz w:val="20"/>
          <w:szCs w:val="20"/>
          <w:lang w:val="es-US"/>
        </w:rPr>
        <w:t xml:space="preserve"> </w:t>
      </w:r>
      <w:r w:rsidR="00A568CA" w:rsidRPr="00CF630A">
        <w:rPr>
          <w:rFonts w:asciiTheme="majorHAnsi" w:hAnsiTheme="majorHAnsi"/>
          <w:sz w:val="20"/>
          <w:szCs w:val="20"/>
          <w:lang w:val="es-US"/>
        </w:rPr>
        <w:t>l</w:t>
      </w:r>
      <w:r w:rsidR="004F48C1" w:rsidRPr="00CF630A">
        <w:rPr>
          <w:rFonts w:asciiTheme="majorHAnsi" w:hAnsiTheme="majorHAnsi"/>
          <w:sz w:val="20"/>
          <w:szCs w:val="20"/>
          <w:lang w:val="es-US"/>
        </w:rPr>
        <w:t>a</w:t>
      </w:r>
      <w:r w:rsidR="00450F77">
        <w:rPr>
          <w:rFonts w:asciiTheme="majorHAnsi" w:hAnsiTheme="majorHAnsi"/>
          <w:sz w:val="20"/>
          <w:szCs w:val="20"/>
          <w:lang w:val="es-US"/>
        </w:rPr>
        <w:t>s</w:t>
      </w:r>
      <w:r w:rsidR="004F48C1" w:rsidRPr="00CF630A">
        <w:rPr>
          <w:rFonts w:asciiTheme="majorHAnsi" w:hAnsiTheme="majorHAnsi"/>
          <w:sz w:val="20"/>
          <w:szCs w:val="20"/>
          <w:lang w:val="es-US"/>
        </w:rPr>
        <w:t xml:space="preserve"> garantía</w:t>
      </w:r>
      <w:r w:rsidR="00450F77">
        <w:rPr>
          <w:rFonts w:asciiTheme="majorHAnsi" w:hAnsiTheme="majorHAnsi"/>
          <w:sz w:val="20"/>
          <w:szCs w:val="20"/>
          <w:lang w:val="es-US"/>
        </w:rPr>
        <w:t>s judiciales</w:t>
      </w:r>
      <w:r w:rsidR="004F48C1" w:rsidRPr="00CF630A">
        <w:rPr>
          <w:rFonts w:asciiTheme="majorHAnsi" w:hAnsiTheme="majorHAnsi"/>
          <w:sz w:val="20"/>
          <w:szCs w:val="20"/>
          <w:lang w:val="es-US"/>
        </w:rPr>
        <w:t xml:space="preserve"> </w:t>
      </w:r>
      <w:r w:rsidR="00450F77">
        <w:rPr>
          <w:rFonts w:asciiTheme="majorHAnsi" w:hAnsiTheme="majorHAnsi"/>
          <w:sz w:val="20"/>
          <w:szCs w:val="20"/>
          <w:lang w:val="es-US"/>
        </w:rPr>
        <w:t xml:space="preserve">por (i) la alegada violación del plazo razonable en el juzgamiento de las presuntas víctimas; </w:t>
      </w:r>
      <w:r w:rsidR="00A568CA" w:rsidRPr="00CF630A">
        <w:rPr>
          <w:rFonts w:asciiTheme="majorHAnsi" w:hAnsiTheme="majorHAnsi"/>
          <w:sz w:val="20"/>
          <w:szCs w:val="20"/>
          <w:lang w:val="es-US"/>
        </w:rPr>
        <w:t>(i</w:t>
      </w:r>
      <w:r w:rsidR="00450F77">
        <w:rPr>
          <w:rFonts w:asciiTheme="majorHAnsi" w:hAnsiTheme="majorHAnsi"/>
          <w:sz w:val="20"/>
          <w:szCs w:val="20"/>
          <w:lang w:val="es-US"/>
        </w:rPr>
        <w:t>i</w:t>
      </w:r>
      <w:r w:rsidR="00A568CA" w:rsidRPr="00CF630A">
        <w:rPr>
          <w:rFonts w:asciiTheme="majorHAnsi" w:hAnsiTheme="majorHAnsi"/>
          <w:sz w:val="20"/>
          <w:szCs w:val="20"/>
          <w:lang w:val="es-US"/>
        </w:rPr>
        <w:t xml:space="preserve">) la indebida notificación sobre la identidad de los jueces que compondrían la Sala Penal de la Corte Suprema en su caso, con incidencia sobre su derecho a recursarlos </w:t>
      </w:r>
      <w:r w:rsidR="0017152E" w:rsidRPr="00CF630A">
        <w:rPr>
          <w:rFonts w:asciiTheme="majorHAnsi" w:hAnsiTheme="majorHAnsi"/>
          <w:sz w:val="20"/>
          <w:szCs w:val="20"/>
          <w:lang w:val="es-US"/>
        </w:rPr>
        <w:t xml:space="preserve">pese a tener motivos fundados para hacerlo, </w:t>
      </w:r>
      <w:r w:rsidR="00A568CA" w:rsidRPr="00CF630A">
        <w:rPr>
          <w:rFonts w:asciiTheme="majorHAnsi" w:hAnsiTheme="majorHAnsi"/>
          <w:sz w:val="20"/>
          <w:szCs w:val="20"/>
          <w:lang w:val="es-US"/>
        </w:rPr>
        <w:t>y por ende sobre su derecho a un juez imparcial e independiente; (ii</w:t>
      </w:r>
      <w:r w:rsidR="00450F77">
        <w:rPr>
          <w:rFonts w:asciiTheme="majorHAnsi" w:hAnsiTheme="majorHAnsi"/>
          <w:sz w:val="20"/>
          <w:szCs w:val="20"/>
          <w:lang w:val="es-US"/>
        </w:rPr>
        <w:t>i</w:t>
      </w:r>
      <w:r w:rsidR="00A568CA" w:rsidRPr="00CF630A">
        <w:rPr>
          <w:rFonts w:asciiTheme="majorHAnsi" w:hAnsiTheme="majorHAnsi"/>
          <w:sz w:val="20"/>
          <w:szCs w:val="20"/>
          <w:lang w:val="es-US"/>
        </w:rPr>
        <w:t xml:space="preserve">) </w:t>
      </w:r>
      <w:r w:rsidR="004F48C1" w:rsidRPr="00CF630A">
        <w:rPr>
          <w:rFonts w:asciiTheme="majorHAnsi" w:hAnsiTheme="majorHAnsi"/>
          <w:sz w:val="20"/>
          <w:szCs w:val="20"/>
          <w:lang w:val="es-US"/>
        </w:rPr>
        <w:t>por cuanto fueron vinculados al proceso penal tres años después de su iniciación y cuando ya estaba cerrada la etapa investigativa, por lo cual, pese a que se retrotrajo formalmente la causa, no habrían podido materialmente participar en las labores de recaudo probatorio ni contradecir las evidencias obtenidas</w:t>
      </w:r>
      <w:r w:rsidR="00450F77">
        <w:rPr>
          <w:rFonts w:asciiTheme="majorHAnsi" w:hAnsiTheme="majorHAnsi"/>
          <w:sz w:val="20"/>
          <w:szCs w:val="20"/>
          <w:lang w:val="es-US"/>
        </w:rPr>
        <w:t xml:space="preserve">; </w:t>
      </w:r>
      <w:r w:rsidR="004F48C1" w:rsidRPr="00CF630A">
        <w:rPr>
          <w:rFonts w:asciiTheme="majorHAnsi" w:hAnsiTheme="majorHAnsi"/>
          <w:sz w:val="20"/>
          <w:szCs w:val="20"/>
          <w:lang w:val="es-US"/>
        </w:rPr>
        <w:t>(</w:t>
      </w:r>
      <w:r w:rsidR="00450F77">
        <w:rPr>
          <w:rFonts w:asciiTheme="majorHAnsi" w:hAnsiTheme="majorHAnsi"/>
          <w:sz w:val="20"/>
          <w:szCs w:val="20"/>
          <w:lang w:val="es-US"/>
        </w:rPr>
        <w:t>iv</w:t>
      </w:r>
      <w:r w:rsidR="004F48C1" w:rsidRPr="00CF630A">
        <w:rPr>
          <w:rFonts w:asciiTheme="majorHAnsi" w:hAnsiTheme="majorHAnsi"/>
          <w:sz w:val="20"/>
          <w:szCs w:val="20"/>
          <w:lang w:val="es-US"/>
        </w:rPr>
        <w:t xml:space="preserve">) la </w:t>
      </w:r>
      <w:r w:rsidR="00450F77">
        <w:rPr>
          <w:rFonts w:asciiTheme="majorHAnsi" w:hAnsiTheme="majorHAnsi"/>
          <w:sz w:val="20"/>
          <w:szCs w:val="20"/>
          <w:lang w:val="es-US"/>
        </w:rPr>
        <w:t xml:space="preserve">alegada </w:t>
      </w:r>
      <w:r w:rsidR="004F48C1" w:rsidRPr="00CF630A">
        <w:rPr>
          <w:rFonts w:asciiTheme="majorHAnsi" w:hAnsiTheme="majorHAnsi"/>
          <w:sz w:val="20"/>
          <w:szCs w:val="20"/>
          <w:lang w:val="es-US"/>
        </w:rPr>
        <w:t>variación del tipo penal aplicado por los jueces, en una etapa avanzada del proceso</w:t>
      </w:r>
      <w:r w:rsidR="00450F77">
        <w:rPr>
          <w:rFonts w:asciiTheme="majorHAnsi" w:hAnsiTheme="majorHAnsi"/>
          <w:sz w:val="20"/>
          <w:szCs w:val="20"/>
          <w:lang w:val="es-US"/>
        </w:rPr>
        <w:t>;</w:t>
      </w:r>
      <w:r w:rsidR="004F48C1" w:rsidRPr="00CF630A">
        <w:rPr>
          <w:rFonts w:asciiTheme="majorHAnsi" w:hAnsiTheme="majorHAnsi"/>
          <w:sz w:val="20"/>
          <w:szCs w:val="20"/>
          <w:lang w:val="es-US"/>
        </w:rPr>
        <w:t xml:space="preserve"> (</w:t>
      </w:r>
      <w:r w:rsidR="00450F77">
        <w:rPr>
          <w:rFonts w:asciiTheme="majorHAnsi" w:hAnsiTheme="majorHAnsi"/>
          <w:sz w:val="20"/>
          <w:szCs w:val="20"/>
          <w:lang w:val="es-US"/>
        </w:rPr>
        <w:t>v</w:t>
      </w:r>
      <w:r w:rsidR="004F48C1" w:rsidRPr="00CF630A">
        <w:rPr>
          <w:rFonts w:asciiTheme="majorHAnsi" w:hAnsiTheme="majorHAnsi"/>
          <w:sz w:val="20"/>
          <w:szCs w:val="20"/>
          <w:lang w:val="es-US"/>
        </w:rPr>
        <w:t xml:space="preserve">) </w:t>
      </w:r>
      <w:r w:rsidR="00450F77">
        <w:rPr>
          <w:rFonts w:asciiTheme="majorHAnsi" w:hAnsiTheme="majorHAnsi"/>
          <w:sz w:val="20"/>
          <w:szCs w:val="20"/>
          <w:lang w:val="es-US"/>
        </w:rPr>
        <w:t>la vulneración de</w:t>
      </w:r>
      <w:r w:rsidR="004F48C1" w:rsidRPr="00CF630A">
        <w:rPr>
          <w:rFonts w:asciiTheme="majorHAnsi" w:hAnsiTheme="majorHAnsi"/>
          <w:sz w:val="20"/>
          <w:szCs w:val="20"/>
          <w:lang w:val="es-US"/>
        </w:rPr>
        <w:t xml:space="preserve"> la garantía de la debida fundamentación de las sentencias condenatorias, puesto que no se habría realizado un examen de la responsabilidad individual específica de cada uno de los procesados y condenados, sino que, en términos de la petición, se hizo un análisis de tipo colectivo para todos los sindicalistas procesados;</w:t>
      </w:r>
      <w:r w:rsidR="007D6551" w:rsidRPr="00CF630A">
        <w:rPr>
          <w:rFonts w:asciiTheme="majorHAnsi" w:hAnsiTheme="majorHAnsi"/>
          <w:sz w:val="20"/>
          <w:szCs w:val="20"/>
          <w:lang w:val="es-US"/>
        </w:rPr>
        <w:t xml:space="preserve"> </w:t>
      </w:r>
      <w:r w:rsidR="004F48C1" w:rsidRPr="00CF630A">
        <w:rPr>
          <w:rFonts w:asciiTheme="majorHAnsi" w:hAnsiTheme="majorHAnsi"/>
          <w:sz w:val="20"/>
          <w:szCs w:val="20"/>
          <w:lang w:val="es-US"/>
        </w:rPr>
        <w:t>(</w:t>
      </w:r>
      <w:r w:rsidR="00450F77">
        <w:rPr>
          <w:rFonts w:asciiTheme="majorHAnsi" w:hAnsiTheme="majorHAnsi"/>
          <w:sz w:val="20"/>
          <w:szCs w:val="20"/>
          <w:lang w:val="es-US"/>
        </w:rPr>
        <w:t>c</w:t>
      </w:r>
      <w:r w:rsidR="004F48C1" w:rsidRPr="00CF630A">
        <w:rPr>
          <w:rFonts w:asciiTheme="majorHAnsi" w:hAnsiTheme="majorHAnsi"/>
          <w:sz w:val="20"/>
          <w:szCs w:val="20"/>
          <w:lang w:val="es-US"/>
        </w:rPr>
        <w:t xml:space="preserve">) </w:t>
      </w:r>
      <w:r w:rsidR="006E1861">
        <w:rPr>
          <w:rFonts w:asciiTheme="majorHAnsi" w:hAnsiTheme="majorHAnsi"/>
          <w:sz w:val="20"/>
          <w:szCs w:val="20"/>
          <w:lang w:val="es-US"/>
        </w:rPr>
        <w:t>la</w:t>
      </w:r>
      <w:r w:rsidR="004F48C1" w:rsidRPr="00CF630A">
        <w:rPr>
          <w:rFonts w:asciiTheme="majorHAnsi" w:hAnsiTheme="majorHAnsi"/>
          <w:sz w:val="20"/>
          <w:szCs w:val="20"/>
          <w:lang w:val="es-US"/>
        </w:rPr>
        <w:t xml:space="preserve"> posible violación del </w:t>
      </w:r>
      <w:r w:rsidR="006E1861">
        <w:rPr>
          <w:rFonts w:asciiTheme="majorHAnsi" w:hAnsiTheme="majorHAnsi"/>
          <w:sz w:val="20"/>
          <w:szCs w:val="20"/>
          <w:lang w:val="es-US"/>
        </w:rPr>
        <w:t>principio de legalidad y no retroactividad</w:t>
      </w:r>
      <w:r w:rsidR="004F48C1" w:rsidRPr="00CF630A">
        <w:rPr>
          <w:rFonts w:asciiTheme="majorHAnsi" w:hAnsiTheme="majorHAnsi"/>
          <w:sz w:val="20"/>
          <w:szCs w:val="20"/>
          <w:lang w:val="es-US"/>
        </w:rPr>
        <w:t>, a causa de la aplicación retroactiva de la ley penal a su caso bajo un argumento de supuesta favorabilidad o carácter benéfico de la legislación posterior, que los peticionarios cuestionan expresamente;</w:t>
      </w:r>
      <w:r w:rsidR="007D6551" w:rsidRPr="00CF630A">
        <w:rPr>
          <w:rFonts w:asciiTheme="majorHAnsi" w:hAnsiTheme="majorHAnsi"/>
          <w:sz w:val="20"/>
          <w:szCs w:val="20"/>
          <w:lang w:val="es-US"/>
        </w:rPr>
        <w:t xml:space="preserve"> </w:t>
      </w:r>
      <w:r w:rsidR="004F48C1" w:rsidRPr="00CF630A">
        <w:rPr>
          <w:rFonts w:asciiTheme="majorHAnsi" w:hAnsiTheme="majorHAnsi"/>
          <w:sz w:val="20"/>
          <w:szCs w:val="20"/>
          <w:lang w:val="es-US"/>
        </w:rPr>
        <w:t>(</w:t>
      </w:r>
      <w:r w:rsidR="00450F77">
        <w:rPr>
          <w:rFonts w:asciiTheme="majorHAnsi" w:hAnsiTheme="majorHAnsi"/>
          <w:sz w:val="20"/>
          <w:szCs w:val="20"/>
          <w:lang w:val="es-US"/>
        </w:rPr>
        <w:t>d</w:t>
      </w:r>
      <w:r w:rsidR="004F48C1" w:rsidRPr="00CF630A">
        <w:rPr>
          <w:rFonts w:asciiTheme="majorHAnsi" w:hAnsiTheme="majorHAnsi"/>
          <w:sz w:val="20"/>
          <w:szCs w:val="20"/>
          <w:lang w:val="es-US"/>
        </w:rPr>
        <w:t xml:space="preserve">) </w:t>
      </w:r>
      <w:r w:rsidR="00450F77">
        <w:rPr>
          <w:rFonts w:asciiTheme="majorHAnsi" w:hAnsiTheme="majorHAnsi"/>
          <w:sz w:val="20"/>
          <w:szCs w:val="20"/>
          <w:lang w:val="es-US"/>
        </w:rPr>
        <w:t>la</w:t>
      </w:r>
      <w:r w:rsidR="004F48C1" w:rsidRPr="00CF630A">
        <w:rPr>
          <w:rFonts w:asciiTheme="majorHAnsi" w:hAnsiTheme="majorHAnsi"/>
          <w:sz w:val="20"/>
          <w:szCs w:val="20"/>
          <w:lang w:val="es-US"/>
        </w:rPr>
        <w:t xml:space="preserve"> posible violación de los </w:t>
      </w:r>
      <w:r w:rsidR="006E1861">
        <w:rPr>
          <w:rFonts w:asciiTheme="majorHAnsi" w:hAnsiTheme="majorHAnsi"/>
          <w:sz w:val="20"/>
          <w:szCs w:val="20"/>
          <w:lang w:val="es-US"/>
        </w:rPr>
        <w:t>derechos sindicales</w:t>
      </w:r>
      <w:r w:rsidR="004F48C1" w:rsidRPr="00CF630A">
        <w:rPr>
          <w:rFonts w:asciiTheme="majorHAnsi" w:hAnsiTheme="majorHAnsi"/>
          <w:sz w:val="20"/>
          <w:szCs w:val="20"/>
          <w:lang w:val="es-US"/>
        </w:rPr>
        <w:t xml:space="preserve">, por cuanto se ha provisto elementos de juicio para caracterizar en forma plausible el procesamiento penal de estos dos líderes sindicales como parte de una posición persecutoria emprendida en razón de sus actividades en los </w:t>
      </w:r>
      <w:r w:rsidR="006403B9">
        <w:rPr>
          <w:rFonts w:asciiTheme="majorHAnsi" w:hAnsiTheme="majorHAnsi"/>
          <w:sz w:val="20"/>
          <w:szCs w:val="20"/>
          <w:lang w:val="es-US"/>
        </w:rPr>
        <w:t>s</w:t>
      </w:r>
      <w:r w:rsidR="004F48C1" w:rsidRPr="00CF630A">
        <w:rPr>
          <w:rFonts w:asciiTheme="majorHAnsi" w:hAnsiTheme="majorHAnsi"/>
          <w:sz w:val="20"/>
          <w:szCs w:val="20"/>
          <w:lang w:val="es-US"/>
        </w:rPr>
        <w:t>indicatos;</w:t>
      </w:r>
      <w:r w:rsidR="007D6551" w:rsidRPr="00CF630A">
        <w:rPr>
          <w:rFonts w:asciiTheme="majorHAnsi" w:hAnsiTheme="majorHAnsi"/>
          <w:sz w:val="20"/>
          <w:szCs w:val="20"/>
          <w:lang w:val="es-US"/>
        </w:rPr>
        <w:t xml:space="preserve"> </w:t>
      </w:r>
      <w:r w:rsidR="006403B9">
        <w:rPr>
          <w:rFonts w:asciiTheme="majorHAnsi" w:hAnsiTheme="majorHAnsi"/>
          <w:sz w:val="20"/>
          <w:szCs w:val="20"/>
          <w:lang w:val="es-US"/>
        </w:rPr>
        <w:t xml:space="preserve">y </w:t>
      </w:r>
      <w:r w:rsidR="004F48C1" w:rsidRPr="00CF630A">
        <w:rPr>
          <w:rFonts w:asciiTheme="majorHAnsi" w:hAnsiTheme="majorHAnsi"/>
          <w:sz w:val="20"/>
          <w:szCs w:val="20"/>
          <w:lang w:val="es-US"/>
        </w:rPr>
        <w:t>(</w:t>
      </w:r>
      <w:r w:rsidR="006403B9">
        <w:rPr>
          <w:rFonts w:asciiTheme="majorHAnsi" w:hAnsiTheme="majorHAnsi"/>
          <w:sz w:val="20"/>
          <w:szCs w:val="20"/>
          <w:lang w:val="es-US"/>
        </w:rPr>
        <w:t>e</w:t>
      </w:r>
      <w:r w:rsidR="004F48C1" w:rsidRPr="00CF630A">
        <w:rPr>
          <w:rFonts w:asciiTheme="majorHAnsi" w:hAnsiTheme="majorHAnsi"/>
          <w:sz w:val="20"/>
          <w:szCs w:val="20"/>
          <w:lang w:val="es-US"/>
        </w:rPr>
        <w:t xml:space="preserve">) </w:t>
      </w:r>
      <w:r w:rsidR="006E1861">
        <w:rPr>
          <w:rFonts w:asciiTheme="majorHAnsi" w:hAnsiTheme="majorHAnsi"/>
          <w:sz w:val="20"/>
          <w:szCs w:val="20"/>
          <w:lang w:val="es-US"/>
        </w:rPr>
        <w:t>del derecho a la protección judic</w:t>
      </w:r>
      <w:r w:rsidR="00FE6ACC">
        <w:rPr>
          <w:rFonts w:asciiTheme="majorHAnsi" w:hAnsiTheme="majorHAnsi"/>
          <w:sz w:val="20"/>
          <w:szCs w:val="20"/>
          <w:lang w:val="es-US"/>
        </w:rPr>
        <w:t>i</w:t>
      </w:r>
      <w:r w:rsidR="006E1861">
        <w:rPr>
          <w:rFonts w:asciiTheme="majorHAnsi" w:hAnsiTheme="majorHAnsi"/>
          <w:sz w:val="20"/>
          <w:szCs w:val="20"/>
          <w:lang w:val="es-US"/>
        </w:rPr>
        <w:t>al</w:t>
      </w:r>
      <w:r w:rsidR="00FE6ACC">
        <w:rPr>
          <w:rFonts w:asciiTheme="majorHAnsi" w:hAnsiTheme="majorHAnsi"/>
          <w:sz w:val="20"/>
          <w:szCs w:val="20"/>
          <w:lang w:val="es-US"/>
        </w:rPr>
        <w:t>,</w:t>
      </w:r>
      <w:r w:rsidR="004F48C1" w:rsidRPr="00CF630A">
        <w:rPr>
          <w:rFonts w:asciiTheme="majorHAnsi" w:hAnsiTheme="majorHAnsi"/>
          <w:sz w:val="20"/>
          <w:szCs w:val="20"/>
          <w:lang w:val="es-US"/>
        </w:rPr>
        <w:t xml:space="preserve"> dada la </w:t>
      </w:r>
      <w:r w:rsidR="006403B9">
        <w:rPr>
          <w:rFonts w:asciiTheme="majorHAnsi" w:hAnsiTheme="majorHAnsi"/>
          <w:sz w:val="20"/>
          <w:szCs w:val="20"/>
          <w:lang w:val="es-US"/>
        </w:rPr>
        <w:t xml:space="preserve">alegada </w:t>
      </w:r>
      <w:r w:rsidR="004F48C1" w:rsidRPr="00CF630A">
        <w:rPr>
          <w:rFonts w:asciiTheme="majorHAnsi" w:hAnsiTheme="majorHAnsi"/>
          <w:sz w:val="20"/>
          <w:szCs w:val="20"/>
          <w:lang w:val="es-US"/>
        </w:rPr>
        <w:t xml:space="preserve">falta de resolución </w:t>
      </w:r>
      <w:r w:rsidR="00262CC3" w:rsidRPr="00CF630A">
        <w:rPr>
          <w:rFonts w:asciiTheme="majorHAnsi" w:hAnsiTheme="majorHAnsi"/>
          <w:sz w:val="20"/>
          <w:szCs w:val="20"/>
          <w:lang w:val="es-US"/>
        </w:rPr>
        <w:t>del recurso de inconstitucionalidad presentado contra el fallo condenatorio de segunda instancia</w:t>
      </w:r>
      <w:r w:rsidR="006403B9">
        <w:rPr>
          <w:rFonts w:asciiTheme="majorHAnsi" w:hAnsiTheme="majorHAnsi"/>
          <w:sz w:val="20"/>
          <w:szCs w:val="20"/>
          <w:lang w:val="es-US"/>
        </w:rPr>
        <w:t>.</w:t>
      </w:r>
    </w:p>
    <w:p w14:paraId="51DCDAFC" w14:textId="77777777" w:rsidR="006403B9" w:rsidRPr="00CF630A" w:rsidRDefault="006403B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US"/>
        </w:rPr>
      </w:pPr>
    </w:p>
    <w:p w14:paraId="6BB78F04" w14:textId="5A20823B" w:rsidR="00A568CA" w:rsidRPr="00CF630A" w:rsidRDefault="00E356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US"/>
        </w:rPr>
      </w:pPr>
      <w:r w:rsidRPr="00CF630A">
        <w:rPr>
          <w:rFonts w:asciiTheme="majorHAnsi" w:hAnsiTheme="majorHAnsi"/>
          <w:sz w:val="20"/>
          <w:szCs w:val="20"/>
          <w:lang w:val="es-US"/>
        </w:rPr>
        <w:t xml:space="preserve">22. </w:t>
      </w:r>
      <w:r w:rsidR="006403B9">
        <w:rPr>
          <w:rFonts w:asciiTheme="majorHAnsi" w:hAnsiTheme="majorHAnsi"/>
          <w:sz w:val="20"/>
          <w:szCs w:val="20"/>
          <w:lang w:val="es-US"/>
        </w:rPr>
        <w:tab/>
      </w:r>
      <w:r w:rsidR="00262CC3" w:rsidRPr="00CF630A">
        <w:rPr>
          <w:rFonts w:asciiTheme="majorHAnsi" w:hAnsiTheme="majorHAnsi"/>
          <w:sz w:val="20"/>
          <w:szCs w:val="20"/>
          <w:lang w:val="es-ES_tradnl"/>
        </w:rPr>
        <w:t xml:space="preserve">La Comisión recuerda a este respecto que </w:t>
      </w:r>
      <w:r w:rsidR="00262CC3" w:rsidRPr="00CF630A">
        <w:rPr>
          <w:rFonts w:asciiTheme="majorHAnsi" w:hAnsiTheme="majorHAnsi" w:cs="Calibri"/>
          <w:sz w:val="20"/>
          <w:szCs w:val="20"/>
          <w:lang w:val="es-ES_tradnl"/>
        </w:rPr>
        <w:t xml:space="preserve">el criterio de evaluación de la fase de admisibilidad difiere del que se utiliza para pronunciarse sobre el fondo de una petición. En esta primera fase, la Comisión debe realizar una evaluación </w:t>
      </w:r>
      <w:r w:rsidR="00262CC3" w:rsidRPr="00CF630A">
        <w:rPr>
          <w:rFonts w:asciiTheme="majorHAnsi" w:hAnsiTheme="majorHAnsi" w:cs="Calibri"/>
          <w:i/>
          <w:iCs/>
          <w:sz w:val="20"/>
          <w:szCs w:val="20"/>
          <w:lang w:val="es-ES_tradnl"/>
        </w:rPr>
        <w:t>prima facie</w:t>
      </w:r>
      <w:r w:rsidR="00262CC3" w:rsidRPr="00CF630A">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como tal. Esta determinación sobre la caracterización de violaciones de la Convención Americana constituye un análisis primario, que no implica prejuzgar sobre el fondo del asunto</w:t>
      </w:r>
      <w:r w:rsidR="00262CC3" w:rsidRPr="00CF630A">
        <w:rPr>
          <w:rStyle w:val="FootnoteReference"/>
          <w:rFonts w:asciiTheme="majorHAnsi" w:hAnsiTheme="majorHAnsi" w:cs="Calibri"/>
          <w:sz w:val="20"/>
          <w:szCs w:val="20"/>
          <w:lang w:val="es-ES_tradnl"/>
        </w:rPr>
        <w:footnoteReference w:id="11"/>
      </w:r>
      <w:r w:rsidR="00262CC3" w:rsidRPr="00CF630A">
        <w:rPr>
          <w:rFonts w:asciiTheme="majorHAnsi" w:hAnsiTheme="majorHAnsi" w:cs="Calibri"/>
          <w:sz w:val="20"/>
          <w:szCs w:val="20"/>
          <w:lang w:val="es-ES_tradnl"/>
        </w:rPr>
        <w:t xml:space="preserve">. </w:t>
      </w:r>
      <w:r w:rsidR="004F48C1" w:rsidRPr="00CF630A">
        <w:rPr>
          <w:rFonts w:asciiTheme="majorHAnsi" w:hAnsiTheme="majorHAnsi"/>
          <w:sz w:val="20"/>
          <w:szCs w:val="20"/>
          <w:lang w:val="es-AR"/>
        </w:rPr>
        <w:t xml:space="preserve"> </w:t>
      </w:r>
    </w:p>
    <w:p w14:paraId="05E54350" w14:textId="77777777" w:rsidR="00BB4067" w:rsidRDefault="00BB4067" w:rsidP="00CF630A">
      <w:pPr>
        <w:ind w:firstLine="720"/>
        <w:jc w:val="both"/>
        <w:rPr>
          <w:rFonts w:asciiTheme="majorHAnsi" w:hAnsiTheme="majorHAnsi"/>
          <w:sz w:val="20"/>
          <w:szCs w:val="20"/>
          <w:lang w:val="es-ES_tradnl"/>
        </w:rPr>
      </w:pPr>
    </w:p>
    <w:p w14:paraId="61A58115" w14:textId="7F982464" w:rsidR="00BB4067" w:rsidRDefault="00E356CB" w:rsidP="00CF630A">
      <w:pPr>
        <w:ind w:firstLine="720"/>
        <w:jc w:val="both"/>
        <w:rPr>
          <w:rFonts w:asciiTheme="majorHAnsi" w:hAnsiTheme="majorHAnsi"/>
          <w:bCs/>
          <w:sz w:val="20"/>
          <w:szCs w:val="20"/>
          <w:lang w:val="es-CO"/>
        </w:rPr>
      </w:pPr>
      <w:r w:rsidRPr="00CF630A">
        <w:rPr>
          <w:rFonts w:asciiTheme="majorHAnsi" w:hAnsiTheme="majorHAnsi"/>
          <w:sz w:val="20"/>
          <w:szCs w:val="20"/>
          <w:lang w:val="es-ES_tradnl"/>
        </w:rPr>
        <w:t xml:space="preserve">23. </w:t>
      </w:r>
      <w:r w:rsidR="00BB4067">
        <w:rPr>
          <w:rFonts w:asciiTheme="majorHAnsi" w:hAnsiTheme="majorHAnsi"/>
          <w:sz w:val="20"/>
          <w:szCs w:val="20"/>
          <w:lang w:val="es-ES_tradnl"/>
        </w:rPr>
        <w:tab/>
      </w:r>
      <w:r w:rsidR="009F1A15">
        <w:rPr>
          <w:rFonts w:asciiTheme="majorHAnsi" w:hAnsiTheme="majorHAnsi"/>
          <w:sz w:val="20"/>
          <w:szCs w:val="20"/>
          <w:lang w:val="es-ES_tradnl"/>
        </w:rPr>
        <w:t>Así</w:t>
      </w:r>
      <w:r w:rsidR="00262CC3" w:rsidRPr="00CF630A">
        <w:rPr>
          <w:rFonts w:asciiTheme="majorHAnsi" w:hAnsiTheme="majorHAnsi"/>
          <w:sz w:val="20"/>
          <w:szCs w:val="20"/>
          <w:lang w:val="es-ES_tradnl"/>
        </w:rPr>
        <w:t xml:space="preserve">, la Comisión estima que las alegaciones de la parte peticionaria no resultan manifiestamente infundadas y </w:t>
      </w:r>
      <w:r w:rsidR="009F1A15">
        <w:rPr>
          <w:rFonts w:asciiTheme="majorHAnsi" w:hAnsiTheme="majorHAnsi"/>
          <w:sz w:val="20"/>
          <w:szCs w:val="20"/>
          <w:lang w:val="es-ES_tradnl"/>
        </w:rPr>
        <w:t xml:space="preserve">podrían constituir </w:t>
      </w:r>
      <w:r w:rsidR="009F1A15" w:rsidRPr="009F1A15">
        <w:rPr>
          <w:rFonts w:asciiTheme="majorHAnsi" w:hAnsiTheme="majorHAnsi"/>
          <w:i/>
          <w:iCs/>
          <w:sz w:val="20"/>
          <w:szCs w:val="20"/>
          <w:lang w:val="es-ES_tradnl"/>
        </w:rPr>
        <w:t>prima facie</w:t>
      </w:r>
      <w:r w:rsidR="009F1A15">
        <w:rPr>
          <w:rFonts w:asciiTheme="majorHAnsi" w:hAnsiTheme="majorHAnsi"/>
          <w:sz w:val="20"/>
          <w:szCs w:val="20"/>
          <w:lang w:val="es-ES_tradnl"/>
        </w:rPr>
        <w:t xml:space="preserve"> violaciones a</w:t>
      </w:r>
      <w:r w:rsidR="00262CC3" w:rsidRPr="00CF630A">
        <w:rPr>
          <w:rFonts w:asciiTheme="majorHAnsi" w:hAnsiTheme="majorHAnsi"/>
          <w:sz w:val="20"/>
          <w:szCs w:val="20"/>
          <w:lang w:val="es-ES_tradnl"/>
        </w:rPr>
        <w:t xml:space="preserve"> los artículos</w:t>
      </w:r>
      <w:r w:rsidR="00262CC3" w:rsidRPr="00CF630A">
        <w:rPr>
          <w:rFonts w:asciiTheme="majorHAnsi" w:hAnsiTheme="majorHAnsi"/>
          <w:bCs/>
          <w:sz w:val="20"/>
          <w:szCs w:val="20"/>
          <w:lang w:val="es-ES_tradnl"/>
        </w:rPr>
        <w:t xml:space="preserve"> </w:t>
      </w:r>
      <w:r w:rsidR="00262CC3" w:rsidRPr="00CF630A">
        <w:rPr>
          <w:rFonts w:asciiTheme="majorHAnsi" w:hAnsiTheme="majorHAnsi"/>
          <w:bCs/>
          <w:sz w:val="20"/>
          <w:szCs w:val="20"/>
          <w:lang w:val="es-CO"/>
        </w:rPr>
        <w:t>5 (integridad personal), 8 (garantías judiciales), 9 (principio de legalidad y de retroactividad), 16 (libertad de asociación), 25 (protección judicial) y 26 (derechos económicos, sociales y culturales) de la Convención Americana, en relación con su artículo 1.1 (obligación de respetar los derechos)</w:t>
      </w:r>
      <w:r w:rsidR="00BB4067">
        <w:rPr>
          <w:rFonts w:asciiTheme="majorHAnsi" w:hAnsiTheme="majorHAnsi"/>
          <w:bCs/>
          <w:sz w:val="20"/>
          <w:szCs w:val="20"/>
          <w:lang w:val="es-CO"/>
        </w:rPr>
        <w:t xml:space="preserve">, </w:t>
      </w:r>
      <w:r w:rsidR="00FE0755">
        <w:rPr>
          <w:rFonts w:asciiTheme="majorHAnsi" w:hAnsiTheme="majorHAnsi"/>
          <w:bCs/>
          <w:sz w:val="20"/>
          <w:szCs w:val="20"/>
          <w:lang w:val="es-CO"/>
        </w:rPr>
        <w:t xml:space="preserve">y el artículo 8.1.a) (derechos sindicales) del Protocolo de San Salvador, </w:t>
      </w:r>
      <w:r w:rsidR="00BB4067">
        <w:rPr>
          <w:rFonts w:asciiTheme="majorHAnsi" w:hAnsiTheme="majorHAnsi"/>
          <w:bCs/>
          <w:sz w:val="20"/>
          <w:szCs w:val="20"/>
          <w:lang w:val="es-CO"/>
        </w:rPr>
        <w:t xml:space="preserve">en perjuicio de </w:t>
      </w:r>
      <w:r w:rsidR="00BB4067" w:rsidRPr="00BB4067">
        <w:rPr>
          <w:rFonts w:asciiTheme="majorHAnsi" w:hAnsiTheme="majorHAnsi"/>
          <w:bCs/>
          <w:sz w:val="20"/>
          <w:szCs w:val="20"/>
          <w:lang w:val="es-CO"/>
        </w:rPr>
        <w:t>Alan Alberto Flores Cabrera y Teodoro Ronal Orrego Verdún</w:t>
      </w:r>
      <w:r w:rsidR="00BB4067">
        <w:rPr>
          <w:rFonts w:asciiTheme="majorHAnsi" w:hAnsiTheme="majorHAnsi"/>
          <w:bCs/>
          <w:sz w:val="20"/>
          <w:szCs w:val="20"/>
          <w:lang w:val="es-CO"/>
        </w:rPr>
        <w:t xml:space="preserve">, en los términos del presente informe. </w:t>
      </w:r>
      <w:r w:rsidR="00097779">
        <w:rPr>
          <w:rFonts w:asciiTheme="majorHAnsi" w:hAnsiTheme="majorHAnsi"/>
          <w:bCs/>
          <w:sz w:val="20"/>
          <w:szCs w:val="20"/>
          <w:lang w:val="es-CO"/>
        </w:rPr>
        <w:t xml:space="preserve">Con respecto al artículo 24 (igualdad ante la ley) de la Convención Americana, la Comisión considera que los peticionarios no han aportado bases suficientes que justifiquen </w:t>
      </w:r>
      <w:r w:rsidR="00A8502D">
        <w:rPr>
          <w:rFonts w:asciiTheme="majorHAnsi" w:hAnsiTheme="majorHAnsi"/>
          <w:bCs/>
          <w:sz w:val="20"/>
          <w:szCs w:val="20"/>
          <w:lang w:val="es-CO"/>
        </w:rPr>
        <w:t xml:space="preserve">una </w:t>
      </w:r>
      <w:r w:rsidR="00097779">
        <w:rPr>
          <w:rFonts w:asciiTheme="majorHAnsi" w:hAnsiTheme="majorHAnsi"/>
          <w:bCs/>
          <w:sz w:val="20"/>
          <w:szCs w:val="20"/>
          <w:lang w:val="es-CO"/>
        </w:rPr>
        <w:t>posible caracterización</w:t>
      </w:r>
      <w:r w:rsidR="00A8502D">
        <w:rPr>
          <w:rFonts w:asciiTheme="majorHAnsi" w:hAnsiTheme="majorHAnsi"/>
          <w:bCs/>
          <w:sz w:val="20"/>
          <w:szCs w:val="20"/>
          <w:lang w:val="es-CO"/>
        </w:rPr>
        <w:t xml:space="preserve"> de su violación</w:t>
      </w:r>
      <w:r w:rsidR="00097779">
        <w:rPr>
          <w:rStyle w:val="FootnoteReference"/>
          <w:rFonts w:asciiTheme="majorHAnsi" w:hAnsiTheme="majorHAnsi"/>
          <w:bCs/>
          <w:sz w:val="20"/>
          <w:szCs w:val="20"/>
          <w:lang w:val="es-CO"/>
        </w:rPr>
        <w:footnoteReference w:id="12"/>
      </w:r>
      <w:r w:rsidR="00097779">
        <w:rPr>
          <w:rFonts w:asciiTheme="majorHAnsi" w:hAnsiTheme="majorHAnsi"/>
          <w:bCs/>
          <w:sz w:val="20"/>
          <w:szCs w:val="20"/>
          <w:lang w:val="es-CO"/>
        </w:rPr>
        <w:t>.</w:t>
      </w:r>
    </w:p>
    <w:p w14:paraId="353E81AE" w14:textId="3D4AF4D3" w:rsidR="00A568CA" w:rsidRPr="00CF630A" w:rsidRDefault="00A568CA" w:rsidP="00CF630A">
      <w:pPr>
        <w:ind w:firstLine="720"/>
        <w:jc w:val="both"/>
        <w:rPr>
          <w:rFonts w:asciiTheme="majorHAnsi" w:hAnsiTheme="majorHAnsi"/>
          <w:b/>
          <w:bCs/>
          <w:sz w:val="20"/>
          <w:szCs w:val="20"/>
          <w:lang w:val="es-AR"/>
        </w:rPr>
      </w:pPr>
    </w:p>
    <w:p w14:paraId="1EDF3A5D" w14:textId="41C5471A" w:rsidR="003239B8" w:rsidRDefault="00FE0755" w:rsidP="00CF630A">
      <w:pPr>
        <w:pStyle w:val="ListParagraph"/>
        <w:jc w:val="both"/>
        <w:rPr>
          <w:rFonts w:asciiTheme="majorHAnsi" w:hAnsiTheme="majorHAnsi"/>
          <w:b/>
          <w:bCs/>
          <w:sz w:val="20"/>
          <w:szCs w:val="20"/>
          <w:lang w:val="es-ES"/>
        </w:rPr>
      </w:pPr>
      <w:r>
        <w:rPr>
          <w:rFonts w:asciiTheme="majorHAnsi" w:hAnsiTheme="majorHAnsi"/>
          <w:b/>
          <w:bCs/>
          <w:sz w:val="20"/>
          <w:szCs w:val="20"/>
          <w:lang w:val="es-ES"/>
        </w:rPr>
        <w:t>IX</w:t>
      </w:r>
      <w:r w:rsidR="003239B8" w:rsidRPr="00CF630A">
        <w:rPr>
          <w:rFonts w:asciiTheme="majorHAnsi" w:hAnsiTheme="majorHAnsi"/>
          <w:b/>
          <w:bCs/>
          <w:sz w:val="20"/>
          <w:szCs w:val="20"/>
          <w:lang w:val="es-ES"/>
        </w:rPr>
        <w:t xml:space="preserve">. </w:t>
      </w:r>
      <w:r w:rsidR="003239B8" w:rsidRPr="00CF630A">
        <w:rPr>
          <w:rFonts w:asciiTheme="majorHAnsi" w:hAnsiTheme="majorHAnsi"/>
          <w:b/>
          <w:bCs/>
          <w:sz w:val="20"/>
          <w:szCs w:val="20"/>
          <w:lang w:val="es-ES"/>
        </w:rPr>
        <w:tab/>
        <w:t>DECISIÓN</w:t>
      </w:r>
    </w:p>
    <w:p w14:paraId="2A3B82D4" w14:textId="77777777" w:rsidR="00BB4067" w:rsidRPr="00CF630A" w:rsidRDefault="00BB4067" w:rsidP="00CF630A">
      <w:pPr>
        <w:pStyle w:val="ListParagraph"/>
        <w:jc w:val="both"/>
        <w:rPr>
          <w:rFonts w:asciiTheme="majorHAnsi" w:hAnsiTheme="majorHAnsi"/>
          <w:b/>
          <w:bCs/>
          <w:sz w:val="20"/>
          <w:szCs w:val="20"/>
          <w:lang w:val="es-ES"/>
        </w:rPr>
      </w:pPr>
    </w:p>
    <w:p w14:paraId="4929512A" w14:textId="6B7C126E" w:rsidR="00097779" w:rsidRDefault="003239B8" w:rsidP="00CF63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CF630A">
        <w:rPr>
          <w:rFonts w:asciiTheme="majorHAnsi" w:hAnsiTheme="majorHAnsi"/>
          <w:sz w:val="20"/>
          <w:szCs w:val="20"/>
          <w:lang w:val="es-ES"/>
        </w:rPr>
        <w:t xml:space="preserve">Declarar admisible la presente petición en relación con </w:t>
      </w:r>
      <w:r w:rsidR="00262CC3" w:rsidRPr="00CF630A">
        <w:rPr>
          <w:rFonts w:asciiTheme="majorHAnsi" w:hAnsiTheme="majorHAnsi"/>
          <w:sz w:val="20"/>
          <w:szCs w:val="20"/>
          <w:lang w:val="es-ES"/>
        </w:rPr>
        <w:t>los artículos 5, 8, 9 ,16, 25 y 26 de la Convención Americana, en conexión con su artículo 1.1</w:t>
      </w:r>
      <w:r w:rsidR="007B76D3" w:rsidRPr="00CF630A">
        <w:rPr>
          <w:rFonts w:asciiTheme="majorHAnsi" w:hAnsiTheme="majorHAnsi"/>
          <w:sz w:val="20"/>
          <w:szCs w:val="20"/>
          <w:lang w:val="es-ES"/>
        </w:rPr>
        <w:t xml:space="preserve"> </w:t>
      </w:r>
      <w:r w:rsidR="00FE0755">
        <w:rPr>
          <w:rFonts w:asciiTheme="majorHAnsi" w:hAnsiTheme="majorHAnsi"/>
          <w:sz w:val="20"/>
          <w:szCs w:val="20"/>
          <w:lang w:val="es-ES"/>
        </w:rPr>
        <w:t xml:space="preserve">y el artículo 8.1.a) del Protocolo de San </w:t>
      </w:r>
      <w:r w:rsidR="00A8502D">
        <w:rPr>
          <w:rFonts w:asciiTheme="majorHAnsi" w:hAnsiTheme="majorHAnsi"/>
          <w:sz w:val="20"/>
          <w:szCs w:val="20"/>
          <w:lang w:val="es-ES"/>
        </w:rPr>
        <w:t>S</w:t>
      </w:r>
      <w:r w:rsidR="00FE0755">
        <w:rPr>
          <w:rFonts w:asciiTheme="majorHAnsi" w:hAnsiTheme="majorHAnsi"/>
          <w:sz w:val="20"/>
          <w:szCs w:val="20"/>
          <w:lang w:val="es-ES"/>
        </w:rPr>
        <w:t xml:space="preserve">alvador; </w:t>
      </w:r>
    </w:p>
    <w:p w14:paraId="2C8C5A8E" w14:textId="77777777" w:rsidR="00097779" w:rsidRDefault="00097779" w:rsidP="0009777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94A0BEA" w14:textId="082FD4A8" w:rsidR="000419AD" w:rsidRDefault="00097779" w:rsidP="00CF63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Declarar inadmisible la presente petición en relación con el artículo 24 de la Convención Americana</w:t>
      </w:r>
      <w:r w:rsidR="00901A1F">
        <w:rPr>
          <w:rFonts w:asciiTheme="majorHAnsi" w:hAnsiTheme="majorHAnsi"/>
          <w:sz w:val="20"/>
          <w:szCs w:val="20"/>
          <w:lang w:val="es-ES"/>
        </w:rPr>
        <w:t>;</w:t>
      </w:r>
      <w:r>
        <w:rPr>
          <w:rFonts w:asciiTheme="majorHAnsi" w:hAnsiTheme="majorHAnsi"/>
          <w:sz w:val="20"/>
          <w:szCs w:val="20"/>
          <w:lang w:val="es-ES"/>
        </w:rPr>
        <w:t xml:space="preserve"> </w:t>
      </w:r>
      <w:r w:rsidR="007B76D3" w:rsidRPr="00CF630A">
        <w:rPr>
          <w:rFonts w:asciiTheme="majorHAnsi" w:hAnsiTheme="majorHAnsi"/>
          <w:sz w:val="20"/>
          <w:szCs w:val="20"/>
          <w:lang w:val="es-ES"/>
        </w:rPr>
        <w:t>y</w:t>
      </w:r>
    </w:p>
    <w:p w14:paraId="2E1D0BA8" w14:textId="77777777" w:rsidR="00BB4067" w:rsidRPr="00CF630A" w:rsidRDefault="00BB4067" w:rsidP="00BB406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18D6747" w14:textId="3B504955" w:rsidR="00722C9F" w:rsidRDefault="004A6A54" w:rsidP="00CF63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CF630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ECB91D6" w14:textId="77777777" w:rsidR="006F0652" w:rsidRDefault="006F0652" w:rsidP="006F0652">
      <w:pPr>
        <w:pStyle w:val="ListParagraph"/>
        <w:rPr>
          <w:rFonts w:asciiTheme="majorHAnsi" w:hAnsiTheme="majorHAnsi"/>
          <w:sz w:val="20"/>
          <w:szCs w:val="20"/>
          <w:lang w:val="es-ES"/>
        </w:rPr>
      </w:pPr>
    </w:p>
    <w:p w14:paraId="121A1CB2" w14:textId="77777777" w:rsidR="006F0652" w:rsidRDefault="006F0652" w:rsidP="006F06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6FE1DA8" w14:textId="631E736C" w:rsidR="0094634C" w:rsidRPr="00A37B82" w:rsidRDefault="0094634C" w:rsidP="0094634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DC4792A" w14:textId="77777777" w:rsidR="0094634C" w:rsidRPr="00A37B82" w:rsidRDefault="0094634C" w:rsidP="0094634C">
      <w:pPr>
        <w:suppressAutoHyphens/>
        <w:ind w:firstLine="720"/>
        <w:jc w:val="both"/>
        <w:rPr>
          <w:rFonts w:asciiTheme="majorHAnsi" w:hAnsiTheme="majorHAnsi" w:cs="Arial"/>
          <w:noProof/>
          <w:spacing w:val="-2"/>
          <w:sz w:val="20"/>
          <w:szCs w:val="20"/>
          <w:lang w:val="es-CL"/>
        </w:rPr>
      </w:pPr>
    </w:p>
    <w:sectPr w:rsidR="0094634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5A06" w14:textId="77777777" w:rsidR="00535037" w:rsidRDefault="00535037">
      <w:r>
        <w:separator/>
      </w:r>
    </w:p>
  </w:endnote>
  <w:endnote w:type="continuationSeparator" w:id="0">
    <w:p w14:paraId="39C91357" w14:textId="77777777" w:rsidR="00535037" w:rsidRDefault="0053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810A" w14:textId="77777777" w:rsidR="00535037" w:rsidRPr="000F35ED" w:rsidRDefault="0053503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1F2747E" w14:textId="77777777" w:rsidR="00535037" w:rsidRPr="000F35ED" w:rsidRDefault="00535037" w:rsidP="000F35ED">
      <w:pPr>
        <w:rPr>
          <w:rFonts w:asciiTheme="majorHAnsi" w:hAnsiTheme="majorHAnsi"/>
          <w:sz w:val="16"/>
          <w:szCs w:val="16"/>
        </w:rPr>
      </w:pPr>
      <w:r w:rsidRPr="000F35ED">
        <w:rPr>
          <w:rFonts w:asciiTheme="majorHAnsi" w:hAnsiTheme="majorHAnsi"/>
          <w:sz w:val="16"/>
          <w:szCs w:val="16"/>
        </w:rPr>
        <w:separator/>
      </w:r>
    </w:p>
    <w:p w14:paraId="3D6BCD68" w14:textId="77777777" w:rsidR="00535037" w:rsidRPr="000F35ED" w:rsidRDefault="0053503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DEA84B6" w14:textId="77777777" w:rsidR="00535037" w:rsidRPr="000F35ED" w:rsidRDefault="0053503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884E18A" w14:textId="418CDC66" w:rsidR="005126D2" w:rsidRPr="00097779" w:rsidRDefault="005126D2" w:rsidP="00097779">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A solicitud de la parte peticionaria, mediante decisión </w:t>
      </w:r>
      <w:r w:rsidR="0046604F" w:rsidRPr="00097779">
        <w:rPr>
          <w:rFonts w:asciiTheme="majorHAnsi" w:hAnsiTheme="majorHAnsi"/>
          <w:sz w:val="16"/>
          <w:szCs w:val="16"/>
          <w:lang w:val="es-CO"/>
        </w:rPr>
        <w:t xml:space="preserve">comunicada el 10 de febrero de 2012 </w:t>
      </w:r>
      <w:r w:rsidRPr="00097779">
        <w:rPr>
          <w:rFonts w:asciiTheme="majorHAnsi" w:hAnsiTheme="majorHAnsi"/>
          <w:sz w:val="16"/>
          <w:szCs w:val="16"/>
          <w:lang w:val="es-CO"/>
        </w:rPr>
        <w:t>la CIDH resolvió acumular en un mismo expediente las peticiones P-1267-11 (Alan Alberto Flores) y P-1301-11 (Ronal Orrego)</w:t>
      </w:r>
      <w:r w:rsidR="0046604F" w:rsidRPr="00097779">
        <w:rPr>
          <w:rFonts w:asciiTheme="majorHAnsi" w:hAnsiTheme="majorHAnsi"/>
          <w:sz w:val="16"/>
          <w:szCs w:val="16"/>
          <w:lang w:val="es-CO"/>
        </w:rPr>
        <w:t>, quedando el expediente rotulado con el número P-1267-11</w:t>
      </w:r>
      <w:r w:rsidRPr="00097779">
        <w:rPr>
          <w:rFonts w:asciiTheme="majorHAnsi" w:hAnsiTheme="majorHAnsi"/>
          <w:sz w:val="16"/>
          <w:szCs w:val="16"/>
          <w:lang w:val="es-CO"/>
        </w:rPr>
        <w:t>.</w:t>
      </w:r>
    </w:p>
  </w:footnote>
  <w:footnote w:id="3">
    <w:p w14:paraId="1465A5ED" w14:textId="03C22EAF" w:rsidR="00436432" w:rsidRPr="00097779" w:rsidRDefault="00436432" w:rsidP="00097779">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En adelante, “la Convención Americana” o “la Convención”.</w:t>
      </w:r>
    </w:p>
  </w:footnote>
  <w:footnote w:id="4">
    <w:p w14:paraId="60B3D662" w14:textId="77777777" w:rsidR="008E3BFE" w:rsidRPr="00097779" w:rsidRDefault="008E3BFE" w:rsidP="00097779">
      <w:pPr>
        <w:pStyle w:val="FootnoteText"/>
        <w:ind w:firstLine="720"/>
        <w:jc w:val="both"/>
        <w:rPr>
          <w:rFonts w:asciiTheme="majorHAnsi" w:hAnsiTheme="majorHAnsi"/>
          <w:sz w:val="16"/>
          <w:szCs w:val="16"/>
          <w:lang w:val="es-ES"/>
        </w:rPr>
      </w:pPr>
      <w:r w:rsidRPr="00097779">
        <w:rPr>
          <w:rStyle w:val="FootnoteReference"/>
          <w:rFonts w:asciiTheme="majorHAnsi" w:hAnsiTheme="majorHAnsi"/>
          <w:sz w:val="16"/>
          <w:szCs w:val="16"/>
        </w:rPr>
        <w:footnoteRef/>
      </w:r>
      <w:r w:rsidRPr="00097779">
        <w:rPr>
          <w:rFonts w:asciiTheme="majorHAnsi" w:hAnsiTheme="majorHAnsi"/>
          <w:sz w:val="16"/>
          <w:szCs w:val="16"/>
          <w:lang w:val="es-ES"/>
        </w:rPr>
        <w:t xml:space="preserve"> Las observaciones de cada parte fueron debidamente trasladadas a la parte contraria.</w:t>
      </w:r>
    </w:p>
  </w:footnote>
  <w:footnote w:id="5">
    <w:p w14:paraId="7F8445C4" w14:textId="0F46E38A" w:rsidR="009961A6" w:rsidRPr="00097779" w:rsidRDefault="009961A6" w:rsidP="00097779">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Tal como lo han indicado los peticionarios reiteradamente, la CIDH ya ha conocido una petición independiente alusiva a este mismo proceso penal, en procedimiento </w:t>
      </w:r>
      <w:r w:rsidR="00BC5242">
        <w:rPr>
          <w:rFonts w:asciiTheme="majorHAnsi" w:hAnsiTheme="majorHAnsi"/>
          <w:sz w:val="16"/>
          <w:szCs w:val="16"/>
          <w:lang w:val="es-CO"/>
        </w:rPr>
        <w:t xml:space="preserve">interamericano </w:t>
      </w:r>
      <w:r w:rsidRPr="00097779">
        <w:rPr>
          <w:rFonts w:asciiTheme="majorHAnsi" w:hAnsiTheme="majorHAnsi"/>
          <w:sz w:val="16"/>
          <w:szCs w:val="16"/>
          <w:lang w:val="es-CO"/>
        </w:rPr>
        <w:t>al que se le asignó el número de caso 12.281 tras su admisión mediante el Informe No. 106/11, siendo peticionarios los señores Reinaldo Barreto Medina y Florencio Florentín.</w:t>
      </w:r>
    </w:p>
  </w:footnote>
  <w:footnote w:id="6">
    <w:p w14:paraId="10F55C83" w14:textId="0F93AB33" w:rsidR="004D67FA" w:rsidRPr="00097779" w:rsidRDefault="004D67FA" w:rsidP="00097779">
      <w:pPr>
        <w:pStyle w:val="FootnoteText"/>
        <w:ind w:firstLine="720"/>
        <w:jc w:val="both"/>
        <w:rPr>
          <w:rFonts w:asciiTheme="majorHAnsi" w:hAnsiTheme="majorHAnsi"/>
          <w:sz w:val="16"/>
          <w:szCs w:val="16"/>
          <w:lang w:val="es-MX" w:eastAsia="en-US"/>
        </w:rPr>
      </w:pPr>
      <w:r w:rsidRPr="00097779">
        <w:rPr>
          <w:rStyle w:val="FootnoteReference"/>
          <w:rFonts w:asciiTheme="majorHAnsi" w:hAnsiTheme="majorHAnsi"/>
          <w:sz w:val="16"/>
          <w:szCs w:val="16"/>
        </w:rPr>
        <w:footnoteRef/>
      </w:r>
      <w:r w:rsidRPr="00097779">
        <w:rPr>
          <w:rFonts w:asciiTheme="majorHAnsi" w:hAnsiTheme="majorHAnsi"/>
          <w:sz w:val="16"/>
          <w:szCs w:val="16"/>
          <w:lang w:val="es-MX"/>
        </w:rPr>
        <w:t xml:space="preserve"> </w:t>
      </w:r>
      <w:r w:rsidRPr="00097779">
        <w:rPr>
          <w:rFonts w:asciiTheme="majorHAnsi" w:hAnsiTheme="majorHAnsi"/>
          <w:sz w:val="16"/>
          <w:szCs w:val="16"/>
          <w:lang w:val="es-SV"/>
        </w:rPr>
        <w:t>CIDH, Informe Nº 89/05</w:t>
      </w:r>
      <w:r w:rsidR="00686A0C" w:rsidRPr="00097779">
        <w:rPr>
          <w:rFonts w:asciiTheme="majorHAnsi" w:hAnsiTheme="majorHAnsi"/>
          <w:sz w:val="16"/>
          <w:szCs w:val="16"/>
          <w:lang w:val="es-SV"/>
        </w:rPr>
        <w:t xml:space="preserve">, </w:t>
      </w:r>
      <w:r w:rsidRPr="00097779">
        <w:rPr>
          <w:rFonts w:asciiTheme="majorHAnsi" w:hAnsiTheme="majorHAnsi"/>
          <w:sz w:val="16"/>
          <w:szCs w:val="16"/>
          <w:lang w:val="es-SV"/>
        </w:rPr>
        <w:t>Caso 12.103,</w:t>
      </w:r>
      <w:r w:rsidR="00686A0C" w:rsidRPr="00097779">
        <w:rPr>
          <w:rFonts w:asciiTheme="majorHAnsi" w:hAnsiTheme="majorHAnsi"/>
          <w:sz w:val="16"/>
          <w:szCs w:val="16"/>
          <w:lang w:val="es-SV"/>
        </w:rPr>
        <w:t xml:space="preserve"> Indamisibilidad,</w:t>
      </w:r>
      <w:r w:rsidRPr="00097779">
        <w:rPr>
          <w:rFonts w:asciiTheme="majorHAnsi" w:hAnsiTheme="majorHAnsi"/>
          <w:sz w:val="16"/>
          <w:szCs w:val="16"/>
          <w:lang w:val="es-SV"/>
        </w:rPr>
        <w:t xml:space="preserve"> Cecilia Rosa Nuñez Chipana</w:t>
      </w:r>
      <w:r w:rsidR="00686A0C" w:rsidRPr="00097779">
        <w:rPr>
          <w:rFonts w:asciiTheme="majorHAnsi" w:hAnsiTheme="majorHAnsi"/>
          <w:i/>
          <w:iCs/>
          <w:sz w:val="16"/>
          <w:szCs w:val="16"/>
          <w:lang w:val="es-SV"/>
        </w:rPr>
        <w:t>,</w:t>
      </w:r>
      <w:r w:rsidRPr="00097779">
        <w:rPr>
          <w:rFonts w:asciiTheme="majorHAnsi" w:hAnsiTheme="majorHAnsi"/>
          <w:sz w:val="16"/>
          <w:szCs w:val="16"/>
          <w:lang w:val="es-SV"/>
        </w:rPr>
        <w:t xml:space="preserve"> Venezuela, párr. 37.</w:t>
      </w:r>
    </w:p>
  </w:footnote>
  <w:footnote w:id="7">
    <w:p w14:paraId="2FEABA8C" w14:textId="77777777" w:rsidR="004D67FA" w:rsidRPr="00097779" w:rsidRDefault="004D67FA" w:rsidP="00097779">
      <w:pPr>
        <w:pStyle w:val="FootnoteText"/>
        <w:ind w:firstLine="720"/>
        <w:jc w:val="both"/>
        <w:rPr>
          <w:rFonts w:asciiTheme="majorHAnsi" w:hAnsiTheme="majorHAnsi"/>
          <w:sz w:val="16"/>
          <w:szCs w:val="16"/>
          <w:lang w:val="es-MX"/>
        </w:rPr>
      </w:pPr>
      <w:r w:rsidRPr="00097779">
        <w:rPr>
          <w:rStyle w:val="FootnoteReference"/>
          <w:rFonts w:asciiTheme="majorHAnsi" w:hAnsiTheme="majorHAnsi"/>
          <w:sz w:val="16"/>
          <w:szCs w:val="16"/>
        </w:rPr>
        <w:footnoteRef/>
      </w:r>
      <w:r w:rsidRPr="00097779">
        <w:rPr>
          <w:rFonts w:asciiTheme="majorHAnsi" w:hAnsiTheme="majorHAnsi"/>
          <w:sz w:val="16"/>
          <w:szCs w:val="16"/>
          <w:lang w:val="es-MX"/>
        </w:rPr>
        <w:t xml:space="preserve"> Corte IDH. </w:t>
      </w:r>
      <w:r w:rsidRPr="00097779">
        <w:rPr>
          <w:rFonts w:asciiTheme="majorHAnsi" w:hAnsiTheme="majorHAnsi"/>
          <w:bCs/>
          <w:i/>
          <w:sz w:val="16"/>
          <w:szCs w:val="16"/>
          <w:lang w:val="es-MX"/>
        </w:rPr>
        <w:t>Caso Baena Ricardo y otros Vs. Panamá</w:t>
      </w:r>
      <w:r w:rsidRPr="00097779">
        <w:rPr>
          <w:rFonts w:asciiTheme="majorHAnsi" w:hAnsiTheme="majorHAnsi"/>
          <w:bCs/>
          <w:sz w:val="16"/>
          <w:szCs w:val="16"/>
          <w:lang w:val="es-MX"/>
        </w:rPr>
        <w:t>.</w:t>
      </w:r>
      <w:r w:rsidRPr="00097779">
        <w:rPr>
          <w:rFonts w:asciiTheme="majorHAnsi" w:hAnsiTheme="majorHAnsi"/>
          <w:b/>
          <w:bCs/>
          <w:sz w:val="16"/>
          <w:szCs w:val="16"/>
          <w:lang w:val="es-MX"/>
        </w:rPr>
        <w:t xml:space="preserve"> </w:t>
      </w:r>
      <w:r w:rsidRPr="00097779">
        <w:rPr>
          <w:rFonts w:asciiTheme="majorHAnsi" w:hAnsiTheme="majorHAnsi"/>
          <w:sz w:val="16"/>
          <w:szCs w:val="16"/>
          <w:lang w:val="es-MX"/>
        </w:rPr>
        <w:t>Excepciones Preliminares. Sentencia de 18 de noviembre de 1999. Serie C No. 61, párr. 57.</w:t>
      </w:r>
    </w:p>
  </w:footnote>
  <w:footnote w:id="8">
    <w:p w14:paraId="5B036619" w14:textId="77777777" w:rsidR="004D67FA" w:rsidRPr="00097779" w:rsidRDefault="004D67FA" w:rsidP="00097779">
      <w:pPr>
        <w:ind w:firstLine="720"/>
        <w:jc w:val="both"/>
        <w:rPr>
          <w:rFonts w:asciiTheme="majorHAnsi" w:hAnsiTheme="majorHAnsi"/>
          <w:sz w:val="16"/>
          <w:szCs w:val="16"/>
          <w:lang w:val="es-MX"/>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w:t>
      </w:r>
      <w:r w:rsidRPr="00097779">
        <w:rPr>
          <w:rFonts w:asciiTheme="majorHAnsi" w:hAnsiTheme="majorHAnsi"/>
          <w:sz w:val="16"/>
          <w:szCs w:val="16"/>
          <w:lang w:val="es-SV"/>
        </w:rPr>
        <w:t>CIDH, Informe No. 14/97,</w:t>
      </w:r>
      <w:r w:rsidRPr="00097779">
        <w:rPr>
          <w:rFonts w:asciiTheme="majorHAnsi" w:hAnsiTheme="majorHAnsi"/>
          <w:spacing w:val="-3"/>
          <w:sz w:val="16"/>
          <w:szCs w:val="16"/>
          <w:lang w:val="es-ES_tradnl"/>
        </w:rPr>
        <w:t xml:space="preserve"> Caso 11.381 (Nicaragua), 12 de marzo de 1997, </w:t>
      </w:r>
      <w:r w:rsidRPr="00097779">
        <w:rPr>
          <w:rFonts w:asciiTheme="majorHAnsi" w:hAnsiTheme="majorHAnsi"/>
          <w:sz w:val="16"/>
          <w:szCs w:val="16"/>
          <w:lang w:val="es-SV"/>
        </w:rPr>
        <w:t>párr. 47; CIDH Informe No. 21/06,</w:t>
      </w:r>
      <w:r w:rsidRPr="00097779">
        <w:rPr>
          <w:rFonts w:asciiTheme="majorHAnsi" w:hAnsiTheme="majorHAnsi"/>
          <w:sz w:val="16"/>
          <w:szCs w:val="16"/>
          <w:lang w:val="es-PE"/>
        </w:rPr>
        <w:t xml:space="preserve"> Petición 2893-02, Trabajadores de la empresa Fertilizantes de Centroamérica (FERTICA) (Costa Rica), 2 de marzo de 2006,</w:t>
      </w:r>
      <w:r w:rsidRPr="00097779">
        <w:rPr>
          <w:rFonts w:asciiTheme="majorHAnsi" w:hAnsiTheme="majorHAnsi"/>
          <w:sz w:val="16"/>
          <w:szCs w:val="16"/>
          <w:lang w:val="es-SV"/>
        </w:rPr>
        <w:t xml:space="preserve"> párr. 40; CIDH Informe No. 23/06, Petición 71-03,</w:t>
      </w:r>
      <w:r w:rsidRPr="00097779">
        <w:rPr>
          <w:rFonts w:asciiTheme="majorHAnsi" w:hAnsiTheme="majorHAnsi"/>
          <w:sz w:val="16"/>
          <w:szCs w:val="16"/>
          <w:lang w:val="es-CO"/>
        </w:rPr>
        <w:t xml:space="preserve"> Miembros del Sindicato de Trabajadores del Ministerio de Educación (ATRAMEC) (El Salvador), 2 de marzo de 2006, párr. 27; CIDH </w:t>
      </w:r>
      <w:r w:rsidRPr="00097779">
        <w:rPr>
          <w:rFonts w:asciiTheme="majorHAnsi" w:hAnsiTheme="majorHAnsi"/>
          <w:sz w:val="16"/>
          <w:szCs w:val="16"/>
          <w:lang w:val="es-SV"/>
        </w:rPr>
        <w:t>Informe No. 140/09</w:t>
      </w:r>
      <w:r w:rsidRPr="00097779">
        <w:rPr>
          <w:rFonts w:asciiTheme="majorHAnsi" w:hAnsiTheme="majorHAnsi"/>
          <w:sz w:val="16"/>
          <w:szCs w:val="16"/>
          <w:lang w:val="es-ES_tradnl"/>
        </w:rPr>
        <w:t>, Petición 1470-05, Miembros del Sindicato de Trabajadores Oficiales y Empleados públicos de Antioquia (SINTRAOFAN) (Colombia), 30 de diciembre de 2009, párr. 75.</w:t>
      </w:r>
    </w:p>
  </w:footnote>
  <w:footnote w:id="9">
    <w:p w14:paraId="66027CD5" w14:textId="77777777" w:rsidR="004D67FA" w:rsidRPr="00097779" w:rsidRDefault="004D67FA" w:rsidP="00097779">
      <w:pPr>
        <w:ind w:firstLine="720"/>
        <w:jc w:val="both"/>
        <w:rPr>
          <w:rFonts w:asciiTheme="majorHAnsi" w:hAnsiTheme="majorHAnsi"/>
          <w:sz w:val="16"/>
          <w:szCs w:val="16"/>
          <w:lang w:val="es-US"/>
        </w:rPr>
      </w:pPr>
      <w:r w:rsidRPr="00097779">
        <w:rPr>
          <w:rStyle w:val="FootnoteReference"/>
          <w:rFonts w:asciiTheme="majorHAnsi" w:hAnsiTheme="majorHAnsi"/>
          <w:sz w:val="16"/>
          <w:szCs w:val="16"/>
        </w:rPr>
        <w:footnoteRef/>
      </w:r>
      <w:r w:rsidRPr="00097779">
        <w:rPr>
          <w:rFonts w:asciiTheme="majorHAnsi" w:hAnsiTheme="majorHAnsi"/>
          <w:sz w:val="16"/>
          <w:szCs w:val="16"/>
          <w:lang w:val="es-MX"/>
        </w:rPr>
        <w:t xml:space="preserve"> Corte </w:t>
      </w:r>
      <w:r w:rsidRPr="00097779">
        <w:rPr>
          <w:rFonts w:asciiTheme="majorHAnsi" w:hAnsiTheme="majorHAnsi"/>
          <w:sz w:val="16"/>
          <w:szCs w:val="16"/>
          <w:lang w:val="es-ES"/>
        </w:rPr>
        <w:t>I.D.H.,</w:t>
      </w:r>
      <w:r w:rsidRPr="00097779">
        <w:rPr>
          <w:rFonts w:asciiTheme="majorHAnsi" w:hAnsiTheme="majorHAnsi"/>
          <w:sz w:val="16"/>
          <w:szCs w:val="16"/>
          <w:lang w:val="es-MX"/>
        </w:rPr>
        <w:t xml:space="preserve"> </w:t>
      </w:r>
      <w:r w:rsidRPr="00097779">
        <w:rPr>
          <w:rFonts w:asciiTheme="majorHAnsi" w:hAnsiTheme="majorHAnsi"/>
          <w:bCs/>
          <w:sz w:val="16"/>
          <w:szCs w:val="16"/>
          <w:lang w:val="es-MX"/>
        </w:rPr>
        <w:t xml:space="preserve">Caso Reverón Trujillo Vs. Venezuela. </w:t>
      </w:r>
      <w:r w:rsidRPr="00097779">
        <w:rPr>
          <w:rFonts w:asciiTheme="majorHAnsi" w:hAnsiTheme="majorHAnsi"/>
          <w:sz w:val="16"/>
          <w:szCs w:val="16"/>
          <w:lang w:val="es-MX"/>
        </w:rPr>
        <w:t xml:space="preserve">Excepción Preliminar, Fondo, Reparaciones y Costas. Sentencia de 30 de junio de 2009. Serie C No. 197, párr. 21. Cfr. Caso Velásquez Rodríguez Vs. Honduras. Excepciones Preliminares. Sentencia de 26 de junio de 1987. Serie C No. 1, párr. 88; </w:t>
      </w:r>
      <w:r w:rsidRPr="00097779">
        <w:rPr>
          <w:rFonts w:asciiTheme="majorHAnsi" w:hAnsiTheme="majorHAnsi"/>
          <w:bCs/>
          <w:sz w:val="16"/>
          <w:szCs w:val="16"/>
          <w:lang w:val="es-MX"/>
        </w:rPr>
        <w:t xml:space="preserve">Caso Heliodoro Portugal Vs. Panamá. </w:t>
      </w:r>
      <w:r w:rsidRPr="00097779">
        <w:rPr>
          <w:rFonts w:asciiTheme="majorHAnsi" w:hAnsiTheme="majorHAnsi"/>
          <w:sz w:val="16"/>
          <w:szCs w:val="16"/>
          <w:lang w:val="es-MX"/>
        </w:rPr>
        <w:t>Excepciones Preliminares, Fondo, Reparaciones y Costas. Sentencia de 12 de agosto de 2008. Serie C No. 186</w:t>
      </w:r>
      <w:r w:rsidRPr="00097779">
        <w:rPr>
          <w:rFonts w:asciiTheme="majorHAnsi" w:hAnsiTheme="majorHAnsi"/>
          <w:bCs/>
          <w:sz w:val="16"/>
          <w:szCs w:val="16"/>
          <w:lang w:val="es-MX"/>
        </w:rPr>
        <w:t xml:space="preserve">, párr. 14, y Caso Bayarri Vs. Argentina. </w:t>
      </w:r>
      <w:r w:rsidRPr="00097779">
        <w:rPr>
          <w:rFonts w:asciiTheme="majorHAnsi" w:hAnsiTheme="majorHAnsi"/>
          <w:sz w:val="16"/>
          <w:szCs w:val="16"/>
          <w:lang w:val="es-MX"/>
        </w:rPr>
        <w:t xml:space="preserve">Excepción Preliminar, Fondo, Reparaciones y Costas. Sentencia de 30 de octubre de 2008. </w:t>
      </w:r>
      <w:r w:rsidRPr="00097779">
        <w:rPr>
          <w:rFonts w:asciiTheme="majorHAnsi" w:hAnsiTheme="majorHAnsi"/>
          <w:sz w:val="16"/>
          <w:szCs w:val="16"/>
          <w:lang w:val="es-US"/>
        </w:rPr>
        <w:t>Serie C No. 187, párr. 16.</w:t>
      </w:r>
    </w:p>
  </w:footnote>
  <w:footnote w:id="10">
    <w:p w14:paraId="34C31800" w14:textId="77777777" w:rsidR="00A568CA" w:rsidRPr="00097779" w:rsidRDefault="00A568CA" w:rsidP="00097779">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 w:id="11">
    <w:p w14:paraId="273364AC" w14:textId="77777777" w:rsidR="00262CC3" w:rsidRPr="00097779" w:rsidRDefault="00262CC3" w:rsidP="00097779">
      <w:pPr>
        <w:pStyle w:val="FootnoteText"/>
        <w:ind w:firstLine="720"/>
        <w:jc w:val="both"/>
        <w:rPr>
          <w:rFonts w:asciiTheme="majorHAnsi" w:hAnsiTheme="majorHAnsi"/>
          <w:sz w:val="16"/>
          <w:szCs w:val="16"/>
          <w:lang w:val="es-US"/>
        </w:rPr>
      </w:pPr>
      <w:r w:rsidRPr="00097779">
        <w:rPr>
          <w:rStyle w:val="FootnoteReference"/>
          <w:rFonts w:asciiTheme="majorHAnsi" w:hAnsiTheme="majorHAnsi"/>
          <w:sz w:val="16"/>
          <w:szCs w:val="16"/>
        </w:rPr>
        <w:footnoteRef/>
      </w:r>
      <w:r w:rsidRPr="00097779">
        <w:rPr>
          <w:rFonts w:asciiTheme="majorHAnsi" w:hAnsiTheme="majorHAnsi"/>
          <w:sz w:val="16"/>
          <w:szCs w:val="16"/>
          <w:lang w:val="es-ES"/>
        </w:rPr>
        <w:t xml:space="preserve"> </w:t>
      </w:r>
      <w:r w:rsidRPr="00097779">
        <w:rPr>
          <w:rFonts w:asciiTheme="majorHAnsi" w:hAnsiTheme="majorHAnsi"/>
          <w:sz w:val="16"/>
          <w:szCs w:val="16"/>
          <w:lang w:val="es-ES_tradnl"/>
        </w:rPr>
        <w:t xml:space="preserve">CIDH, Informe No. 69/08, Petición 681-00. Admisibilidad. Guillermo Patricio Lynn. Argentina. 16 de octubre de 2008, párr. </w:t>
      </w:r>
      <w:r w:rsidRPr="00097779">
        <w:rPr>
          <w:rFonts w:asciiTheme="majorHAnsi" w:hAnsiTheme="majorHAnsi"/>
          <w:sz w:val="16"/>
          <w:szCs w:val="16"/>
          <w:lang w:val="es-US"/>
        </w:rPr>
        <w:t>48.</w:t>
      </w:r>
    </w:p>
  </w:footnote>
  <w:footnote w:id="12">
    <w:p w14:paraId="5067AEA3" w14:textId="0F8DDE84" w:rsidR="00097779" w:rsidRPr="00097779" w:rsidRDefault="00097779" w:rsidP="00097779">
      <w:pPr>
        <w:pStyle w:val="FootnoteText"/>
        <w:ind w:firstLine="720"/>
        <w:jc w:val="both"/>
        <w:rPr>
          <w:rFonts w:asciiTheme="majorHAnsi" w:hAnsiTheme="majorHAnsi"/>
          <w:sz w:val="16"/>
          <w:szCs w:val="16"/>
          <w:lang w:val="es-US"/>
        </w:rPr>
      </w:pPr>
      <w:r w:rsidRPr="00097779">
        <w:rPr>
          <w:rStyle w:val="FootnoteReference"/>
          <w:rFonts w:asciiTheme="majorHAnsi" w:hAnsiTheme="majorHAnsi"/>
          <w:sz w:val="16"/>
          <w:szCs w:val="16"/>
        </w:rPr>
        <w:footnoteRef/>
      </w:r>
      <w:r w:rsidRPr="00097779">
        <w:rPr>
          <w:rFonts w:asciiTheme="majorHAnsi" w:hAnsiTheme="majorHAnsi"/>
          <w:sz w:val="16"/>
          <w:szCs w:val="16"/>
          <w:lang w:val="es-US"/>
        </w:rPr>
        <w:t xml:space="preserve"> </w:t>
      </w:r>
      <w:r w:rsidR="009F1A15">
        <w:rPr>
          <w:rFonts w:asciiTheme="majorHAnsi" w:hAnsiTheme="majorHAnsi"/>
          <w:sz w:val="16"/>
          <w:szCs w:val="16"/>
          <w:lang w:val="es-US"/>
        </w:rPr>
        <w:t xml:space="preserve">Esta misma consideración fue hecha por la Comisión en: </w:t>
      </w:r>
      <w:r w:rsidRPr="00097779">
        <w:rPr>
          <w:rFonts w:asciiTheme="majorHAnsi" w:hAnsiTheme="majorHAnsi"/>
          <w:sz w:val="16"/>
          <w:szCs w:val="16"/>
          <w:lang w:val="es-US"/>
        </w:rPr>
        <w:t>CIDH, Informe No. 106/11, Petición 1082-03. Admisibilidad. Reinaldo Barreto Medina y Florencio Florentín Mosquera, Paraguay, 22 de julio de 2011, párr. 56.</w:t>
      </w:r>
    </w:p>
    <w:p w14:paraId="09AF53ED" w14:textId="77777777" w:rsidR="00097779" w:rsidRPr="00097779" w:rsidRDefault="00097779" w:rsidP="00097779">
      <w:pPr>
        <w:pStyle w:val="FootnoteText"/>
        <w:ind w:firstLine="720"/>
        <w:jc w:val="both"/>
        <w:rPr>
          <w:rFonts w:asciiTheme="majorHAnsi" w:hAnsiTheme="majorHAnsi"/>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535037"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2B8"/>
    <w:rsid w:val="00075E23"/>
    <w:rsid w:val="0009344A"/>
    <w:rsid w:val="00097779"/>
    <w:rsid w:val="000A392E"/>
    <w:rsid w:val="000A575F"/>
    <w:rsid w:val="000B66F9"/>
    <w:rsid w:val="000D05CB"/>
    <w:rsid w:val="000D10DB"/>
    <w:rsid w:val="000D659E"/>
    <w:rsid w:val="000E5EB5"/>
    <w:rsid w:val="000F35ED"/>
    <w:rsid w:val="000F3D17"/>
    <w:rsid w:val="001030DF"/>
    <w:rsid w:val="00103F8A"/>
    <w:rsid w:val="00107131"/>
    <w:rsid w:val="0010736F"/>
    <w:rsid w:val="00113F73"/>
    <w:rsid w:val="00121CC2"/>
    <w:rsid w:val="00131425"/>
    <w:rsid w:val="00133EE5"/>
    <w:rsid w:val="00167A34"/>
    <w:rsid w:val="0017152E"/>
    <w:rsid w:val="001A520D"/>
    <w:rsid w:val="001A7870"/>
    <w:rsid w:val="001B3A00"/>
    <w:rsid w:val="001B6169"/>
    <w:rsid w:val="001C1B41"/>
    <w:rsid w:val="001D65EF"/>
    <w:rsid w:val="001E49E7"/>
    <w:rsid w:val="001F7201"/>
    <w:rsid w:val="00223A29"/>
    <w:rsid w:val="002250A3"/>
    <w:rsid w:val="00235217"/>
    <w:rsid w:val="00246D1F"/>
    <w:rsid w:val="00247403"/>
    <w:rsid w:val="00247542"/>
    <w:rsid w:val="00253BBC"/>
    <w:rsid w:val="00262CC3"/>
    <w:rsid w:val="00266B61"/>
    <w:rsid w:val="0026712A"/>
    <w:rsid w:val="002704DB"/>
    <w:rsid w:val="002A0AAE"/>
    <w:rsid w:val="002A5820"/>
    <w:rsid w:val="002C1ABF"/>
    <w:rsid w:val="002D2B26"/>
    <w:rsid w:val="002D7EA2"/>
    <w:rsid w:val="002E187C"/>
    <w:rsid w:val="00302733"/>
    <w:rsid w:val="00305835"/>
    <w:rsid w:val="00306F33"/>
    <w:rsid w:val="00311473"/>
    <w:rsid w:val="00314078"/>
    <w:rsid w:val="0031535D"/>
    <w:rsid w:val="00317E5E"/>
    <w:rsid w:val="003239B8"/>
    <w:rsid w:val="0033169F"/>
    <w:rsid w:val="0033755E"/>
    <w:rsid w:val="00344977"/>
    <w:rsid w:val="00346C95"/>
    <w:rsid w:val="00353079"/>
    <w:rsid w:val="00356185"/>
    <w:rsid w:val="00360380"/>
    <w:rsid w:val="00361735"/>
    <w:rsid w:val="0037519E"/>
    <w:rsid w:val="003824CD"/>
    <w:rsid w:val="00383B91"/>
    <w:rsid w:val="00386CF0"/>
    <w:rsid w:val="003969E9"/>
    <w:rsid w:val="003B70FB"/>
    <w:rsid w:val="003C4534"/>
    <w:rsid w:val="003C676B"/>
    <w:rsid w:val="003D3BC2"/>
    <w:rsid w:val="003E6CA1"/>
    <w:rsid w:val="003F5154"/>
    <w:rsid w:val="00405F9C"/>
    <w:rsid w:val="004065A8"/>
    <w:rsid w:val="004165C2"/>
    <w:rsid w:val="004234CA"/>
    <w:rsid w:val="00436432"/>
    <w:rsid w:val="00441ECB"/>
    <w:rsid w:val="00445193"/>
    <w:rsid w:val="00450F77"/>
    <w:rsid w:val="00453437"/>
    <w:rsid w:val="00462C1B"/>
    <w:rsid w:val="0046604F"/>
    <w:rsid w:val="00467B7E"/>
    <w:rsid w:val="00473BB4"/>
    <w:rsid w:val="00477592"/>
    <w:rsid w:val="00485E30"/>
    <w:rsid w:val="00486F1C"/>
    <w:rsid w:val="00491628"/>
    <w:rsid w:val="0049419D"/>
    <w:rsid w:val="004A6A54"/>
    <w:rsid w:val="004B421C"/>
    <w:rsid w:val="004C20D2"/>
    <w:rsid w:val="004C2312"/>
    <w:rsid w:val="004C4B62"/>
    <w:rsid w:val="004C54C9"/>
    <w:rsid w:val="004C7C88"/>
    <w:rsid w:val="004D4ABA"/>
    <w:rsid w:val="004D6025"/>
    <w:rsid w:val="004D67FA"/>
    <w:rsid w:val="004E04B9"/>
    <w:rsid w:val="004E2649"/>
    <w:rsid w:val="004E4DD6"/>
    <w:rsid w:val="004F48C1"/>
    <w:rsid w:val="004F626F"/>
    <w:rsid w:val="004F64A4"/>
    <w:rsid w:val="00501399"/>
    <w:rsid w:val="005047ED"/>
    <w:rsid w:val="0050633D"/>
    <w:rsid w:val="00507BC4"/>
    <w:rsid w:val="005126D2"/>
    <w:rsid w:val="005128E4"/>
    <w:rsid w:val="005133DB"/>
    <w:rsid w:val="00514504"/>
    <w:rsid w:val="00516846"/>
    <w:rsid w:val="00521E1F"/>
    <w:rsid w:val="00525560"/>
    <w:rsid w:val="00535037"/>
    <w:rsid w:val="00544C49"/>
    <w:rsid w:val="005516A1"/>
    <w:rsid w:val="0055344C"/>
    <w:rsid w:val="005559EF"/>
    <w:rsid w:val="00557761"/>
    <w:rsid w:val="00563557"/>
    <w:rsid w:val="00564EEB"/>
    <w:rsid w:val="00566AA2"/>
    <w:rsid w:val="0057402A"/>
    <w:rsid w:val="005771D0"/>
    <w:rsid w:val="0059191A"/>
    <w:rsid w:val="005921FF"/>
    <w:rsid w:val="005A24ED"/>
    <w:rsid w:val="005A6D0E"/>
    <w:rsid w:val="005B2A4C"/>
    <w:rsid w:val="005B52B0"/>
    <w:rsid w:val="005B6806"/>
    <w:rsid w:val="005B7154"/>
    <w:rsid w:val="005C4225"/>
    <w:rsid w:val="005E091E"/>
    <w:rsid w:val="005F0DAD"/>
    <w:rsid w:val="005F0F33"/>
    <w:rsid w:val="00600DEB"/>
    <w:rsid w:val="00620E46"/>
    <w:rsid w:val="00624D69"/>
    <w:rsid w:val="00627C9F"/>
    <w:rsid w:val="006311E9"/>
    <w:rsid w:val="00632354"/>
    <w:rsid w:val="00635421"/>
    <w:rsid w:val="006403B9"/>
    <w:rsid w:val="00642810"/>
    <w:rsid w:val="0064735E"/>
    <w:rsid w:val="00652333"/>
    <w:rsid w:val="0067021B"/>
    <w:rsid w:val="0068009E"/>
    <w:rsid w:val="00680B13"/>
    <w:rsid w:val="006868DC"/>
    <w:rsid w:val="00686A0C"/>
    <w:rsid w:val="00692219"/>
    <w:rsid w:val="006A17D2"/>
    <w:rsid w:val="006A327B"/>
    <w:rsid w:val="006A73E6"/>
    <w:rsid w:val="006B2D5C"/>
    <w:rsid w:val="006C0ECF"/>
    <w:rsid w:val="006C4EB1"/>
    <w:rsid w:val="006D0BB1"/>
    <w:rsid w:val="006D2B5D"/>
    <w:rsid w:val="006E0166"/>
    <w:rsid w:val="006E1861"/>
    <w:rsid w:val="006E2FFB"/>
    <w:rsid w:val="006E7B34"/>
    <w:rsid w:val="006F0652"/>
    <w:rsid w:val="0070697F"/>
    <w:rsid w:val="007103C4"/>
    <w:rsid w:val="0072199C"/>
    <w:rsid w:val="00722C9F"/>
    <w:rsid w:val="007253B8"/>
    <w:rsid w:val="0073741F"/>
    <w:rsid w:val="00752A55"/>
    <w:rsid w:val="0076643F"/>
    <w:rsid w:val="00777F63"/>
    <w:rsid w:val="007A0EC2"/>
    <w:rsid w:val="007A5817"/>
    <w:rsid w:val="007B05C4"/>
    <w:rsid w:val="007B080E"/>
    <w:rsid w:val="007B60E9"/>
    <w:rsid w:val="007B6CC3"/>
    <w:rsid w:val="007B76D3"/>
    <w:rsid w:val="007C3334"/>
    <w:rsid w:val="007D2B98"/>
    <w:rsid w:val="007D6551"/>
    <w:rsid w:val="007E21BC"/>
    <w:rsid w:val="007E7C82"/>
    <w:rsid w:val="007F1198"/>
    <w:rsid w:val="007F2AA1"/>
    <w:rsid w:val="007F588D"/>
    <w:rsid w:val="00803F1C"/>
    <w:rsid w:val="0080600E"/>
    <w:rsid w:val="0080692D"/>
    <w:rsid w:val="00814688"/>
    <w:rsid w:val="00817612"/>
    <w:rsid w:val="008338A4"/>
    <w:rsid w:val="00834D49"/>
    <w:rsid w:val="00835FFF"/>
    <w:rsid w:val="00837C45"/>
    <w:rsid w:val="00844730"/>
    <w:rsid w:val="008457C2"/>
    <w:rsid w:val="00853F80"/>
    <w:rsid w:val="00857138"/>
    <w:rsid w:val="00857A82"/>
    <w:rsid w:val="008666EA"/>
    <w:rsid w:val="00873836"/>
    <w:rsid w:val="00885737"/>
    <w:rsid w:val="00890650"/>
    <w:rsid w:val="008944DC"/>
    <w:rsid w:val="00897E12"/>
    <w:rsid w:val="008A7E0F"/>
    <w:rsid w:val="008B12F5"/>
    <w:rsid w:val="008C5E2D"/>
    <w:rsid w:val="008D768D"/>
    <w:rsid w:val="008E3759"/>
    <w:rsid w:val="008E3BFE"/>
    <w:rsid w:val="008F1912"/>
    <w:rsid w:val="008F2AAF"/>
    <w:rsid w:val="008F3F54"/>
    <w:rsid w:val="00901A1F"/>
    <w:rsid w:val="0090270B"/>
    <w:rsid w:val="009041DC"/>
    <w:rsid w:val="00917B5A"/>
    <w:rsid w:val="00920A58"/>
    <w:rsid w:val="00920A8C"/>
    <w:rsid w:val="00934A2C"/>
    <w:rsid w:val="0094634C"/>
    <w:rsid w:val="00960CD5"/>
    <w:rsid w:val="0096706E"/>
    <w:rsid w:val="00974491"/>
    <w:rsid w:val="00975C4E"/>
    <w:rsid w:val="00981FBA"/>
    <w:rsid w:val="009961A6"/>
    <w:rsid w:val="00997BC5"/>
    <w:rsid w:val="009A4F41"/>
    <w:rsid w:val="009A6A4D"/>
    <w:rsid w:val="009B381B"/>
    <w:rsid w:val="009B4AF3"/>
    <w:rsid w:val="009D1753"/>
    <w:rsid w:val="009D7611"/>
    <w:rsid w:val="009E0B61"/>
    <w:rsid w:val="009E53DE"/>
    <w:rsid w:val="009F03E5"/>
    <w:rsid w:val="009F1A15"/>
    <w:rsid w:val="00A11212"/>
    <w:rsid w:val="00A11E44"/>
    <w:rsid w:val="00A30100"/>
    <w:rsid w:val="00A328B3"/>
    <w:rsid w:val="00A50FCF"/>
    <w:rsid w:val="00A528D1"/>
    <w:rsid w:val="00A568CA"/>
    <w:rsid w:val="00A604E6"/>
    <w:rsid w:val="00A610CD"/>
    <w:rsid w:val="00A65702"/>
    <w:rsid w:val="00A729DB"/>
    <w:rsid w:val="00A758AA"/>
    <w:rsid w:val="00A8502D"/>
    <w:rsid w:val="00AA09A2"/>
    <w:rsid w:val="00AA6ABB"/>
    <w:rsid w:val="00AA7996"/>
    <w:rsid w:val="00AB2293"/>
    <w:rsid w:val="00AC19CB"/>
    <w:rsid w:val="00AD265D"/>
    <w:rsid w:val="00AE5488"/>
    <w:rsid w:val="00AE6F91"/>
    <w:rsid w:val="00AF161C"/>
    <w:rsid w:val="00AF5571"/>
    <w:rsid w:val="00B07341"/>
    <w:rsid w:val="00B10347"/>
    <w:rsid w:val="00B30539"/>
    <w:rsid w:val="00B314DB"/>
    <w:rsid w:val="00B361F2"/>
    <w:rsid w:val="00B3718B"/>
    <w:rsid w:val="00B3745F"/>
    <w:rsid w:val="00B4632A"/>
    <w:rsid w:val="00B530F1"/>
    <w:rsid w:val="00B60CCD"/>
    <w:rsid w:val="00B709CC"/>
    <w:rsid w:val="00B83E94"/>
    <w:rsid w:val="00B93D7F"/>
    <w:rsid w:val="00BA276C"/>
    <w:rsid w:val="00BB019D"/>
    <w:rsid w:val="00BB306F"/>
    <w:rsid w:val="00BB4067"/>
    <w:rsid w:val="00BC5242"/>
    <w:rsid w:val="00BD0FF5"/>
    <w:rsid w:val="00BD4B89"/>
    <w:rsid w:val="00BD5922"/>
    <w:rsid w:val="00BD7FE0"/>
    <w:rsid w:val="00BE4243"/>
    <w:rsid w:val="00BF02CB"/>
    <w:rsid w:val="00BF6FD8"/>
    <w:rsid w:val="00C03680"/>
    <w:rsid w:val="00C054DF"/>
    <w:rsid w:val="00C1683F"/>
    <w:rsid w:val="00C21762"/>
    <w:rsid w:val="00C21FEF"/>
    <w:rsid w:val="00C23BA4"/>
    <w:rsid w:val="00C24468"/>
    <w:rsid w:val="00C24543"/>
    <w:rsid w:val="00C256A2"/>
    <w:rsid w:val="00C25ADB"/>
    <w:rsid w:val="00C27381"/>
    <w:rsid w:val="00C30322"/>
    <w:rsid w:val="00C51515"/>
    <w:rsid w:val="00C5660B"/>
    <w:rsid w:val="00C66B72"/>
    <w:rsid w:val="00C87AC4"/>
    <w:rsid w:val="00C9567A"/>
    <w:rsid w:val="00CB212D"/>
    <w:rsid w:val="00CB2660"/>
    <w:rsid w:val="00CC0499"/>
    <w:rsid w:val="00CC5E90"/>
    <w:rsid w:val="00CC6570"/>
    <w:rsid w:val="00CD046C"/>
    <w:rsid w:val="00CD6F39"/>
    <w:rsid w:val="00CE076C"/>
    <w:rsid w:val="00CE5199"/>
    <w:rsid w:val="00CE66D5"/>
    <w:rsid w:val="00CF54C7"/>
    <w:rsid w:val="00CF630A"/>
    <w:rsid w:val="00CF637A"/>
    <w:rsid w:val="00CF66BF"/>
    <w:rsid w:val="00D059DE"/>
    <w:rsid w:val="00D05ABD"/>
    <w:rsid w:val="00D13FCE"/>
    <w:rsid w:val="00D15DCB"/>
    <w:rsid w:val="00D306D1"/>
    <w:rsid w:val="00D30800"/>
    <w:rsid w:val="00D34786"/>
    <w:rsid w:val="00D37BFC"/>
    <w:rsid w:val="00D47A8E"/>
    <w:rsid w:val="00D52D14"/>
    <w:rsid w:val="00D712D3"/>
    <w:rsid w:val="00D71422"/>
    <w:rsid w:val="00D72DC6"/>
    <w:rsid w:val="00D7558D"/>
    <w:rsid w:val="00D81D92"/>
    <w:rsid w:val="00D876F9"/>
    <w:rsid w:val="00DA2E8B"/>
    <w:rsid w:val="00DA71E5"/>
    <w:rsid w:val="00DA7B5F"/>
    <w:rsid w:val="00DC11E7"/>
    <w:rsid w:val="00DC24E3"/>
    <w:rsid w:val="00DC7023"/>
    <w:rsid w:val="00DC769A"/>
    <w:rsid w:val="00DD3D86"/>
    <w:rsid w:val="00DD4AD2"/>
    <w:rsid w:val="00DE0EC8"/>
    <w:rsid w:val="00DE2862"/>
    <w:rsid w:val="00DF1EC4"/>
    <w:rsid w:val="00DF7C01"/>
    <w:rsid w:val="00E0340B"/>
    <w:rsid w:val="00E04A90"/>
    <w:rsid w:val="00E0551F"/>
    <w:rsid w:val="00E07241"/>
    <w:rsid w:val="00E219C7"/>
    <w:rsid w:val="00E3435A"/>
    <w:rsid w:val="00E356CB"/>
    <w:rsid w:val="00E4118C"/>
    <w:rsid w:val="00E43157"/>
    <w:rsid w:val="00E461CE"/>
    <w:rsid w:val="00E573E4"/>
    <w:rsid w:val="00E64C3D"/>
    <w:rsid w:val="00E720CA"/>
    <w:rsid w:val="00E84EB5"/>
    <w:rsid w:val="00E85662"/>
    <w:rsid w:val="00E8694F"/>
    <w:rsid w:val="00E8789F"/>
    <w:rsid w:val="00E97B71"/>
    <w:rsid w:val="00EA3D34"/>
    <w:rsid w:val="00EB454D"/>
    <w:rsid w:val="00EB4F6C"/>
    <w:rsid w:val="00ED549D"/>
    <w:rsid w:val="00ED5E10"/>
    <w:rsid w:val="00ED76BE"/>
    <w:rsid w:val="00EE00E9"/>
    <w:rsid w:val="00EE1468"/>
    <w:rsid w:val="00EF1927"/>
    <w:rsid w:val="00EF1AAA"/>
    <w:rsid w:val="00EF1E35"/>
    <w:rsid w:val="00EF619B"/>
    <w:rsid w:val="00F00B55"/>
    <w:rsid w:val="00F02AD1"/>
    <w:rsid w:val="00F253CC"/>
    <w:rsid w:val="00F37106"/>
    <w:rsid w:val="00F44E25"/>
    <w:rsid w:val="00F519CF"/>
    <w:rsid w:val="00F56012"/>
    <w:rsid w:val="00F56BA5"/>
    <w:rsid w:val="00F603CD"/>
    <w:rsid w:val="00F60E22"/>
    <w:rsid w:val="00F7542E"/>
    <w:rsid w:val="00F81395"/>
    <w:rsid w:val="00F81BB8"/>
    <w:rsid w:val="00F90C64"/>
    <w:rsid w:val="00F9151D"/>
    <w:rsid w:val="00F917D1"/>
    <w:rsid w:val="00F93AE8"/>
    <w:rsid w:val="00F9653B"/>
    <w:rsid w:val="00FB62CF"/>
    <w:rsid w:val="00FC577A"/>
    <w:rsid w:val="00FD3C3B"/>
    <w:rsid w:val="00FE0755"/>
    <w:rsid w:val="00FE07DD"/>
    <w:rsid w:val="00FE6ACC"/>
    <w:rsid w:val="00FE6B45"/>
    <w:rsid w:val="00FF2D0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3643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835FFF"/>
    <w:rPr>
      <w:sz w:val="16"/>
      <w:szCs w:val="16"/>
    </w:rPr>
  </w:style>
  <w:style w:type="paragraph" w:styleId="CommentText">
    <w:name w:val="annotation text"/>
    <w:basedOn w:val="Normal"/>
    <w:link w:val="CommentTextChar"/>
    <w:uiPriority w:val="99"/>
    <w:semiHidden/>
    <w:unhideWhenUsed/>
    <w:rsid w:val="00835FFF"/>
    <w:rPr>
      <w:sz w:val="20"/>
      <w:szCs w:val="20"/>
    </w:rPr>
  </w:style>
  <w:style w:type="character" w:customStyle="1" w:styleId="CommentTextChar">
    <w:name w:val="Comment Text Char"/>
    <w:basedOn w:val="DefaultParagraphFont"/>
    <w:link w:val="CommentText"/>
    <w:uiPriority w:val="99"/>
    <w:semiHidden/>
    <w:rsid w:val="00835FFF"/>
    <w:rPr>
      <w:lang w:val="en-US" w:eastAsia="en-US"/>
    </w:rPr>
  </w:style>
  <w:style w:type="paragraph" w:styleId="CommentSubject">
    <w:name w:val="annotation subject"/>
    <w:basedOn w:val="CommentText"/>
    <w:next w:val="CommentText"/>
    <w:link w:val="CommentSubjectChar"/>
    <w:uiPriority w:val="99"/>
    <w:semiHidden/>
    <w:unhideWhenUsed/>
    <w:rsid w:val="00835FFF"/>
    <w:rPr>
      <w:b/>
      <w:bCs/>
    </w:rPr>
  </w:style>
  <w:style w:type="character" w:customStyle="1" w:styleId="CommentSubjectChar">
    <w:name w:val="Comment Subject Char"/>
    <w:basedOn w:val="CommentTextChar"/>
    <w:link w:val="CommentSubject"/>
    <w:uiPriority w:val="99"/>
    <w:semiHidden/>
    <w:rsid w:val="00835FF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7387067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75EC5"/>
    <w:rsid w:val="00200821"/>
    <w:rsid w:val="0025245B"/>
    <w:rsid w:val="002529DA"/>
    <w:rsid w:val="002632E3"/>
    <w:rsid w:val="002A3923"/>
    <w:rsid w:val="002C29E9"/>
    <w:rsid w:val="00394049"/>
    <w:rsid w:val="003B0C71"/>
    <w:rsid w:val="00406BDA"/>
    <w:rsid w:val="0041521E"/>
    <w:rsid w:val="004B5BBB"/>
    <w:rsid w:val="004F2DF8"/>
    <w:rsid w:val="00517E2A"/>
    <w:rsid w:val="00577C1C"/>
    <w:rsid w:val="006F24A1"/>
    <w:rsid w:val="00794422"/>
    <w:rsid w:val="0095331F"/>
    <w:rsid w:val="009A261B"/>
    <w:rsid w:val="009C6071"/>
    <w:rsid w:val="009F4B75"/>
    <w:rsid w:val="00AA2E17"/>
    <w:rsid w:val="00AC15A4"/>
    <w:rsid w:val="00B0336C"/>
    <w:rsid w:val="00B44E9B"/>
    <w:rsid w:val="00B82626"/>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C30C-95D3-4884-9605-67128406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6015</Words>
  <Characters>32181</Characters>
  <Application>Microsoft Office Word</Application>
  <DocSecurity>0</DocSecurity>
  <Lines>536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286/21</dc:title>
  <dc:creator/>
  <cp:lastModifiedBy/>
  <cp:revision>1</cp:revision>
  <dcterms:created xsi:type="dcterms:W3CDTF">2021-12-06T20:52:00Z</dcterms:created>
  <dcterms:modified xsi:type="dcterms:W3CDTF">2021-12-06T20:53:00Z</dcterms:modified>
</cp:coreProperties>
</file>