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3E88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6D03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0FAD">
                              <w:rPr>
                                <w:rFonts w:asciiTheme="majorHAnsi" w:hAnsiTheme="majorHAnsi" w:cs="Arial"/>
                                <w:b/>
                                <w:bCs/>
                                <w:color w:val="0D0D0D" w:themeColor="text1" w:themeTint="F2"/>
                                <w:sz w:val="36"/>
                                <w:szCs w:val="22"/>
                                <w:lang w:val="es-ES_tradnl"/>
                              </w:rPr>
                              <w:t>324</w:t>
                            </w:r>
                            <w:r w:rsidR="007B05C4">
                              <w:rPr>
                                <w:rFonts w:asciiTheme="majorHAnsi" w:hAnsiTheme="majorHAnsi" w:cs="Arial"/>
                                <w:b/>
                                <w:bCs/>
                                <w:color w:val="0D0D0D" w:themeColor="text1" w:themeTint="F2"/>
                                <w:sz w:val="36"/>
                                <w:szCs w:val="22"/>
                                <w:lang w:val="es-ES_tradnl"/>
                              </w:rPr>
                              <w:t>/</w:t>
                            </w:r>
                            <w:r w:rsidR="00F576FD">
                              <w:rPr>
                                <w:rFonts w:asciiTheme="majorHAnsi" w:hAnsiTheme="majorHAnsi" w:cs="Arial"/>
                                <w:b/>
                                <w:bCs/>
                                <w:color w:val="0D0D0D" w:themeColor="text1" w:themeTint="F2"/>
                                <w:sz w:val="36"/>
                                <w:szCs w:val="22"/>
                                <w:lang w:val="es-ES_tradnl"/>
                              </w:rPr>
                              <w:t>21</w:t>
                            </w:r>
                          </w:p>
                          <w:p w14:paraId="7E880A8B" w14:textId="6CB35D55"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576FD">
                              <w:rPr>
                                <w:rFonts w:asciiTheme="majorHAnsi" w:hAnsiTheme="majorHAnsi" w:cs="Arial"/>
                                <w:b/>
                                <w:color w:val="0D0D0D" w:themeColor="text1" w:themeTint="F2"/>
                                <w:sz w:val="36"/>
                                <w:szCs w:val="22"/>
                                <w:lang w:val="es-ES_tradnl"/>
                              </w:rPr>
                              <w:t>1950-14</w:t>
                            </w:r>
                          </w:p>
                          <w:p w14:paraId="44097965"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62B40F28" w:rsidR="00CC395D" w:rsidRPr="0010736F" w:rsidRDefault="00F576FD" w:rsidP="00CC395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w:t>
                            </w:r>
                            <w:r w:rsidR="00683985">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 VILLALBA Y O</w:t>
                            </w:r>
                            <w:r w:rsidR="00A43B73">
                              <w:rPr>
                                <w:rFonts w:asciiTheme="majorHAnsi" w:hAnsiTheme="majorHAnsi" w:cs="Arial"/>
                                <w:color w:val="0D0D0D" w:themeColor="text1" w:themeTint="F2"/>
                                <w:szCs w:val="22"/>
                                <w:lang w:val="es-ES_tradnl"/>
                              </w:rPr>
                              <w:t>TROS</w:t>
                            </w:r>
                          </w:p>
                          <w:bookmarkEnd w:id="0"/>
                          <w:p w14:paraId="2DA3164A" w14:textId="77777777" w:rsidR="00CC395D" w:rsidRPr="0010736F" w:rsidRDefault="00CC395D" w:rsidP="00CC395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r>
                              <w:rPr>
                                <w:rFonts w:asciiTheme="majorHAnsi" w:hAnsiTheme="majorHAnsi" w:cs="Arial"/>
                                <w:color w:val="0D0D0D" w:themeColor="text1" w:themeTint="F2"/>
                                <w:szCs w:val="22"/>
                                <w:lang w:val="es-ES_tradnl"/>
                              </w:rPr>
                              <w:tab/>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26D03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0FAD">
                        <w:rPr>
                          <w:rFonts w:asciiTheme="majorHAnsi" w:hAnsiTheme="majorHAnsi" w:cs="Arial"/>
                          <w:b/>
                          <w:bCs/>
                          <w:color w:val="0D0D0D" w:themeColor="text1" w:themeTint="F2"/>
                          <w:sz w:val="36"/>
                          <w:szCs w:val="22"/>
                          <w:lang w:val="es-ES_tradnl"/>
                        </w:rPr>
                        <w:t>324</w:t>
                      </w:r>
                      <w:r w:rsidR="007B05C4">
                        <w:rPr>
                          <w:rFonts w:asciiTheme="majorHAnsi" w:hAnsiTheme="majorHAnsi" w:cs="Arial"/>
                          <w:b/>
                          <w:bCs/>
                          <w:color w:val="0D0D0D" w:themeColor="text1" w:themeTint="F2"/>
                          <w:sz w:val="36"/>
                          <w:szCs w:val="22"/>
                          <w:lang w:val="es-ES_tradnl"/>
                        </w:rPr>
                        <w:t>/</w:t>
                      </w:r>
                      <w:r w:rsidR="00F576FD">
                        <w:rPr>
                          <w:rFonts w:asciiTheme="majorHAnsi" w:hAnsiTheme="majorHAnsi" w:cs="Arial"/>
                          <w:b/>
                          <w:bCs/>
                          <w:color w:val="0D0D0D" w:themeColor="text1" w:themeTint="F2"/>
                          <w:sz w:val="36"/>
                          <w:szCs w:val="22"/>
                          <w:lang w:val="es-ES_tradnl"/>
                        </w:rPr>
                        <w:t>21</w:t>
                      </w:r>
                    </w:p>
                    <w:p w14:paraId="7E880A8B" w14:textId="6CB35D55"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576FD">
                        <w:rPr>
                          <w:rFonts w:asciiTheme="majorHAnsi" w:hAnsiTheme="majorHAnsi" w:cs="Arial"/>
                          <w:b/>
                          <w:color w:val="0D0D0D" w:themeColor="text1" w:themeTint="F2"/>
                          <w:sz w:val="36"/>
                          <w:szCs w:val="22"/>
                          <w:lang w:val="es-ES_tradnl"/>
                        </w:rPr>
                        <w:t>1950-14</w:t>
                      </w:r>
                    </w:p>
                    <w:p w14:paraId="44097965"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62B40F28" w:rsidR="00CC395D" w:rsidRPr="0010736F" w:rsidRDefault="00F576FD" w:rsidP="00CC395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w:t>
                      </w:r>
                      <w:r w:rsidR="00683985">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 VILLALBA Y O</w:t>
                      </w:r>
                      <w:r w:rsidR="00A43B73">
                        <w:rPr>
                          <w:rFonts w:asciiTheme="majorHAnsi" w:hAnsiTheme="majorHAnsi" w:cs="Arial"/>
                          <w:color w:val="0D0D0D" w:themeColor="text1" w:themeTint="F2"/>
                          <w:szCs w:val="22"/>
                          <w:lang w:val="es-ES_tradnl"/>
                        </w:rPr>
                        <w:t>TROS</w:t>
                      </w:r>
                    </w:p>
                    <w:bookmarkEnd w:id="1"/>
                    <w:p w14:paraId="2DA3164A" w14:textId="77777777" w:rsidR="00CC395D" w:rsidRPr="0010736F" w:rsidRDefault="00CC395D" w:rsidP="00CC395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r>
                        <w:rPr>
                          <w:rFonts w:asciiTheme="majorHAnsi" w:hAnsiTheme="majorHAnsi" w:cs="Arial"/>
                          <w:color w:val="0D0D0D" w:themeColor="text1" w:themeTint="F2"/>
                          <w:szCs w:val="22"/>
                          <w:lang w:val="es-ES_tradnl"/>
                        </w:rPr>
                        <w:tab/>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33292E7" w:rsidR="00627C9F" w:rsidRPr="00300343" w:rsidRDefault="00834D49" w:rsidP="007A5817">
                            <w:pPr>
                              <w:spacing w:line="276" w:lineRule="auto"/>
                              <w:jc w:val="right"/>
                              <w:rPr>
                                <w:rFonts w:asciiTheme="minorHAnsi" w:hAnsiTheme="minorHAnsi"/>
                                <w:color w:val="FFFFFF" w:themeColor="background1"/>
                                <w:sz w:val="22"/>
                                <w:lang w:val="es-419"/>
                              </w:rPr>
                            </w:pPr>
                            <w:r w:rsidRPr="00300343">
                              <w:rPr>
                                <w:rFonts w:asciiTheme="minorHAnsi" w:hAnsiTheme="minorHAnsi"/>
                                <w:color w:val="FFFFFF" w:themeColor="background1"/>
                                <w:sz w:val="22"/>
                                <w:lang w:val="es-419"/>
                              </w:rPr>
                              <w:t>OEA/Ser.L/V/II</w:t>
                            </w:r>
                          </w:p>
                          <w:p w14:paraId="6A41611B" w14:textId="768BBBEE" w:rsidR="00627C9F" w:rsidRPr="00300343" w:rsidRDefault="00627C9F" w:rsidP="007A5817">
                            <w:pPr>
                              <w:spacing w:line="276" w:lineRule="auto"/>
                              <w:jc w:val="right"/>
                              <w:rPr>
                                <w:rFonts w:asciiTheme="minorHAnsi" w:hAnsiTheme="minorHAnsi"/>
                                <w:color w:val="FFFFFF" w:themeColor="background1"/>
                                <w:sz w:val="22"/>
                                <w:lang w:val="es-419"/>
                              </w:rPr>
                            </w:pPr>
                            <w:r w:rsidRPr="00300343">
                              <w:rPr>
                                <w:rFonts w:asciiTheme="minorHAnsi" w:hAnsiTheme="minorHAnsi"/>
                                <w:color w:val="FFFFFF" w:themeColor="background1"/>
                                <w:sz w:val="22"/>
                                <w:lang w:val="es-419"/>
                              </w:rPr>
                              <w:t xml:space="preserve">Doc. </w:t>
                            </w:r>
                            <w:r w:rsidR="003F0FAD" w:rsidRPr="00300343">
                              <w:rPr>
                                <w:rFonts w:asciiTheme="minorHAnsi" w:hAnsiTheme="minorHAnsi"/>
                                <w:color w:val="FFFFFF" w:themeColor="background1"/>
                                <w:sz w:val="22"/>
                                <w:lang w:val="es-419"/>
                              </w:rPr>
                              <w:t>334</w:t>
                            </w:r>
                          </w:p>
                          <w:p w14:paraId="69373ED2" w14:textId="2496D8F4" w:rsidR="00627C9F" w:rsidRPr="001B4C00" w:rsidRDefault="003F0FA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noviembre</w:t>
                            </w:r>
                            <w:r w:rsidR="00627C9F" w:rsidRPr="001B4C00">
                              <w:rPr>
                                <w:rFonts w:asciiTheme="minorHAnsi" w:hAnsiTheme="minorHAnsi"/>
                                <w:color w:val="FFFFFF" w:themeColor="background1"/>
                                <w:sz w:val="22"/>
                                <w:lang w:val="es-ES"/>
                              </w:rPr>
                              <w:t xml:space="preserve"> 20</w:t>
                            </w:r>
                            <w:r w:rsidR="00683985">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33292E7" w:rsidR="00627C9F" w:rsidRPr="00300343" w:rsidRDefault="00834D49" w:rsidP="007A5817">
                      <w:pPr>
                        <w:spacing w:line="276" w:lineRule="auto"/>
                        <w:jc w:val="right"/>
                        <w:rPr>
                          <w:rFonts w:asciiTheme="minorHAnsi" w:hAnsiTheme="minorHAnsi"/>
                          <w:color w:val="FFFFFF" w:themeColor="background1"/>
                          <w:sz w:val="22"/>
                          <w:lang w:val="es-419"/>
                        </w:rPr>
                      </w:pPr>
                      <w:r w:rsidRPr="00300343">
                        <w:rPr>
                          <w:rFonts w:asciiTheme="minorHAnsi" w:hAnsiTheme="minorHAnsi"/>
                          <w:color w:val="FFFFFF" w:themeColor="background1"/>
                          <w:sz w:val="22"/>
                          <w:lang w:val="es-419"/>
                        </w:rPr>
                        <w:t>OEA/Ser.L/V/II</w:t>
                      </w:r>
                    </w:p>
                    <w:p w14:paraId="6A41611B" w14:textId="768BBBEE" w:rsidR="00627C9F" w:rsidRPr="00300343" w:rsidRDefault="00627C9F" w:rsidP="007A5817">
                      <w:pPr>
                        <w:spacing w:line="276" w:lineRule="auto"/>
                        <w:jc w:val="right"/>
                        <w:rPr>
                          <w:rFonts w:asciiTheme="minorHAnsi" w:hAnsiTheme="minorHAnsi"/>
                          <w:color w:val="FFFFFF" w:themeColor="background1"/>
                          <w:sz w:val="22"/>
                          <w:lang w:val="es-419"/>
                        </w:rPr>
                      </w:pPr>
                      <w:r w:rsidRPr="00300343">
                        <w:rPr>
                          <w:rFonts w:asciiTheme="minorHAnsi" w:hAnsiTheme="minorHAnsi"/>
                          <w:color w:val="FFFFFF" w:themeColor="background1"/>
                          <w:sz w:val="22"/>
                          <w:lang w:val="es-419"/>
                        </w:rPr>
                        <w:t xml:space="preserve">Doc. </w:t>
                      </w:r>
                      <w:r w:rsidR="003F0FAD" w:rsidRPr="00300343">
                        <w:rPr>
                          <w:rFonts w:asciiTheme="minorHAnsi" w:hAnsiTheme="minorHAnsi"/>
                          <w:color w:val="FFFFFF" w:themeColor="background1"/>
                          <w:sz w:val="22"/>
                          <w:lang w:val="es-419"/>
                        </w:rPr>
                        <w:t>334</w:t>
                      </w:r>
                    </w:p>
                    <w:p w14:paraId="69373ED2" w14:textId="2496D8F4" w:rsidR="00627C9F" w:rsidRPr="001B4C00" w:rsidRDefault="003F0FA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noviembre</w:t>
                      </w:r>
                      <w:r w:rsidR="00627C9F" w:rsidRPr="001B4C00">
                        <w:rPr>
                          <w:rFonts w:asciiTheme="minorHAnsi" w:hAnsiTheme="minorHAnsi"/>
                          <w:color w:val="FFFFFF" w:themeColor="background1"/>
                          <w:sz w:val="22"/>
                          <w:lang w:val="es-ES"/>
                        </w:rPr>
                        <w:t xml:space="preserve"> 20</w:t>
                      </w:r>
                      <w:r w:rsidR="00683985">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365F3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F0FAD">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3F0FA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576FD">
                              <w:rPr>
                                <w:rFonts w:asciiTheme="majorHAnsi" w:hAnsiTheme="majorHAnsi"/>
                                <w:color w:val="0D0D0D" w:themeColor="text1" w:themeTint="F2"/>
                                <w:sz w:val="18"/>
                                <w:szCs w:val="22"/>
                                <w:lang w:val="es-ES"/>
                              </w:rPr>
                              <w:t>21</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365F3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F0FAD">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3F0FA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576FD">
                        <w:rPr>
                          <w:rFonts w:asciiTheme="majorHAnsi" w:hAnsiTheme="majorHAnsi"/>
                          <w:color w:val="0D0D0D" w:themeColor="text1" w:themeTint="F2"/>
                          <w:sz w:val="18"/>
                          <w:szCs w:val="22"/>
                          <w:lang w:val="es-ES"/>
                        </w:rPr>
                        <w:t>21</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8A712" w14:textId="2030A1BC" w:rsidR="003F0F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0FAD" w:rsidRPr="003F0FAD">
                              <w:rPr>
                                <w:rFonts w:asciiTheme="majorHAnsi" w:hAnsiTheme="majorHAnsi"/>
                                <w:color w:val="595959" w:themeColor="text1" w:themeTint="A6"/>
                                <w:sz w:val="18"/>
                                <w:szCs w:val="18"/>
                                <w:lang w:val="pt-BR"/>
                              </w:rPr>
                              <w:t>324</w:t>
                            </w:r>
                            <w:r w:rsidR="007B05C4" w:rsidRPr="003F0FAD">
                              <w:rPr>
                                <w:rFonts w:asciiTheme="majorHAnsi" w:hAnsiTheme="majorHAnsi"/>
                                <w:color w:val="595959" w:themeColor="text1" w:themeTint="A6"/>
                                <w:sz w:val="18"/>
                                <w:szCs w:val="18"/>
                                <w:lang w:val="pt-BR"/>
                              </w:rPr>
                              <w:t>/</w:t>
                            </w:r>
                            <w:r w:rsidR="00F576FD" w:rsidRPr="003F0FAD">
                              <w:rPr>
                                <w:rFonts w:asciiTheme="majorHAnsi" w:hAnsiTheme="majorHAnsi"/>
                                <w:color w:val="595959" w:themeColor="text1" w:themeTint="A6"/>
                                <w:sz w:val="18"/>
                                <w:szCs w:val="18"/>
                                <w:lang w:val="pt-BR"/>
                              </w:rPr>
                              <w:t>21</w:t>
                            </w:r>
                            <w:r w:rsidRPr="003F0FAD">
                              <w:rPr>
                                <w:rFonts w:asciiTheme="majorHAnsi" w:hAnsiTheme="majorHAnsi"/>
                                <w:color w:val="595959" w:themeColor="text1" w:themeTint="A6"/>
                                <w:sz w:val="18"/>
                                <w:szCs w:val="18"/>
                                <w:lang w:val="pt-BR"/>
                              </w:rPr>
                              <w:t>.</w:t>
                            </w:r>
                            <w:r w:rsidR="003F0FAD">
                              <w:rPr>
                                <w:rFonts w:asciiTheme="majorHAnsi" w:hAnsiTheme="majorHAnsi"/>
                                <w:color w:val="595959" w:themeColor="text1" w:themeTint="A6"/>
                                <w:sz w:val="18"/>
                                <w:szCs w:val="18"/>
                                <w:lang w:val="pt-BR"/>
                              </w:rPr>
                              <w:t xml:space="preserve"> </w:t>
                            </w:r>
                            <w:r w:rsidR="003F0FAD" w:rsidRPr="00300343">
                              <w:rPr>
                                <w:rFonts w:asciiTheme="majorHAnsi" w:hAnsiTheme="majorHAnsi"/>
                                <w:color w:val="595959" w:themeColor="text1" w:themeTint="A6"/>
                                <w:sz w:val="18"/>
                                <w:szCs w:val="18"/>
                                <w:lang w:val="es-419"/>
                              </w:rPr>
                              <w:t>Petición 1950-14</w:t>
                            </w:r>
                            <w:r w:rsidR="005D4A7D">
                              <w:rPr>
                                <w:rFonts w:asciiTheme="majorHAnsi" w:hAnsiTheme="majorHAnsi"/>
                                <w:color w:val="595959" w:themeColor="text1" w:themeTint="A6"/>
                                <w:sz w:val="18"/>
                                <w:szCs w:val="18"/>
                                <w:lang w:val="es-419"/>
                              </w:rPr>
                              <w:t>.</w:t>
                            </w:r>
                            <w:r w:rsidRPr="00300343">
                              <w:rPr>
                                <w:rFonts w:asciiTheme="majorHAnsi" w:hAnsiTheme="majorHAnsi"/>
                                <w:color w:val="595959" w:themeColor="text1" w:themeTint="A6"/>
                                <w:sz w:val="18"/>
                                <w:szCs w:val="18"/>
                                <w:lang w:val="es-419"/>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6F99E8D5" w:rsidR="00113F73" w:rsidRPr="007B05C4" w:rsidRDefault="00F576F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Rub</w:t>
                            </w:r>
                            <w:r w:rsidR="00683985">
                              <w:rPr>
                                <w:rFonts w:asciiTheme="majorHAnsi" w:hAnsiTheme="majorHAnsi"/>
                                <w:color w:val="595959" w:themeColor="text1" w:themeTint="A6"/>
                                <w:sz w:val="18"/>
                                <w:szCs w:val="18"/>
                                <w:lang w:val="es-ES_tradnl"/>
                              </w:rPr>
                              <w:t>é</w:t>
                            </w:r>
                            <w:r>
                              <w:rPr>
                                <w:rFonts w:asciiTheme="majorHAnsi" w:hAnsiTheme="majorHAnsi"/>
                                <w:color w:val="595959" w:themeColor="text1" w:themeTint="A6"/>
                                <w:sz w:val="18"/>
                                <w:szCs w:val="18"/>
                                <w:lang w:val="es-ES_tradnl"/>
                              </w:rPr>
                              <w:t>n Villalba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3F0FAD">
                              <w:rPr>
                                <w:rFonts w:asciiTheme="majorHAnsi" w:hAnsiTheme="majorHAnsi"/>
                                <w:color w:val="595959" w:themeColor="text1" w:themeTint="A6"/>
                                <w:sz w:val="18"/>
                                <w:szCs w:val="18"/>
                                <w:lang w:val="es-ES"/>
                              </w:rPr>
                              <w:t>4 de noviembre de 2021</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CD8A712" w14:textId="2030A1BC" w:rsidR="003F0F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0FAD" w:rsidRPr="003F0FAD">
                        <w:rPr>
                          <w:rFonts w:asciiTheme="majorHAnsi" w:hAnsiTheme="majorHAnsi"/>
                          <w:color w:val="595959" w:themeColor="text1" w:themeTint="A6"/>
                          <w:sz w:val="18"/>
                          <w:szCs w:val="18"/>
                          <w:lang w:val="pt-BR"/>
                        </w:rPr>
                        <w:t>324</w:t>
                      </w:r>
                      <w:r w:rsidR="007B05C4" w:rsidRPr="003F0FAD">
                        <w:rPr>
                          <w:rFonts w:asciiTheme="majorHAnsi" w:hAnsiTheme="majorHAnsi"/>
                          <w:color w:val="595959" w:themeColor="text1" w:themeTint="A6"/>
                          <w:sz w:val="18"/>
                          <w:szCs w:val="18"/>
                          <w:lang w:val="pt-BR"/>
                        </w:rPr>
                        <w:t>/</w:t>
                      </w:r>
                      <w:r w:rsidR="00F576FD" w:rsidRPr="003F0FAD">
                        <w:rPr>
                          <w:rFonts w:asciiTheme="majorHAnsi" w:hAnsiTheme="majorHAnsi"/>
                          <w:color w:val="595959" w:themeColor="text1" w:themeTint="A6"/>
                          <w:sz w:val="18"/>
                          <w:szCs w:val="18"/>
                          <w:lang w:val="pt-BR"/>
                        </w:rPr>
                        <w:t>21</w:t>
                      </w:r>
                      <w:r w:rsidRPr="003F0FAD">
                        <w:rPr>
                          <w:rFonts w:asciiTheme="majorHAnsi" w:hAnsiTheme="majorHAnsi"/>
                          <w:color w:val="595959" w:themeColor="text1" w:themeTint="A6"/>
                          <w:sz w:val="18"/>
                          <w:szCs w:val="18"/>
                          <w:lang w:val="pt-BR"/>
                        </w:rPr>
                        <w:t>.</w:t>
                      </w:r>
                      <w:r w:rsidR="003F0FAD">
                        <w:rPr>
                          <w:rFonts w:asciiTheme="majorHAnsi" w:hAnsiTheme="majorHAnsi"/>
                          <w:color w:val="595959" w:themeColor="text1" w:themeTint="A6"/>
                          <w:sz w:val="18"/>
                          <w:szCs w:val="18"/>
                          <w:lang w:val="pt-BR"/>
                        </w:rPr>
                        <w:t xml:space="preserve"> </w:t>
                      </w:r>
                      <w:r w:rsidR="003F0FAD" w:rsidRPr="00300343">
                        <w:rPr>
                          <w:rFonts w:asciiTheme="majorHAnsi" w:hAnsiTheme="majorHAnsi"/>
                          <w:color w:val="595959" w:themeColor="text1" w:themeTint="A6"/>
                          <w:sz w:val="18"/>
                          <w:szCs w:val="18"/>
                          <w:lang w:val="es-419"/>
                        </w:rPr>
                        <w:t xml:space="preserve">Petición </w:t>
                      </w:r>
                      <w:r w:rsidR="003F0FAD" w:rsidRPr="00300343">
                        <w:rPr>
                          <w:rFonts w:asciiTheme="majorHAnsi" w:hAnsiTheme="majorHAnsi"/>
                          <w:color w:val="595959" w:themeColor="text1" w:themeTint="A6"/>
                          <w:sz w:val="18"/>
                          <w:szCs w:val="18"/>
                          <w:lang w:val="es-419"/>
                        </w:rPr>
                        <w:t>1950-14</w:t>
                      </w:r>
                      <w:r w:rsidR="005D4A7D">
                        <w:rPr>
                          <w:rFonts w:asciiTheme="majorHAnsi" w:hAnsiTheme="majorHAnsi"/>
                          <w:color w:val="595959" w:themeColor="text1" w:themeTint="A6"/>
                          <w:sz w:val="18"/>
                          <w:szCs w:val="18"/>
                          <w:lang w:val="es-419"/>
                        </w:rPr>
                        <w:t>.</w:t>
                      </w:r>
                      <w:r w:rsidRPr="00300343">
                        <w:rPr>
                          <w:rFonts w:asciiTheme="majorHAnsi" w:hAnsiTheme="majorHAnsi"/>
                          <w:color w:val="595959" w:themeColor="text1" w:themeTint="A6"/>
                          <w:sz w:val="18"/>
                          <w:szCs w:val="18"/>
                          <w:lang w:val="es-419"/>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6F99E8D5" w:rsidR="00113F73" w:rsidRPr="007B05C4" w:rsidRDefault="00F576F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Rub</w:t>
                      </w:r>
                      <w:r w:rsidR="00683985">
                        <w:rPr>
                          <w:rFonts w:asciiTheme="majorHAnsi" w:hAnsiTheme="majorHAnsi"/>
                          <w:color w:val="595959" w:themeColor="text1" w:themeTint="A6"/>
                          <w:sz w:val="18"/>
                          <w:szCs w:val="18"/>
                          <w:lang w:val="es-ES_tradnl"/>
                        </w:rPr>
                        <w:t>é</w:t>
                      </w:r>
                      <w:r>
                        <w:rPr>
                          <w:rFonts w:asciiTheme="majorHAnsi" w:hAnsiTheme="majorHAnsi"/>
                          <w:color w:val="595959" w:themeColor="text1" w:themeTint="A6"/>
                          <w:sz w:val="18"/>
                          <w:szCs w:val="18"/>
                          <w:lang w:val="es-ES_tradnl"/>
                        </w:rPr>
                        <w:t>n Villalba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3F0FAD">
                        <w:rPr>
                          <w:rFonts w:asciiTheme="majorHAnsi" w:hAnsiTheme="majorHAnsi"/>
                          <w:color w:val="595959" w:themeColor="text1" w:themeTint="A6"/>
                          <w:sz w:val="18"/>
                          <w:szCs w:val="18"/>
                          <w:lang w:val="es-ES"/>
                        </w:rPr>
                        <w:t>4 de noviembre de 2021</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8234FCC"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AD0B72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DB918F4" w:rsidR="0070697F" w:rsidRPr="00006B74" w:rsidRDefault="003F0FAD"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766667D">
                <wp:simplePos x="0" y="0"/>
                <wp:positionH relativeFrom="column">
                  <wp:posOffset>1328420</wp:posOffset>
                </wp:positionH>
                <wp:positionV relativeFrom="paragraph">
                  <wp:posOffset>625846</wp:posOffset>
                </wp:positionV>
                <wp:extent cx="4096385" cy="681487"/>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6814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2D9957F">
                                  <wp:extent cx="1613750" cy="415137"/>
                                  <wp:effectExtent l="0" t="0" r="571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22047" cy="417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pt;margin-top:49.3pt;width:322.55pt;height:5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2D9957F">
                            <wp:extent cx="1613750" cy="415137"/>
                            <wp:effectExtent l="0" t="0" r="571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22047" cy="417271"/>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77"/>
        <w:gridCol w:w="5670"/>
      </w:tblGrid>
      <w:tr w:rsidR="003239B8" w:rsidRPr="002C551D" w14:paraId="5A79D1F7" w14:textId="77777777" w:rsidTr="00E90B29">
        <w:tc>
          <w:tcPr>
            <w:tcW w:w="3577" w:type="dxa"/>
            <w:tcBorders>
              <w:top w:val="single" w:sz="4" w:space="0" w:color="auto"/>
              <w:bottom w:val="single" w:sz="6" w:space="0" w:color="auto"/>
            </w:tcBorders>
            <w:shd w:val="clear" w:color="auto" w:fill="386294"/>
            <w:vAlign w:val="center"/>
          </w:tcPr>
          <w:p w14:paraId="0CB2A43B" w14:textId="6FB89BFC" w:rsidR="003239B8" w:rsidRPr="00683985" w:rsidRDefault="00D77503" w:rsidP="008D2290">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Parte peticionaria</w:t>
            </w:r>
          </w:p>
        </w:tc>
        <w:tc>
          <w:tcPr>
            <w:tcW w:w="5670" w:type="dxa"/>
            <w:vAlign w:val="center"/>
          </w:tcPr>
          <w:p w14:paraId="3C5315D8" w14:textId="2B3B9075" w:rsidR="003239B8" w:rsidRPr="00683985" w:rsidRDefault="00F576FD" w:rsidP="008D2290">
            <w:pPr>
              <w:jc w:val="both"/>
              <w:rPr>
                <w:rFonts w:ascii="Cambria" w:hAnsi="Cambria"/>
                <w:bCs/>
                <w:sz w:val="20"/>
                <w:szCs w:val="20"/>
                <w:lang w:val="es-PA"/>
              </w:rPr>
            </w:pPr>
            <w:r w:rsidRPr="00683985">
              <w:rPr>
                <w:rFonts w:ascii="Cambria" w:hAnsi="Cambria"/>
                <w:bCs/>
                <w:sz w:val="20"/>
                <w:szCs w:val="20"/>
                <w:lang w:val="es-PA"/>
              </w:rPr>
              <w:t>Aitor Martínez Jiménez, Vicente Morales Benítez y Guillermo Ferreiro Cristaldo</w:t>
            </w:r>
          </w:p>
        </w:tc>
      </w:tr>
      <w:tr w:rsidR="003239B8" w:rsidRPr="00B71402" w14:paraId="593A7E45" w14:textId="77777777" w:rsidTr="00E90B29">
        <w:tc>
          <w:tcPr>
            <w:tcW w:w="3577" w:type="dxa"/>
            <w:tcBorders>
              <w:top w:val="single" w:sz="6" w:space="0" w:color="auto"/>
              <w:bottom w:val="single" w:sz="6" w:space="0" w:color="auto"/>
            </w:tcBorders>
            <w:shd w:val="clear" w:color="auto" w:fill="386294"/>
            <w:vAlign w:val="center"/>
          </w:tcPr>
          <w:p w14:paraId="0E78CA0C" w14:textId="6191E4A1" w:rsidR="003239B8" w:rsidRPr="00683985" w:rsidRDefault="002355A9" w:rsidP="008D2290">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Presunta víctima</w:t>
            </w:r>
          </w:p>
        </w:tc>
        <w:tc>
          <w:tcPr>
            <w:tcW w:w="5670" w:type="dxa"/>
            <w:vAlign w:val="center"/>
          </w:tcPr>
          <w:p w14:paraId="4AEBF59E" w14:textId="3A1F3C88" w:rsidR="003239B8" w:rsidRPr="00683985" w:rsidRDefault="00683985" w:rsidP="005B6D22">
            <w:pPr>
              <w:jc w:val="both"/>
              <w:rPr>
                <w:rFonts w:ascii="Cambria" w:hAnsi="Cambria"/>
                <w:bCs/>
                <w:sz w:val="20"/>
                <w:szCs w:val="20"/>
                <w:lang w:val="es-ES"/>
              </w:rPr>
            </w:pPr>
            <w:r>
              <w:rPr>
                <w:rFonts w:ascii="Cambria" w:hAnsi="Cambria"/>
                <w:bCs/>
                <w:sz w:val="20"/>
                <w:szCs w:val="20"/>
                <w:lang w:val="es-ES"/>
              </w:rPr>
              <w:t>Rubén</w:t>
            </w:r>
            <w:r w:rsidR="00F576FD" w:rsidRPr="00683985">
              <w:rPr>
                <w:rFonts w:ascii="Cambria" w:hAnsi="Cambria"/>
                <w:bCs/>
                <w:sz w:val="20"/>
                <w:szCs w:val="20"/>
                <w:lang w:val="es-ES"/>
              </w:rPr>
              <w:t xml:space="preserve"> Villalba y otr</w:t>
            </w:r>
            <w:r w:rsidR="006D5937">
              <w:rPr>
                <w:rFonts w:ascii="Cambria" w:hAnsi="Cambria"/>
                <w:bCs/>
                <w:sz w:val="20"/>
                <w:szCs w:val="20"/>
                <w:lang w:val="es-ES"/>
              </w:rPr>
              <w:t>os</w:t>
            </w:r>
            <w:r w:rsidR="00F576FD" w:rsidRPr="00683985">
              <w:rPr>
                <w:rStyle w:val="FootnoteReference"/>
                <w:rFonts w:ascii="Cambria" w:hAnsi="Cambria"/>
                <w:bCs/>
                <w:sz w:val="20"/>
                <w:szCs w:val="20"/>
                <w:lang w:val="es-ES"/>
              </w:rPr>
              <w:footnoteReference w:id="2"/>
            </w:r>
          </w:p>
        </w:tc>
      </w:tr>
      <w:tr w:rsidR="003239B8" w:rsidRPr="00683985" w14:paraId="3E62E1D3" w14:textId="77777777" w:rsidTr="00E90B29">
        <w:tc>
          <w:tcPr>
            <w:tcW w:w="3577" w:type="dxa"/>
            <w:tcBorders>
              <w:top w:val="single" w:sz="6" w:space="0" w:color="auto"/>
              <w:bottom w:val="single" w:sz="6" w:space="0" w:color="auto"/>
            </w:tcBorders>
            <w:shd w:val="clear" w:color="auto" w:fill="386294"/>
            <w:vAlign w:val="center"/>
          </w:tcPr>
          <w:p w14:paraId="340B0F09" w14:textId="16C11299" w:rsidR="003239B8" w:rsidRPr="00683985" w:rsidRDefault="00D77503" w:rsidP="008D2290">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Estado denunciado</w:t>
            </w:r>
          </w:p>
        </w:tc>
        <w:tc>
          <w:tcPr>
            <w:tcW w:w="5670" w:type="dxa"/>
            <w:vAlign w:val="center"/>
          </w:tcPr>
          <w:p w14:paraId="274C8A50" w14:textId="42056916" w:rsidR="003239B8" w:rsidRPr="00683985" w:rsidRDefault="00CC395D" w:rsidP="008D2290">
            <w:pPr>
              <w:jc w:val="both"/>
              <w:rPr>
                <w:rFonts w:ascii="Cambria" w:hAnsi="Cambria"/>
                <w:bCs/>
                <w:sz w:val="20"/>
                <w:szCs w:val="20"/>
                <w:lang w:val="es-ES"/>
              </w:rPr>
            </w:pPr>
            <w:r w:rsidRPr="00683985">
              <w:rPr>
                <w:rFonts w:ascii="Cambria" w:hAnsi="Cambria"/>
                <w:bCs/>
                <w:sz w:val="20"/>
                <w:szCs w:val="20"/>
                <w:lang w:val="es-ES"/>
              </w:rPr>
              <w:t>Paraguay</w:t>
            </w:r>
          </w:p>
        </w:tc>
      </w:tr>
      <w:tr w:rsidR="00223A29" w:rsidRPr="002C551D" w14:paraId="632511BC" w14:textId="77777777" w:rsidTr="00E90B29">
        <w:tc>
          <w:tcPr>
            <w:tcW w:w="3577" w:type="dxa"/>
            <w:tcBorders>
              <w:top w:val="single" w:sz="6" w:space="0" w:color="auto"/>
              <w:bottom w:val="single" w:sz="6" w:space="0" w:color="auto"/>
            </w:tcBorders>
            <w:shd w:val="clear" w:color="auto" w:fill="386294"/>
            <w:vAlign w:val="center"/>
          </w:tcPr>
          <w:p w14:paraId="727E2F6B" w14:textId="1D86EADA" w:rsidR="00223A29" w:rsidRPr="00683985" w:rsidRDefault="001B3A00" w:rsidP="00E4118C">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 xml:space="preserve">Derechos </w:t>
            </w:r>
            <w:r w:rsidR="00E4118C" w:rsidRPr="00683985">
              <w:rPr>
                <w:rFonts w:ascii="Cambria" w:hAnsi="Cambria"/>
                <w:b/>
                <w:color w:val="FFFFFF" w:themeColor="background1"/>
                <w:sz w:val="20"/>
                <w:szCs w:val="20"/>
                <w:lang w:val="es-ES"/>
              </w:rPr>
              <w:t>invocados</w:t>
            </w:r>
          </w:p>
        </w:tc>
        <w:tc>
          <w:tcPr>
            <w:tcW w:w="5670" w:type="dxa"/>
            <w:vAlign w:val="center"/>
          </w:tcPr>
          <w:p w14:paraId="6DEE1EEB" w14:textId="28EA41D8" w:rsidR="00223A29" w:rsidRPr="00683985" w:rsidRDefault="00F576FD" w:rsidP="0034224A">
            <w:pPr>
              <w:jc w:val="both"/>
              <w:rPr>
                <w:rFonts w:ascii="Cambria" w:hAnsi="Cambria"/>
                <w:bCs/>
                <w:sz w:val="20"/>
                <w:szCs w:val="20"/>
                <w:lang w:val="es-ES"/>
              </w:rPr>
            </w:pPr>
            <w:r w:rsidRPr="00683985">
              <w:rPr>
                <w:rFonts w:ascii="Cambria" w:hAnsi="Cambria"/>
                <w:bCs/>
                <w:sz w:val="20"/>
                <w:szCs w:val="20"/>
                <w:lang w:val="es-PA"/>
              </w:rPr>
              <w:t>Artículos</w:t>
            </w:r>
            <w:r w:rsidR="00AF75E0" w:rsidRPr="00683985">
              <w:rPr>
                <w:rFonts w:ascii="Cambria" w:hAnsi="Cambria"/>
                <w:bCs/>
                <w:sz w:val="20"/>
                <w:szCs w:val="20"/>
                <w:lang w:val="es-PA"/>
              </w:rPr>
              <w:t xml:space="preserve"> 4 (vida), 5 (integridad personal), 7 (libertad personal)</w:t>
            </w:r>
            <w:r w:rsidRPr="00683985">
              <w:rPr>
                <w:rFonts w:ascii="Cambria" w:hAnsi="Cambria"/>
                <w:bCs/>
                <w:sz w:val="20"/>
                <w:szCs w:val="20"/>
                <w:lang w:val="es-PA"/>
              </w:rPr>
              <w:t xml:space="preserve"> 8 (garantías judiciales), 9 (principio de legalidad y de retr</w:t>
            </w:r>
            <w:r w:rsidR="00AF75E0" w:rsidRPr="00683985">
              <w:rPr>
                <w:rFonts w:ascii="Cambria" w:hAnsi="Cambria"/>
                <w:bCs/>
                <w:sz w:val="20"/>
                <w:szCs w:val="20"/>
                <w:lang w:val="es-PA"/>
              </w:rPr>
              <w:t>oactividad) y 25 (protección jud</w:t>
            </w:r>
            <w:r w:rsidR="00F63FCC" w:rsidRPr="00683985">
              <w:rPr>
                <w:rFonts w:ascii="Cambria" w:hAnsi="Cambria"/>
                <w:bCs/>
                <w:sz w:val="20"/>
                <w:szCs w:val="20"/>
                <w:lang w:val="es-PA"/>
              </w:rPr>
              <w:t>i</w:t>
            </w:r>
            <w:r w:rsidR="00AF75E0" w:rsidRPr="00683985">
              <w:rPr>
                <w:rFonts w:ascii="Cambria" w:hAnsi="Cambria"/>
                <w:bCs/>
                <w:sz w:val="20"/>
                <w:szCs w:val="20"/>
                <w:lang w:val="es-PA"/>
              </w:rPr>
              <w:t>cial)</w:t>
            </w:r>
            <w:r w:rsidR="00CC395D" w:rsidRPr="00683985">
              <w:rPr>
                <w:rFonts w:ascii="Cambria" w:hAnsi="Cambria"/>
                <w:bCs/>
                <w:sz w:val="20"/>
                <w:szCs w:val="20"/>
                <w:lang w:val="es-PA"/>
              </w:rPr>
              <w:t xml:space="preserve"> </w:t>
            </w:r>
            <w:r w:rsidR="00683985">
              <w:rPr>
                <w:rFonts w:ascii="Cambria" w:hAnsi="Cambria"/>
                <w:bCs/>
                <w:sz w:val="20"/>
                <w:szCs w:val="20"/>
                <w:lang w:val="es-PA"/>
              </w:rPr>
              <w:t xml:space="preserve">de </w:t>
            </w:r>
            <w:r w:rsidR="00CC395D" w:rsidRPr="00683985">
              <w:rPr>
                <w:rFonts w:ascii="Cambria" w:hAnsi="Cambria"/>
                <w:bCs/>
                <w:sz w:val="20"/>
                <w:szCs w:val="20"/>
                <w:lang w:val="es-PA"/>
              </w:rPr>
              <w:t xml:space="preserve">la Convención Americana </w:t>
            </w:r>
            <w:r w:rsidR="00683985">
              <w:rPr>
                <w:rFonts w:ascii="Cambria" w:hAnsi="Cambria"/>
                <w:bCs/>
                <w:sz w:val="20"/>
                <w:szCs w:val="20"/>
                <w:lang w:val="es-PA"/>
              </w:rPr>
              <w:t>s</w:t>
            </w:r>
            <w:r w:rsidR="00CC395D" w:rsidRPr="00683985">
              <w:rPr>
                <w:rFonts w:ascii="Cambria" w:hAnsi="Cambria"/>
                <w:bCs/>
                <w:sz w:val="20"/>
                <w:szCs w:val="20"/>
                <w:lang w:val="es-PA"/>
              </w:rPr>
              <w:t>obre Derechos Humano</w:t>
            </w:r>
            <w:r w:rsidR="00683985">
              <w:rPr>
                <w:rFonts w:ascii="Cambria" w:hAnsi="Cambria"/>
                <w:bCs/>
                <w:sz w:val="20"/>
                <w:szCs w:val="20"/>
                <w:lang w:val="es-PA"/>
              </w:rPr>
              <w:t>s</w:t>
            </w:r>
            <w:r w:rsidR="00CC395D" w:rsidRPr="00683985">
              <w:rPr>
                <w:rStyle w:val="FootnoteReference"/>
                <w:rFonts w:ascii="Cambria" w:hAnsi="Cambria"/>
                <w:bCs/>
                <w:sz w:val="20"/>
                <w:szCs w:val="20"/>
                <w:lang w:val="es-PA"/>
              </w:rPr>
              <w:footnoteReference w:id="3"/>
            </w:r>
            <w:r w:rsidR="00683985">
              <w:rPr>
                <w:rFonts w:ascii="Cambria" w:hAnsi="Cambria"/>
                <w:bCs/>
                <w:sz w:val="20"/>
                <w:szCs w:val="20"/>
                <w:lang w:val="es-PA"/>
              </w:rPr>
              <w:t>; y</w:t>
            </w:r>
            <w:r w:rsidR="00AF75E0" w:rsidRPr="00683985">
              <w:rPr>
                <w:rFonts w:ascii="Cambria" w:hAnsi="Cambria"/>
                <w:bCs/>
                <w:sz w:val="20"/>
                <w:szCs w:val="20"/>
                <w:lang w:val="es-PA"/>
              </w:rPr>
              <w:t xml:space="preserve"> </w:t>
            </w:r>
            <w:r w:rsidR="00683985">
              <w:rPr>
                <w:rFonts w:ascii="Cambria" w:hAnsi="Cambria"/>
                <w:bCs/>
                <w:sz w:val="20"/>
                <w:szCs w:val="20"/>
                <w:lang w:val="es-PA"/>
              </w:rPr>
              <w:t>a</w:t>
            </w:r>
            <w:r w:rsidR="00AF75E0" w:rsidRPr="00683985">
              <w:rPr>
                <w:rFonts w:ascii="Cambria" w:hAnsi="Cambria"/>
                <w:bCs/>
                <w:sz w:val="20"/>
                <w:szCs w:val="20"/>
                <w:lang w:val="es-PA"/>
              </w:rPr>
              <w:t>rtículo</w:t>
            </w:r>
            <w:r w:rsidR="00683985">
              <w:rPr>
                <w:rFonts w:ascii="Cambria" w:hAnsi="Cambria"/>
                <w:bCs/>
                <w:sz w:val="20"/>
                <w:szCs w:val="20"/>
                <w:lang w:val="es-PA"/>
              </w:rPr>
              <w:t>s</w:t>
            </w:r>
            <w:r w:rsidR="00AF75E0" w:rsidRPr="00683985">
              <w:rPr>
                <w:rFonts w:ascii="Cambria" w:hAnsi="Cambria"/>
                <w:bCs/>
                <w:sz w:val="20"/>
                <w:szCs w:val="20"/>
                <w:lang w:val="es-PA"/>
              </w:rPr>
              <w:t xml:space="preserve"> 6 y 8 de la Convención Interamericana </w:t>
            </w:r>
            <w:r w:rsidR="00FC3F55">
              <w:rPr>
                <w:rFonts w:ascii="Cambria" w:hAnsi="Cambria"/>
                <w:bCs/>
                <w:sz w:val="20"/>
                <w:szCs w:val="20"/>
                <w:lang w:val="es-PA"/>
              </w:rPr>
              <w:t>p</w:t>
            </w:r>
            <w:r w:rsidR="00AF75E0" w:rsidRPr="00683985">
              <w:rPr>
                <w:rFonts w:ascii="Cambria" w:hAnsi="Cambria"/>
                <w:bCs/>
                <w:sz w:val="20"/>
                <w:szCs w:val="20"/>
                <w:lang w:val="es-PA"/>
              </w:rPr>
              <w:t>ara Prevenir y Sancionar la Tortura</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77"/>
        <w:gridCol w:w="5670"/>
      </w:tblGrid>
      <w:tr w:rsidR="004C2312" w:rsidRPr="00683985" w14:paraId="306EFCB0" w14:textId="77777777" w:rsidTr="00E90B29">
        <w:tc>
          <w:tcPr>
            <w:tcW w:w="3577" w:type="dxa"/>
            <w:tcBorders>
              <w:top w:val="single" w:sz="6" w:space="0" w:color="auto"/>
              <w:bottom w:val="single" w:sz="6" w:space="0" w:color="auto"/>
            </w:tcBorders>
            <w:shd w:val="clear" w:color="auto" w:fill="386294"/>
            <w:vAlign w:val="center"/>
          </w:tcPr>
          <w:p w14:paraId="7508D16F" w14:textId="2A4C7FC3" w:rsidR="004C2312" w:rsidRPr="00683985" w:rsidRDefault="000C1C69" w:rsidP="004A6A54">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Recepción</w:t>
            </w:r>
            <w:r w:rsidR="00D77503" w:rsidRPr="00683985">
              <w:rPr>
                <w:rFonts w:ascii="Cambria" w:hAnsi="Cambria"/>
                <w:b/>
                <w:color w:val="FFFFFF" w:themeColor="background1"/>
                <w:sz w:val="20"/>
                <w:szCs w:val="20"/>
                <w:lang w:val="es-ES"/>
              </w:rPr>
              <w:t xml:space="preserve"> de la petición</w:t>
            </w:r>
          </w:p>
        </w:tc>
        <w:tc>
          <w:tcPr>
            <w:tcW w:w="5670" w:type="dxa"/>
            <w:vAlign w:val="center"/>
          </w:tcPr>
          <w:p w14:paraId="6E579153" w14:textId="20F639C5" w:rsidR="004C2312" w:rsidRPr="00683985" w:rsidRDefault="00D15554" w:rsidP="002625EA">
            <w:pPr>
              <w:jc w:val="both"/>
              <w:rPr>
                <w:rFonts w:ascii="Cambria" w:hAnsi="Cambria"/>
                <w:bCs/>
                <w:sz w:val="20"/>
                <w:szCs w:val="20"/>
                <w:lang w:val="es-ES"/>
              </w:rPr>
            </w:pPr>
            <w:r w:rsidRPr="00683985">
              <w:rPr>
                <w:rFonts w:ascii="Cambria" w:hAnsi="Cambria"/>
                <w:bCs/>
                <w:sz w:val="20"/>
                <w:szCs w:val="20"/>
                <w:lang w:val="es-ES"/>
              </w:rPr>
              <w:t>23 de marzo de 2014</w:t>
            </w:r>
          </w:p>
        </w:tc>
      </w:tr>
      <w:tr w:rsidR="004C2312" w:rsidRPr="00683985" w14:paraId="1BDCD5C6" w14:textId="77777777" w:rsidTr="00E90B29">
        <w:tc>
          <w:tcPr>
            <w:tcW w:w="3577" w:type="dxa"/>
            <w:tcBorders>
              <w:top w:val="single" w:sz="6" w:space="0" w:color="auto"/>
              <w:bottom w:val="single" w:sz="6" w:space="0" w:color="auto"/>
            </w:tcBorders>
            <w:shd w:val="clear" w:color="auto" w:fill="386294"/>
            <w:vAlign w:val="center"/>
          </w:tcPr>
          <w:p w14:paraId="7A18664F" w14:textId="53CE1B14" w:rsidR="004C2312" w:rsidRPr="00683985" w:rsidRDefault="004A6A54" w:rsidP="000C1C69">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N</w:t>
            </w:r>
            <w:r w:rsidR="004C2312" w:rsidRPr="00683985">
              <w:rPr>
                <w:rFonts w:ascii="Cambria" w:hAnsi="Cambria"/>
                <w:b/>
                <w:color w:val="FFFFFF" w:themeColor="background1"/>
                <w:sz w:val="20"/>
                <w:szCs w:val="20"/>
                <w:lang w:val="es-ES"/>
              </w:rPr>
              <w:t>otificación de la petición</w:t>
            </w:r>
          </w:p>
        </w:tc>
        <w:tc>
          <w:tcPr>
            <w:tcW w:w="5670" w:type="dxa"/>
            <w:vAlign w:val="center"/>
          </w:tcPr>
          <w:p w14:paraId="1519DA6A" w14:textId="59206323" w:rsidR="004C2312" w:rsidRPr="00683985" w:rsidRDefault="00CC395D" w:rsidP="008D2290">
            <w:pPr>
              <w:jc w:val="both"/>
              <w:rPr>
                <w:rFonts w:ascii="Cambria" w:hAnsi="Cambria"/>
                <w:bCs/>
                <w:sz w:val="20"/>
                <w:szCs w:val="20"/>
                <w:lang w:val="es-ES"/>
              </w:rPr>
            </w:pPr>
            <w:r w:rsidRPr="00683985">
              <w:rPr>
                <w:rFonts w:ascii="Cambria" w:hAnsi="Cambria"/>
                <w:bCs/>
                <w:sz w:val="20"/>
                <w:szCs w:val="20"/>
                <w:lang w:val="es-ES"/>
              </w:rPr>
              <w:t>17 de noviembre de 2015</w:t>
            </w:r>
          </w:p>
        </w:tc>
      </w:tr>
      <w:tr w:rsidR="00F06354" w:rsidRPr="00683985" w14:paraId="6147A8D5" w14:textId="77777777" w:rsidTr="00E90B29">
        <w:tc>
          <w:tcPr>
            <w:tcW w:w="3577" w:type="dxa"/>
            <w:tcBorders>
              <w:top w:val="single" w:sz="6" w:space="0" w:color="auto"/>
              <w:bottom w:val="single" w:sz="6" w:space="0" w:color="auto"/>
            </w:tcBorders>
            <w:shd w:val="clear" w:color="auto" w:fill="386294"/>
            <w:vAlign w:val="center"/>
          </w:tcPr>
          <w:p w14:paraId="0201C86D" w14:textId="678B514E" w:rsidR="00F06354" w:rsidRPr="00683985" w:rsidRDefault="00D77503" w:rsidP="00F06354">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Primera respuesta del Estado</w:t>
            </w:r>
          </w:p>
        </w:tc>
        <w:tc>
          <w:tcPr>
            <w:tcW w:w="5670" w:type="dxa"/>
            <w:vAlign w:val="center"/>
          </w:tcPr>
          <w:p w14:paraId="1972B99E" w14:textId="5C5933E9" w:rsidR="00F06354" w:rsidRPr="00683985" w:rsidRDefault="00DC2D8C" w:rsidP="00F06354">
            <w:pPr>
              <w:jc w:val="both"/>
              <w:rPr>
                <w:rFonts w:ascii="Cambria" w:hAnsi="Cambria"/>
                <w:bCs/>
                <w:sz w:val="20"/>
                <w:szCs w:val="20"/>
                <w:lang w:val="es-ES"/>
              </w:rPr>
            </w:pPr>
            <w:r w:rsidRPr="00683985">
              <w:rPr>
                <w:rFonts w:ascii="Cambria" w:hAnsi="Cambria"/>
                <w:bCs/>
                <w:sz w:val="20"/>
                <w:szCs w:val="20"/>
                <w:lang w:val="es-ES"/>
              </w:rPr>
              <w:t>20 de diciembre de 2016</w:t>
            </w:r>
          </w:p>
        </w:tc>
      </w:tr>
      <w:tr w:rsidR="00F06354" w:rsidRPr="002C551D" w14:paraId="322668B6" w14:textId="77777777" w:rsidTr="00E90B29">
        <w:tc>
          <w:tcPr>
            <w:tcW w:w="3577" w:type="dxa"/>
            <w:tcBorders>
              <w:top w:val="single" w:sz="6" w:space="0" w:color="auto"/>
              <w:bottom w:val="single" w:sz="6" w:space="0" w:color="auto"/>
            </w:tcBorders>
            <w:shd w:val="clear" w:color="auto" w:fill="386294"/>
            <w:vAlign w:val="center"/>
          </w:tcPr>
          <w:p w14:paraId="1524DA55" w14:textId="2EFC7BC3" w:rsidR="00F06354" w:rsidRPr="00683985" w:rsidRDefault="00F06354" w:rsidP="00F06354">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Observaciones adicionales de</w:t>
            </w:r>
            <w:r w:rsidR="00D77503" w:rsidRPr="00683985">
              <w:rPr>
                <w:rFonts w:ascii="Cambria" w:hAnsi="Cambria"/>
                <w:b/>
                <w:color w:val="FFFFFF" w:themeColor="background1"/>
                <w:sz w:val="20"/>
                <w:szCs w:val="20"/>
                <w:lang w:val="es-ES"/>
              </w:rPr>
              <w:t xml:space="preserve"> la parte peticionaria</w:t>
            </w:r>
          </w:p>
        </w:tc>
        <w:tc>
          <w:tcPr>
            <w:tcW w:w="5670" w:type="dxa"/>
            <w:vAlign w:val="center"/>
          </w:tcPr>
          <w:p w14:paraId="41D8B862" w14:textId="4B8AEBFC" w:rsidR="00F06354" w:rsidRPr="00683985" w:rsidRDefault="00DC2D8C" w:rsidP="00D77503">
            <w:pPr>
              <w:jc w:val="both"/>
              <w:rPr>
                <w:rFonts w:ascii="Cambria" w:hAnsi="Cambria"/>
                <w:bCs/>
                <w:sz w:val="20"/>
                <w:szCs w:val="20"/>
                <w:lang w:val="es-ES"/>
              </w:rPr>
            </w:pPr>
            <w:r w:rsidRPr="00683985">
              <w:rPr>
                <w:rFonts w:ascii="Cambria" w:hAnsi="Cambria"/>
                <w:bCs/>
                <w:sz w:val="20"/>
                <w:szCs w:val="20"/>
                <w:lang w:val="es-ES"/>
              </w:rPr>
              <w:t>24 de octubre de 2016</w:t>
            </w:r>
            <w:r w:rsidR="00FC71C8" w:rsidRPr="00683985">
              <w:rPr>
                <w:rFonts w:ascii="Cambria" w:hAnsi="Cambria"/>
                <w:bCs/>
                <w:sz w:val="20"/>
                <w:szCs w:val="20"/>
                <w:lang w:val="es-ES"/>
              </w:rPr>
              <w:t xml:space="preserve">; </w:t>
            </w:r>
            <w:r w:rsidR="00683985">
              <w:rPr>
                <w:rFonts w:ascii="Cambria" w:hAnsi="Cambria"/>
                <w:bCs/>
                <w:sz w:val="20"/>
                <w:szCs w:val="20"/>
                <w:lang w:val="es-ES"/>
              </w:rPr>
              <w:t xml:space="preserve">y </w:t>
            </w:r>
            <w:r w:rsidR="00FC71C8" w:rsidRPr="00683985">
              <w:rPr>
                <w:rFonts w:ascii="Cambria" w:hAnsi="Cambria"/>
                <w:bCs/>
                <w:sz w:val="20"/>
                <w:szCs w:val="20"/>
                <w:lang w:val="es-ES"/>
              </w:rPr>
              <w:t>13 de febrero y 25 de octubre de 2017</w:t>
            </w:r>
          </w:p>
        </w:tc>
      </w:tr>
      <w:tr w:rsidR="00F06354" w:rsidRPr="002C551D" w14:paraId="291ACE7A" w14:textId="77777777" w:rsidTr="00E90B29">
        <w:tc>
          <w:tcPr>
            <w:tcW w:w="3577" w:type="dxa"/>
            <w:tcBorders>
              <w:top w:val="single" w:sz="6" w:space="0" w:color="auto"/>
              <w:bottom w:val="single" w:sz="6" w:space="0" w:color="auto"/>
            </w:tcBorders>
            <w:shd w:val="clear" w:color="auto" w:fill="386294"/>
            <w:vAlign w:val="center"/>
          </w:tcPr>
          <w:p w14:paraId="068BD12F" w14:textId="44332F68" w:rsidR="00F06354" w:rsidRPr="00683985" w:rsidRDefault="00F06354" w:rsidP="00F06354">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Obser</w:t>
            </w:r>
            <w:r w:rsidR="00D77503" w:rsidRPr="00683985">
              <w:rPr>
                <w:rFonts w:ascii="Cambria" w:hAnsi="Cambria"/>
                <w:b/>
                <w:color w:val="FFFFFF" w:themeColor="background1"/>
                <w:sz w:val="20"/>
                <w:szCs w:val="20"/>
                <w:lang w:val="es-ES"/>
              </w:rPr>
              <w:t>vaciones adicionales del Estado</w:t>
            </w:r>
          </w:p>
        </w:tc>
        <w:tc>
          <w:tcPr>
            <w:tcW w:w="5670" w:type="dxa"/>
            <w:vAlign w:val="center"/>
          </w:tcPr>
          <w:p w14:paraId="3CE49AFE" w14:textId="4E1FC8E7" w:rsidR="00F06354" w:rsidRPr="00683985" w:rsidRDefault="00FC71C8" w:rsidP="00F06354">
            <w:pPr>
              <w:jc w:val="both"/>
              <w:rPr>
                <w:rFonts w:ascii="Cambria" w:hAnsi="Cambria"/>
                <w:bCs/>
                <w:sz w:val="20"/>
                <w:szCs w:val="20"/>
                <w:lang w:val="es-ES"/>
              </w:rPr>
            </w:pPr>
            <w:r w:rsidRPr="00683985">
              <w:rPr>
                <w:rFonts w:ascii="Cambria" w:hAnsi="Cambria"/>
                <w:bCs/>
                <w:sz w:val="20"/>
                <w:szCs w:val="20"/>
                <w:lang w:val="es-ES"/>
              </w:rPr>
              <w:t>22 de mayo de 2017</w:t>
            </w:r>
            <w:r w:rsidR="00CB08ED" w:rsidRPr="00683985">
              <w:rPr>
                <w:rFonts w:ascii="Cambria" w:hAnsi="Cambria"/>
                <w:bCs/>
                <w:sz w:val="20"/>
                <w:szCs w:val="20"/>
                <w:lang w:val="es-ES"/>
              </w:rPr>
              <w:t xml:space="preserve"> y 6 de junio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3239B8" w:rsidRPr="00683985" w14:paraId="072532AD" w14:textId="77777777" w:rsidTr="00E90B29">
        <w:trPr>
          <w:cantSplit/>
        </w:trPr>
        <w:tc>
          <w:tcPr>
            <w:tcW w:w="3577" w:type="dxa"/>
            <w:tcBorders>
              <w:top w:val="single" w:sz="4" w:space="0" w:color="auto"/>
              <w:bottom w:val="single" w:sz="6" w:space="0" w:color="auto"/>
            </w:tcBorders>
            <w:shd w:val="clear" w:color="auto" w:fill="386294"/>
            <w:vAlign w:val="center"/>
          </w:tcPr>
          <w:p w14:paraId="5C2E4B34" w14:textId="7281AAF8" w:rsidR="003239B8" w:rsidRPr="00683985" w:rsidRDefault="00D77503" w:rsidP="008D2290">
            <w:pPr>
              <w:jc w:val="center"/>
              <w:rPr>
                <w:rFonts w:ascii="Cambria" w:hAnsi="Cambria"/>
                <w:b/>
                <w:i/>
                <w:color w:val="FFFFFF" w:themeColor="background1"/>
                <w:sz w:val="20"/>
                <w:szCs w:val="20"/>
                <w:lang w:val="es-ES"/>
              </w:rPr>
            </w:pPr>
            <w:r w:rsidRPr="00683985">
              <w:rPr>
                <w:rFonts w:ascii="Cambria" w:hAnsi="Cambria"/>
                <w:b/>
                <w:i/>
                <w:color w:val="FFFFFF" w:themeColor="background1"/>
                <w:sz w:val="20"/>
                <w:szCs w:val="20"/>
                <w:lang w:val="es-ES"/>
              </w:rPr>
              <w:t>Ratione personae</w:t>
            </w:r>
          </w:p>
        </w:tc>
        <w:tc>
          <w:tcPr>
            <w:tcW w:w="5665" w:type="dxa"/>
            <w:vAlign w:val="center"/>
          </w:tcPr>
          <w:p w14:paraId="7707F3E9" w14:textId="5413C97E" w:rsidR="003239B8" w:rsidRPr="00683985" w:rsidRDefault="00253195" w:rsidP="008D2290">
            <w:pPr>
              <w:rPr>
                <w:rFonts w:ascii="Cambria" w:hAnsi="Cambria"/>
                <w:bCs/>
                <w:sz w:val="20"/>
                <w:szCs w:val="20"/>
                <w:lang w:val="es-ES"/>
              </w:rPr>
            </w:pPr>
            <w:r w:rsidRPr="00683985">
              <w:rPr>
                <w:rFonts w:ascii="Cambria" w:hAnsi="Cambria"/>
                <w:bCs/>
                <w:sz w:val="20"/>
                <w:szCs w:val="20"/>
                <w:lang w:val="es-ES"/>
              </w:rPr>
              <w:t>Sí</w:t>
            </w:r>
          </w:p>
        </w:tc>
      </w:tr>
      <w:tr w:rsidR="003239B8" w:rsidRPr="00683985" w14:paraId="4B8802DA" w14:textId="77777777" w:rsidTr="00E90B29">
        <w:trPr>
          <w:cantSplit/>
        </w:trPr>
        <w:tc>
          <w:tcPr>
            <w:tcW w:w="3577" w:type="dxa"/>
            <w:tcBorders>
              <w:top w:val="single" w:sz="6" w:space="0" w:color="auto"/>
              <w:bottom w:val="single" w:sz="6" w:space="0" w:color="auto"/>
            </w:tcBorders>
            <w:shd w:val="clear" w:color="auto" w:fill="386294"/>
            <w:vAlign w:val="center"/>
          </w:tcPr>
          <w:p w14:paraId="3915C23B" w14:textId="629F623D" w:rsidR="003239B8" w:rsidRPr="00683985" w:rsidRDefault="003239B8" w:rsidP="00D77503">
            <w:pPr>
              <w:jc w:val="center"/>
              <w:rPr>
                <w:rFonts w:ascii="Cambria" w:hAnsi="Cambria"/>
                <w:b/>
                <w:color w:val="FFFFFF" w:themeColor="background1"/>
                <w:sz w:val="20"/>
                <w:szCs w:val="20"/>
                <w:lang w:val="es-ES"/>
              </w:rPr>
            </w:pPr>
            <w:r w:rsidRPr="00683985">
              <w:rPr>
                <w:rFonts w:ascii="Cambria" w:hAnsi="Cambria"/>
                <w:b/>
                <w:i/>
                <w:color w:val="FFFFFF" w:themeColor="background1"/>
                <w:sz w:val="20"/>
                <w:szCs w:val="20"/>
                <w:lang w:val="es-ES"/>
              </w:rPr>
              <w:t>Ratione loci</w:t>
            </w:r>
          </w:p>
        </w:tc>
        <w:tc>
          <w:tcPr>
            <w:tcW w:w="5665" w:type="dxa"/>
            <w:vAlign w:val="center"/>
          </w:tcPr>
          <w:p w14:paraId="12C931CB" w14:textId="40C87F4E" w:rsidR="003239B8" w:rsidRPr="00683985" w:rsidRDefault="00253195" w:rsidP="008D2290">
            <w:pPr>
              <w:rPr>
                <w:rFonts w:ascii="Cambria" w:hAnsi="Cambria"/>
                <w:bCs/>
                <w:sz w:val="20"/>
                <w:szCs w:val="20"/>
                <w:lang w:val="es-ES"/>
              </w:rPr>
            </w:pPr>
            <w:r w:rsidRPr="00683985">
              <w:rPr>
                <w:rFonts w:ascii="Cambria" w:hAnsi="Cambria"/>
                <w:bCs/>
                <w:sz w:val="20"/>
                <w:szCs w:val="20"/>
                <w:lang w:val="es-ES"/>
              </w:rPr>
              <w:t>Sí</w:t>
            </w:r>
          </w:p>
        </w:tc>
      </w:tr>
      <w:tr w:rsidR="003239B8" w:rsidRPr="00683985" w14:paraId="4362FDF3" w14:textId="77777777" w:rsidTr="00E90B29">
        <w:trPr>
          <w:cantSplit/>
        </w:trPr>
        <w:tc>
          <w:tcPr>
            <w:tcW w:w="3577" w:type="dxa"/>
            <w:tcBorders>
              <w:top w:val="single" w:sz="6" w:space="0" w:color="auto"/>
              <w:bottom w:val="single" w:sz="6" w:space="0" w:color="auto"/>
            </w:tcBorders>
            <w:shd w:val="clear" w:color="auto" w:fill="386294"/>
            <w:vAlign w:val="center"/>
          </w:tcPr>
          <w:p w14:paraId="3BE23153" w14:textId="1788B5D3" w:rsidR="003239B8" w:rsidRPr="00683985" w:rsidRDefault="003239B8" w:rsidP="008D2290">
            <w:pPr>
              <w:jc w:val="center"/>
              <w:rPr>
                <w:rFonts w:ascii="Cambria" w:hAnsi="Cambria"/>
                <w:b/>
                <w:color w:val="FFFFFF" w:themeColor="background1"/>
                <w:sz w:val="20"/>
                <w:szCs w:val="20"/>
                <w:lang w:val="es-ES"/>
              </w:rPr>
            </w:pPr>
            <w:r w:rsidRPr="00683985">
              <w:rPr>
                <w:rFonts w:ascii="Cambria" w:hAnsi="Cambria"/>
                <w:b/>
                <w:i/>
                <w:color w:val="FFFFFF" w:themeColor="background1"/>
                <w:sz w:val="20"/>
                <w:szCs w:val="20"/>
                <w:lang w:val="es-ES"/>
              </w:rPr>
              <w:t>Ratione temporis</w:t>
            </w:r>
          </w:p>
        </w:tc>
        <w:tc>
          <w:tcPr>
            <w:tcW w:w="5665" w:type="dxa"/>
            <w:vAlign w:val="center"/>
          </w:tcPr>
          <w:p w14:paraId="6F8B059B" w14:textId="3897AC54" w:rsidR="003239B8" w:rsidRPr="00683985" w:rsidRDefault="00253195" w:rsidP="008D2290">
            <w:pPr>
              <w:rPr>
                <w:rFonts w:ascii="Cambria" w:hAnsi="Cambria"/>
                <w:bCs/>
                <w:sz w:val="20"/>
                <w:szCs w:val="20"/>
                <w:lang w:val="es-ES"/>
              </w:rPr>
            </w:pPr>
            <w:r w:rsidRPr="00683985">
              <w:rPr>
                <w:rFonts w:ascii="Cambria" w:hAnsi="Cambria"/>
                <w:bCs/>
                <w:sz w:val="20"/>
                <w:szCs w:val="20"/>
                <w:lang w:val="es-ES"/>
              </w:rPr>
              <w:t>Sí</w:t>
            </w:r>
          </w:p>
        </w:tc>
      </w:tr>
      <w:tr w:rsidR="003239B8" w:rsidRPr="002C551D" w14:paraId="30ABEC3E" w14:textId="77777777" w:rsidTr="00E90B29">
        <w:trPr>
          <w:cantSplit/>
        </w:trPr>
        <w:tc>
          <w:tcPr>
            <w:tcW w:w="3577" w:type="dxa"/>
            <w:tcBorders>
              <w:top w:val="single" w:sz="6" w:space="0" w:color="auto"/>
              <w:bottom w:val="single" w:sz="6" w:space="0" w:color="auto"/>
            </w:tcBorders>
            <w:shd w:val="clear" w:color="auto" w:fill="386294"/>
            <w:vAlign w:val="center"/>
          </w:tcPr>
          <w:p w14:paraId="47B529D2" w14:textId="72B41633" w:rsidR="003239B8" w:rsidRPr="00683985" w:rsidRDefault="003239B8" w:rsidP="008D2290">
            <w:pPr>
              <w:jc w:val="center"/>
              <w:rPr>
                <w:rFonts w:ascii="Cambria" w:hAnsi="Cambria"/>
                <w:b/>
                <w:color w:val="FFFFFF" w:themeColor="background1"/>
                <w:sz w:val="20"/>
                <w:szCs w:val="20"/>
                <w:lang w:val="es-ES"/>
              </w:rPr>
            </w:pPr>
            <w:r w:rsidRPr="00683985">
              <w:rPr>
                <w:rFonts w:ascii="Cambria" w:hAnsi="Cambria"/>
                <w:b/>
                <w:i/>
                <w:color w:val="FFFFFF" w:themeColor="background1"/>
                <w:sz w:val="20"/>
                <w:szCs w:val="20"/>
                <w:lang w:val="es-ES"/>
              </w:rPr>
              <w:t>Ratione materia</w:t>
            </w:r>
            <w:r w:rsidR="00EE00E9" w:rsidRPr="00683985">
              <w:rPr>
                <w:rFonts w:ascii="Cambria" w:hAnsi="Cambria"/>
                <w:b/>
                <w:i/>
                <w:color w:val="FFFFFF" w:themeColor="background1"/>
                <w:sz w:val="20"/>
                <w:szCs w:val="20"/>
                <w:lang w:val="es-ES"/>
              </w:rPr>
              <w:t>e</w:t>
            </w:r>
          </w:p>
        </w:tc>
        <w:tc>
          <w:tcPr>
            <w:tcW w:w="5665" w:type="dxa"/>
            <w:vAlign w:val="center"/>
          </w:tcPr>
          <w:p w14:paraId="0C122F44" w14:textId="2CD4312F" w:rsidR="003239B8" w:rsidRPr="00683985" w:rsidRDefault="00253195" w:rsidP="008D2290">
            <w:pPr>
              <w:jc w:val="both"/>
              <w:rPr>
                <w:rFonts w:ascii="Cambria" w:hAnsi="Cambria"/>
                <w:bCs/>
                <w:sz w:val="20"/>
                <w:szCs w:val="20"/>
                <w:lang w:val="es-ES"/>
              </w:rPr>
            </w:pPr>
            <w:r w:rsidRPr="00683985">
              <w:rPr>
                <w:rFonts w:ascii="Cambria" w:hAnsi="Cambria"/>
                <w:bCs/>
                <w:sz w:val="20"/>
                <w:szCs w:val="20"/>
                <w:lang w:val="es-ES"/>
              </w:rPr>
              <w:t xml:space="preserve">Sí, Convención Americana de Derechos Humanos (depósito del instrumento </w:t>
            </w:r>
            <w:r w:rsidR="00683985">
              <w:rPr>
                <w:rFonts w:ascii="Cambria" w:hAnsi="Cambria"/>
                <w:bCs/>
                <w:sz w:val="20"/>
                <w:szCs w:val="20"/>
                <w:lang w:val="es-ES"/>
              </w:rPr>
              <w:t xml:space="preserve">de ratificación </w:t>
            </w:r>
            <w:r w:rsidRPr="00683985">
              <w:rPr>
                <w:rFonts w:ascii="Cambria" w:hAnsi="Cambria"/>
                <w:bCs/>
                <w:sz w:val="20"/>
                <w:szCs w:val="20"/>
                <w:lang w:val="es-ES"/>
              </w:rPr>
              <w:t xml:space="preserve">el 24 de agosto </w:t>
            </w:r>
            <w:r w:rsidR="00B84C70" w:rsidRPr="00683985">
              <w:rPr>
                <w:rFonts w:ascii="Cambria" w:hAnsi="Cambria"/>
                <w:bCs/>
                <w:sz w:val="20"/>
                <w:szCs w:val="20"/>
                <w:lang w:val="es-ES"/>
              </w:rPr>
              <w:t>de 1989)</w:t>
            </w:r>
            <w:r w:rsidR="00CB08ED" w:rsidRPr="00683985">
              <w:rPr>
                <w:rFonts w:ascii="Cambria" w:hAnsi="Cambria"/>
                <w:bCs/>
                <w:sz w:val="20"/>
                <w:szCs w:val="20"/>
                <w:lang w:val="es-ES"/>
              </w:rPr>
              <w:t>; Convención Interamericana para Prevenir y Sancionar la Tortura (depósito del instrumento</w:t>
            </w:r>
            <w:r w:rsidR="00683985">
              <w:rPr>
                <w:rFonts w:ascii="Cambria" w:hAnsi="Cambria"/>
                <w:bCs/>
                <w:sz w:val="20"/>
                <w:szCs w:val="20"/>
                <w:lang w:val="es-ES"/>
              </w:rPr>
              <w:t xml:space="preserve"> de ratificación</w:t>
            </w:r>
            <w:r w:rsidR="00CB08ED" w:rsidRPr="00683985">
              <w:rPr>
                <w:rFonts w:ascii="Cambria" w:hAnsi="Cambria"/>
                <w:bCs/>
                <w:sz w:val="20"/>
                <w:szCs w:val="20"/>
                <w:lang w:val="es-ES"/>
              </w:rPr>
              <w:t xml:space="preserve"> el 9 de marzo de 1990)</w:t>
            </w:r>
          </w:p>
        </w:tc>
      </w:tr>
    </w:tbl>
    <w:p w14:paraId="4E92C444" w14:textId="1FC645C5" w:rsidR="003239B8" w:rsidRPr="00006B74" w:rsidRDefault="003239B8" w:rsidP="00A32EBB">
      <w:pPr>
        <w:spacing w:before="120" w:after="120"/>
        <w:ind w:left="1440" w:hanging="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EE00E9" w:rsidRPr="00CC395D" w14:paraId="1231C988" w14:textId="77777777" w:rsidTr="00E90B29">
        <w:trPr>
          <w:cantSplit/>
        </w:trPr>
        <w:tc>
          <w:tcPr>
            <w:tcW w:w="3577" w:type="dxa"/>
            <w:tcBorders>
              <w:top w:val="single" w:sz="4" w:space="0" w:color="auto"/>
              <w:bottom w:val="single" w:sz="6" w:space="0" w:color="auto"/>
            </w:tcBorders>
            <w:shd w:val="clear" w:color="auto" w:fill="386294"/>
            <w:vAlign w:val="center"/>
          </w:tcPr>
          <w:p w14:paraId="6F8031F4" w14:textId="03D8D2D1" w:rsidR="00EE00E9" w:rsidRPr="00683985" w:rsidRDefault="00EE00E9" w:rsidP="00954B82">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 xml:space="preserve">Duplicación </w:t>
            </w:r>
            <w:r w:rsidR="00D77503" w:rsidRPr="00683985">
              <w:rPr>
                <w:rFonts w:ascii="Cambria" w:hAnsi="Cambria"/>
                <w:b/>
                <w:color w:val="FFFFFF" w:themeColor="background1"/>
                <w:sz w:val="20"/>
                <w:szCs w:val="20"/>
                <w:lang w:val="es-ES"/>
              </w:rPr>
              <w:t>y cosa juzgada internacional</w:t>
            </w:r>
          </w:p>
        </w:tc>
        <w:tc>
          <w:tcPr>
            <w:tcW w:w="5665" w:type="dxa"/>
            <w:vAlign w:val="center"/>
          </w:tcPr>
          <w:p w14:paraId="240941E6" w14:textId="6C8799BB" w:rsidR="00EE00E9" w:rsidRPr="00683985" w:rsidRDefault="00B84C70" w:rsidP="008D2290">
            <w:pPr>
              <w:jc w:val="both"/>
              <w:rPr>
                <w:rFonts w:ascii="Cambria" w:hAnsi="Cambria"/>
                <w:bCs/>
                <w:sz w:val="20"/>
                <w:szCs w:val="20"/>
                <w:lang w:val="es-ES"/>
              </w:rPr>
            </w:pPr>
            <w:r w:rsidRPr="00683985">
              <w:rPr>
                <w:rFonts w:ascii="Cambria" w:hAnsi="Cambria"/>
                <w:bCs/>
                <w:sz w:val="20"/>
                <w:szCs w:val="20"/>
                <w:lang w:val="es-ES"/>
              </w:rPr>
              <w:t>No</w:t>
            </w:r>
          </w:p>
        </w:tc>
      </w:tr>
      <w:tr w:rsidR="003239B8" w:rsidRPr="002C551D" w14:paraId="15FAA7D1" w14:textId="77777777" w:rsidTr="00E90B29">
        <w:trPr>
          <w:cantSplit/>
        </w:trPr>
        <w:tc>
          <w:tcPr>
            <w:tcW w:w="3577" w:type="dxa"/>
            <w:tcBorders>
              <w:top w:val="single" w:sz="4" w:space="0" w:color="auto"/>
              <w:bottom w:val="single" w:sz="6" w:space="0" w:color="auto"/>
            </w:tcBorders>
            <w:shd w:val="clear" w:color="auto" w:fill="386294"/>
            <w:vAlign w:val="center"/>
          </w:tcPr>
          <w:p w14:paraId="1B0D29FF" w14:textId="4FE01870" w:rsidR="003239B8" w:rsidRPr="00683985" w:rsidRDefault="003239B8" w:rsidP="00954B82">
            <w:pPr>
              <w:jc w:val="center"/>
              <w:rPr>
                <w:rFonts w:ascii="Cambria" w:hAnsi="Cambria"/>
                <w:b/>
                <w:i/>
                <w:color w:val="FFFFFF" w:themeColor="background1"/>
                <w:sz w:val="20"/>
                <w:szCs w:val="20"/>
                <w:lang w:val="es-ES"/>
              </w:rPr>
            </w:pPr>
            <w:r w:rsidRPr="00683985">
              <w:rPr>
                <w:rFonts w:ascii="Cambria" w:hAnsi="Cambria"/>
                <w:b/>
                <w:color w:val="FFFFFF" w:themeColor="background1"/>
                <w:sz w:val="20"/>
                <w:szCs w:val="20"/>
                <w:lang w:val="es-ES"/>
              </w:rPr>
              <w:t>Derechos admi</w:t>
            </w:r>
            <w:r w:rsidR="00954B82" w:rsidRPr="00683985">
              <w:rPr>
                <w:rFonts w:ascii="Cambria" w:hAnsi="Cambria"/>
                <w:b/>
                <w:color w:val="FFFFFF" w:themeColor="background1"/>
                <w:sz w:val="20"/>
                <w:szCs w:val="20"/>
                <w:lang w:val="es-ES"/>
              </w:rPr>
              <w:t>tidos</w:t>
            </w:r>
          </w:p>
        </w:tc>
        <w:tc>
          <w:tcPr>
            <w:tcW w:w="5665" w:type="dxa"/>
            <w:vAlign w:val="center"/>
          </w:tcPr>
          <w:p w14:paraId="6310C8F7" w14:textId="7DA88E7F" w:rsidR="003239B8" w:rsidRPr="00683985" w:rsidRDefault="00B84C70" w:rsidP="001479C0">
            <w:pPr>
              <w:jc w:val="both"/>
              <w:rPr>
                <w:rFonts w:ascii="Cambria" w:hAnsi="Cambria"/>
                <w:bCs/>
                <w:sz w:val="20"/>
                <w:szCs w:val="20"/>
                <w:lang w:val="es-ES"/>
              </w:rPr>
            </w:pPr>
            <w:r w:rsidRPr="00683985">
              <w:rPr>
                <w:rFonts w:ascii="Cambria" w:hAnsi="Cambria"/>
                <w:bCs/>
                <w:sz w:val="20"/>
                <w:szCs w:val="20"/>
                <w:lang w:val="es-ES"/>
              </w:rPr>
              <w:t>Artículo</w:t>
            </w:r>
            <w:r w:rsidR="00CB08ED" w:rsidRPr="00683985">
              <w:rPr>
                <w:rFonts w:ascii="Cambria" w:hAnsi="Cambria"/>
                <w:bCs/>
                <w:sz w:val="20"/>
                <w:szCs w:val="20"/>
                <w:lang w:val="es-ES"/>
              </w:rPr>
              <w:t xml:space="preserve">s </w:t>
            </w:r>
            <w:r w:rsidR="00683985" w:rsidRPr="00683985">
              <w:rPr>
                <w:rFonts w:ascii="Cambria" w:hAnsi="Cambria"/>
                <w:bCs/>
                <w:sz w:val="20"/>
                <w:szCs w:val="20"/>
                <w:lang w:val="es-ES"/>
              </w:rPr>
              <w:t>4 (vida)</w:t>
            </w:r>
            <w:r w:rsidR="00683985">
              <w:rPr>
                <w:rFonts w:ascii="Cambria" w:hAnsi="Cambria"/>
                <w:bCs/>
                <w:sz w:val="20"/>
                <w:szCs w:val="20"/>
                <w:lang w:val="es-ES"/>
              </w:rPr>
              <w:t>,</w:t>
            </w:r>
            <w:r w:rsidR="00683985" w:rsidRPr="00683985">
              <w:rPr>
                <w:rFonts w:ascii="Cambria" w:hAnsi="Cambria"/>
                <w:bCs/>
                <w:sz w:val="20"/>
                <w:szCs w:val="20"/>
                <w:lang w:val="es-ES"/>
              </w:rPr>
              <w:t xml:space="preserve"> 5 (integridad personal)</w:t>
            </w:r>
            <w:r w:rsidR="00683985">
              <w:rPr>
                <w:rFonts w:ascii="Cambria" w:hAnsi="Cambria"/>
                <w:bCs/>
                <w:sz w:val="20"/>
                <w:szCs w:val="20"/>
                <w:lang w:val="es-ES"/>
              </w:rPr>
              <w:t xml:space="preserve">, </w:t>
            </w:r>
            <w:r w:rsidR="00CB08ED" w:rsidRPr="00683985">
              <w:rPr>
                <w:rFonts w:ascii="Cambria" w:hAnsi="Cambria"/>
                <w:bCs/>
                <w:sz w:val="20"/>
                <w:szCs w:val="20"/>
                <w:lang w:val="es-ES"/>
              </w:rPr>
              <w:t>7 (libertad personal),</w:t>
            </w:r>
            <w:r w:rsidRPr="00683985">
              <w:rPr>
                <w:rFonts w:ascii="Cambria" w:hAnsi="Cambria"/>
                <w:bCs/>
                <w:sz w:val="20"/>
                <w:szCs w:val="20"/>
                <w:lang w:val="es-ES"/>
              </w:rPr>
              <w:t xml:space="preserve"> 8 (garantías judiciales)</w:t>
            </w:r>
            <w:r w:rsidR="00CB08ED" w:rsidRPr="00683985">
              <w:rPr>
                <w:rFonts w:ascii="Cambria" w:hAnsi="Cambria"/>
                <w:bCs/>
                <w:sz w:val="20"/>
                <w:szCs w:val="20"/>
                <w:lang w:val="es-ES"/>
              </w:rPr>
              <w:t xml:space="preserve"> y 25 (protección judicial)</w:t>
            </w:r>
            <w:r w:rsidRPr="00683985">
              <w:rPr>
                <w:rFonts w:ascii="Cambria" w:hAnsi="Cambria"/>
                <w:bCs/>
                <w:sz w:val="20"/>
                <w:szCs w:val="20"/>
                <w:lang w:val="es-ES"/>
              </w:rPr>
              <w:t xml:space="preserve"> de la Convención Americana</w:t>
            </w:r>
            <w:r w:rsidR="00683985">
              <w:rPr>
                <w:rFonts w:ascii="Cambria" w:hAnsi="Cambria"/>
                <w:bCs/>
                <w:sz w:val="20"/>
                <w:szCs w:val="20"/>
                <w:lang w:val="es-ES"/>
              </w:rPr>
              <w:t>,</w:t>
            </w:r>
            <w:r w:rsidRPr="00683985">
              <w:rPr>
                <w:rFonts w:ascii="Cambria" w:hAnsi="Cambria"/>
                <w:bCs/>
                <w:sz w:val="20"/>
                <w:szCs w:val="20"/>
                <w:lang w:val="es-ES"/>
              </w:rPr>
              <w:t xml:space="preserve"> en relación con su artículo 1.1 (obligación de respetar los derechos)</w:t>
            </w:r>
            <w:r w:rsidR="00CB08ED" w:rsidRPr="00683985">
              <w:rPr>
                <w:rFonts w:ascii="Cambria" w:hAnsi="Cambria"/>
                <w:bCs/>
                <w:sz w:val="20"/>
                <w:szCs w:val="20"/>
                <w:lang w:val="es-ES"/>
              </w:rPr>
              <w:t xml:space="preserve">; </w:t>
            </w:r>
            <w:r w:rsidR="00BD3C64" w:rsidRPr="00683985">
              <w:rPr>
                <w:rFonts w:ascii="Cambria" w:hAnsi="Cambria"/>
                <w:bCs/>
                <w:sz w:val="20"/>
                <w:szCs w:val="20"/>
                <w:lang w:val="es-ES"/>
              </w:rPr>
              <w:t>y artículos 1, 6 y 8 de la Convención Interamericana para Prevenir y Sancionar la Tortura</w:t>
            </w:r>
          </w:p>
        </w:tc>
      </w:tr>
      <w:tr w:rsidR="003239B8" w:rsidRPr="002C551D" w14:paraId="4EFD141E" w14:textId="77777777" w:rsidTr="00E90B29">
        <w:trPr>
          <w:cantSplit/>
        </w:trPr>
        <w:tc>
          <w:tcPr>
            <w:tcW w:w="3577" w:type="dxa"/>
            <w:tcBorders>
              <w:top w:val="single" w:sz="6" w:space="0" w:color="auto"/>
              <w:bottom w:val="single" w:sz="6" w:space="0" w:color="auto"/>
            </w:tcBorders>
            <w:shd w:val="clear" w:color="auto" w:fill="386294"/>
            <w:vAlign w:val="center"/>
          </w:tcPr>
          <w:p w14:paraId="4C04A89C" w14:textId="058482B9" w:rsidR="003239B8" w:rsidRPr="00683985" w:rsidRDefault="003239B8" w:rsidP="006775AB">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Agotamiento de</w:t>
            </w:r>
            <w:r w:rsidR="0069402E" w:rsidRPr="00683985">
              <w:rPr>
                <w:rFonts w:ascii="Cambria" w:hAnsi="Cambria"/>
                <w:b/>
                <w:color w:val="FFFFFF" w:themeColor="background1"/>
                <w:sz w:val="20"/>
                <w:szCs w:val="20"/>
                <w:lang w:val="es-ES"/>
              </w:rPr>
              <w:t xml:space="preserve"> </w:t>
            </w:r>
            <w:r w:rsidRPr="00683985">
              <w:rPr>
                <w:rFonts w:ascii="Cambria" w:hAnsi="Cambria"/>
                <w:b/>
                <w:color w:val="FFFFFF" w:themeColor="background1"/>
                <w:sz w:val="20"/>
                <w:szCs w:val="20"/>
                <w:lang w:val="es-ES"/>
              </w:rPr>
              <w:t xml:space="preserve">recursos </w:t>
            </w:r>
            <w:r w:rsidR="00D77503" w:rsidRPr="00683985">
              <w:rPr>
                <w:rFonts w:ascii="Cambria" w:hAnsi="Cambria"/>
                <w:b/>
                <w:color w:val="FFFFFF" w:themeColor="background1"/>
                <w:sz w:val="20"/>
                <w:szCs w:val="20"/>
                <w:lang w:val="es-ES"/>
              </w:rPr>
              <w:t>o procedencia de una excepción</w:t>
            </w:r>
          </w:p>
        </w:tc>
        <w:tc>
          <w:tcPr>
            <w:tcW w:w="5665" w:type="dxa"/>
            <w:vAlign w:val="center"/>
          </w:tcPr>
          <w:p w14:paraId="69C53E8A" w14:textId="03D8E6E3" w:rsidR="003239B8" w:rsidRPr="00683985" w:rsidRDefault="00B84C70" w:rsidP="00BB3FBD">
            <w:pPr>
              <w:rPr>
                <w:rFonts w:ascii="Cambria" w:hAnsi="Cambria"/>
                <w:bCs/>
                <w:sz w:val="20"/>
                <w:szCs w:val="20"/>
                <w:lang w:val="es-ES"/>
              </w:rPr>
            </w:pPr>
            <w:r w:rsidRPr="00683985">
              <w:rPr>
                <w:rFonts w:ascii="Cambria" w:hAnsi="Cambria"/>
                <w:bCs/>
                <w:sz w:val="20"/>
                <w:szCs w:val="20"/>
                <w:lang w:val="es-ES"/>
              </w:rPr>
              <w:t xml:space="preserve">Sí, </w:t>
            </w:r>
            <w:r w:rsidR="00BD3C64" w:rsidRPr="00683985">
              <w:rPr>
                <w:rFonts w:ascii="Cambria" w:hAnsi="Cambria"/>
                <w:bCs/>
                <w:sz w:val="20"/>
                <w:szCs w:val="20"/>
                <w:lang w:val="es-ES"/>
              </w:rPr>
              <w:t>en los términos de la Sección VI</w:t>
            </w:r>
          </w:p>
        </w:tc>
      </w:tr>
      <w:tr w:rsidR="003239B8" w:rsidRPr="002C551D" w14:paraId="52B5BA17" w14:textId="77777777" w:rsidTr="00E90B29">
        <w:trPr>
          <w:cantSplit/>
        </w:trPr>
        <w:tc>
          <w:tcPr>
            <w:tcW w:w="3577" w:type="dxa"/>
            <w:tcBorders>
              <w:top w:val="single" w:sz="6" w:space="0" w:color="auto"/>
              <w:bottom w:val="single" w:sz="6" w:space="0" w:color="auto"/>
            </w:tcBorders>
            <w:shd w:val="clear" w:color="auto" w:fill="386294"/>
            <w:vAlign w:val="center"/>
          </w:tcPr>
          <w:p w14:paraId="5DF99086" w14:textId="392A0ECF" w:rsidR="003239B8" w:rsidRPr="00683985" w:rsidRDefault="00D77503" w:rsidP="008D2290">
            <w:pPr>
              <w:jc w:val="center"/>
              <w:rPr>
                <w:rFonts w:ascii="Cambria" w:hAnsi="Cambria"/>
                <w:b/>
                <w:color w:val="FFFFFF" w:themeColor="background1"/>
                <w:sz w:val="20"/>
                <w:szCs w:val="20"/>
                <w:lang w:val="es-ES"/>
              </w:rPr>
            </w:pPr>
            <w:r w:rsidRPr="00683985">
              <w:rPr>
                <w:rFonts w:ascii="Cambria" w:hAnsi="Cambria"/>
                <w:b/>
                <w:color w:val="FFFFFF" w:themeColor="background1"/>
                <w:sz w:val="20"/>
                <w:szCs w:val="20"/>
                <w:lang w:val="es-ES"/>
              </w:rPr>
              <w:t>Presentación dentro de plazo</w:t>
            </w:r>
          </w:p>
        </w:tc>
        <w:tc>
          <w:tcPr>
            <w:tcW w:w="5665" w:type="dxa"/>
            <w:vAlign w:val="center"/>
          </w:tcPr>
          <w:p w14:paraId="4A2A4569" w14:textId="00F5CF03" w:rsidR="003239B8" w:rsidRPr="00683985" w:rsidRDefault="00D0051F" w:rsidP="008D2290">
            <w:pPr>
              <w:rPr>
                <w:rFonts w:ascii="Cambria" w:hAnsi="Cambria"/>
                <w:bCs/>
                <w:sz w:val="20"/>
                <w:szCs w:val="20"/>
                <w:lang w:val="es-ES"/>
              </w:rPr>
            </w:pPr>
            <w:r w:rsidRPr="00683985">
              <w:rPr>
                <w:rFonts w:ascii="Cambria" w:hAnsi="Cambria"/>
                <w:bCs/>
                <w:sz w:val="20"/>
                <w:szCs w:val="20"/>
                <w:lang w:val="es-ES"/>
              </w:rPr>
              <w:t xml:space="preserve">Sí, </w:t>
            </w:r>
            <w:r w:rsidR="00BD3C64" w:rsidRPr="00683985">
              <w:rPr>
                <w:rFonts w:ascii="Cambria" w:hAnsi="Cambria"/>
                <w:bCs/>
                <w:sz w:val="20"/>
                <w:szCs w:val="20"/>
                <w:lang w:val="es-ES"/>
              </w:rPr>
              <w:t>en los términos de la Sección VI</w:t>
            </w:r>
          </w:p>
        </w:tc>
      </w:tr>
    </w:tbl>
    <w:p w14:paraId="4AB3A199" w14:textId="77777777" w:rsidR="004F42D9" w:rsidRDefault="004F42D9" w:rsidP="00012432">
      <w:pPr>
        <w:ind w:firstLine="720"/>
        <w:jc w:val="both"/>
        <w:rPr>
          <w:rFonts w:asciiTheme="majorHAnsi" w:hAnsiTheme="majorHAnsi"/>
          <w:b/>
          <w:sz w:val="20"/>
          <w:szCs w:val="20"/>
          <w:lang w:val="es-ES"/>
        </w:rPr>
      </w:pPr>
    </w:p>
    <w:p w14:paraId="2D2796E7" w14:textId="77777777" w:rsidR="004F42D9" w:rsidRDefault="004F42D9">
      <w:pPr>
        <w:rPr>
          <w:rFonts w:asciiTheme="majorHAnsi" w:hAnsiTheme="majorHAnsi"/>
          <w:b/>
          <w:sz w:val="20"/>
          <w:szCs w:val="20"/>
          <w:lang w:val="es-ES"/>
        </w:rPr>
      </w:pPr>
      <w:r>
        <w:rPr>
          <w:rFonts w:asciiTheme="majorHAnsi" w:hAnsiTheme="majorHAnsi"/>
          <w:b/>
          <w:sz w:val="20"/>
          <w:szCs w:val="20"/>
          <w:lang w:val="es-ES"/>
        </w:rPr>
        <w:br w:type="page"/>
      </w:r>
    </w:p>
    <w:p w14:paraId="18E6423B" w14:textId="684B55CD" w:rsidR="003239B8" w:rsidRPr="00BC4C33" w:rsidRDefault="00223A29" w:rsidP="00012432">
      <w:pPr>
        <w:ind w:firstLine="720"/>
        <w:jc w:val="both"/>
        <w:rPr>
          <w:rFonts w:asciiTheme="majorHAnsi" w:hAnsiTheme="majorHAnsi"/>
          <w:b/>
          <w:sz w:val="20"/>
          <w:szCs w:val="20"/>
          <w:lang w:val="es-ES"/>
        </w:rPr>
      </w:pPr>
      <w:r w:rsidRPr="00BC4C33">
        <w:rPr>
          <w:rFonts w:asciiTheme="majorHAnsi" w:hAnsiTheme="majorHAnsi"/>
          <w:b/>
          <w:sz w:val="20"/>
          <w:szCs w:val="20"/>
          <w:lang w:val="es-ES"/>
        </w:rPr>
        <w:lastRenderedPageBreak/>
        <w:t xml:space="preserve">V. </w:t>
      </w:r>
      <w:r w:rsidRPr="00BC4C33">
        <w:rPr>
          <w:rFonts w:asciiTheme="majorHAnsi" w:hAnsiTheme="majorHAnsi"/>
          <w:b/>
          <w:sz w:val="20"/>
          <w:szCs w:val="20"/>
          <w:lang w:val="es-ES"/>
        </w:rPr>
        <w:tab/>
      </w:r>
      <w:r w:rsidR="0034224A" w:rsidRPr="00BC4C33">
        <w:rPr>
          <w:rFonts w:asciiTheme="majorHAnsi" w:hAnsiTheme="majorHAnsi"/>
          <w:b/>
          <w:sz w:val="20"/>
          <w:szCs w:val="20"/>
          <w:lang w:val="es-ES"/>
        </w:rPr>
        <w:t>RESUMEN DE LOS HECHOS ALEGADOS</w:t>
      </w:r>
    </w:p>
    <w:p w14:paraId="192474AF" w14:textId="77777777" w:rsidR="00012432" w:rsidRPr="00BC4C33" w:rsidRDefault="00012432" w:rsidP="00012432">
      <w:pPr>
        <w:ind w:firstLine="720"/>
        <w:jc w:val="both"/>
        <w:rPr>
          <w:rFonts w:asciiTheme="majorHAnsi" w:hAnsiTheme="majorHAnsi"/>
          <w:b/>
          <w:sz w:val="20"/>
          <w:szCs w:val="20"/>
          <w:lang w:val="es-ES"/>
        </w:rPr>
      </w:pPr>
    </w:p>
    <w:p w14:paraId="6FCBB224" w14:textId="71E1FEBC" w:rsidR="008F3148" w:rsidRPr="00BC4C33" w:rsidRDefault="00683985"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L</w:t>
      </w:r>
      <w:r w:rsidR="004F42D9">
        <w:rPr>
          <w:rFonts w:asciiTheme="majorHAnsi" w:hAnsiTheme="majorHAnsi"/>
          <w:sz w:val="20"/>
          <w:szCs w:val="20"/>
          <w:lang w:val="es-ES"/>
        </w:rPr>
        <w:t>a parte</w:t>
      </w:r>
      <w:r w:rsidRPr="00BC4C33">
        <w:rPr>
          <w:rFonts w:asciiTheme="majorHAnsi" w:hAnsiTheme="majorHAnsi"/>
          <w:sz w:val="20"/>
          <w:szCs w:val="20"/>
          <w:lang w:val="es-ES"/>
        </w:rPr>
        <w:t xml:space="preserve"> peticionari</w:t>
      </w:r>
      <w:r w:rsidR="004F42D9">
        <w:rPr>
          <w:rFonts w:asciiTheme="majorHAnsi" w:hAnsiTheme="majorHAnsi"/>
          <w:sz w:val="20"/>
          <w:szCs w:val="20"/>
          <w:lang w:val="es-ES"/>
        </w:rPr>
        <w:t>a</w:t>
      </w:r>
      <w:r w:rsidR="00D23703" w:rsidRPr="00BC4C33">
        <w:rPr>
          <w:rFonts w:asciiTheme="majorHAnsi" w:hAnsiTheme="majorHAnsi"/>
          <w:sz w:val="20"/>
          <w:szCs w:val="20"/>
          <w:lang w:val="es-ES"/>
        </w:rPr>
        <w:t xml:space="preserve"> denuncia violaciones </w:t>
      </w:r>
      <w:r w:rsidR="004F42D9">
        <w:rPr>
          <w:rFonts w:asciiTheme="majorHAnsi" w:hAnsiTheme="majorHAnsi"/>
          <w:sz w:val="20"/>
          <w:szCs w:val="20"/>
          <w:lang w:val="es-ES"/>
        </w:rPr>
        <w:t>de</w:t>
      </w:r>
      <w:r w:rsidR="00D23703" w:rsidRPr="00BC4C33">
        <w:rPr>
          <w:rFonts w:asciiTheme="majorHAnsi" w:hAnsiTheme="majorHAnsi"/>
          <w:sz w:val="20"/>
          <w:szCs w:val="20"/>
          <w:lang w:val="es-ES"/>
        </w:rPr>
        <w:t xml:space="preserve"> derechos humanos </w:t>
      </w:r>
      <w:r w:rsidR="004F42D9">
        <w:rPr>
          <w:rFonts w:asciiTheme="majorHAnsi" w:hAnsiTheme="majorHAnsi"/>
          <w:sz w:val="20"/>
          <w:szCs w:val="20"/>
          <w:lang w:val="es-ES"/>
        </w:rPr>
        <w:t xml:space="preserve">en perjuicio </w:t>
      </w:r>
      <w:r w:rsidR="00D23703" w:rsidRPr="00BC4C33">
        <w:rPr>
          <w:rFonts w:asciiTheme="majorHAnsi" w:hAnsiTheme="majorHAnsi"/>
          <w:sz w:val="20"/>
          <w:szCs w:val="20"/>
          <w:lang w:val="es-ES"/>
        </w:rPr>
        <w:t xml:space="preserve">de </w:t>
      </w:r>
      <w:r w:rsidRPr="00BC4C33">
        <w:rPr>
          <w:rFonts w:asciiTheme="majorHAnsi" w:hAnsiTheme="majorHAnsi"/>
          <w:sz w:val="20"/>
          <w:szCs w:val="20"/>
          <w:lang w:val="es-ES"/>
        </w:rPr>
        <w:t>once</w:t>
      </w:r>
      <w:r w:rsidR="00D23703" w:rsidRPr="00BC4C33">
        <w:rPr>
          <w:rFonts w:asciiTheme="majorHAnsi" w:hAnsiTheme="majorHAnsi"/>
          <w:sz w:val="20"/>
          <w:szCs w:val="20"/>
          <w:lang w:val="es-ES"/>
        </w:rPr>
        <w:t xml:space="preserve"> personas </w:t>
      </w:r>
      <w:r w:rsidR="004F42D9">
        <w:rPr>
          <w:rFonts w:asciiTheme="majorHAnsi" w:hAnsiTheme="majorHAnsi"/>
          <w:sz w:val="20"/>
          <w:szCs w:val="20"/>
          <w:lang w:val="es-ES"/>
        </w:rPr>
        <w:t xml:space="preserve">que habrían sido </w:t>
      </w:r>
      <w:r w:rsidR="00D23703" w:rsidRPr="00BC4C33">
        <w:rPr>
          <w:rFonts w:asciiTheme="majorHAnsi" w:hAnsiTheme="majorHAnsi"/>
          <w:sz w:val="20"/>
          <w:szCs w:val="20"/>
          <w:lang w:val="es-ES"/>
        </w:rPr>
        <w:t>sometid</w:t>
      </w:r>
      <w:r w:rsidR="004F42D9">
        <w:rPr>
          <w:rFonts w:asciiTheme="majorHAnsi" w:hAnsiTheme="majorHAnsi"/>
          <w:sz w:val="20"/>
          <w:szCs w:val="20"/>
          <w:lang w:val="es-ES"/>
        </w:rPr>
        <w:t>as</w:t>
      </w:r>
      <w:r w:rsidR="00E95A1D" w:rsidRPr="00BC4C33">
        <w:rPr>
          <w:rFonts w:asciiTheme="majorHAnsi" w:hAnsiTheme="majorHAnsi"/>
          <w:sz w:val="20"/>
          <w:szCs w:val="20"/>
          <w:lang w:val="es-ES"/>
        </w:rPr>
        <w:t xml:space="preserve"> a</w:t>
      </w:r>
      <w:r w:rsidR="00070B26" w:rsidRPr="00BC4C33">
        <w:rPr>
          <w:rFonts w:asciiTheme="majorHAnsi" w:hAnsiTheme="majorHAnsi"/>
          <w:sz w:val="20"/>
          <w:szCs w:val="20"/>
          <w:lang w:val="es-ES"/>
        </w:rPr>
        <w:t xml:space="preserve"> persecución penal arbitraria sin respeto al debido proceso</w:t>
      </w:r>
      <w:r w:rsidR="004F42D9">
        <w:rPr>
          <w:rFonts w:asciiTheme="majorHAnsi" w:hAnsiTheme="majorHAnsi"/>
          <w:sz w:val="20"/>
          <w:szCs w:val="20"/>
          <w:lang w:val="es-ES"/>
        </w:rPr>
        <w:t xml:space="preserve"> en torno a los hechos del llamado “Caso Curuguaty”</w:t>
      </w:r>
      <w:r w:rsidR="00070B26" w:rsidRPr="00BC4C33">
        <w:rPr>
          <w:rFonts w:asciiTheme="majorHAnsi" w:hAnsiTheme="majorHAnsi"/>
          <w:sz w:val="20"/>
          <w:szCs w:val="20"/>
          <w:lang w:val="es-ES"/>
        </w:rPr>
        <w:t xml:space="preserve">. </w:t>
      </w:r>
      <w:r w:rsidR="005F51F5" w:rsidRPr="00BC4C33">
        <w:rPr>
          <w:rFonts w:asciiTheme="majorHAnsi" w:hAnsiTheme="majorHAnsi"/>
          <w:sz w:val="20"/>
          <w:szCs w:val="20"/>
          <w:lang w:val="es-ES"/>
        </w:rPr>
        <w:t>A</w:t>
      </w:r>
      <w:r w:rsidR="004F42D9">
        <w:rPr>
          <w:rFonts w:asciiTheme="majorHAnsi" w:hAnsiTheme="majorHAnsi"/>
          <w:sz w:val="20"/>
          <w:szCs w:val="20"/>
          <w:lang w:val="es-ES"/>
        </w:rPr>
        <w:t xml:space="preserve">simismo, alega </w:t>
      </w:r>
      <w:r w:rsidR="00070B26" w:rsidRPr="00BC4C33">
        <w:rPr>
          <w:rFonts w:asciiTheme="majorHAnsi" w:hAnsiTheme="majorHAnsi"/>
          <w:sz w:val="20"/>
          <w:szCs w:val="20"/>
          <w:lang w:val="es-ES"/>
        </w:rPr>
        <w:t>que agentes del Estado cometieron</w:t>
      </w:r>
      <w:r w:rsidR="00E95A1D" w:rsidRPr="00BC4C33">
        <w:rPr>
          <w:rFonts w:asciiTheme="majorHAnsi" w:hAnsiTheme="majorHAnsi"/>
          <w:sz w:val="20"/>
          <w:szCs w:val="20"/>
          <w:lang w:val="es-ES"/>
        </w:rPr>
        <w:t xml:space="preserve"> actos de tortura,</w:t>
      </w:r>
      <w:r w:rsidR="00070B26" w:rsidRPr="00BC4C33">
        <w:rPr>
          <w:rFonts w:asciiTheme="majorHAnsi" w:hAnsiTheme="majorHAnsi"/>
          <w:sz w:val="20"/>
          <w:szCs w:val="20"/>
          <w:lang w:val="es-ES"/>
        </w:rPr>
        <w:t xml:space="preserve"> ejecuciones extrajudiciales y desapariciones forzadas que no ha</w:t>
      </w:r>
      <w:r w:rsidR="004667C6" w:rsidRPr="00BC4C33">
        <w:rPr>
          <w:rFonts w:asciiTheme="majorHAnsi" w:hAnsiTheme="majorHAnsi"/>
          <w:sz w:val="20"/>
          <w:szCs w:val="20"/>
          <w:lang w:val="es-ES"/>
        </w:rPr>
        <w:t>brían</w:t>
      </w:r>
      <w:r w:rsidR="00070B26" w:rsidRPr="00BC4C33">
        <w:rPr>
          <w:rFonts w:asciiTheme="majorHAnsi" w:hAnsiTheme="majorHAnsi"/>
          <w:sz w:val="20"/>
          <w:szCs w:val="20"/>
          <w:lang w:val="es-ES"/>
        </w:rPr>
        <w:t xml:space="preserve"> sido sancionadas ni investigadas con diligencia</w:t>
      </w:r>
      <w:r w:rsidR="005F51F5" w:rsidRPr="00BC4C33">
        <w:rPr>
          <w:rFonts w:asciiTheme="majorHAnsi" w:hAnsiTheme="majorHAnsi"/>
          <w:sz w:val="20"/>
          <w:szCs w:val="20"/>
          <w:lang w:val="es-ES"/>
        </w:rPr>
        <w:t>,</w:t>
      </w:r>
      <w:r w:rsidR="00070B26" w:rsidRPr="00BC4C33">
        <w:rPr>
          <w:rFonts w:asciiTheme="majorHAnsi" w:hAnsiTheme="majorHAnsi"/>
          <w:sz w:val="20"/>
          <w:szCs w:val="20"/>
          <w:lang w:val="es-ES"/>
        </w:rPr>
        <w:t xml:space="preserve"> pese a haber sido oportunamente denunciadas. </w:t>
      </w:r>
    </w:p>
    <w:p w14:paraId="75AC0E79" w14:textId="77777777" w:rsidR="00012432" w:rsidRPr="00BC4C33" w:rsidRDefault="00012432"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0C44FAC" w14:textId="2BB24617" w:rsidR="00012432" w:rsidRPr="00BC4C33" w:rsidRDefault="004F42D9"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El relato de la parte peticionaria señala </w:t>
      </w:r>
      <w:r w:rsidR="005F51F5" w:rsidRPr="00BC4C33">
        <w:rPr>
          <w:rFonts w:asciiTheme="majorHAnsi" w:hAnsiTheme="majorHAnsi"/>
          <w:sz w:val="20"/>
          <w:szCs w:val="20"/>
          <w:lang w:val="es-ES"/>
        </w:rPr>
        <w:t>que</w:t>
      </w:r>
      <w:r w:rsidR="00506F44" w:rsidRPr="00BC4C33">
        <w:rPr>
          <w:rFonts w:asciiTheme="majorHAnsi" w:hAnsiTheme="majorHAnsi"/>
          <w:sz w:val="20"/>
          <w:szCs w:val="20"/>
          <w:lang w:val="es-ES"/>
        </w:rPr>
        <w:t xml:space="preserve"> el 15 de junio de 2012 </w:t>
      </w:r>
      <w:r>
        <w:rPr>
          <w:rFonts w:asciiTheme="majorHAnsi" w:hAnsiTheme="majorHAnsi"/>
          <w:sz w:val="20"/>
          <w:szCs w:val="20"/>
          <w:lang w:val="es-ES"/>
        </w:rPr>
        <w:t xml:space="preserve">un grupo de </w:t>
      </w:r>
      <w:r w:rsidRPr="00BC4C33">
        <w:rPr>
          <w:rFonts w:asciiTheme="majorHAnsi" w:hAnsiTheme="majorHAnsi"/>
          <w:sz w:val="20"/>
          <w:szCs w:val="20"/>
          <w:lang w:val="es-ES"/>
        </w:rPr>
        <w:t>policías</w:t>
      </w:r>
      <w:r w:rsidR="00506F44" w:rsidRPr="00BC4C33">
        <w:rPr>
          <w:rFonts w:asciiTheme="majorHAnsi" w:hAnsiTheme="majorHAnsi"/>
          <w:sz w:val="20"/>
          <w:szCs w:val="20"/>
          <w:lang w:val="es-ES"/>
        </w:rPr>
        <w:t xml:space="preserve"> </w:t>
      </w:r>
      <w:r>
        <w:rPr>
          <w:rFonts w:asciiTheme="majorHAnsi" w:hAnsiTheme="majorHAnsi"/>
          <w:sz w:val="20"/>
          <w:szCs w:val="20"/>
          <w:lang w:val="es-ES"/>
        </w:rPr>
        <w:t xml:space="preserve">que actuaban </w:t>
      </w:r>
      <w:r w:rsidRPr="00BC4C33">
        <w:rPr>
          <w:rFonts w:asciiTheme="majorHAnsi" w:hAnsiTheme="majorHAnsi"/>
          <w:sz w:val="20"/>
          <w:szCs w:val="20"/>
          <w:lang w:val="es-ES"/>
        </w:rPr>
        <w:t xml:space="preserve">bajo las órdenes de un equipo </w:t>
      </w:r>
      <w:r>
        <w:rPr>
          <w:rFonts w:asciiTheme="majorHAnsi" w:hAnsiTheme="majorHAnsi"/>
          <w:sz w:val="20"/>
          <w:szCs w:val="20"/>
          <w:lang w:val="es-ES"/>
        </w:rPr>
        <w:t xml:space="preserve">de </w:t>
      </w:r>
      <w:r w:rsidRPr="00BC4C33">
        <w:rPr>
          <w:rFonts w:asciiTheme="majorHAnsi" w:hAnsiTheme="majorHAnsi"/>
          <w:sz w:val="20"/>
          <w:szCs w:val="20"/>
          <w:lang w:val="es-ES"/>
        </w:rPr>
        <w:t>fiscal</w:t>
      </w:r>
      <w:r>
        <w:rPr>
          <w:rFonts w:asciiTheme="majorHAnsi" w:hAnsiTheme="majorHAnsi"/>
          <w:sz w:val="20"/>
          <w:szCs w:val="20"/>
          <w:lang w:val="es-ES"/>
        </w:rPr>
        <w:t>es</w:t>
      </w:r>
      <w:r w:rsidRPr="00BC4C33">
        <w:rPr>
          <w:rFonts w:asciiTheme="majorHAnsi" w:hAnsiTheme="majorHAnsi"/>
          <w:sz w:val="20"/>
          <w:szCs w:val="20"/>
          <w:lang w:val="es-ES"/>
        </w:rPr>
        <w:t xml:space="preserve"> </w:t>
      </w:r>
      <w:r w:rsidR="00506F44" w:rsidRPr="00BC4C33">
        <w:rPr>
          <w:rFonts w:asciiTheme="majorHAnsi" w:hAnsiTheme="majorHAnsi"/>
          <w:sz w:val="20"/>
          <w:szCs w:val="20"/>
          <w:lang w:val="es-ES"/>
        </w:rPr>
        <w:t>ejecut</w:t>
      </w:r>
      <w:r>
        <w:rPr>
          <w:rFonts w:asciiTheme="majorHAnsi" w:hAnsiTheme="majorHAnsi"/>
          <w:sz w:val="20"/>
          <w:szCs w:val="20"/>
          <w:lang w:val="es-ES"/>
        </w:rPr>
        <w:t>ó</w:t>
      </w:r>
      <w:r w:rsidR="00506F44" w:rsidRPr="00BC4C33">
        <w:rPr>
          <w:rFonts w:asciiTheme="majorHAnsi" w:hAnsiTheme="majorHAnsi"/>
          <w:sz w:val="20"/>
          <w:szCs w:val="20"/>
          <w:lang w:val="es-ES"/>
        </w:rPr>
        <w:t xml:space="preserve"> una orden de allanamiento dictada por un juez penal. La orden </w:t>
      </w:r>
      <w:r w:rsidR="00F55597" w:rsidRPr="00BC4C33">
        <w:rPr>
          <w:rFonts w:asciiTheme="majorHAnsi" w:hAnsiTheme="majorHAnsi"/>
          <w:sz w:val="20"/>
          <w:szCs w:val="20"/>
          <w:lang w:val="es-ES"/>
        </w:rPr>
        <w:t>surgió</w:t>
      </w:r>
      <w:r w:rsidR="00506F44" w:rsidRPr="00BC4C33">
        <w:rPr>
          <w:rFonts w:asciiTheme="majorHAnsi" w:hAnsiTheme="majorHAnsi"/>
          <w:sz w:val="20"/>
          <w:szCs w:val="20"/>
          <w:lang w:val="es-ES"/>
        </w:rPr>
        <w:t xml:space="preserve"> de una solicitud de desalojo presentada por supuestos propietarios de una finca que había sido ocupada </w:t>
      </w:r>
      <w:r w:rsidR="008D597E" w:rsidRPr="00BC4C33">
        <w:rPr>
          <w:rFonts w:asciiTheme="majorHAnsi" w:hAnsiTheme="majorHAnsi"/>
          <w:sz w:val="20"/>
          <w:szCs w:val="20"/>
          <w:lang w:val="es-ES"/>
        </w:rPr>
        <w:t>por campesinos</w:t>
      </w:r>
      <w:r w:rsidR="0078365F">
        <w:rPr>
          <w:rFonts w:asciiTheme="majorHAnsi" w:hAnsiTheme="majorHAnsi"/>
          <w:sz w:val="20"/>
          <w:szCs w:val="20"/>
          <w:lang w:val="es-ES"/>
        </w:rPr>
        <w:t>;</w:t>
      </w:r>
      <w:r>
        <w:rPr>
          <w:rFonts w:asciiTheme="majorHAnsi" w:hAnsiTheme="majorHAnsi"/>
          <w:sz w:val="20"/>
          <w:szCs w:val="20"/>
          <w:lang w:val="es-ES"/>
        </w:rPr>
        <w:t xml:space="preserve"> </w:t>
      </w:r>
      <w:r w:rsidR="0078365F">
        <w:rPr>
          <w:rFonts w:asciiTheme="majorHAnsi" w:hAnsiTheme="majorHAnsi"/>
          <w:sz w:val="20"/>
          <w:szCs w:val="20"/>
          <w:lang w:val="es-ES"/>
        </w:rPr>
        <w:t>estos</w:t>
      </w:r>
      <w:r w:rsidR="00506F44" w:rsidRPr="00BC4C33">
        <w:rPr>
          <w:rFonts w:asciiTheme="majorHAnsi" w:hAnsiTheme="majorHAnsi"/>
          <w:sz w:val="20"/>
          <w:szCs w:val="20"/>
          <w:lang w:val="es-ES"/>
        </w:rPr>
        <w:t xml:space="preserve"> argumentaban que </w:t>
      </w:r>
      <w:r w:rsidR="00F55597" w:rsidRPr="00BC4C33">
        <w:rPr>
          <w:rFonts w:asciiTheme="majorHAnsi" w:hAnsiTheme="majorHAnsi"/>
          <w:sz w:val="20"/>
          <w:szCs w:val="20"/>
          <w:lang w:val="es-ES"/>
        </w:rPr>
        <w:t xml:space="preserve">la </w:t>
      </w:r>
      <w:r>
        <w:rPr>
          <w:rFonts w:asciiTheme="majorHAnsi" w:hAnsiTheme="majorHAnsi"/>
          <w:sz w:val="20"/>
          <w:szCs w:val="20"/>
          <w:lang w:val="es-ES"/>
        </w:rPr>
        <w:t xml:space="preserve">propiedad </w:t>
      </w:r>
      <w:r w:rsidR="00F55597" w:rsidRPr="00BC4C33">
        <w:rPr>
          <w:rFonts w:asciiTheme="majorHAnsi" w:hAnsiTheme="majorHAnsi"/>
          <w:sz w:val="20"/>
          <w:szCs w:val="20"/>
          <w:lang w:val="es-ES"/>
        </w:rPr>
        <w:t>era pública</w:t>
      </w:r>
      <w:r>
        <w:rPr>
          <w:rFonts w:asciiTheme="majorHAnsi" w:hAnsiTheme="majorHAnsi"/>
          <w:sz w:val="20"/>
          <w:szCs w:val="20"/>
          <w:lang w:val="es-ES"/>
        </w:rPr>
        <w:t>, ya que</w:t>
      </w:r>
      <w:r w:rsidR="00506F44" w:rsidRPr="00BC4C33">
        <w:rPr>
          <w:rFonts w:asciiTheme="majorHAnsi" w:hAnsiTheme="majorHAnsi"/>
          <w:sz w:val="20"/>
          <w:szCs w:val="20"/>
          <w:lang w:val="es-ES"/>
        </w:rPr>
        <w:t xml:space="preserve"> </w:t>
      </w:r>
      <w:r w:rsidRPr="00BC4C33">
        <w:rPr>
          <w:rFonts w:asciiTheme="majorHAnsi" w:hAnsiTheme="majorHAnsi"/>
          <w:sz w:val="20"/>
          <w:szCs w:val="20"/>
          <w:lang w:val="es-ES"/>
        </w:rPr>
        <w:t>pertenecí</w:t>
      </w:r>
      <w:r>
        <w:rPr>
          <w:rFonts w:asciiTheme="majorHAnsi" w:hAnsiTheme="majorHAnsi"/>
          <w:sz w:val="20"/>
          <w:szCs w:val="20"/>
          <w:lang w:val="es-ES"/>
        </w:rPr>
        <w:t xml:space="preserve">a </w:t>
      </w:r>
      <w:r w:rsidR="00F55597" w:rsidRPr="00BC4C33">
        <w:rPr>
          <w:rFonts w:asciiTheme="majorHAnsi" w:hAnsiTheme="majorHAnsi"/>
          <w:sz w:val="20"/>
          <w:szCs w:val="20"/>
          <w:lang w:val="es-ES"/>
        </w:rPr>
        <w:t xml:space="preserve">al </w:t>
      </w:r>
      <w:r w:rsidR="00506F44" w:rsidRPr="00BC4C33">
        <w:rPr>
          <w:rFonts w:asciiTheme="majorHAnsi" w:hAnsiTheme="majorHAnsi"/>
          <w:sz w:val="20"/>
          <w:szCs w:val="20"/>
          <w:lang w:val="es-ES"/>
        </w:rPr>
        <w:t>Instituto Nacional del Desarrollo Rural y de la Tierra (INDERT)</w:t>
      </w:r>
      <w:r w:rsidR="00F55597" w:rsidRPr="00BC4C33">
        <w:rPr>
          <w:rFonts w:asciiTheme="majorHAnsi" w:hAnsiTheme="majorHAnsi"/>
          <w:sz w:val="20"/>
          <w:szCs w:val="20"/>
          <w:lang w:val="es-ES"/>
        </w:rPr>
        <w:t xml:space="preserve">. </w:t>
      </w:r>
      <w:r>
        <w:rPr>
          <w:rFonts w:asciiTheme="majorHAnsi" w:hAnsiTheme="majorHAnsi"/>
          <w:sz w:val="20"/>
          <w:szCs w:val="20"/>
          <w:lang w:val="es-ES"/>
        </w:rPr>
        <w:t>Antes de dicha fecha</w:t>
      </w:r>
      <w:r w:rsidR="00F55597" w:rsidRPr="00BC4C33">
        <w:rPr>
          <w:rFonts w:asciiTheme="majorHAnsi" w:hAnsiTheme="majorHAnsi"/>
          <w:sz w:val="20"/>
          <w:szCs w:val="20"/>
          <w:lang w:val="es-ES"/>
        </w:rPr>
        <w:t xml:space="preserve"> ya se habían suscitado controversias </w:t>
      </w:r>
      <w:r w:rsidR="008D597E" w:rsidRPr="00BC4C33">
        <w:rPr>
          <w:rFonts w:asciiTheme="majorHAnsi" w:hAnsiTheme="majorHAnsi"/>
          <w:sz w:val="20"/>
          <w:szCs w:val="20"/>
          <w:lang w:val="es-ES"/>
        </w:rPr>
        <w:t>debido a</w:t>
      </w:r>
      <w:r w:rsidR="00F55597" w:rsidRPr="00BC4C33">
        <w:rPr>
          <w:rFonts w:asciiTheme="majorHAnsi" w:hAnsiTheme="majorHAnsi"/>
          <w:sz w:val="20"/>
          <w:szCs w:val="20"/>
          <w:lang w:val="es-ES"/>
        </w:rPr>
        <w:t xml:space="preserve"> que las autoridades fiscales pretendían ejecutar desalojos a solicitud de los supuestos propietarios</w:t>
      </w:r>
      <w:r w:rsidR="008D597E" w:rsidRPr="00BC4C33">
        <w:rPr>
          <w:rFonts w:asciiTheme="majorHAnsi" w:hAnsiTheme="majorHAnsi"/>
          <w:sz w:val="20"/>
          <w:szCs w:val="20"/>
          <w:lang w:val="es-ES"/>
        </w:rPr>
        <w:t>,</w:t>
      </w:r>
      <w:r w:rsidR="00F55597" w:rsidRPr="00BC4C33">
        <w:rPr>
          <w:rFonts w:asciiTheme="majorHAnsi" w:hAnsiTheme="majorHAnsi"/>
          <w:sz w:val="20"/>
          <w:szCs w:val="20"/>
          <w:lang w:val="es-ES"/>
        </w:rPr>
        <w:t xml:space="preserve"> mientras que el INDERT </w:t>
      </w:r>
      <w:r>
        <w:rPr>
          <w:rFonts w:asciiTheme="majorHAnsi" w:hAnsiTheme="majorHAnsi"/>
          <w:sz w:val="20"/>
          <w:szCs w:val="20"/>
          <w:lang w:val="es-ES"/>
        </w:rPr>
        <w:t xml:space="preserve">afirmaba que las tierras le pertenecían y </w:t>
      </w:r>
      <w:r w:rsidR="00F55597" w:rsidRPr="00BC4C33">
        <w:rPr>
          <w:rFonts w:asciiTheme="majorHAnsi" w:hAnsiTheme="majorHAnsi"/>
          <w:sz w:val="20"/>
          <w:szCs w:val="20"/>
          <w:lang w:val="es-ES"/>
        </w:rPr>
        <w:t xml:space="preserve">reclamaba la suspensión de </w:t>
      </w:r>
      <w:r w:rsidR="003D0ADD">
        <w:rPr>
          <w:rFonts w:asciiTheme="majorHAnsi" w:hAnsiTheme="majorHAnsi"/>
          <w:sz w:val="20"/>
          <w:szCs w:val="20"/>
          <w:lang w:val="es-ES"/>
        </w:rPr>
        <w:t>tales acciones</w:t>
      </w:r>
      <w:r w:rsidR="00F55597" w:rsidRPr="00BC4C33">
        <w:rPr>
          <w:rFonts w:asciiTheme="majorHAnsi" w:hAnsiTheme="majorHAnsi"/>
          <w:sz w:val="20"/>
          <w:szCs w:val="20"/>
          <w:lang w:val="es-ES"/>
        </w:rPr>
        <w:t xml:space="preserve">. El operativo de 15 de junio de 2012 contó </w:t>
      </w:r>
      <w:r w:rsidR="003D0ADD">
        <w:rPr>
          <w:rFonts w:asciiTheme="majorHAnsi" w:hAnsiTheme="majorHAnsi"/>
          <w:sz w:val="20"/>
          <w:szCs w:val="20"/>
          <w:lang w:val="es-ES"/>
        </w:rPr>
        <w:t xml:space="preserve">la participación de </w:t>
      </w:r>
      <w:r w:rsidR="00F55597" w:rsidRPr="00BC4C33">
        <w:rPr>
          <w:rFonts w:asciiTheme="majorHAnsi" w:hAnsiTheme="majorHAnsi"/>
          <w:sz w:val="20"/>
          <w:szCs w:val="20"/>
          <w:lang w:val="es-ES"/>
        </w:rPr>
        <w:t xml:space="preserve">más de </w:t>
      </w:r>
      <w:r w:rsidR="008D597E" w:rsidRPr="00BC4C33">
        <w:rPr>
          <w:rFonts w:asciiTheme="majorHAnsi" w:hAnsiTheme="majorHAnsi"/>
          <w:sz w:val="20"/>
          <w:szCs w:val="20"/>
          <w:lang w:val="es-ES"/>
        </w:rPr>
        <w:t>trescientos</w:t>
      </w:r>
      <w:r w:rsidR="00F55597" w:rsidRPr="00BC4C33">
        <w:rPr>
          <w:rFonts w:asciiTheme="majorHAnsi" w:hAnsiTheme="majorHAnsi"/>
          <w:sz w:val="20"/>
          <w:szCs w:val="20"/>
          <w:lang w:val="es-ES"/>
        </w:rPr>
        <w:t xml:space="preserve"> </w:t>
      </w:r>
      <w:r w:rsidR="003D0ADD" w:rsidRPr="00BC4C33">
        <w:rPr>
          <w:rFonts w:asciiTheme="majorHAnsi" w:hAnsiTheme="majorHAnsi"/>
          <w:sz w:val="20"/>
          <w:szCs w:val="20"/>
          <w:lang w:val="es-ES"/>
        </w:rPr>
        <w:t>policías</w:t>
      </w:r>
      <w:r w:rsidR="003D0ADD">
        <w:rPr>
          <w:rFonts w:asciiTheme="majorHAnsi" w:hAnsiTheme="majorHAnsi"/>
          <w:sz w:val="20"/>
          <w:szCs w:val="20"/>
          <w:lang w:val="es-ES"/>
        </w:rPr>
        <w:t>,</w:t>
      </w:r>
      <w:r w:rsidR="00F55597" w:rsidRPr="00BC4C33">
        <w:rPr>
          <w:rFonts w:asciiTheme="majorHAnsi" w:hAnsiTheme="majorHAnsi"/>
          <w:sz w:val="20"/>
          <w:szCs w:val="20"/>
          <w:lang w:val="es-ES"/>
        </w:rPr>
        <w:t xml:space="preserve"> qu</w:t>
      </w:r>
      <w:r w:rsidR="003D0ADD">
        <w:rPr>
          <w:rFonts w:asciiTheme="majorHAnsi" w:hAnsiTheme="majorHAnsi"/>
          <w:sz w:val="20"/>
          <w:szCs w:val="20"/>
          <w:lang w:val="es-ES"/>
        </w:rPr>
        <w:t>e</w:t>
      </w:r>
      <w:r w:rsidR="00F55597" w:rsidRPr="00BC4C33">
        <w:rPr>
          <w:rFonts w:asciiTheme="majorHAnsi" w:hAnsiTheme="majorHAnsi"/>
          <w:sz w:val="20"/>
          <w:szCs w:val="20"/>
          <w:lang w:val="es-ES"/>
        </w:rPr>
        <w:t xml:space="preserve"> debieron negociar la salida de </w:t>
      </w:r>
      <w:r w:rsidR="003D0ADD">
        <w:rPr>
          <w:rFonts w:asciiTheme="majorHAnsi" w:hAnsiTheme="majorHAnsi"/>
          <w:sz w:val="20"/>
          <w:szCs w:val="20"/>
          <w:lang w:val="es-ES"/>
        </w:rPr>
        <w:t>unos</w:t>
      </w:r>
      <w:r w:rsidR="00F55597" w:rsidRPr="00BC4C33">
        <w:rPr>
          <w:rFonts w:asciiTheme="majorHAnsi" w:hAnsiTheme="majorHAnsi"/>
          <w:sz w:val="20"/>
          <w:szCs w:val="20"/>
          <w:lang w:val="es-ES"/>
        </w:rPr>
        <w:t xml:space="preserve"> </w:t>
      </w:r>
      <w:r w:rsidR="008D597E" w:rsidRPr="00BC4C33">
        <w:rPr>
          <w:rFonts w:asciiTheme="majorHAnsi" w:hAnsiTheme="majorHAnsi"/>
          <w:sz w:val="20"/>
          <w:szCs w:val="20"/>
          <w:lang w:val="es-ES"/>
        </w:rPr>
        <w:t>sesenta</w:t>
      </w:r>
      <w:r w:rsidR="00F55597" w:rsidRPr="00BC4C33">
        <w:rPr>
          <w:rFonts w:asciiTheme="majorHAnsi" w:hAnsiTheme="majorHAnsi"/>
          <w:sz w:val="20"/>
          <w:szCs w:val="20"/>
          <w:lang w:val="es-ES"/>
        </w:rPr>
        <w:t xml:space="preserve"> </w:t>
      </w:r>
      <w:r w:rsidR="008D597E" w:rsidRPr="00BC4C33">
        <w:rPr>
          <w:rFonts w:asciiTheme="majorHAnsi" w:hAnsiTheme="majorHAnsi"/>
          <w:sz w:val="20"/>
          <w:szCs w:val="20"/>
          <w:lang w:val="es-ES"/>
        </w:rPr>
        <w:t>campesinos</w:t>
      </w:r>
      <w:r w:rsidR="00F55597" w:rsidRPr="00BC4C33">
        <w:rPr>
          <w:rFonts w:asciiTheme="majorHAnsi" w:hAnsiTheme="majorHAnsi"/>
          <w:sz w:val="20"/>
          <w:szCs w:val="20"/>
          <w:lang w:val="es-ES"/>
        </w:rPr>
        <w:t xml:space="preserve">. El desenlace del operativo fue la muerte de </w:t>
      </w:r>
      <w:r w:rsidR="008D597E" w:rsidRPr="00BC4C33">
        <w:rPr>
          <w:rFonts w:asciiTheme="majorHAnsi" w:hAnsiTheme="majorHAnsi"/>
          <w:sz w:val="20"/>
          <w:szCs w:val="20"/>
          <w:lang w:val="es-ES"/>
        </w:rPr>
        <w:t>once</w:t>
      </w:r>
      <w:r w:rsidR="00F55597" w:rsidRPr="00BC4C33">
        <w:rPr>
          <w:rFonts w:asciiTheme="majorHAnsi" w:hAnsiTheme="majorHAnsi"/>
          <w:sz w:val="20"/>
          <w:szCs w:val="20"/>
          <w:lang w:val="es-ES"/>
        </w:rPr>
        <w:t xml:space="preserve"> campesin</w:t>
      </w:r>
      <w:r w:rsidR="008D597E" w:rsidRPr="00BC4C33">
        <w:rPr>
          <w:rFonts w:asciiTheme="majorHAnsi" w:hAnsiTheme="majorHAnsi"/>
          <w:sz w:val="20"/>
          <w:szCs w:val="20"/>
          <w:lang w:val="es-ES"/>
        </w:rPr>
        <w:t>o</w:t>
      </w:r>
      <w:r w:rsidR="00F55597" w:rsidRPr="00BC4C33">
        <w:rPr>
          <w:rFonts w:asciiTheme="majorHAnsi" w:hAnsiTheme="majorHAnsi"/>
          <w:sz w:val="20"/>
          <w:szCs w:val="20"/>
          <w:lang w:val="es-ES"/>
        </w:rPr>
        <w:t xml:space="preserve">s y </w:t>
      </w:r>
      <w:r w:rsidR="008D597E" w:rsidRPr="00BC4C33">
        <w:rPr>
          <w:rFonts w:asciiTheme="majorHAnsi" w:hAnsiTheme="majorHAnsi"/>
          <w:sz w:val="20"/>
          <w:szCs w:val="20"/>
          <w:lang w:val="es-ES"/>
        </w:rPr>
        <w:t>seis</w:t>
      </w:r>
      <w:r w:rsidR="00F55597" w:rsidRPr="00BC4C33">
        <w:rPr>
          <w:rFonts w:asciiTheme="majorHAnsi" w:hAnsiTheme="majorHAnsi"/>
          <w:sz w:val="20"/>
          <w:szCs w:val="20"/>
          <w:lang w:val="es-ES"/>
        </w:rPr>
        <w:t xml:space="preserve"> policías</w:t>
      </w:r>
      <w:r w:rsidR="008D597E" w:rsidRPr="00BC4C33">
        <w:rPr>
          <w:rFonts w:asciiTheme="majorHAnsi" w:hAnsiTheme="majorHAnsi"/>
          <w:sz w:val="20"/>
          <w:szCs w:val="20"/>
          <w:lang w:val="es-ES"/>
        </w:rPr>
        <w:t>,</w:t>
      </w:r>
      <w:r w:rsidR="00F55597" w:rsidRPr="00BC4C33">
        <w:rPr>
          <w:rFonts w:asciiTheme="majorHAnsi" w:hAnsiTheme="majorHAnsi"/>
          <w:sz w:val="20"/>
          <w:szCs w:val="20"/>
          <w:lang w:val="es-ES"/>
        </w:rPr>
        <w:t xml:space="preserve"> además de muchas otras personas heridas</w:t>
      </w:r>
      <w:r w:rsidR="008D597E" w:rsidRPr="00BC4C33">
        <w:rPr>
          <w:rFonts w:asciiTheme="majorHAnsi" w:hAnsiTheme="majorHAnsi"/>
          <w:sz w:val="20"/>
          <w:szCs w:val="20"/>
          <w:lang w:val="es-ES"/>
        </w:rPr>
        <w:t>.</w:t>
      </w:r>
    </w:p>
    <w:p w14:paraId="353737C8" w14:textId="127D2CF4" w:rsidR="00F55597" w:rsidRPr="00BC4C33" w:rsidRDefault="00F55597" w:rsidP="007836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1F10DE5" w14:textId="59EFDAB8" w:rsidR="00BC3E25" w:rsidRPr="00BC4C33" w:rsidRDefault="006A2677"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La parte peticionaria denuncia que las investigaciones </w:t>
      </w:r>
      <w:r w:rsidR="008D597E" w:rsidRPr="00BC4C33">
        <w:rPr>
          <w:rFonts w:asciiTheme="majorHAnsi" w:hAnsiTheme="majorHAnsi"/>
          <w:sz w:val="20"/>
          <w:szCs w:val="20"/>
          <w:lang w:val="es-ES"/>
        </w:rPr>
        <w:t>iniciadas por la</w:t>
      </w:r>
      <w:r w:rsidRPr="00BC4C33">
        <w:rPr>
          <w:rFonts w:asciiTheme="majorHAnsi" w:hAnsiTheme="majorHAnsi"/>
          <w:sz w:val="20"/>
          <w:szCs w:val="20"/>
          <w:lang w:val="es-ES"/>
        </w:rPr>
        <w:t xml:space="preserve"> </w:t>
      </w:r>
      <w:r w:rsidR="00006710" w:rsidRPr="00BC4C33">
        <w:rPr>
          <w:rFonts w:asciiTheme="majorHAnsi" w:hAnsiTheme="majorHAnsi"/>
          <w:sz w:val="20"/>
          <w:szCs w:val="20"/>
          <w:lang w:val="es-ES"/>
        </w:rPr>
        <w:t>Fiscalía Zonal de Curuguaty</w:t>
      </w:r>
      <w:r w:rsidRPr="00BC4C33">
        <w:rPr>
          <w:rFonts w:asciiTheme="majorHAnsi" w:hAnsiTheme="majorHAnsi"/>
          <w:sz w:val="20"/>
          <w:szCs w:val="20"/>
          <w:lang w:val="es-ES"/>
        </w:rPr>
        <w:t xml:space="preserve"> </w:t>
      </w:r>
      <w:r w:rsidR="00006710" w:rsidRPr="00BC4C33">
        <w:rPr>
          <w:rFonts w:asciiTheme="majorHAnsi" w:hAnsiTheme="majorHAnsi"/>
          <w:sz w:val="20"/>
          <w:szCs w:val="20"/>
          <w:lang w:val="es-ES"/>
        </w:rPr>
        <w:t xml:space="preserve">se </w:t>
      </w:r>
      <w:r w:rsidRPr="00BC4C33">
        <w:rPr>
          <w:rFonts w:asciiTheme="majorHAnsi" w:hAnsiTheme="majorHAnsi"/>
          <w:sz w:val="20"/>
          <w:szCs w:val="20"/>
          <w:lang w:val="es-ES"/>
        </w:rPr>
        <w:t>llevaron de forma parcializada</w:t>
      </w:r>
      <w:r w:rsidR="003D0ADD">
        <w:rPr>
          <w:rFonts w:asciiTheme="majorHAnsi" w:hAnsiTheme="majorHAnsi"/>
          <w:sz w:val="20"/>
          <w:szCs w:val="20"/>
          <w:lang w:val="es-ES"/>
        </w:rPr>
        <w:t>;</w:t>
      </w:r>
      <w:r w:rsidRPr="00BC4C33">
        <w:rPr>
          <w:rFonts w:asciiTheme="majorHAnsi" w:hAnsiTheme="majorHAnsi"/>
          <w:sz w:val="20"/>
          <w:szCs w:val="20"/>
          <w:lang w:val="es-ES"/>
        </w:rPr>
        <w:t xml:space="preserve"> </w:t>
      </w:r>
      <w:r w:rsidR="003D0ADD">
        <w:rPr>
          <w:rFonts w:asciiTheme="majorHAnsi" w:hAnsiTheme="majorHAnsi"/>
          <w:sz w:val="20"/>
          <w:szCs w:val="20"/>
          <w:lang w:val="es-ES"/>
        </w:rPr>
        <w:t xml:space="preserve">que se </w:t>
      </w:r>
      <w:r w:rsidRPr="00BC4C33">
        <w:rPr>
          <w:rFonts w:asciiTheme="majorHAnsi" w:hAnsiTheme="majorHAnsi"/>
          <w:sz w:val="20"/>
          <w:szCs w:val="20"/>
          <w:lang w:val="es-ES"/>
        </w:rPr>
        <w:t>concentr</w:t>
      </w:r>
      <w:r w:rsidR="003D0ADD">
        <w:rPr>
          <w:rFonts w:asciiTheme="majorHAnsi" w:hAnsiTheme="majorHAnsi"/>
          <w:sz w:val="20"/>
          <w:szCs w:val="20"/>
          <w:lang w:val="es-ES"/>
        </w:rPr>
        <w:t>aron</w:t>
      </w:r>
      <w:r w:rsidRPr="00BC4C33">
        <w:rPr>
          <w:rFonts w:asciiTheme="majorHAnsi" w:hAnsiTheme="majorHAnsi"/>
          <w:sz w:val="20"/>
          <w:szCs w:val="20"/>
          <w:lang w:val="es-ES"/>
        </w:rPr>
        <w:t xml:space="preserve"> únicamente en responsabilizar penalmente al colectivo campesino</w:t>
      </w:r>
      <w:r w:rsidR="003D0ADD">
        <w:rPr>
          <w:rFonts w:asciiTheme="majorHAnsi" w:hAnsiTheme="majorHAnsi"/>
          <w:sz w:val="20"/>
          <w:szCs w:val="20"/>
          <w:lang w:val="es-ES"/>
        </w:rPr>
        <w:t>;</w:t>
      </w:r>
      <w:r w:rsidR="00107937" w:rsidRPr="00BC4C33">
        <w:rPr>
          <w:rFonts w:asciiTheme="majorHAnsi" w:hAnsiTheme="majorHAnsi"/>
          <w:sz w:val="20"/>
          <w:szCs w:val="20"/>
          <w:lang w:val="es-ES"/>
        </w:rPr>
        <w:t xml:space="preserve"> y</w:t>
      </w:r>
      <w:r w:rsidRPr="00BC4C33">
        <w:rPr>
          <w:rFonts w:asciiTheme="majorHAnsi" w:hAnsiTheme="majorHAnsi"/>
          <w:sz w:val="20"/>
          <w:szCs w:val="20"/>
          <w:lang w:val="es-ES"/>
        </w:rPr>
        <w:t xml:space="preserve"> </w:t>
      </w:r>
      <w:r w:rsidR="003D0ADD">
        <w:rPr>
          <w:rFonts w:asciiTheme="majorHAnsi" w:hAnsiTheme="majorHAnsi"/>
          <w:sz w:val="20"/>
          <w:szCs w:val="20"/>
          <w:lang w:val="es-ES"/>
        </w:rPr>
        <w:t xml:space="preserve">que </w:t>
      </w:r>
      <w:r w:rsidRPr="00BC4C33">
        <w:rPr>
          <w:rFonts w:asciiTheme="majorHAnsi" w:hAnsiTheme="majorHAnsi"/>
          <w:sz w:val="20"/>
          <w:szCs w:val="20"/>
          <w:lang w:val="es-ES"/>
        </w:rPr>
        <w:t>obvia</w:t>
      </w:r>
      <w:r w:rsidR="003D0ADD">
        <w:rPr>
          <w:rFonts w:asciiTheme="majorHAnsi" w:hAnsiTheme="majorHAnsi"/>
          <w:sz w:val="20"/>
          <w:szCs w:val="20"/>
          <w:lang w:val="es-ES"/>
        </w:rPr>
        <w:t>ron</w:t>
      </w:r>
      <w:r w:rsidRPr="00BC4C33">
        <w:rPr>
          <w:rFonts w:asciiTheme="majorHAnsi" w:hAnsiTheme="majorHAnsi"/>
          <w:sz w:val="20"/>
          <w:szCs w:val="20"/>
          <w:lang w:val="es-ES"/>
        </w:rPr>
        <w:t xml:space="preserve"> </w:t>
      </w:r>
      <w:r w:rsidR="00107937" w:rsidRPr="00BC4C33">
        <w:rPr>
          <w:rFonts w:asciiTheme="majorHAnsi" w:hAnsiTheme="majorHAnsi"/>
          <w:sz w:val="20"/>
          <w:szCs w:val="20"/>
          <w:lang w:val="es-ES"/>
        </w:rPr>
        <w:t xml:space="preserve">investigar el accionar policial y las actuaciones de la </w:t>
      </w:r>
      <w:r w:rsidR="00CE7F0A" w:rsidRPr="00BC4C33">
        <w:rPr>
          <w:rFonts w:asciiTheme="majorHAnsi" w:hAnsiTheme="majorHAnsi"/>
          <w:sz w:val="20"/>
          <w:szCs w:val="20"/>
          <w:lang w:val="es-ES"/>
        </w:rPr>
        <w:t>f</w:t>
      </w:r>
      <w:r w:rsidR="00107937" w:rsidRPr="00BC4C33">
        <w:rPr>
          <w:rFonts w:asciiTheme="majorHAnsi" w:hAnsiTheme="majorHAnsi"/>
          <w:sz w:val="20"/>
          <w:szCs w:val="20"/>
          <w:lang w:val="es-ES"/>
        </w:rPr>
        <w:t>iscalía y del juzgado que ordenó el allanamiento.</w:t>
      </w:r>
      <w:r w:rsidR="00F174C2" w:rsidRPr="00BC4C33">
        <w:rPr>
          <w:rFonts w:asciiTheme="majorHAnsi" w:hAnsiTheme="majorHAnsi"/>
          <w:sz w:val="20"/>
          <w:szCs w:val="20"/>
          <w:lang w:val="es-ES"/>
        </w:rPr>
        <w:t xml:space="preserve"> Las presuntas víctimas </w:t>
      </w:r>
      <w:r w:rsidR="003D0ADD">
        <w:rPr>
          <w:rFonts w:asciiTheme="majorHAnsi" w:hAnsiTheme="majorHAnsi"/>
          <w:sz w:val="20"/>
          <w:szCs w:val="20"/>
          <w:lang w:val="es-ES"/>
        </w:rPr>
        <w:t xml:space="preserve">son </w:t>
      </w:r>
      <w:r w:rsidR="00974326" w:rsidRPr="00BC4C33">
        <w:rPr>
          <w:rFonts w:asciiTheme="majorHAnsi" w:hAnsiTheme="majorHAnsi"/>
          <w:sz w:val="20"/>
          <w:szCs w:val="20"/>
          <w:lang w:val="es-ES"/>
        </w:rPr>
        <w:t>campesinos</w:t>
      </w:r>
      <w:r w:rsidR="00F174C2" w:rsidRPr="00BC4C33">
        <w:rPr>
          <w:rFonts w:asciiTheme="majorHAnsi" w:hAnsiTheme="majorHAnsi"/>
          <w:sz w:val="20"/>
          <w:szCs w:val="20"/>
          <w:lang w:val="es-ES"/>
        </w:rPr>
        <w:t xml:space="preserve"> </w:t>
      </w:r>
      <w:r w:rsidR="003D0ADD">
        <w:rPr>
          <w:rFonts w:asciiTheme="majorHAnsi" w:hAnsiTheme="majorHAnsi"/>
          <w:sz w:val="20"/>
          <w:szCs w:val="20"/>
          <w:lang w:val="es-ES"/>
        </w:rPr>
        <w:t xml:space="preserve">que fueron </w:t>
      </w:r>
      <w:r w:rsidR="00F174C2" w:rsidRPr="00BC4C33">
        <w:rPr>
          <w:rFonts w:asciiTheme="majorHAnsi" w:hAnsiTheme="majorHAnsi"/>
          <w:sz w:val="20"/>
          <w:szCs w:val="20"/>
          <w:lang w:val="es-ES"/>
        </w:rPr>
        <w:t>procesad</w:t>
      </w:r>
      <w:r w:rsidR="003D0ADD">
        <w:rPr>
          <w:rFonts w:asciiTheme="majorHAnsi" w:hAnsiTheme="majorHAnsi"/>
          <w:sz w:val="20"/>
          <w:szCs w:val="20"/>
          <w:lang w:val="es-ES"/>
        </w:rPr>
        <w:t>o</w:t>
      </w:r>
      <w:r w:rsidR="00F174C2" w:rsidRPr="00BC4C33">
        <w:rPr>
          <w:rFonts w:asciiTheme="majorHAnsi" w:hAnsiTheme="majorHAnsi"/>
          <w:sz w:val="20"/>
          <w:szCs w:val="20"/>
          <w:lang w:val="es-ES"/>
        </w:rPr>
        <w:t xml:space="preserve">s penalmente </w:t>
      </w:r>
      <w:r w:rsidR="002F0EDC" w:rsidRPr="00BC4C33">
        <w:rPr>
          <w:rFonts w:asciiTheme="majorHAnsi" w:hAnsiTheme="majorHAnsi"/>
          <w:sz w:val="20"/>
          <w:szCs w:val="20"/>
          <w:lang w:val="es-ES"/>
        </w:rPr>
        <w:t>por homicidio doloso, tentativa de homicidio doloso, lesiones, asociación criminal, coacción e invasión de inmueble ajeno</w:t>
      </w:r>
      <w:r w:rsidR="00E87431" w:rsidRPr="00BC4C33">
        <w:rPr>
          <w:rFonts w:asciiTheme="majorHAnsi" w:hAnsiTheme="majorHAnsi"/>
          <w:sz w:val="20"/>
          <w:szCs w:val="20"/>
          <w:lang w:val="es-ES"/>
        </w:rPr>
        <w:t>. Según la parte peticionaria</w:t>
      </w:r>
      <w:r w:rsidR="003D0ADD">
        <w:rPr>
          <w:rFonts w:asciiTheme="majorHAnsi" w:hAnsiTheme="majorHAnsi"/>
          <w:sz w:val="20"/>
          <w:szCs w:val="20"/>
          <w:lang w:val="es-ES"/>
        </w:rPr>
        <w:t>,</w:t>
      </w:r>
      <w:r w:rsidR="00E87431" w:rsidRPr="00BC4C33">
        <w:rPr>
          <w:rFonts w:asciiTheme="majorHAnsi" w:hAnsiTheme="majorHAnsi"/>
          <w:sz w:val="20"/>
          <w:szCs w:val="20"/>
          <w:lang w:val="es-ES"/>
        </w:rPr>
        <w:t xml:space="preserve"> el proceso penal seguido a las presuntas víctimas no </w:t>
      </w:r>
      <w:r w:rsidR="00BC3E25" w:rsidRPr="00BC4C33">
        <w:rPr>
          <w:rFonts w:asciiTheme="majorHAnsi" w:hAnsiTheme="majorHAnsi"/>
          <w:sz w:val="20"/>
          <w:szCs w:val="20"/>
          <w:lang w:val="es-ES"/>
        </w:rPr>
        <w:t>fue</w:t>
      </w:r>
      <w:r w:rsidR="00E87431" w:rsidRPr="00BC4C33">
        <w:rPr>
          <w:rFonts w:asciiTheme="majorHAnsi" w:hAnsiTheme="majorHAnsi"/>
          <w:sz w:val="20"/>
          <w:szCs w:val="20"/>
          <w:lang w:val="es-ES"/>
        </w:rPr>
        <w:t xml:space="preserve"> adelantado por autoridades independientes e imparciales</w:t>
      </w:r>
      <w:r w:rsidR="003D0ADD">
        <w:rPr>
          <w:rFonts w:asciiTheme="majorHAnsi" w:hAnsiTheme="majorHAnsi"/>
          <w:sz w:val="20"/>
          <w:szCs w:val="20"/>
          <w:lang w:val="es-ES"/>
        </w:rPr>
        <w:t>,</w:t>
      </w:r>
      <w:r w:rsidR="00E87431" w:rsidRPr="00BC4C33">
        <w:rPr>
          <w:rFonts w:asciiTheme="majorHAnsi" w:hAnsiTheme="majorHAnsi"/>
          <w:sz w:val="20"/>
          <w:szCs w:val="20"/>
          <w:lang w:val="es-ES"/>
        </w:rPr>
        <w:t xml:space="preserve"> ni con respeto al debido proceso. </w:t>
      </w:r>
    </w:p>
    <w:p w14:paraId="234144D2" w14:textId="77777777" w:rsidR="00012432" w:rsidRPr="00BC4C33" w:rsidRDefault="00012432"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E42B036" w14:textId="0E5228B4" w:rsidR="00AF613D" w:rsidRPr="00BC4C33" w:rsidRDefault="00BC3E25"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Alega</w:t>
      </w:r>
      <w:r w:rsidR="00AF613D" w:rsidRPr="00BC4C33">
        <w:rPr>
          <w:rFonts w:asciiTheme="majorHAnsi" w:hAnsiTheme="majorHAnsi"/>
          <w:sz w:val="20"/>
          <w:szCs w:val="20"/>
          <w:lang w:val="es-ES"/>
        </w:rPr>
        <w:t xml:space="preserve"> </w:t>
      </w:r>
      <w:r w:rsidR="003D0ADD">
        <w:rPr>
          <w:rFonts w:asciiTheme="majorHAnsi" w:hAnsiTheme="majorHAnsi"/>
          <w:sz w:val="20"/>
          <w:szCs w:val="20"/>
          <w:lang w:val="es-ES"/>
        </w:rPr>
        <w:t xml:space="preserve">asimismo </w:t>
      </w:r>
      <w:r w:rsidR="00AF613D" w:rsidRPr="00BC4C33">
        <w:rPr>
          <w:rFonts w:asciiTheme="majorHAnsi" w:hAnsiTheme="majorHAnsi"/>
          <w:sz w:val="20"/>
          <w:szCs w:val="20"/>
          <w:lang w:val="es-ES"/>
        </w:rPr>
        <w:t>que las autoridades actuaron de forma desmedida</w:t>
      </w:r>
      <w:r w:rsidRPr="00BC4C33">
        <w:rPr>
          <w:rFonts w:asciiTheme="majorHAnsi" w:hAnsiTheme="majorHAnsi"/>
          <w:sz w:val="20"/>
          <w:szCs w:val="20"/>
          <w:lang w:val="es-ES"/>
        </w:rPr>
        <w:t>,</w:t>
      </w:r>
      <w:r w:rsidR="00AF613D" w:rsidRPr="00BC4C33">
        <w:rPr>
          <w:rFonts w:asciiTheme="majorHAnsi" w:hAnsiTheme="majorHAnsi"/>
          <w:sz w:val="20"/>
          <w:szCs w:val="20"/>
          <w:lang w:val="es-ES"/>
        </w:rPr>
        <w:t xml:space="preserve"> pues dictaron una orden de detención genérica contra todas las personas que se encontraran en la finca allanada, criterio que luego </w:t>
      </w:r>
      <w:r w:rsidR="003D0ADD">
        <w:rPr>
          <w:rFonts w:asciiTheme="majorHAnsi" w:hAnsiTheme="majorHAnsi"/>
          <w:sz w:val="20"/>
          <w:szCs w:val="20"/>
          <w:lang w:val="es-ES"/>
        </w:rPr>
        <w:t>fue</w:t>
      </w:r>
      <w:r w:rsidR="00AF613D" w:rsidRPr="00BC4C33">
        <w:rPr>
          <w:rFonts w:asciiTheme="majorHAnsi" w:hAnsiTheme="majorHAnsi"/>
          <w:sz w:val="20"/>
          <w:szCs w:val="20"/>
          <w:lang w:val="es-ES"/>
        </w:rPr>
        <w:t xml:space="preserve"> utilizado por la policía para realizar detenciones arbitrarias </w:t>
      </w:r>
      <w:r w:rsidR="003D0ADD">
        <w:rPr>
          <w:rFonts w:asciiTheme="majorHAnsi" w:hAnsiTheme="majorHAnsi"/>
          <w:sz w:val="20"/>
          <w:szCs w:val="20"/>
          <w:lang w:val="es-ES"/>
        </w:rPr>
        <w:t>mediante</w:t>
      </w:r>
      <w:r w:rsidR="00AF613D" w:rsidRPr="00BC4C33">
        <w:rPr>
          <w:rFonts w:asciiTheme="majorHAnsi" w:hAnsiTheme="majorHAnsi"/>
          <w:sz w:val="20"/>
          <w:szCs w:val="20"/>
          <w:lang w:val="es-ES"/>
        </w:rPr>
        <w:t xml:space="preserve"> informes </w:t>
      </w:r>
      <w:r w:rsidR="003D0ADD">
        <w:rPr>
          <w:rFonts w:asciiTheme="majorHAnsi" w:hAnsiTheme="majorHAnsi"/>
          <w:sz w:val="20"/>
          <w:szCs w:val="20"/>
          <w:lang w:val="es-ES"/>
        </w:rPr>
        <w:t xml:space="preserve">falsos que </w:t>
      </w:r>
      <w:r w:rsidR="00AF613D" w:rsidRPr="00BC4C33">
        <w:rPr>
          <w:rFonts w:asciiTheme="majorHAnsi" w:hAnsiTheme="majorHAnsi"/>
          <w:sz w:val="20"/>
          <w:szCs w:val="20"/>
          <w:lang w:val="es-ES"/>
        </w:rPr>
        <w:t>indica</w:t>
      </w:r>
      <w:r w:rsidR="003D0ADD">
        <w:rPr>
          <w:rFonts w:asciiTheme="majorHAnsi" w:hAnsiTheme="majorHAnsi"/>
          <w:sz w:val="20"/>
          <w:szCs w:val="20"/>
          <w:lang w:val="es-ES"/>
        </w:rPr>
        <w:t>ban</w:t>
      </w:r>
      <w:r w:rsidR="00AF613D" w:rsidRPr="00BC4C33">
        <w:rPr>
          <w:rFonts w:asciiTheme="majorHAnsi" w:hAnsiTheme="majorHAnsi"/>
          <w:sz w:val="20"/>
          <w:szCs w:val="20"/>
          <w:lang w:val="es-ES"/>
        </w:rPr>
        <w:t xml:space="preserve"> que </w:t>
      </w:r>
      <w:r w:rsidR="003D0ADD">
        <w:rPr>
          <w:rFonts w:asciiTheme="majorHAnsi" w:hAnsiTheme="majorHAnsi"/>
          <w:sz w:val="20"/>
          <w:szCs w:val="20"/>
          <w:lang w:val="es-ES"/>
        </w:rPr>
        <w:t xml:space="preserve">las </w:t>
      </w:r>
      <w:r w:rsidR="00AF613D" w:rsidRPr="00BC4C33">
        <w:rPr>
          <w:rFonts w:asciiTheme="majorHAnsi" w:hAnsiTheme="majorHAnsi"/>
          <w:sz w:val="20"/>
          <w:szCs w:val="20"/>
          <w:lang w:val="es-ES"/>
        </w:rPr>
        <w:t xml:space="preserve">personas </w:t>
      </w:r>
      <w:r w:rsidR="003D0ADD">
        <w:rPr>
          <w:rFonts w:asciiTheme="majorHAnsi" w:hAnsiTheme="majorHAnsi"/>
          <w:sz w:val="20"/>
          <w:szCs w:val="20"/>
          <w:lang w:val="es-ES"/>
        </w:rPr>
        <w:t xml:space="preserve">habían sido </w:t>
      </w:r>
      <w:r w:rsidR="00AF613D" w:rsidRPr="00BC4C33">
        <w:rPr>
          <w:rFonts w:asciiTheme="majorHAnsi" w:hAnsiTheme="majorHAnsi"/>
          <w:sz w:val="20"/>
          <w:szCs w:val="20"/>
          <w:lang w:val="es-ES"/>
        </w:rPr>
        <w:t>detenidas en la finca</w:t>
      </w:r>
      <w:r w:rsidR="003D0ADD">
        <w:rPr>
          <w:rFonts w:asciiTheme="majorHAnsi" w:hAnsiTheme="majorHAnsi"/>
          <w:sz w:val="20"/>
          <w:szCs w:val="20"/>
          <w:lang w:val="es-ES"/>
        </w:rPr>
        <w:t>,</w:t>
      </w:r>
      <w:r w:rsidR="00AF613D" w:rsidRPr="00BC4C33">
        <w:rPr>
          <w:rFonts w:asciiTheme="majorHAnsi" w:hAnsiTheme="majorHAnsi"/>
          <w:sz w:val="20"/>
          <w:szCs w:val="20"/>
          <w:lang w:val="es-ES"/>
        </w:rPr>
        <w:t xml:space="preserve"> cuando en realidad habían sido aprehendidas en otros lugares. </w:t>
      </w:r>
      <w:r w:rsidR="003D0ADD">
        <w:rPr>
          <w:rFonts w:asciiTheme="majorHAnsi" w:hAnsiTheme="majorHAnsi"/>
          <w:sz w:val="20"/>
          <w:szCs w:val="20"/>
          <w:lang w:val="es-ES"/>
        </w:rPr>
        <w:t>Adicionalmente</w:t>
      </w:r>
      <w:r w:rsidR="00AF613D" w:rsidRPr="00BC4C33">
        <w:rPr>
          <w:rFonts w:asciiTheme="majorHAnsi" w:hAnsiTheme="majorHAnsi"/>
          <w:sz w:val="20"/>
          <w:szCs w:val="20"/>
          <w:lang w:val="es-ES"/>
        </w:rPr>
        <w:t>, se dictó</w:t>
      </w:r>
      <w:r w:rsidR="003D0ADD">
        <w:rPr>
          <w:rFonts w:asciiTheme="majorHAnsi" w:hAnsiTheme="majorHAnsi"/>
          <w:sz w:val="20"/>
          <w:szCs w:val="20"/>
          <w:lang w:val="es-ES"/>
        </w:rPr>
        <w:t xml:space="preserve"> una</w:t>
      </w:r>
      <w:r w:rsidR="00AF613D" w:rsidRPr="00BC4C33">
        <w:rPr>
          <w:rFonts w:asciiTheme="majorHAnsi" w:hAnsiTheme="majorHAnsi"/>
          <w:sz w:val="20"/>
          <w:szCs w:val="20"/>
          <w:lang w:val="es-ES"/>
        </w:rPr>
        <w:t xml:space="preserve"> orden de detención e imputación contra toda persona que figurara en una lista que supuestamente fue encontrada en la finca</w:t>
      </w:r>
      <w:r w:rsidR="003D0ADD">
        <w:rPr>
          <w:rFonts w:asciiTheme="majorHAnsi" w:hAnsiTheme="majorHAnsi"/>
          <w:sz w:val="20"/>
          <w:szCs w:val="20"/>
          <w:lang w:val="es-ES"/>
        </w:rPr>
        <w:t xml:space="preserve">. Dicha </w:t>
      </w:r>
      <w:r w:rsidR="00AF613D" w:rsidRPr="00BC4C33">
        <w:rPr>
          <w:rFonts w:asciiTheme="majorHAnsi" w:hAnsiTheme="majorHAnsi"/>
          <w:sz w:val="20"/>
          <w:szCs w:val="20"/>
          <w:lang w:val="es-ES"/>
        </w:rPr>
        <w:t>lista que nunca fue presentada en el proceso</w:t>
      </w:r>
      <w:r w:rsidR="0078365F">
        <w:rPr>
          <w:rFonts w:asciiTheme="majorHAnsi" w:hAnsiTheme="majorHAnsi"/>
          <w:sz w:val="20"/>
          <w:szCs w:val="20"/>
          <w:lang w:val="es-ES"/>
        </w:rPr>
        <w:t>,</w:t>
      </w:r>
      <w:r w:rsidR="00AF613D" w:rsidRPr="00BC4C33">
        <w:rPr>
          <w:rFonts w:asciiTheme="majorHAnsi" w:hAnsiTheme="majorHAnsi"/>
          <w:sz w:val="20"/>
          <w:szCs w:val="20"/>
          <w:lang w:val="es-ES"/>
        </w:rPr>
        <w:t xml:space="preserve"> pese a los requerimientos de la defens</w:t>
      </w:r>
      <w:r w:rsidR="002C51B0" w:rsidRPr="00BC4C33">
        <w:rPr>
          <w:rFonts w:asciiTheme="majorHAnsi" w:hAnsiTheme="majorHAnsi"/>
          <w:sz w:val="20"/>
          <w:szCs w:val="20"/>
          <w:lang w:val="es-ES"/>
        </w:rPr>
        <w:t>a</w:t>
      </w:r>
      <w:r w:rsidR="003D0ADD">
        <w:rPr>
          <w:rFonts w:asciiTheme="majorHAnsi" w:hAnsiTheme="majorHAnsi"/>
          <w:sz w:val="20"/>
          <w:szCs w:val="20"/>
          <w:lang w:val="es-ES"/>
        </w:rPr>
        <w:t>;</w:t>
      </w:r>
      <w:r w:rsidR="002C51B0" w:rsidRPr="00BC4C33">
        <w:rPr>
          <w:rFonts w:asciiTheme="majorHAnsi" w:hAnsiTheme="majorHAnsi"/>
          <w:sz w:val="20"/>
          <w:szCs w:val="20"/>
          <w:lang w:val="es-ES"/>
        </w:rPr>
        <w:t xml:space="preserve"> la única explicación dada por la </w:t>
      </w:r>
      <w:r w:rsidR="0078365F">
        <w:rPr>
          <w:rFonts w:asciiTheme="majorHAnsi" w:hAnsiTheme="majorHAnsi"/>
          <w:sz w:val="20"/>
          <w:szCs w:val="20"/>
          <w:lang w:val="es-ES"/>
        </w:rPr>
        <w:t>f</w:t>
      </w:r>
      <w:r w:rsidR="002C51B0" w:rsidRPr="00BC4C33">
        <w:rPr>
          <w:rFonts w:asciiTheme="majorHAnsi" w:hAnsiTheme="majorHAnsi"/>
          <w:sz w:val="20"/>
          <w:szCs w:val="20"/>
          <w:lang w:val="es-ES"/>
        </w:rPr>
        <w:t xml:space="preserve">iscalía fue que la lista quedó destruida luego de que el </w:t>
      </w:r>
      <w:r w:rsidR="003D0ADD">
        <w:rPr>
          <w:rFonts w:asciiTheme="majorHAnsi" w:hAnsiTheme="majorHAnsi"/>
          <w:sz w:val="20"/>
          <w:szCs w:val="20"/>
          <w:lang w:val="es-ES"/>
        </w:rPr>
        <w:t>p</w:t>
      </w:r>
      <w:r w:rsidR="002C51B0" w:rsidRPr="00BC4C33">
        <w:rPr>
          <w:rFonts w:asciiTheme="majorHAnsi" w:hAnsiTheme="majorHAnsi"/>
          <w:sz w:val="20"/>
          <w:szCs w:val="20"/>
          <w:lang w:val="es-ES"/>
        </w:rPr>
        <w:t>olicía que la portaba cayó en un riachuelo.</w:t>
      </w:r>
    </w:p>
    <w:p w14:paraId="3EB3B654" w14:textId="77777777" w:rsidR="00012432" w:rsidRPr="00BC4C33" w:rsidRDefault="00012432"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2B99522" w14:textId="175BCA8E" w:rsidR="002F27B6" w:rsidRPr="00A52704" w:rsidRDefault="003D0ADD"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La parte peticionaria </w:t>
      </w:r>
      <w:r w:rsidR="00AF613D" w:rsidRPr="00BC4C33">
        <w:rPr>
          <w:rFonts w:asciiTheme="majorHAnsi" w:hAnsiTheme="majorHAnsi"/>
          <w:sz w:val="20"/>
          <w:szCs w:val="20"/>
          <w:lang w:val="es-ES"/>
        </w:rPr>
        <w:t>indica</w:t>
      </w:r>
      <w:r w:rsidR="00E87431" w:rsidRPr="00BC4C33">
        <w:rPr>
          <w:rFonts w:asciiTheme="majorHAnsi" w:hAnsiTheme="majorHAnsi"/>
          <w:sz w:val="20"/>
          <w:szCs w:val="20"/>
          <w:lang w:val="es-ES"/>
        </w:rPr>
        <w:t xml:space="preserve"> </w:t>
      </w:r>
      <w:r>
        <w:rPr>
          <w:rFonts w:asciiTheme="majorHAnsi" w:hAnsiTheme="majorHAnsi"/>
          <w:sz w:val="20"/>
          <w:szCs w:val="20"/>
          <w:lang w:val="es-ES"/>
        </w:rPr>
        <w:t xml:space="preserve">igualmente </w:t>
      </w:r>
      <w:r w:rsidR="00E87431" w:rsidRPr="00BC4C33">
        <w:rPr>
          <w:rFonts w:asciiTheme="majorHAnsi" w:hAnsiTheme="majorHAnsi"/>
          <w:sz w:val="20"/>
          <w:szCs w:val="20"/>
          <w:lang w:val="es-ES"/>
        </w:rPr>
        <w:t xml:space="preserve">que el supuesto propietario de la finca </w:t>
      </w:r>
      <w:r w:rsidR="00342C57" w:rsidRPr="00BC4C33">
        <w:rPr>
          <w:rFonts w:asciiTheme="majorHAnsi" w:hAnsiTheme="majorHAnsi"/>
          <w:sz w:val="20"/>
          <w:szCs w:val="20"/>
          <w:lang w:val="es-ES"/>
        </w:rPr>
        <w:t>allanada era un expresidente de</w:t>
      </w:r>
      <w:r>
        <w:rPr>
          <w:rFonts w:asciiTheme="majorHAnsi" w:hAnsiTheme="majorHAnsi"/>
          <w:sz w:val="20"/>
          <w:szCs w:val="20"/>
          <w:lang w:val="es-ES"/>
        </w:rPr>
        <w:t xml:space="preserve"> </w:t>
      </w:r>
      <w:r w:rsidR="00342C57" w:rsidRPr="00BC4C33">
        <w:rPr>
          <w:rFonts w:asciiTheme="majorHAnsi" w:hAnsiTheme="majorHAnsi"/>
          <w:sz w:val="20"/>
          <w:szCs w:val="20"/>
          <w:lang w:val="es-ES"/>
        </w:rPr>
        <w:t>l</w:t>
      </w:r>
      <w:r>
        <w:rPr>
          <w:rFonts w:asciiTheme="majorHAnsi" w:hAnsiTheme="majorHAnsi"/>
          <w:sz w:val="20"/>
          <w:szCs w:val="20"/>
          <w:lang w:val="es-ES"/>
        </w:rPr>
        <w:t>a Asociación Nacional Republicana</w:t>
      </w:r>
      <w:r w:rsidR="00342C57" w:rsidRPr="00BC4C33">
        <w:rPr>
          <w:rFonts w:asciiTheme="majorHAnsi" w:hAnsiTheme="majorHAnsi"/>
          <w:sz w:val="20"/>
          <w:szCs w:val="20"/>
          <w:lang w:val="es-ES"/>
        </w:rPr>
        <w:t xml:space="preserve"> </w:t>
      </w:r>
      <w:r>
        <w:rPr>
          <w:rFonts w:asciiTheme="majorHAnsi" w:hAnsiTheme="majorHAnsi"/>
          <w:sz w:val="20"/>
          <w:szCs w:val="20"/>
          <w:lang w:val="es-ES"/>
        </w:rPr>
        <w:t>(</w:t>
      </w:r>
      <w:r w:rsidR="00342C57" w:rsidRPr="00BC4C33">
        <w:rPr>
          <w:rFonts w:asciiTheme="majorHAnsi" w:hAnsiTheme="majorHAnsi"/>
          <w:sz w:val="20"/>
          <w:szCs w:val="20"/>
          <w:lang w:val="es-ES"/>
        </w:rPr>
        <w:t>Partido Colorado</w:t>
      </w:r>
      <w:r>
        <w:rPr>
          <w:rFonts w:asciiTheme="majorHAnsi" w:hAnsiTheme="majorHAnsi"/>
          <w:sz w:val="20"/>
          <w:szCs w:val="20"/>
          <w:lang w:val="es-ES"/>
        </w:rPr>
        <w:t>);</w:t>
      </w:r>
      <w:r w:rsidR="00342C57" w:rsidRPr="00BC4C33">
        <w:rPr>
          <w:rFonts w:asciiTheme="majorHAnsi" w:hAnsiTheme="majorHAnsi"/>
          <w:sz w:val="20"/>
          <w:szCs w:val="20"/>
          <w:lang w:val="es-ES"/>
        </w:rPr>
        <w:t xml:space="preserve"> y que </w:t>
      </w:r>
      <w:r w:rsidR="00E330C0" w:rsidRPr="00BC4C33">
        <w:rPr>
          <w:rFonts w:asciiTheme="majorHAnsi" w:hAnsiTheme="majorHAnsi"/>
          <w:sz w:val="20"/>
          <w:szCs w:val="20"/>
          <w:lang w:val="es-ES"/>
        </w:rPr>
        <w:t>seis</w:t>
      </w:r>
      <w:r w:rsidR="00342C57" w:rsidRPr="00BC4C33">
        <w:rPr>
          <w:rFonts w:asciiTheme="majorHAnsi" w:hAnsiTheme="majorHAnsi"/>
          <w:sz w:val="20"/>
          <w:szCs w:val="20"/>
          <w:lang w:val="es-ES"/>
        </w:rPr>
        <w:t xml:space="preserve"> días después del allanamiento, </w:t>
      </w:r>
      <w:r>
        <w:rPr>
          <w:rFonts w:asciiTheme="majorHAnsi" w:hAnsiTheme="majorHAnsi"/>
          <w:sz w:val="20"/>
          <w:szCs w:val="20"/>
          <w:lang w:val="es-ES"/>
        </w:rPr>
        <w:t xml:space="preserve">representantes de dicho partido político iniciaron en </w:t>
      </w:r>
      <w:r w:rsidR="00342C57" w:rsidRPr="00BC4C33">
        <w:rPr>
          <w:rFonts w:asciiTheme="majorHAnsi" w:hAnsiTheme="majorHAnsi"/>
          <w:sz w:val="20"/>
          <w:szCs w:val="20"/>
          <w:lang w:val="es-ES"/>
        </w:rPr>
        <w:t xml:space="preserve">el </w:t>
      </w:r>
      <w:r>
        <w:rPr>
          <w:rFonts w:asciiTheme="majorHAnsi" w:hAnsiTheme="majorHAnsi"/>
          <w:sz w:val="20"/>
          <w:szCs w:val="20"/>
          <w:lang w:val="es-ES"/>
        </w:rPr>
        <w:t xml:space="preserve">Congreso </w:t>
      </w:r>
      <w:r w:rsidR="00342C57" w:rsidRPr="00BC4C33">
        <w:rPr>
          <w:rFonts w:asciiTheme="majorHAnsi" w:hAnsiTheme="majorHAnsi"/>
          <w:sz w:val="20"/>
          <w:szCs w:val="20"/>
          <w:lang w:val="es-ES"/>
        </w:rPr>
        <w:t xml:space="preserve">un juicio político contra quien era en ese momento </w:t>
      </w:r>
      <w:r w:rsidR="00C3261D" w:rsidRPr="00BC4C33">
        <w:rPr>
          <w:rFonts w:asciiTheme="majorHAnsi" w:hAnsiTheme="majorHAnsi"/>
          <w:sz w:val="20"/>
          <w:szCs w:val="20"/>
          <w:lang w:val="es-ES"/>
        </w:rPr>
        <w:t>el P</w:t>
      </w:r>
      <w:r w:rsidR="00342C57" w:rsidRPr="00BC4C33">
        <w:rPr>
          <w:rFonts w:asciiTheme="majorHAnsi" w:hAnsiTheme="majorHAnsi"/>
          <w:sz w:val="20"/>
          <w:szCs w:val="20"/>
          <w:lang w:val="es-ES"/>
        </w:rPr>
        <w:t xml:space="preserve">residente de </w:t>
      </w:r>
      <w:r>
        <w:rPr>
          <w:rFonts w:asciiTheme="majorHAnsi" w:hAnsiTheme="majorHAnsi"/>
          <w:sz w:val="20"/>
          <w:szCs w:val="20"/>
          <w:lang w:val="es-ES"/>
        </w:rPr>
        <w:t>la República; el</w:t>
      </w:r>
      <w:r w:rsidR="00342C57" w:rsidRPr="00BC4C33">
        <w:rPr>
          <w:rFonts w:asciiTheme="majorHAnsi" w:hAnsiTheme="majorHAnsi"/>
          <w:sz w:val="20"/>
          <w:szCs w:val="20"/>
          <w:lang w:val="es-ES"/>
        </w:rPr>
        <w:t xml:space="preserve"> juicio duró </w:t>
      </w:r>
      <w:r w:rsidRPr="00BC4C33">
        <w:rPr>
          <w:rFonts w:asciiTheme="majorHAnsi" w:hAnsiTheme="majorHAnsi"/>
          <w:sz w:val="20"/>
          <w:szCs w:val="20"/>
          <w:lang w:val="es-ES"/>
        </w:rPr>
        <w:t xml:space="preserve">solo </w:t>
      </w:r>
      <w:r w:rsidR="00342C57" w:rsidRPr="00BC4C33">
        <w:rPr>
          <w:rFonts w:asciiTheme="majorHAnsi" w:hAnsiTheme="majorHAnsi"/>
          <w:sz w:val="20"/>
          <w:szCs w:val="20"/>
          <w:lang w:val="es-ES"/>
        </w:rPr>
        <w:t xml:space="preserve">un día y concluyó con la destitución del </w:t>
      </w:r>
      <w:r w:rsidR="00C3261D" w:rsidRPr="00BC4C33">
        <w:rPr>
          <w:rFonts w:asciiTheme="majorHAnsi" w:hAnsiTheme="majorHAnsi"/>
          <w:sz w:val="20"/>
          <w:szCs w:val="20"/>
          <w:lang w:val="es-ES"/>
        </w:rPr>
        <w:t>P</w:t>
      </w:r>
      <w:r w:rsidR="00342C57" w:rsidRPr="00BC4C33">
        <w:rPr>
          <w:rFonts w:asciiTheme="majorHAnsi" w:hAnsiTheme="majorHAnsi"/>
          <w:sz w:val="20"/>
          <w:szCs w:val="20"/>
          <w:lang w:val="es-ES"/>
        </w:rPr>
        <w:t xml:space="preserve">residente. </w:t>
      </w:r>
      <w:r>
        <w:rPr>
          <w:rFonts w:asciiTheme="majorHAnsi" w:hAnsiTheme="majorHAnsi"/>
          <w:sz w:val="20"/>
          <w:szCs w:val="20"/>
          <w:lang w:val="es-ES"/>
        </w:rPr>
        <w:t xml:space="preserve">El </w:t>
      </w:r>
      <w:r w:rsidR="002F0EDC" w:rsidRPr="00BC4C33">
        <w:rPr>
          <w:rFonts w:asciiTheme="majorHAnsi" w:hAnsiTheme="majorHAnsi"/>
          <w:sz w:val="20"/>
          <w:szCs w:val="20"/>
          <w:lang w:val="es-ES"/>
        </w:rPr>
        <w:t xml:space="preserve">mismo día </w:t>
      </w:r>
      <w:r>
        <w:rPr>
          <w:rFonts w:asciiTheme="majorHAnsi" w:hAnsiTheme="majorHAnsi"/>
          <w:sz w:val="20"/>
          <w:szCs w:val="20"/>
          <w:lang w:val="es-ES"/>
        </w:rPr>
        <w:t xml:space="preserve">en </w:t>
      </w:r>
      <w:r w:rsidR="002F0EDC" w:rsidRPr="00BC4C33">
        <w:rPr>
          <w:rFonts w:asciiTheme="majorHAnsi" w:hAnsiTheme="majorHAnsi"/>
          <w:sz w:val="20"/>
          <w:szCs w:val="20"/>
          <w:lang w:val="es-ES"/>
        </w:rPr>
        <w:t xml:space="preserve">que </w:t>
      </w:r>
      <w:r>
        <w:rPr>
          <w:rFonts w:asciiTheme="majorHAnsi" w:hAnsiTheme="majorHAnsi"/>
          <w:sz w:val="20"/>
          <w:szCs w:val="20"/>
          <w:lang w:val="es-ES"/>
        </w:rPr>
        <w:t xml:space="preserve">se </w:t>
      </w:r>
      <w:r w:rsidR="002F0EDC" w:rsidRPr="00BC4C33">
        <w:rPr>
          <w:rFonts w:asciiTheme="majorHAnsi" w:hAnsiTheme="majorHAnsi"/>
          <w:sz w:val="20"/>
          <w:szCs w:val="20"/>
          <w:lang w:val="es-ES"/>
        </w:rPr>
        <w:t>inició el juicio político, el Fiscal General del Estado cesó a la fiscal que investigaba la causa contra las presuntas víctimas</w:t>
      </w:r>
      <w:r w:rsidR="00974326" w:rsidRPr="00BC4C33">
        <w:rPr>
          <w:rFonts w:asciiTheme="majorHAnsi" w:hAnsiTheme="majorHAnsi"/>
          <w:sz w:val="20"/>
          <w:szCs w:val="20"/>
          <w:lang w:val="es-ES"/>
        </w:rPr>
        <w:t>,</w:t>
      </w:r>
      <w:r w:rsidR="002F0EDC" w:rsidRPr="00BC4C33">
        <w:rPr>
          <w:rFonts w:asciiTheme="majorHAnsi" w:hAnsiTheme="majorHAnsi"/>
          <w:sz w:val="20"/>
          <w:szCs w:val="20"/>
          <w:lang w:val="es-ES"/>
        </w:rPr>
        <w:t xml:space="preserve"> y </w:t>
      </w:r>
      <w:r w:rsidR="00974326" w:rsidRPr="00BC4C33">
        <w:rPr>
          <w:rFonts w:asciiTheme="majorHAnsi" w:hAnsiTheme="majorHAnsi"/>
          <w:sz w:val="20"/>
          <w:szCs w:val="20"/>
          <w:lang w:val="es-ES"/>
        </w:rPr>
        <w:t>lo reemplazó con</w:t>
      </w:r>
      <w:r w:rsidR="002F0EDC" w:rsidRPr="00BC4C33">
        <w:rPr>
          <w:rFonts w:asciiTheme="majorHAnsi" w:hAnsiTheme="majorHAnsi"/>
          <w:sz w:val="20"/>
          <w:szCs w:val="20"/>
          <w:lang w:val="es-ES"/>
        </w:rPr>
        <w:t xml:space="preserve"> un joven fiscal recientemente incorporado, qu</w:t>
      </w:r>
      <w:r w:rsidR="00A52704">
        <w:rPr>
          <w:rFonts w:asciiTheme="majorHAnsi" w:hAnsiTheme="majorHAnsi"/>
          <w:sz w:val="20"/>
          <w:szCs w:val="20"/>
          <w:lang w:val="es-ES"/>
        </w:rPr>
        <w:t>e</w:t>
      </w:r>
      <w:r w:rsidR="002F0EDC" w:rsidRPr="00BC4C33">
        <w:rPr>
          <w:rFonts w:asciiTheme="majorHAnsi" w:hAnsiTheme="majorHAnsi"/>
          <w:sz w:val="20"/>
          <w:szCs w:val="20"/>
          <w:lang w:val="es-ES"/>
        </w:rPr>
        <w:t xml:space="preserve"> era militante del Partido Colorado y cuyo padre era </w:t>
      </w:r>
      <w:r w:rsidR="0078365F">
        <w:rPr>
          <w:rFonts w:asciiTheme="majorHAnsi" w:hAnsiTheme="majorHAnsi"/>
          <w:sz w:val="20"/>
          <w:szCs w:val="20"/>
          <w:lang w:val="es-ES"/>
        </w:rPr>
        <w:t>dirigente</w:t>
      </w:r>
      <w:r w:rsidR="002F0EDC" w:rsidRPr="00BC4C33">
        <w:rPr>
          <w:rFonts w:asciiTheme="majorHAnsi" w:hAnsiTheme="majorHAnsi"/>
          <w:sz w:val="20"/>
          <w:szCs w:val="20"/>
          <w:lang w:val="es-ES"/>
        </w:rPr>
        <w:t xml:space="preserve"> de </w:t>
      </w:r>
      <w:r w:rsidR="00A52704">
        <w:rPr>
          <w:rFonts w:asciiTheme="majorHAnsi" w:hAnsiTheme="majorHAnsi"/>
          <w:sz w:val="20"/>
          <w:szCs w:val="20"/>
          <w:lang w:val="es-ES"/>
        </w:rPr>
        <w:t xml:space="preserve">dicha asociación política </w:t>
      </w:r>
      <w:r w:rsidR="002F0EDC" w:rsidRPr="00BC4C33">
        <w:rPr>
          <w:rFonts w:asciiTheme="majorHAnsi" w:hAnsiTheme="majorHAnsi"/>
          <w:sz w:val="20"/>
          <w:szCs w:val="20"/>
          <w:lang w:val="es-ES"/>
        </w:rPr>
        <w:t xml:space="preserve">y amigo </w:t>
      </w:r>
      <w:r w:rsidR="00A52704">
        <w:rPr>
          <w:rFonts w:asciiTheme="majorHAnsi" w:hAnsiTheme="majorHAnsi"/>
          <w:sz w:val="20"/>
          <w:szCs w:val="20"/>
          <w:lang w:val="es-ES"/>
        </w:rPr>
        <w:t>cercano</w:t>
      </w:r>
      <w:r w:rsidR="002F0EDC" w:rsidRPr="00BC4C33">
        <w:rPr>
          <w:rFonts w:asciiTheme="majorHAnsi" w:hAnsiTheme="majorHAnsi"/>
          <w:sz w:val="20"/>
          <w:szCs w:val="20"/>
          <w:lang w:val="es-ES"/>
        </w:rPr>
        <w:t xml:space="preserve"> del supuesto propietario de la finca allanada</w:t>
      </w:r>
      <w:r w:rsidR="00D44E4B" w:rsidRPr="00BC4C33">
        <w:rPr>
          <w:rFonts w:asciiTheme="majorHAnsi" w:hAnsiTheme="majorHAnsi"/>
          <w:sz w:val="20"/>
          <w:szCs w:val="20"/>
          <w:lang w:val="es-ES"/>
        </w:rPr>
        <w:t xml:space="preserve">. </w:t>
      </w:r>
      <w:r w:rsidR="00C3261D" w:rsidRPr="00BC4C33">
        <w:rPr>
          <w:rFonts w:asciiTheme="majorHAnsi" w:hAnsiTheme="majorHAnsi"/>
          <w:sz w:val="20"/>
          <w:szCs w:val="20"/>
          <w:lang w:val="es-ES"/>
        </w:rPr>
        <w:t>La parte peticionaria indica</w:t>
      </w:r>
      <w:r w:rsidR="00891559" w:rsidRPr="00BC4C33">
        <w:rPr>
          <w:rFonts w:asciiTheme="majorHAnsi" w:hAnsiTheme="majorHAnsi"/>
          <w:sz w:val="20"/>
          <w:szCs w:val="20"/>
          <w:lang w:val="es-ES"/>
        </w:rPr>
        <w:t xml:space="preserve"> que este nuevo fiscal declaró a los medios </w:t>
      </w:r>
      <w:r w:rsidR="00974326" w:rsidRPr="00BC4C33">
        <w:rPr>
          <w:rFonts w:asciiTheme="majorHAnsi" w:hAnsiTheme="majorHAnsi"/>
          <w:sz w:val="20"/>
          <w:szCs w:val="20"/>
          <w:lang w:val="es-ES"/>
        </w:rPr>
        <w:t xml:space="preserve">de comunicación </w:t>
      </w:r>
      <w:r w:rsidR="00891559" w:rsidRPr="00BC4C33">
        <w:rPr>
          <w:rFonts w:asciiTheme="majorHAnsi" w:hAnsiTheme="majorHAnsi"/>
          <w:sz w:val="20"/>
          <w:szCs w:val="20"/>
          <w:lang w:val="es-ES"/>
        </w:rPr>
        <w:t xml:space="preserve">que </w:t>
      </w:r>
      <w:r w:rsidR="00974326" w:rsidRPr="00BC4C33">
        <w:rPr>
          <w:rFonts w:asciiTheme="majorHAnsi" w:hAnsiTheme="majorHAnsi"/>
          <w:sz w:val="20"/>
          <w:szCs w:val="20"/>
          <w:lang w:val="es-ES"/>
        </w:rPr>
        <w:t>los campesinos</w:t>
      </w:r>
      <w:r w:rsidR="00891559" w:rsidRPr="00BC4C33">
        <w:rPr>
          <w:rFonts w:asciiTheme="majorHAnsi" w:hAnsiTheme="majorHAnsi"/>
          <w:sz w:val="20"/>
          <w:szCs w:val="20"/>
          <w:lang w:val="es-ES"/>
        </w:rPr>
        <w:t xml:space="preserve"> eran responsables de lo ocurrido, sin haber realizado diligencias probatorias que </w:t>
      </w:r>
      <w:r w:rsidR="00A52704">
        <w:rPr>
          <w:rFonts w:asciiTheme="majorHAnsi" w:hAnsiTheme="majorHAnsi"/>
          <w:sz w:val="20"/>
          <w:szCs w:val="20"/>
          <w:lang w:val="es-ES"/>
        </w:rPr>
        <w:t xml:space="preserve">lo </w:t>
      </w:r>
      <w:r w:rsidR="00891559" w:rsidRPr="00BC4C33">
        <w:rPr>
          <w:rFonts w:asciiTheme="majorHAnsi" w:hAnsiTheme="majorHAnsi"/>
          <w:sz w:val="20"/>
          <w:szCs w:val="20"/>
          <w:lang w:val="es-ES"/>
        </w:rPr>
        <w:t>fundamentaran</w:t>
      </w:r>
      <w:r w:rsidR="00A52704">
        <w:rPr>
          <w:rFonts w:asciiTheme="majorHAnsi" w:hAnsiTheme="majorHAnsi"/>
          <w:sz w:val="20"/>
          <w:szCs w:val="20"/>
          <w:lang w:val="es-ES"/>
        </w:rPr>
        <w:t>:</w:t>
      </w:r>
      <w:r w:rsidR="00C3261D" w:rsidRPr="00BC4C33">
        <w:rPr>
          <w:rFonts w:asciiTheme="majorHAnsi" w:hAnsiTheme="majorHAnsi"/>
          <w:sz w:val="20"/>
          <w:szCs w:val="20"/>
          <w:lang w:val="es-ES"/>
        </w:rPr>
        <w:t xml:space="preserve"> </w:t>
      </w:r>
      <w:r w:rsidR="00AF613D" w:rsidRPr="00A52704">
        <w:rPr>
          <w:rFonts w:asciiTheme="majorHAnsi" w:hAnsiTheme="majorHAnsi"/>
          <w:sz w:val="20"/>
          <w:szCs w:val="20"/>
          <w:lang w:val="es-ES"/>
        </w:rPr>
        <w:t>“desmentimos aquellas supuestas violaciones a derechos humanos que tanto se está hablando</w:t>
      </w:r>
      <w:r w:rsidR="00C3261D" w:rsidRPr="00A52704">
        <w:rPr>
          <w:rFonts w:asciiTheme="majorHAnsi" w:hAnsiTheme="majorHAnsi"/>
          <w:sz w:val="20"/>
          <w:szCs w:val="20"/>
          <w:lang w:val="es-ES"/>
        </w:rPr>
        <w:t xml:space="preserve"> [</w:t>
      </w:r>
      <w:r w:rsidR="00AF613D" w:rsidRPr="00A52704">
        <w:rPr>
          <w:rFonts w:asciiTheme="majorHAnsi" w:hAnsiTheme="majorHAnsi"/>
          <w:sz w:val="20"/>
          <w:szCs w:val="20"/>
          <w:lang w:val="es-ES"/>
        </w:rPr>
        <w:t>…</w:t>
      </w:r>
      <w:r w:rsidR="00C3261D" w:rsidRPr="00A52704">
        <w:rPr>
          <w:rFonts w:asciiTheme="majorHAnsi" w:hAnsiTheme="majorHAnsi"/>
          <w:sz w:val="20"/>
          <w:szCs w:val="20"/>
          <w:lang w:val="es-ES"/>
        </w:rPr>
        <w:t>]</w:t>
      </w:r>
      <w:r w:rsidR="00AF613D" w:rsidRPr="00A52704">
        <w:rPr>
          <w:rFonts w:asciiTheme="majorHAnsi" w:hAnsiTheme="majorHAnsi"/>
          <w:sz w:val="20"/>
          <w:szCs w:val="20"/>
          <w:lang w:val="es-ES"/>
        </w:rPr>
        <w:t xml:space="preserve"> </w:t>
      </w:r>
      <w:r w:rsidR="00A52704" w:rsidRPr="00A52704">
        <w:rPr>
          <w:rFonts w:asciiTheme="majorHAnsi" w:hAnsiTheme="majorHAnsi"/>
          <w:sz w:val="20"/>
          <w:szCs w:val="20"/>
          <w:lang w:val="es-ES"/>
        </w:rPr>
        <w:t>s</w:t>
      </w:r>
      <w:r w:rsidR="00AF613D" w:rsidRPr="00A52704">
        <w:rPr>
          <w:rFonts w:asciiTheme="majorHAnsi" w:hAnsiTheme="majorHAnsi"/>
          <w:sz w:val="20"/>
          <w:szCs w:val="20"/>
          <w:lang w:val="es-ES"/>
        </w:rPr>
        <w:t xml:space="preserve">e desmiente totalmente con el simple hecho de observar los videos donde son tratados amablemente por los policías”.  </w:t>
      </w:r>
    </w:p>
    <w:p w14:paraId="74A11AFF" w14:textId="77777777" w:rsidR="00012432" w:rsidRPr="00BC4C33" w:rsidRDefault="00012432"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7AE97BE" w14:textId="7C189AFF" w:rsidR="00357AA9" w:rsidRPr="00BC4C33" w:rsidRDefault="00A52704"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C</w:t>
      </w:r>
      <w:r w:rsidR="00AF613D" w:rsidRPr="00BC4C33">
        <w:rPr>
          <w:rFonts w:asciiTheme="majorHAnsi" w:hAnsiTheme="majorHAnsi"/>
          <w:sz w:val="20"/>
          <w:szCs w:val="20"/>
          <w:lang w:val="es-ES"/>
        </w:rPr>
        <w:t>omo ejemplos de la</w:t>
      </w:r>
      <w:r w:rsidR="00063267" w:rsidRPr="00BC4C33">
        <w:rPr>
          <w:rFonts w:asciiTheme="majorHAnsi" w:hAnsiTheme="majorHAnsi"/>
          <w:sz w:val="20"/>
          <w:szCs w:val="20"/>
          <w:lang w:val="es-ES"/>
        </w:rPr>
        <w:t xml:space="preserve"> </w:t>
      </w:r>
      <w:r w:rsidR="00AF613D" w:rsidRPr="00BC4C33">
        <w:rPr>
          <w:rFonts w:asciiTheme="majorHAnsi" w:hAnsiTheme="majorHAnsi"/>
          <w:sz w:val="20"/>
          <w:szCs w:val="20"/>
          <w:lang w:val="es-ES"/>
        </w:rPr>
        <w:t>conducta parcializada del fiscal</w:t>
      </w:r>
      <w:r w:rsidR="00063267" w:rsidRPr="00BC4C33">
        <w:rPr>
          <w:rFonts w:asciiTheme="majorHAnsi" w:hAnsiTheme="majorHAnsi"/>
          <w:sz w:val="20"/>
          <w:szCs w:val="20"/>
          <w:lang w:val="es-ES"/>
        </w:rPr>
        <w:t>,</w:t>
      </w:r>
      <w:r>
        <w:rPr>
          <w:rFonts w:asciiTheme="majorHAnsi" w:hAnsiTheme="majorHAnsi"/>
          <w:sz w:val="20"/>
          <w:szCs w:val="20"/>
          <w:lang w:val="es-ES"/>
        </w:rPr>
        <w:t xml:space="preserve"> la parte peticionaria destaca</w:t>
      </w:r>
      <w:r w:rsidR="00AF613D" w:rsidRPr="00BC4C33">
        <w:rPr>
          <w:rFonts w:asciiTheme="majorHAnsi" w:hAnsiTheme="majorHAnsi"/>
          <w:sz w:val="20"/>
          <w:szCs w:val="20"/>
          <w:lang w:val="es-ES"/>
        </w:rPr>
        <w:t xml:space="preserve"> que solo tom</w:t>
      </w:r>
      <w:r w:rsidR="002D4E91" w:rsidRPr="00BC4C33">
        <w:rPr>
          <w:rFonts w:asciiTheme="majorHAnsi" w:hAnsiTheme="majorHAnsi"/>
          <w:sz w:val="20"/>
          <w:szCs w:val="20"/>
          <w:lang w:val="es-ES"/>
        </w:rPr>
        <w:t>ó</w:t>
      </w:r>
      <w:r w:rsidR="00AF613D" w:rsidRPr="00BC4C33">
        <w:rPr>
          <w:rFonts w:asciiTheme="majorHAnsi" w:hAnsiTheme="majorHAnsi"/>
          <w:sz w:val="20"/>
          <w:szCs w:val="20"/>
          <w:lang w:val="es-ES"/>
        </w:rPr>
        <w:t xml:space="preserve"> declaraciones </w:t>
      </w:r>
      <w:r w:rsidR="00063267" w:rsidRPr="00BC4C33">
        <w:rPr>
          <w:rFonts w:asciiTheme="majorHAnsi" w:hAnsiTheme="majorHAnsi"/>
          <w:sz w:val="20"/>
          <w:szCs w:val="20"/>
          <w:lang w:val="es-ES"/>
        </w:rPr>
        <w:t>a</w:t>
      </w:r>
      <w:r w:rsidR="00AF613D" w:rsidRPr="00BC4C33">
        <w:rPr>
          <w:rFonts w:asciiTheme="majorHAnsi" w:hAnsiTheme="majorHAnsi"/>
          <w:sz w:val="20"/>
          <w:szCs w:val="20"/>
          <w:lang w:val="es-ES"/>
        </w:rPr>
        <w:t xml:space="preserve"> policías, bajo la excusa </w:t>
      </w:r>
      <w:r w:rsidR="00063267" w:rsidRPr="00BC4C33">
        <w:rPr>
          <w:rFonts w:asciiTheme="majorHAnsi" w:hAnsiTheme="majorHAnsi"/>
          <w:sz w:val="20"/>
          <w:szCs w:val="20"/>
          <w:lang w:val="es-ES"/>
        </w:rPr>
        <w:t xml:space="preserve">de </w:t>
      </w:r>
      <w:r w:rsidR="00AF613D" w:rsidRPr="00BC4C33">
        <w:rPr>
          <w:rFonts w:asciiTheme="majorHAnsi" w:hAnsiTheme="majorHAnsi"/>
          <w:sz w:val="20"/>
          <w:szCs w:val="20"/>
          <w:lang w:val="es-ES"/>
        </w:rPr>
        <w:t>que tod</w:t>
      </w:r>
      <w:r w:rsidR="00063267" w:rsidRPr="00BC4C33">
        <w:rPr>
          <w:rFonts w:asciiTheme="majorHAnsi" w:hAnsiTheme="majorHAnsi"/>
          <w:sz w:val="20"/>
          <w:szCs w:val="20"/>
          <w:lang w:val="es-ES"/>
        </w:rPr>
        <w:t>o</w:t>
      </w:r>
      <w:r w:rsidR="00AF613D" w:rsidRPr="00BC4C33">
        <w:rPr>
          <w:rFonts w:asciiTheme="majorHAnsi" w:hAnsiTheme="majorHAnsi"/>
          <w:sz w:val="20"/>
          <w:szCs w:val="20"/>
          <w:lang w:val="es-ES"/>
        </w:rPr>
        <w:t xml:space="preserve">s </w:t>
      </w:r>
      <w:r w:rsidR="00974326" w:rsidRPr="00BC4C33">
        <w:rPr>
          <w:rFonts w:asciiTheme="majorHAnsi" w:hAnsiTheme="majorHAnsi"/>
          <w:sz w:val="20"/>
          <w:szCs w:val="20"/>
          <w:lang w:val="es-ES"/>
        </w:rPr>
        <w:t xml:space="preserve">los </w:t>
      </w:r>
      <w:r>
        <w:rPr>
          <w:rFonts w:asciiTheme="majorHAnsi" w:hAnsiTheme="majorHAnsi"/>
          <w:sz w:val="20"/>
          <w:szCs w:val="20"/>
          <w:lang w:val="es-ES"/>
        </w:rPr>
        <w:t xml:space="preserve">campesinos </w:t>
      </w:r>
      <w:r w:rsidR="002F27B6" w:rsidRPr="00BC4C33">
        <w:rPr>
          <w:rFonts w:asciiTheme="majorHAnsi" w:hAnsiTheme="majorHAnsi"/>
          <w:sz w:val="20"/>
          <w:szCs w:val="20"/>
          <w:lang w:val="es-ES"/>
        </w:rPr>
        <w:t>que habían estado en la finca estaban imputad</w:t>
      </w:r>
      <w:r>
        <w:rPr>
          <w:rFonts w:asciiTheme="majorHAnsi" w:hAnsiTheme="majorHAnsi"/>
          <w:sz w:val="20"/>
          <w:szCs w:val="20"/>
          <w:lang w:val="es-ES"/>
        </w:rPr>
        <w:t>o</w:t>
      </w:r>
      <w:r w:rsidR="002F27B6" w:rsidRPr="00BC4C33">
        <w:rPr>
          <w:rFonts w:asciiTheme="majorHAnsi" w:hAnsiTheme="majorHAnsi"/>
          <w:sz w:val="20"/>
          <w:szCs w:val="20"/>
          <w:lang w:val="es-ES"/>
        </w:rPr>
        <w:t>s</w:t>
      </w:r>
      <w:r w:rsidR="00063267" w:rsidRPr="00BC4C33">
        <w:rPr>
          <w:rFonts w:asciiTheme="majorHAnsi" w:hAnsiTheme="majorHAnsi"/>
          <w:sz w:val="20"/>
          <w:szCs w:val="20"/>
          <w:lang w:val="es-ES"/>
        </w:rPr>
        <w:t>,</w:t>
      </w:r>
      <w:r w:rsidR="002F27B6" w:rsidRPr="00BC4C33">
        <w:rPr>
          <w:rFonts w:asciiTheme="majorHAnsi" w:hAnsiTheme="majorHAnsi"/>
          <w:sz w:val="20"/>
          <w:szCs w:val="20"/>
          <w:lang w:val="es-ES"/>
        </w:rPr>
        <w:t xml:space="preserve"> por lo que sus testimonios no tendrían validez</w:t>
      </w:r>
      <w:r>
        <w:rPr>
          <w:rFonts w:asciiTheme="majorHAnsi" w:hAnsiTheme="majorHAnsi"/>
          <w:sz w:val="20"/>
          <w:szCs w:val="20"/>
          <w:lang w:val="es-ES"/>
        </w:rPr>
        <w:t>.</w:t>
      </w:r>
      <w:r w:rsidR="002F27B6" w:rsidRPr="00BC4C33">
        <w:rPr>
          <w:rFonts w:asciiTheme="majorHAnsi" w:hAnsiTheme="majorHAnsi"/>
          <w:sz w:val="20"/>
          <w:szCs w:val="20"/>
          <w:lang w:val="es-ES"/>
        </w:rPr>
        <w:t xml:space="preserve"> </w:t>
      </w:r>
      <w:r>
        <w:rPr>
          <w:rFonts w:asciiTheme="majorHAnsi" w:hAnsiTheme="majorHAnsi"/>
          <w:sz w:val="20"/>
          <w:szCs w:val="20"/>
          <w:lang w:val="es-ES"/>
        </w:rPr>
        <w:t xml:space="preserve">Asimismo, indica que </w:t>
      </w:r>
      <w:r w:rsidR="002F27B6" w:rsidRPr="00BC4C33">
        <w:rPr>
          <w:rFonts w:asciiTheme="majorHAnsi" w:hAnsiTheme="majorHAnsi"/>
          <w:sz w:val="20"/>
          <w:szCs w:val="20"/>
          <w:lang w:val="es-ES"/>
        </w:rPr>
        <w:t xml:space="preserve">ignoró toda evidencia que desacreditara su hipótesis, </w:t>
      </w:r>
      <w:r>
        <w:rPr>
          <w:rFonts w:asciiTheme="majorHAnsi" w:hAnsiTheme="majorHAnsi"/>
          <w:sz w:val="20"/>
          <w:szCs w:val="20"/>
          <w:lang w:val="es-ES"/>
        </w:rPr>
        <w:t xml:space="preserve">tal </w:t>
      </w:r>
      <w:r w:rsidR="002F27B6" w:rsidRPr="00BC4C33">
        <w:rPr>
          <w:rFonts w:asciiTheme="majorHAnsi" w:hAnsiTheme="majorHAnsi"/>
          <w:sz w:val="20"/>
          <w:szCs w:val="20"/>
          <w:lang w:val="es-ES"/>
        </w:rPr>
        <w:t xml:space="preserve">como </w:t>
      </w:r>
      <w:r>
        <w:rPr>
          <w:rFonts w:asciiTheme="majorHAnsi" w:hAnsiTheme="majorHAnsi"/>
          <w:sz w:val="20"/>
          <w:szCs w:val="20"/>
          <w:lang w:val="es-ES"/>
        </w:rPr>
        <w:t xml:space="preserve">la </w:t>
      </w:r>
      <w:r w:rsidR="002F27B6" w:rsidRPr="00BC4C33">
        <w:rPr>
          <w:rFonts w:asciiTheme="majorHAnsi" w:hAnsiTheme="majorHAnsi"/>
          <w:sz w:val="20"/>
          <w:szCs w:val="20"/>
          <w:lang w:val="es-ES"/>
        </w:rPr>
        <w:t>evidencia de que en la finca allanada también se encontraban mujeres y niños</w:t>
      </w:r>
      <w:r>
        <w:rPr>
          <w:rFonts w:asciiTheme="majorHAnsi" w:hAnsiTheme="majorHAnsi"/>
          <w:sz w:val="20"/>
          <w:szCs w:val="20"/>
          <w:lang w:val="es-ES"/>
        </w:rPr>
        <w:t>,</w:t>
      </w:r>
      <w:r w:rsidR="002F27B6" w:rsidRPr="00BC4C33">
        <w:rPr>
          <w:rFonts w:asciiTheme="majorHAnsi" w:hAnsiTheme="majorHAnsi"/>
          <w:sz w:val="20"/>
          <w:szCs w:val="20"/>
          <w:lang w:val="es-ES"/>
        </w:rPr>
        <w:t xml:space="preserve"> e informes periciales que indicaban que las escopetas incautadas en la finca no habían sido disparadas</w:t>
      </w:r>
      <w:r>
        <w:rPr>
          <w:rFonts w:asciiTheme="majorHAnsi" w:hAnsiTheme="majorHAnsi"/>
          <w:sz w:val="20"/>
          <w:szCs w:val="20"/>
          <w:lang w:val="es-ES"/>
        </w:rPr>
        <w:t>.</w:t>
      </w:r>
      <w:r w:rsidR="002F27B6" w:rsidRPr="00BC4C33">
        <w:rPr>
          <w:rFonts w:asciiTheme="majorHAnsi" w:hAnsiTheme="majorHAnsi"/>
          <w:sz w:val="20"/>
          <w:szCs w:val="20"/>
          <w:lang w:val="es-ES"/>
        </w:rPr>
        <w:t xml:space="preserve"> </w:t>
      </w:r>
      <w:r>
        <w:rPr>
          <w:rFonts w:asciiTheme="majorHAnsi" w:hAnsiTheme="majorHAnsi"/>
          <w:sz w:val="20"/>
          <w:szCs w:val="20"/>
          <w:lang w:val="es-ES"/>
        </w:rPr>
        <w:t xml:space="preserve">También afirma que </w:t>
      </w:r>
      <w:r w:rsidR="002F27B6" w:rsidRPr="00BC4C33">
        <w:rPr>
          <w:rFonts w:asciiTheme="majorHAnsi" w:hAnsiTheme="majorHAnsi"/>
          <w:sz w:val="20"/>
          <w:szCs w:val="20"/>
          <w:lang w:val="es-ES"/>
        </w:rPr>
        <w:t xml:space="preserve">ocultó evidencia </w:t>
      </w:r>
      <w:r>
        <w:rPr>
          <w:rFonts w:asciiTheme="majorHAnsi" w:hAnsiTheme="majorHAnsi"/>
          <w:sz w:val="20"/>
          <w:szCs w:val="20"/>
          <w:lang w:val="es-ES"/>
        </w:rPr>
        <w:t>de</w:t>
      </w:r>
      <w:r w:rsidR="002F27B6" w:rsidRPr="00BC4C33">
        <w:rPr>
          <w:rFonts w:asciiTheme="majorHAnsi" w:hAnsiTheme="majorHAnsi"/>
          <w:sz w:val="20"/>
          <w:szCs w:val="20"/>
          <w:lang w:val="es-ES"/>
        </w:rPr>
        <w:t xml:space="preserve"> cientos de casquillos de armamento automático de 5.56mm que fueron </w:t>
      </w:r>
      <w:r w:rsidR="002F27B6" w:rsidRPr="00BC4C33">
        <w:rPr>
          <w:rFonts w:asciiTheme="majorHAnsi" w:hAnsiTheme="majorHAnsi"/>
          <w:sz w:val="20"/>
          <w:szCs w:val="20"/>
          <w:lang w:val="es-ES"/>
        </w:rPr>
        <w:lastRenderedPageBreak/>
        <w:t xml:space="preserve">encontrados en el lugar de los hechos; </w:t>
      </w:r>
      <w:r>
        <w:rPr>
          <w:rFonts w:asciiTheme="majorHAnsi" w:hAnsiTheme="majorHAnsi"/>
          <w:sz w:val="20"/>
          <w:szCs w:val="20"/>
          <w:lang w:val="es-ES"/>
        </w:rPr>
        <w:t xml:space="preserve">que </w:t>
      </w:r>
      <w:r w:rsidR="002F27B6" w:rsidRPr="00BC4C33">
        <w:rPr>
          <w:rFonts w:asciiTheme="majorHAnsi" w:hAnsiTheme="majorHAnsi"/>
          <w:sz w:val="20"/>
          <w:szCs w:val="20"/>
          <w:lang w:val="es-ES"/>
        </w:rPr>
        <w:t>rechazó pruebas solicitadas por la defensa</w:t>
      </w:r>
      <w:r>
        <w:rPr>
          <w:rFonts w:asciiTheme="majorHAnsi" w:hAnsiTheme="majorHAnsi"/>
          <w:sz w:val="20"/>
          <w:szCs w:val="20"/>
          <w:lang w:val="es-ES"/>
        </w:rPr>
        <w:t>,</w:t>
      </w:r>
      <w:r w:rsidR="002F27B6" w:rsidRPr="00BC4C33">
        <w:rPr>
          <w:rFonts w:asciiTheme="majorHAnsi" w:hAnsiTheme="majorHAnsi"/>
          <w:sz w:val="20"/>
          <w:szCs w:val="20"/>
          <w:lang w:val="es-ES"/>
        </w:rPr>
        <w:t xml:space="preserve"> tal como la práctica de dactiloscopía de las armas incautadas</w:t>
      </w:r>
      <w:r>
        <w:rPr>
          <w:rFonts w:asciiTheme="majorHAnsi" w:hAnsiTheme="majorHAnsi"/>
          <w:sz w:val="20"/>
          <w:szCs w:val="20"/>
          <w:lang w:val="es-ES"/>
        </w:rPr>
        <w:t>,</w:t>
      </w:r>
      <w:r w:rsidR="002F27B6" w:rsidRPr="00BC4C33">
        <w:rPr>
          <w:rFonts w:asciiTheme="majorHAnsi" w:hAnsiTheme="majorHAnsi"/>
          <w:sz w:val="20"/>
          <w:szCs w:val="20"/>
          <w:lang w:val="es-ES"/>
        </w:rPr>
        <w:t xml:space="preserve"> que hubiese permitido determinar si las personas encausadas las habían disparado; </w:t>
      </w:r>
      <w:r>
        <w:rPr>
          <w:rFonts w:asciiTheme="majorHAnsi" w:hAnsiTheme="majorHAnsi"/>
          <w:sz w:val="20"/>
          <w:szCs w:val="20"/>
          <w:lang w:val="es-ES"/>
        </w:rPr>
        <w:t xml:space="preserve">que </w:t>
      </w:r>
      <w:r w:rsidR="00CC56CD" w:rsidRPr="00BC4C33">
        <w:rPr>
          <w:rFonts w:asciiTheme="majorHAnsi" w:hAnsiTheme="majorHAnsi"/>
          <w:sz w:val="20"/>
          <w:szCs w:val="20"/>
          <w:lang w:val="es-ES"/>
        </w:rPr>
        <w:t>rehusó admitir la evidencia que demostraba que la finca allanada en realidad pertenecía a</w:t>
      </w:r>
      <w:r>
        <w:rPr>
          <w:rFonts w:asciiTheme="majorHAnsi" w:hAnsiTheme="majorHAnsi"/>
          <w:sz w:val="20"/>
          <w:szCs w:val="20"/>
          <w:lang w:val="es-ES"/>
        </w:rPr>
        <w:t>l</w:t>
      </w:r>
      <w:r w:rsidR="00CC56CD" w:rsidRPr="00BC4C33">
        <w:rPr>
          <w:rFonts w:asciiTheme="majorHAnsi" w:hAnsiTheme="majorHAnsi"/>
          <w:sz w:val="20"/>
          <w:szCs w:val="20"/>
          <w:lang w:val="es-ES"/>
        </w:rPr>
        <w:t xml:space="preserve"> INDERT, </w:t>
      </w:r>
      <w:r>
        <w:rPr>
          <w:rFonts w:asciiTheme="majorHAnsi" w:hAnsiTheme="majorHAnsi"/>
          <w:sz w:val="20"/>
          <w:szCs w:val="20"/>
          <w:lang w:val="es-ES"/>
        </w:rPr>
        <w:t xml:space="preserve">lo </w:t>
      </w:r>
      <w:r w:rsidR="00CC56CD" w:rsidRPr="00BC4C33">
        <w:rPr>
          <w:rFonts w:asciiTheme="majorHAnsi" w:hAnsiTheme="majorHAnsi"/>
          <w:sz w:val="20"/>
          <w:szCs w:val="20"/>
          <w:lang w:val="es-ES"/>
        </w:rPr>
        <w:t xml:space="preserve">que automáticamente habría desacreditado las acusaciones por invasión de inmueble ajeno; y </w:t>
      </w:r>
      <w:r>
        <w:rPr>
          <w:rFonts w:asciiTheme="majorHAnsi" w:hAnsiTheme="majorHAnsi"/>
          <w:sz w:val="20"/>
          <w:szCs w:val="20"/>
          <w:lang w:val="es-ES"/>
        </w:rPr>
        <w:t xml:space="preserve">que </w:t>
      </w:r>
      <w:r w:rsidR="00CC56CD" w:rsidRPr="00BC4C33">
        <w:rPr>
          <w:rFonts w:asciiTheme="majorHAnsi" w:hAnsiTheme="majorHAnsi"/>
          <w:sz w:val="20"/>
          <w:szCs w:val="20"/>
          <w:lang w:val="es-ES"/>
        </w:rPr>
        <w:t xml:space="preserve">no investigó a las autoridades policiales y </w:t>
      </w:r>
      <w:r>
        <w:rPr>
          <w:rFonts w:asciiTheme="majorHAnsi" w:hAnsiTheme="majorHAnsi"/>
          <w:sz w:val="20"/>
          <w:szCs w:val="20"/>
          <w:lang w:val="es-ES"/>
        </w:rPr>
        <w:t xml:space="preserve">fiscales </w:t>
      </w:r>
      <w:r w:rsidR="00CC56CD" w:rsidRPr="00BC4C33">
        <w:rPr>
          <w:rFonts w:asciiTheme="majorHAnsi" w:hAnsiTheme="majorHAnsi"/>
          <w:sz w:val="20"/>
          <w:szCs w:val="20"/>
          <w:lang w:val="es-ES"/>
        </w:rPr>
        <w:t>por haber realizado ilegalmente un desalojo</w:t>
      </w:r>
      <w:r>
        <w:rPr>
          <w:rFonts w:asciiTheme="majorHAnsi" w:hAnsiTheme="majorHAnsi"/>
          <w:sz w:val="20"/>
          <w:szCs w:val="20"/>
          <w:lang w:val="es-ES"/>
        </w:rPr>
        <w:t>,</w:t>
      </w:r>
      <w:r w:rsidR="00CC56CD" w:rsidRPr="00BC4C33">
        <w:rPr>
          <w:rFonts w:asciiTheme="majorHAnsi" w:hAnsiTheme="majorHAnsi"/>
          <w:sz w:val="20"/>
          <w:szCs w:val="20"/>
          <w:lang w:val="es-ES"/>
        </w:rPr>
        <w:t xml:space="preserve"> cuando la orden judicial </w:t>
      </w:r>
      <w:r>
        <w:rPr>
          <w:rFonts w:asciiTheme="majorHAnsi" w:hAnsiTheme="majorHAnsi"/>
          <w:sz w:val="20"/>
          <w:szCs w:val="20"/>
          <w:lang w:val="es-ES"/>
        </w:rPr>
        <w:t xml:space="preserve">expedida </w:t>
      </w:r>
      <w:r w:rsidR="00CC56CD" w:rsidRPr="00BC4C33">
        <w:rPr>
          <w:rFonts w:asciiTheme="majorHAnsi" w:hAnsiTheme="majorHAnsi"/>
          <w:sz w:val="20"/>
          <w:szCs w:val="20"/>
          <w:lang w:val="es-ES"/>
        </w:rPr>
        <w:t xml:space="preserve">solo les autorizaba </w:t>
      </w:r>
      <w:r>
        <w:rPr>
          <w:rFonts w:asciiTheme="majorHAnsi" w:hAnsiTheme="majorHAnsi"/>
          <w:sz w:val="20"/>
          <w:szCs w:val="20"/>
          <w:lang w:val="es-ES"/>
        </w:rPr>
        <w:t>a</w:t>
      </w:r>
      <w:r w:rsidR="00CC56CD" w:rsidRPr="00BC4C33">
        <w:rPr>
          <w:rFonts w:asciiTheme="majorHAnsi" w:hAnsiTheme="majorHAnsi"/>
          <w:sz w:val="20"/>
          <w:szCs w:val="20"/>
          <w:lang w:val="es-ES"/>
        </w:rPr>
        <w:t xml:space="preserve"> realizar un allanamiento. </w:t>
      </w:r>
      <w:r w:rsidR="00E21830" w:rsidRPr="00BC4C33">
        <w:rPr>
          <w:rFonts w:asciiTheme="majorHAnsi" w:hAnsiTheme="majorHAnsi"/>
          <w:sz w:val="20"/>
          <w:szCs w:val="20"/>
          <w:lang w:val="es-ES"/>
        </w:rPr>
        <w:t>E</w:t>
      </w:r>
      <w:r w:rsidR="00CC56CD" w:rsidRPr="00BC4C33">
        <w:rPr>
          <w:rFonts w:asciiTheme="majorHAnsi" w:hAnsiTheme="majorHAnsi"/>
          <w:sz w:val="20"/>
          <w:szCs w:val="20"/>
          <w:lang w:val="es-ES"/>
        </w:rPr>
        <w:t>l fiscal en cuestión fue recusado en dos ocasiones</w:t>
      </w:r>
      <w:r w:rsidR="00E21830" w:rsidRPr="00BC4C33">
        <w:rPr>
          <w:rFonts w:asciiTheme="majorHAnsi" w:hAnsiTheme="majorHAnsi"/>
          <w:sz w:val="20"/>
          <w:szCs w:val="20"/>
          <w:lang w:val="es-ES"/>
        </w:rPr>
        <w:t>,</w:t>
      </w:r>
      <w:r w:rsidR="00CC56CD" w:rsidRPr="00BC4C33">
        <w:rPr>
          <w:rFonts w:asciiTheme="majorHAnsi" w:hAnsiTheme="majorHAnsi"/>
          <w:sz w:val="20"/>
          <w:szCs w:val="20"/>
          <w:lang w:val="es-ES"/>
        </w:rPr>
        <w:t xml:space="preserve"> </w:t>
      </w:r>
      <w:r>
        <w:rPr>
          <w:rFonts w:asciiTheme="majorHAnsi" w:hAnsiTheme="majorHAnsi"/>
          <w:sz w:val="20"/>
          <w:szCs w:val="20"/>
          <w:lang w:val="es-ES"/>
        </w:rPr>
        <w:t xml:space="preserve">en que se </w:t>
      </w:r>
      <w:r w:rsidR="00CC56CD" w:rsidRPr="00BC4C33">
        <w:rPr>
          <w:rFonts w:asciiTheme="majorHAnsi" w:hAnsiTheme="majorHAnsi"/>
          <w:sz w:val="20"/>
          <w:szCs w:val="20"/>
          <w:lang w:val="es-ES"/>
        </w:rPr>
        <w:t>denunci</w:t>
      </w:r>
      <w:r>
        <w:rPr>
          <w:rFonts w:asciiTheme="majorHAnsi" w:hAnsiTheme="majorHAnsi"/>
          <w:sz w:val="20"/>
          <w:szCs w:val="20"/>
          <w:lang w:val="es-ES"/>
        </w:rPr>
        <w:t>aron</w:t>
      </w:r>
      <w:r w:rsidR="00CC56CD" w:rsidRPr="00BC4C33">
        <w:rPr>
          <w:rFonts w:asciiTheme="majorHAnsi" w:hAnsiTheme="majorHAnsi"/>
          <w:sz w:val="20"/>
          <w:szCs w:val="20"/>
          <w:lang w:val="es-ES"/>
        </w:rPr>
        <w:t xml:space="preserve"> las violaciones </w:t>
      </w:r>
      <w:r>
        <w:rPr>
          <w:rFonts w:asciiTheme="majorHAnsi" w:hAnsiTheme="majorHAnsi"/>
          <w:sz w:val="20"/>
          <w:szCs w:val="20"/>
          <w:lang w:val="es-ES"/>
        </w:rPr>
        <w:t>de</w:t>
      </w:r>
      <w:r w:rsidR="00CC56CD" w:rsidRPr="00BC4C33">
        <w:rPr>
          <w:rFonts w:asciiTheme="majorHAnsi" w:hAnsiTheme="majorHAnsi"/>
          <w:sz w:val="20"/>
          <w:szCs w:val="20"/>
          <w:lang w:val="es-ES"/>
        </w:rPr>
        <w:t xml:space="preserve"> debido proceso y su amistad manifiesta con una de las partes. Las recusaciones fracasaron</w:t>
      </w:r>
      <w:r>
        <w:rPr>
          <w:rFonts w:asciiTheme="majorHAnsi" w:hAnsiTheme="majorHAnsi"/>
          <w:sz w:val="20"/>
          <w:szCs w:val="20"/>
          <w:lang w:val="es-ES"/>
        </w:rPr>
        <w:t>,</w:t>
      </w:r>
      <w:r w:rsidR="00CC56CD" w:rsidRPr="00BC4C33">
        <w:rPr>
          <w:rFonts w:asciiTheme="majorHAnsi" w:hAnsiTheme="majorHAnsi"/>
          <w:sz w:val="20"/>
          <w:szCs w:val="20"/>
          <w:lang w:val="es-ES"/>
        </w:rPr>
        <w:t xml:space="preserve"> por lo que se denunció al fiscal por frustración de la persecución penal y persecución de inocentes, </w:t>
      </w:r>
      <w:r>
        <w:rPr>
          <w:rFonts w:asciiTheme="majorHAnsi" w:hAnsiTheme="majorHAnsi"/>
          <w:sz w:val="20"/>
          <w:szCs w:val="20"/>
          <w:lang w:val="es-ES"/>
        </w:rPr>
        <w:t xml:space="preserve">lo </w:t>
      </w:r>
      <w:r w:rsidR="00CC56CD" w:rsidRPr="00BC4C33">
        <w:rPr>
          <w:rFonts w:asciiTheme="majorHAnsi" w:hAnsiTheme="majorHAnsi"/>
          <w:sz w:val="20"/>
          <w:szCs w:val="20"/>
          <w:lang w:val="es-ES"/>
        </w:rPr>
        <w:t>que tampoco tuvo éxito.</w:t>
      </w:r>
    </w:p>
    <w:p w14:paraId="7DB20656" w14:textId="77777777" w:rsidR="00012432" w:rsidRPr="00BC4C33" w:rsidRDefault="00012432" w:rsidP="00A5270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4D0AFB5" w14:textId="3CC61A9E" w:rsidR="00012432" w:rsidRPr="00BC4C33" w:rsidRDefault="00A52704"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La</w:t>
      </w:r>
      <w:r w:rsidR="00CC56CD" w:rsidRPr="00BC4C33">
        <w:rPr>
          <w:rFonts w:asciiTheme="majorHAnsi" w:hAnsiTheme="majorHAnsi"/>
          <w:sz w:val="20"/>
          <w:szCs w:val="20"/>
          <w:lang w:val="es-ES"/>
        </w:rPr>
        <w:t xml:space="preserve"> investigación del fiscal se concretó en una acusación</w:t>
      </w:r>
      <w:r>
        <w:rPr>
          <w:rFonts w:asciiTheme="majorHAnsi" w:hAnsiTheme="majorHAnsi"/>
          <w:sz w:val="20"/>
          <w:szCs w:val="20"/>
          <w:lang w:val="es-ES"/>
        </w:rPr>
        <w:t>, y e</w:t>
      </w:r>
      <w:r w:rsidR="00CC56CD" w:rsidRPr="00BC4C33">
        <w:rPr>
          <w:rFonts w:asciiTheme="majorHAnsi" w:hAnsiTheme="majorHAnsi"/>
          <w:sz w:val="20"/>
          <w:szCs w:val="20"/>
          <w:lang w:val="es-ES"/>
        </w:rPr>
        <w:t>l 3 de junio de 2012 se abrió la audiencia preliminar</w:t>
      </w:r>
      <w:r>
        <w:rPr>
          <w:rFonts w:asciiTheme="majorHAnsi" w:hAnsiTheme="majorHAnsi"/>
          <w:sz w:val="20"/>
          <w:szCs w:val="20"/>
          <w:lang w:val="es-ES"/>
        </w:rPr>
        <w:t>,</w:t>
      </w:r>
      <w:r w:rsidR="00CC56CD" w:rsidRPr="00BC4C33">
        <w:rPr>
          <w:rFonts w:asciiTheme="majorHAnsi" w:hAnsiTheme="majorHAnsi"/>
          <w:sz w:val="20"/>
          <w:szCs w:val="20"/>
          <w:lang w:val="es-ES"/>
        </w:rPr>
        <w:t xml:space="preserve"> durante la cual la parte acusada planteó múltiples nulidades e incidentes</w:t>
      </w:r>
      <w:r>
        <w:rPr>
          <w:rFonts w:asciiTheme="majorHAnsi" w:hAnsiTheme="majorHAnsi"/>
          <w:sz w:val="20"/>
          <w:szCs w:val="20"/>
          <w:lang w:val="es-ES"/>
        </w:rPr>
        <w:t>;</w:t>
      </w:r>
      <w:r w:rsidR="00CC56CD" w:rsidRPr="00BC4C33">
        <w:rPr>
          <w:rFonts w:asciiTheme="majorHAnsi" w:hAnsiTheme="majorHAnsi"/>
          <w:sz w:val="20"/>
          <w:szCs w:val="20"/>
          <w:lang w:val="es-ES"/>
        </w:rPr>
        <w:t xml:space="preserve"> </w:t>
      </w:r>
      <w:r>
        <w:rPr>
          <w:rFonts w:asciiTheme="majorHAnsi" w:hAnsiTheme="majorHAnsi"/>
          <w:sz w:val="20"/>
          <w:szCs w:val="20"/>
          <w:lang w:val="es-ES"/>
        </w:rPr>
        <w:t>todos</w:t>
      </w:r>
      <w:r w:rsidR="00CC56CD" w:rsidRPr="00BC4C33">
        <w:rPr>
          <w:rFonts w:asciiTheme="majorHAnsi" w:hAnsiTheme="majorHAnsi"/>
          <w:sz w:val="20"/>
          <w:szCs w:val="20"/>
          <w:lang w:val="es-ES"/>
        </w:rPr>
        <w:t xml:space="preserve"> </w:t>
      </w:r>
      <w:r w:rsidR="00DF05F9" w:rsidRPr="00BC4C33">
        <w:rPr>
          <w:rFonts w:asciiTheme="majorHAnsi" w:hAnsiTheme="majorHAnsi"/>
          <w:sz w:val="20"/>
          <w:szCs w:val="20"/>
          <w:lang w:val="es-ES"/>
        </w:rPr>
        <w:t>fueron rechazados</w:t>
      </w:r>
      <w:r w:rsidR="00CC56CD" w:rsidRPr="00BC4C33">
        <w:rPr>
          <w:rFonts w:asciiTheme="majorHAnsi" w:hAnsiTheme="majorHAnsi"/>
          <w:sz w:val="20"/>
          <w:szCs w:val="20"/>
          <w:lang w:val="es-ES"/>
        </w:rPr>
        <w:t xml:space="preserve">. En especial, </w:t>
      </w:r>
      <w:r w:rsidR="00DF05F9" w:rsidRPr="00BC4C33">
        <w:rPr>
          <w:rFonts w:asciiTheme="majorHAnsi" w:hAnsiTheme="majorHAnsi"/>
          <w:sz w:val="20"/>
          <w:szCs w:val="20"/>
          <w:lang w:val="es-ES"/>
        </w:rPr>
        <w:t xml:space="preserve">se destaca que el órgano jurisdiccional rehusó solicitar informe a los </w:t>
      </w:r>
      <w:r>
        <w:rPr>
          <w:rFonts w:asciiTheme="majorHAnsi" w:hAnsiTheme="majorHAnsi"/>
          <w:sz w:val="20"/>
          <w:szCs w:val="20"/>
          <w:lang w:val="es-ES"/>
        </w:rPr>
        <w:t>r</w:t>
      </w:r>
      <w:r w:rsidR="00DF05F9" w:rsidRPr="00BC4C33">
        <w:rPr>
          <w:rFonts w:asciiTheme="majorHAnsi" w:hAnsiTheme="majorHAnsi"/>
          <w:sz w:val="20"/>
          <w:szCs w:val="20"/>
          <w:lang w:val="es-ES"/>
        </w:rPr>
        <w:t xml:space="preserve">egistros </w:t>
      </w:r>
      <w:r>
        <w:rPr>
          <w:rFonts w:asciiTheme="majorHAnsi" w:hAnsiTheme="majorHAnsi"/>
          <w:sz w:val="20"/>
          <w:szCs w:val="20"/>
          <w:lang w:val="es-ES"/>
        </w:rPr>
        <w:t>p</w:t>
      </w:r>
      <w:r w:rsidR="00DF05F9" w:rsidRPr="00BC4C33">
        <w:rPr>
          <w:rFonts w:asciiTheme="majorHAnsi" w:hAnsiTheme="majorHAnsi"/>
          <w:sz w:val="20"/>
          <w:szCs w:val="20"/>
          <w:lang w:val="es-ES"/>
        </w:rPr>
        <w:t>úblicos sobre la efectiva titularidad de la tierra, lo que era esencial para determinar el elemento de falta de consentimiento del titular.</w:t>
      </w:r>
    </w:p>
    <w:p w14:paraId="5F1DB824" w14:textId="31AA1411" w:rsidR="00197952" w:rsidRPr="00BC4C33" w:rsidRDefault="00DF05F9"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 </w:t>
      </w:r>
    </w:p>
    <w:p w14:paraId="78D63E0C" w14:textId="1ACA5715" w:rsidR="00197952" w:rsidRPr="00BC4C33" w:rsidRDefault="00197952"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E</w:t>
      </w:r>
      <w:r w:rsidR="00DF05F9" w:rsidRPr="00BC4C33">
        <w:rPr>
          <w:rFonts w:asciiTheme="majorHAnsi" w:hAnsiTheme="majorHAnsi"/>
          <w:sz w:val="20"/>
          <w:szCs w:val="20"/>
          <w:lang w:val="es-ES"/>
        </w:rPr>
        <w:t>l 27 de junio de 2015 se inició el juicio oral</w:t>
      </w:r>
      <w:r w:rsidRPr="00BC4C33">
        <w:rPr>
          <w:rFonts w:asciiTheme="majorHAnsi" w:hAnsiTheme="majorHAnsi"/>
          <w:sz w:val="20"/>
          <w:szCs w:val="20"/>
          <w:lang w:val="es-ES"/>
        </w:rPr>
        <w:t>;</w:t>
      </w:r>
      <w:r w:rsidR="00DF05F9" w:rsidRPr="00BC4C33">
        <w:rPr>
          <w:rFonts w:asciiTheme="majorHAnsi" w:hAnsiTheme="majorHAnsi"/>
          <w:sz w:val="20"/>
          <w:szCs w:val="20"/>
          <w:lang w:val="es-ES"/>
        </w:rPr>
        <w:t xml:space="preserve"> </w:t>
      </w:r>
      <w:r w:rsidRPr="00BC4C33">
        <w:rPr>
          <w:rFonts w:asciiTheme="majorHAnsi" w:hAnsiTheme="majorHAnsi"/>
          <w:sz w:val="20"/>
          <w:szCs w:val="20"/>
          <w:lang w:val="es-ES"/>
        </w:rPr>
        <w:t>s</w:t>
      </w:r>
      <w:r w:rsidR="00DF05F9" w:rsidRPr="00BC4C33">
        <w:rPr>
          <w:rFonts w:asciiTheme="majorHAnsi" w:hAnsiTheme="majorHAnsi"/>
          <w:sz w:val="20"/>
          <w:szCs w:val="20"/>
          <w:lang w:val="es-ES"/>
        </w:rPr>
        <w:t>in embargo</w:t>
      </w:r>
      <w:r w:rsidR="00867D72" w:rsidRPr="00BC4C33">
        <w:rPr>
          <w:rFonts w:asciiTheme="majorHAnsi" w:hAnsiTheme="majorHAnsi"/>
          <w:sz w:val="20"/>
          <w:szCs w:val="20"/>
          <w:lang w:val="es-ES"/>
        </w:rPr>
        <w:t>,</w:t>
      </w:r>
      <w:r w:rsidR="00DF05F9" w:rsidRPr="00BC4C33">
        <w:rPr>
          <w:rFonts w:asciiTheme="majorHAnsi" w:hAnsiTheme="majorHAnsi"/>
          <w:sz w:val="20"/>
          <w:szCs w:val="20"/>
          <w:lang w:val="es-ES"/>
        </w:rPr>
        <w:t xml:space="preserve"> para ese momento los abogados que ejercían la defensa de </w:t>
      </w:r>
      <w:r w:rsidR="001F2DF1" w:rsidRPr="00BC4C33">
        <w:rPr>
          <w:rFonts w:asciiTheme="majorHAnsi" w:hAnsiTheme="majorHAnsi"/>
          <w:sz w:val="20"/>
          <w:szCs w:val="20"/>
          <w:lang w:val="es-ES"/>
        </w:rPr>
        <w:t>los acusados</w:t>
      </w:r>
      <w:r w:rsidR="00DF05F9" w:rsidRPr="00BC4C33">
        <w:rPr>
          <w:rFonts w:asciiTheme="majorHAnsi" w:hAnsiTheme="majorHAnsi"/>
          <w:sz w:val="20"/>
          <w:szCs w:val="20"/>
          <w:lang w:val="es-ES"/>
        </w:rPr>
        <w:t xml:space="preserve"> habían sido sumariados por abuso del ejercicio de defensa, mala fe e incidentes dilatorios</w:t>
      </w:r>
      <w:r w:rsidR="00A52704">
        <w:rPr>
          <w:rFonts w:asciiTheme="majorHAnsi" w:hAnsiTheme="majorHAnsi"/>
          <w:sz w:val="20"/>
          <w:szCs w:val="20"/>
          <w:lang w:val="es-ES"/>
        </w:rPr>
        <w:t xml:space="preserve">. Por lo tanto, se limitó </w:t>
      </w:r>
      <w:r w:rsidR="00DF05F9" w:rsidRPr="00BC4C33">
        <w:rPr>
          <w:rFonts w:asciiTheme="majorHAnsi" w:hAnsiTheme="majorHAnsi"/>
          <w:sz w:val="20"/>
          <w:szCs w:val="20"/>
          <w:lang w:val="es-ES"/>
        </w:rPr>
        <w:t xml:space="preserve">el derecho </w:t>
      </w:r>
      <w:r w:rsidR="005F2345" w:rsidRPr="00BC4C33">
        <w:rPr>
          <w:rFonts w:asciiTheme="majorHAnsi" w:hAnsiTheme="majorHAnsi"/>
          <w:sz w:val="20"/>
          <w:szCs w:val="20"/>
          <w:lang w:val="es-ES"/>
        </w:rPr>
        <w:t xml:space="preserve">a la defensa técnica </w:t>
      </w:r>
      <w:r w:rsidR="00DF05F9" w:rsidRPr="00BC4C33">
        <w:rPr>
          <w:rFonts w:asciiTheme="majorHAnsi" w:hAnsiTheme="majorHAnsi"/>
          <w:sz w:val="20"/>
          <w:szCs w:val="20"/>
          <w:lang w:val="es-ES"/>
        </w:rPr>
        <w:t xml:space="preserve">de </w:t>
      </w:r>
      <w:r w:rsidR="001F2DF1" w:rsidRPr="00BC4C33">
        <w:rPr>
          <w:rFonts w:asciiTheme="majorHAnsi" w:hAnsiTheme="majorHAnsi"/>
          <w:sz w:val="20"/>
          <w:szCs w:val="20"/>
          <w:lang w:val="es-ES"/>
        </w:rPr>
        <w:t>los acusados</w:t>
      </w:r>
      <w:r w:rsidR="00A52704">
        <w:rPr>
          <w:rFonts w:asciiTheme="majorHAnsi" w:hAnsiTheme="majorHAnsi"/>
          <w:sz w:val="20"/>
          <w:szCs w:val="20"/>
          <w:lang w:val="es-ES"/>
        </w:rPr>
        <w:t>,</w:t>
      </w:r>
      <w:r w:rsidR="00DF05F9" w:rsidRPr="00BC4C33">
        <w:rPr>
          <w:rFonts w:asciiTheme="majorHAnsi" w:hAnsiTheme="majorHAnsi"/>
          <w:sz w:val="20"/>
          <w:szCs w:val="20"/>
          <w:lang w:val="es-ES"/>
        </w:rPr>
        <w:t xml:space="preserve"> pues sus abogados no podían presentar incidentes por temor a sanciones graves. </w:t>
      </w:r>
      <w:r w:rsidR="005F2345">
        <w:rPr>
          <w:rFonts w:asciiTheme="majorHAnsi" w:hAnsiTheme="majorHAnsi"/>
          <w:sz w:val="20"/>
          <w:szCs w:val="20"/>
          <w:lang w:val="es-ES"/>
        </w:rPr>
        <w:t>En consecuencia</w:t>
      </w:r>
      <w:r w:rsidR="00DF05F9" w:rsidRPr="00BC4C33">
        <w:rPr>
          <w:rFonts w:asciiTheme="majorHAnsi" w:hAnsiTheme="majorHAnsi"/>
          <w:sz w:val="20"/>
          <w:szCs w:val="20"/>
          <w:lang w:val="es-ES"/>
        </w:rPr>
        <w:t xml:space="preserve">, las personas acusadas debieron renunciar </w:t>
      </w:r>
      <w:r w:rsidR="000736C4" w:rsidRPr="00BC4C33">
        <w:rPr>
          <w:rFonts w:asciiTheme="majorHAnsi" w:hAnsiTheme="majorHAnsi"/>
          <w:sz w:val="20"/>
          <w:szCs w:val="20"/>
          <w:lang w:val="es-ES"/>
        </w:rPr>
        <w:t xml:space="preserve">a sus apoderados y el juicio quedó suspendido hasta que se constituyera una nueva representación. </w:t>
      </w:r>
      <w:r w:rsidR="005F2345">
        <w:rPr>
          <w:rFonts w:asciiTheme="majorHAnsi" w:hAnsiTheme="majorHAnsi"/>
          <w:sz w:val="20"/>
          <w:szCs w:val="20"/>
          <w:lang w:val="es-ES"/>
        </w:rPr>
        <w:t>El</w:t>
      </w:r>
      <w:r w:rsidR="000736C4" w:rsidRPr="00BC4C33">
        <w:rPr>
          <w:rFonts w:asciiTheme="majorHAnsi" w:hAnsiTheme="majorHAnsi"/>
          <w:sz w:val="20"/>
          <w:szCs w:val="20"/>
          <w:lang w:val="es-ES"/>
        </w:rPr>
        <w:t xml:space="preserve"> juicio comenzó nuevamente el 26 de agosto de 2015, </w:t>
      </w:r>
      <w:r w:rsidR="005F2345">
        <w:rPr>
          <w:rFonts w:asciiTheme="majorHAnsi" w:hAnsiTheme="majorHAnsi"/>
          <w:sz w:val="20"/>
          <w:szCs w:val="20"/>
          <w:lang w:val="es-ES"/>
        </w:rPr>
        <w:t>y</w:t>
      </w:r>
      <w:r w:rsidR="005F2345" w:rsidRPr="00BC4C33">
        <w:rPr>
          <w:rFonts w:asciiTheme="majorHAnsi" w:hAnsiTheme="majorHAnsi"/>
          <w:sz w:val="20"/>
          <w:szCs w:val="20"/>
          <w:lang w:val="es-ES"/>
        </w:rPr>
        <w:t xml:space="preserve"> la defensa </w:t>
      </w:r>
      <w:r w:rsidR="000736C4" w:rsidRPr="00BC4C33">
        <w:rPr>
          <w:rFonts w:asciiTheme="majorHAnsi" w:hAnsiTheme="majorHAnsi"/>
          <w:sz w:val="20"/>
          <w:szCs w:val="20"/>
          <w:lang w:val="es-ES"/>
        </w:rPr>
        <w:t>present</w:t>
      </w:r>
      <w:r w:rsidR="005F2345">
        <w:rPr>
          <w:rFonts w:asciiTheme="majorHAnsi" w:hAnsiTheme="majorHAnsi"/>
          <w:sz w:val="20"/>
          <w:szCs w:val="20"/>
          <w:lang w:val="es-ES"/>
        </w:rPr>
        <w:t>ó</w:t>
      </w:r>
      <w:r w:rsidR="000736C4" w:rsidRPr="00BC4C33">
        <w:rPr>
          <w:rFonts w:asciiTheme="majorHAnsi" w:hAnsiTheme="majorHAnsi"/>
          <w:sz w:val="20"/>
          <w:szCs w:val="20"/>
          <w:lang w:val="es-ES"/>
        </w:rPr>
        <w:t xml:space="preserve"> nuevos incidentes</w:t>
      </w:r>
      <w:r w:rsidRPr="00BC4C33">
        <w:rPr>
          <w:rFonts w:asciiTheme="majorHAnsi" w:hAnsiTheme="majorHAnsi"/>
          <w:sz w:val="20"/>
          <w:szCs w:val="20"/>
          <w:lang w:val="es-ES"/>
        </w:rPr>
        <w:t>;</w:t>
      </w:r>
      <w:r w:rsidR="000736C4" w:rsidRPr="00BC4C33">
        <w:rPr>
          <w:rFonts w:asciiTheme="majorHAnsi" w:hAnsiTheme="majorHAnsi"/>
          <w:sz w:val="20"/>
          <w:szCs w:val="20"/>
          <w:lang w:val="es-ES"/>
        </w:rPr>
        <w:t xml:space="preserve"> el Consejo de Superintendencia de la Corte Suprema de Justicia no solo sumarió a los nuevos representantes de la defensa sino también a los tres miembros del tribunal, lo que la parte peticionaria considera fue una forma de obligarles a rechazar todos los incidentes.</w:t>
      </w:r>
    </w:p>
    <w:p w14:paraId="1F077D17" w14:textId="77777777" w:rsidR="00012432" w:rsidRPr="00BC4C33" w:rsidRDefault="00012432"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50A7A0F" w14:textId="2271FA9F" w:rsidR="00CC56CD" w:rsidRPr="00BC4C33" w:rsidRDefault="00867D72"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Posteriormente, el </w:t>
      </w:r>
      <w:r w:rsidR="005F2345">
        <w:rPr>
          <w:rFonts w:asciiTheme="majorHAnsi" w:hAnsiTheme="majorHAnsi"/>
          <w:sz w:val="20"/>
          <w:szCs w:val="20"/>
          <w:lang w:val="es-ES"/>
        </w:rPr>
        <w:t>Congreso</w:t>
      </w:r>
      <w:r w:rsidRPr="00BC4C33">
        <w:rPr>
          <w:rFonts w:asciiTheme="majorHAnsi" w:hAnsiTheme="majorHAnsi"/>
          <w:sz w:val="20"/>
          <w:szCs w:val="20"/>
          <w:lang w:val="es-ES"/>
        </w:rPr>
        <w:t xml:space="preserve"> aprobó un proyecto de ley mediante el cual se permitía que los supuestos propietarios de la finca allanada </w:t>
      </w:r>
      <w:r w:rsidR="00197952" w:rsidRPr="00BC4C33">
        <w:rPr>
          <w:rFonts w:asciiTheme="majorHAnsi" w:hAnsiTheme="majorHAnsi"/>
          <w:sz w:val="20"/>
          <w:szCs w:val="20"/>
          <w:lang w:val="es-ES"/>
        </w:rPr>
        <w:t xml:space="preserve">la </w:t>
      </w:r>
      <w:r w:rsidRPr="00BC4C33">
        <w:rPr>
          <w:rFonts w:asciiTheme="majorHAnsi" w:hAnsiTheme="majorHAnsi"/>
          <w:sz w:val="20"/>
          <w:szCs w:val="20"/>
          <w:lang w:val="es-ES"/>
        </w:rPr>
        <w:t xml:space="preserve">donaran al Estado. Este proyecto fue promulgado por el </w:t>
      </w:r>
      <w:r w:rsidR="005F2345">
        <w:rPr>
          <w:rFonts w:asciiTheme="majorHAnsi" w:hAnsiTheme="majorHAnsi"/>
          <w:sz w:val="20"/>
          <w:szCs w:val="20"/>
          <w:lang w:val="es-ES"/>
        </w:rPr>
        <w:t>P</w:t>
      </w:r>
      <w:r w:rsidRPr="00BC4C33">
        <w:rPr>
          <w:rFonts w:asciiTheme="majorHAnsi" w:hAnsiTheme="majorHAnsi"/>
          <w:sz w:val="20"/>
          <w:szCs w:val="20"/>
          <w:lang w:val="es-ES"/>
        </w:rPr>
        <w:t>residente</w:t>
      </w:r>
      <w:r w:rsidR="005F2345">
        <w:rPr>
          <w:rFonts w:asciiTheme="majorHAnsi" w:hAnsiTheme="majorHAnsi"/>
          <w:sz w:val="20"/>
          <w:szCs w:val="20"/>
          <w:lang w:val="es-ES"/>
        </w:rPr>
        <w:t>,</w:t>
      </w:r>
      <w:r w:rsidRPr="00BC4C33">
        <w:rPr>
          <w:rFonts w:asciiTheme="majorHAnsi" w:hAnsiTheme="majorHAnsi"/>
          <w:sz w:val="20"/>
          <w:szCs w:val="20"/>
          <w:lang w:val="es-ES"/>
        </w:rPr>
        <w:t xml:space="preserve"> pese a que la </w:t>
      </w:r>
      <w:r w:rsidR="005F2345">
        <w:rPr>
          <w:rFonts w:asciiTheme="majorHAnsi" w:hAnsiTheme="majorHAnsi"/>
          <w:sz w:val="20"/>
          <w:szCs w:val="20"/>
          <w:lang w:val="es-ES"/>
        </w:rPr>
        <w:t>D</w:t>
      </w:r>
      <w:r w:rsidRPr="00BC4C33">
        <w:rPr>
          <w:rFonts w:asciiTheme="majorHAnsi" w:hAnsiTheme="majorHAnsi"/>
          <w:sz w:val="20"/>
          <w:szCs w:val="20"/>
          <w:lang w:val="es-ES"/>
        </w:rPr>
        <w:t>irectora del Registro Público advirtió que era improcedente</w:t>
      </w:r>
      <w:r w:rsidR="00197952" w:rsidRPr="00BC4C33">
        <w:rPr>
          <w:rFonts w:asciiTheme="majorHAnsi" w:hAnsiTheme="majorHAnsi"/>
          <w:sz w:val="20"/>
          <w:szCs w:val="20"/>
          <w:lang w:val="es-ES"/>
        </w:rPr>
        <w:t>,</w:t>
      </w:r>
      <w:r w:rsidRPr="00BC4C33">
        <w:rPr>
          <w:rFonts w:asciiTheme="majorHAnsi" w:hAnsiTheme="majorHAnsi"/>
          <w:sz w:val="20"/>
          <w:szCs w:val="20"/>
          <w:lang w:val="es-ES"/>
        </w:rPr>
        <w:t xml:space="preserve"> pues los supuestos donantes no eran propietarios de la finca según los registros de esa institución. La parte peticionaria alega que la aprobación de ese proyecto legislativo fue una maniobra para crear una ficción legal que sustentara la acusación por invasión de inmueble ajeno y garantizara la impunidad de quienes realizaron el desalojo ilegal.</w:t>
      </w:r>
    </w:p>
    <w:p w14:paraId="723271A1" w14:textId="77777777" w:rsidR="00012432" w:rsidRPr="00BC4C33" w:rsidRDefault="00012432"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8B399A5" w14:textId="1D8BB66C" w:rsidR="00057459" w:rsidRPr="00BC4C33" w:rsidRDefault="00197952"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D</w:t>
      </w:r>
      <w:r w:rsidR="004E7074" w:rsidRPr="00BC4C33">
        <w:rPr>
          <w:rFonts w:asciiTheme="majorHAnsi" w:hAnsiTheme="majorHAnsi"/>
          <w:sz w:val="20"/>
          <w:szCs w:val="20"/>
          <w:lang w:val="es-ES"/>
        </w:rPr>
        <w:t xml:space="preserve">urante el juicio oral el tribunal </w:t>
      </w:r>
      <w:r w:rsidRPr="00BC4C33">
        <w:rPr>
          <w:rFonts w:asciiTheme="majorHAnsi" w:hAnsiTheme="majorHAnsi"/>
          <w:sz w:val="20"/>
          <w:szCs w:val="20"/>
          <w:lang w:val="es-ES"/>
        </w:rPr>
        <w:t>desestim</w:t>
      </w:r>
      <w:r w:rsidR="005F2345">
        <w:rPr>
          <w:rFonts w:asciiTheme="majorHAnsi" w:hAnsiTheme="majorHAnsi"/>
          <w:sz w:val="20"/>
          <w:szCs w:val="20"/>
          <w:lang w:val="es-ES"/>
        </w:rPr>
        <w:t>ó</w:t>
      </w:r>
      <w:r w:rsidR="004E7074" w:rsidRPr="00BC4C33">
        <w:rPr>
          <w:rFonts w:asciiTheme="majorHAnsi" w:hAnsiTheme="majorHAnsi"/>
          <w:sz w:val="20"/>
          <w:szCs w:val="20"/>
          <w:lang w:val="es-ES"/>
        </w:rPr>
        <w:t xml:space="preserve"> toda prueba que contradijera la versión de la acusación. Además, </w:t>
      </w:r>
      <w:r w:rsidR="005F2345">
        <w:rPr>
          <w:rFonts w:asciiTheme="majorHAnsi" w:hAnsiTheme="majorHAnsi"/>
          <w:sz w:val="20"/>
          <w:szCs w:val="20"/>
          <w:lang w:val="es-ES"/>
        </w:rPr>
        <w:t xml:space="preserve">mientras </w:t>
      </w:r>
      <w:r w:rsidR="004E7074" w:rsidRPr="00BC4C33">
        <w:rPr>
          <w:rFonts w:asciiTheme="majorHAnsi" w:hAnsiTheme="majorHAnsi"/>
          <w:sz w:val="20"/>
          <w:szCs w:val="20"/>
          <w:lang w:val="es-ES"/>
        </w:rPr>
        <w:t>el proceso</w:t>
      </w:r>
      <w:r w:rsidR="005F2345">
        <w:rPr>
          <w:rFonts w:asciiTheme="majorHAnsi" w:hAnsiTheme="majorHAnsi"/>
          <w:sz w:val="20"/>
          <w:szCs w:val="20"/>
          <w:lang w:val="es-ES"/>
        </w:rPr>
        <w:t xml:space="preserve"> estaba en curso</w:t>
      </w:r>
      <w:r w:rsidR="004E7074" w:rsidRPr="00BC4C33">
        <w:rPr>
          <w:rFonts w:asciiTheme="majorHAnsi" w:hAnsiTheme="majorHAnsi"/>
          <w:sz w:val="20"/>
          <w:szCs w:val="20"/>
          <w:lang w:val="es-ES"/>
        </w:rPr>
        <w:t xml:space="preserve">, el fiscal a cargo fue designado Viceministro de Seguridad Interna, </w:t>
      </w:r>
      <w:r w:rsidR="005F2345">
        <w:rPr>
          <w:rFonts w:asciiTheme="majorHAnsi" w:hAnsiTheme="majorHAnsi"/>
          <w:sz w:val="20"/>
          <w:szCs w:val="20"/>
          <w:lang w:val="es-ES"/>
        </w:rPr>
        <w:t>lo que lo puso</w:t>
      </w:r>
      <w:r w:rsidR="004E7074" w:rsidRPr="00BC4C33">
        <w:rPr>
          <w:rFonts w:asciiTheme="majorHAnsi" w:hAnsiTheme="majorHAnsi"/>
          <w:sz w:val="20"/>
          <w:szCs w:val="20"/>
          <w:lang w:val="es-ES"/>
        </w:rPr>
        <w:t xml:space="preserve"> en superioridad jerárquica </w:t>
      </w:r>
      <w:r w:rsidR="005F2345">
        <w:rPr>
          <w:rFonts w:asciiTheme="majorHAnsi" w:hAnsiTheme="majorHAnsi"/>
          <w:sz w:val="20"/>
          <w:szCs w:val="20"/>
          <w:lang w:val="es-ES"/>
        </w:rPr>
        <w:t xml:space="preserve">respecto </w:t>
      </w:r>
      <w:r w:rsidR="004E7074" w:rsidRPr="00BC4C33">
        <w:rPr>
          <w:rFonts w:asciiTheme="majorHAnsi" w:hAnsiTheme="majorHAnsi"/>
          <w:sz w:val="20"/>
          <w:szCs w:val="20"/>
          <w:lang w:val="es-ES"/>
        </w:rPr>
        <w:t xml:space="preserve">de los policías en cuyas declaraciones se sustentaría principalmente la acusación. </w:t>
      </w:r>
      <w:r w:rsidR="005F2345">
        <w:rPr>
          <w:rFonts w:asciiTheme="majorHAnsi" w:hAnsiTheme="majorHAnsi"/>
          <w:sz w:val="20"/>
          <w:szCs w:val="20"/>
          <w:lang w:val="es-ES"/>
        </w:rPr>
        <w:t>T</w:t>
      </w:r>
      <w:r w:rsidR="005F2345" w:rsidRPr="00BC4C33">
        <w:rPr>
          <w:rFonts w:asciiTheme="majorHAnsi" w:hAnsiTheme="majorHAnsi"/>
          <w:sz w:val="20"/>
          <w:szCs w:val="20"/>
          <w:lang w:val="es-ES"/>
        </w:rPr>
        <w:t>odo el juicio oral se había desarrollado en base al tipo de homicidio doloso en grado de tentati</w:t>
      </w:r>
      <w:r w:rsidR="005F2345">
        <w:rPr>
          <w:rFonts w:asciiTheme="majorHAnsi" w:hAnsiTheme="majorHAnsi"/>
          <w:sz w:val="20"/>
          <w:szCs w:val="20"/>
          <w:lang w:val="es-ES"/>
        </w:rPr>
        <w:t>va; sin embargo, e</w:t>
      </w:r>
      <w:r w:rsidR="004E7074" w:rsidRPr="00BC4C33">
        <w:rPr>
          <w:rFonts w:asciiTheme="majorHAnsi" w:hAnsiTheme="majorHAnsi"/>
          <w:sz w:val="20"/>
          <w:szCs w:val="20"/>
          <w:lang w:val="es-ES"/>
        </w:rPr>
        <w:t xml:space="preserve">n la fase final la </w:t>
      </w:r>
      <w:r w:rsidRPr="00BC4C33">
        <w:rPr>
          <w:rFonts w:asciiTheme="majorHAnsi" w:hAnsiTheme="majorHAnsi"/>
          <w:sz w:val="20"/>
          <w:szCs w:val="20"/>
          <w:lang w:val="es-ES"/>
        </w:rPr>
        <w:t>f</w:t>
      </w:r>
      <w:r w:rsidR="004E7074" w:rsidRPr="00BC4C33">
        <w:rPr>
          <w:rFonts w:asciiTheme="majorHAnsi" w:hAnsiTheme="majorHAnsi"/>
          <w:sz w:val="20"/>
          <w:szCs w:val="20"/>
          <w:lang w:val="es-ES"/>
        </w:rPr>
        <w:t>iscalía cambi</w:t>
      </w:r>
      <w:r w:rsidRPr="00BC4C33">
        <w:rPr>
          <w:rFonts w:asciiTheme="majorHAnsi" w:hAnsiTheme="majorHAnsi"/>
          <w:sz w:val="20"/>
          <w:szCs w:val="20"/>
          <w:lang w:val="es-ES"/>
        </w:rPr>
        <w:t>ó</w:t>
      </w:r>
      <w:r w:rsidR="004E7074" w:rsidRPr="00BC4C33">
        <w:rPr>
          <w:rFonts w:asciiTheme="majorHAnsi" w:hAnsiTheme="majorHAnsi"/>
          <w:sz w:val="20"/>
          <w:szCs w:val="20"/>
          <w:lang w:val="es-ES"/>
        </w:rPr>
        <w:t xml:space="preserve"> súbitamente la acusación contra dos de las presuntas víctimas</w:t>
      </w:r>
      <w:r w:rsidR="004E7074" w:rsidRPr="00BC4C33">
        <w:rPr>
          <w:rStyle w:val="FootnoteReference"/>
          <w:rFonts w:asciiTheme="majorHAnsi" w:hAnsiTheme="majorHAnsi"/>
          <w:sz w:val="20"/>
          <w:szCs w:val="20"/>
          <w:lang w:val="es-ES"/>
        </w:rPr>
        <w:footnoteReference w:id="5"/>
      </w:r>
      <w:r w:rsidR="004E7074" w:rsidRPr="00BC4C33">
        <w:rPr>
          <w:rFonts w:asciiTheme="majorHAnsi" w:hAnsiTheme="majorHAnsi"/>
          <w:sz w:val="20"/>
          <w:szCs w:val="20"/>
          <w:lang w:val="es-ES"/>
        </w:rPr>
        <w:t xml:space="preserve"> </w:t>
      </w:r>
      <w:r w:rsidR="005F2345">
        <w:rPr>
          <w:rFonts w:asciiTheme="majorHAnsi" w:hAnsiTheme="majorHAnsi"/>
          <w:sz w:val="20"/>
          <w:szCs w:val="20"/>
          <w:lang w:val="es-ES"/>
        </w:rPr>
        <w:t xml:space="preserve">por la </w:t>
      </w:r>
      <w:r w:rsidR="004E7074" w:rsidRPr="00BC4C33">
        <w:rPr>
          <w:rFonts w:asciiTheme="majorHAnsi" w:hAnsiTheme="majorHAnsi"/>
          <w:sz w:val="20"/>
          <w:szCs w:val="20"/>
          <w:lang w:val="es-ES"/>
        </w:rPr>
        <w:t>de homicidio doloso agravado consumado</w:t>
      </w:r>
      <w:r w:rsidR="005F2345">
        <w:rPr>
          <w:rFonts w:asciiTheme="majorHAnsi" w:hAnsiTheme="majorHAnsi"/>
          <w:sz w:val="20"/>
          <w:szCs w:val="20"/>
          <w:lang w:val="es-ES"/>
        </w:rPr>
        <w:t xml:space="preserve">, lo que les privó de la </w:t>
      </w:r>
      <w:r w:rsidR="004E7074" w:rsidRPr="00BC4C33">
        <w:rPr>
          <w:rFonts w:asciiTheme="majorHAnsi" w:hAnsiTheme="majorHAnsi"/>
          <w:sz w:val="20"/>
          <w:szCs w:val="20"/>
          <w:lang w:val="es-ES"/>
        </w:rPr>
        <w:t xml:space="preserve">oportunidad de defenderse de la nueva acusación. Además, </w:t>
      </w:r>
      <w:r w:rsidR="001B7A5C" w:rsidRPr="00BC4C33">
        <w:rPr>
          <w:rFonts w:asciiTheme="majorHAnsi" w:hAnsiTheme="majorHAnsi"/>
          <w:sz w:val="20"/>
          <w:szCs w:val="20"/>
          <w:lang w:val="es-ES"/>
        </w:rPr>
        <w:t xml:space="preserve">en sus alegatos finales la </w:t>
      </w:r>
      <w:r w:rsidR="00057459" w:rsidRPr="00BC4C33">
        <w:rPr>
          <w:rFonts w:asciiTheme="majorHAnsi" w:hAnsiTheme="majorHAnsi"/>
          <w:sz w:val="20"/>
          <w:szCs w:val="20"/>
          <w:lang w:val="es-ES"/>
        </w:rPr>
        <w:t>f</w:t>
      </w:r>
      <w:r w:rsidR="001B7A5C" w:rsidRPr="00BC4C33">
        <w:rPr>
          <w:rFonts w:asciiTheme="majorHAnsi" w:hAnsiTheme="majorHAnsi"/>
          <w:sz w:val="20"/>
          <w:szCs w:val="20"/>
          <w:lang w:val="es-ES"/>
        </w:rPr>
        <w:t>iscalía sustent</w:t>
      </w:r>
      <w:r w:rsidR="00057459" w:rsidRPr="00BC4C33">
        <w:rPr>
          <w:rFonts w:asciiTheme="majorHAnsi" w:hAnsiTheme="majorHAnsi"/>
          <w:sz w:val="20"/>
          <w:szCs w:val="20"/>
          <w:lang w:val="es-ES"/>
        </w:rPr>
        <w:t>ó</w:t>
      </w:r>
      <w:r w:rsidR="001B7A5C" w:rsidRPr="00BC4C33">
        <w:rPr>
          <w:rFonts w:asciiTheme="majorHAnsi" w:hAnsiTheme="majorHAnsi"/>
          <w:sz w:val="20"/>
          <w:szCs w:val="20"/>
          <w:lang w:val="es-ES"/>
        </w:rPr>
        <w:t xml:space="preserve"> su acusación por invasión de inmueble ajeno en</w:t>
      </w:r>
      <w:r w:rsidR="005F2345">
        <w:rPr>
          <w:rFonts w:asciiTheme="majorHAnsi" w:hAnsiTheme="majorHAnsi"/>
          <w:sz w:val="20"/>
          <w:szCs w:val="20"/>
          <w:lang w:val="es-ES"/>
        </w:rPr>
        <w:t xml:space="preserve"> el hecho de</w:t>
      </w:r>
      <w:r w:rsidR="001B7A5C" w:rsidRPr="00BC4C33">
        <w:rPr>
          <w:rFonts w:asciiTheme="majorHAnsi" w:hAnsiTheme="majorHAnsi"/>
          <w:sz w:val="20"/>
          <w:szCs w:val="20"/>
          <w:lang w:val="es-ES"/>
        </w:rPr>
        <w:t xml:space="preserve"> que para llegar a la finca allanada las presuntas víctimas debieron pasar por otra finca que indiscutiblemente era de propiedad privada</w:t>
      </w:r>
      <w:r w:rsidR="005F2345">
        <w:rPr>
          <w:rFonts w:asciiTheme="majorHAnsi" w:hAnsiTheme="majorHAnsi"/>
          <w:sz w:val="20"/>
          <w:szCs w:val="20"/>
          <w:lang w:val="es-ES"/>
        </w:rPr>
        <w:t>, a pesar de que</w:t>
      </w:r>
      <w:r w:rsidR="001B7A5C" w:rsidRPr="00BC4C33">
        <w:rPr>
          <w:rFonts w:asciiTheme="majorHAnsi" w:hAnsiTheme="majorHAnsi"/>
          <w:sz w:val="20"/>
          <w:szCs w:val="20"/>
          <w:lang w:val="es-ES"/>
        </w:rPr>
        <w:t xml:space="preserve"> el juicio se había basado solo en la supuesta ocupación ilegal de la finca allanada. Se aduce que las presuntas víctimas no tuvieron oportunidad de defenderse </w:t>
      </w:r>
      <w:r w:rsidR="00057459" w:rsidRPr="00BC4C33">
        <w:rPr>
          <w:rFonts w:asciiTheme="majorHAnsi" w:hAnsiTheme="majorHAnsi"/>
          <w:sz w:val="20"/>
          <w:szCs w:val="20"/>
          <w:lang w:val="es-ES"/>
        </w:rPr>
        <w:t>acerca de</w:t>
      </w:r>
      <w:r w:rsidR="001B7A5C" w:rsidRPr="00BC4C33">
        <w:rPr>
          <w:rFonts w:asciiTheme="majorHAnsi" w:hAnsiTheme="majorHAnsi"/>
          <w:sz w:val="20"/>
          <w:szCs w:val="20"/>
          <w:lang w:val="es-ES"/>
        </w:rPr>
        <w:t xml:space="preserve"> su supuesto paso por la otra finca. </w:t>
      </w:r>
    </w:p>
    <w:p w14:paraId="65B7BBB4" w14:textId="77777777" w:rsidR="00012432" w:rsidRPr="00BC4C33" w:rsidRDefault="00012432" w:rsidP="005F234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7B54662" w14:textId="5674FCB6" w:rsidR="001B7A5C" w:rsidRPr="00BC4C33" w:rsidRDefault="001B7A5C"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Finalmente</w:t>
      </w:r>
      <w:r w:rsidR="00057459" w:rsidRPr="00BC4C33">
        <w:rPr>
          <w:rFonts w:asciiTheme="majorHAnsi" w:hAnsiTheme="majorHAnsi"/>
          <w:sz w:val="20"/>
          <w:szCs w:val="20"/>
          <w:lang w:val="es-ES"/>
        </w:rPr>
        <w:t>,</w:t>
      </w:r>
      <w:r w:rsidR="00FF373E" w:rsidRPr="00BC4C33">
        <w:rPr>
          <w:rFonts w:asciiTheme="majorHAnsi" w:hAnsiTheme="majorHAnsi"/>
          <w:sz w:val="20"/>
          <w:szCs w:val="20"/>
          <w:lang w:val="es-ES"/>
        </w:rPr>
        <w:t xml:space="preserve"> </w:t>
      </w:r>
      <w:r w:rsidRPr="00BC4C33">
        <w:rPr>
          <w:rFonts w:asciiTheme="majorHAnsi" w:hAnsiTheme="majorHAnsi"/>
          <w:sz w:val="20"/>
          <w:szCs w:val="20"/>
          <w:lang w:val="es-ES"/>
        </w:rPr>
        <w:t xml:space="preserve">el 11 de julio de 2016 se dictó </w:t>
      </w:r>
      <w:r w:rsidR="005F2345">
        <w:rPr>
          <w:rFonts w:asciiTheme="majorHAnsi" w:hAnsiTheme="majorHAnsi"/>
          <w:sz w:val="20"/>
          <w:szCs w:val="20"/>
          <w:lang w:val="es-ES"/>
        </w:rPr>
        <w:t xml:space="preserve">la </w:t>
      </w:r>
      <w:r w:rsidRPr="00BC4C33">
        <w:rPr>
          <w:rFonts w:asciiTheme="majorHAnsi" w:hAnsiTheme="majorHAnsi"/>
          <w:sz w:val="20"/>
          <w:szCs w:val="20"/>
          <w:lang w:val="es-ES"/>
        </w:rPr>
        <w:t xml:space="preserve">sentencia </w:t>
      </w:r>
      <w:r w:rsidR="005F2345">
        <w:rPr>
          <w:rFonts w:asciiTheme="majorHAnsi" w:hAnsiTheme="majorHAnsi"/>
          <w:sz w:val="20"/>
          <w:szCs w:val="20"/>
          <w:lang w:val="es-ES"/>
        </w:rPr>
        <w:t xml:space="preserve">en que se </w:t>
      </w:r>
      <w:r w:rsidRPr="00BC4C33">
        <w:rPr>
          <w:rFonts w:asciiTheme="majorHAnsi" w:hAnsiTheme="majorHAnsi"/>
          <w:sz w:val="20"/>
          <w:szCs w:val="20"/>
          <w:lang w:val="es-ES"/>
        </w:rPr>
        <w:t>conden</w:t>
      </w:r>
      <w:r w:rsidR="005F2345">
        <w:rPr>
          <w:rFonts w:asciiTheme="majorHAnsi" w:hAnsiTheme="majorHAnsi"/>
          <w:sz w:val="20"/>
          <w:szCs w:val="20"/>
          <w:lang w:val="es-ES"/>
        </w:rPr>
        <w:t>ó</w:t>
      </w:r>
      <w:r w:rsidRPr="00BC4C33">
        <w:rPr>
          <w:rFonts w:asciiTheme="majorHAnsi" w:hAnsiTheme="majorHAnsi"/>
          <w:sz w:val="20"/>
          <w:szCs w:val="20"/>
          <w:lang w:val="es-ES"/>
        </w:rPr>
        <w:t xml:space="preserve"> a todas las presuntas víctimas </w:t>
      </w:r>
      <w:r w:rsidR="00EC6AFE">
        <w:rPr>
          <w:rFonts w:asciiTheme="majorHAnsi" w:hAnsiTheme="majorHAnsi"/>
          <w:sz w:val="20"/>
          <w:szCs w:val="20"/>
          <w:lang w:val="es-ES"/>
        </w:rPr>
        <w:t>a</w:t>
      </w:r>
      <w:r w:rsidRPr="00BC4C33">
        <w:rPr>
          <w:rFonts w:asciiTheme="majorHAnsi" w:hAnsiTheme="majorHAnsi"/>
          <w:sz w:val="20"/>
          <w:szCs w:val="20"/>
          <w:lang w:val="es-ES"/>
        </w:rPr>
        <w:t xml:space="preserve"> penas de entre </w:t>
      </w:r>
      <w:r w:rsidR="006B4AC0" w:rsidRPr="00BC4C33">
        <w:rPr>
          <w:rFonts w:asciiTheme="majorHAnsi" w:hAnsiTheme="majorHAnsi"/>
          <w:sz w:val="20"/>
          <w:szCs w:val="20"/>
          <w:lang w:val="es-ES"/>
        </w:rPr>
        <w:t>cuatro</w:t>
      </w:r>
      <w:r w:rsidRPr="00BC4C33">
        <w:rPr>
          <w:rFonts w:asciiTheme="majorHAnsi" w:hAnsiTheme="majorHAnsi"/>
          <w:sz w:val="20"/>
          <w:szCs w:val="20"/>
          <w:lang w:val="es-ES"/>
        </w:rPr>
        <w:t xml:space="preserve"> y </w:t>
      </w:r>
      <w:r w:rsidR="006B4AC0" w:rsidRPr="00BC4C33">
        <w:rPr>
          <w:rFonts w:asciiTheme="majorHAnsi" w:hAnsiTheme="majorHAnsi"/>
          <w:sz w:val="20"/>
          <w:szCs w:val="20"/>
          <w:lang w:val="es-ES"/>
        </w:rPr>
        <w:t>treinta</w:t>
      </w:r>
      <w:r w:rsidRPr="00BC4C33">
        <w:rPr>
          <w:rFonts w:asciiTheme="majorHAnsi" w:hAnsiTheme="majorHAnsi"/>
          <w:sz w:val="20"/>
          <w:szCs w:val="20"/>
          <w:lang w:val="es-ES"/>
        </w:rPr>
        <w:t xml:space="preserve"> años de </w:t>
      </w:r>
      <w:r w:rsidR="00FF373E" w:rsidRPr="00BC4C33">
        <w:rPr>
          <w:rFonts w:asciiTheme="majorHAnsi" w:hAnsiTheme="majorHAnsi"/>
          <w:sz w:val="20"/>
          <w:szCs w:val="20"/>
          <w:lang w:val="es-ES"/>
        </w:rPr>
        <w:t>prisión</w:t>
      </w:r>
      <w:r w:rsidR="00FF373E" w:rsidRPr="00BC4C33">
        <w:rPr>
          <w:rStyle w:val="FootnoteReference"/>
          <w:rFonts w:asciiTheme="majorHAnsi" w:hAnsiTheme="majorHAnsi"/>
          <w:sz w:val="20"/>
          <w:szCs w:val="20"/>
          <w:lang w:val="es-ES"/>
        </w:rPr>
        <w:footnoteReference w:id="6"/>
      </w:r>
      <w:r w:rsidR="00FF373E" w:rsidRPr="00BC4C33">
        <w:rPr>
          <w:rFonts w:asciiTheme="majorHAnsi" w:hAnsiTheme="majorHAnsi"/>
          <w:sz w:val="20"/>
          <w:szCs w:val="20"/>
          <w:lang w:val="es-ES"/>
        </w:rPr>
        <w:t>. En su escrito del 24 de octubre de 2016</w:t>
      </w:r>
      <w:r w:rsidR="005F2345">
        <w:rPr>
          <w:rFonts w:asciiTheme="majorHAnsi" w:hAnsiTheme="majorHAnsi"/>
          <w:sz w:val="20"/>
          <w:szCs w:val="20"/>
          <w:lang w:val="es-ES"/>
        </w:rPr>
        <w:t>,</w:t>
      </w:r>
      <w:r w:rsidR="00FF373E" w:rsidRPr="00BC4C33">
        <w:rPr>
          <w:rFonts w:asciiTheme="majorHAnsi" w:hAnsiTheme="majorHAnsi"/>
          <w:sz w:val="20"/>
          <w:szCs w:val="20"/>
          <w:lang w:val="es-ES"/>
        </w:rPr>
        <w:t xml:space="preserve"> la parte peticionari</w:t>
      </w:r>
      <w:r w:rsidR="003E62F0" w:rsidRPr="00BC4C33">
        <w:rPr>
          <w:rFonts w:asciiTheme="majorHAnsi" w:hAnsiTheme="majorHAnsi"/>
          <w:sz w:val="20"/>
          <w:szCs w:val="20"/>
          <w:lang w:val="es-ES"/>
        </w:rPr>
        <w:t>a</w:t>
      </w:r>
      <w:r w:rsidR="00FF373E" w:rsidRPr="00BC4C33">
        <w:rPr>
          <w:rFonts w:asciiTheme="majorHAnsi" w:hAnsiTheme="majorHAnsi"/>
          <w:sz w:val="20"/>
          <w:szCs w:val="20"/>
          <w:lang w:val="es-ES"/>
        </w:rPr>
        <w:t xml:space="preserve"> </w:t>
      </w:r>
      <w:r w:rsidR="006B4AC0" w:rsidRPr="00BC4C33">
        <w:rPr>
          <w:rFonts w:asciiTheme="majorHAnsi" w:hAnsiTheme="majorHAnsi"/>
          <w:sz w:val="20"/>
          <w:szCs w:val="20"/>
          <w:lang w:val="es-ES"/>
        </w:rPr>
        <w:t>comunicó a la CIDH</w:t>
      </w:r>
      <w:r w:rsidR="00FF373E" w:rsidRPr="00BC4C33">
        <w:rPr>
          <w:rFonts w:asciiTheme="majorHAnsi" w:hAnsiTheme="majorHAnsi"/>
          <w:sz w:val="20"/>
          <w:szCs w:val="20"/>
          <w:lang w:val="es-ES"/>
        </w:rPr>
        <w:t xml:space="preserve"> que </w:t>
      </w:r>
      <w:r w:rsidR="006B4AC0" w:rsidRPr="00BC4C33">
        <w:rPr>
          <w:rFonts w:asciiTheme="majorHAnsi" w:hAnsiTheme="majorHAnsi"/>
          <w:sz w:val="20"/>
          <w:szCs w:val="20"/>
          <w:lang w:val="es-ES"/>
        </w:rPr>
        <w:t>cuatro</w:t>
      </w:r>
      <w:r w:rsidR="00FF373E" w:rsidRPr="00BC4C33">
        <w:rPr>
          <w:rFonts w:asciiTheme="majorHAnsi" w:hAnsiTheme="majorHAnsi"/>
          <w:sz w:val="20"/>
          <w:szCs w:val="20"/>
          <w:lang w:val="es-ES"/>
        </w:rPr>
        <w:t xml:space="preserve"> de las presuntas víctimas se encontraban cumpliendo pena de prisió</w:t>
      </w:r>
      <w:r w:rsidR="006B4AC0" w:rsidRPr="00BC4C33">
        <w:rPr>
          <w:rFonts w:asciiTheme="majorHAnsi" w:hAnsiTheme="majorHAnsi"/>
          <w:sz w:val="20"/>
          <w:szCs w:val="20"/>
          <w:lang w:val="es-ES"/>
        </w:rPr>
        <w:t>n;</w:t>
      </w:r>
      <w:r w:rsidR="003E62F0" w:rsidRPr="00BC4C33">
        <w:rPr>
          <w:rFonts w:asciiTheme="majorHAnsi" w:hAnsiTheme="majorHAnsi"/>
          <w:sz w:val="20"/>
          <w:szCs w:val="20"/>
          <w:lang w:val="es-ES"/>
        </w:rPr>
        <w:t xml:space="preserve"> </w:t>
      </w:r>
      <w:r w:rsidR="006B4AC0" w:rsidRPr="00BC4C33">
        <w:rPr>
          <w:rFonts w:asciiTheme="majorHAnsi" w:hAnsiTheme="majorHAnsi"/>
          <w:sz w:val="20"/>
          <w:szCs w:val="20"/>
          <w:lang w:val="es-ES"/>
        </w:rPr>
        <w:t>tres</w:t>
      </w:r>
      <w:r w:rsidR="003E62F0" w:rsidRPr="00BC4C33">
        <w:rPr>
          <w:rFonts w:asciiTheme="majorHAnsi" w:hAnsiTheme="majorHAnsi"/>
          <w:sz w:val="20"/>
          <w:szCs w:val="20"/>
          <w:lang w:val="es-ES"/>
        </w:rPr>
        <w:t xml:space="preserve"> se encontraban en detención domiciliaria</w:t>
      </w:r>
      <w:r w:rsidR="006B4AC0" w:rsidRPr="00BC4C33">
        <w:rPr>
          <w:rFonts w:asciiTheme="majorHAnsi" w:hAnsiTheme="majorHAnsi"/>
          <w:sz w:val="20"/>
          <w:szCs w:val="20"/>
          <w:lang w:val="es-ES"/>
        </w:rPr>
        <w:t>,</w:t>
      </w:r>
      <w:r w:rsidR="003E62F0" w:rsidRPr="00BC4C33">
        <w:rPr>
          <w:rFonts w:asciiTheme="majorHAnsi" w:hAnsiTheme="majorHAnsi"/>
          <w:sz w:val="20"/>
          <w:szCs w:val="20"/>
          <w:lang w:val="es-ES"/>
        </w:rPr>
        <w:t xml:space="preserve"> tras haber cumplido </w:t>
      </w:r>
      <w:r w:rsidR="006B4AC0" w:rsidRPr="00BC4C33">
        <w:rPr>
          <w:rFonts w:asciiTheme="majorHAnsi" w:hAnsiTheme="majorHAnsi"/>
          <w:sz w:val="20"/>
          <w:szCs w:val="20"/>
          <w:lang w:val="es-ES"/>
        </w:rPr>
        <w:t xml:space="preserve">cuatro </w:t>
      </w:r>
      <w:r w:rsidR="003E62F0" w:rsidRPr="00BC4C33">
        <w:rPr>
          <w:rFonts w:asciiTheme="majorHAnsi" w:hAnsiTheme="majorHAnsi"/>
          <w:sz w:val="20"/>
          <w:szCs w:val="20"/>
          <w:lang w:val="es-ES"/>
        </w:rPr>
        <w:t>años de prisión</w:t>
      </w:r>
      <w:r w:rsidR="006B4AC0" w:rsidRPr="00BC4C33">
        <w:rPr>
          <w:rFonts w:asciiTheme="majorHAnsi" w:hAnsiTheme="majorHAnsi"/>
          <w:sz w:val="20"/>
          <w:szCs w:val="20"/>
          <w:lang w:val="es-ES"/>
        </w:rPr>
        <w:t>;</w:t>
      </w:r>
      <w:r w:rsidR="003E62F0" w:rsidRPr="00BC4C33">
        <w:rPr>
          <w:rFonts w:asciiTheme="majorHAnsi" w:hAnsiTheme="majorHAnsi"/>
          <w:sz w:val="20"/>
          <w:szCs w:val="20"/>
          <w:lang w:val="es-ES"/>
        </w:rPr>
        <w:t xml:space="preserve"> y las restantes </w:t>
      </w:r>
      <w:r w:rsidR="006B4AC0" w:rsidRPr="00BC4C33">
        <w:rPr>
          <w:rFonts w:asciiTheme="majorHAnsi" w:hAnsiTheme="majorHAnsi"/>
          <w:sz w:val="20"/>
          <w:szCs w:val="20"/>
          <w:lang w:val="es-ES"/>
        </w:rPr>
        <w:t>cuatro</w:t>
      </w:r>
      <w:r w:rsidR="003E62F0" w:rsidRPr="00BC4C33">
        <w:rPr>
          <w:rFonts w:asciiTheme="majorHAnsi" w:hAnsiTheme="majorHAnsi"/>
          <w:sz w:val="20"/>
          <w:szCs w:val="20"/>
          <w:lang w:val="es-ES"/>
        </w:rPr>
        <w:t xml:space="preserve"> habían sido puestas en libertad tras haber cumplido sus penas de </w:t>
      </w:r>
      <w:r w:rsidR="006B4AC0" w:rsidRPr="00BC4C33">
        <w:rPr>
          <w:rFonts w:asciiTheme="majorHAnsi" w:hAnsiTheme="majorHAnsi"/>
          <w:sz w:val="20"/>
          <w:szCs w:val="20"/>
          <w:lang w:val="es-ES"/>
        </w:rPr>
        <w:t>cuatro</w:t>
      </w:r>
      <w:r w:rsidR="003E62F0" w:rsidRPr="00BC4C33">
        <w:rPr>
          <w:rFonts w:asciiTheme="majorHAnsi" w:hAnsiTheme="majorHAnsi"/>
          <w:sz w:val="20"/>
          <w:szCs w:val="20"/>
          <w:lang w:val="es-ES"/>
        </w:rPr>
        <w:t xml:space="preserve"> años de prisión.</w:t>
      </w:r>
    </w:p>
    <w:p w14:paraId="01452E2C" w14:textId="1C3893E6" w:rsidR="003E62F0" w:rsidRPr="00BC4C33" w:rsidRDefault="003E62F0"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El 1</w:t>
      </w:r>
      <w:r w:rsidR="0078365F">
        <w:rPr>
          <w:rFonts w:asciiTheme="majorHAnsi" w:hAnsiTheme="majorHAnsi"/>
          <w:sz w:val="20"/>
          <w:szCs w:val="20"/>
          <w:lang w:val="es-ES"/>
        </w:rPr>
        <w:t xml:space="preserve">º </w:t>
      </w:r>
      <w:r w:rsidRPr="00BC4C33">
        <w:rPr>
          <w:rFonts w:asciiTheme="majorHAnsi" w:hAnsiTheme="majorHAnsi"/>
          <w:sz w:val="20"/>
          <w:szCs w:val="20"/>
          <w:lang w:val="es-ES"/>
        </w:rPr>
        <w:t xml:space="preserve">de agosto de 2016 se presentó </w:t>
      </w:r>
      <w:r w:rsidR="005F2345">
        <w:rPr>
          <w:rFonts w:asciiTheme="majorHAnsi" w:hAnsiTheme="majorHAnsi"/>
          <w:sz w:val="20"/>
          <w:szCs w:val="20"/>
          <w:lang w:val="es-ES"/>
        </w:rPr>
        <w:t xml:space="preserve">un </w:t>
      </w:r>
      <w:r w:rsidRPr="00BC4C33">
        <w:rPr>
          <w:rFonts w:asciiTheme="majorHAnsi" w:hAnsiTheme="majorHAnsi"/>
          <w:sz w:val="20"/>
          <w:szCs w:val="20"/>
          <w:lang w:val="es-ES"/>
        </w:rPr>
        <w:t>recurso de apelación contra la sentencia condenatoria</w:t>
      </w:r>
      <w:r w:rsidR="005F2345">
        <w:rPr>
          <w:rFonts w:asciiTheme="majorHAnsi" w:hAnsiTheme="majorHAnsi"/>
          <w:sz w:val="20"/>
          <w:szCs w:val="20"/>
          <w:lang w:val="es-ES"/>
        </w:rPr>
        <w:t>, que</w:t>
      </w:r>
      <w:r w:rsidRPr="00BC4C33">
        <w:rPr>
          <w:rFonts w:asciiTheme="majorHAnsi" w:hAnsiTheme="majorHAnsi"/>
          <w:sz w:val="20"/>
          <w:szCs w:val="20"/>
          <w:lang w:val="es-ES"/>
        </w:rPr>
        <w:t xml:space="preserve"> fue resuelto el 29 de mayo de 2017</w:t>
      </w:r>
      <w:r w:rsidR="005F2345">
        <w:rPr>
          <w:rFonts w:asciiTheme="majorHAnsi" w:hAnsiTheme="majorHAnsi"/>
          <w:sz w:val="20"/>
          <w:szCs w:val="20"/>
          <w:lang w:val="es-ES"/>
        </w:rPr>
        <w:t xml:space="preserve"> con la confirmación de </w:t>
      </w:r>
      <w:r w:rsidRPr="00BC4C33">
        <w:rPr>
          <w:rFonts w:asciiTheme="majorHAnsi" w:hAnsiTheme="majorHAnsi"/>
          <w:sz w:val="20"/>
          <w:szCs w:val="20"/>
          <w:lang w:val="es-ES"/>
        </w:rPr>
        <w:t xml:space="preserve">la </w:t>
      </w:r>
      <w:r w:rsidR="006B4AC0" w:rsidRPr="00BC4C33">
        <w:rPr>
          <w:rFonts w:asciiTheme="majorHAnsi" w:hAnsiTheme="majorHAnsi"/>
          <w:sz w:val="20"/>
          <w:szCs w:val="20"/>
          <w:lang w:val="es-ES"/>
        </w:rPr>
        <w:t>decisión de primera instancia</w:t>
      </w:r>
      <w:r w:rsidRPr="00BC4C33">
        <w:rPr>
          <w:rFonts w:asciiTheme="majorHAnsi" w:hAnsiTheme="majorHAnsi"/>
          <w:sz w:val="20"/>
          <w:szCs w:val="20"/>
          <w:lang w:val="es-ES"/>
        </w:rPr>
        <w:t xml:space="preserve">. La parte </w:t>
      </w:r>
      <w:r w:rsidRPr="00BC4C33">
        <w:rPr>
          <w:rFonts w:asciiTheme="majorHAnsi" w:hAnsiTheme="majorHAnsi"/>
          <w:sz w:val="20"/>
          <w:szCs w:val="20"/>
          <w:lang w:val="es-ES"/>
        </w:rPr>
        <w:lastRenderedPageBreak/>
        <w:t xml:space="preserve">peticionaria reclama que </w:t>
      </w:r>
      <w:r w:rsidR="006B4AC0" w:rsidRPr="00BC4C33">
        <w:rPr>
          <w:rFonts w:asciiTheme="majorHAnsi" w:hAnsiTheme="majorHAnsi"/>
          <w:sz w:val="20"/>
          <w:szCs w:val="20"/>
          <w:lang w:val="es-ES"/>
        </w:rPr>
        <w:t>este</w:t>
      </w:r>
      <w:r w:rsidRPr="00BC4C33">
        <w:rPr>
          <w:rFonts w:asciiTheme="majorHAnsi" w:hAnsiTheme="majorHAnsi"/>
          <w:sz w:val="20"/>
          <w:szCs w:val="20"/>
          <w:lang w:val="es-ES"/>
        </w:rPr>
        <w:t xml:space="preserve"> recurso no fue resuelto d</w:t>
      </w:r>
      <w:r w:rsidR="00545D04" w:rsidRPr="00BC4C33">
        <w:rPr>
          <w:rFonts w:asciiTheme="majorHAnsi" w:hAnsiTheme="majorHAnsi"/>
          <w:sz w:val="20"/>
          <w:szCs w:val="20"/>
          <w:lang w:val="es-ES"/>
        </w:rPr>
        <w:t>entro de los plazos previstos en las normas aplicables. En su últim</w:t>
      </w:r>
      <w:r w:rsidR="006B4AC0" w:rsidRPr="00BC4C33">
        <w:rPr>
          <w:rFonts w:asciiTheme="majorHAnsi" w:hAnsiTheme="majorHAnsi"/>
          <w:sz w:val="20"/>
          <w:szCs w:val="20"/>
          <w:lang w:val="es-ES"/>
        </w:rPr>
        <w:t>a</w:t>
      </w:r>
      <w:r w:rsidR="00545D04" w:rsidRPr="00BC4C33">
        <w:rPr>
          <w:rFonts w:asciiTheme="majorHAnsi" w:hAnsiTheme="majorHAnsi"/>
          <w:sz w:val="20"/>
          <w:szCs w:val="20"/>
          <w:lang w:val="es-ES"/>
        </w:rPr>
        <w:t xml:space="preserve"> </w:t>
      </w:r>
      <w:r w:rsidR="006B4AC0" w:rsidRPr="00BC4C33">
        <w:rPr>
          <w:rFonts w:asciiTheme="majorHAnsi" w:hAnsiTheme="majorHAnsi"/>
          <w:sz w:val="20"/>
          <w:szCs w:val="20"/>
          <w:lang w:val="es-ES"/>
        </w:rPr>
        <w:t>comunicación a la CIDH</w:t>
      </w:r>
      <w:r w:rsidR="00545D04" w:rsidRPr="00BC4C33">
        <w:rPr>
          <w:rFonts w:asciiTheme="majorHAnsi" w:hAnsiTheme="majorHAnsi"/>
          <w:sz w:val="20"/>
          <w:szCs w:val="20"/>
          <w:lang w:val="es-ES"/>
        </w:rPr>
        <w:t xml:space="preserve"> </w:t>
      </w:r>
      <w:r w:rsidR="005F2345">
        <w:rPr>
          <w:rFonts w:asciiTheme="majorHAnsi" w:hAnsiTheme="majorHAnsi"/>
          <w:sz w:val="20"/>
          <w:szCs w:val="20"/>
          <w:lang w:val="es-ES"/>
        </w:rPr>
        <w:t>d</w:t>
      </w:r>
      <w:r w:rsidR="006B4AC0" w:rsidRPr="00BC4C33">
        <w:rPr>
          <w:rFonts w:asciiTheme="majorHAnsi" w:hAnsiTheme="majorHAnsi"/>
          <w:sz w:val="20"/>
          <w:szCs w:val="20"/>
          <w:lang w:val="es-ES"/>
        </w:rPr>
        <w:t>e</w:t>
      </w:r>
      <w:r w:rsidR="00545D04" w:rsidRPr="00BC4C33">
        <w:rPr>
          <w:rFonts w:asciiTheme="majorHAnsi" w:hAnsiTheme="majorHAnsi"/>
          <w:sz w:val="20"/>
          <w:szCs w:val="20"/>
          <w:lang w:val="es-ES"/>
        </w:rPr>
        <w:t xml:space="preserve"> 25 de octubre de 2017 la parte peticionaria informó que el 15 de junio de 2017 se había presentado un recurso extraordinario de casación contra la sentencia condenatoria, que estaba pendiente de decisión</w:t>
      </w:r>
      <w:r w:rsidR="006B4AC0" w:rsidRPr="00BC4C33">
        <w:rPr>
          <w:rFonts w:asciiTheme="majorHAnsi" w:hAnsiTheme="majorHAnsi"/>
          <w:sz w:val="20"/>
          <w:szCs w:val="20"/>
          <w:lang w:val="es-ES"/>
        </w:rPr>
        <w:t>,</w:t>
      </w:r>
      <w:r w:rsidR="00545D04" w:rsidRPr="00BC4C33">
        <w:rPr>
          <w:rFonts w:asciiTheme="majorHAnsi" w:hAnsiTheme="majorHAnsi"/>
          <w:sz w:val="20"/>
          <w:szCs w:val="20"/>
          <w:lang w:val="es-ES"/>
        </w:rPr>
        <w:t xml:space="preserve"> pese a haberse vencido el plazo de un mes previsto </w:t>
      </w:r>
      <w:r w:rsidR="005F2345">
        <w:rPr>
          <w:rFonts w:asciiTheme="majorHAnsi" w:hAnsiTheme="majorHAnsi"/>
          <w:sz w:val="20"/>
          <w:szCs w:val="20"/>
          <w:lang w:val="es-ES"/>
        </w:rPr>
        <w:t xml:space="preserve">al efecto </w:t>
      </w:r>
      <w:r w:rsidR="00545D04" w:rsidRPr="00BC4C33">
        <w:rPr>
          <w:rFonts w:asciiTheme="majorHAnsi" w:hAnsiTheme="majorHAnsi"/>
          <w:sz w:val="20"/>
          <w:szCs w:val="20"/>
          <w:lang w:val="es-ES"/>
        </w:rPr>
        <w:t xml:space="preserve">en la legislación interna. </w:t>
      </w:r>
      <w:r w:rsidR="005F2345">
        <w:rPr>
          <w:rFonts w:asciiTheme="majorHAnsi" w:hAnsiTheme="majorHAnsi"/>
          <w:sz w:val="20"/>
          <w:szCs w:val="20"/>
          <w:lang w:val="es-ES"/>
        </w:rPr>
        <w:t xml:space="preserve">Se </w:t>
      </w:r>
      <w:r w:rsidR="008A3960" w:rsidRPr="00BC4C33">
        <w:rPr>
          <w:rFonts w:asciiTheme="majorHAnsi" w:hAnsiTheme="majorHAnsi"/>
          <w:sz w:val="20"/>
          <w:szCs w:val="20"/>
          <w:lang w:val="es-ES"/>
        </w:rPr>
        <w:t xml:space="preserve">presentó </w:t>
      </w:r>
      <w:r w:rsidR="005F2345">
        <w:rPr>
          <w:rFonts w:asciiTheme="majorHAnsi" w:hAnsiTheme="majorHAnsi"/>
          <w:sz w:val="20"/>
          <w:szCs w:val="20"/>
          <w:lang w:val="es-ES"/>
        </w:rPr>
        <w:t xml:space="preserve">además </w:t>
      </w:r>
      <w:r w:rsidR="008A3960" w:rsidRPr="00BC4C33">
        <w:rPr>
          <w:rFonts w:asciiTheme="majorHAnsi" w:hAnsiTheme="majorHAnsi"/>
          <w:sz w:val="20"/>
          <w:szCs w:val="20"/>
          <w:lang w:val="es-ES"/>
        </w:rPr>
        <w:t>un recurso de hábeas corpus en favor de cuatro de las presuntas víctimas</w:t>
      </w:r>
      <w:r w:rsidR="008A3960" w:rsidRPr="00BC4C33">
        <w:rPr>
          <w:rStyle w:val="FootnoteReference"/>
          <w:rFonts w:asciiTheme="majorHAnsi" w:hAnsiTheme="majorHAnsi"/>
          <w:sz w:val="20"/>
          <w:szCs w:val="20"/>
          <w:lang w:val="es-ES"/>
        </w:rPr>
        <w:footnoteReference w:id="7"/>
      </w:r>
      <w:r w:rsidR="006B4AC0" w:rsidRPr="00BC4C33">
        <w:rPr>
          <w:rFonts w:asciiTheme="majorHAnsi" w:hAnsiTheme="majorHAnsi"/>
          <w:sz w:val="20"/>
          <w:szCs w:val="20"/>
          <w:lang w:val="es-ES"/>
        </w:rPr>
        <w:t>,</w:t>
      </w:r>
      <w:r w:rsidR="008A3960" w:rsidRPr="00BC4C33">
        <w:rPr>
          <w:rFonts w:asciiTheme="majorHAnsi" w:hAnsiTheme="majorHAnsi"/>
          <w:sz w:val="20"/>
          <w:szCs w:val="20"/>
          <w:lang w:val="es-ES"/>
        </w:rPr>
        <w:t xml:space="preserve"> qu</w:t>
      </w:r>
      <w:r w:rsidR="005F2345">
        <w:rPr>
          <w:rFonts w:asciiTheme="majorHAnsi" w:hAnsiTheme="majorHAnsi"/>
          <w:sz w:val="20"/>
          <w:szCs w:val="20"/>
          <w:lang w:val="es-ES"/>
        </w:rPr>
        <w:t>e</w:t>
      </w:r>
      <w:r w:rsidR="008A3960" w:rsidRPr="00BC4C33">
        <w:rPr>
          <w:rFonts w:asciiTheme="majorHAnsi" w:hAnsiTheme="majorHAnsi"/>
          <w:sz w:val="20"/>
          <w:szCs w:val="20"/>
          <w:lang w:val="es-ES"/>
        </w:rPr>
        <w:t xml:space="preserve"> </w:t>
      </w:r>
      <w:r w:rsidR="001169B9" w:rsidRPr="00BC4C33">
        <w:rPr>
          <w:rFonts w:asciiTheme="majorHAnsi" w:hAnsiTheme="majorHAnsi"/>
          <w:sz w:val="20"/>
          <w:szCs w:val="20"/>
          <w:lang w:val="es-ES"/>
        </w:rPr>
        <w:t>se encontraban privad</w:t>
      </w:r>
      <w:r w:rsidR="005F2345">
        <w:rPr>
          <w:rFonts w:asciiTheme="majorHAnsi" w:hAnsiTheme="majorHAnsi"/>
          <w:sz w:val="20"/>
          <w:szCs w:val="20"/>
          <w:lang w:val="es-ES"/>
        </w:rPr>
        <w:t>a</w:t>
      </w:r>
      <w:r w:rsidR="001169B9" w:rsidRPr="00BC4C33">
        <w:rPr>
          <w:rFonts w:asciiTheme="majorHAnsi" w:hAnsiTheme="majorHAnsi"/>
          <w:sz w:val="20"/>
          <w:szCs w:val="20"/>
          <w:lang w:val="es-ES"/>
        </w:rPr>
        <w:t xml:space="preserve">s de libertad por un tiempo superior a la pena mínima aplicable al delito que se les imputaba </w:t>
      </w:r>
      <w:r w:rsidR="005F2345">
        <w:rPr>
          <w:rFonts w:asciiTheme="majorHAnsi" w:hAnsiTheme="majorHAnsi"/>
          <w:sz w:val="20"/>
          <w:szCs w:val="20"/>
          <w:lang w:val="es-ES"/>
        </w:rPr>
        <w:t>--</w:t>
      </w:r>
      <w:r w:rsidR="006B4AC0" w:rsidRPr="00BC4C33">
        <w:rPr>
          <w:rFonts w:asciiTheme="majorHAnsi" w:hAnsiTheme="majorHAnsi"/>
          <w:sz w:val="20"/>
          <w:szCs w:val="20"/>
          <w:lang w:val="es-ES"/>
        </w:rPr>
        <w:t>cinco</w:t>
      </w:r>
      <w:r w:rsidR="001169B9" w:rsidRPr="00BC4C33">
        <w:rPr>
          <w:rFonts w:asciiTheme="majorHAnsi" w:hAnsiTheme="majorHAnsi"/>
          <w:sz w:val="20"/>
          <w:szCs w:val="20"/>
          <w:lang w:val="es-ES"/>
        </w:rPr>
        <w:t xml:space="preserve"> años</w:t>
      </w:r>
      <w:r w:rsidR="005F2345">
        <w:rPr>
          <w:rFonts w:asciiTheme="majorHAnsi" w:hAnsiTheme="majorHAnsi"/>
          <w:sz w:val="20"/>
          <w:szCs w:val="20"/>
          <w:lang w:val="es-ES"/>
        </w:rPr>
        <w:t>--</w:t>
      </w:r>
      <w:r w:rsidR="001169B9" w:rsidRPr="00BC4C33">
        <w:rPr>
          <w:rFonts w:asciiTheme="majorHAnsi" w:hAnsiTheme="majorHAnsi"/>
          <w:sz w:val="20"/>
          <w:szCs w:val="20"/>
          <w:lang w:val="es-ES"/>
        </w:rPr>
        <w:t xml:space="preserve"> sin que </w:t>
      </w:r>
      <w:r w:rsidR="005F2345">
        <w:rPr>
          <w:rFonts w:asciiTheme="majorHAnsi" w:hAnsiTheme="majorHAnsi"/>
          <w:sz w:val="20"/>
          <w:szCs w:val="20"/>
          <w:lang w:val="es-ES"/>
        </w:rPr>
        <w:t>hubiera</w:t>
      </w:r>
      <w:r w:rsidR="001169B9" w:rsidRPr="00BC4C33">
        <w:rPr>
          <w:rFonts w:asciiTheme="majorHAnsi" w:hAnsiTheme="majorHAnsi"/>
          <w:sz w:val="20"/>
          <w:szCs w:val="20"/>
          <w:lang w:val="es-ES"/>
        </w:rPr>
        <w:t xml:space="preserve"> una sentencia firme en su contra. Estos recursos fueron rechazados el 5 de julio y 12 de octubre de 2017</w:t>
      </w:r>
      <w:r w:rsidR="005F2345">
        <w:rPr>
          <w:rFonts w:asciiTheme="majorHAnsi" w:hAnsiTheme="majorHAnsi"/>
          <w:sz w:val="20"/>
          <w:szCs w:val="20"/>
          <w:lang w:val="es-ES"/>
        </w:rPr>
        <w:t>, respectivamente</w:t>
      </w:r>
      <w:r w:rsidR="001169B9" w:rsidRPr="00BC4C33">
        <w:rPr>
          <w:rFonts w:asciiTheme="majorHAnsi" w:hAnsiTheme="majorHAnsi"/>
          <w:sz w:val="20"/>
          <w:szCs w:val="20"/>
          <w:lang w:val="es-ES"/>
        </w:rPr>
        <w:t xml:space="preserve">. </w:t>
      </w:r>
    </w:p>
    <w:p w14:paraId="73D27A7C" w14:textId="77777777" w:rsidR="00012432" w:rsidRPr="00BC4C33" w:rsidRDefault="00012432"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8901C61" w14:textId="602603E4" w:rsidR="008A3960" w:rsidRPr="00BC4C33" w:rsidRDefault="00F86078"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Adicionalmente, l</w:t>
      </w:r>
      <w:r w:rsidR="007E4CBC">
        <w:rPr>
          <w:rFonts w:asciiTheme="majorHAnsi" w:hAnsiTheme="majorHAnsi"/>
          <w:sz w:val="20"/>
          <w:szCs w:val="20"/>
          <w:lang w:val="es-ES"/>
        </w:rPr>
        <w:t>a parte peticionaria</w:t>
      </w:r>
      <w:r w:rsidRPr="00BC4C33">
        <w:rPr>
          <w:rFonts w:asciiTheme="majorHAnsi" w:hAnsiTheme="majorHAnsi"/>
          <w:sz w:val="20"/>
          <w:szCs w:val="20"/>
          <w:lang w:val="es-ES"/>
        </w:rPr>
        <w:t xml:space="preserve"> </w:t>
      </w:r>
      <w:r w:rsidR="00FD12D4">
        <w:rPr>
          <w:rFonts w:asciiTheme="majorHAnsi" w:hAnsiTheme="majorHAnsi"/>
          <w:sz w:val="20"/>
          <w:szCs w:val="20"/>
          <w:lang w:val="es-ES"/>
        </w:rPr>
        <w:t xml:space="preserve">sostiene </w:t>
      </w:r>
      <w:r w:rsidR="00886E59" w:rsidRPr="00BC4C33">
        <w:rPr>
          <w:rFonts w:asciiTheme="majorHAnsi" w:hAnsiTheme="majorHAnsi"/>
          <w:sz w:val="20"/>
          <w:szCs w:val="20"/>
          <w:lang w:val="es-ES"/>
        </w:rPr>
        <w:t xml:space="preserve">que agentes estatales cometieron actos de tortura contra las personas detenidas en relación con los eventos del 15 de junio de 2012. </w:t>
      </w:r>
      <w:r w:rsidRPr="00BC4C33">
        <w:rPr>
          <w:rFonts w:asciiTheme="majorHAnsi" w:hAnsiTheme="majorHAnsi"/>
          <w:sz w:val="20"/>
          <w:szCs w:val="20"/>
          <w:lang w:val="es-ES"/>
        </w:rPr>
        <w:t>Indican</w:t>
      </w:r>
      <w:r w:rsidR="00886E59" w:rsidRPr="00BC4C33">
        <w:rPr>
          <w:rFonts w:asciiTheme="majorHAnsi" w:hAnsiTheme="majorHAnsi"/>
          <w:sz w:val="20"/>
          <w:szCs w:val="20"/>
          <w:lang w:val="es-ES"/>
        </w:rPr>
        <w:t xml:space="preserve"> que estos hechos fueron denunciados por la Coordinadora de Derechos Humanos de Paraguay (CODEHUPY)</w:t>
      </w:r>
      <w:r w:rsidRPr="00BC4C33">
        <w:rPr>
          <w:rFonts w:asciiTheme="majorHAnsi" w:hAnsiTheme="majorHAnsi"/>
          <w:sz w:val="20"/>
          <w:szCs w:val="20"/>
          <w:lang w:val="es-ES"/>
        </w:rPr>
        <w:t>,</w:t>
      </w:r>
      <w:r w:rsidR="00886E59" w:rsidRPr="00BC4C33">
        <w:rPr>
          <w:rFonts w:asciiTheme="majorHAnsi" w:hAnsiTheme="majorHAnsi"/>
          <w:sz w:val="20"/>
          <w:szCs w:val="20"/>
          <w:lang w:val="es-ES"/>
        </w:rPr>
        <w:t xml:space="preserve"> </w:t>
      </w:r>
      <w:r w:rsidR="007E4CBC">
        <w:rPr>
          <w:rFonts w:asciiTheme="majorHAnsi" w:hAnsiTheme="majorHAnsi"/>
          <w:sz w:val="20"/>
          <w:szCs w:val="20"/>
          <w:lang w:val="es-ES"/>
        </w:rPr>
        <w:t xml:space="preserve">pero </w:t>
      </w:r>
      <w:r w:rsidR="00886E59" w:rsidRPr="00BC4C33">
        <w:rPr>
          <w:rFonts w:asciiTheme="majorHAnsi" w:hAnsiTheme="majorHAnsi"/>
          <w:sz w:val="20"/>
          <w:szCs w:val="20"/>
          <w:lang w:val="es-ES"/>
        </w:rPr>
        <w:t xml:space="preserve">que la </w:t>
      </w:r>
      <w:r w:rsidRPr="00BC4C33">
        <w:rPr>
          <w:rFonts w:asciiTheme="majorHAnsi" w:hAnsiTheme="majorHAnsi"/>
          <w:sz w:val="20"/>
          <w:szCs w:val="20"/>
          <w:lang w:val="es-ES"/>
        </w:rPr>
        <w:t>f</w:t>
      </w:r>
      <w:r w:rsidR="00886E59" w:rsidRPr="00BC4C33">
        <w:rPr>
          <w:rFonts w:asciiTheme="majorHAnsi" w:hAnsiTheme="majorHAnsi"/>
          <w:sz w:val="20"/>
          <w:szCs w:val="20"/>
          <w:lang w:val="es-ES"/>
        </w:rPr>
        <w:t>iscalía</w:t>
      </w:r>
      <w:r w:rsidR="007E4CBC">
        <w:rPr>
          <w:rFonts w:asciiTheme="majorHAnsi" w:hAnsiTheme="majorHAnsi"/>
          <w:sz w:val="20"/>
          <w:szCs w:val="20"/>
          <w:lang w:val="es-ES"/>
        </w:rPr>
        <w:t xml:space="preserve"> no realizó</w:t>
      </w:r>
      <w:r w:rsidR="001463B9" w:rsidRPr="00BC4C33">
        <w:rPr>
          <w:rFonts w:asciiTheme="majorHAnsi" w:hAnsiTheme="majorHAnsi"/>
          <w:sz w:val="20"/>
          <w:szCs w:val="20"/>
          <w:lang w:val="es-ES"/>
        </w:rPr>
        <w:t xml:space="preserve"> diligencias encaminadas a identificar a los </w:t>
      </w:r>
      <w:r w:rsidR="007E4CBC" w:rsidRPr="00BC4C33">
        <w:rPr>
          <w:rFonts w:asciiTheme="majorHAnsi" w:hAnsiTheme="majorHAnsi"/>
          <w:sz w:val="20"/>
          <w:szCs w:val="20"/>
          <w:lang w:val="es-ES"/>
        </w:rPr>
        <w:t>policías</w:t>
      </w:r>
      <w:r w:rsidR="001463B9" w:rsidRPr="00BC4C33">
        <w:rPr>
          <w:rFonts w:asciiTheme="majorHAnsi" w:hAnsiTheme="majorHAnsi"/>
          <w:sz w:val="20"/>
          <w:szCs w:val="20"/>
          <w:lang w:val="es-ES"/>
        </w:rPr>
        <w:t xml:space="preserve"> involucrados. También denuncia que </w:t>
      </w:r>
      <w:r w:rsidR="00EC6AFE">
        <w:rPr>
          <w:rFonts w:asciiTheme="majorHAnsi" w:hAnsiTheme="majorHAnsi"/>
          <w:sz w:val="20"/>
          <w:szCs w:val="20"/>
          <w:lang w:val="es-ES"/>
        </w:rPr>
        <w:t>en esa misma</w:t>
      </w:r>
      <w:r w:rsidR="007E4CBC">
        <w:rPr>
          <w:rFonts w:asciiTheme="majorHAnsi" w:hAnsiTheme="majorHAnsi"/>
          <w:sz w:val="20"/>
          <w:szCs w:val="20"/>
          <w:lang w:val="es-ES"/>
        </w:rPr>
        <w:t xml:space="preserve"> fecha </w:t>
      </w:r>
      <w:r w:rsidR="001463B9" w:rsidRPr="00BC4C33">
        <w:rPr>
          <w:rFonts w:asciiTheme="majorHAnsi" w:hAnsiTheme="majorHAnsi"/>
          <w:sz w:val="20"/>
          <w:szCs w:val="20"/>
          <w:lang w:val="es-ES"/>
        </w:rPr>
        <w:t>agentes del Estado cometieron ejecuciones extrajudiciales y desapariciones forzadas</w:t>
      </w:r>
      <w:r w:rsidR="007E4CBC">
        <w:rPr>
          <w:rFonts w:asciiTheme="majorHAnsi" w:hAnsiTheme="majorHAnsi"/>
          <w:sz w:val="20"/>
          <w:szCs w:val="20"/>
          <w:lang w:val="es-ES"/>
        </w:rPr>
        <w:t>;</w:t>
      </w:r>
      <w:r w:rsidR="001463B9" w:rsidRPr="00BC4C33">
        <w:rPr>
          <w:rFonts w:asciiTheme="majorHAnsi" w:hAnsiTheme="majorHAnsi"/>
          <w:sz w:val="20"/>
          <w:szCs w:val="20"/>
          <w:lang w:val="es-ES"/>
        </w:rPr>
        <w:t xml:space="preserve"> </w:t>
      </w:r>
      <w:r w:rsidRPr="00BC4C33">
        <w:rPr>
          <w:rFonts w:asciiTheme="majorHAnsi" w:hAnsiTheme="majorHAnsi"/>
          <w:sz w:val="20"/>
          <w:szCs w:val="20"/>
          <w:lang w:val="es-ES"/>
        </w:rPr>
        <w:t>y</w:t>
      </w:r>
      <w:r w:rsidR="001463B9" w:rsidRPr="00BC4C33">
        <w:rPr>
          <w:rFonts w:asciiTheme="majorHAnsi" w:hAnsiTheme="majorHAnsi"/>
          <w:sz w:val="20"/>
          <w:szCs w:val="20"/>
          <w:lang w:val="es-ES"/>
        </w:rPr>
        <w:t xml:space="preserve"> que </w:t>
      </w:r>
      <w:r w:rsidR="000E40A8" w:rsidRPr="00BC4C33">
        <w:rPr>
          <w:rFonts w:asciiTheme="majorHAnsi" w:hAnsiTheme="majorHAnsi"/>
          <w:sz w:val="20"/>
          <w:szCs w:val="20"/>
          <w:lang w:val="es-ES"/>
        </w:rPr>
        <w:t xml:space="preserve">no prestaron el debido auxilio a </w:t>
      </w:r>
      <w:r w:rsidR="00974326" w:rsidRPr="00BC4C33">
        <w:rPr>
          <w:rFonts w:asciiTheme="majorHAnsi" w:hAnsiTheme="majorHAnsi"/>
          <w:sz w:val="20"/>
          <w:szCs w:val="20"/>
          <w:lang w:val="es-ES"/>
        </w:rPr>
        <w:t>los campesinos</w:t>
      </w:r>
      <w:r w:rsidR="000E40A8" w:rsidRPr="00BC4C33">
        <w:rPr>
          <w:rFonts w:asciiTheme="majorHAnsi" w:hAnsiTheme="majorHAnsi"/>
          <w:sz w:val="20"/>
          <w:szCs w:val="20"/>
          <w:lang w:val="es-ES"/>
        </w:rPr>
        <w:t xml:space="preserve"> herid</w:t>
      </w:r>
      <w:r w:rsidRPr="00BC4C33">
        <w:rPr>
          <w:rFonts w:asciiTheme="majorHAnsi" w:hAnsiTheme="majorHAnsi"/>
          <w:sz w:val="20"/>
          <w:szCs w:val="20"/>
          <w:lang w:val="es-ES"/>
        </w:rPr>
        <w:t>o</w:t>
      </w:r>
      <w:r w:rsidR="000E40A8" w:rsidRPr="00BC4C33">
        <w:rPr>
          <w:rFonts w:asciiTheme="majorHAnsi" w:hAnsiTheme="majorHAnsi"/>
          <w:sz w:val="20"/>
          <w:szCs w:val="20"/>
          <w:lang w:val="es-ES"/>
        </w:rPr>
        <w:t>s</w:t>
      </w:r>
      <w:r w:rsidR="007E4CBC">
        <w:rPr>
          <w:rFonts w:asciiTheme="majorHAnsi" w:hAnsiTheme="majorHAnsi"/>
          <w:sz w:val="20"/>
          <w:szCs w:val="20"/>
          <w:lang w:val="es-ES"/>
        </w:rPr>
        <w:t>, ni</w:t>
      </w:r>
      <w:r w:rsidR="000E40A8" w:rsidRPr="00BC4C33">
        <w:rPr>
          <w:rFonts w:asciiTheme="majorHAnsi" w:hAnsiTheme="majorHAnsi"/>
          <w:sz w:val="20"/>
          <w:szCs w:val="20"/>
          <w:lang w:val="es-ES"/>
        </w:rPr>
        <w:t xml:space="preserve"> trataron con dignidad los cuerpos de </w:t>
      </w:r>
      <w:r w:rsidR="00974326" w:rsidRPr="00BC4C33">
        <w:rPr>
          <w:rFonts w:asciiTheme="majorHAnsi" w:hAnsiTheme="majorHAnsi"/>
          <w:sz w:val="20"/>
          <w:szCs w:val="20"/>
          <w:lang w:val="es-ES"/>
        </w:rPr>
        <w:t>los</w:t>
      </w:r>
      <w:r w:rsidRPr="00BC4C33">
        <w:rPr>
          <w:rFonts w:asciiTheme="majorHAnsi" w:hAnsiTheme="majorHAnsi"/>
          <w:sz w:val="20"/>
          <w:szCs w:val="20"/>
          <w:lang w:val="es-ES"/>
        </w:rPr>
        <w:t xml:space="preserve"> </w:t>
      </w:r>
      <w:r w:rsidR="000E40A8" w:rsidRPr="00BC4C33">
        <w:rPr>
          <w:rFonts w:asciiTheme="majorHAnsi" w:hAnsiTheme="majorHAnsi"/>
          <w:sz w:val="20"/>
          <w:szCs w:val="20"/>
          <w:lang w:val="es-ES"/>
        </w:rPr>
        <w:t>fallecid</w:t>
      </w:r>
      <w:r w:rsidRPr="00BC4C33">
        <w:rPr>
          <w:rFonts w:asciiTheme="majorHAnsi" w:hAnsiTheme="majorHAnsi"/>
          <w:sz w:val="20"/>
          <w:szCs w:val="20"/>
          <w:lang w:val="es-ES"/>
        </w:rPr>
        <w:t>o</w:t>
      </w:r>
      <w:r w:rsidR="000E40A8" w:rsidRPr="00BC4C33">
        <w:rPr>
          <w:rFonts w:asciiTheme="majorHAnsi" w:hAnsiTheme="majorHAnsi"/>
          <w:sz w:val="20"/>
          <w:szCs w:val="20"/>
          <w:lang w:val="es-ES"/>
        </w:rPr>
        <w:t xml:space="preserve">s. </w:t>
      </w:r>
      <w:r w:rsidRPr="00BC4C33">
        <w:rPr>
          <w:rFonts w:asciiTheme="majorHAnsi" w:hAnsiTheme="majorHAnsi"/>
          <w:sz w:val="20"/>
          <w:szCs w:val="20"/>
          <w:lang w:val="es-ES"/>
        </w:rPr>
        <w:t>E</w:t>
      </w:r>
      <w:r w:rsidR="000E40A8" w:rsidRPr="00BC4C33">
        <w:rPr>
          <w:rFonts w:asciiTheme="majorHAnsi" w:hAnsiTheme="majorHAnsi"/>
          <w:sz w:val="20"/>
          <w:szCs w:val="20"/>
          <w:lang w:val="es-ES"/>
        </w:rPr>
        <w:t xml:space="preserve">n cambio, </w:t>
      </w:r>
      <w:r w:rsidR="007E4CBC" w:rsidRPr="00BC4C33">
        <w:rPr>
          <w:rFonts w:asciiTheme="majorHAnsi" w:hAnsiTheme="majorHAnsi"/>
          <w:sz w:val="20"/>
          <w:szCs w:val="20"/>
          <w:lang w:val="es-ES"/>
        </w:rPr>
        <w:t xml:space="preserve">sí habrían sido tratados con diligencia y dignidad </w:t>
      </w:r>
      <w:r w:rsidR="000E40A8" w:rsidRPr="00BC4C33">
        <w:rPr>
          <w:rFonts w:asciiTheme="majorHAnsi" w:hAnsiTheme="majorHAnsi"/>
          <w:sz w:val="20"/>
          <w:szCs w:val="20"/>
          <w:lang w:val="es-ES"/>
        </w:rPr>
        <w:t xml:space="preserve">los policías heridos y los cuerpos de los </w:t>
      </w:r>
      <w:r w:rsidR="007E4CBC">
        <w:rPr>
          <w:rFonts w:asciiTheme="majorHAnsi" w:hAnsiTheme="majorHAnsi"/>
          <w:sz w:val="20"/>
          <w:szCs w:val="20"/>
          <w:lang w:val="es-ES"/>
        </w:rPr>
        <w:t xml:space="preserve">agentes </w:t>
      </w:r>
      <w:r w:rsidR="000E40A8" w:rsidRPr="00BC4C33">
        <w:rPr>
          <w:rFonts w:asciiTheme="majorHAnsi" w:hAnsiTheme="majorHAnsi"/>
          <w:sz w:val="20"/>
          <w:szCs w:val="20"/>
          <w:lang w:val="es-ES"/>
        </w:rPr>
        <w:t xml:space="preserve">fallecidos. </w:t>
      </w:r>
      <w:r w:rsidR="007E4CBC">
        <w:rPr>
          <w:rFonts w:asciiTheme="majorHAnsi" w:hAnsiTheme="majorHAnsi"/>
          <w:sz w:val="20"/>
          <w:szCs w:val="20"/>
          <w:lang w:val="es-ES"/>
        </w:rPr>
        <w:t xml:space="preserve">Con </w:t>
      </w:r>
      <w:r w:rsidR="000E40A8" w:rsidRPr="00BC4C33">
        <w:rPr>
          <w:rFonts w:asciiTheme="majorHAnsi" w:hAnsiTheme="majorHAnsi"/>
          <w:sz w:val="20"/>
          <w:szCs w:val="20"/>
          <w:lang w:val="es-ES"/>
        </w:rPr>
        <w:t xml:space="preserve">la petición se adjunta copia de dos </w:t>
      </w:r>
      <w:r w:rsidR="004437A9" w:rsidRPr="00BC4C33">
        <w:rPr>
          <w:rFonts w:asciiTheme="majorHAnsi" w:hAnsiTheme="majorHAnsi"/>
          <w:sz w:val="20"/>
          <w:szCs w:val="20"/>
          <w:lang w:val="es-ES"/>
        </w:rPr>
        <w:t>denuncias presentad</w:t>
      </w:r>
      <w:r w:rsidR="007E4CBC">
        <w:rPr>
          <w:rFonts w:asciiTheme="majorHAnsi" w:hAnsiTheme="majorHAnsi"/>
          <w:sz w:val="20"/>
          <w:szCs w:val="20"/>
          <w:lang w:val="es-ES"/>
        </w:rPr>
        <w:t>as</w:t>
      </w:r>
      <w:r w:rsidR="004437A9" w:rsidRPr="00BC4C33">
        <w:rPr>
          <w:rFonts w:asciiTheme="majorHAnsi" w:hAnsiTheme="majorHAnsi"/>
          <w:sz w:val="20"/>
          <w:szCs w:val="20"/>
          <w:lang w:val="es-ES"/>
        </w:rPr>
        <w:t xml:space="preserve"> ante la </w:t>
      </w:r>
      <w:r w:rsidRPr="00BC4C33">
        <w:rPr>
          <w:rFonts w:asciiTheme="majorHAnsi" w:hAnsiTheme="majorHAnsi"/>
          <w:sz w:val="20"/>
          <w:szCs w:val="20"/>
          <w:lang w:val="es-ES"/>
        </w:rPr>
        <w:t>f</w:t>
      </w:r>
      <w:r w:rsidR="004437A9" w:rsidRPr="00BC4C33">
        <w:rPr>
          <w:rFonts w:asciiTheme="majorHAnsi" w:hAnsiTheme="majorHAnsi"/>
          <w:sz w:val="20"/>
          <w:szCs w:val="20"/>
          <w:lang w:val="es-ES"/>
        </w:rPr>
        <w:t xml:space="preserve">iscalía en 2012. La primera </w:t>
      </w:r>
      <w:r w:rsidR="00F11F0D" w:rsidRPr="00BC4C33">
        <w:rPr>
          <w:rFonts w:asciiTheme="majorHAnsi" w:hAnsiTheme="majorHAnsi"/>
          <w:sz w:val="20"/>
          <w:szCs w:val="20"/>
          <w:lang w:val="es-ES"/>
        </w:rPr>
        <w:t>denunciaba</w:t>
      </w:r>
      <w:r w:rsidR="004437A9" w:rsidRPr="00BC4C33">
        <w:rPr>
          <w:rFonts w:asciiTheme="majorHAnsi" w:hAnsiTheme="majorHAnsi"/>
          <w:sz w:val="20"/>
          <w:szCs w:val="20"/>
          <w:lang w:val="es-ES"/>
        </w:rPr>
        <w:t xml:space="preserve"> que dos campesinos</w:t>
      </w:r>
      <w:r w:rsidR="004437A9" w:rsidRPr="00BC4C33">
        <w:rPr>
          <w:rStyle w:val="FootnoteReference"/>
          <w:rFonts w:asciiTheme="majorHAnsi" w:hAnsiTheme="majorHAnsi"/>
          <w:sz w:val="20"/>
          <w:szCs w:val="20"/>
          <w:lang w:val="es-ES"/>
        </w:rPr>
        <w:footnoteReference w:id="8"/>
      </w:r>
      <w:r w:rsidR="004437A9" w:rsidRPr="00BC4C33">
        <w:rPr>
          <w:rFonts w:asciiTheme="majorHAnsi" w:hAnsiTheme="majorHAnsi"/>
          <w:sz w:val="20"/>
          <w:szCs w:val="20"/>
          <w:lang w:val="es-ES"/>
        </w:rPr>
        <w:t xml:space="preserve"> habían sido víctimas de ejecuciones extrajudiciales durante el operativo de 15 de junio de 2012</w:t>
      </w:r>
      <w:r w:rsidR="00DD03D6" w:rsidRPr="00BC4C33">
        <w:rPr>
          <w:rFonts w:asciiTheme="majorHAnsi" w:hAnsiTheme="majorHAnsi"/>
          <w:sz w:val="20"/>
          <w:szCs w:val="20"/>
          <w:lang w:val="es-ES"/>
        </w:rPr>
        <w:t>,</w:t>
      </w:r>
      <w:r w:rsidR="004437A9" w:rsidRPr="00BC4C33">
        <w:rPr>
          <w:rFonts w:asciiTheme="majorHAnsi" w:hAnsiTheme="majorHAnsi"/>
          <w:sz w:val="20"/>
          <w:szCs w:val="20"/>
          <w:lang w:val="es-ES"/>
        </w:rPr>
        <w:t xml:space="preserve"> y solicitaba además que se </w:t>
      </w:r>
      <w:r w:rsidR="00F11F0D" w:rsidRPr="00BC4C33">
        <w:rPr>
          <w:rFonts w:asciiTheme="majorHAnsi" w:hAnsiTheme="majorHAnsi"/>
          <w:sz w:val="20"/>
          <w:szCs w:val="20"/>
          <w:lang w:val="es-ES"/>
        </w:rPr>
        <w:t xml:space="preserve">realizaran investigaciones respecto a </w:t>
      </w:r>
      <w:r w:rsidR="007E4CBC">
        <w:rPr>
          <w:rFonts w:asciiTheme="majorHAnsi" w:hAnsiTheme="majorHAnsi"/>
          <w:sz w:val="20"/>
          <w:szCs w:val="20"/>
          <w:lang w:val="es-ES"/>
        </w:rPr>
        <w:t xml:space="preserve">las </w:t>
      </w:r>
      <w:r w:rsidR="00F11F0D" w:rsidRPr="00BC4C33">
        <w:rPr>
          <w:rFonts w:asciiTheme="majorHAnsi" w:hAnsiTheme="majorHAnsi"/>
          <w:sz w:val="20"/>
          <w:szCs w:val="20"/>
          <w:lang w:val="es-ES"/>
        </w:rPr>
        <w:t>posibles desapariciones forzadas</w:t>
      </w:r>
      <w:r w:rsidR="007E4CBC">
        <w:rPr>
          <w:rFonts w:asciiTheme="majorHAnsi" w:hAnsiTheme="majorHAnsi"/>
          <w:sz w:val="20"/>
          <w:szCs w:val="20"/>
          <w:lang w:val="es-ES"/>
        </w:rPr>
        <w:t>,</w:t>
      </w:r>
      <w:r w:rsidR="00F11F0D" w:rsidRPr="00BC4C33">
        <w:rPr>
          <w:rFonts w:asciiTheme="majorHAnsi" w:hAnsiTheme="majorHAnsi"/>
          <w:sz w:val="20"/>
          <w:szCs w:val="20"/>
          <w:lang w:val="es-ES"/>
        </w:rPr>
        <w:t xml:space="preserve"> sin especificar presuntas víctimas. En la segunda</w:t>
      </w:r>
      <w:r w:rsidR="00DD03D6" w:rsidRPr="00BC4C33">
        <w:rPr>
          <w:rFonts w:asciiTheme="majorHAnsi" w:hAnsiTheme="majorHAnsi"/>
          <w:sz w:val="20"/>
          <w:szCs w:val="20"/>
          <w:lang w:val="es-ES"/>
        </w:rPr>
        <w:t>,</w:t>
      </w:r>
      <w:r w:rsidR="00F11F0D" w:rsidRPr="00BC4C33">
        <w:rPr>
          <w:rFonts w:asciiTheme="majorHAnsi" w:hAnsiTheme="majorHAnsi"/>
          <w:sz w:val="20"/>
          <w:szCs w:val="20"/>
          <w:lang w:val="es-ES"/>
        </w:rPr>
        <w:t xml:space="preserve"> se denunciaba detenciones arbitrarias y la omisión de la </w:t>
      </w:r>
      <w:r w:rsidR="00DD03D6" w:rsidRPr="00BC4C33">
        <w:rPr>
          <w:rFonts w:asciiTheme="majorHAnsi" w:hAnsiTheme="majorHAnsi"/>
          <w:sz w:val="20"/>
          <w:szCs w:val="20"/>
          <w:lang w:val="es-ES"/>
        </w:rPr>
        <w:t>p</w:t>
      </w:r>
      <w:r w:rsidR="00F11F0D" w:rsidRPr="00BC4C33">
        <w:rPr>
          <w:rFonts w:asciiTheme="majorHAnsi" w:hAnsiTheme="majorHAnsi"/>
          <w:sz w:val="20"/>
          <w:szCs w:val="20"/>
          <w:lang w:val="es-ES"/>
        </w:rPr>
        <w:t xml:space="preserve">olicía de brindar debida atención a </w:t>
      </w:r>
      <w:r w:rsidR="00974326" w:rsidRPr="00BC4C33">
        <w:rPr>
          <w:rFonts w:asciiTheme="majorHAnsi" w:hAnsiTheme="majorHAnsi"/>
          <w:sz w:val="20"/>
          <w:szCs w:val="20"/>
          <w:lang w:val="es-ES"/>
        </w:rPr>
        <w:t>campesinos</w:t>
      </w:r>
      <w:r w:rsidR="00F11F0D" w:rsidRPr="00BC4C33">
        <w:rPr>
          <w:rFonts w:asciiTheme="majorHAnsi" w:hAnsiTheme="majorHAnsi"/>
          <w:sz w:val="20"/>
          <w:szCs w:val="20"/>
          <w:lang w:val="es-ES"/>
        </w:rPr>
        <w:t xml:space="preserve"> herid</w:t>
      </w:r>
      <w:r w:rsidR="00DD03D6" w:rsidRPr="00BC4C33">
        <w:rPr>
          <w:rFonts w:asciiTheme="majorHAnsi" w:hAnsiTheme="majorHAnsi"/>
          <w:sz w:val="20"/>
          <w:szCs w:val="20"/>
          <w:lang w:val="es-ES"/>
        </w:rPr>
        <w:t>o</w:t>
      </w:r>
      <w:r w:rsidR="00F11F0D" w:rsidRPr="00BC4C33">
        <w:rPr>
          <w:rFonts w:asciiTheme="majorHAnsi" w:hAnsiTheme="majorHAnsi"/>
          <w:sz w:val="20"/>
          <w:szCs w:val="20"/>
          <w:lang w:val="es-ES"/>
        </w:rPr>
        <w:t xml:space="preserve">s. </w:t>
      </w:r>
      <w:r w:rsidR="00D0674D" w:rsidRPr="00BC4C33">
        <w:rPr>
          <w:rFonts w:asciiTheme="majorHAnsi" w:hAnsiTheme="majorHAnsi"/>
          <w:sz w:val="20"/>
          <w:szCs w:val="20"/>
          <w:lang w:val="es-ES"/>
        </w:rPr>
        <w:t>En su última comunicación</w:t>
      </w:r>
      <w:r w:rsidR="00DD03D6" w:rsidRPr="00BC4C33">
        <w:rPr>
          <w:rFonts w:asciiTheme="majorHAnsi" w:hAnsiTheme="majorHAnsi"/>
          <w:sz w:val="20"/>
          <w:szCs w:val="20"/>
          <w:lang w:val="es-ES"/>
        </w:rPr>
        <w:t xml:space="preserve"> a la CIDH</w:t>
      </w:r>
      <w:r w:rsidR="00D0674D" w:rsidRPr="00BC4C33">
        <w:rPr>
          <w:rFonts w:asciiTheme="majorHAnsi" w:hAnsiTheme="majorHAnsi"/>
          <w:sz w:val="20"/>
          <w:szCs w:val="20"/>
          <w:lang w:val="es-ES"/>
        </w:rPr>
        <w:t xml:space="preserve"> de 25 de octubre de 2017</w:t>
      </w:r>
      <w:r w:rsidR="00DD03D6" w:rsidRPr="00BC4C33">
        <w:rPr>
          <w:rFonts w:asciiTheme="majorHAnsi" w:hAnsiTheme="majorHAnsi"/>
          <w:sz w:val="20"/>
          <w:szCs w:val="20"/>
          <w:lang w:val="es-ES"/>
        </w:rPr>
        <w:t>,</w:t>
      </w:r>
      <w:r w:rsidR="00D0674D" w:rsidRPr="00BC4C33">
        <w:rPr>
          <w:rFonts w:asciiTheme="majorHAnsi" w:hAnsiTheme="majorHAnsi"/>
          <w:sz w:val="20"/>
          <w:szCs w:val="20"/>
          <w:lang w:val="es-ES"/>
        </w:rPr>
        <w:t xml:space="preserve"> la parte peticionaria denunció que el Estado no había brindado respuesta real </w:t>
      </w:r>
      <w:r w:rsidR="007E4CBC">
        <w:rPr>
          <w:rFonts w:asciiTheme="majorHAnsi" w:hAnsiTheme="majorHAnsi"/>
          <w:sz w:val="20"/>
          <w:szCs w:val="20"/>
          <w:lang w:val="es-ES"/>
        </w:rPr>
        <w:t>ni</w:t>
      </w:r>
      <w:r w:rsidR="00D0674D" w:rsidRPr="00BC4C33">
        <w:rPr>
          <w:rFonts w:asciiTheme="majorHAnsi" w:hAnsiTheme="majorHAnsi"/>
          <w:sz w:val="20"/>
          <w:szCs w:val="20"/>
          <w:lang w:val="es-ES"/>
        </w:rPr>
        <w:t xml:space="preserve"> efectiva a estas denuncias</w:t>
      </w:r>
      <w:r w:rsidR="006849C1" w:rsidRPr="00BC4C33">
        <w:rPr>
          <w:rFonts w:asciiTheme="majorHAnsi" w:hAnsiTheme="majorHAnsi"/>
          <w:sz w:val="20"/>
          <w:szCs w:val="20"/>
          <w:lang w:val="es-ES"/>
        </w:rPr>
        <w:t>,</w:t>
      </w:r>
      <w:r w:rsidR="00D0674D" w:rsidRPr="00BC4C33">
        <w:rPr>
          <w:rFonts w:asciiTheme="majorHAnsi" w:hAnsiTheme="majorHAnsi"/>
          <w:sz w:val="20"/>
          <w:szCs w:val="20"/>
          <w:lang w:val="es-ES"/>
        </w:rPr>
        <w:t xml:space="preserve"> pese a haber transcurrido más de </w:t>
      </w:r>
      <w:r w:rsidR="006849C1" w:rsidRPr="00BC4C33">
        <w:rPr>
          <w:rFonts w:asciiTheme="majorHAnsi" w:hAnsiTheme="majorHAnsi"/>
          <w:sz w:val="20"/>
          <w:szCs w:val="20"/>
          <w:lang w:val="es-ES"/>
        </w:rPr>
        <w:t>cinco</w:t>
      </w:r>
      <w:r w:rsidR="00D0674D" w:rsidRPr="00BC4C33">
        <w:rPr>
          <w:rFonts w:asciiTheme="majorHAnsi" w:hAnsiTheme="majorHAnsi"/>
          <w:sz w:val="20"/>
          <w:szCs w:val="20"/>
          <w:lang w:val="es-ES"/>
        </w:rPr>
        <w:t xml:space="preserve"> años desde su presentación. </w:t>
      </w:r>
      <w:r w:rsidR="008A3960" w:rsidRPr="00BC4C33">
        <w:rPr>
          <w:rFonts w:asciiTheme="majorHAnsi" w:hAnsiTheme="majorHAnsi"/>
          <w:sz w:val="20"/>
          <w:szCs w:val="20"/>
          <w:lang w:val="es-ES"/>
        </w:rPr>
        <w:t xml:space="preserve">La petición </w:t>
      </w:r>
      <w:r w:rsidR="006849C1" w:rsidRPr="00BC4C33">
        <w:rPr>
          <w:rFonts w:asciiTheme="majorHAnsi" w:hAnsiTheme="majorHAnsi"/>
          <w:sz w:val="20"/>
          <w:szCs w:val="20"/>
          <w:lang w:val="es-ES"/>
        </w:rPr>
        <w:t xml:space="preserve">contiene </w:t>
      </w:r>
      <w:r w:rsidR="008A3960" w:rsidRPr="00BC4C33">
        <w:rPr>
          <w:rFonts w:asciiTheme="majorHAnsi" w:hAnsiTheme="majorHAnsi"/>
          <w:sz w:val="20"/>
          <w:szCs w:val="20"/>
          <w:lang w:val="es-ES"/>
        </w:rPr>
        <w:t xml:space="preserve">además un informe de CODEHUPY </w:t>
      </w:r>
      <w:r w:rsidR="006849C1" w:rsidRPr="00BC4C33">
        <w:rPr>
          <w:rFonts w:asciiTheme="majorHAnsi" w:hAnsiTheme="majorHAnsi"/>
          <w:sz w:val="20"/>
          <w:szCs w:val="20"/>
          <w:lang w:val="es-ES"/>
        </w:rPr>
        <w:t>en que</w:t>
      </w:r>
      <w:r w:rsidR="008A3960" w:rsidRPr="00BC4C33">
        <w:rPr>
          <w:rFonts w:asciiTheme="majorHAnsi" w:hAnsiTheme="majorHAnsi"/>
          <w:sz w:val="20"/>
          <w:szCs w:val="20"/>
          <w:lang w:val="es-ES"/>
        </w:rPr>
        <w:t xml:space="preserve"> se identifica a </w:t>
      </w:r>
      <w:r w:rsidR="006849C1" w:rsidRPr="00BC4C33">
        <w:rPr>
          <w:rFonts w:asciiTheme="majorHAnsi" w:hAnsiTheme="majorHAnsi"/>
          <w:sz w:val="20"/>
          <w:szCs w:val="20"/>
          <w:lang w:val="es-ES"/>
        </w:rPr>
        <w:t>once</w:t>
      </w:r>
      <w:r w:rsidR="008A3960" w:rsidRPr="00BC4C33">
        <w:rPr>
          <w:rFonts w:asciiTheme="majorHAnsi" w:hAnsiTheme="majorHAnsi"/>
          <w:sz w:val="20"/>
          <w:szCs w:val="20"/>
          <w:lang w:val="es-ES"/>
        </w:rPr>
        <w:t xml:space="preserve"> </w:t>
      </w:r>
      <w:r w:rsidR="00974326" w:rsidRPr="00BC4C33">
        <w:rPr>
          <w:rFonts w:asciiTheme="majorHAnsi" w:hAnsiTheme="majorHAnsi"/>
          <w:sz w:val="20"/>
          <w:szCs w:val="20"/>
          <w:lang w:val="es-ES"/>
        </w:rPr>
        <w:t>campesinos</w:t>
      </w:r>
      <w:r w:rsidR="008A3960" w:rsidRPr="00BC4C33">
        <w:rPr>
          <w:rFonts w:asciiTheme="majorHAnsi" w:hAnsiTheme="majorHAnsi"/>
          <w:sz w:val="20"/>
          <w:szCs w:val="20"/>
          <w:lang w:val="es-ES"/>
        </w:rPr>
        <w:t xml:space="preserve"> que habrían fallecido durante los eventos </w:t>
      </w:r>
      <w:r w:rsidR="007E4CBC">
        <w:rPr>
          <w:rFonts w:asciiTheme="majorHAnsi" w:hAnsiTheme="majorHAnsi"/>
          <w:sz w:val="20"/>
          <w:szCs w:val="20"/>
          <w:lang w:val="es-ES"/>
        </w:rPr>
        <w:t>de junio de 2012</w:t>
      </w:r>
      <w:r w:rsidR="008A3960" w:rsidRPr="00BC4C33">
        <w:rPr>
          <w:rFonts w:asciiTheme="majorHAnsi" w:hAnsiTheme="majorHAnsi"/>
          <w:sz w:val="20"/>
          <w:szCs w:val="20"/>
          <w:lang w:val="es-ES"/>
        </w:rPr>
        <w:t>.</w:t>
      </w:r>
    </w:p>
    <w:p w14:paraId="01FD082F" w14:textId="77777777" w:rsidR="008A3960" w:rsidRPr="003F0FAD" w:rsidRDefault="008A3960" w:rsidP="00EC6A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13D28D0D" w14:textId="0C72CBA5" w:rsidR="008A3960" w:rsidRPr="00BC4C33" w:rsidRDefault="008A3960"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El Estado, por su parte, </w:t>
      </w:r>
      <w:r w:rsidR="000E060F" w:rsidRPr="00BC4C33">
        <w:rPr>
          <w:rFonts w:asciiTheme="majorHAnsi" w:hAnsiTheme="majorHAnsi"/>
          <w:sz w:val="20"/>
          <w:szCs w:val="20"/>
          <w:lang w:val="es-ES"/>
        </w:rPr>
        <w:t xml:space="preserve">solicita que la petición sea inadmitida porque fue presentada </w:t>
      </w:r>
      <w:r w:rsidR="00F63FCC" w:rsidRPr="00BC4C33">
        <w:rPr>
          <w:rFonts w:asciiTheme="majorHAnsi" w:hAnsiTheme="majorHAnsi"/>
          <w:sz w:val="20"/>
          <w:szCs w:val="20"/>
          <w:lang w:val="es-ES"/>
        </w:rPr>
        <w:t>de forma extemporánea</w:t>
      </w:r>
      <w:r w:rsidR="00FD12D4">
        <w:rPr>
          <w:rFonts w:asciiTheme="majorHAnsi" w:hAnsiTheme="majorHAnsi"/>
          <w:sz w:val="20"/>
          <w:szCs w:val="20"/>
          <w:lang w:val="es-ES"/>
        </w:rPr>
        <w:t xml:space="preserve"> y</w:t>
      </w:r>
      <w:r w:rsidR="00F63FCC" w:rsidRPr="00BC4C33">
        <w:rPr>
          <w:rFonts w:asciiTheme="majorHAnsi" w:hAnsiTheme="majorHAnsi"/>
          <w:sz w:val="20"/>
          <w:szCs w:val="20"/>
          <w:lang w:val="es-ES"/>
        </w:rPr>
        <w:t xml:space="preserve"> sin que se encontrasen agotados los recursos de la jurisdicción </w:t>
      </w:r>
      <w:r w:rsidR="00FD12D4">
        <w:rPr>
          <w:rFonts w:asciiTheme="majorHAnsi" w:hAnsiTheme="majorHAnsi"/>
          <w:sz w:val="20"/>
          <w:szCs w:val="20"/>
          <w:lang w:val="es-ES"/>
        </w:rPr>
        <w:t>interna</w:t>
      </w:r>
      <w:r w:rsidR="00012432" w:rsidRPr="00BC4C33">
        <w:rPr>
          <w:rFonts w:asciiTheme="majorHAnsi" w:hAnsiTheme="majorHAnsi"/>
          <w:sz w:val="20"/>
          <w:szCs w:val="20"/>
          <w:lang w:val="es-ES"/>
        </w:rPr>
        <w:t>;</w:t>
      </w:r>
      <w:r w:rsidR="00F63FCC" w:rsidRPr="00BC4C33">
        <w:rPr>
          <w:rFonts w:asciiTheme="majorHAnsi" w:hAnsiTheme="majorHAnsi"/>
          <w:sz w:val="20"/>
          <w:szCs w:val="20"/>
          <w:lang w:val="es-ES"/>
        </w:rPr>
        <w:t xml:space="preserve"> porque algunas de las situaciones denunciadas ya </w:t>
      </w:r>
      <w:r w:rsidR="00FD12D4">
        <w:rPr>
          <w:rFonts w:asciiTheme="majorHAnsi" w:hAnsiTheme="majorHAnsi"/>
          <w:sz w:val="20"/>
          <w:szCs w:val="20"/>
          <w:lang w:val="es-ES"/>
        </w:rPr>
        <w:t>fueron</w:t>
      </w:r>
      <w:r w:rsidR="00F63FCC" w:rsidRPr="00BC4C33">
        <w:rPr>
          <w:rFonts w:asciiTheme="majorHAnsi" w:hAnsiTheme="majorHAnsi"/>
          <w:sz w:val="20"/>
          <w:szCs w:val="20"/>
          <w:lang w:val="es-ES"/>
        </w:rPr>
        <w:t xml:space="preserve"> subsanadas por las autoridades </w:t>
      </w:r>
      <w:r w:rsidR="00FD12D4">
        <w:rPr>
          <w:rFonts w:asciiTheme="majorHAnsi" w:hAnsiTheme="majorHAnsi"/>
          <w:sz w:val="20"/>
          <w:szCs w:val="20"/>
          <w:lang w:val="es-ES"/>
        </w:rPr>
        <w:t>nacionales</w:t>
      </w:r>
      <w:r w:rsidR="00012432" w:rsidRPr="00BC4C33">
        <w:rPr>
          <w:rFonts w:asciiTheme="majorHAnsi" w:hAnsiTheme="majorHAnsi"/>
          <w:sz w:val="20"/>
          <w:szCs w:val="20"/>
          <w:lang w:val="es-ES"/>
        </w:rPr>
        <w:t>;</w:t>
      </w:r>
      <w:r w:rsidR="00F63FCC" w:rsidRPr="00BC4C33">
        <w:rPr>
          <w:rFonts w:asciiTheme="majorHAnsi" w:hAnsiTheme="majorHAnsi"/>
          <w:sz w:val="20"/>
          <w:szCs w:val="20"/>
          <w:lang w:val="es-ES"/>
        </w:rPr>
        <w:t xml:space="preserve"> porque las supuestas violaciones no ocurrieron</w:t>
      </w:r>
      <w:r w:rsidR="00012432" w:rsidRPr="00BC4C33">
        <w:rPr>
          <w:rFonts w:asciiTheme="majorHAnsi" w:hAnsiTheme="majorHAnsi"/>
          <w:sz w:val="20"/>
          <w:szCs w:val="20"/>
          <w:lang w:val="es-ES"/>
        </w:rPr>
        <w:t>;</w:t>
      </w:r>
      <w:r w:rsidR="00F63FCC" w:rsidRPr="00BC4C33">
        <w:rPr>
          <w:rFonts w:asciiTheme="majorHAnsi" w:hAnsiTheme="majorHAnsi"/>
          <w:sz w:val="20"/>
          <w:szCs w:val="20"/>
          <w:lang w:val="es-ES"/>
        </w:rPr>
        <w:t xml:space="preserve"> y porque es abstracta en relación con las supuestas denuncias de tortura, desapariciones forzadas y ejecuciones extrajudiciales. </w:t>
      </w:r>
    </w:p>
    <w:p w14:paraId="1AB64A78" w14:textId="77777777" w:rsidR="002D148F" w:rsidRPr="00FD12D4" w:rsidRDefault="002D148F" w:rsidP="00012432">
      <w:pPr>
        <w:rPr>
          <w:rFonts w:asciiTheme="majorHAnsi" w:hAnsiTheme="majorHAnsi"/>
          <w:sz w:val="20"/>
          <w:szCs w:val="20"/>
          <w:lang w:val="es-ES"/>
        </w:rPr>
      </w:pPr>
    </w:p>
    <w:p w14:paraId="13F21738" w14:textId="4519B842" w:rsidR="003D299E" w:rsidRPr="00BC4C33" w:rsidRDefault="002D148F"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En sus primeras comunicaciones, el Estado indic</w:t>
      </w:r>
      <w:r w:rsidR="00FD12D4">
        <w:rPr>
          <w:rFonts w:asciiTheme="majorHAnsi" w:hAnsiTheme="majorHAnsi"/>
          <w:sz w:val="20"/>
          <w:szCs w:val="20"/>
          <w:lang w:val="es-ES"/>
        </w:rPr>
        <w:t>ó</w:t>
      </w:r>
      <w:r w:rsidRPr="00BC4C33">
        <w:rPr>
          <w:rFonts w:asciiTheme="majorHAnsi" w:hAnsiTheme="majorHAnsi"/>
          <w:sz w:val="20"/>
          <w:szCs w:val="20"/>
          <w:lang w:val="es-ES"/>
        </w:rPr>
        <w:t xml:space="preserve"> que la petición no cumpl</w:t>
      </w:r>
      <w:r w:rsidR="00FD12D4">
        <w:rPr>
          <w:rFonts w:asciiTheme="majorHAnsi" w:hAnsiTheme="majorHAnsi"/>
          <w:sz w:val="20"/>
          <w:szCs w:val="20"/>
          <w:lang w:val="es-ES"/>
        </w:rPr>
        <w:t>ía</w:t>
      </w:r>
      <w:r w:rsidRPr="00BC4C33">
        <w:rPr>
          <w:rFonts w:asciiTheme="majorHAnsi" w:hAnsiTheme="majorHAnsi"/>
          <w:sz w:val="20"/>
          <w:szCs w:val="20"/>
          <w:lang w:val="es-ES"/>
        </w:rPr>
        <w:t xml:space="preserve"> con el requisito de agotamiento de los recursos internos y que e</w:t>
      </w:r>
      <w:r w:rsidR="00FD12D4">
        <w:rPr>
          <w:rFonts w:asciiTheme="majorHAnsi" w:hAnsiTheme="majorHAnsi"/>
          <w:sz w:val="20"/>
          <w:szCs w:val="20"/>
          <w:lang w:val="es-ES"/>
        </w:rPr>
        <w:t>ra</w:t>
      </w:r>
      <w:r w:rsidRPr="00BC4C33">
        <w:rPr>
          <w:rFonts w:asciiTheme="majorHAnsi" w:hAnsiTheme="majorHAnsi"/>
          <w:sz w:val="20"/>
          <w:szCs w:val="20"/>
          <w:lang w:val="es-ES"/>
        </w:rPr>
        <w:t xml:space="preserve"> extemporánea</w:t>
      </w:r>
      <w:r w:rsidR="00240BD5" w:rsidRPr="00BC4C33">
        <w:rPr>
          <w:rFonts w:asciiTheme="majorHAnsi" w:hAnsiTheme="majorHAnsi"/>
          <w:sz w:val="20"/>
          <w:szCs w:val="20"/>
          <w:lang w:val="es-ES"/>
        </w:rPr>
        <w:t>,</w:t>
      </w:r>
      <w:r w:rsidRPr="00BC4C33">
        <w:rPr>
          <w:rFonts w:asciiTheme="majorHAnsi" w:hAnsiTheme="majorHAnsi"/>
          <w:sz w:val="20"/>
          <w:szCs w:val="20"/>
          <w:lang w:val="es-ES"/>
        </w:rPr>
        <w:t xml:space="preserve"> toda vez que el proceso penal contra las presuntas víctimas no había concluido. En su última comunicación recibida el 6 de junio de 2019, el Estado inform</w:t>
      </w:r>
      <w:r w:rsidR="00FD12D4">
        <w:rPr>
          <w:rFonts w:asciiTheme="majorHAnsi" w:hAnsiTheme="majorHAnsi"/>
          <w:sz w:val="20"/>
          <w:szCs w:val="20"/>
          <w:lang w:val="es-ES"/>
        </w:rPr>
        <w:t>a</w:t>
      </w:r>
      <w:r w:rsidRPr="00BC4C33">
        <w:rPr>
          <w:rFonts w:asciiTheme="majorHAnsi" w:hAnsiTheme="majorHAnsi"/>
          <w:sz w:val="20"/>
          <w:szCs w:val="20"/>
          <w:lang w:val="es-ES"/>
        </w:rPr>
        <w:t xml:space="preserve"> que el 26 de julio de 2018 la </w:t>
      </w:r>
      <w:r w:rsidR="0032128C" w:rsidRPr="00BC4C33">
        <w:rPr>
          <w:rFonts w:asciiTheme="majorHAnsi" w:hAnsiTheme="majorHAnsi"/>
          <w:sz w:val="20"/>
          <w:szCs w:val="20"/>
          <w:lang w:val="es-ES"/>
        </w:rPr>
        <w:t>Sala Penal de la Corte Suprema de Justicia resolvió el recurso de casación interpuesto a favor de las presuntas víctimas</w:t>
      </w:r>
      <w:r w:rsidR="00FD12D4">
        <w:rPr>
          <w:rFonts w:asciiTheme="majorHAnsi" w:hAnsiTheme="majorHAnsi"/>
          <w:sz w:val="20"/>
          <w:szCs w:val="20"/>
          <w:lang w:val="es-ES"/>
        </w:rPr>
        <w:t>, y que decidió</w:t>
      </w:r>
      <w:r w:rsidR="0032128C" w:rsidRPr="00BC4C33">
        <w:rPr>
          <w:rFonts w:asciiTheme="majorHAnsi" w:hAnsiTheme="majorHAnsi"/>
          <w:sz w:val="20"/>
          <w:szCs w:val="20"/>
          <w:lang w:val="es-ES"/>
        </w:rPr>
        <w:t xml:space="preserve"> revocar la sentencia </w:t>
      </w:r>
      <w:r w:rsidR="00FD12D4">
        <w:rPr>
          <w:rFonts w:asciiTheme="majorHAnsi" w:hAnsiTheme="majorHAnsi"/>
          <w:sz w:val="20"/>
          <w:szCs w:val="20"/>
          <w:lang w:val="es-ES"/>
        </w:rPr>
        <w:t>condenatoria;</w:t>
      </w:r>
      <w:r w:rsidR="0032128C" w:rsidRPr="00BC4C33">
        <w:rPr>
          <w:rFonts w:asciiTheme="majorHAnsi" w:hAnsiTheme="majorHAnsi"/>
          <w:sz w:val="20"/>
          <w:szCs w:val="20"/>
          <w:lang w:val="es-ES"/>
        </w:rPr>
        <w:t xml:space="preserve"> absolverles de reproche y pena</w:t>
      </w:r>
      <w:r w:rsidR="00FD12D4">
        <w:rPr>
          <w:rFonts w:asciiTheme="majorHAnsi" w:hAnsiTheme="majorHAnsi"/>
          <w:sz w:val="20"/>
          <w:szCs w:val="20"/>
          <w:lang w:val="es-ES"/>
        </w:rPr>
        <w:t>;</w:t>
      </w:r>
      <w:r w:rsidR="0032128C" w:rsidRPr="00BC4C33">
        <w:rPr>
          <w:rFonts w:asciiTheme="majorHAnsi" w:hAnsiTheme="majorHAnsi"/>
          <w:sz w:val="20"/>
          <w:szCs w:val="20"/>
          <w:lang w:val="es-ES"/>
        </w:rPr>
        <w:t xml:space="preserve"> y ordenar la inmediata puesta en libertad de cuatro de </w:t>
      </w:r>
      <w:r w:rsidR="00EC6AFE">
        <w:rPr>
          <w:rFonts w:asciiTheme="majorHAnsi" w:hAnsiTheme="majorHAnsi"/>
          <w:sz w:val="20"/>
          <w:szCs w:val="20"/>
          <w:lang w:val="es-ES"/>
        </w:rPr>
        <w:t>el</w:t>
      </w:r>
      <w:r w:rsidR="0032128C" w:rsidRPr="00BC4C33">
        <w:rPr>
          <w:rFonts w:asciiTheme="majorHAnsi" w:hAnsiTheme="majorHAnsi"/>
          <w:sz w:val="20"/>
          <w:szCs w:val="20"/>
          <w:lang w:val="es-ES"/>
        </w:rPr>
        <w:t>las</w:t>
      </w:r>
      <w:r w:rsidR="00EC6AFE">
        <w:rPr>
          <w:rFonts w:asciiTheme="majorHAnsi" w:hAnsiTheme="majorHAnsi"/>
          <w:sz w:val="20"/>
          <w:szCs w:val="20"/>
          <w:lang w:val="es-ES"/>
        </w:rPr>
        <w:t>,</w:t>
      </w:r>
      <w:r w:rsidR="0032128C" w:rsidRPr="00BC4C33">
        <w:rPr>
          <w:rFonts w:asciiTheme="majorHAnsi" w:hAnsiTheme="majorHAnsi"/>
          <w:sz w:val="20"/>
          <w:szCs w:val="20"/>
          <w:lang w:val="es-ES"/>
        </w:rPr>
        <w:t xml:space="preserve"> que se encontraban privad</w:t>
      </w:r>
      <w:r w:rsidR="00FD12D4">
        <w:rPr>
          <w:rFonts w:asciiTheme="majorHAnsi" w:hAnsiTheme="majorHAnsi"/>
          <w:sz w:val="20"/>
          <w:szCs w:val="20"/>
          <w:lang w:val="es-ES"/>
        </w:rPr>
        <w:t>a</w:t>
      </w:r>
      <w:r w:rsidR="0032128C" w:rsidRPr="00BC4C33">
        <w:rPr>
          <w:rFonts w:asciiTheme="majorHAnsi" w:hAnsiTheme="majorHAnsi"/>
          <w:sz w:val="20"/>
          <w:szCs w:val="20"/>
          <w:lang w:val="es-ES"/>
        </w:rPr>
        <w:t>s de libertad</w:t>
      </w:r>
      <w:r w:rsidR="0032128C" w:rsidRPr="00BC4C33">
        <w:rPr>
          <w:rStyle w:val="FootnoteReference"/>
          <w:rFonts w:asciiTheme="majorHAnsi" w:hAnsiTheme="majorHAnsi"/>
          <w:sz w:val="20"/>
          <w:szCs w:val="20"/>
          <w:lang w:val="es-ES"/>
        </w:rPr>
        <w:footnoteReference w:id="9"/>
      </w:r>
      <w:r w:rsidR="0032128C" w:rsidRPr="00BC4C33">
        <w:rPr>
          <w:rFonts w:asciiTheme="majorHAnsi" w:hAnsiTheme="majorHAnsi"/>
          <w:sz w:val="20"/>
          <w:szCs w:val="20"/>
          <w:lang w:val="es-ES"/>
        </w:rPr>
        <w:t>. A juicio del Estado, est</w:t>
      </w:r>
      <w:r w:rsidR="00FD12D4">
        <w:rPr>
          <w:rFonts w:asciiTheme="majorHAnsi" w:hAnsiTheme="majorHAnsi"/>
          <w:sz w:val="20"/>
          <w:szCs w:val="20"/>
          <w:lang w:val="es-ES"/>
        </w:rPr>
        <w:t>a</w:t>
      </w:r>
      <w:r w:rsidR="0032128C" w:rsidRPr="00BC4C33">
        <w:rPr>
          <w:rFonts w:asciiTheme="majorHAnsi" w:hAnsiTheme="majorHAnsi"/>
          <w:sz w:val="20"/>
          <w:szCs w:val="20"/>
          <w:lang w:val="es-ES"/>
        </w:rPr>
        <w:t xml:space="preserve"> decisión de</w:t>
      </w:r>
      <w:r w:rsidR="00EC6AFE">
        <w:rPr>
          <w:rFonts w:asciiTheme="majorHAnsi" w:hAnsiTheme="majorHAnsi"/>
          <w:sz w:val="20"/>
          <w:szCs w:val="20"/>
          <w:lang w:val="es-ES"/>
        </w:rPr>
        <w:t>mostr</w:t>
      </w:r>
      <w:r w:rsidR="0032128C" w:rsidRPr="00BC4C33">
        <w:rPr>
          <w:rFonts w:asciiTheme="majorHAnsi" w:hAnsiTheme="majorHAnsi"/>
          <w:sz w:val="20"/>
          <w:szCs w:val="20"/>
          <w:lang w:val="es-ES"/>
        </w:rPr>
        <w:t xml:space="preserve">ó que la instancia interna de casación constituyó un recurso adecuado, suficiente y eficaz para remediar las supuestas violaciones </w:t>
      </w:r>
      <w:r w:rsidR="00FD12D4">
        <w:rPr>
          <w:rFonts w:asciiTheme="majorHAnsi" w:hAnsiTheme="majorHAnsi"/>
          <w:sz w:val="20"/>
          <w:szCs w:val="20"/>
          <w:lang w:val="es-ES"/>
        </w:rPr>
        <w:t>de</w:t>
      </w:r>
      <w:r w:rsidR="0032128C" w:rsidRPr="00BC4C33">
        <w:rPr>
          <w:rFonts w:asciiTheme="majorHAnsi" w:hAnsiTheme="majorHAnsi"/>
          <w:sz w:val="20"/>
          <w:szCs w:val="20"/>
          <w:lang w:val="es-ES"/>
        </w:rPr>
        <w:t xml:space="preserve"> debido proceso </w:t>
      </w:r>
      <w:r w:rsidR="00EC6AFE">
        <w:rPr>
          <w:rFonts w:asciiTheme="majorHAnsi" w:hAnsiTheme="majorHAnsi"/>
          <w:sz w:val="20"/>
          <w:szCs w:val="20"/>
          <w:lang w:val="es-ES"/>
        </w:rPr>
        <w:t xml:space="preserve">en perjuicio </w:t>
      </w:r>
      <w:r w:rsidR="0032128C" w:rsidRPr="00BC4C33">
        <w:rPr>
          <w:rFonts w:asciiTheme="majorHAnsi" w:hAnsiTheme="majorHAnsi"/>
          <w:sz w:val="20"/>
          <w:szCs w:val="20"/>
          <w:lang w:val="es-ES"/>
        </w:rPr>
        <w:t>de la</w:t>
      </w:r>
      <w:r w:rsidR="003D299E" w:rsidRPr="00BC4C33">
        <w:rPr>
          <w:rFonts w:asciiTheme="majorHAnsi" w:hAnsiTheme="majorHAnsi"/>
          <w:sz w:val="20"/>
          <w:szCs w:val="20"/>
          <w:lang w:val="es-ES"/>
        </w:rPr>
        <w:t xml:space="preserve">s presuntas víctimas. </w:t>
      </w:r>
      <w:r w:rsidR="00EC6AFE">
        <w:rPr>
          <w:rFonts w:asciiTheme="majorHAnsi" w:hAnsiTheme="majorHAnsi"/>
          <w:sz w:val="20"/>
          <w:szCs w:val="20"/>
          <w:lang w:val="es-ES"/>
        </w:rPr>
        <w:t>A</w:t>
      </w:r>
      <w:r w:rsidR="003D299E" w:rsidRPr="00BC4C33">
        <w:rPr>
          <w:rFonts w:asciiTheme="majorHAnsi" w:hAnsiTheme="majorHAnsi"/>
          <w:sz w:val="20"/>
          <w:szCs w:val="20"/>
          <w:lang w:val="es-ES"/>
        </w:rPr>
        <w:t xml:space="preserve">lega además que la Comisión </w:t>
      </w:r>
      <w:r w:rsidR="00FD12D4">
        <w:rPr>
          <w:rFonts w:asciiTheme="majorHAnsi" w:hAnsiTheme="majorHAnsi"/>
          <w:sz w:val="20"/>
          <w:szCs w:val="20"/>
          <w:lang w:val="es-ES"/>
        </w:rPr>
        <w:t xml:space="preserve">Interamericana </w:t>
      </w:r>
      <w:r w:rsidR="003D299E" w:rsidRPr="00BC4C33">
        <w:rPr>
          <w:rFonts w:asciiTheme="majorHAnsi" w:hAnsiTheme="majorHAnsi"/>
          <w:sz w:val="20"/>
          <w:szCs w:val="20"/>
          <w:lang w:val="es-ES"/>
        </w:rPr>
        <w:t>vulneró el principio de subsidiari</w:t>
      </w:r>
      <w:r w:rsidR="00FD12D4">
        <w:rPr>
          <w:rFonts w:asciiTheme="majorHAnsi" w:hAnsiTheme="majorHAnsi"/>
          <w:sz w:val="20"/>
          <w:szCs w:val="20"/>
          <w:lang w:val="es-ES"/>
        </w:rPr>
        <w:t>e</w:t>
      </w:r>
      <w:r w:rsidR="003D299E" w:rsidRPr="00BC4C33">
        <w:rPr>
          <w:rFonts w:asciiTheme="majorHAnsi" w:hAnsiTheme="majorHAnsi"/>
          <w:sz w:val="20"/>
          <w:szCs w:val="20"/>
          <w:lang w:val="es-ES"/>
        </w:rPr>
        <w:t xml:space="preserve">dad al tramitar una petición referente a un asunto que estaba siendo investigado por las autoridades </w:t>
      </w:r>
      <w:r w:rsidR="00FD12D4">
        <w:rPr>
          <w:rFonts w:asciiTheme="majorHAnsi" w:hAnsiTheme="majorHAnsi"/>
          <w:sz w:val="20"/>
          <w:szCs w:val="20"/>
          <w:lang w:val="es-ES"/>
        </w:rPr>
        <w:t>nacionales</w:t>
      </w:r>
      <w:r w:rsidR="003D299E" w:rsidRPr="00BC4C33">
        <w:rPr>
          <w:rFonts w:asciiTheme="majorHAnsi" w:hAnsiTheme="majorHAnsi"/>
          <w:sz w:val="20"/>
          <w:szCs w:val="20"/>
          <w:lang w:val="es-ES"/>
        </w:rPr>
        <w:t>.</w:t>
      </w:r>
    </w:p>
    <w:p w14:paraId="3FE1857A" w14:textId="77777777" w:rsidR="003D299E" w:rsidRPr="00BC4C33" w:rsidRDefault="003D299E" w:rsidP="00FD12D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7E08A14" w14:textId="5F2C3E69" w:rsidR="00AA734F" w:rsidRPr="00BC4C33" w:rsidRDefault="003D299E"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También señala el Estado que el proceso penal contra las presuntas víctimas </w:t>
      </w:r>
      <w:r w:rsidR="00D15B5D">
        <w:rPr>
          <w:rFonts w:asciiTheme="majorHAnsi" w:hAnsiTheme="majorHAnsi"/>
          <w:sz w:val="20"/>
          <w:szCs w:val="20"/>
          <w:lang w:val="es-ES"/>
        </w:rPr>
        <w:t xml:space="preserve">se </w:t>
      </w:r>
      <w:r w:rsidRPr="00BC4C33">
        <w:rPr>
          <w:rFonts w:asciiTheme="majorHAnsi" w:hAnsiTheme="majorHAnsi"/>
          <w:sz w:val="20"/>
          <w:szCs w:val="20"/>
          <w:lang w:val="es-ES"/>
        </w:rPr>
        <w:t>inició con la formulación de imputaciones en junio de 2012</w:t>
      </w:r>
      <w:r w:rsidR="00240BD5" w:rsidRPr="00BC4C33">
        <w:rPr>
          <w:rFonts w:asciiTheme="majorHAnsi" w:hAnsiTheme="majorHAnsi"/>
          <w:sz w:val="20"/>
          <w:szCs w:val="20"/>
          <w:lang w:val="es-ES"/>
        </w:rPr>
        <w:t>,</w:t>
      </w:r>
      <w:r w:rsidRPr="00BC4C33">
        <w:rPr>
          <w:rFonts w:asciiTheme="majorHAnsi" w:hAnsiTheme="majorHAnsi"/>
          <w:sz w:val="20"/>
          <w:szCs w:val="20"/>
          <w:lang w:val="es-ES"/>
        </w:rPr>
        <w:t xml:space="preserve"> y </w:t>
      </w:r>
      <w:r w:rsidR="00EC6AFE">
        <w:rPr>
          <w:rFonts w:asciiTheme="majorHAnsi" w:hAnsiTheme="majorHAnsi"/>
          <w:sz w:val="20"/>
          <w:szCs w:val="20"/>
          <w:lang w:val="es-ES"/>
        </w:rPr>
        <w:t xml:space="preserve">que </w:t>
      </w:r>
      <w:r w:rsidRPr="00BC4C33">
        <w:rPr>
          <w:rFonts w:asciiTheme="majorHAnsi" w:hAnsiTheme="majorHAnsi"/>
          <w:sz w:val="20"/>
          <w:szCs w:val="20"/>
          <w:lang w:val="es-ES"/>
        </w:rPr>
        <w:t xml:space="preserve">concluyó con la decisión de 26 de julio de 2018. </w:t>
      </w:r>
      <w:r w:rsidR="00FE3236" w:rsidRPr="00BC4C33">
        <w:rPr>
          <w:rFonts w:asciiTheme="majorHAnsi" w:hAnsiTheme="majorHAnsi"/>
          <w:sz w:val="20"/>
          <w:szCs w:val="20"/>
          <w:lang w:val="es-ES"/>
        </w:rPr>
        <w:t>A</w:t>
      </w:r>
      <w:r w:rsidR="00B824CA">
        <w:rPr>
          <w:rFonts w:asciiTheme="majorHAnsi" w:hAnsiTheme="majorHAnsi"/>
          <w:sz w:val="20"/>
          <w:szCs w:val="20"/>
          <w:lang w:val="es-ES"/>
        </w:rPr>
        <w:t>lega</w:t>
      </w:r>
      <w:r w:rsidR="00FE3236" w:rsidRPr="00BC4C33">
        <w:rPr>
          <w:rFonts w:asciiTheme="majorHAnsi" w:hAnsiTheme="majorHAnsi"/>
          <w:sz w:val="20"/>
          <w:szCs w:val="20"/>
          <w:lang w:val="es-ES"/>
        </w:rPr>
        <w:t xml:space="preserve"> </w:t>
      </w:r>
      <w:r w:rsidR="00B824CA">
        <w:rPr>
          <w:rFonts w:asciiTheme="majorHAnsi" w:hAnsiTheme="majorHAnsi"/>
          <w:sz w:val="20"/>
          <w:szCs w:val="20"/>
          <w:lang w:val="es-ES"/>
        </w:rPr>
        <w:t xml:space="preserve">que </w:t>
      </w:r>
      <w:r w:rsidR="00FE3236" w:rsidRPr="00BC4C33">
        <w:rPr>
          <w:rFonts w:asciiTheme="majorHAnsi" w:hAnsiTheme="majorHAnsi"/>
          <w:sz w:val="20"/>
          <w:szCs w:val="20"/>
          <w:lang w:val="es-ES"/>
        </w:rPr>
        <w:t xml:space="preserve">el proceso fue desarrollado dentro de </w:t>
      </w:r>
      <w:r w:rsidR="00D15B5D">
        <w:rPr>
          <w:rFonts w:asciiTheme="majorHAnsi" w:hAnsiTheme="majorHAnsi"/>
          <w:sz w:val="20"/>
          <w:szCs w:val="20"/>
          <w:lang w:val="es-ES"/>
        </w:rPr>
        <w:t xml:space="preserve">un </w:t>
      </w:r>
      <w:r w:rsidR="00FE3236" w:rsidRPr="00BC4C33">
        <w:rPr>
          <w:rFonts w:asciiTheme="majorHAnsi" w:hAnsiTheme="majorHAnsi"/>
          <w:sz w:val="20"/>
          <w:szCs w:val="20"/>
          <w:lang w:val="es-ES"/>
        </w:rPr>
        <w:t xml:space="preserve">plazo razonable en consideración </w:t>
      </w:r>
      <w:r w:rsidR="00D15B5D">
        <w:rPr>
          <w:rFonts w:asciiTheme="majorHAnsi" w:hAnsiTheme="majorHAnsi"/>
          <w:sz w:val="20"/>
          <w:szCs w:val="20"/>
          <w:lang w:val="es-ES"/>
        </w:rPr>
        <w:t xml:space="preserve">de </w:t>
      </w:r>
      <w:r w:rsidR="00FE3236" w:rsidRPr="00BC4C33">
        <w:rPr>
          <w:rFonts w:asciiTheme="majorHAnsi" w:hAnsiTheme="majorHAnsi"/>
          <w:sz w:val="20"/>
          <w:szCs w:val="20"/>
          <w:lang w:val="es-ES"/>
        </w:rPr>
        <w:t>su complejidad</w:t>
      </w:r>
      <w:r w:rsidR="00A16DDA">
        <w:rPr>
          <w:rFonts w:asciiTheme="majorHAnsi" w:hAnsiTheme="majorHAnsi"/>
          <w:sz w:val="20"/>
          <w:szCs w:val="20"/>
          <w:lang w:val="es-ES"/>
        </w:rPr>
        <w:t>, y</w:t>
      </w:r>
      <w:r w:rsidR="00FE3236" w:rsidRPr="00BC4C33">
        <w:rPr>
          <w:rFonts w:asciiTheme="majorHAnsi" w:hAnsiTheme="majorHAnsi"/>
          <w:sz w:val="20"/>
          <w:szCs w:val="20"/>
          <w:lang w:val="es-ES"/>
        </w:rPr>
        <w:t xml:space="preserve"> </w:t>
      </w:r>
      <w:r w:rsidR="00EC6AFE">
        <w:rPr>
          <w:rFonts w:asciiTheme="majorHAnsi" w:hAnsiTheme="majorHAnsi"/>
          <w:sz w:val="20"/>
          <w:szCs w:val="20"/>
          <w:lang w:val="es-ES"/>
        </w:rPr>
        <w:t>menciona</w:t>
      </w:r>
      <w:r w:rsidR="00D15B5D">
        <w:rPr>
          <w:rFonts w:asciiTheme="majorHAnsi" w:hAnsiTheme="majorHAnsi"/>
          <w:sz w:val="20"/>
          <w:szCs w:val="20"/>
          <w:lang w:val="es-ES"/>
        </w:rPr>
        <w:t xml:space="preserve"> en tal sentido que </w:t>
      </w:r>
      <w:r w:rsidR="00FE3236" w:rsidRPr="00BC4C33">
        <w:rPr>
          <w:rFonts w:asciiTheme="majorHAnsi" w:hAnsiTheme="majorHAnsi"/>
          <w:sz w:val="20"/>
          <w:szCs w:val="20"/>
          <w:lang w:val="es-ES"/>
        </w:rPr>
        <w:t>la sentencia definitiva contiene 2312 fojas</w:t>
      </w:r>
      <w:r w:rsidR="00240BD5" w:rsidRPr="00BC4C33">
        <w:rPr>
          <w:rFonts w:asciiTheme="majorHAnsi" w:hAnsiTheme="majorHAnsi"/>
          <w:sz w:val="20"/>
          <w:szCs w:val="20"/>
          <w:lang w:val="es-ES"/>
        </w:rPr>
        <w:t>.</w:t>
      </w:r>
      <w:r w:rsidR="00FE3236" w:rsidRPr="00BC4C33">
        <w:rPr>
          <w:rFonts w:asciiTheme="majorHAnsi" w:hAnsiTheme="majorHAnsi"/>
          <w:sz w:val="20"/>
          <w:szCs w:val="20"/>
          <w:lang w:val="es-ES"/>
        </w:rPr>
        <w:t xml:space="preserve"> </w:t>
      </w:r>
      <w:r w:rsidR="00D15B5D">
        <w:rPr>
          <w:rFonts w:asciiTheme="majorHAnsi" w:hAnsiTheme="majorHAnsi"/>
          <w:sz w:val="20"/>
          <w:szCs w:val="20"/>
          <w:lang w:val="es-ES"/>
        </w:rPr>
        <w:t xml:space="preserve">Afirma igualmente </w:t>
      </w:r>
      <w:r w:rsidR="00FE3236" w:rsidRPr="00BC4C33">
        <w:rPr>
          <w:rFonts w:asciiTheme="majorHAnsi" w:hAnsiTheme="majorHAnsi"/>
          <w:sz w:val="20"/>
          <w:szCs w:val="20"/>
          <w:lang w:val="es-ES"/>
        </w:rPr>
        <w:t xml:space="preserve">que </w:t>
      </w:r>
      <w:r w:rsidR="00240BD5" w:rsidRPr="00BC4C33">
        <w:rPr>
          <w:rFonts w:asciiTheme="majorHAnsi" w:hAnsiTheme="majorHAnsi"/>
          <w:sz w:val="20"/>
          <w:szCs w:val="20"/>
          <w:lang w:val="es-ES"/>
        </w:rPr>
        <w:t>el proceso</w:t>
      </w:r>
      <w:r w:rsidR="00FE3236" w:rsidRPr="00BC4C33">
        <w:rPr>
          <w:rFonts w:asciiTheme="majorHAnsi" w:hAnsiTheme="majorHAnsi"/>
          <w:sz w:val="20"/>
          <w:szCs w:val="20"/>
          <w:lang w:val="es-ES"/>
        </w:rPr>
        <w:t xml:space="preserve"> fue constantemente interrumpido por la gran cantidad de recursos, incidentes y recusaciones interpuestos por la parte acusada. </w:t>
      </w:r>
      <w:r w:rsidR="00D15B5D">
        <w:rPr>
          <w:rFonts w:asciiTheme="majorHAnsi" w:hAnsiTheme="majorHAnsi"/>
          <w:sz w:val="20"/>
          <w:szCs w:val="20"/>
          <w:lang w:val="es-ES"/>
        </w:rPr>
        <w:t xml:space="preserve">Asimismo, </w:t>
      </w:r>
      <w:r w:rsidR="00FE3236" w:rsidRPr="00BC4C33">
        <w:rPr>
          <w:rFonts w:asciiTheme="majorHAnsi" w:hAnsiTheme="majorHAnsi"/>
          <w:sz w:val="20"/>
          <w:szCs w:val="20"/>
          <w:lang w:val="es-ES"/>
        </w:rPr>
        <w:t xml:space="preserve">resalta que </w:t>
      </w:r>
      <w:r w:rsidR="00A06BDA" w:rsidRPr="00BC4C33">
        <w:rPr>
          <w:rFonts w:asciiTheme="majorHAnsi" w:hAnsiTheme="majorHAnsi"/>
          <w:sz w:val="20"/>
          <w:szCs w:val="20"/>
          <w:lang w:val="es-ES"/>
        </w:rPr>
        <w:t xml:space="preserve">las presuntas víctimas reclamaron </w:t>
      </w:r>
      <w:r w:rsidR="00D15B5D">
        <w:rPr>
          <w:rFonts w:asciiTheme="majorHAnsi" w:hAnsiTheme="majorHAnsi"/>
          <w:sz w:val="20"/>
          <w:szCs w:val="20"/>
          <w:lang w:val="es-ES"/>
        </w:rPr>
        <w:t xml:space="preserve">por </w:t>
      </w:r>
      <w:r w:rsidR="00A06BDA" w:rsidRPr="00BC4C33">
        <w:rPr>
          <w:rFonts w:asciiTheme="majorHAnsi" w:hAnsiTheme="majorHAnsi"/>
          <w:sz w:val="20"/>
          <w:szCs w:val="20"/>
          <w:lang w:val="es-ES"/>
        </w:rPr>
        <w:t xml:space="preserve">una gran cantidad de supuestas violaciones </w:t>
      </w:r>
      <w:r w:rsidR="00D15B5D">
        <w:rPr>
          <w:rFonts w:asciiTheme="majorHAnsi" w:hAnsiTheme="majorHAnsi"/>
          <w:sz w:val="20"/>
          <w:szCs w:val="20"/>
          <w:lang w:val="es-ES"/>
        </w:rPr>
        <w:t>de</w:t>
      </w:r>
      <w:r w:rsidR="00A06BDA" w:rsidRPr="00BC4C33">
        <w:rPr>
          <w:rFonts w:asciiTheme="majorHAnsi" w:hAnsiTheme="majorHAnsi"/>
          <w:sz w:val="20"/>
          <w:szCs w:val="20"/>
          <w:lang w:val="es-ES"/>
        </w:rPr>
        <w:t xml:space="preserve"> debido proceso, </w:t>
      </w:r>
      <w:r w:rsidR="00D15B5D">
        <w:rPr>
          <w:rFonts w:asciiTheme="majorHAnsi" w:hAnsiTheme="majorHAnsi"/>
          <w:sz w:val="20"/>
          <w:szCs w:val="20"/>
          <w:lang w:val="es-ES"/>
        </w:rPr>
        <w:t xml:space="preserve">pero </w:t>
      </w:r>
      <w:r w:rsidR="00A06BDA" w:rsidRPr="00BC4C33">
        <w:rPr>
          <w:rFonts w:asciiTheme="majorHAnsi" w:hAnsiTheme="majorHAnsi"/>
          <w:sz w:val="20"/>
          <w:szCs w:val="20"/>
          <w:lang w:val="es-ES"/>
        </w:rPr>
        <w:t xml:space="preserve">la sentencia definitiva de casación determinó que solo </w:t>
      </w:r>
      <w:r w:rsidR="00240BD5" w:rsidRPr="00BC4C33">
        <w:rPr>
          <w:rFonts w:asciiTheme="majorHAnsi" w:hAnsiTheme="majorHAnsi"/>
          <w:sz w:val="20"/>
          <w:szCs w:val="20"/>
          <w:lang w:val="es-ES"/>
        </w:rPr>
        <w:t>tres</w:t>
      </w:r>
      <w:r w:rsidR="00A06BDA" w:rsidRPr="00BC4C33">
        <w:rPr>
          <w:rFonts w:asciiTheme="majorHAnsi" w:hAnsiTheme="majorHAnsi"/>
          <w:sz w:val="20"/>
          <w:szCs w:val="20"/>
          <w:lang w:val="es-ES"/>
        </w:rPr>
        <w:t xml:space="preserve"> de ell</w:t>
      </w:r>
      <w:r w:rsidR="00240BD5" w:rsidRPr="00BC4C33">
        <w:rPr>
          <w:rFonts w:asciiTheme="majorHAnsi" w:hAnsiTheme="majorHAnsi"/>
          <w:sz w:val="20"/>
          <w:szCs w:val="20"/>
          <w:lang w:val="es-ES"/>
        </w:rPr>
        <w:t>a</w:t>
      </w:r>
      <w:r w:rsidR="00A06BDA" w:rsidRPr="00BC4C33">
        <w:rPr>
          <w:rFonts w:asciiTheme="majorHAnsi" w:hAnsiTheme="majorHAnsi"/>
          <w:sz w:val="20"/>
          <w:szCs w:val="20"/>
          <w:lang w:val="es-ES"/>
        </w:rPr>
        <w:t>s eran atendibles</w:t>
      </w:r>
      <w:r w:rsidR="00A16DDA">
        <w:rPr>
          <w:rFonts w:asciiTheme="majorHAnsi" w:hAnsiTheme="majorHAnsi"/>
          <w:sz w:val="20"/>
          <w:szCs w:val="20"/>
          <w:lang w:val="es-ES"/>
        </w:rPr>
        <w:t>:</w:t>
      </w:r>
      <w:r w:rsidR="00A06BDA" w:rsidRPr="00BC4C33">
        <w:rPr>
          <w:rFonts w:asciiTheme="majorHAnsi" w:hAnsiTheme="majorHAnsi"/>
          <w:sz w:val="20"/>
          <w:szCs w:val="20"/>
          <w:lang w:val="es-ES"/>
        </w:rPr>
        <w:t xml:space="preserve"> </w:t>
      </w:r>
      <w:r w:rsidR="00A16DDA">
        <w:rPr>
          <w:rFonts w:asciiTheme="majorHAnsi" w:hAnsiTheme="majorHAnsi"/>
          <w:sz w:val="20"/>
          <w:szCs w:val="20"/>
          <w:lang w:val="es-ES"/>
        </w:rPr>
        <w:t>la falta de</w:t>
      </w:r>
      <w:r w:rsidR="00A06BDA" w:rsidRPr="00BC4C33">
        <w:rPr>
          <w:rFonts w:asciiTheme="majorHAnsi" w:hAnsiTheme="majorHAnsi"/>
          <w:sz w:val="20"/>
          <w:szCs w:val="20"/>
          <w:lang w:val="es-ES"/>
        </w:rPr>
        <w:t xml:space="preserve"> respuesta fundada a una petición de exclusión probatoria de </w:t>
      </w:r>
      <w:r w:rsidR="00240BD5" w:rsidRPr="00BC4C33">
        <w:rPr>
          <w:rFonts w:asciiTheme="majorHAnsi" w:hAnsiTheme="majorHAnsi"/>
          <w:sz w:val="20"/>
          <w:szCs w:val="20"/>
          <w:lang w:val="es-ES"/>
        </w:rPr>
        <w:t>diecinueve</w:t>
      </w:r>
      <w:r w:rsidR="00A06BDA" w:rsidRPr="00BC4C33">
        <w:rPr>
          <w:rFonts w:asciiTheme="majorHAnsi" w:hAnsiTheme="majorHAnsi"/>
          <w:sz w:val="20"/>
          <w:szCs w:val="20"/>
          <w:lang w:val="es-ES"/>
        </w:rPr>
        <w:t xml:space="preserve"> informes periciales que habían sido notificados extemporáneamente a la defensa; </w:t>
      </w:r>
      <w:r w:rsidR="00A16DDA">
        <w:rPr>
          <w:rFonts w:asciiTheme="majorHAnsi" w:hAnsiTheme="majorHAnsi"/>
          <w:sz w:val="20"/>
          <w:szCs w:val="20"/>
          <w:lang w:val="es-ES"/>
        </w:rPr>
        <w:t xml:space="preserve">el hecho de </w:t>
      </w:r>
      <w:r w:rsidR="00A06BDA" w:rsidRPr="00BC4C33">
        <w:rPr>
          <w:rFonts w:asciiTheme="majorHAnsi" w:hAnsiTheme="majorHAnsi"/>
          <w:sz w:val="20"/>
          <w:szCs w:val="20"/>
          <w:lang w:val="es-ES"/>
        </w:rPr>
        <w:t xml:space="preserve">que el tribunal de apelación </w:t>
      </w:r>
      <w:r w:rsidR="00A06BDA" w:rsidRPr="00BC4C33">
        <w:rPr>
          <w:rFonts w:asciiTheme="majorHAnsi" w:hAnsiTheme="majorHAnsi"/>
          <w:sz w:val="20"/>
          <w:szCs w:val="20"/>
          <w:lang w:val="es-ES"/>
        </w:rPr>
        <w:lastRenderedPageBreak/>
        <w:t xml:space="preserve">no había realizado un examen integral de la decisión recurrida según lo requerido por la jurisprudencia de la Corte Interamericana; </w:t>
      </w:r>
      <w:r w:rsidR="00A16DDA">
        <w:rPr>
          <w:rFonts w:asciiTheme="majorHAnsi" w:hAnsiTheme="majorHAnsi"/>
          <w:sz w:val="20"/>
          <w:szCs w:val="20"/>
          <w:lang w:val="es-ES"/>
        </w:rPr>
        <w:t xml:space="preserve">y </w:t>
      </w:r>
      <w:r w:rsidR="00A06BDA" w:rsidRPr="00BC4C33">
        <w:rPr>
          <w:rFonts w:asciiTheme="majorHAnsi" w:hAnsiTheme="majorHAnsi"/>
          <w:sz w:val="20"/>
          <w:szCs w:val="20"/>
          <w:lang w:val="es-ES"/>
        </w:rPr>
        <w:t>que las personas acusadas no habían sido advertid</w:t>
      </w:r>
      <w:r w:rsidR="00240BD5" w:rsidRPr="00BC4C33">
        <w:rPr>
          <w:rFonts w:asciiTheme="majorHAnsi" w:hAnsiTheme="majorHAnsi"/>
          <w:sz w:val="20"/>
          <w:szCs w:val="20"/>
          <w:lang w:val="es-ES"/>
        </w:rPr>
        <w:t>a</w:t>
      </w:r>
      <w:r w:rsidR="00A06BDA" w:rsidRPr="00BC4C33">
        <w:rPr>
          <w:rFonts w:asciiTheme="majorHAnsi" w:hAnsiTheme="majorHAnsi"/>
          <w:sz w:val="20"/>
          <w:szCs w:val="20"/>
          <w:lang w:val="es-ES"/>
        </w:rPr>
        <w:t xml:space="preserve">s en forma correcta de la posible modificación de la calificación jurídica otorgada a los hechos en el auto de apertura a juicio oral y público. </w:t>
      </w:r>
    </w:p>
    <w:p w14:paraId="5425F8C4" w14:textId="77777777" w:rsidR="00AA734F" w:rsidRPr="00BC4C33" w:rsidRDefault="00AA734F" w:rsidP="00A16DD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139AC2C" w14:textId="3B605975" w:rsidR="006C23C9" w:rsidRPr="00BC4C33" w:rsidRDefault="00A06BDA"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El Estado</w:t>
      </w:r>
      <w:r w:rsidR="00AA734F" w:rsidRPr="00BC4C33">
        <w:rPr>
          <w:rFonts w:asciiTheme="majorHAnsi" w:hAnsiTheme="majorHAnsi"/>
          <w:sz w:val="20"/>
          <w:szCs w:val="20"/>
          <w:lang w:val="es-ES"/>
        </w:rPr>
        <w:t xml:space="preserve"> </w:t>
      </w:r>
      <w:r w:rsidRPr="00BC4C33">
        <w:rPr>
          <w:rFonts w:asciiTheme="majorHAnsi" w:hAnsiTheme="majorHAnsi"/>
          <w:sz w:val="20"/>
          <w:szCs w:val="20"/>
          <w:lang w:val="es-ES"/>
        </w:rPr>
        <w:t xml:space="preserve">explica que la Sala Penal </w:t>
      </w:r>
      <w:r w:rsidR="00A16DDA">
        <w:rPr>
          <w:rFonts w:asciiTheme="majorHAnsi" w:hAnsiTheme="majorHAnsi"/>
          <w:sz w:val="20"/>
          <w:szCs w:val="20"/>
          <w:lang w:val="es-ES"/>
        </w:rPr>
        <w:t xml:space="preserve">de la Corte Suprema </w:t>
      </w:r>
      <w:r w:rsidRPr="00BC4C33">
        <w:rPr>
          <w:rFonts w:asciiTheme="majorHAnsi" w:hAnsiTheme="majorHAnsi"/>
          <w:sz w:val="20"/>
          <w:szCs w:val="20"/>
          <w:lang w:val="es-ES"/>
        </w:rPr>
        <w:t>esti</w:t>
      </w:r>
      <w:r w:rsidR="008848DC" w:rsidRPr="00BC4C33">
        <w:rPr>
          <w:rFonts w:asciiTheme="majorHAnsi" w:hAnsiTheme="majorHAnsi"/>
          <w:sz w:val="20"/>
          <w:szCs w:val="20"/>
          <w:lang w:val="es-ES"/>
        </w:rPr>
        <w:t xml:space="preserve">mó </w:t>
      </w:r>
      <w:r w:rsidR="0085574A" w:rsidRPr="00BC4C33">
        <w:rPr>
          <w:rFonts w:asciiTheme="majorHAnsi" w:hAnsiTheme="majorHAnsi"/>
          <w:sz w:val="20"/>
          <w:szCs w:val="20"/>
          <w:lang w:val="es-ES"/>
        </w:rPr>
        <w:t xml:space="preserve">además </w:t>
      </w:r>
      <w:r w:rsidR="008848DC" w:rsidRPr="00BC4C33">
        <w:rPr>
          <w:rFonts w:asciiTheme="majorHAnsi" w:hAnsiTheme="majorHAnsi"/>
          <w:sz w:val="20"/>
          <w:szCs w:val="20"/>
          <w:lang w:val="es-ES"/>
        </w:rPr>
        <w:t>que no estaba acreditado que las presuntas víctimas hubiesen tenido conocimiento de la ajenidad de</w:t>
      </w:r>
      <w:r w:rsidR="009D1AD1">
        <w:rPr>
          <w:rFonts w:asciiTheme="majorHAnsi" w:hAnsiTheme="majorHAnsi"/>
          <w:sz w:val="20"/>
          <w:szCs w:val="20"/>
          <w:lang w:val="es-ES"/>
        </w:rPr>
        <w:t xml:space="preserve"> </w:t>
      </w:r>
      <w:r w:rsidR="008848DC" w:rsidRPr="00BC4C33">
        <w:rPr>
          <w:rFonts w:asciiTheme="majorHAnsi" w:hAnsiTheme="majorHAnsi"/>
          <w:sz w:val="20"/>
          <w:szCs w:val="20"/>
          <w:lang w:val="es-ES"/>
        </w:rPr>
        <w:t>l</w:t>
      </w:r>
      <w:r w:rsidR="009D1AD1">
        <w:rPr>
          <w:rFonts w:asciiTheme="majorHAnsi" w:hAnsiTheme="majorHAnsi"/>
          <w:sz w:val="20"/>
          <w:szCs w:val="20"/>
          <w:lang w:val="es-ES"/>
        </w:rPr>
        <w:t>a finca</w:t>
      </w:r>
      <w:r w:rsidR="008848DC" w:rsidRPr="00BC4C33">
        <w:rPr>
          <w:rFonts w:asciiTheme="majorHAnsi" w:hAnsiTheme="majorHAnsi"/>
          <w:sz w:val="20"/>
          <w:szCs w:val="20"/>
          <w:lang w:val="es-ES"/>
        </w:rPr>
        <w:t xml:space="preserve"> y la falta de autorización para ingresar a </w:t>
      </w:r>
      <w:r w:rsidR="009D1AD1">
        <w:rPr>
          <w:rFonts w:asciiTheme="majorHAnsi" w:hAnsiTheme="majorHAnsi"/>
          <w:sz w:val="20"/>
          <w:szCs w:val="20"/>
          <w:lang w:val="es-ES"/>
        </w:rPr>
        <w:t>ella</w:t>
      </w:r>
      <w:r w:rsidR="008848DC" w:rsidRPr="00BC4C33">
        <w:rPr>
          <w:rFonts w:asciiTheme="majorHAnsi" w:hAnsiTheme="majorHAnsi"/>
          <w:sz w:val="20"/>
          <w:szCs w:val="20"/>
          <w:lang w:val="es-ES"/>
        </w:rPr>
        <w:t xml:space="preserve">, elementos esenciales para la configuración del dolo </w:t>
      </w:r>
      <w:r w:rsidR="00EC6AFE">
        <w:rPr>
          <w:rFonts w:asciiTheme="majorHAnsi" w:hAnsiTheme="majorHAnsi"/>
          <w:sz w:val="20"/>
          <w:szCs w:val="20"/>
          <w:lang w:val="es-ES"/>
        </w:rPr>
        <w:t>en</w:t>
      </w:r>
      <w:r w:rsidR="008848DC" w:rsidRPr="00BC4C33">
        <w:rPr>
          <w:rFonts w:asciiTheme="majorHAnsi" w:hAnsiTheme="majorHAnsi"/>
          <w:sz w:val="20"/>
          <w:szCs w:val="20"/>
          <w:lang w:val="es-ES"/>
        </w:rPr>
        <w:t xml:space="preserve"> la invasión de inmueble. Sin embargo, resalta que la exclusión de responsabilidad penal no excluye en sí la ilicitud del ingreso violento </w:t>
      </w:r>
      <w:r w:rsidR="009D1AD1">
        <w:rPr>
          <w:rFonts w:asciiTheme="majorHAnsi" w:hAnsiTheme="majorHAnsi"/>
          <w:sz w:val="20"/>
          <w:szCs w:val="20"/>
          <w:lang w:val="es-ES"/>
        </w:rPr>
        <w:t>al</w:t>
      </w:r>
      <w:r w:rsidR="009D1AD1" w:rsidRPr="00BC4C33">
        <w:rPr>
          <w:rFonts w:asciiTheme="majorHAnsi" w:hAnsiTheme="majorHAnsi"/>
          <w:sz w:val="20"/>
          <w:szCs w:val="20"/>
          <w:lang w:val="es-ES"/>
        </w:rPr>
        <w:t xml:space="preserve"> inmueble </w:t>
      </w:r>
      <w:r w:rsidR="009D1AD1">
        <w:rPr>
          <w:rFonts w:asciiTheme="majorHAnsi" w:hAnsiTheme="majorHAnsi"/>
          <w:sz w:val="20"/>
          <w:szCs w:val="20"/>
          <w:lang w:val="es-ES"/>
        </w:rPr>
        <w:t xml:space="preserve">por parte de </w:t>
      </w:r>
      <w:r w:rsidR="008848DC" w:rsidRPr="00BC4C33">
        <w:rPr>
          <w:rFonts w:asciiTheme="majorHAnsi" w:hAnsiTheme="majorHAnsi"/>
          <w:sz w:val="20"/>
          <w:szCs w:val="20"/>
          <w:lang w:val="es-ES"/>
        </w:rPr>
        <w:t xml:space="preserve">las presuntas víctimas. </w:t>
      </w:r>
      <w:r w:rsidR="009D1AD1">
        <w:rPr>
          <w:rFonts w:asciiTheme="majorHAnsi" w:hAnsiTheme="majorHAnsi"/>
          <w:sz w:val="20"/>
          <w:szCs w:val="20"/>
          <w:lang w:val="es-ES"/>
        </w:rPr>
        <w:t>D</w:t>
      </w:r>
      <w:r w:rsidR="008848DC" w:rsidRPr="00BC4C33">
        <w:rPr>
          <w:rFonts w:asciiTheme="majorHAnsi" w:hAnsiTheme="majorHAnsi"/>
          <w:sz w:val="20"/>
          <w:szCs w:val="20"/>
          <w:lang w:val="es-ES"/>
        </w:rPr>
        <w:t xml:space="preserve">estaca que independientemente de si las tierras en cuestión pertenecían a particulares o a INDERT, lo cierto es que las presuntas víctimas no tenían derecho a ingresar </w:t>
      </w:r>
      <w:r w:rsidR="009D1AD1" w:rsidRPr="00BC4C33">
        <w:rPr>
          <w:rFonts w:asciiTheme="majorHAnsi" w:hAnsiTheme="majorHAnsi"/>
          <w:sz w:val="20"/>
          <w:szCs w:val="20"/>
          <w:lang w:val="es-ES"/>
        </w:rPr>
        <w:t xml:space="preserve">a ellas </w:t>
      </w:r>
      <w:r w:rsidR="008848DC" w:rsidRPr="00BC4C33">
        <w:rPr>
          <w:rFonts w:asciiTheme="majorHAnsi" w:hAnsiTheme="majorHAnsi"/>
          <w:sz w:val="20"/>
          <w:szCs w:val="20"/>
          <w:lang w:val="es-ES"/>
        </w:rPr>
        <w:t>por la fuerza</w:t>
      </w:r>
      <w:r w:rsidR="00AA734F" w:rsidRPr="00BC4C33">
        <w:rPr>
          <w:rFonts w:asciiTheme="majorHAnsi" w:hAnsiTheme="majorHAnsi"/>
          <w:sz w:val="20"/>
          <w:szCs w:val="20"/>
          <w:lang w:val="es-ES"/>
        </w:rPr>
        <w:t xml:space="preserve">. Según el Estado, la </w:t>
      </w:r>
      <w:r w:rsidR="009D1AD1" w:rsidRPr="00BC4C33">
        <w:rPr>
          <w:rFonts w:asciiTheme="majorHAnsi" w:hAnsiTheme="majorHAnsi"/>
          <w:sz w:val="20"/>
          <w:szCs w:val="20"/>
          <w:lang w:val="es-ES"/>
        </w:rPr>
        <w:t>intención</w:t>
      </w:r>
      <w:r w:rsidR="00AA734F" w:rsidRPr="00BC4C33">
        <w:rPr>
          <w:rFonts w:asciiTheme="majorHAnsi" w:hAnsiTheme="majorHAnsi"/>
          <w:sz w:val="20"/>
          <w:szCs w:val="20"/>
          <w:lang w:val="es-ES"/>
        </w:rPr>
        <w:t xml:space="preserve"> de las presuntas víctimas era instalarse en unas tierras sin consentimiento de su titular</w:t>
      </w:r>
      <w:r w:rsidR="009D1AD1">
        <w:rPr>
          <w:rFonts w:asciiTheme="majorHAnsi" w:hAnsiTheme="majorHAnsi"/>
          <w:sz w:val="20"/>
          <w:szCs w:val="20"/>
          <w:lang w:val="es-ES"/>
        </w:rPr>
        <w:t>,</w:t>
      </w:r>
      <w:r w:rsidR="00AA734F" w:rsidRPr="00BC4C33">
        <w:rPr>
          <w:rFonts w:asciiTheme="majorHAnsi" w:hAnsiTheme="majorHAnsi"/>
          <w:sz w:val="20"/>
          <w:szCs w:val="20"/>
          <w:lang w:val="es-ES"/>
        </w:rPr>
        <w:t xml:space="preserve"> con la finalidad de forzar que el Estado luego las adquiriera para su beneficio, lo que no puede ser amprado en un Estado </w:t>
      </w:r>
      <w:r w:rsidR="009D1AD1">
        <w:rPr>
          <w:rFonts w:asciiTheme="majorHAnsi" w:hAnsiTheme="majorHAnsi"/>
          <w:sz w:val="20"/>
          <w:szCs w:val="20"/>
          <w:lang w:val="es-ES"/>
        </w:rPr>
        <w:t>s</w:t>
      </w:r>
      <w:r w:rsidR="00AA734F" w:rsidRPr="00BC4C33">
        <w:rPr>
          <w:rFonts w:asciiTheme="majorHAnsi" w:hAnsiTheme="majorHAnsi"/>
          <w:sz w:val="20"/>
          <w:szCs w:val="20"/>
          <w:lang w:val="es-ES"/>
        </w:rPr>
        <w:t xml:space="preserve">ocial y </w:t>
      </w:r>
      <w:r w:rsidR="009D1AD1">
        <w:rPr>
          <w:rFonts w:asciiTheme="majorHAnsi" w:hAnsiTheme="majorHAnsi"/>
          <w:sz w:val="20"/>
          <w:szCs w:val="20"/>
          <w:lang w:val="es-ES"/>
        </w:rPr>
        <w:t>d</w:t>
      </w:r>
      <w:r w:rsidR="00AA734F" w:rsidRPr="00BC4C33">
        <w:rPr>
          <w:rFonts w:asciiTheme="majorHAnsi" w:hAnsiTheme="majorHAnsi"/>
          <w:sz w:val="20"/>
          <w:szCs w:val="20"/>
          <w:lang w:val="es-ES"/>
        </w:rPr>
        <w:t xml:space="preserve">emocrático de </w:t>
      </w:r>
      <w:r w:rsidR="009D1AD1">
        <w:rPr>
          <w:rFonts w:asciiTheme="majorHAnsi" w:hAnsiTheme="majorHAnsi"/>
          <w:sz w:val="20"/>
          <w:szCs w:val="20"/>
          <w:lang w:val="es-ES"/>
        </w:rPr>
        <w:t>d</w:t>
      </w:r>
      <w:r w:rsidR="00AA734F" w:rsidRPr="00BC4C33">
        <w:rPr>
          <w:rFonts w:asciiTheme="majorHAnsi" w:hAnsiTheme="majorHAnsi"/>
          <w:sz w:val="20"/>
          <w:szCs w:val="20"/>
          <w:lang w:val="es-ES"/>
        </w:rPr>
        <w:t xml:space="preserve">erecho. </w:t>
      </w:r>
    </w:p>
    <w:p w14:paraId="0C8EE67C" w14:textId="77777777" w:rsidR="006C23C9" w:rsidRPr="00BC4C33" w:rsidRDefault="006C23C9" w:rsidP="006C23C9">
      <w:pPr>
        <w:pStyle w:val="ListParagraph"/>
        <w:rPr>
          <w:rFonts w:asciiTheme="majorHAnsi" w:hAnsiTheme="majorHAnsi"/>
          <w:sz w:val="20"/>
          <w:szCs w:val="20"/>
          <w:lang w:val="es-ES"/>
        </w:rPr>
      </w:pPr>
    </w:p>
    <w:p w14:paraId="6DDB5B23" w14:textId="5A31E8A5" w:rsidR="003D299E" w:rsidRPr="00BC4C33" w:rsidRDefault="009D1AD1"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S</w:t>
      </w:r>
      <w:r w:rsidR="006C23C9" w:rsidRPr="00BC4C33">
        <w:rPr>
          <w:rFonts w:asciiTheme="majorHAnsi" w:hAnsiTheme="majorHAnsi"/>
          <w:sz w:val="20"/>
          <w:szCs w:val="20"/>
          <w:lang w:val="es-ES"/>
        </w:rPr>
        <w:t>ostiene</w:t>
      </w:r>
      <w:r w:rsidR="00AA734F" w:rsidRPr="00BC4C33">
        <w:rPr>
          <w:rFonts w:asciiTheme="majorHAnsi" w:hAnsiTheme="majorHAnsi"/>
          <w:sz w:val="20"/>
          <w:szCs w:val="20"/>
          <w:lang w:val="es-ES"/>
        </w:rPr>
        <w:t xml:space="preserve"> </w:t>
      </w:r>
      <w:r>
        <w:rPr>
          <w:rFonts w:asciiTheme="majorHAnsi" w:hAnsiTheme="majorHAnsi"/>
          <w:sz w:val="20"/>
          <w:szCs w:val="20"/>
          <w:lang w:val="es-ES"/>
        </w:rPr>
        <w:t xml:space="preserve">además </w:t>
      </w:r>
      <w:r w:rsidR="00AA734F" w:rsidRPr="00BC4C33">
        <w:rPr>
          <w:rFonts w:asciiTheme="majorHAnsi" w:hAnsiTheme="majorHAnsi"/>
          <w:sz w:val="20"/>
          <w:szCs w:val="20"/>
          <w:lang w:val="es-ES"/>
        </w:rPr>
        <w:t>que lo ocurrido e</w:t>
      </w:r>
      <w:r>
        <w:rPr>
          <w:rFonts w:asciiTheme="majorHAnsi" w:hAnsiTheme="majorHAnsi"/>
          <w:sz w:val="20"/>
          <w:szCs w:val="20"/>
          <w:lang w:val="es-ES"/>
        </w:rPr>
        <w:t>l</w:t>
      </w:r>
      <w:r w:rsidR="00AA734F" w:rsidRPr="00BC4C33">
        <w:rPr>
          <w:rFonts w:asciiTheme="majorHAnsi" w:hAnsiTheme="majorHAnsi"/>
          <w:sz w:val="20"/>
          <w:szCs w:val="20"/>
          <w:lang w:val="es-ES"/>
        </w:rPr>
        <w:t xml:space="preserve"> 15 de junio de 2012 no fue una matanza</w:t>
      </w:r>
      <w:r w:rsidR="006C23C9" w:rsidRPr="00BC4C33">
        <w:rPr>
          <w:rFonts w:asciiTheme="majorHAnsi" w:hAnsiTheme="majorHAnsi"/>
          <w:sz w:val="20"/>
          <w:szCs w:val="20"/>
          <w:lang w:val="es-ES"/>
        </w:rPr>
        <w:t>,</w:t>
      </w:r>
      <w:r w:rsidR="00AA734F" w:rsidRPr="00BC4C33">
        <w:rPr>
          <w:rFonts w:asciiTheme="majorHAnsi" w:hAnsiTheme="majorHAnsi"/>
          <w:sz w:val="20"/>
          <w:szCs w:val="20"/>
          <w:lang w:val="es-ES"/>
        </w:rPr>
        <w:t xml:space="preserve"> sino un enfrentamiento </w:t>
      </w:r>
      <w:r w:rsidR="00D9011A" w:rsidRPr="00BC4C33">
        <w:rPr>
          <w:rFonts w:asciiTheme="majorHAnsi" w:hAnsiTheme="majorHAnsi"/>
          <w:sz w:val="20"/>
          <w:szCs w:val="20"/>
          <w:lang w:val="es-ES"/>
        </w:rPr>
        <w:t>causado por el actuar ilícito de las presuntas víctimas</w:t>
      </w:r>
      <w:r w:rsidR="006C23C9" w:rsidRPr="00BC4C33">
        <w:rPr>
          <w:rFonts w:asciiTheme="majorHAnsi" w:hAnsiTheme="majorHAnsi"/>
          <w:sz w:val="20"/>
          <w:szCs w:val="20"/>
          <w:lang w:val="es-ES"/>
        </w:rPr>
        <w:t>,</w:t>
      </w:r>
      <w:r w:rsidR="00D9011A" w:rsidRPr="00BC4C33">
        <w:rPr>
          <w:rFonts w:asciiTheme="majorHAnsi" w:hAnsiTheme="majorHAnsi"/>
          <w:sz w:val="20"/>
          <w:szCs w:val="20"/>
          <w:lang w:val="es-ES"/>
        </w:rPr>
        <w:t xml:space="preserve"> qu</w:t>
      </w:r>
      <w:r w:rsidR="0042745E">
        <w:rPr>
          <w:rFonts w:asciiTheme="majorHAnsi" w:hAnsiTheme="majorHAnsi"/>
          <w:sz w:val="20"/>
          <w:szCs w:val="20"/>
          <w:lang w:val="es-ES"/>
        </w:rPr>
        <w:t>e</w:t>
      </w:r>
      <w:r w:rsidR="00D9011A" w:rsidRPr="00BC4C33">
        <w:rPr>
          <w:rFonts w:asciiTheme="majorHAnsi" w:hAnsiTheme="majorHAnsi"/>
          <w:sz w:val="20"/>
          <w:szCs w:val="20"/>
          <w:lang w:val="es-ES"/>
        </w:rPr>
        <w:t xml:space="preserve"> invadi</w:t>
      </w:r>
      <w:r>
        <w:rPr>
          <w:rFonts w:asciiTheme="majorHAnsi" w:hAnsiTheme="majorHAnsi"/>
          <w:sz w:val="20"/>
          <w:szCs w:val="20"/>
          <w:lang w:val="es-ES"/>
        </w:rPr>
        <w:t>eron un inmueble</w:t>
      </w:r>
      <w:r w:rsidR="00D9011A" w:rsidRPr="00BC4C33">
        <w:rPr>
          <w:rFonts w:asciiTheme="majorHAnsi" w:hAnsiTheme="majorHAnsi"/>
          <w:sz w:val="20"/>
          <w:szCs w:val="20"/>
          <w:lang w:val="es-ES"/>
        </w:rPr>
        <w:t xml:space="preserve"> </w:t>
      </w:r>
      <w:r>
        <w:rPr>
          <w:rFonts w:asciiTheme="majorHAnsi" w:hAnsiTheme="majorHAnsi"/>
          <w:sz w:val="20"/>
          <w:szCs w:val="20"/>
          <w:lang w:val="es-ES"/>
        </w:rPr>
        <w:t xml:space="preserve">y </w:t>
      </w:r>
      <w:r w:rsidR="00D9011A" w:rsidRPr="00BC4C33">
        <w:rPr>
          <w:rFonts w:asciiTheme="majorHAnsi" w:hAnsiTheme="majorHAnsi"/>
          <w:sz w:val="20"/>
          <w:szCs w:val="20"/>
          <w:lang w:val="es-ES"/>
        </w:rPr>
        <w:t xml:space="preserve">causaron un enfrentamiento al agredir sin provocación a policías que se disponían a cumplir una orden judicial y dialogar pacíficamente con ellas para disuadirles de retirarse del lugar. </w:t>
      </w:r>
      <w:r w:rsidR="0042745E">
        <w:rPr>
          <w:rFonts w:asciiTheme="majorHAnsi" w:hAnsiTheme="majorHAnsi"/>
          <w:sz w:val="20"/>
          <w:szCs w:val="20"/>
          <w:lang w:val="es-ES"/>
        </w:rPr>
        <w:t>El</w:t>
      </w:r>
      <w:r w:rsidR="00D9011A" w:rsidRPr="00BC4C33">
        <w:rPr>
          <w:rFonts w:asciiTheme="majorHAnsi" w:hAnsiTheme="majorHAnsi"/>
          <w:sz w:val="20"/>
          <w:szCs w:val="20"/>
          <w:lang w:val="es-ES"/>
        </w:rPr>
        <w:t xml:space="preserve"> Estado asevera que los </w:t>
      </w:r>
      <w:r w:rsidR="0042745E" w:rsidRPr="00BC4C33">
        <w:rPr>
          <w:rFonts w:asciiTheme="majorHAnsi" w:hAnsiTheme="majorHAnsi"/>
          <w:sz w:val="20"/>
          <w:szCs w:val="20"/>
          <w:lang w:val="es-ES"/>
        </w:rPr>
        <w:t>policías</w:t>
      </w:r>
      <w:r w:rsidR="00D9011A" w:rsidRPr="00BC4C33">
        <w:rPr>
          <w:rFonts w:asciiTheme="majorHAnsi" w:hAnsiTheme="majorHAnsi"/>
          <w:sz w:val="20"/>
          <w:szCs w:val="20"/>
          <w:lang w:val="es-ES"/>
        </w:rPr>
        <w:t xml:space="preserve"> se vieron forzados a utilizar fuerza letal en defensa de sus propias vidas</w:t>
      </w:r>
      <w:r w:rsidR="006C23C9" w:rsidRPr="00BC4C33">
        <w:rPr>
          <w:rFonts w:asciiTheme="majorHAnsi" w:hAnsiTheme="majorHAnsi"/>
          <w:sz w:val="20"/>
          <w:szCs w:val="20"/>
          <w:lang w:val="es-ES"/>
        </w:rPr>
        <w:t>;</w:t>
      </w:r>
      <w:r w:rsidR="00D9011A" w:rsidRPr="00BC4C33">
        <w:rPr>
          <w:rFonts w:asciiTheme="majorHAnsi" w:hAnsiTheme="majorHAnsi"/>
          <w:sz w:val="20"/>
          <w:szCs w:val="20"/>
          <w:lang w:val="es-ES"/>
        </w:rPr>
        <w:t xml:space="preserve"> y responsabiliza a las presuntas víctimas y </w:t>
      </w:r>
      <w:r w:rsidR="0042745E">
        <w:rPr>
          <w:rFonts w:asciiTheme="majorHAnsi" w:hAnsiTheme="majorHAnsi"/>
          <w:sz w:val="20"/>
          <w:szCs w:val="20"/>
          <w:lang w:val="es-ES"/>
        </w:rPr>
        <w:t xml:space="preserve">a </w:t>
      </w:r>
      <w:r w:rsidR="00D9011A" w:rsidRPr="00BC4C33">
        <w:rPr>
          <w:rFonts w:asciiTheme="majorHAnsi" w:hAnsiTheme="majorHAnsi"/>
          <w:sz w:val="20"/>
          <w:szCs w:val="20"/>
          <w:lang w:val="es-ES"/>
        </w:rPr>
        <w:t>su actuar ilícito por las muertes ocurridas e</w:t>
      </w:r>
      <w:r w:rsidR="0042745E">
        <w:rPr>
          <w:rFonts w:asciiTheme="majorHAnsi" w:hAnsiTheme="majorHAnsi"/>
          <w:sz w:val="20"/>
          <w:szCs w:val="20"/>
          <w:lang w:val="es-ES"/>
        </w:rPr>
        <w:t>n esa fecha</w:t>
      </w:r>
      <w:r w:rsidR="00D9011A" w:rsidRPr="00BC4C33">
        <w:rPr>
          <w:rFonts w:asciiTheme="majorHAnsi" w:hAnsiTheme="majorHAnsi"/>
          <w:sz w:val="20"/>
          <w:szCs w:val="20"/>
          <w:lang w:val="es-ES"/>
        </w:rPr>
        <w:t xml:space="preserve">. En cuanto al tipo penal de homicidio doloso, </w:t>
      </w:r>
      <w:r w:rsidR="0042745E">
        <w:rPr>
          <w:rFonts w:asciiTheme="majorHAnsi" w:hAnsiTheme="majorHAnsi"/>
          <w:sz w:val="20"/>
          <w:szCs w:val="20"/>
          <w:lang w:val="es-ES"/>
        </w:rPr>
        <w:t xml:space="preserve">el Estado destaca que </w:t>
      </w:r>
      <w:r w:rsidR="00D9011A" w:rsidRPr="00BC4C33">
        <w:rPr>
          <w:rFonts w:asciiTheme="majorHAnsi" w:hAnsiTheme="majorHAnsi"/>
          <w:sz w:val="20"/>
          <w:szCs w:val="20"/>
          <w:lang w:val="es-ES"/>
        </w:rPr>
        <w:t>las condenas fueron revocadas</w:t>
      </w:r>
      <w:r w:rsidR="0042745E">
        <w:rPr>
          <w:rFonts w:asciiTheme="majorHAnsi" w:hAnsiTheme="majorHAnsi"/>
          <w:sz w:val="20"/>
          <w:szCs w:val="20"/>
          <w:lang w:val="es-ES"/>
        </w:rPr>
        <w:t>,</w:t>
      </w:r>
      <w:r w:rsidR="00D9011A" w:rsidRPr="00BC4C33">
        <w:rPr>
          <w:rFonts w:asciiTheme="majorHAnsi" w:hAnsiTheme="majorHAnsi"/>
          <w:sz w:val="20"/>
          <w:szCs w:val="20"/>
          <w:lang w:val="es-ES"/>
        </w:rPr>
        <w:t xml:space="preserve"> pero no porque </w:t>
      </w:r>
      <w:r w:rsidR="0042745E">
        <w:rPr>
          <w:rFonts w:asciiTheme="majorHAnsi" w:hAnsiTheme="majorHAnsi"/>
          <w:sz w:val="20"/>
          <w:szCs w:val="20"/>
          <w:lang w:val="es-ES"/>
        </w:rPr>
        <w:t xml:space="preserve">no se hubiera </w:t>
      </w:r>
      <w:r w:rsidR="00D9011A" w:rsidRPr="00BC4C33">
        <w:rPr>
          <w:rFonts w:asciiTheme="majorHAnsi" w:hAnsiTheme="majorHAnsi"/>
          <w:sz w:val="20"/>
          <w:szCs w:val="20"/>
          <w:lang w:val="es-ES"/>
        </w:rPr>
        <w:t>dispar</w:t>
      </w:r>
      <w:r w:rsidR="0042745E">
        <w:rPr>
          <w:rFonts w:asciiTheme="majorHAnsi" w:hAnsiTheme="majorHAnsi"/>
          <w:sz w:val="20"/>
          <w:szCs w:val="20"/>
          <w:lang w:val="es-ES"/>
        </w:rPr>
        <w:t>ado</w:t>
      </w:r>
      <w:r w:rsidR="00D9011A" w:rsidRPr="00BC4C33">
        <w:rPr>
          <w:rFonts w:asciiTheme="majorHAnsi" w:hAnsiTheme="majorHAnsi"/>
          <w:sz w:val="20"/>
          <w:szCs w:val="20"/>
          <w:lang w:val="es-ES"/>
        </w:rPr>
        <w:t xml:space="preserve"> contra la policía</w:t>
      </w:r>
      <w:r w:rsidR="006C23C9" w:rsidRPr="00BC4C33">
        <w:rPr>
          <w:rFonts w:asciiTheme="majorHAnsi" w:hAnsiTheme="majorHAnsi"/>
          <w:sz w:val="20"/>
          <w:szCs w:val="20"/>
          <w:lang w:val="es-ES"/>
        </w:rPr>
        <w:t>,</w:t>
      </w:r>
      <w:r w:rsidR="00D9011A" w:rsidRPr="00BC4C33">
        <w:rPr>
          <w:rFonts w:asciiTheme="majorHAnsi" w:hAnsiTheme="majorHAnsi"/>
          <w:sz w:val="20"/>
          <w:szCs w:val="20"/>
          <w:lang w:val="es-ES"/>
        </w:rPr>
        <w:t xml:space="preserve"> sino por falta de certeza respecto a quienes lo habrían </w:t>
      </w:r>
      <w:r w:rsidR="0042745E">
        <w:rPr>
          <w:rFonts w:asciiTheme="majorHAnsi" w:hAnsiTheme="majorHAnsi"/>
          <w:sz w:val="20"/>
          <w:szCs w:val="20"/>
          <w:lang w:val="es-ES"/>
        </w:rPr>
        <w:t>hecho</w:t>
      </w:r>
      <w:r w:rsidR="00D9011A" w:rsidRPr="00BC4C33">
        <w:rPr>
          <w:rFonts w:asciiTheme="majorHAnsi" w:hAnsiTheme="majorHAnsi"/>
          <w:sz w:val="20"/>
          <w:szCs w:val="20"/>
          <w:lang w:val="es-ES"/>
        </w:rPr>
        <w:t>.</w:t>
      </w:r>
    </w:p>
    <w:p w14:paraId="59256EAB" w14:textId="77777777" w:rsidR="00AA734F" w:rsidRPr="004F42D9" w:rsidRDefault="00AA734F" w:rsidP="00012432">
      <w:pPr>
        <w:rPr>
          <w:rFonts w:asciiTheme="majorHAnsi" w:hAnsiTheme="majorHAnsi"/>
          <w:sz w:val="20"/>
          <w:szCs w:val="20"/>
          <w:lang w:val="es-ES"/>
        </w:rPr>
      </w:pPr>
    </w:p>
    <w:p w14:paraId="6BB3FEE8" w14:textId="6CBCC1B0" w:rsidR="004C1302" w:rsidRPr="00BC4C33" w:rsidRDefault="006C23C9"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El </w:t>
      </w:r>
      <w:r w:rsidR="00AA734F" w:rsidRPr="00BC4C33">
        <w:rPr>
          <w:rFonts w:asciiTheme="majorHAnsi" w:hAnsiTheme="majorHAnsi"/>
          <w:sz w:val="20"/>
          <w:szCs w:val="20"/>
          <w:lang w:val="es-ES"/>
        </w:rPr>
        <w:t xml:space="preserve">Estado </w:t>
      </w:r>
      <w:r w:rsidRPr="00BC4C33">
        <w:rPr>
          <w:rFonts w:asciiTheme="majorHAnsi" w:hAnsiTheme="majorHAnsi"/>
          <w:sz w:val="20"/>
          <w:szCs w:val="20"/>
          <w:lang w:val="es-ES"/>
        </w:rPr>
        <w:t xml:space="preserve">paraguayo controvierte además </w:t>
      </w:r>
      <w:r w:rsidR="00AA734F" w:rsidRPr="00BC4C33">
        <w:rPr>
          <w:rFonts w:asciiTheme="majorHAnsi" w:hAnsiTheme="majorHAnsi"/>
          <w:sz w:val="20"/>
          <w:szCs w:val="20"/>
          <w:lang w:val="es-ES"/>
        </w:rPr>
        <w:t>que la petición se refiere en forma abstracta a hechos de ejecución extrajudicial, tortura, desaparición forzada y denegación de auxilio</w:t>
      </w:r>
      <w:r w:rsidR="0042745E">
        <w:rPr>
          <w:rFonts w:asciiTheme="majorHAnsi" w:hAnsiTheme="majorHAnsi"/>
          <w:sz w:val="20"/>
          <w:szCs w:val="20"/>
          <w:lang w:val="es-ES"/>
        </w:rPr>
        <w:t xml:space="preserve">, </w:t>
      </w:r>
      <w:r w:rsidR="00AA734F" w:rsidRPr="00BC4C33">
        <w:rPr>
          <w:rFonts w:asciiTheme="majorHAnsi" w:hAnsiTheme="majorHAnsi"/>
          <w:sz w:val="20"/>
          <w:szCs w:val="20"/>
          <w:lang w:val="es-ES"/>
        </w:rPr>
        <w:t xml:space="preserve">sin que las </w:t>
      </w:r>
      <w:r w:rsidR="006E5136" w:rsidRPr="00BC4C33">
        <w:rPr>
          <w:rFonts w:asciiTheme="majorHAnsi" w:hAnsiTheme="majorHAnsi"/>
          <w:sz w:val="20"/>
          <w:szCs w:val="20"/>
          <w:lang w:val="es-ES"/>
        </w:rPr>
        <w:t>supuestas víctimas de</w:t>
      </w:r>
      <w:r w:rsidR="00AA734F" w:rsidRPr="00BC4C33">
        <w:rPr>
          <w:rFonts w:asciiTheme="majorHAnsi" w:hAnsiTheme="majorHAnsi"/>
          <w:sz w:val="20"/>
          <w:szCs w:val="20"/>
          <w:lang w:val="es-ES"/>
        </w:rPr>
        <w:t xml:space="preserve"> estos hechos o sus familiares se h</w:t>
      </w:r>
      <w:r w:rsidR="0042745E">
        <w:rPr>
          <w:rFonts w:asciiTheme="majorHAnsi" w:hAnsiTheme="majorHAnsi"/>
          <w:sz w:val="20"/>
          <w:szCs w:val="20"/>
          <w:lang w:val="es-ES"/>
        </w:rPr>
        <w:t>ubieran</w:t>
      </w:r>
      <w:r w:rsidR="00AA734F" w:rsidRPr="00BC4C33">
        <w:rPr>
          <w:rFonts w:asciiTheme="majorHAnsi" w:hAnsiTheme="majorHAnsi"/>
          <w:sz w:val="20"/>
          <w:szCs w:val="20"/>
          <w:lang w:val="es-ES"/>
        </w:rPr>
        <w:t xml:space="preserve"> presentado a la Comisión </w:t>
      </w:r>
      <w:r w:rsidR="0042745E">
        <w:rPr>
          <w:rFonts w:asciiTheme="majorHAnsi" w:hAnsiTheme="majorHAnsi"/>
          <w:sz w:val="20"/>
          <w:szCs w:val="20"/>
          <w:lang w:val="es-ES"/>
        </w:rPr>
        <w:t xml:space="preserve">Interamericana </w:t>
      </w:r>
      <w:r w:rsidR="00AA734F" w:rsidRPr="00BC4C33">
        <w:rPr>
          <w:rFonts w:asciiTheme="majorHAnsi" w:hAnsiTheme="majorHAnsi"/>
          <w:sz w:val="20"/>
          <w:szCs w:val="20"/>
          <w:lang w:val="es-ES"/>
        </w:rPr>
        <w:t>o h</w:t>
      </w:r>
      <w:r w:rsidR="0042745E">
        <w:rPr>
          <w:rFonts w:asciiTheme="majorHAnsi" w:hAnsiTheme="majorHAnsi"/>
          <w:sz w:val="20"/>
          <w:szCs w:val="20"/>
          <w:lang w:val="es-ES"/>
        </w:rPr>
        <w:t>ubieran</w:t>
      </w:r>
      <w:r w:rsidR="00AA734F" w:rsidRPr="00BC4C33">
        <w:rPr>
          <w:rFonts w:asciiTheme="majorHAnsi" w:hAnsiTheme="majorHAnsi"/>
          <w:sz w:val="20"/>
          <w:szCs w:val="20"/>
          <w:lang w:val="es-ES"/>
        </w:rPr>
        <w:t xml:space="preserve"> sido identificadas. A juicio del Estado</w:t>
      </w:r>
      <w:r w:rsidR="0042745E">
        <w:rPr>
          <w:rFonts w:asciiTheme="majorHAnsi" w:hAnsiTheme="majorHAnsi"/>
          <w:sz w:val="20"/>
          <w:szCs w:val="20"/>
          <w:lang w:val="es-ES"/>
        </w:rPr>
        <w:t>,</w:t>
      </w:r>
      <w:r w:rsidR="00AA734F" w:rsidRPr="00BC4C33">
        <w:rPr>
          <w:rFonts w:asciiTheme="majorHAnsi" w:hAnsiTheme="majorHAnsi"/>
          <w:sz w:val="20"/>
          <w:szCs w:val="20"/>
          <w:lang w:val="es-ES"/>
        </w:rPr>
        <w:t xml:space="preserve"> </w:t>
      </w:r>
      <w:r w:rsidR="009152FE" w:rsidRPr="00BC4C33">
        <w:rPr>
          <w:rFonts w:asciiTheme="majorHAnsi" w:hAnsiTheme="majorHAnsi"/>
          <w:sz w:val="20"/>
          <w:szCs w:val="20"/>
          <w:lang w:val="es-ES"/>
        </w:rPr>
        <w:t>estos extremos de la petición</w:t>
      </w:r>
      <w:r w:rsidR="00AA734F" w:rsidRPr="00BC4C33">
        <w:rPr>
          <w:rFonts w:asciiTheme="majorHAnsi" w:hAnsiTheme="majorHAnsi"/>
          <w:sz w:val="20"/>
          <w:szCs w:val="20"/>
          <w:lang w:val="es-ES"/>
        </w:rPr>
        <w:t xml:space="preserve"> debe</w:t>
      </w:r>
      <w:r w:rsidR="009152FE" w:rsidRPr="00BC4C33">
        <w:rPr>
          <w:rFonts w:asciiTheme="majorHAnsi" w:hAnsiTheme="majorHAnsi"/>
          <w:sz w:val="20"/>
          <w:szCs w:val="20"/>
          <w:lang w:val="es-ES"/>
        </w:rPr>
        <w:t>n</w:t>
      </w:r>
      <w:r w:rsidR="00AA734F" w:rsidRPr="00BC4C33">
        <w:rPr>
          <w:rFonts w:asciiTheme="majorHAnsi" w:hAnsiTheme="majorHAnsi"/>
          <w:sz w:val="20"/>
          <w:szCs w:val="20"/>
          <w:lang w:val="es-ES"/>
        </w:rPr>
        <w:t xml:space="preserve"> ser inadmitid</w:t>
      </w:r>
      <w:r w:rsidR="009152FE" w:rsidRPr="00BC4C33">
        <w:rPr>
          <w:rFonts w:asciiTheme="majorHAnsi" w:hAnsiTheme="majorHAnsi"/>
          <w:sz w:val="20"/>
          <w:szCs w:val="20"/>
          <w:lang w:val="es-ES"/>
        </w:rPr>
        <w:t>os</w:t>
      </w:r>
      <w:r w:rsidR="00AA734F" w:rsidRPr="00BC4C33">
        <w:rPr>
          <w:rFonts w:asciiTheme="majorHAnsi" w:hAnsiTheme="majorHAnsi"/>
          <w:sz w:val="20"/>
          <w:szCs w:val="20"/>
          <w:lang w:val="es-ES"/>
        </w:rPr>
        <w:t xml:space="preserve"> en base a los artículos 46.1(d) y 47(a) de la Convención Americana. El Estado también</w:t>
      </w:r>
      <w:r w:rsidR="00D9011A" w:rsidRPr="00BC4C33">
        <w:rPr>
          <w:rFonts w:asciiTheme="majorHAnsi" w:hAnsiTheme="majorHAnsi"/>
          <w:sz w:val="20"/>
          <w:szCs w:val="20"/>
          <w:lang w:val="es-ES"/>
        </w:rPr>
        <w:t xml:space="preserve"> sostiene que las muertes de </w:t>
      </w:r>
      <w:r w:rsidR="006E5136" w:rsidRPr="00BC4C33">
        <w:rPr>
          <w:rFonts w:asciiTheme="majorHAnsi" w:hAnsiTheme="majorHAnsi"/>
          <w:sz w:val="20"/>
          <w:szCs w:val="20"/>
          <w:lang w:val="es-ES"/>
        </w:rPr>
        <w:t>los</w:t>
      </w:r>
      <w:r w:rsidR="00D9011A" w:rsidRPr="00BC4C33">
        <w:rPr>
          <w:rFonts w:asciiTheme="majorHAnsi" w:hAnsiTheme="majorHAnsi"/>
          <w:sz w:val="20"/>
          <w:szCs w:val="20"/>
          <w:lang w:val="es-ES"/>
        </w:rPr>
        <w:t xml:space="preserve"> </w:t>
      </w:r>
      <w:r w:rsidR="006E5136" w:rsidRPr="00BC4C33">
        <w:rPr>
          <w:rFonts w:asciiTheme="majorHAnsi" w:hAnsiTheme="majorHAnsi"/>
          <w:sz w:val="20"/>
          <w:szCs w:val="20"/>
          <w:lang w:val="es-ES"/>
        </w:rPr>
        <w:t>once</w:t>
      </w:r>
      <w:r w:rsidR="00D9011A" w:rsidRPr="00BC4C33">
        <w:rPr>
          <w:rFonts w:asciiTheme="majorHAnsi" w:hAnsiTheme="majorHAnsi"/>
          <w:sz w:val="20"/>
          <w:szCs w:val="20"/>
          <w:lang w:val="es-ES"/>
        </w:rPr>
        <w:t xml:space="preserve"> </w:t>
      </w:r>
      <w:r w:rsidR="00974326" w:rsidRPr="00BC4C33">
        <w:rPr>
          <w:rFonts w:asciiTheme="majorHAnsi" w:hAnsiTheme="majorHAnsi"/>
          <w:sz w:val="20"/>
          <w:szCs w:val="20"/>
          <w:lang w:val="es-ES"/>
        </w:rPr>
        <w:t>campesinos</w:t>
      </w:r>
      <w:r w:rsidR="00D9011A" w:rsidRPr="00BC4C33">
        <w:rPr>
          <w:rFonts w:asciiTheme="majorHAnsi" w:hAnsiTheme="majorHAnsi"/>
          <w:sz w:val="20"/>
          <w:szCs w:val="20"/>
          <w:lang w:val="es-ES"/>
        </w:rPr>
        <w:t xml:space="preserve"> </w:t>
      </w:r>
      <w:r w:rsidR="009152FE" w:rsidRPr="00BC4C33">
        <w:rPr>
          <w:rFonts w:asciiTheme="majorHAnsi" w:hAnsiTheme="majorHAnsi"/>
          <w:sz w:val="20"/>
          <w:szCs w:val="20"/>
          <w:lang w:val="es-ES"/>
        </w:rPr>
        <w:t xml:space="preserve">ocurridas el 15 de junio de 2012 y la supuesta responsabilidad del Estado fue debidamente investigada en el proceso penal contra las presuntas víctimas. </w:t>
      </w:r>
      <w:r w:rsidR="0042745E">
        <w:rPr>
          <w:rFonts w:asciiTheme="majorHAnsi" w:hAnsiTheme="majorHAnsi"/>
          <w:sz w:val="20"/>
          <w:szCs w:val="20"/>
          <w:lang w:val="es-ES"/>
        </w:rPr>
        <w:t>T</w:t>
      </w:r>
      <w:r w:rsidR="009152FE" w:rsidRPr="00BC4C33">
        <w:rPr>
          <w:rFonts w:asciiTheme="majorHAnsi" w:hAnsiTheme="majorHAnsi"/>
          <w:sz w:val="20"/>
          <w:szCs w:val="20"/>
          <w:lang w:val="es-ES"/>
        </w:rPr>
        <w:t>ambién indica que en 2012 se recibió una denuncia de CODEHUPY sobre supuestas torturas contra personas innominadas</w:t>
      </w:r>
      <w:r w:rsidR="0044720B">
        <w:rPr>
          <w:rFonts w:asciiTheme="majorHAnsi" w:hAnsiTheme="majorHAnsi"/>
          <w:sz w:val="20"/>
          <w:szCs w:val="20"/>
          <w:lang w:val="es-ES"/>
        </w:rPr>
        <w:t>, a la que</w:t>
      </w:r>
      <w:r w:rsidR="009152FE" w:rsidRPr="00BC4C33">
        <w:rPr>
          <w:rFonts w:asciiTheme="majorHAnsi" w:hAnsiTheme="majorHAnsi"/>
          <w:sz w:val="20"/>
          <w:szCs w:val="20"/>
          <w:lang w:val="es-ES"/>
        </w:rPr>
        <w:t xml:space="preserve"> luego se acumular</w:t>
      </w:r>
      <w:r w:rsidR="0042745E">
        <w:rPr>
          <w:rFonts w:asciiTheme="majorHAnsi" w:hAnsiTheme="majorHAnsi"/>
          <w:sz w:val="20"/>
          <w:szCs w:val="20"/>
          <w:lang w:val="es-ES"/>
        </w:rPr>
        <w:t>on</w:t>
      </w:r>
      <w:r w:rsidR="009152FE" w:rsidRPr="00BC4C33">
        <w:rPr>
          <w:rFonts w:asciiTheme="majorHAnsi" w:hAnsiTheme="majorHAnsi"/>
          <w:sz w:val="20"/>
          <w:szCs w:val="20"/>
          <w:lang w:val="es-ES"/>
        </w:rPr>
        <w:t xml:space="preserve"> otras </w:t>
      </w:r>
      <w:r w:rsidR="0042745E">
        <w:rPr>
          <w:rFonts w:asciiTheme="majorHAnsi" w:hAnsiTheme="majorHAnsi"/>
          <w:sz w:val="20"/>
          <w:szCs w:val="20"/>
          <w:lang w:val="es-ES"/>
        </w:rPr>
        <w:t xml:space="preserve">sobre </w:t>
      </w:r>
      <w:r w:rsidR="009152FE" w:rsidRPr="00BC4C33">
        <w:rPr>
          <w:rFonts w:asciiTheme="majorHAnsi" w:hAnsiTheme="majorHAnsi"/>
          <w:sz w:val="20"/>
          <w:szCs w:val="20"/>
          <w:lang w:val="es-ES"/>
        </w:rPr>
        <w:t>extrañamiento de personas, torturas y ejecuciones</w:t>
      </w:r>
      <w:r w:rsidR="0042745E">
        <w:rPr>
          <w:rFonts w:asciiTheme="majorHAnsi" w:hAnsiTheme="majorHAnsi"/>
          <w:sz w:val="20"/>
          <w:szCs w:val="20"/>
          <w:lang w:val="es-ES"/>
        </w:rPr>
        <w:t>,</w:t>
      </w:r>
      <w:r w:rsidR="004C1302" w:rsidRPr="00BC4C33">
        <w:rPr>
          <w:rFonts w:asciiTheme="majorHAnsi" w:hAnsiTheme="majorHAnsi"/>
          <w:sz w:val="20"/>
          <w:szCs w:val="20"/>
          <w:lang w:val="es-ES"/>
        </w:rPr>
        <w:t xml:space="preserve"> que </w:t>
      </w:r>
      <w:r w:rsidR="0042745E">
        <w:rPr>
          <w:rFonts w:asciiTheme="majorHAnsi" w:hAnsiTheme="majorHAnsi"/>
          <w:sz w:val="20"/>
          <w:szCs w:val="20"/>
          <w:lang w:val="es-ES"/>
        </w:rPr>
        <w:t>fueron presentadas</w:t>
      </w:r>
      <w:r w:rsidR="004C1302" w:rsidRPr="00BC4C33">
        <w:rPr>
          <w:rFonts w:asciiTheme="majorHAnsi" w:hAnsiTheme="majorHAnsi"/>
          <w:sz w:val="20"/>
          <w:szCs w:val="20"/>
          <w:lang w:val="es-ES"/>
        </w:rPr>
        <w:t xml:space="preserve"> por la defensa en el marco del proceso penal seguido contra las presuntas víctimas</w:t>
      </w:r>
      <w:r w:rsidR="006E5136" w:rsidRPr="00BC4C33">
        <w:rPr>
          <w:rFonts w:asciiTheme="majorHAnsi" w:hAnsiTheme="majorHAnsi"/>
          <w:sz w:val="20"/>
          <w:szCs w:val="20"/>
          <w:lang w:val="es-ES"/>
        </w:rPr>
        <w:t>;</w:t>
      </w:r>
      <w:r w:rsidR="004C1302" w:rsidRPr="00BC4C33">
        <w:rPr>
          <w:rFonts w:asciiTheme="majorHAnsi" w:hAnsiTheme="majorHAnsi"/>
          <w:sz w:val="20"/>
          <w:szCs w:val="20"/>
          <w:lang w:val="es-ES"/>
        </w:rPr>
        <w:t xml:space="preserve"> y que fueron remitidas al Ministerio Público en 2016</w:t>
      </w:r>
      <w:r w:rsidR="006E5136" w:rsidRPr="00BC4C33">
        <w:rPr>
          <w:rFonts w:asciiTheme="majorHAnsi" w:hAnsiTheme="majorHAnsi"/>
          <w:sz w:val="20"/>
          <w:szCs w:val="20"/>
          <w:lang w:val="es-ES"/>
        </w:rPr>
        <w:t>,</w:t>
      </w:r>
      <w:r w:rsidR="004C1302" w:rsidRPr="00BC4C33">
        <w:rPr>
          <w:rFonts w:asciiTheme="majorHAnsi" w:hAnsiTheme="majorHAnsi"/>
          <w:sz w:val="20"/>
          <w:szCs w:val="20"/>
          <w:lang w:val="es-ES"/>
        </w:rPr>
        <w:t xml:space="preserve"> luego de dictada la sentencia de primera instancia. En su última comunicación de 6 de junio de 2019</w:t>
      </w:r>
      <w:r w:rsidR="0042745E">
        <w:rPr>
          <w:rFonts w:asciiTheme="majorHAnsi" w:hAnsiTheme="majorHAnsi"/>
          <w:sz w:val="20"/>
          <w:szCs w:val="20"/>
          <w:lang w:val="es-ES"/>
        </w:rPr>
        <w:t>,</w:t>
      </w:r>
      <w:r w:rsidR="004C1302" w:rsidRPr="00BC4C33">
        <w:rPr>
          <w:rFonts w:asciiTheme="majorHAnsi" w:hAnsiTheme="majorHAnsi"/>
          <w:sz w:val="20"/>
          <w:szCs w:val="20"/>
          <w:lang w:val="es-ES"/>
        </w:rPr>
        <w:t xml:space="preserve"> el Estado señal</w:t>
      </w:r>
      <w:r w:rsidR="0042745E">
        <w:rPr>
          <w:rFonts w:asciiTheme="majorHAnsi" w:hAnsiTheme="majorHAnsi"/>
          <w:sz w:val="20"/>
          <w:szCs w:val="20"/>
          <w:lang w:val="es-ES"/>
        </w:rPr>
        <w:t>a</w:t>
      </w:r>
      <w:r w:rsidR="004C1302" w:rsidRPr="00BC4C33">
        <w:rPr>
          <w:rFonts w:asciiTheme="majorHAnsi" w:hAnsiTheme="majorHAnsi"/>
          <w:sz w:val="20"/>
          <w:szCs w:val="20"/>
          <w:lang w:val="es-ES"/>
        </w:rPr>
        <w:t xml:space="preserve"> que estas </w:t>
      </w:r>
      <w:r w:rsidR="00135357" w:rsidRPr="00BC4C33">
        <w:rPr>
          <w:rFonts w:asciiTheme="majorHAnsi" w:hAnsiTheme="majorHAnsi"/>
          <w:sz w:val="20"/>
          <w:szCs w:val="20"/>
          <w:lang w:val="es-ES"/>
        </w:rPr>
        <w:t>dos</w:t>
      </w:r>
      <w:r w:rsidR="004C1302" w:rsidRPr="00BC4C33">
        <w:rPr>
          <w:rFonts w:asciiTheme="majorHAnsi" w:hAnsiTheme="majorHAnsi"/>
          <w:sz w:val="20"/>
          <w:szCs w:val="20"/>
          <w:lang w:val="es-ES"/>
        </w:rPr>
        <w:t xml:space="preserve"> denuncias se encontraban </w:t>
      </w:r>
      <w:r w:rsidR="0042745E">
        <w:rPr>
          <w:rFonts w:asciiTheme="majorHAnsi" w:hAnsiTheme="majorHAnsi"/>
          <w:sz w:val="20"/>
          <w:szCs w:val="20"/>
          <w:lang w:val="es-ES"/>
        </w:rPr>
        <w:t>bajo</w:t>
      </w:r>
      <w:r w:rsidR="004C1302" w:rsidRPr="00BC4C33">
        <w:rPr>
          <w:rFonts w:asciiTheme="majorHAnsi" w:hAnsiTheme="majorHAnsi"/>
          <w:sz w:val="20"/>
          <w:szCs w:val="20"/>
          <w:lang w:val="es-ES"/>
        </w:rPr>
        <w:t xml:space="preserve"> investigación</w:t>
      </w:r>
      <w:r w:rsidR="0042745E">
        <w:rPr>
          <w:rFonts w:asciiTheme="majorHAnsi" w:hAnsiTheme="majorHAnsi"/>
          <w:sz w:val="20"/>
          <w:szCs w:val="20"/>
          <w:lang w:val="es-ES"/>
        </w:rPr>
        <w:t xml:space="preserve">, y que su </w:t>
      </w:r>
      <w:r w:rsidR="0044720B">
        <w:rPr>
          <w:rFonts w:asciiTheme="majorHAnsi" w:hAnsiTheme="majorHAnsi"/>
          <w:sz w:val="20"/>
          <w:szCs w:val="20"/>
          <w:lang w:val="es-ES"/>
        </w:rPr>
        <w:t>avance</w:t>
      </w:r>
      <w:r w:rsidR="0042745E">
        <w:rPr>
          <w:rFonts w:asciiTheme="majorHAnsi" w:hAnsiTheme="majorHAnsi"/>
          <w:sz w:val="20"/>
          <w:szCs w:val="20"/>
          <w:lang w:val="es-ES"/>
        </w:rPr>
        <w:t xml:space="preserve"> era </w:t>
      </w:r>
      <w:r w:rsidR="009B3443" w:rsidRPr="00BC4C33">
        <w:rPr>
          <w:rFonts w:asciiTheme="majorHAnsi" w:hAnsiTheme="majorHAnsi"/>
          <w:sz w:val="20"/>
          <w:szCs w:val="20"/>
          <w:lang w:val="es-ES"/>
        </w:rPr>
        <w:t>acorde a su complejidad</w:t>
      </w:r>
      <w:r w:rsidR="0042745E">
        <w:rPr>
          <w:rFonts w:asciiTheme="majorHAnsi" w:hAnsiTheme="majorHAnsi"/>
          <w:sz w:val="20"/>
          <w:szCs w:val="20"/>
          <w:lang w:val="es-ES"/>
        </w:rPr>
        <w:t>. En consecuencia, afirma</w:t>
      </w:r>
      <w:r w:rsidR="009B3443" w:rsidRPr="00BC4C33">
        <w:rPr>
          <w:rFonts w:asciiTheme="majorHAnsi" w:hAnsiTheme="majorHAnsi"/>
          <w:sz w:val="20"/>
          <w:szCs w:val="20"/>
          <w:lang w:val="es-ES"/>
        </w:rPr>
        <w:t xml:space="preserve"> que los correspondientes extremos de la petición no cumplirían con los requisitos del artículo 46.1(a) de la Convención Americana </w:t>
      </w:r>
      <w:r w:rsidR="0042745E">
        <w:rPr>
          <w:rFonts w:asciiTheme="majorHAnsi" w:hAnsiTheme="majorHAnsi"/>
          <w:sz w:val="20"/>
          <w:szCs w:val="20"/>
          <w:lang w:val="es-ES"/>
        </w:rPr>
        <w:t>ni</w:t>
      </w:r>
      <w:r w:rsidR="009B3443" w:rsidRPr="00BC4C33">
        <w:rPr>
          <w:rFonts w:asciiTheme="majorHAnsi" w:hAnsiTheme="majorHAnsi"/>
          <w:sz w:val="20"/>
          <w:szCs w:val="20"/>
          <w:lang w:val="es-ES"/>
        </w:rPr>
        <w:t xml:space="preserve"> del artículo 31 del </w:t>
      </w:r>
      <w:r w:rsidR="0042745E">
        <w:rPr>
          <w:rFonts w:asciiTheme="majorHAnsi" w:hAnsiTheme="majorHAnsi"/>
          <w:sz w:val="20"/>
          <w:szCs w:val="20"/>
          <w:lang w:val="es-ES"/>
        </w:rPr>
        <w:t>R</w:t>
      </w:r>
      <w:r w:rsidR="009B3443" w:rsidRPr="00BC4C33">
        <w:rPr>
          <w:rFonts w:asciiTheme="majorHAnsi" w:hAnsiTheme="majorHAnsi"/>
          <w:sz w:val="20"/>
          <w:szCs w:val="20"/>
          <w:lang w:val="es-ES"/>
        </w:rPr>
        <w:t>eglamento de la C</w:t>
      </w:r>
      <w:r w:rsidR="0042745E">
        <w:rPr>
          <w:rFonts w:asciiTheme="majorHAnsi" w:hAnsiTheme="majorHAnsi"/>
          <w:sz w:val="20"/>
          <w:szCs w:val="20"/>
          <w:lang w:val="es-ES"/>
        </w:rPr>
        <w:t>IDH</w:t>
      </w:r>
      <w:r w:rsidR="009B3443" w:rsidRPr="00BC4C33">
        <w:rPr>
          <w:rFonts w:asciiTheme="majorHAnsi" w:hAnsiTheme="majorHAnsi"/>
          <w:sz w:val="20"/>
          <w:szCs w:val="20"/>
          <w:lang w:val="es-ES"/>
        </w:rPr>
        <w:t>.</w:t>
      </w:r>
      <w:r w:rsidR="00DC352E" w:rsidRPr="00BC4C33">
        <w:rPr>
          <w:rFonts w:asciiTheme="majorHAnsi" w:hAnsiTheme="majorHAnsi"/>
          <w:sz w:val="20"/>
          <w:szCs w:val="20"/>
          <w:lang w:val="es-ES"/>
        </w:rPr>
        <w:t xml:space="preserve"> El Estado también se refiere a una denuncia por familiares de las personas fallecidas el 15 de junio de 2012</w:t>
      </w:r>
      <w:r w:rsidR="0044720B">
        <w:rPr>
          <w:rFonts w:asciiTheme="majorHAnsi" w:hAnsiTheme="majorHAnsi"/>
          <w:sz w:val="20"/>
          <w:szCs w:val="20"/>
          <w:lang w:val="es-ES"/>
        </w:rPr>
        <w:t>, que</w:t>
      </w:r>
      <w:r w:rsidR="00853BC6" w:rsidRPr="00BC4C33">
        <w:rPr>
          <w:rFonts w:asciiTheme="majorHAnsi" w:hAnsiTheme="majorHAnsi"/>
          <w:sz w:val="20"/>
          <w:szCs w:val="20"/>
          <w:lang w:val="es-ES"/>
        </w:rPr>
        <w:t xml:space="preserve"> </w:t>
      </w:r>
      <w:r w:rsidR="00DC352E" w:rsidRPr="00BC4C33">
        <w:rPr>
          <w:rFonts w:asciiTheme="majorHAnsi" w:hAnsiTheme="majorHAnsi"/>
          <w:sz w:val="20"/>
          <w:szCs w:val="20"/>
          <w:lang w:val="es-ES"/>
        </w:rPr>
        <w:t>se separó en dos trámites</w:t>
      </w:r>
      <w:r w:rsidR="00D506EE" w:rsidRPr="00BC4C33">
        <w:rPr>
          <w:rFonts w:asciiTheme="majorHAnsi" w:hAnsiTheme="majorHAnsi"/>
          <w:sz w:val="20"/>
          <w:szCs w:val="20"/>
          <w:lang w:val="es-ES"/>
        </w:rPr>
        <w:t>,</w:t>
      </w:r>
      <w:r w:rsidR="00DC352E" w:rsidRPr="00BC4C33">
        <w:rPr>
          <w:rFonts w:asciiTheme="majorHAnsi" w:hAnsiTheme="majorHAnsi"/>
          <w:sz w:val="20"/>
          <w:szCs w:val="20"/>
          <w:lang w:val="es-ES"/>
        </w:rPr>
        <w:t xml:space="preserve"> uno ante el fuero ordinario</w:t>
      </w:r>
      <w:r w:rsidR="00853BC6" w:rsidRPr="00BC4C33">
        <w:rPr>
          <w:rFonts w:asciiTheme="majorHAnsi" w:hAnsiTheme="majorHAnsi"/>
          <w:sz w:val="20"/>
          <w:szCs w:val="20"/>
          <w:lang w:val="es-ES"/>
        </w:rPr>
        <w:t>,</w:t>
      </w:r>
      <w:r w:rsidR="00DC352E" w:rsidRPr="00BC4C33">
        <w:rPr>
          <w:rFonts w:asciiTheme="majorHAnsi" w:hAnsiTheme="majorHAnsi"/>
          <w:sz w:val="20"/>
          <w:szCs w:val="20"/>
          <w:lang w:val="es-ES"/>
        </w:rPr>
        <w:t xml:space="preserve"> y otro ante la Unidad Fiscal Especializada en Derechos Humanos. El trámite ante el fuero ordinario fue desestimado porque la denuncia se refería a un marco fáctico que ya había sido tratado en el proceso penal seguido contra las presuntas víctimas.</w:t>
      </w:r>
    </w:p>
    <w:p w14:paraId="0254FDF7" w14:textId="77777777" w:rsidR="00EC6AFE" w:rsidRDefault="00EC6AFE" w:rsidP="00EC6AFE">
      <w:pPr>
        <w:rPr>
          <w:rFonts w:asciiTheme="majorHAnsi" w:hAnsiTheme="majorHAnsi"/>
          <w:b/>
          <w:bCs/>
          <w:sz w:val="20"/>
          <w:szCs w:val="20"/>
          <w:lang w:val="es-ES"/>
        </w:rPr>
      </w:pPr>
    </w:p>
    <w:p w14:paraId="3FE6F5AE" w14:textId="119F8E60" w:rsidR="004C616A" w:rsidRDefault="00EC6AFE" w:rsidP="00EC6AFE">
      <w:pPr>
        <w:rPr>
          <w:rFonts w:asciiTheme="majorHAnsi" w:hAnsiTheme="majorHAnsi"/>
          <w:b/>
          <w:bCs/>
          <w:sz w:val="20"/>
          <w:szCs w:val="20"/>
          <w:lang w:val="es-ES"/>
        </w:rPr>
      </w:pPr>
      <w:r>
        <w:rPr>
          <w:rFonts w:asciiTheme="majorHAnsi" w:hAnsiTheme="majorHAnsi"/>
          <w:b/>
          <w:bCs/>
          <w:sz w:val="20"/>
          <w:szCs w:val="20"/>
          <w:lang w:val="es-ES"/>
        </w:rPr>
        <w:tab/>
      </w:r>
      <w:r w:rsidR="004C616A" w:rsidRPr="00BC4C33">
        <w:rPr>
          <w:rFonts w:asciiTheme="majorHAnsi" w:hAnsiTheme="majorHAnsi"/>
          <w:b/>
          <w:bCs/>
          <w:sz w:val="20"/>
          <w:szCs w:val="20"/>
          <w:lang w:val="es-ES"/>
        </w:rPr>
        <w:t xml:space="preserve">VI. </w:t>
      </w:r>
      <w:r w:rsidR="004C616A" w:rsidRPr="00BC4C33">
        <w:rPr>
          <w:rFonts w:asciiTheme="majorHAnsi" w:hAnsiTheme="majorHAnsi"/>
          <w:b/>
          <w:bCs/>
          <w:sz w:val="20"/>
          <w:szCs w:val="20"/>
          <w:lang w:val="es-ES"/>
        </w:rPr>
        <w:tab/>
        <w:t>AGOTAMIENTO DE LOS RECURSOS INTERNOS Y PLAZO DE PRESENTACIÓN</w:t>
      </w:r>
    </w:p>
    <w:p w14:paraId="0BD52BAA" w14:textId="77777777" w:rsidR="004F42D9" w:rsidRPr="004F42D9" w:rsidRDefault="004F42D9" w:rsidP="004F42D9">
      <w:pPr>
        <w:jc w:val="both"/>
        <w:rPr>
          <w:rFonts w:asciiTheme="majorHAnsi" w:hAnsiTheme="majorHAnsi"/>
          <w:b/>
          <w:bCs/>
          <w:sz w:val="20"/>
          <w:szCs w:val="20"/>
          <w:lang w:val="es-ES"/>
        </w:rPr>
      </w:pPr>
    </w:p>
    <w:p w14:paraId="58EBDB69" w14:textId="7573D1F0" w:rsidR="000C264F" w:rsidRPr="00BC4C33" w:rsidRDefault="0068700F"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La parte peticionaria informa sobre distintas acciones judiciales interpuest</w:t>
      </w:r>
      <w:r w:rsidR="0044720B">
        <w:rPr>
          <w:rFonts w:asciiTheme="majorHAnsi" w:hAnsiTheme="majorHAnsi"/>
          <w:sz w:val="20"/>
          <w:szCs w:val="20"/>
          <w:lang w:val="es-ES"/>
        </w:rPr>
        <w:t>as en el ámbito interno</w:t>
      </w:r>
      <w:r w:rsidRPr="00BC4C33">
        <w:rPr>
          <w:rFonts w:asciiTheme="majorHAnsi" w:hAnsiTheme="majorHAnsi"/>
          <w:sz w:val="20"/>
          <w:szCs w:val="20"/>
          <w:lang w:val="es-ES"/>
        </w:rPr>
        <w:t xml:space="preserve"> en relación con el objeto de la petición. El Estado</w:t>
      </w:r>
      <w:r w:rsidR="00EC6AFE">
        <w:rPr>
          <w:rFonts w:asciiTheme="majorHAnsi" w:hAnsiTheme="majorHAnsi"/>
          <w:sz w:val="20"/>
          <w:szCs w:val="20"/>
          <w:lang w:val="es-ES"/>
        </w:rPr>
        <w:t>,</w:t>
      </w:r>
      <w:r w:rsidRPr="00BC4C33">
        <w:rPr>
          <w:rFonts w:asciiTheme="majorHAnsi" w:hAnsiTheme="majorHAnsi"/>
          <w:sz w:val="20"/>
          <w:szCs w:val="20"/>
          <w:lang w:val="es-ES"/>
        </w:rPr>
        <w:t xml:space="preserve"> </w:t>
      </w:r>
      <w:r w:rsidR="00EC6AFE">
        <w:rPr>
          <w:rFonts w:asciiTheme="majorHAnsi" w:hAnsiTheme="majorHAnsi"/>
          <w:sz w:val="20"/>
          <w:szCs w:val="20"/>
          <w:lang w:val="es-ES"/>
        </w:rPr>
        <w:t xml:space="preserve">a su vez, </w:t>
      </w:r>
      <w:r w:rsidRPr="00BC4C33">
        <w:rPr>
          <w:rFonts w:asciiTheme="majorHAnsi" w:hAnsiTheme="majorHAnsi"/>
          <w:sz w:val="20"/>
          <w:szCs w:val="20"/>
          <w:lang w:val="es-ES"/>
        </w:rPr>
        <w:t xml:space="preserve">señala que al momento de presentarse la petición no se encontraban agotados </w:t>
      </w:r>
      <w:r w:rsidR="00EC6AFE" w:rsidRPr="00BC4C33">
        <w:rPr>
          <w:rFonts w:asciiTheme="majorHAnsi" w:hAnsiTheme="majorHAnsi"/>
          <w:sz w:val="20"/>
          <w:szCs w:val="20"/>
          <w:lang w:val="es-ES"/>
        </w:rPr>
        <w:t xml:space="preserve">los recursos </w:t>
      </w:r>
      <w:r w:rsidRPr="00BC4C33">
        <w:rPr>
          <w:rFonts w:asciiTheme="majorHAnsi" w:hAnsiTheme="majorHAnsi"/>
          <w:sz w:val="20"/>
          <w:szCs w:val="20"/>
          <w:lang w:val="es-ES"/>
        </w:rPr>
        <w:t>en relación con el proceso penal contra las presuntas víctimas</w:t>
      </w:r>
      <w:r w:rsidR="00135357" w:rsidRPr="00BC4C33">
        <w:rPr>
          <w:rFonts w:asciiTheme="majorHAnsi" w:hAnsiTheme="majorHAnsi"/>
          <w:sz w:val="20"/>
          <w:szCs w:val="20"/>
          <w:lang w:val="es-ES"/>
        </w:rPr>
        <w:t>;</w:t>
      </w:r>
      <w:r w:rsidRPr="00BC4C33">
        <w:rPr>
          <w:rFonts w:asciiTheme="majorHAnsi" w:hAnsiTheme="majorHAnsi"/>
          <w:sz w:val="20"/>
          <w:szCs w:val="20"/>
          <w:lang w:val="es-ES"/>
        </w:rPr>
        <w:t xml:space="preserve"> y que a la fecha de su último escrito no se encontraban agotados en relación con los</w:t>
      </w:r>
      <w:r w:rsidR="0044720B">
        <w:rPr>
          <w:rFonts w:asciiTheme="majorHAnsi" w:hAnsiTheme="majorHAnsi"/>
          <w:sz w:val="20"/>
          <w:szCs w:val="20"/>
          <w:lang w:val="es-ES"/>
        </w:rPr>
        <w:t xml:space="preserve"> supuestos</w:t>
      </w:r>
      <w:r w:rsidRPr="00BC4C33">
        <w:rPr>
          <w:rFonts w:asciiTheme="majorHAnsi" w:hAnsiTheme="majorHAnsi"/>
          <w:sz w:val="20"/>
          <w:szCs w:val="20"/>
          <w:lang w:val="es-ES"/>
        </w:rPr>
        <w:t xml:space="preserve"> actos de tortura, ejecución extrajudicial, desaparición forzada y </w:t>
      </w:r>
      <w:r w:rsidR="000C264F" w:rsidRPr="00BC4C33">
        <w:rPr>
          <w:rFonts w:asciiTheme="majorHAnsi" w:hAnsiTheme="majorHAnsi"/>
          <w:sz w:val="20"/>
          <w:szCs w:val="20"/>
          <w:lang w:val="es-ES"/>
        </w:rPr>
        <w:t xml:space="preserve">denegatoria de auxilio a personas heridas. </w:t>
      </w:r>
    </w:p>
    <w:p w14:paraId="2B32267E" w14:textId="77777777" w:rsidR="00135357" w:rsidRPr="00BC4C33" w:rsidRDefault="00135357" w:rsidP="0013535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7A430F0" w14:textId="597EE146" w:rsidR="00F8614B" w:rsidRPr="00BC4C33" w:rsidRDefault="000C264F"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En cuanto a las </w:t>
      </w:r>
      <w:r w:rsidR="0044720B">
        <w:rPr>
          <w:rFonts w:asciiTheme="majorHAnsi" w:hAnsiTheme="majorHAnsi"/>
          <w:sz w:val="20"/>
          <w:szCs w:val="20"/>
          <w:lang w:val="es-ES"/>
        </w:rPr>
        <w:t>presuntas</w:t>
      </w:r>
      <w:r w:rsidRPr="00BC4C33">
        <w:rPr>
          <w:rFonts w:asciiTheme="majorHAnsi" w:hAnsiTheme="majorHAnsi"/>
          <w:sz w:val="20"/>
          <w:szCs w:val="20"/>
          <w:lang w:val="es-ES"/>
        </w:rPr>
        <w:t xml:space="preserve"> violaciones </w:t>
      </w:r>
      <w:r w:rsidR="0044720B">
        <w:rPr>
          <w:rFonts w:asciiTheme="majorHAnsi" w:hAnsiTheme="majorHAnsi"/>
          <w:sz w:val="20"/>
          <w:szCs w:val="20"/>
          <w:lang w:val="es-ES"/>
        </w:rPr>
        <w:t>de</w:t>
      </w:r>
      <w:r w:rsidRPr="00BC4C33">
        <w:rPr>
          <w:rFonts w:asciiTheme="majorHAnsi" w:hAnsiTheme="majorHAnsi"/>
          <w:sz w:val="20"/>
          <w:szCs w:val="20"/>
          <w:lang w:val="es-ES"/>
        </w:rPr>
        <w:t xml:space="preserve"> derechos de las presuntas víctimas en el proceso penal seguido en su contra, la última decisión de la jurisdicción </w:t>
      </w:r>
      <w:r w:rsidR="0044720B">
        <w:rPr>
          <w:rFonts w:asciiTheme="majorHAnsi" w:hAnsiTheme="majorHAnsi"/>
          <w:sz w:val="20"/>
          <w:szCs w:val="20"/>
          <w:lang w:val="es-ES"/>
        </w:rPr>
        <w:t>interna</w:t>
      </w:r>
      <w:r w:rsidRPr="00BC4C33">
        <w:rPr>
          <w:rFonts w:asciiTheme="majorHAnsi" w:hAnsiTheme="majorHAnsi"/>
          <w:sz w:val="20"/>
          <w:szCs w:val="20"/>
          <w:lang w:val="es-ES"/>
        </w:rPr>
        <w:t xml:space="preserve"> sería la emitida por</w:t>
      </w:r>
      <w:r w:rsidR="00F8614B" w:rsidRPr="00BC4C33">
        <w:rPr>
          <w:rFonts w:asciiTheme="majorHAnsi" w:hAnsiTheme="majorHAnsi"/>
          <w:sz w:val="20"/>
          <w:szCs w:val="20"/>
          <w:lang w:val="es-ES"/>
        </w:rPr>
        <w:t xml:space="preserve"> la Sala Penal de la Corte Suprema el 26 de julio de 2018, por medio de la cual decidió el recurso de casación interpuesto en favor de </w:t>
      </w:r>
      <w:r w:rsidR="0044720B">
        <w:rPr>
          <w:rFonts w:asciiTheme="majorHAnsi" w:hAnsiTheme="majorHAnsi"/>
          <w:sz w:val="20"/>
          <w:szCs w:val="20"/>
          <w:lang w:val="es-ES"/>
        </w:rPr>
        <w:t>aquel</w:t>
      </w:r>
      <w:r w:rsidR="00F8614B" w:rsidRPr="00BC4C33">
        <w:rPr>
          <w:rFonts w:asciiTheme="majorHAnsi" w:hAnsiTheme="majorHAnsi"/>
          <w:sz w:val="20"/>
          <w:szCs w:val="20"/>
          <w:lang w:val="es-ES"/>
        </w:rPr>
        <w:t xml:space="preserve">las. </w:t>
      </w:r>
    </w:p>
    <w:p w14:paraId="40F60F20" w14:textId="77777777" w:rsidR="00F8614B" w:rsidRPr="0044720B" w:rsidRDefault="00F8614B" w:rsidP="00F8614B">
      <w:pPr>
        <w:rPr>
          <w:rFonts w:asciiTheme="majorHAnsi" w:hAnsiTheme="majorHAnsi"/>
          <w:sz w:val="20"/>
          <w:szCs w:val="20"/>
          <w:highlight w:val="yellow"/>
          <w:lang w:val="es-ES"/>
        </w:rPr>
      </w:pPr>
    </w:p>
    <w:p w14:paraId="6B1AB973" w14:textId="1CB89E05" w:rsidR="00A625E0" w:rsidRPr="00BC4C33" w:rsidRDefault="000C264F"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lastRenderedPageBreak/>
        <w:t xml:space="preserve"> El Estado no ha indicado</w:t>
      </w:r>
      <w:r w:rsidR="0044720B">
        <w:rPr>
          <w:rFonts w:asciiTheme="majorHAnsi" w:hAnsiTheme="majorHAnsi"/>
          <w:sz w:val="20"/>
          <w:szCs w:val="20"/>
          <w:lang w:val="es-ES"/>
        </w:rPr>
        <w:t>,</w:t>
      </w:r>
      <w:r w:rsidRPr="00BC4C33">
        <w:rPr>
          <w:rFonts w:asciiTheme="majorHAnsi" w:hAnsiTheme="majorHAnsi"/>
          <w:sz w:val="20"/>
          <w:szCs w:val="20"/>
          <w:lang w:val="es-ES"/>
        </w:rPr>
        <w:t xml:space="preserve"> ni surge del expediente</w:t>
      </w:r>
      <w:r w:rsidR="0044720B">
        <w:rPr>
          <w:rFonts w:asciiTheme="majorHAnsi" w:hAnsiTheme="majorHAnsi"/>
          <w:sz w:val="20"/>
          <w:szCs w:val="20"/>
          <w:lang w:val="es-ES"/>
        </w:rPr>
        <w:t>,</w:t>
      </w:r>
      <w:r w:rsidRPr="00BC4C33">
        <w:rPr>
          <w:rFonts w:asciiTheme="majorHAnsi" w:hAnsiTheme="majorHAnsi"/>
          <w:sz w:val="20"/>
          <w:szCs w:val="20"/>
          <w:lang w:val="es-ES"/>
        </w:rPr>
        <w:t xml:space="preserve"> que luego de esa decisión restaren recursos adicionales no agotados que pudieran ser idóneos para que l</w:t>
      </w:r>
      <w:r w:rsidR="0044720B">
        <w:rPr>
          <w:rFonts w:asciiTheme="majorHAnsi" w:hAnsiTheme="majorHAnsi"/>
          <w:sz w:val="20"/>
          <w:szCs w:val="20"/>
          <w:lang w:val="es-ES"/>
        </w:rPr>
        <w:t>os reclamos</w:t>
      </w:r>
      <w:r w:rsidRPr="00BC4C33">
        <w:rPr>
          <w:rFonts w:asciiTheme="majorHAnsi" w:hAnsiTheme="majorHAnsi"/>
          <w:sz w:val="20"/>
          <w:szCs w:val="20"/>
          <w:lang w:val="es-ES"/>
        </w:rPr>
        <w:t xml:space="preserve"> </w:t>
      </w:r>
      <w:r w:rsidR="00135357" w:rsidRPr="00BC4C33">
        <w:rPr>
          <w:rFonts w:asciiTheme="majorHAnsi" w:hAnsiTheme="majorHAnsi"/>
          <w:sz w:val="20"/>
          <w:szCs w:val="20"/>
          <w:lang w:val="es-ES"/>
        </w:rPr>
        <w:t>con relación a</w:t>
      </w:r>
      <w:r w:rsidRPr="00BC4C33">
        <w:rPr>
          <w:rFonts w:asciiTheme="majorHAnsi" w:hAnsiTheme="majorHAnsi"/>
          <w:sz w:val="20"/>
          <w:szCs w:val="20"/>
          <w:lang w:val="es-ES"/>
        </w:rPr>
        <w:t xml:space="preserve"> dicho proceso </w:t>
      </w:r>
      <w:r w:rsidR="0044720B">
        <w:rPr>
          <w:rFonts w:asciiTheme="majorHAnsi" w:hAnsiTheme="majorHAnsi"/>
          <w:sz w:val="20"/>
          <w:szCs w:val="20"/>
          <w:lang w:val="es-ES"/>
        </w:rPr>
        <w:t>fueran</w:t>
      </w:r>
      <w:r w:rsidRPr="00BC4C33">
        <w:rPr>
          <w:rFonts w:asciiTheme="majorHAnsi" w:hAnsiTheme="majorHAnsi"/>
          <w:sz w:val="20"/>
          <w:szCs w:val="20"/>
          <w:lang w:val="es-ES"/>
        </w:rPr>
        <w:t xml:space="preserve"> atendid</w:t>
      </w:r>
      <w:r w:rsidR="0044720B">
        <w:rPr>
          <w:rFonts w:asciiTheme="majorHAnsi" w:hAnsiTheme="majorHAnsi"/>
          <w:sz w:val="20"/>
          <w:szCs w:val="20"/>
          <w:lang w:val="es-ES"/>
        </w:rPr>
        <w:t>os en el ámbito interno</w:t>
      </w:r>
      <w:r w:rsidRPr="00BC4C33">
        <w:rPr>
          <w:rFonts w:asciiTheme="majorHAnsi" w:hAnsiTheme="majorHAnsi"/>
          <w:sz w:val="20"/>
          <w:szCs w:val="20"/>
          <w:lang w:val="es-ES"/>
        </w:rPr>
        <w:t xml:space="preserve">. Por </w:t>
      </w:r>
      <w:r w:rsidR="0044720B">
        <w:rPr>
          <w:rFonts w:asciiTheme="majorHAnsi" w:hAnsiTheme="majorHAnsi"/>
          <w:sz w:val="20"/>
          <w:szCs w:val="20"/>
          <w:lang w:val="es-ES"/>
        </w:rPr>
        <w:t xml:space="preserve">lo tanto, </w:t>
      </w:r>
      <w:r w:rsidRPr="00BC4C33">
        <w:rPr>
          <w:rFonts w:asciiTheme="majorHAnsi" w:hAnsiTheme="majorHAnsi"/>
          <w:sz w:val="20"/>
          <w:szCs w:val="20"/>
          <w:lang w:val="es-ES"/>
        </w:rPr>
        <w:t>la C</w:t>
      </w:r>
      <w:r w:rsidR="0044720B">
        <w:rPr>
          <w:rFonts w:asciiTheme="majorHAnsi" w:hAnsiTheme="majorHAnsi"/>
          <w:sz w:val="20"/>
          <w:szCs w:val="20"/>
          <w:lang w:val="es-ES"/>
        </w:rPr>
        <w:t xml:space="preserve">IDH </w:t>
      </w:r>
      <w:r w:rsidRPr="00BC4C33">
        <w:rPr>
          <w:rFonts w:asciiTheme="majorHAnsi" w:hAnsiTheme="majorHAnsi"/>
          <w:sz w:val="20"/>
          <w:szCs w:val="20"/>
          <w:lang w:val="es-ES"/>
        </w:rPr>
        <w:t xml:space="preserve">estima que este extremo de la petición cumple con </w:t>
      </w:r>
      <w:r w:rsidR="0044720B">
        <w:rPr>
          <w:rFonts w:asciiTheme="majorHAnsi" w:hAnsiTheme="majorHAnsi"/>
          <w:sz w:val="20"/>
          <w:szCs w:val="20"/>
          <w:lang w:val="es-ES"/>
        </w:rPr>
        <w:t>el</w:t>
      </w:r>
      <w:r w:rsidRPr="00BC4C33">
        <w:rPr>
          <w:rFonts w:asciiTheme="majorHAnsi" w:hAnsiTheme="majorHAnsi"/>
          <w:sz w:val="20"/>
          <w:szCs w:val="20"/>
          <w:lang w:val="es-ES"/>
        </w:rPr>
        <w:t xml:space="preserve"> requisito del artículo 46.1(a) de la Convención Americana. Dado que la decisión definitiva se emitió con posterioridad a la presentación de la petición, la Comisión </w:t>
      </w:r>
      <w:r w:rsidR="0044720B">
        <w:rPr>
          <w:rFonts w:asciiTheme="majorHAnsi" w:hAnsiTheme="majorHAnsi"/>
          <w:sz w:val="20"/>
          <w:szCs w:val="20"/>
          <w:lang w:val="es-ES"/>
        </w:rPr>
        <w:t xml:space="preserve">Interamericana </w:t>
      </w:r>
      <w:r w:rsidRPr="00BC4C33">
        <w:rPr>
          <w:rFonts w:asciiTheme="majorHAnsi" w:hAnsiTheme="majorHAnsi"/>
          <w:sz w:val="20"/>
          <w:szCs w:val="20"/>
          <w:lang w:val="es-ES"/>
        </w:rPr>
        <w:t xml:space="preserve">también concluye que este extremo de la petición cumple con </w:t>
      </w:r>
      <w:r w:rsidR="0044720B">
        <w:rPr>
          <w:rFonts w:asciiTheme="majorHAnsi" w:hAnsiTheme="majorHAnsi"/>
          <w:sz w:val="20"/>
          <w:szCs w:val="20"/>
          <w:lang w:val="es-ES"/>
        </w:rPr>
        <w:t>e</w:t>
      </w:r>
      <w:r w:rsidRPr="00BC4C33">
        <w:rPr>
          <w:rFonts w:asciiTheme="majorHAnsi" w:hAnsiTheme="majorHAnsi"/>
          <w:sz w:val="20"/>
          <w:szCs w:val="20"/>
          <w:lang w:val="es-ES"/>
        </w:rPr>
        <w:t xml:space="preserve">l requisito del artículo 46.1(b) de </w:t>
      </w:r>
      <w:r w:rsidR="0044720B">
        <w:rPr>
          <w:rFonts w:asciiTheme="majorHAnsi" w:hAnsiTheme="majorHAnsi"/>
          <w:sz w:val="20"/>
          <w:szCs w:val="20"/>
          <w:lang w:val="es-ES"/>
        </w:rPr>
        <w:t>dicho tratado</w:t>
      </w:r>
      <w:r w:rsidRPr="00BC4C33">
        <w:rPr>
          <w:rFonts w:asciiTheme="majorHAnsi" w:hAnsiTheme="majorHAnsi"/>
          <w:sz w:val="20"/>
          <w:szCs w:val="20"/>
          <w:lang w:val="es-ES"/>
        </w:rPr>
        <w:t>. Respecto a la circunstancia</w:t>
      </w:r>
      <w:r w:rsidR="00904C26" w:rsidRPr="00BC4C33">
        <w:rPr>
          <w:rFonts w:asciiTheme="majorHAnsi" w:hAnsiTheme="majorHAnsi"/>
          <w:sz w:val="20"/>
          <w:szCs w:val="20"/>
          <w:lang w:val="es-ES"/>
        </w:rPr>
        <w:t xml:space="preserve"> de que la decisión definitiva </w:t>
      </w:r>
      <w:r w:rsidR="0044720B">
        <w:rPr>
          <w:rFonts w:asciiTheme="majorHAnsi" w:hAnsiTheme="majorHAnsi"/>
          <w:sz w:val="20"/>
          <w:szCs w:val="20"/>
          <w:lang w:val="es-ES"/>
        </w:rPr>
        <w:t>hubiera</w:t>
      </w:r>
      <w:r w:rsidR="00904C26" w:rsidRPr="00BC4C33">
        <w:rPr>
          <w:rFonts w:asciiTheme="majorHAnsi" w:hAnsiTheme="majorHAnsi"/>
          <w:sz w:val="20"/>
          <w:szCs w:val="20"/>
          <w:lang w:val="es-ES"/>
        </w:rPr>
        <w:t xml:space="preserve"> sido emitida con posterioridad a la presentación de la petición, la Comisión </w:t>
      </w:r>
      <w:r w:rsidR="0044720B">
        <w:rPr>
          <w:rFonts w:asciiTheme="majorHAnsi" w:hAnsiTheme="majorHAnsi"/>
          <w:sz w:val="20"/>
          <w:szCs w:val="20"/>
          <w:lang w:val="es-ES"/>
        </w:rPr>
        <w:t xml:space="preserve">Interamericana </w:t>
      </w:r>
      <w:r w:rsidR="00904C26" w:rsidRPr="00BC4C33">
        <w:rPr>
          <w:rFonts w:asciiTheme="majorHAnsi" w:hAnsiTheme="majorHAnsi"/>
          <w:sz w:val="20"/>
          <w:szCs w:val="20"/>
          <w:lang w:val="es-ES"/>
        </w:rPr>
        <w:t xml:space="preserve">recuerda </w:t>
      </w:r>
      <w:r w:rsidR="0044720B">
        <w:rPr>
          <w:rFonts w:asciiTheme="majorHAnsi" w:hAnsiTheme="majorHAnsi"/>
          <w:sz w:val="20"/>
          <w:szCs w:val="20"/>
          <w:lang w:val="es-ES"/>
        </w:rPr>
        <w:t xml:space="preserve">que </w:t>
      </w:r>
      <w:r w:rsidR="00904C26" w:rsidRPr="00BC4C33">
        <w:rPr>
          <w:rFonts w:asciiTheme="majorHAnsi" w:hAnsiTheme="majorHAnsi" w:cs="Calibri"/>
          <w:sz w:val="20"/>
          <w:szCs w:val="20"/>
          <w:lang w:val="es-ES"/>
        </w:rPr>
        <w:t xml:space="preserve">la situación que debe tenerse en cuenta para establecer si se han agotado los recursos de la jurisdicción interna es </w:t>
      </w:r>
      <w:r w:rsidR="0044720B">
        <w:rPr>
          <w:rFonts w:asciiTheme="majorHAnsi" w:hAnsiTheme="majorHAnsi" w:cs="Calibri"/>
          <w:sz w:val="20"/>
          <w:szCs w:val="20"/>
          <w:lang w:val="es-ES"/>
        </w:rPr>
        <w:t xml:space="preserve">la vigente en el momento de </w:t>
      </w:r>
      <w:r w:rsidR="00904C26" w:rsidRPr="00BC4C33">
        <w:rPr>
          <w:rFonts w:asciiTheme="majorHAnsi" w:hAnsiTheme="majorHAnsi" w:cs="Calibri"/>
          <w:sz w:val="20"/>
          <w:szCs w:val="20"/>
          <w:lang w:val="es-ES"/>
        </w:rPr>
        <w:t>decidir sobre la admisibilidad</w:t>
      </w:r>
      <w:r w:rsidR="00904C26" w:rsidRPr="00BC4C33">
        <w:rPr>
          <w:rStyle w:val="FootnoteReference"/>
          <w:rFonts w:asciiTheme="majorHAnsi" w:hAnsiTheme="majorHAnsi" w:cs="Calibri"/>
          <w:sz w:val="20"/>
          <w:szCs w:val="20"/>
          <w:lang w:val="es-ES"/>
        </w:rPr>
        <w:footnoteReference w:id="10"/>
      </w:r>
      <w:r w:rsidR="00904C26" w:rsidRPr="00BC4C33">
        <w:rPr>
          <w:rFonts w:asciiTheme="majorHAnsi" w:hAnsiTheme="majorHAnsi" w:cs="Calibri"/>
          <w:sz w:val="20"/>
          <w:szCs w:val="20"/>
          <w:lang w:val="es-ES"/>
        </w:rPr>
        <w:t xml:space="preserve">. </w:t>
      </w:r>
      <w:r w:rsidR="0068700F" w:rsidRPr="00BC4C33">
        <w:rPr>
          <w:rFonts w:asciiTheme="majorHAnsi" w:hAnsiTheme="majorHAnsi"/>
          <w:sz w:val="20"/>
          <w:szCs w:val="20"/>
          <w:lang w:val="es-ES"/>
        </w:rPr>
        <w:t xml:space="preserve">  </w:t>
      </w:r>
    </w:p>
    <w:p w14:paraId="20FF08AF" w14:textId="77777777" w:rsidR="00135357" w:rsidRPr="00BC4C33" w:rsidRDefault="00135357" w:rsidP="001353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11ED22F" w14:textId="0862AFEA" w:rsidR="00904C26" w:rsidRPr="00BC4C33" w:rsidRDefault="00EE1899"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L</w:t>
      </w:r>
      <w:r w:rsidR="0044720B">
        <w:rPr>
          <w:rFonts w:asciiTheme="majorHAnsi" w:hAnsiTheme="majorHAnsi"/>
          <w:sz w:val="20"/>
          <w:szCs w:val="20"/>
          <w:lang w:val="es-ES"/>
        </w:rPr>
        <w:t xml:space="preserve">a parte </w:t>
      </w:r>
      <w:r w:rsidRPr="00BC4C33">
        <w:rPr>
          <w:rFonts w:asciiTheme="majorHAnsi" w:hAnsiTheme="majorHAnsi"/>
          <w:sz w:val="20"/>
          <w:szCs w:val="20"/>
          <w:lang w:val="es-ES"/>
        </w:rPr>
        <w:t>peticionari</w:t>
      </w:r>
      <w:r w:rsidR="0044720B">
        <w:rPr>
          <w:rFonts w:asciiTheme="majorHAnsi" w:hAnsiTheme="majorHAnsi"/>
          <w:sz w:val="20"/>
          <w:szCs w:val="20"/>
          <w:lang w:val="es-ES"/>
        </w:rPr>
        <w:t>a</w:t>
      </w:r>
      <w:r w:rsidR="00904C26" w:rsidRPr="00BC4C33">
        <w:rPr>
          <w:rFonts w:asciiTheme="majorHAnsi" w:hAnsiTheme="majorHAnsi"/>
          <w:sz w:val="20"/>
          <w:szCs w:val="20"/>
          <w:lang w:val="es-ES"/>
        </w:rPr>
        <w:t xml:space="preserve"> </w:t>
      </w:r>
      <w:r w:rsidR="00135357" w:rsidRPr="00BC4C33">
        <w:rPr>
          <w:rFonts w:asciiTheme="majorHAnsi" w:hAnsiTheme="majorHAnsi"/>
          <w:sz w:val="20"/>
          <w:szCs w:val="20"/>
          <w:lang w:val="es-ES"/>
        </w:rPr>
        <w:t>se ha referido</w:t>
      </w:r>
      <w:r w:rsidR="00904C26" w:rsidRPr="00BC4C33">
        <w:rPr>
          <w:rFonts w:asciiTheme="majorHAnsi" w:hAnsiTheme="majorHAnsi"/>
          <w:sz w:val="20"/>
          <w:szCs w:val="20"/>
          <w:lang w:val="es-ES"/>
        </w:rPr>
        <w:t xml:space="preserve"> a </w:t>
      </w:r>
      <w:r w:rsidR="001B0407" w:rsidRPr="00BC4C33">
        <w:rPr>
          <w:rFonts w:asciiTheme="majorHAnsi" w:hAnsiTheme="majorHAnsi"/>
          <w:sz w:val="20"/>
          <w:szCs w:val="20"/>
          <w:lang w:val="es-ES"/>
        </w:rPr>
        <w:t>recursos</w:t>
      </w:r>
      <w:r w:rsidR="00904C26" w:rsidRPr="00BC4C33">
        <w:rPr>
          <w:rFonts w:asciiTheme="majorHAnsi" w:hAnsiTheme="majorHAnsi"/>
          <w:sz w:val="20"/>
          <w:szCs w:val="20"/>
          <w:lang w:val="es-ES"/>
        </w:rPr>
        <w:t xml:space="preserve"> de hábeas corpus presentado a favor de </w:t>
      </w:r>
      <w:r w:rsidR="00135357" w:rsidRPr="00BC4C33">
        <w:rPr>
          <w:rFonts w:asciiTheme="majorHAnsi" w:hAnsiTheme="majorHAnsi"/>
          <w:sz w:val="20"/>
          <w:szCs w:val="20"/>
          <w:lang w:val="es-ES"/>
        </w:rPr>
        <w:t>cuatro</w:t>
      </w:r>
      <w:r w:rsidR="00904C26" w:rsidRPr="00BC4C33">
        <w:rPr>
          <w:rFonts w:asciiTheme="majorHAnsi" w:hAnsiTheme="majorHAnsi"/>
          <w:sz w:val="20"/>
          <w:szCs w:val="20"/>
          <w:lang w:val="es-ES"/>
        </w:rPr>
        <w:t xml:space="preserve"> de las presuntas víctimas</w:t>
      </w:r>
      <w:r w:rsidR="00135357" w:rsidRPr="00BC4C33">
        <w:rPr>
          <w:rFonts w:asciiTheme="majorHAnsi" w:hAnsiTheme="majorHAnsi"/>
          <w:sz w:val="20"/>
          <w:szCs w:val="20"/>
          <w:lang w:val="es-ES"/>
        </w:rPr>
        <w:t>,</w:t>
      </w:r>
      <w:r w:rsidR="00904C26" w:rsidRPr="00BC4C33">
        <w:rPr>
          <w:rFonts w:asciiTheme="majorHAnsi" w:hAnsiTheme="majorHAnsi"/>
          <w:sz w:val="20"/>
          <w:szCs w:val="20"/>
          <w:lang w:val="es-ES"/>
        </w:rPr>
        <w:t xml:space="preserve"> qu</w:t>
      </w:r>
      <w:r w:rsidR="0044720B">
        <w:rPr>
          <w:rFonts w:asciiTheme="majorHAnsi" w:hAnsiTheme="majorHAnsi"/>
          <w:sz w:val="20"/>
          <w:szCs w:val="20"/>
          <w:lang w:val="es-ES"/>
        </w:rPr>
        <w:t>e</w:t>
      </w:r>
      <w:r w:rsidR="00904C26" w:rsidRPr="00BC4C33">
        <w:rPr>
          <w:rFonts w:asciiTheme="majorHAnsi" w:hAnsiTheme="majorHAnsi"/>
          <w:sz w:val="20"/>
          <w:szCs w:val="20"/>
          <w:lang w:val="es-ES"/>
        </w:rPr>
        <w:t xml:space="preserve"> </w:t>
      </w:r>
      <w:r w:rsidR="00135357" w:rsidRPr="00BC4C33">
        <w:rPr>
          <w:rFonts w:asciiTheme="majorHAnsi" w:hAnsiTheme="majorHAnsi"/>
          <w:sz w:val="20"/>
          <w:szCs w:val="20"/>
          <w:lang w:val="es-ES"/>
        </w:rPr>
        <w:t>habrían estado</w:t>
      </w:r>
      <w:r w:rsidR="00904C26" w:rsidRPr="00BC4C33">
        <w:rPr>
          <w:rFonts w:asciiTheme="majorHAnsi" w:hAnsiTheme="majorHAnsi"/>
          <w:sz w:val="20"/>
          <w:szCs w:val="20"/>
          <w:lang w:val="es-ES"/>
        </w:rPr>
        <w:t xml:space="preserve"> en régimen de detención preventiva por un tiempo desproporcionado. </w:t>
      </w:r>
      <w:r w:rsidR="001B0407" w:rsidRPr="00BC4C33">
        <w:rPr>
          <w:rFonts w:asciiTheme="majorHAnsi" w:hAnsiTheme="majorHAnsi"/>
          <w:sz w:val="20"/>
          <w:szCs w:val="20"/>
          <w:lang w:val="es-ES"/>
        </w:rPr>
        <w:t>La C</w:t>
      </w:r>
      <w:r w:rsidR="0044720B">
        <w:rPr>
          <w:rFonts w:asciiTheme="majorHAnsi" w:hAnsiTheme="majorHAnsi"/>
          <w:sz w:val="20"/>
          <w:szCs w:val="20"/>
          <w:lang w:val="es-ES"/>
        </w:rPr>
        <w:t>IDH</w:t>
      </w:r>
      <w:r w:rsidR="001B0407" w:rsidRPr="00BC4C33">
        <w:rPr>
          <w:rFonts w:asciiTheme="majorHAnsi" w:hAnsiTheme="majorHAnsi"/>
          <w:sz w:val="20"/>
          <w:szCs w:val="20"/>
          <w:lang w:val="es-ES"/>
        </w:rPr>
        <w:t xml:space="preserve"> ha establecido </w:t>
      </w:r>
      <w:r w:rsidR="0044720B">
        <w:rPr>
          <w:rFonts w:asciiTheme="majorHAnsi" w:hAnsiTheme="majorHAnsi"/>
          <w:sz w:val="20"/>
          <w:szCs w:val="20"/>
          <w:lang w:val="es-ES"/>
        </w:rPr>
        <w:t xml:space="preserve">anteriormente </w:t>
      </w:r>
      <w:r w:rsidR="001B0407" w:rsidRPr="00BC4C33">
        <w:rPr>
          <w:rFonts w:asciiTheme="majorHAnsi" w:hAnsiTheme="majorHAnsi"/>
          <w:sz w:val="20"/>
          <w:szCs w:val="20"/>
          <w:lang w:val="es-ES"/>
        </w:rPr>
        <w:t xml:space="preserve">que los reclamos relacionados con prolongación excesiva de la detención preventiva </w:t>
      </w:r>
      <w:r w:rsidR="00135357" w:rsidRPr="00BC4C33">
        <w:rPr>
          <w:rFonts w:asciiTheme="majorHAnsi" w:hAnsiTheme="majorHAnsi" w:cs="Calibri"/>
          <w:sz w:val="20"/>
          <w:szCs w:val="20"/>
          <w:lang w:val="es-ES"/>
        </w:rPr>
        <w:t>tienen</w:t>
      </w:r>
      <w:r w:rsidR="001B0407" w:rsidRPr="00BC4C33">
        <w:rPr>
          <w:rFonts w:asciiTheme="majorHAnsi" w:hAnsiTheme="majorHAnsi" w:cs="Calibri"/>
          <w:sz w:val="20"/>
          <w:szCs w:val="20"/>
          <w:lang w:val="es-ES"/>
        </w:rPr>
        <w:t xml:space="preserve"> su propia dinámica de agotamiento de recursos internos, independiente de aquella propia del proceso penal como un todo; y que para </w:t>
      </w:r>
      <w:r w:rsidR="0044720B">
        <w:rPr>
          <w:rFonts w:asciiTheme="majorHAnsi" w:hAnsiTheme="majorHAnsi" w:cs="Calibri"/>
          <w:sz w:val="20"/>
          <w:szCs w:val="20"/>
          <w:lang w:val="es-ES"/>
        </w:rPr>
        <w:t xml:space="preserve">cumplir tal requisito </w:t>
      </w:r>
      <w:r w:rsidR="001B0407" w:rsidRPr="00BC4C33">
        <w:rPr>
          <w:rFonts w:asciiTheme="majorHAnsi" w:hAnsiTheme="majorHAnsi" w:cs="Calibri"/>
          <w:sz w:val="20"/>
          <w:szCs w:val="20"/>
          <w:lang w:val="es-ES"/>
        </w:rPr>
        <w:t>es suficiente la solicitud de excarcelación y su denegatoria</w:t>
      </w:r>
      <w:r w:rsidR="001B0407" w:rsidRPr="00BC4C33">
        <w:rPr>
          <w:rStyle w:val="FootnoteReference"/>
          <w:rFonts w:asciiTheme="majorHAnsi" w:hAnsiTheme="majorHAnsi" w:cs="Calibri"/>
          <w:sz w:val="20"/>
          <w:szCs w:val="20"/>
          <w:lang w:val="es-ES"/>
        </w:rPr>
        <w:footnoteReference w:id="11"/>
      </w:r>
      <w:r w:rsidR="001B0407" w:rsidRPr="00BC4C33">
        <w:rPr>
          <w:rFonts w:asciiTheme="majorHAnsi" w:hAnsiTheme="majorHAnsi" w:cs="Calibri"/>
          <w:sz w:val="20"/>
          <w:szCs w:val="20"/>
          <w:lang w:val="es-ES"/>
        </w:rPr>
        <w:t xml:space="preserve">. Por lo tanto, con respecto a este elemento de la petición </w:t>
      </w:r>
      <w:r w:rsidR="0044720B" w:rsidRPr="00BC4C33">
        <w:rPr>
          <w:rFonts w:asciiTheme="majorHAnsi" w:hAnsiTheme="majorHAnsi" w:cs="Calibri"/>
          <w:sz w:val="20"/>
          <w:szCs w:val="20"/>
          <w:lang w:val="es-ES"/>
        </w:rPr>
        <w:t>la Comisión</w:t>
      </w:r>
      <w:r w:rsidR="0044720B">
        <w:rPr>
          <w:rFonts w:asciiTheme="majorHAnsi" w:hAnsiTheme="majorHAnsi" w:cs="Calibri"/>
          <w:sz w:val="20"/>
          <w:szCs w:val="20"/>
          <w:lang w:val="es-ES"/>
        </w:rPr>
        <w:t xml:space="preserve"> Interamericana</w:t>
      </w:r>
      <w:r w:rsidR="0044720B" w:rsidRPr="00BC4C33">
        <w:rPr>
          <w:rFonts w:asciiTheme="majorHAnsi" w:hAnsiTheme="majorHAnsi" w:cs="Calibri"/>
          <w:sz w:val="20"/>
          <w:szCs w:val="20"/>
          <w:lang w:val="es-ES"/>
        </w:rPr>
        <w:t xml:space="preserve"> estima que </w:t>
      </w:r>
      <w:r w:rsidR="0044720B">
        <w:rPr>
          <w:rFonts w:asciiTheme="majorHAnsi" w:hAnsiTheme="majorHAnsi" w:cs="Calibri"/>
          <w:sz w:val="20"/>
          <w:szCs w:val="20"/>
          <w:lang w:val="es-ES"/>
        </w:rPr>
        <w:t>e</w:t>
      </w:r>
      <w:r w:rsidR="001B0407" w:rsidRPr="00BC4C33">
        <w:rPr>
          <w:rFonts w:asciiTheme="majorHAnsi" w:hAnsiTheme="majorHAnsi" w:cs="Calibri"/>
          <w:sz w:val="20"/>
          <w:szCs w:val="20"/>
          <w:lang w:val="es-ES"/>
        </w:rPr>
        <w:t xml:space="preserve">l requisito del artículo 46.1(a) se </w:t>
      </w:r>
      <w:r w:rsidR="0044720B">
        <w:rPr>
          <w:rFonts w:asciiTheme="majorHAnsi" w:hAnsiTheme="majorHAnsi" w:cs="Calibri"/>
          <w:sz w:val="20"/>
          <w:szCs w:val="20"/>
          <w:lang w:val="es-ES"/>
        </w:rPr>
        <w:t xml:space="preserve">cumplió </w:t>
      </w:r>
      <w:r w:rsidR="001B0407" w:rsidRPr="00BC4C33">
        <w:rPr>
          <w:rFonts w:asciiTheme="majorHAnsi" w:hAnsiTheme="majorHAnsi" w:cs="Calibri"/>
          <w:sz w:val="20"/>
          <w:szCs w:val="20"/>
          <w:lang w:val="es-ES"/>
        </w:rPr>
        <w:t xml:space="preserve">con las decisiones que rechazaron los referidos hábeas corpus. </w:t>
      </w:r>
      <w:r w:rsidR="0044720B">
        <w:rPr>
          <w:rFonts w:asciiTheme="majorHAnsi" w:hAnsiTheme="majorHAnsi" w:cs="Calibri"/>
          <w:sz w:val="20"/>
          <w:szCs w:val="20"/>
          <w:lang w:val="es-ES"/>
        </w:rPr>
        <w:t>S</w:t>
      </w:r>
      <w:r w:rsidR="001B0407" w:rsidRPr="00BC4C33">
        <w:rPr>
          <w:rFonts w:asciiTheme="majorHAnsi" w:hAnsiTheme="majorHAnsi" w:cs="Calibri"/>
          <w:sz w:val="20"/>
          <w:szCs w:val="20"/>
          <w:lang w:val="es-ES"/>
        </w:rPr>
        <w:t>egún lo alegado por la parte peticionaria y no controvertido por el Estado, los recursos habrían sido rechazados en julio y octubre de 2017</w:t>
      </w:r>
      <w:r w:rsidR="0044720B">
        <w:rPr>
          <w:rFonts w:asciiTheme="majorHAnsi" w:hAnsiTheme="majorHAnsi" w:cs="Calibri"/>
          <w:sz w:val="20"/>
          <w:szCs w:val="20"/>
          <w:lang w:val="es-ES"/>
        </w:rPr>
        <w:t>;</w:t>
      </w:r>
      <w:r w:rsidR="00C80615" w:rsidRPr="00BC4C33">
        <w:rPr>
          <w:rFonts w:asciiTheme="majorHAnsi" w:hAnsiTheme="majorHAnsi" w:cs="Calibri"/>
          <w:sz w:val="20"/>
          <w:szCs w:val="20"/>
          <w:lang w:val="es-ES"/>
        </w:rPr>
        <w:t xml:space="preserve"> </w:t>
      </w:r>
      <w:r w:rsidR="0044720B">
        <w:rPr>
          <w:rFonts w:asciiTheme="majorHAnsi" w:hAnsiTheme="majorHAnsi" w:cs="Calibri"/>
          <w:sz w:val="20"/>
          <w:szCs w:val="20"/>
          <w:lang w:val="es-ES"/>
        </w:rPr>
        <w:t xml:space="preserve">en consecuencia, </w:t>
      </w:r>
      <w:r w:rsidR="00C80615" w:rsidRPr="00BC4C33">
        <w:rPr>
          <w:rFonts w:asciiTheme="majorHAnsi" w:hAnsiTheme="majorHAnsi" w:cs="Calibri"/>
          <w:sz w:val="20"/>
          <w:szCs w:val="20"/>
          <w:lang w:val="es-ES"/>
        </w:rPr>
        <w:t>la C</w:t>
      </w:r>
      <w:r w:rsidR="0044720B">
        <w:rPr>
          <w:rFonts w:asciiTheme="majorHAnsi" w:hAnsiTheme="majorHAnsi" w:cs="Calibri"/>
          <w:sz w:val="20"/>
          <w:szCs w:val="20"/>
          <w:lang w:val="es-ES"/>
        </w:rPr>
        <w:t>IDH</w:t>
      </w:r>
      <w:r w:rsidR="00C80615" w:rsidRPr="00BC4C33">
        <w:rPr>
          <w:rFonts w:asciiTheme="majorHAnsi" w:hAnsiTheme="majorHAnsi" w:cs="Calibri"/>
          <w:sz w:val="20"/>
          <w:szCs w:val="20"/>
          <w:lang w:val="es-ES"/>
        </w:rPr>
        <w:t xml:space="preserve"> concluye que este elemento de la petición también cumple con </w:t>
      </w:r>
      <w:r w:rsidR="0044720B">
        <w:rPr>
          <w:rFonts w:asciiTheme="majorHAnsi" w:hAnsiTheme="majorHAnsi" w:cs="Calibri"/>
          <w:sz w:val="20"/>
          <w:szCs w:val="20"/>
          <w:lang w:val="es-ES"/>
        </w:rPr>
        <w:t>e</w:t>
      </w:r>
      <w:r w:rsidR="00C80615" w:rsidRPr="00BC4C33">
        <w:rPr>
          <w:rFonts w:asciiTheme="majorHAnsi" w:hAnsiTheme="majorHAnsi" w:cs="Calibri"/>
          <w:sz w:val="20"/>
          <w:szCs w:val="20"/>
          <w:lang w:val="es-ES"/>
        </w:rPr>
        <w:t xml:space="preserve">l requisito del artículo 46.1(b) de la Convención Americana. </w:t>
      </w:r>
    </w:p>
    <w:p w14:paraId="4C595E88" w14:textId="77777777" w:rsidR="00135357" w:rsidRPr="00BC4C33" w:rsidRDefault="00135357" w:rsidP="0013535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B5F33C3" w14:textId="14A486D8" w:rsidR="005F0184" w:rsidRPr="00BC4C33" w:rsidRDefault="00C80615"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cs="Calibri"/>
          <w:sz w:val="20"/>
          <w:szCs w:val="20"/>
          <w:lang w:val="es-ES"/>
        </w:rPr>
        <w:t xml:space="preserve">Respecto a los </w:t>
      </w:r>
      <w:r w:rsidR="0044720B">
        <w:rPr>
          <w:rFonts w:asciiTheme="majorHAnsi" w:hAnsiTheme="majorHAnsi" w:cs="Calibri"/>
          <w:sz w:val="20"/>
          <w:szCs w:val="20"/>
          <w:lang w:val="es-ES"/>
        </w:rPr>
        <w:t xml:space="preserve">presuntos </w:t>
      </w:r>
      <w:r w:rsidRPr="00BC4C33">
        <w:rPr>
          <w:rFonts w:asciiTheme="majorHAnsi" w:hAnsiTheme="majorHAnsi" w:cs="Calibri"/>
          <w:sz w:val="20"/>
          <w:szCs w:val="20"/>
          <w:lang w:val="es-ES"/>
        </w:rPr>
        <w:t xml:space="preserve">actos de tortura, </w:t>
      </w:r>
      <w:r w:rsidR="00EA5B65" w:rsidRPr="00BC4C33">
        <w:rPr>
          <w:rFonts w:asciiTheme="majorHAnsi" w:hAnsiTheme="majorHAnsi" w:cs="Calibri"/>
          <w:sz w:val="20"/>
          <w:szCs w:val="20"/>
          <w:lang w:val="es-ES"/>
        </w:rPr>
        <w:t>ejecución</w:t>
      </w:r>
      <w:r w:rsidRPr="00BC4C33">
        <w:rPr>
          <w:rFonts w:asciiTheme="majorHAnsi" w:hAnsiTheme="majorHAnsi" w:cs="Calibri"/>
          <w:sz w:val="20"/>
          <w:szCs w:val="20"/>
          <w:lang w:val="es-ES"/>
        </w:rPr>
        <w:t xml:space="preserve"> extrajudicial, </w:t>
      </w:r>
      <w:r w:rsidR="00EA5B65" w:rsidRPr="00BC4C33">
        <w:rPr>
          <w:rFonts w:asciiTheme="majorHAnsi" w:hAnsiTheme="majorHAnsi" w:cs="Calibri"/>
          <w:sz w:val="20"/>
          <w:szCs w:val="20"/>
          <w:lang w:val="es-ES"/>
        </w:rPr>
        <w:t>desaparición</w:t>
      </w:r>
      <w:r w:rsidRPr="00BC4C33">
        <w:rPr>
          <w:rFonts w:asciiTheme="majorHAnsi" w:hAnsiTheme="majorHAnsi" w:cs="Calibri"/>
          <w:sz w:val="20"/>
          <w:szCs w:val="20"/>
          <w:lang w:val="es-ES"/>
        </w:rPr>
        <w:t xml:space="preserve"> forzada y denegatoria de auxilio a </w:t>
      </w:r>
      <w:r w:rsidR="00974326" w:rsidRPr="00BC4C33">
        <w:rPr>
          <w:rFonts w:asciiTheme="majorHAnsi" w:hAnsiTheme="majorHAnsi" w:cs="Calibri"/>
          <w:sz w:val="20"/>
          <w:szCs w:val="20"/>
          <w:lang w:val="es-ES"/>
        </w:rPr>
        <w:t>campesinos</w:t>
      </w:r>
      <w:r w:rsidRPr="00BC4C33">
        <w:rPr>
          <w:rFonts w:asciiTheme="majorHAnsi" w:hAnsiTheme="majorHAnsi" w:cs="Calibri"/>
          <w:sz w:val="20"/>
          <w:szCs w:val="20"/>
          <w:lang w:val="es-ES"/>
        </w:rPr>
        <w:t xml:space="preserve"> herid</w:t>
      </w:r>
      <w:r w:rsidR="0044720B">
        <w:rPr>
          <w:rFonts w:asciiTheme="majorHAnsi" w:hAnsiTheme="majorHAnsi" w:cs="Calibri"/>
          <w:sz w:val="20"/>
          <w:szCs w:val="20"/>
          <w:lang w:val="es-ES"/>
        </w:rPr>
        <w:t>o</w:t>
      </w:r>
      <w:r w:rsidRPr="00BC4C33">
        <w:rPr>
          <w:rFonts w:asciiTheme="majorHAnsi" w:hAnsiTheme="majorHAnsi" w:cs="Calibri"/>
          <w:sz w:val="20"/>
          <w:szCs w:val="20"/>
          <w:lang w:val="es-ES"/>
        </w:rPr>
        <w:t xml:space="preserve">s, surge del expediente que </w:t>
      </w:r>
      <w:r w:rsidR="0044720B">
        <w:rPr>
          <w:rFonts w:asciiTheme="majorHAnsi" w:hAnsiTheme="majorHAnsi" w:cs="Calibri"/>
          <w:sz w:val="20"/>
          <w:szCs w:val="20"/>
          <w:lang w:val="es-ES"/>
        </w:rPr>
        <w:t xml:space="preserve">se </w:t>
      </w:r>
      <w:r w:rsidR="0044720B" w:rsidRPr="00BC4C33">
        <w:rPr>
          <w:rFonts w:asciiTheme="majorHAnsi" w:hAnsiTheme="majorHAnsi" w:cs="Calibri"/>
          <w:sz w:val="20"/>
          <w:szCs w:val="20"/>
          <w:lang w:val="es-ES"/>
        </w:rPr>
        <w:t>habrían presentad</w:t>
      </w:r>
      <w:r w:rsidR="00EA5B65">
        <w:rPr>
          <w:rFonts w:asciiTheme="majorHAnsi" w:hAnsiTheme="majorHAnsi" w:cs="Calibri"/>
          <w:sz w:val="20"/>
          <w:szCs w:val="20"/>
          <w:lang w:val="es-ES"/>
        </w:rPr>
        <w:t>o</w:t>
      </w:r>
      <w:r w:rsidR="0044720B" w:rsidRPr="00BC4C33">
        <w:rPr>
          <w:rFonts w:asciiTheme="majorHAnsi" w:hAnsiTheme="majorHAnsi" w:cs="Calibri"/>
          <w:sz w:val="20"/>
          <w:szCs w:val="20"/>
          <w:lang w:val="es-ES"/>
        </w:rPr>
        <w:t xml:space="preserve"> desde 2012</w:t>
      </w:r>
      <w:r w:rsidR="00EA5B65">
        <w:rPr>
          <w:rFonts w:asciiTheme="majorHAnsi" w:hAnsiTheme="majorHAnsi" w:cs="Calibri"/>
          <w:sz w:val="20"/>
          <w:szCs w:val="20"/>
          <w:lang w:val="es-ES"/>
        </w:rPr>
        <w:t xml:space="preserve"> las correspondientes </w:t>
      </w:r>
      <w:r w:rsidRPr="00BC4C33">
        <w:rPr>
          <w:rFonts w:asciiTheme="majorHAnsi" w:hAnsiTheme="majorHAnsi" w:cs="Calibri"/>
          <w:sz w:val="20"/>
          <w:szCs w:val="20"/>
          <w:lang w:val="es-ES"/>
        </w:rPr>
        <w:t>denuncias</w:t>
      </w:r>
      <w:r w:rsidR="00EE1899" w:rsidRPr="00BC4C33">
        <w:rPr>
          <w:rFonts w:asciiTheme="majorHAnsi" w:hAnsiTheme="majorHAnsi" w:cs="Calibri"/>
          <w:sz w:val="20"/>
          <w:szCs w:val="20"/>
          <w:lang w:val="es-ES"/>
        </w:rPr>
        <w:t>;</w:t>
      </w:r>
      <w:r w:rsidRPr="00BC4C33">
        <w:rPr>
          <w:rFonts w:asciiTheme="majorHAnsi" w:hAnsiTheme="majorHAnsi" w:cs="Calibri"/>
          <w:sz w:val="20"/>
          <w:szCs w:val="20"/>
          <w:lang w:val="es-ES"/>
        </w:rPr>
        <w:t xml:space="preserve"> y que, según la última información proporcionada por el Estado, las </w:t>
      </w:r>
      <w:r w:rsidR="00EA5B65">
        <w:rPr>
          <w:rFonts w:asciiTheme="majorHAnsi" w:hAnsiTheme="majorHAnsi" w:cs="Calibri"/>
          <w:sz w:val="20"/>
          <w:szCs w:val="20"/>
          <w:lang w:val="es-ES"/>
        </w:rPr>
        <w:t xml:space="preserve">respectivas </w:t>
      </w:r>
      <w:r w:rsidRPr="00BC4C33">
        <w:rPr>
          <w:rFonts w:asciiTheme="majorHAnsi" w:hAnsiTheme="majorHAnsi" w:cs="Calibri"/>
          <w:sz w:val="20"/>
          <w:szCs w:val="20"/>
          <w:lang w:val="es-ES"/>
        </w:rPr>
        <w:t>investigaciones permanecerían en curso</w:t>
      </w:r>
      <w:r w:rsidR="00EA5B65">
        <w:rPr>
          <w:rFonts w:asciiTheme="majorHAnsi" w:hAnsiTheme="majorHAnsi" w:cs="Calibri"/>
          <w:sz w:val="20"/>
          <w:szCs w:val="20"/>
          <w:lang w:val="es-ES"/>
        </w:rPr>
        <w:t>,</w:t>
      </w:r>
      <w:r w:rsidRPr="00BC4C33">
        <w:rPr>
          <w:rFonts w:asciiTheme="majorHAnsi" w:hAnsiTheme="majorHAnsi" w:cs="Calibri"/>
          <w:sz w:val="20"/>
          <w:szCs w:val="20"/>
          <w:lang w:val="es-ES"/>
        </w:rPr>
        <w:t xml:space="preserve"> sin que se </w:t>
      </w:r>
      <w:r w:rsidR="00EA5B65">
        <w:rPr>
          <w:rFonts w:asciiTheme="majorHAnsi" w:hAnsiTheme="majorHAnsi" w:cs="Calibri"/>
          <w:sz w:val="20"/>
          <w:szCs w:val="20"/>
          <w:lang w:val="es-ES"/>
        </w:rPr>
        <w:t>hubiera</w:t>
      </w:r>
      <w:r w:rsidRPr="00BC4C33">
        <w:rPr>
          <w:rFonts w:asciiTheme="majorHAnsi" w:hAnsiTheme="majorHAnsi" w:cs="Calibri"/>
          <w:sz w:val="20"/>
          <w:szCs w:val="20"/>
          <w:lang w:val="es-ES"/>
        </w:rPr>
        <w:t xml:space="preserve"> emitido </w:t>
      </w:r>
      <w:r w:rsidR="005F0184" w:rsidRPr="00BC4C33">
        <w:rPr>
          <w:rFonts w:asciiTheme="majorHAnsi" w:hAnsiTheme="majorHAnsi" w:cs="Calibri"/>
          <w:sz w:val="20"/>
          <w:szCs w:val="20"/>
          <w:lang w:val="es-ES"/>
        </w:rPr>
        <w:t xml:space="preserve">una decisión definitiva. En estas circunstancias </w:t>
      </w:r>
      <w:r w:rsidR="00EA5B65">
        <w:rPr>
          <w:rFonts w:asciiTheme="majorHAnsi" w:hAnsiTheme="majorHAnsi" w:cs="Calibri"/>
          <w:sz w:val="20"/>
          <w:szCs w:val="20"/>
          <w:lang w:val="es-ES"/>
        </w:rPr>
        <w:t>--</w:t>
      </w:r>
      <w:r w:rsidR="00EE1899" w:rsidRPr="00BC4C33">
        <w:rPr>
          <w:rFonts w:asciiTheme="majorHAnsi" w:hAnsiTheme="majorHAnsi" w:cs="Calibri"/>
          <w:sz w:val="20"/>
          <w:szCs w:val="20"/>
          <w:lang w:val="es-ES"/>
        </w:rPr>
        <w:t xml:space="preserve">y tomando en cuenta que el propio carácter confuso de los hechos denunciados es parte de las consecuencias de los hechos </w:t>
      </w:r>
      <w:r w:rsidR="00EA5B65">
        <w:rPr>
          <w:rFonts w:asciiTheme="majorHAnsi" w:hAnsiTheme="majorHAnsi" w:cs="Calibri"/>
          <w:sz w:val="20"/>
          <w:szCs w:val="20"/>
          <w:lang w:val="es-ES"/>
        </w:rPr>
        <w:t>imputados</w:t>
      </w:r>
      <w:r w:rsidR="00EE1899" w:rsidRPr="00BC4C33">
        <w:rPr>
          <w:rFonts w:asciiTheme="majorHAnsi" w:hAnsiTheme="majorHAnsi" w:cs="Calibri"/>
          <w:sz w:val="20"/>
          <w:szCs w:val="20"/>
          <w:lang w:val="es-ES"/>
        </w:rPr>
        <w:t xml:space="preserve"> al Estado</w:t>
      </w:r>
      <w:r w:rsidR="00C34D8F" w:rsidRPr="00BC4C33">
        <w:rPr>
          <w:rFonts w:asciiTheme="majorHAnsi" w:hAnsiTheme="majorHAnsi" w:cs="Calibri"/>
          <w:sz w:val="20"/>
          <w:szCs w:val="20"/>
          <w:lang w:val="es-ES"/>
        </w:rPr>
        <w:t xml:space="preserve">, </w:t>
      </w:r>
      <w:r w:rsidR="00EA5B65">
        <w:rPr>
          <w:rFonts w:asciiTheme="majorHAnsi" w:hAnsiTheme="majorHAnsi" w:cs="Calibri"/>
          <w:sz w:val="20"/>
          <w:szCs w:val="20"/>
          <w:lang w:val="es-ES"/>
        </w:rPr>
        <w:t>que</w:t>
      </w:r>
      <w:r w:rsidR="00C34D8F" w:rsidRPr="00BC4C33">
        <w:rPr>
          <w:rFonts w:asciiTheme="majorHAnsi" w:hAnsiTheme="majorHAnsi" w:cs="Calibri"/>
          <w:sz w:val="20"/>
          <w:szCs w:val="20"/>
          <w:lang w:val="es-ES"/>
        </w:rPr>
        <w:t xml:space="preserve"> requiere precisamente de un análisis detallado en la etapa de fondo</w:t>
      </w:r>
      <w:r w:rsidR="00EA5B65">
        <w:rPr>
          <w:rFonts w:asciiTheme="majorHAnsi" w:hAnsiTheme="majorHAnsi" w:cs="Calibri"/>
          <w:sz w:val="20"/>
          <w:szCs w:val="20"/>
          <w:lang w:val="es-ES"/>
        </w:rPr>
        <w:t>--</w:t>
      </w:r>
      <w:r w:rsidR="00EE1899" w:rsidRPr="00BC4C33">
        <w:rPr>
          <w:rFonts w:asciiTheme="majorHAnsi" w:hAnsiTheme="majorHAnsi" w:cs="Calibri"/>
          <w:sz w:val="20"/>
          <w:szCs w:val="20"/>
          <w:lang w:val="es-ES"/>
        </w:rPr>
        <w:t xml:space="preserve"> </w:t>
      </w:r>
      <w:r w:rsidR="005F0184" w:rsidRPr="00BC4C33">
        <w:rPr>
          <w:rFonts w:asciiTheme="majorHAnsi" w:hAnsiTheme="majorHAnsi" w:cs="Calibri"/>
          <w:sz w:val="20"/>
          <w:szCs w:val="20"/>
          <w:lang w:val="es-ES"/>
        </w:rPr>
        <w:t>la Comisión estima procedente aplicar a estos extremos de la petición la excepción al requisito de agotamiento de recursos internos prevista en el artículo 46.2(c) de la Convención Americana</w:t>
      </w:r>
      <w:r w:rsidR="00EA5B65">
        <w:rPr>
          <w:rFonts w:asciiTheme="majorHAnsi" w:hAnsiTheme="majorHAnsi" w:cs="Calibri"/>
          <w:sz w:val="20"/>
          <w:szCs w:val="20"/>
          <w:lang w:val="es-ES"/>
        </w:rPr>
        <w:t>.</w:t>
      </w:r>
      <w:r w:rsidR="00C34D8F" w:rsidRPr="00BC4C33">
        <w:rPr>
          <w:rFonts w:asciiTheme="majorHAnsi" w:hAnsiTheme="majorHAnsi" w:cs="Calibri"/>
          <w:sz w:val="20"/>
          <w:szCs w:val="20"/>
          <w:lang w:val="es-ES"/>
        </w:rPr>
        <w:t xml:space="preserve"> </w:t>
      </w:r>
      <w:r w:rsidR="00EA5B65">
        <w:rPr>
          <w:rFonts w:asciiTheme="majorHAnsi" w:hAnsiTheme="majorHAnsi" w:cs="Calibri"/>
          <w:sz w:val="20"/>
          <w:szCs w:val="20"/>
          <w:lang w:val="es-ES"/>
        </w:rPr>
        <w:t xml:space="preserve">Asimismo, concluye que en las circunstancias del presente asunto, la petición fue presentada </w:t>
      </w:r>
      <w:r w:rsidR="00C34D8F" w:rsidRPr="00BC4C33">
        <w:rPr>
          <w:rFonts w:asciiTheme="majorHAnsi" w:hAnsiTheme="majorHAnsi" w:cs="Calibri"/>
          <w:sz w:val="20"/>
          <w:szCs w:val="20"/>
          <w:lang w:val="es-ES"/>
        </w:rPr>
        <w:t xml:space="preserve">dentro de un plazo razonable en los </w:t>
      </w:r>
      <w:r w:rsidR="005F0184" w:rsidRPr="00BC4C33">
        <w:rPr>
          <w:rFonts w:asciiTheme="majorHAnsi" w:hAnsiTheme="majorHAnsi" w:cs="Calibri"/>
          <w:sz w:val="20"/>
          <w:szCs w:val="20"/>
          <w:lang w:val="es-ES"/>
        </w:rPr>
        <w:t xml:space="preserve">términos del artículo 32.2 de su </w:t>
      </w:r>
      <w:r w:rsidR="00EA5B65">
        <w:rPr>
          <w:rFonts w:asciiTheme="majorHAnsi" w:hAnsiTheme="majorHAnsi" w:cs="Calibri"/>
          <w:sz w:val="20"/>
          <w:szCs w:val="20"/>
          <w:lang w:val="es-ES"/>
        </w:rPr>
        <w:t>R</w:t>
      </w:r>
      <w:r w:rsidR="005F0184" w:rsidRPr="00BC4C33">
        <w:rPr>
          <w:rFonts w:asciiTheme="majorHAnsi" w:hAnsiTheme="majorHAnsi" w:cs="Calibri"/>
          <w:sz w:val="20"/>
          <w:szCs w:val="20"/>
          <w:lang w:val="es-ES"/>
        </w:rPr>
        <w:t xml:space="preserve">eglamento. </w:t>
      </w:r>
    </w:p>
    <w:p w14:paraId="45FA0344" w14:textId="77777777" w:rsidR="00C34D8F" w:rsidRPr="00BC4C33" w:rsidRDefault="00C34D8F" w:rsidP="00C34D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4570D0F" w14:textId="745ADE4F" w:rsidR="00C80615" w:rsidRPr="00BC4C33" w:rsidRDefault="005F0184"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cs="Calibri"/>
          <w:sz w:val="20"/>
          <w:szCs w:val="20"/>
          <w:lang w:val="es-ES"/>
        </w:rPr>
        <w:t xml:space="preserve">La Comisión </w:t>
      </w:r>
      <w:r w:rsidR="00EA5B65">
        <w:rPr>
          <w:rFonts w:asciiTheme="majorHAnsi" w:hAnsiTheme="majorHAnsi" w:cs="Calibri"/>
          <w:sz w:val="20"/>
          <w:szCs w:val="20"/>
          <w:lang w:val="es-ES"/>
        </w:rPr>
        <w:t xml:space="preserve">Interamericana </w:t>
      </w:r>
      <w:r w:rsidRPr="00BC4C33">
        <w:rPr>
          <w:rFonts w:asciiTheme="majorHAnsi" w:hAnsiTheme="majorHAnsi" w:cs="Calibri"/>
          <w:sz w:val="20"/>
          <w:szCs w:val="20"/>
          <w:lang w:val="es-ES"/>
        </w:rPr>
        <w:t xml:space="preserve">recuerda que por su naturaleza y objeto, </w:t>
      </w:r>
      <w:r w:rsidRPr="00BC4C33">
        <w:rPr>
          <w:rFonts w:asciiTheme="majorHAnsi" w:hAnsiTheme="majorHAnsi"/>
          <w:sz w:val="20"/>
          <w:szCs w:val="20"/>
          <w:lang w:val="es-ES"/>
        </w:rPr>
        <w:t xml:space="preserve">las disposiciones de la Convención Americana que establecen excepciones al requisito de agotamientos </w:t>
      </w:r>
      <w:r w:rsidR="00EA5B65">
        <w:rPr>
          <w:rFonts w:asciiTheme="majorHAnsi" w:hAnsiTheme="majorHAnsi"/>
          <w:sz w:val="20"/>
          <w:szCs w:val="20"/>
          <w:lang w:val="es-ES"/>
        </w:rPr>
        <w:t xml:space="preserve">de recursos </w:t>
      </w:r>
      <w:r w:rsidRPr="00BC4C33">
        <w:rPr>
          <w:rFonts w:asciiTheme="majorHAnsi" w:hAnsiTheme="majorHAnsi"/>
          <w:sz w:val="20"/>
          <w:szCs w:val="20"/>
          <w:lang w:val="es-ES"/>
        </w:rPr>
        <w:t xml:space="preserve">internos </w:t>
      </w:r>
      <w:r w:rsidRPr="00BC4C33">
        <w:rPr>
          <w:rFonts w:asciiTheme="majorHAnsi" w:hAnsiTheme="majorHAnsi" w:cs="Calibri"/>
          <w:sz w:val="20"/>
          <w:szCs w:val="20"/>
          <w:lang w:val="es-ES"/>
        </w:rPr>
        <w:t xml:space="preserve">son normas con contenido autónomo </w:t>
      </w:r>
      <w:r w:rsidRPr="00BC4C33">
        <w:rPr>
          <w:rFonts w:asciiTheme="majorHAnsi" w:hAnsiTheme="majorHAnsi" w:cs="Calibri"/>
          <w:i/>
          <w:sz w:val="20"/>
          <w:szCs w:val="20"/>
          <w:lang w:val="es-ES"/>
        </w:rPr>
        <w:t>vis à vis</w:t>
      </w:r>
      <w:r w:rsidRPr="00BC4C33">
        <w:rPr>
          <w:rFonts w:asciiTheme="majorHAnsi" w:hAnsiTheme="majorHAnsi" w:cs="Calibri"/>
          <w:sz w:val="20"/>
          <w:szCs w:val="20"/>
          <w:lang w:val="es-ES"/>
        </w:rPr>
        <w:t xml:space="preserve"> las normas sustantivas de dicho tratado. Por lo tanto, la aplicabilidad de tales excepciones debe llevarse a cabo de manera previa y separada del análisis del fondo del asunto, ya que depende de un estándar de apreciación distinto del que se utiliza para determinar la violación de los artículos 8 y 25 de la Convención Americana</w:t>
      </w:r>
      <w:r w:rsidRPr="00BC4C33">
        <w:rPr>
          <w:rStyle w:val="FootnoteReference"/>
          <w:rFonts w:asciiTheme="majorHAnsi" w:hAnsiTheme="majorHAnsi" w:cs="Calibri"/>
          <w:sz w:val="20"/>
          <w:szCs w:val="20"/>
          <w:lang w:val="es-ES"/>
        </w:rPr>
        <w:footnoteReference w:id="12"/>
      </w:r>
      <w:r w:rsidRPr="00BC4C33">
        <w:rPr>
          <w:rFonts w:asciiTheme="majorHAnsi" w:hAnsiTheme="majorHAnsi" w:cs="Calibri"/>
          <w:sz w:val="20"/>
          <w:szCs w:val="20"/>
          <w:lang w:val="es-ES"/>
        </w:rPr>
        <w:t xml:space="preserve">. Por lo tanto, las determinaciones </w:t>
      </w:r>
      <w:r w:rsidR="00DC161E" w:rsidRPr="00BC4C33">
        <w:rPr>
          <w:rFonts w:asciiTheme="majorHAnsi" w:hAnsiTheme="majorHAnsi" w:cs="Calibri"/>
          <w:sz w:val="20"/>
          <w:szCs w:val="20"/>
          <w:lang w:val="es-ES"/>
        </w:rPr>
        <w:t>sobre la aplicación de una de estas excepciones no</w:t>
      </w:r>
      <w:r w:rsidRPr="00BC4C33">
        <w:rPr>
          <w:rFonts w:asciiTheme="majorHAnsi" w:hAnsiTheme="majorHAnsi" w:cs="Calibri"/>
          <w:sz w:val="20"/>
          <w:szCs w:val="20"/>
          <w:lang w:val="es-ES"/>
        </w:rPr>
        <w:t xml:space="preserve"> prejuzgan sobre el fondo ni sobre la veracidad de </w:t>
      </w:r>
      <w:r w:rsidR="00EA5B65">
        <w:rPr>
          <w:rFonts w:asciiTheme="majorHAnsi" w:hAnsiTheme="majorHAnsi" w:cs="Calibri"/>
          <w:sz w:val="20"/>
          <w:szCs w:val="20"/>
          <w:lang w:val="es-ES"/>
        </w:rPr>
        <w:t>los alegatos</w:t>
      </w:r>
      <w:r w:rsidRPr="00BC4C33">
        <w:rPr>
          <w:rFonts w:asciiTheme="majorHAnsi" w:hAnsiTheme="majorHAnsi" w:cs="Calibri"/>
          <w:sz w:val="20"/>
          <w:szCs w:val="20"/>
          <w:lang w:val="es-ES"/>
        </w:rPr>
        <w:t xml:space="preserve">. </w:t>
      </w:r>
    </w:p>
    <w:p w14:paraId="7AF2EE4C" w14:textId="1532810E" w:rsidR="000A6634" w:rsidRDefault="000A6634">
      <w:pPr>
        <w:rPr>
          <w:rFonts w:asciiTheme="majorHAnsi" w:hAnsiTheme="majorHAnsi"/>
          <w:b/>
          <w:bCs/>
          <w:sz w:val="20"/>
          <w:szCs w:val="20"/>
          <w:lang w:val="es-ES"/>
        </w:rPr>
      </w:pPr>
    </w:p>
    <w:p w14:paraId="7090A929" w14:textId="21293B8A" w:rsidR="00F04591" w:rsidRPr="00BC4C33" w:rsidRDefault="00F04591" w:rsidP="00012432">
      <w:pPr>
        <w:pStyle w:val="ListParagraph"/>
        <w:jc w:val="both"/>
        <w:rPr>
          <w:rFonts w:asciiTheme="majorHAnsi" w:hAnsiTheme="majorHAnsi"/>
          <w:b/>
          <w:bCs/>
          <w:sz w:val="20"/>
          <w:szCs w:val="20"/>
          <w:lang w:val="es-ES"/>
        </w:rPr>
      </w:pPr>
      <w:r w:rsidRPr="00BC4C33">
        <w:rPr>
          <w:rFonts w:asciiTheme="majorHAnsi" w:hAnsiTheme="majorHAnsi"/>
          <w:b/>
          <w:bCs/>
          <w:sz w:val="20"/>
          <w:szCs w:val="20"/>
          <w:lang w:val="es-ES"/>
        </w:rPr>
        <w:t>V</w:t>
      </w:r>
      <w:r w:rsidR="000E2789" w:rsidRPr="00BC4C33">
        <w:rPr>
          <w:rFonts w:asciiTheme="majorHAnsi" w:hAnsiTheme="majorHAnsi"/>
          <w:b/>
          <w:bCs/>
          <w:sz w:val="20"/>
          <w:szCs w:val="20"/>
          <w:lang w:val="es-ES"/>
        </w:rPr>
        <w:t>I</w:t>
      </w:r>
      <w:r w:rsidRPr="00BC4C33">
        <w:rPr>
          <w:rFonts w:asciiTheme="majorHAnsi" w:hAnsiTheme="majorHAnsi"/>
          <w:b/>
          <w:bCs/>
          <w:sz w:val="20"/>
          <w:szCs w:val="20"/>
          <w:lang w:val="es-ES"/>
        </w:rPr>
        <w:t xml:space="preserve">I. </w:t>
      </w:r>
      <w:r w:rsidRPr="00BC4C33">
        <w:rPr>
          <w:rFonts w:asciiTheme="majorHAnsi" w:hAnsiTheme="majorHAnsi"/>
          <w:b/>
          <w:bCs/>
          <w:sz w:val="20"/>
          <w:szCs w:val="20"/>
          <w:lang w:val="es-ES"/>
        </w:rPr>
        <w:tab/>
        <w:t>CARACTERIZACIÓN</w:t>
      </w:r>
    </w:p>
    <w:p w14:paraId="45DDE98F" w14:textId="77777777" w:rsidR="00C34D8F" w:rsidRPr="00EA5B65" w:rsidRDefault="00C34D8F" w:rsidP="00EA5B65">
      <w:pPr>
        <w:jc w:val="both"/>
        <w:rPr>
          <w:rFonts w:asciiTheme="majorHAnsi" w:hAnsiTheme="majorHAnsi"/>
          <w:b/>
          <w:bCs/>
          <w:sz w:val="20"/>
          <w:szCs w:val="20"/>
          <w:lang w:val="es-ES"/>
        </w:rPr>
      </w:pPr>
    </w:p>
    <w:p w14:paraId="405DFEDE" w14:textId="002BF8D1" w:rsidR="00006B74" w:rsidRPr="00BC4C33" w:rsidRDefault="00F848B9"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La presente petición tiene como objeto denunciar que </w:t>
      </w:r>
      <w:r w:rsidR="00E95A1D" w:rsidRPr="00BC4C33">
        <w:rPr>
          <w:rFonts w:asciiTheme="majorHAnsi" w:hAnsiTheme="majorHAnsi"/>
          <w:sz w:val="20"/>
          <w:szCs w:val="20"/>
          <w:lang w:val="es-ES"/>
        </w:rPr>
        <w:t xml:space="preserve">las presuntas víctimas fueron perseguidas penalmente y privadas de libertad en base a una investigación conducida por un </w:t>
      </w:r>
      <w:r w:rsidR="003E1CFF" w:rsidRPr="00BC4C33">
        <w:rPr>
          <w:rFonts w:asciiTheme="majorHAnsi" w:hAnsiTheme="majorHAnsi"/>
          <w:sz w:val="20"/>
          <w:szCs w:val="20"/>
          <w:lang w:val="es-ES"/>
        </w:rPr>
        <w:t>f</w:t>
      </w:r>
      <w:r w:rsidR="00E95A1D" w:rsidRPr="00BC4C33">
        <w:rPr>
          <w:rFonts w:asciiTheme="majorHAnsi" w:hAnsiTheme="majorHAnsi"/>
          <w:sz w:val="20"/>
          <w:szCs w:val="20"/>
          <w:lang w:val="es-ES"/>
        </w:rPr>
        <w:t>iscal que no cumplía con los requisitos objetivos de imparcialidad</w:t>
      </w:r>
      <w:r w:rsidR="00EA5B65">
        <w:rPr>
          <w:rFonts w:asciiTheme="majorHAnsi" w:hAnsiTheme="majorHAnsi"/>
          <w:sz w:val="20"/>
          <w:szCs w:val="20"/>
          <w:lang w:val="es-ES"/>
        </w:rPr>
        <w:t>. Asimismo, que</w:t>
      </w:r>
      <w:r w:rsidR="00563067" w:rsidRPr="00BC4C33">
        <w:rPr>
          <w:rFonts w:asciiTheme="majorHAnsi" w:hAnsiTheme="majorHAnsi"/>
          <w:sz w:val="20"/>
          <w:szCs w:val="20"/>
          <w:lang w:val="es-ES"/>
        </w:rPr>
        <w:t xml:space="preserve"> </w:t>
      </w:r>
      <w:r w:rsidR="003E1CFF" w:rsidRPr="00BC4C33">
        <w:rPr>
          <w:rFonts w:asciiTheme="majorHAnsi" w:hAnsiTheme="majorHAnsi"/>
          <w:sz w:val="20"/>
          <w:szCs w:val="20"/>
          <w:lang w:val="es-ES"/>
        </w:rPr>
        <w:t>el proceso se llevó de forma parcializada</w:t>
      </w:r>
      <w:r w:rsidR="00EA5B65">
        <w:rPr>
          <w:rFonts w:asciiTheme="majorHAnsi" w:hAnsiTheme="majorHAnsi"/>
          <w:sz w:val="20"/>
          <w:szCs w:val="20"/>
          <w:lang w:val="es-ES"/>
        </w:rPr>
        <w:t xml:space="preserve"> y que</w:t>
      </w:r>
      <w:r w:rsidR="003E1CFF" w:rsidRPr="00BC4C33">
        <w:rPr>
          <w:rFonts w:asciiTheme="majorHAnsi" w:hAnsiTheme="majorHAnsi"/>
          <w:sz w:val="20"/>
          <w:szCs w:val="20"/>
          <w:lang w:val="es-ES"/>
        </w:rPr>
        <w:t xml:space="preserve"> las autoridades estatales </w:t>
      </w:r>
      <w:r w:rsidR="00EA5B65">
        <w:rPr>
          <w:rFonts w:asciiTheme="majorHAnsi" w:hAnsiTheme="majorHAnsi"/>
          <w:sz w:val="20"/>
          <w:szCs w:val="20"/>
          <w:lang w:val="es-ES"/>
        </w:rPr>
        <w:t xml:space="preserve">rehusaron </w:t>
      </w:r>
      <w:r w:rsidR="003E1CFF" w:rsidRPr="00BC4C33">
        <w:rPr>
          <w:rFonts w:asciiTheme="majorHAnsi" w:hAnsiTheme="majorHAnsi"/>
          <w:sz w:val="20"/>
          <w:szCs w:val="20"/>
          <w:lang w:val="es-ES"/>
        </w:rPr>
        <w:t>seguir líneas alternativas de investigación sobre la posible responsabilidad de agentes estatales en algunos de los hechos</w:t>
      </w:r>
      <w:r w:rsidR="00EA5B65">
        <w:rPr>
          <w:rFonts w:asciiTheme="majorHAnsi" w:hAnsiTheme="majorHAnsi"/>
          <w:sz w:val="20"/>
          <w:szCs w:val="20"/>
          <w:lang w:val="es-ES"/>
        </w:rPr>
        <w:t>,</w:t>
      </w:r>
      <w:r w:rsidR="003E1CFF" w:rsidRPr="00BC4C33">
        <w:rPr>
          <w:rFonts w:asciiTheme="majorHAnsi" w:hAnsiTheme="majorHAnsi"/>
          <w:sz w:val="20"/>
          <w:szCs w:val="20"/>
          <w:lang w:val="es-ES"/>
        </w:rPr>
        <w:t xml:space="preserve"> y a autorizar la práctica </w:t>
      </w:r>
      <w:r w:rsidR="00A362E4" w:rsidRPr="00BC4C33">
        <w:rPr>
          <w:rFonts w:asciiTheme="majorHAnsi" w:hAnsiTheme="majorHAnsi"/>
          <w:sz w:val="20"/>
          <w:szCs w:val="20"/>
          <w:lang w:val="es-ES"/>
        </w:rPr>
        <w:t>de pruebas esenciales para la defensa</w:t>
      </w:r>
      <w:r w:rsidR="00EA5B65">
        <w:rPr>
          <w:rFonts w:asciiTheme="majorHAnsi" w:hAnsiTheme="majorHAnsi"/>
          <w:sz w:val="20"/>
          <w:szCs w:val="20"/>
          <w:lang w:val="es-ES"/>
        </w:rPr>
        <w:t>.</w:t>
      </w:r>
      <w:r w:rsidR="00563067" w:rsidRPr="00BC4C33">
        <w:rPr>
          <w:rFonts w:asciiTheme="majorHAnsi" w:hAnsiTheme="majorHAnsi"/>
          <w:sz w:val="20"/>
          <w:szCs w:val="20"/>
          <w:lang w:val="es-ES"/>
        </w:rPr>
        <w:t xml:space="preserve"> </w:t>
      </w:r>
      <w:r w:rsidR="00EA5B65">
        <w:rPr>
          <w:rFonts w:asciiTheme="majorHAnsi" w:hAnsiTheme="majorHAnsi"/>
          <w:sz w:val="20"/>
          <w:szCs w:val="20"/>
          <w:lang w:val="es-ES"/>
        </w:rPr>
        <w:t xml:space="preserve">Sostiene además la parte peticionaria que </w:t>
      </w:r>
      <w:r w:rsidR="00A362E4" w:rsidRPr="00BC4C33">
        <w:rPr>
          <w:rFonts w:asciiTheme="majorHAnsi" w:hAnsiTheme="majorHAnsi"/>
          <w:sz w:val="20"/>
          <w:szCs w:val="20"/>
          <w:lang w:val="es-ES"/>
        </w:rPr>
        <w:t xml:space="preserve">las presuntas víctimas se vieron forzadas a cambiar de representación legal por procesos iniciados de mala fe contra los abogados que les representaban; </w:t>
      </w:r>
      <w:r w:rsidR="00EA5B65">
        <w:rPr>
          <w:rFonts w:asciiTheme="majorHAnsi" w:hAnsiTheme="majorHAnsi"/>
          <w:sz w:val="20"/>
          <w:szCs w:val="20"/>
          <w:lang w:val="es-ES"/>
        </w:rPr>
        <w:t>que</w:t>
      </w:r>
      <w:r w:rsidR="00563067" w:rsidRPr="00BC4C33">
        <w:rPr>
          <w:rFonts w:asciiTheme="majorHAnsi" w:hAnsiTheme="majorHAnsi"/>
          <w:sz w:val="20"/>
          <w:szCs w:val="20"/>
          <w:lang w:val="es-ES"/>
        </w:rPr>
        <w:t xml:space="preserve"> </w:t>
      </w:r>
      <w:r w:rsidR="00A362E4" w:rsidRPr="00BC4C33">
        <w:rPr>
          <w:rFonts w:asciiTheme="majorHAnsi" w:hAnsiTheme="majorHAnsi"/>
          <w:sz w:val="20"/>
          <w:szCs w:val="20"/>
          <w:lang w:val="es-ES"/>
        </w:rPr>
        <w:t xml:space="preserve">algunas de </w:t>
      </w:r>
      <w:r w:rsidR="00EA5B65">
        <w:rPr>
          <w:rFonts w:asciiTheme="majorHAnsi" w:hAnsiTheme="majorHAnsi"/>
          <w:sz w:val="20"/>
          <w:szCs w:val="20"/>
          <w:lang w:val="es-ES"/>
        </w:rPr>
        <w:t>el</w:t>
      </w:r>
      <w:r w:rsidR="00A362E4" w:rsidRPr="00BC4C33">
        <w:rPr>
          <w:rFonts w:asciiTheme="majorHAnsi" w:hAnsiTheme="majorHAnsi"/>
          <w:sz w:val="20"/>
          <w:szCs w:val="20"/>
          <w:lang w:val="es-ES"/>
        </w:rPr>
        <w:t xml:space="preserve">las pasaron </w:t>
      </w:r>
      <w:r w:rsidR="00EA5B65">
        <w:rPr>
          <w:rFonts w:asciiTheme="majorHAnsi" w:hAnsiTheme="majorHAnsi"/>
          <w:sz w:val="20"/>
          <w:szCs w:val="20"/>
          <w:lang w:val="es-ES"/>
        </w:rPr>
        <w:t xml:space="preserve">un </w:t>
      </w:r>
      <w:r w:rsidR="00A362E4" w:rsidRPr="00BC4C33">
        <w:rPr>
          <w:rFonts w:asciiTheme="majorHAnsi" w:hAnsiTheme="majorHAnsi"/>
          <w:sz w:val="20"/>
          <w:szCs w:val="20"/>
          <w:lang w:val="es-ES"/>
        </w:rPr>
        <w:t>tiempo desproporcionado en prisión preventiva; y</w:t>
      </w:r>
      <w:r w:rsidR="00563067" w:rsidRPr="00BC4C33">
        <w:rPr>
          <w:rFonts w:asciiTheme="majorHAnsi" w:hAnsiTheme="majorHAnsi"/>
          <w:sz w:val="20"/>
          <w:szCs w:val="20"/>
          <w:lang w:val="es-ES"/>
        </w:rPr>
        <w:t xml:space="preserve"> </w:t>
      </w:r>
      <w:r w:rsidR="00EA5B65">
        <w:rPr>
          <w:rFonts w:asciiTheme="majorHAnsi" w:hAnsiTheme="majorHAnsi"/>
          <w:sz w:val="20"/>
          <w:szCs w:val="20"/>
          <w:lang w:val="es-ES"/>
        </w:rPr>
        <w:t>que</w:t>
      </w:r>
      <w:r w:rsidR="00A362E4" w:rsidRPr="00BC4C33">
        <w:rPr>
          <w:rFonts w:asciiTheme="majorHAnsi" w:hAnsiTheme="majorHAnsi"/>
          <w:sz w:val="20"/>
          <w:szCs w:val="20"/>
          <w:lang w:val="es-ES"/>
        </w:rPr>
        <w:t xml:space="preserve"> agentes del Estado </w:t>
      </w:r>
      <w:r w:rsidR="00A362E4" w:rsidRPr="00BC4C33">
        <w:rPr>
          <w:rFonts w:asciiTheme="majorHAnsi" w:hAnsiTheme="majorHAnsi"/>
          <w:sz w:val="20"/>
          <w:szCs w:val="20"/>
          <w:lang w:val="es-ES"/>
        </w:rPr>
        <w:lastRenderedPageBreak/>
        <w:t xml:space="preserve">cometieron actos de tortura, </w:t>
      </w:r>
      <w:r w:rsidR="00F57604" w:rsidRPr="00BC4C33">
        <w:rPr>
          <w:rFonts w:asciiTheme="majorHAnsi" w:hAnsiTheme="majorHAnsi"/>
          <w:sz w:val="20"/>
          <w:szCs w:val="20"/>
          <w:lang w:val="es-ES"/>
        </w:rPr>
        <w:t>ejecución extrajudicial, desaparición forzada y omisión de auxilio a personas heridas</w:t>
      </w:r>
      <w:r w:rsidR="00563067" w:rsidRPr="00BC4C33">
        <w:rPr>
          <w:rFonts w:asciiTheme="majorHAnsi" w:hAnsiTheme="majorHAnsi"/>
          <w:sz w:val="20"/>
          <w:szCs w:val="20"/>
          <w:lang w:val="es-ES"/>
        </w:rPr>
        <w:t>,</w:t>
      </w:r>
      <w:r w:rsidR="00F57604" w:rsidRPr="00BC4C33">
        <w:rPr>
          <w:rFonts w:asciiTheme="majorHAnsi" w:hAnsiTheme="majorHAnsi"/>
          <w:sz w:val="20"/>
          <w:szCs w:val="20"/>
          <w:lang w:val="es-ES"/>
        </w:rPr>
        <w:t xml:space="preserve"> sin que estos actos hayan sido sancionados o investigados con diligencia. </w:t>
      </w:r>
    </w:p>
    <w:p w14:paraId="6A1EDBD4" w14:textId="77777777" w:rsidR="00F848B9" w:rsidRPr="00BC4C33" w:rsidRDefault="00F848B9" w:rsidP="00F848B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F4AF1BA" w14:textId="13709356" w:rsidR="00F57604" w:rsidRPr="00BC4C33" w:rsidRDefault="009354D3"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El</w:t>
      </w:r>
      <w:r w:rsidR="00820843" w:rsidRPr="00BC4C33">
        <w:rPr>
          <w:rFonts w:asciiTheme="majorHAnsi" w:hAnsiTheme="majorHAnsi" w:cs="Tahoma"/>
          <w:color w:val="000000"/>
          <w:sz w:val="20"/>
          <w:szCs w:val="20"/>
          <w:lang w:val="es-ES"/>
        </w:rPr>
        <w:t xml:space="preserve"> Estado alega que las violaciones </w:t>
      </w:r>
      <w:r w:rsidR="00EA5B65">
        <w:rPr>
          <w:rFonts w:asciiTheme="majorHAnsi" w:hAnsiTheme="majorHAnsi" w:cs="Tahoma"/>
          <w:color w:val="000000"/>
          <w:sz w:val="20"/>
          <w:szCs w:val="20"/>
          <w:lang w:val="es-ES"/>
        </w:rPr>
        <w:t>de</w:t>
      </w:r>
      <w:r w:rsidR="00820843" w:rsidRPr="00BC4C33">
        <w:rPr>
          <w:rFonts w:asciiTheme="majorHAnsi" w:hAnsiTheme="majorHAnsi" w:cs="Tahoma"/>
          <w:color w:val="000000"/>
          <w:sz w:val="20"/>
          <w:szCs w:val="20"/>
          <w:lang w:val="es-ES"/>
        </w:rPr>
        <w:t xml:space="preserve"> derechos de las presuntas víctimas que pudiesen haber ocurrido en el desarrollo del proceso penal en su contra </w:t>
      </w:r>
      <w:r w:rsidR="00EA5B65">
        <w:rPr>
          <w:rFonts w:asciiTheme="majorHAnsi" w:hAnsiTheme="majorHAnsi" w:cs="Tahoma"/>
          <w:color w:val="000000"/>
          <w:sz w:val="20"/>
          <w:szCs w:val="20"/>
          <w:lang w:val="es-ES"/>
        </w:rPr>
        <w:t xml:space="preserve">fueron </w:t>
      </w:r>
      <w:r w:rsidR="00820843" w:rsidRPr="00BC4C33">
        <w:rPr>
          <w:rFonts w:asciiTheme="majorHAnsi" w:hAnsiTheme="majorHAnsi" w:cs="Tahoma"/>
          <w:color w:val="000000"/>
          <w:sz w:val="20"/>
          <w:szCs w:val="20"/>
          <w:lang w:val="es-ES"/>
        </w:rPr>
        <w:t xml:space="preserve">subsanadas con la decisión definitiva que revocó sus condenas y les absolvió de responsabilidad penal. Sin embargo, la Comisión </w:t>
      </w:r>
      <w:r>
        <w:rPr>
          <w:rFonts w:asciiTheme="majorHAnsi" w:hAnsiTheme="majorHAnsi" w:cs="Tahoma"/>
          <w:color w:val="000000"/>
          <w:sz w:val="20"/>
          <w:szCs w:val="20"/>
          <w:lang w:val="es-ES"/>
        </w:rPr>
        <w:t xml:space="preserve">Interamericana considera </w:t>
      </w:r>
      <w:r w:rsidR="00820843" w:rsidRPr="00BC4C33">
        <w:rPr>
          <w:rFonts w:asciiTheme="majorHAnsi" w:hAnsiTheme="majorHAnsi" w:cs="Tahoma"/>
          <w:color w:val="000000"/>
          <w:sz w:val="20"/>
          <w:szCs w:val="20"/>
          <w:lang w:val="es-ES"/>
        </w:rPr>
        <w:t xml:space="preserve">que la determinación respecto a si las presuntas afectaciones a los derechos de las presuntas víctimas se han visto integralmente reparadas corresponde a la etapa de fondo. </w:t>
      </w:r>
    </w:p>
    <w:p w14:paraId="181F2B03" w14:textId="75AB8138" w:rsidR="00820843" w:rsidRPr="00BC4C33" w:rsidRDefault="00820843" w:rsidP="0056306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1F7C9B2" w14:textId="3A9ED4D8" w:rsidR="00563067" w:rsidRPr="00BC4C33" w:rsidRDefault="00563067"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 xml:space="preserve">Asimismo, </w:t>
      </w:r>
      <w:r w:rsidR="00557331" w:rsidRPr="00BC4C33">
        <w:rPr>
          <w:rFonts w:asciiTheme="majorHAnsi" w:hAnsiTheme="majorHAnsi"/>
          <w:sz w:val="20"/>
          <w:szCs w:val="20"/>
          <w:lang w:val="es-ES"/>
        </w:rPr>
        <w:t xml:space="preserve">el Estado </w:t>
      </w:r>
      <w:r w:rsidR="009354D3">
        <w:rPr>
          <w:rFonts w:asciiTheme="majorHAnsi" w:hAnsiTheme="majorHAnsi"/>
          <w:sz w:val="20"/>
          <w:szCs w:val="20"/>
          <w:lang w:val="es-ES"/>
        </w:rPr>
        <w:t xml:space="preserve">afirma </w:t>
      </w:r>
      <w:r w:rsidR="00557331" w:rsidRPr="00BC4C33">
        <w:rPr>
          <w:rFonts w:asciiTheme="majorHAnsi" w:hAnsiTheme="majorHAnsi"/>
          <w:sz w:val="20"/>
          <w:szCs w:val="20"/>
          <w:lang w:val="es-ES"/>
        </w:rPr>
        <w:t xml:space="preserve">que la petición es abstracta en relación </w:t>
      </w:r>
      <w:r w:rsidRPr="00BC4C33">
        <w:rPr>
          <w:rFonts w:asciiTheme="majorHAnsi" w:hAnsiTheme="majorHAnsi"/>
          <w:sz w:val="20"/>
          <w:szCs w:val="20"/>
          <w:lang w:val="es-ES"/>
        </w:rPr>
        <w:t xml:space="preserve">con los alegatos </w:t>
      </w:r>
      <w:r w:rsidR="009354D3">
        <w:rPr>
          <w:rFonts w:asciiTheme="majorHAnsi" w:hAnsiTheme="majorHAnsi"/>
          <w:sz w:val="20"/>
          <w:szCs w:val="20"/>
          <w:lang w:val="es-ES"/>
        </w:rPr>
        <w:t xml:space="preserve">sobre actos de </w:t>
      </w:r>
      <w:r w:rsidR="009354D3" w:rsidRPr="00BC4C33">
        <w:rPr>
          <w:rFonts w:asciiTheme="majorHAnsi" w:hAnsiTheme="majorHAnsi"/>
          <w:sz w:val="20"/>
          <w:szCs w:val="20"/>
          <w:lang w:val="es-ES"/>
        </w:rPr>
        <w:t>tortura, ejecución extrajudicial, desaparición forzada y omisión de auxilio</w:t>
      </w:r>
      <w:r w:rsidRPr="00BC4C33">
        <w:rPr>
          <w:rFonts w:asciiTheme="majorHAnsi" w:hAnsiTheme="majorHAnsi"/>
          <w:sz w:val="20"/>
          <w:szCs w:val="20"/>
          <w:lang w:val="es-ES"/>
        </w:rPr>
        <w:t>, ya que no se habría</w:t>
      </w:r>
      <w:r w:rsidR="00557331" w:rsidRPr="00BC4C33">
        <w:rPr>
          <w:rFonts w:asciiTheme="majorHAnsi" w:hAnsiTheme="majorHAnsi"/>
          <w:sz w:val="20"/>
          <w:szCs w:val="20"/>
          <w:lang w:val="es-ES"/>
        </w:rPr>
        <w:t xml:space="preserve"> identificado plenamente a las personas que habrían sido víctimas directas de estos hechos. Sin embargo, </w:t>
      </w:r>
      <w:r w:rsidR="009354D3">
        <w:rPr>
          <w:rFonts w:asciiTheme="majorHAnsi" w:hAnsiTheme="majorHAnsi"/>
          <w:sz w:val="20"/>
          <w:szCs w:val="20"/>
          <w:lang w:val="es-ES"/>
        </w:rPr>
        <w:t xml:space="preserve">la CIDH observa que </w:t>
      </w:r>
      <w:r w:rsidR="00557331" w:rsidRPr="00BC4C33">
        <w:rPr>
          <w:rFonts w:asciiTheme="majorHAnsi" w:hAnsiTheme="majorHAnsi"/>
          <w:sz w:val="20"/>
          <w:szCs w:val="20"/>
          <w:lang w:val="es-ES"/>
        </w:rPr>
        <w:t xml:space="preserve">la petición </w:t>
      </w:r>
      <w:r w:rsidRPr="00BC4C33">
        <w:rPr>
          <w:rFonts w:asciiTheme="majorHAnsi" w:hAnsiTheme="majorHAnsi"/>
          <w:sz w:val="20"/>
          <w:szCs w:val="20"/>
          <w:lang w:val="es-ES"/>
        </w:rPr>
        <w:t>sí se refiere</w:t>
      </w:r>
      <w:r w:rsidR="00557331" w:rsidRPr="00BC4C33">
        <w:rPr>
          <w:rFonts w:asciiTheme="majorHAnsi" w:hAnsiTheme="majorHAnsi"/>
          <w:sz w:val="20"/>
          <w:szCs w:val="20"/>
          <w:lang w:val="es-ES"/>
        </w:rPr>
        <w:t xml:space="preserve"> a denuncias específicas</w:t>
      </w:r>
      <w:r w:rsidR="009354D3">
        <w:rPr>
          <w:rFonts w:asciiTheme="majorHAnsi" w:hAnsiTheme="majorHAnsi"/>
          <w:sz w:val="20"/>
          <w:szCs w:val="20"/>
          <w:lang w:val="es-ES"/>
        </w:rPr>
        <w:t>,</w:t>
      </w:r>
      <w:r w:rsidR="00557331" w:rsidRPr="00BC4C33">
        <w:rPr>
          <w:rFonts w:asciiTheme="majorHAnsi" w:hAnsiTheme="majorHAnsi"/>
          <w:sz w:val="20"/>
          <w:szCs w:val="20"/>
          <w:lang w:val="es-ES"/>
        </w:rPr>
        <w:t xml:space="preserve"> respecto a las </w:t>
      </w:r>
      <w:r w:rsidR="00717B5B">
        <w:rPr>
          <w:rFonts w:asciiTheme="majorHAnsi" w:hAnsiTheme="majorHAnsi"/>
          <w:sz w:val="20"/>
          <w:szCs w:val="20"/>
          <w:lang w:val="es-ES"/>
        </w:rPr>
        <w:t>que</w:t>
      </w:r>
      <w:r w:rsidR="00557331" w:rsidRPr="00BC4C33">
        <w:rPr>
          <w:rFonts w:asciiTheme="majorHAnsi" w:hAnsiTheme="majorHAnsi"/>
          <w:sz w:val="20"/>
          <w:szCs w:val="20"/>
          <w:lang w:val="es-ES"/>
        </w:rPr>
        <w:t xml:space="preserve"> se aduce no ha habido diligencia en la investigación ni respuesta definitiva dentro de </w:t>
      </w:r>
      <w:r w:rsidR="009354D3">
        <w:rPr>
          <w:rFonts w:asciiTheme="majorHAnsi" w:hAnsiTheme="majorHAnsi"/>
          <w:sz w:val="20"/>
          <w:szCs w:val="20"/>
          <w:lang w:val="es-ES"/>
        </w:rPr>
        <w:t xml:space="preserve">un </w:t>
      </w:r>
      <w:r w:rsidR="00557331" w:rsidRPr="00BC4C33">
        <w:rPr>
          <w:rFonts w:asciiTheme="majorHAnsi" w:hAnsiTheme="majorHAnsi"/>
          <w:sz w:val="20"/>
          <w:szCs w:val="20"/>
          <w:lang w:val="es-ES"/>
        </w:rPr>
        <w:t xml:space="preserve">plazo razonable. </w:t>
      </w:r>
      <w:r w:rsidR="007B3CC5" w:rsidRPr="00BC4C33">
        <w:rPr>
          <w:rFonts w:asciiTheme="majorHAnsi" w:hAnsiTheme="majorHAnsi"/>
          <w:sz w:val="20"/>
          <w:szCs w:val="20"/>
          <w:lang w:val="es-ES"/>
        </w:rPr>
        <w:t>Además, en una de las denuncias cuya copia se aporta en la petición se identifica</w:t>
      </w:r>
      <w:r w:rsidRPr="00BC4C33">
        <w:rPr>
          <w:rFonts w:asciiTheme="majorHAnsi" w:hAnsiTheme="majorHAnsi"/>
          <w:sz w:val="20"/>
          <w:szCs w:val="20"/>
          <w:lang w:val="es-ES"/>
        </w:rPr>
        <w:t xml:space="preserve"> a dos</w:t>
      </w:r>
      <w:r w:rsidR="007B3CC5" w:rsidRPr="00BC4C33">
        <w:rPr>
          <w:rFonts w:asciiTheme="majorHAnsi" w:hAnsiTheme="majorHAnsi"/>
          <w:sz w:val="20"/>
          <w:szCs w:val="20"/>
          <w:lang w:val="es-ES"/>
        </w:rPr>
        <w:t xml:space="preserve"> posibles víctimas de ejecución extrajudicial</w:t>
      </w:r>
      <w:r w:rsidRPr="00BC4C33">
        <w:rPr>
          <w:rFonts w:asciiTheme="majorHAnsi" w:hAnsiTheme="majorHAnsi"/>
          <w:sz w:val="20"/>
          <w:szCs w:val="20"/>
          <w:lang w:val="es-ES"/>
        </w:rPr>
        <w:t>;</w:t>
      </w:r>
      <w:r w:rsidR="007B3CC5" w:rsidRPr="00BC4C33">
        <w:rPr>
          <w:rFonts w:asciiTheme="majorHAnsi" w:hAnsiTheme="majorHAnsi"/>
          <w:sz w:val="20"/>
          <w:szCs w:val="20"/>
          <w:lang w:val="es-ES"/>
        </w:rPr>
        <w:t xml:space="preserve"> y la parte peticionaria aporta copia de un informe de CODEHUPY donde se identifica a </w:t>
      </w:r>
      <w:r w:rsidRPr="00BC4C33">
        <w:rPr>
          <w:rFonts w:asciiTheme="majorHAnsi" w:hAnsiTheme="majorHAnsi"/>
          <w:sz w:val="20"/>
          <w:szCs w:val="20"/>
          <w:lang w:val="es-ES"/>
        </w:rPr>
        <w:t>once</w:t>
      </w:r>
      <w:r w:rsidR="007B3CC5" w:rsidRPr="00BC4C33">
        <w:rPr>
          <w:rFonts w:asciiTheme="majorHAnsi" w:hAnsiTheme="majorHAnsi"/>
          <w:sz w:val="20"/>
          <w:szCs w:val="20"/>
          <w:lang w:val="es-ES"/>
        </w:rPr>
        <w:t xml:space="preserve"> personas que habrían fallecido durante los eventos del 15 de junio de 2012. Por estas razones, la Comisión </w:t>
      </w:r>
      <w:r w:rsidR="009354D3">
        <w:rPr>
          <w:rFonts w:asciiTheme="majorHAnsi" w:hAnsiTheme="majorHAnsi"/>
          <w:sz w:val="20"/>
          <w:szCs w:val="20"/>
          <w:lang w:val="es-ES"/>
        </w:rPr>
        <w:t xml:space="preserve">Interamericana </w:t>
      </w:r>
      <w:r w:rsidR="007B3CC5" w:rsidRPr="00BC4C33">
        <w:rPr>
          <w:rFonts w:asciiTheme="majorHAnsi" w:hAnsiTheme="majorHAnsi"/>
          <w:sz w:val="20"/>
          <w:szCs w:val="20"/>
          <w:lang w:val="es-ES"/>
        </w:rPr>
        <w:t xml:space="preserve">estima que </w:t>
      </w:r>
      <w:r w:rsidRPr="00BC4C33">
        <w:rPr>
          <w:rFonts w:asciiTheme="majorHAnsi" w:hAnsiTheme="majorHAnsi"/>
          <w:sz w:val="20"/>
          <w:szCs w:val="20"/>
          <w:lang w:val="es-ES"/>
        </w:rPr>
        <w:t>este</w:t>
      </w:r>
      <w:r w:rsidR="007B3CC5" w:rsidRPr="00BC4C33">
        <w:rPr>
          <w:rFonts w:asciiTheme="majorHAnsi" w:hAnsiTheme="majorHAnsi"/>
          <w:sz w:val="20"/>
          <w:szCs w:val="20"/>
          <w:lang w:val="es-ES"/>
        </w:rPr>
        <w:t xml:space="preserve"> extremo de la petición cumple </w:t>
      </w:r>
      <w:r w:rsidRPr="00BC4C33">
        <w:rPr>
          <w:rFonts w:asciiTheme="majorHAnsi" w:hAnsiTheme="majorHAnsi"/>
          <w:sz w:val="20"/>
          <w:szCs w:val="20"/>
          <w:lang w:val="es-ES"/>
        </w:rPr>
        <w:t xml:space="preserve">con </w:t>
      </w:r>
      <w:r w:rsidR="009354D3">
        <w:rPr>
          <w:rFonts w:asciiTheme="majorHAnsi" w:hAnsiTheme="majorHAnsi"/>
          <w:sz w:val="20"/>
          <w:szCs w:val="20"/>
          <w:lang w:val="es-ES"/>
        </w:rPr>
        <w:t xml:space="preserve">la </w:t>
      </w:r>
      <w:r w:rsidRPr="00BC4C33">
        <w:rPr>
          <w:rFonts w:asciiTheme="majorHAnsi" w:hAnsiTheme="majorHAnsi"/>
          <w:sz w:val="20"/>
          <w:szCs w:val="20"/>
          <w:lang w:val="es-ES"/>
        </w:rPr>
        <w:t>concreción mínim</w:t>
      </w:r>
      <w:r w:rsidR="009354D3">
        <w:rPr>
          <w:rFonts w:asciiTheme="majorHAnsi" w:hAnsiTheme="majorHAnsi"/>
          <w:sz w:val="20"/>
          <w:szCs w:val="20"/>
          <w:lang w:val="es-ES"/>
        </w:rPr>
        <w:t>a</w:t>
      </w:r>
      <w:r w:rsidRPr="00BC4C33">
        <w:rPr>
          <w:rFonts w:asciiTheme="majorHAnsi" w:hAnsiTheme="majorHAnsi"/>
          <w:sz w:val="20"/>
          <w:szCs w:val="20"/>
          <w:lang w:val="es-ES"/>
        </w:rPr>
        <w:t xml:space="preserve"> para ser considerado parte de la base fáctica en </w:t>
      </w:r>
      <w:r w:rsidR="00717B5B">
        <w:rPr>
          <w:rFonts w:asciiTheme="majorHAnsi" w:hAnsiTheme="majorHAnsi"/>
          <w:sz w:val="20"/>
          <w:szCs w:val="20"/>
          <w:lang w:val="es-ES"/>
        </w:rPr>
        <w:t>la</w:t>
      </w:r>
      <w:r w:rsidRPr="00BC4C33">
        <w:rPr>
          <w:rFonts w:asciiTheme="majorHAnsi" w:hAnsiTheme="majorHAnsi"/>
          <w:sz w:val="20"/>
          <w:szCs w:val="20"/>
          <w:lang w:val="es-ES"/>
        </w:rPr>
        <w:t xml:space="preserve"> etapa de fondo</w:t>
      </w:r>
      <w:r w:rsidR="007B3CC5" w:rsidRPr="00BC4C33">
        <w:rPr>
          <w:rFonts w:asciiTheme="majorHAnsi" w:hAnsiTheme="majorHAnsi"/>
          <w:sz w:val="20"/>
          <w:szCs w:val="20"/>
          <w:lang w:val="es-ES"/>
        </w:rPr>
        <w:t xml:space="preserve">. </w:t>
      </w:r>
    </w:p>
    <w:p w14:paraId="539BCEAF" w14:textId="77777777" w:rsidR="00563067" w:rsidRPr="00BC4C33" w:rsidRDefault="00563067" w:rsidP="0056306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C3A91D3" w14:textId="2635ABE1" w:rsidR="00557331" w:rsidRPr="00EE6383" w:rsidRDefault="00717B5B"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cs="Arial"/>
          <w:sz w:val="20"/>
          <w:szCs w:val="20"/>
          <w:lang w:val="es-ES"/>
        </w:rPr>
        <w:t>T</w:t>
      </w:r>
      <w:r w:rsidR="007B3CC5" w:rsidRPr="00BC4C33">
        <w:rPr>
          <w:rFonts w:asciiTheme="majorHAnsi" w:hAnsiTheme="majorHAnsi" w:cs="Arial"/>
          <w:sz w:val="20"/>
          <w:szCs w:val="20"/>
          <w:lang w:val="es-ES"/>
        </w:rPr>
        <w:t>ras examinar los elementos de hecho y de derecho expuestos por las partes</w:t>
      </w:r>
      <w:r w:rsidR="00BC4C33" w:rsidRPr="00BC4C33">
        <w:rPr>
          <w:rFonts w:asciiTheme="majorHAnsi" w:hAnsiTheme="majorHAnsi" w:cs="Arial"/>
          <w:sz w:val="20"/>
          <w:szCs w:val="20"/>
          <w:lang w:val="es-ES"/>
        </w:rPr>
        <w:t>,</w:t>
      </w:r>
      <w:r w:rsidR="007B3CC5" w:rsidRPr="00BC4C33">
        <w:rPr>
          <w:rFonts w:asciiTheme="majorHAnsi" w:hAnsiTheme="majorHAnsi" w:cs="Arial"/>
          <w:sz w:val="20"/>
          <w:szCs w:val="20"/>
          <w:lang w:val="es-ES"/>
        </w:rPr>
        <w:t xml:space="preserve"> la C</w:t>
      </w:r>
      <w:r>
        <w:rPr>
          <w:rFonts w:asciiTheme="majorHAnsi" w:hAnsiTheme="majorHAnsi" w:cs="Arial"/>
          <w:sz w:val="20"/>
          <w:szCs w:val="20"/>
          <w:lang w:val="es-ES"/>
        </w:rPr>
        <w:t>IDH</w:t>
      </w:r>
      <w:r w:rsidR="007B3CC5" w:rsidRPr="00BC4C33">
        <w:rPr>
          <w:rFonts w:asciiTheme="majorHAnsi" w:hAnsiTheme="majorHAnsi" w:cs="Arial"/>
          <w:sz w:val="20"/>
          <w:szCs w:val="20"/>
          <w:lang w:val="es-ES"/>
        </w:rPr>
        <w:t xml:space="preserve"> estima que </w:t>
      </w:r>
      <w:r>
        <w:rPr>
          <w:rFonts w:asciiTheme="majorHAnsi" w:hAnsiTheme="majorHAnsi" w:cs="Arial"/>
          <w:sz w:val="20"/>
          <w:szCs w:val="20"/>
          <w:lang w:val="es-ES"/>
        </w:rPr>
        <w:t xml:space="preserve">los alegatos </w:t>
      </w:r>
      <w:r w:rsidR="007B3CC5" w:rsidRPr="00BC4C33">
        <w:rPr>
          <w:rFonts w:asciiTheme="majorHAnsi" w:hAnsiTheme="majorHAnsi" w:cs="Arial"/>
          <w:sz w:val="20"/>
          <w:szCs w:val="20"/>
          <w:lang w:val="es-ES"/>
        </w:rPr>
        <w:t>de la parte peticionaria no resultan manifiestamente infundadas y requieren un estudio de fondo pues lo</w:t>
      </w:r>
      <w:r>
        <w:rPr>
          <w:rFonts w:asciiTheme="majorHAnsi" w:hAnsiTheme="majorHAnsi" w:cs="Arial"/>
          <w:sz w:val="20"/>
          <w:szCs w:val="20"/>
          <w:lang w:val="es-ES"/>
        </w:rPr>
        <w:t>s</w:t>
      </w:r>
      <w:r w:rsidR="007B3CC5" w:rsidRPr="00BC4C33">
        <w:rPr>
          <w:rFonts w:asciiTheme="majorHAnsi" w:hAnsiTheme="majorHAnsi" w:cs="Arial"/>
          <w:sz w:val="20"/>
          <w:szCs w:val="20"/>
          <w:lang w:val="es-ES"/>
        </w:rPr>
        <w:t xml:space="preserve"> hechos alegados, de corroborarse como ciertos, podrían c</w:t>
      </w:r>
      <w:r>
        <w:rPr>
          <w:rFonts w:asciiTheme="majorHAnsi" w:hAnsiTheme="majorHAnsi" w:cs="Arial"/>
          <w:sz w:val="20"/>
          <w:szCs w:val="20"/>
          <w:lang w:val="es-ES"/>
        </w:rPr>
        <w:t>onstituir</w:t>
      </w:r>
      <w:r w:rsidR="007B3CC5" w:rsidRPr="00BC4C33">
        <w:rPr>
          <w:rFonts w:asciiTheme="majorHAnsi" w:hAnsiTheme="majorHAnsi" w:cs="Arial"/>
          <w:sz w:val="20"/>
          <w:szCs w:val="20"/>
          <w:lang w:val="es-ES"/>
        </w:rPr>
        <w:t xml:space="preserve"> violaciones </w:t>
      </w:r>
      <w:r>
        <w:rPr>
          <w:rFonts w:asciiTheme="majorHAnsi" w:hAnsiTheme="majorHAnsi" w:cs="Arial"/>
          <w:sz w:val="20"/>
          <w:szCs w:val="20"/>
          <w:lang w:val="es-ES"/>
        </w:rPr>
        <w:t>de</w:t>
      </w:r>
      <w:r w:rsidR="007B3CC5" w:rsidRPr="00BC4C33">
        <w:rPr>
          <w:rFonts w:asciiTheme="majorHAnsi" w:hAnsiTheme="majorHAnsi" w:cs="Arial"/>
          <w:sz w:val="20"/>
          <w:szCs w:val="20"/>
          <w:lang w:val="es-ES"/>
        </w:rPr>
        <w:t xml:space="preserve"> los </w:t>
      </w:r>
      <w:r w:rsidR="00BC4C33" w:rsidRPr="00BC4C33">
        <w:rPr>
          <w:rFonts w:asciiTheme="majorHAnsi" w:hAnsiTheme="majorHAnsi" w:cs="Arial"/>
          <w:sz w:val="20"/>
          <w:szCs w:val="20"/>
          <w:lang w:val="es-ES"/>
        </w:rPr>
        <w:t xml:space="preserve">derechos </w:t>
      </w:r>
      <w:r>
        <w:rPr>
          <w:rFonts w:asciiTheme="majorHAnsi" w:hAnsiTheme="majorHAnsi" w:cs="Arial"/>
          <w:sz w:val="20"/>
          <w:szCs w:val="20"/>
          <w:lang w:val="es-ES"/>
        </w:rPr>
        <w:t xml:space="preserve">reconocidos </w:t>
      </w:r>
      <w:r w:rsidR="00BC4C33" w:rsidRPr="00BC4C33">
        <w:rPr>
          <w:rFonts w:asciiTheme="majorHAnsi" w:hAnsiTheme="majorHAnsi" w:cs="Arial"/>
          <w:sz w:val="20"/>
          <w:szCs w:val="20"/>
          <w:lang w:val="es-ES"/>
        </w:rPr>
        <w:t xml:space="preserve">en los </w:t>
      </w:r>
      <w:r w:rsidR="007B3CC5" w:rsidRPr="00BC4C33">
        <w:rPr>
          <w:rFonts w:asciiTheme="majorHAnsi" w:hAnsiTheme="majorHAnsi" w:cs="Arial"/>
          <w:sz w:val="20"/>
          <w:szCs w:val="20"/>
          <w:lang w:val="es-ES"/>
        </w:rPr>
        <w:t>artículos</w:t>
      </w:r>
      <w:r w:rsidR="00557331" w:rsidRPr="00BC4C33">
        <w:rPr>
          <w:rFonts w:asciiTheme="majorHAnsi" w:hAnsiTheme="majorHAnsi"/>
          <w:sz w:val="20"/>
          <w:szCs w:val="20"/>
          <w:lang w:val="es-ES"/>
        </w:rPr>
        <w:t xml:space="preserve"> </w:t>
      </w:r>
      <w:r w:rsidR="00BC4C33" w:rsidRPr="00BC4C33">
        <w:rPr>
          <w:rFonts w:asciiTheme="majorHAnsi" w:hAnsiTheme="majorHAnsi"/>
          <w:sz w:val="20"/>
          <w:szCs w:val="20"/>
          <w:lang w:val="es-ES"/>
        </w:rPr>
        <w:t xml:space="preserve">4 (vida), 5 (integridad personal), </w:t>
      </w:r>
      <w:r w:rsidR="007B3CC5" w:rsidRPr="00BC4C33">
        <w:rPr>
          <w:rFonts w:asciiTheme="majorHAnsi" w:hAnsiTheme="majorHAnsi"/>
          <w:bCs/>
          <w:sz w:val="20"/>
          <w:szCs w:val="20"/>
          <w:lang w:val="es-ES"/>
        </w:rPr>
        <w:t>7 (libertad personal), 8 (garantías judiciales) y 25 (protección judicial) de la Convención Americana en relación con su artículo 1.1 (obligación de respetar los derechos)</w:t>
      </w:r>
      <w:r w:rsidR="00BC4C33" w:rsidRPr="00BC4C33">
        <w:rPr>
          <w:rFonts w:asciiTheme="majorHAnsi" w:hAnsiTheme="majorHAnsi"/>
          <w:bCs/>
          <w:sz w:val="20"/>
          <w:szCs w:val="20"/>
          <w:lang w:val="es-ES"/>
        </w:rPr>
        <w:t>;</w:t>
      </w:r>
      <w:r w:rsidR="007B3CC5" w:rsidRPr="00BC4C33">
        <w:rPr>
          <w:rFonts w:asciiTheme="majorHAnsi" w:hAnsiTheme="majorHAnsi"/>
          <w:bCs/>
          <w:sz w:val="20"/>
          <w:szCs w:val="20"/>
          <w:lang w:val="es-ES"/>
        </w:rPr>
        <w:t xml:space="preserve"> y los artículos 1, 6 y 8 de la Convención Interamericana para Prevenir y Sancionar la Tortura</w:t>
      </w:r>
      <w:r w:rsidR="00BC4C33" w:rsidRPr="00BC4C33">
        <w:rPr>
          <w:rFonts w:asciiTheme="majorHAnsi" w:hAnsiTheme="majorHAnsi"/>
          <w:bCs/>
          <w:sz w:val="20"/>
          <w:szCs w:val="20"/>
          <w:lang w:val="es-ES"/>
        </w:rPr>
        <w:t xml:space="preserve">, en perjuicio de las presuntas víctimas individualizadas en el presente informe, y de aquellas que sean identificadas en la etapa de fondo a partir de los hechos </w:t>
      </w:r>
      <w:r w:rsidRPr="00BC4C33">
        <w:rPr>
          <w:rFonts w:asciiTheme="majorHAnsi" w:hAnsiTheme="majorHAnsi"/>
          <w:bCs/>
          <w:sz w:val="20"/>
          <w:szCs w:val="20"/>
          <w:lang w:val="es-ES"/>
        </w:rPr>
        <w:t xml:space="preserve">aquí </w:t>
      </w:r>
      <w:r w:rsidR="00BC4C33" w:rsidRPr="00BC4C33">
        <w:rPr>
          <w:rFonts w:asciiTheme="majorHAnsi" w:hAnsiTheme="majorHAnsi"/>
          <w:bCs/>
          <w:sz w:val="20"/>
          <w:szCs w:val="20"/>
          <w:lang w:val="es-ES"/>
        </w:rPr>
        <w:t>definidos como integrantes del marco fáctico de</w:t>
      </w:r>
      <w:r>
        <w:rPr>
          <w:rFonts w:asciiTheme="majorHAnsi" w:hAnsiTheme="majorHAnsi"/>
          <w:bCs/>
          <w:sz w:val="20"/>
          <w:szCs w:val="20"/>
          <w:lang w:val="es-ES"/>
        </w:rPr>
        <w:t xml:space="preserve"> este asunto.</w:t>
      </w:r>
    </w:p>
    <w:p w14:paraId="174D7343" w14:textId="77777777" w:rsidR="00EE6383" w:rsidRPr="00717B5B" w:rsidRDefault="00EE6383" w:rsidP="00EE6383">
      <w:pPr>
        <w:rPr>
          <w:rFonts w:asciiTheme="majorHAnsi" w:hAnsiTheme="majorHAnsi"/>
          <w:sz w:val="20"/>
          <w:szCs w:val="20"/>
          <w:lang w:val="es-ES"/>
        </w:rPr>
      </w:pPr>
    </w:p>
    <w:p w14:paraId="1B2FE413" w14:textId="6331825E" w:rsidR="00EE6383" w:rsidRPr="00BC4C33" w:rsidRDefault="00EE6383" w:rsidP="00012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E6383">
        <w:rPr>
          <w:rFonts w:asciiTheme="majorHAnsi" w:hAnsiTheme="majorHAnsi"/>
          <w:sz w:val="20"/>
          <w:szCs w:val="20"/>
          <w:lang w:val="es-ES"/>
        </w:rPr>
        <w:t xml:space="preserve">En cuanto al reclamo sobre la presunta violación </w:t>
      </w:r>
      <w:r>
        <w:rPr>
          <w:rFonts w:asciiTheme="majorHAnsi" w:hAnsiTheme="majorHAnsi"/>
          <w:sz w:val="20"/>
          <w:szCs w:val="20"/>
          <w:lang w:val="es-ES"/>
        </w:rPr>
        <w:t>del</w:t>
      </w:r>
      <w:r w:rsidRPr="00EE6383">
        <w:rPr>
          <w:rFonts w:asciiTheme="majorHAnsi" w:hAnsiTheme="majorHAnsi"/>
          <w:sz w:val="20"/>
          <w:szCs w:val="20"/>
          <w:lang w:val="es-ES"/>
        </w:rPr>
        <w:t xml:space="preserve"> artículo </w:t>
      </w:r>
      <w:r>
        <w:rPr>
          <w:rFonts w:asciiTheme="majorHAnsi" w:hAnsiTheme="majorHAnsi"/>
          <w:sz w:val="20"/>
          <w:szCs w:val="20"/>
          <w:lang w:val="es-ES"/>
        </w:rPr>
        <w:t>9</w:t>
      </w:r>
      <w:r w:rsidRPr="00EE6383">
        <w:rPr>
          <w:rFonts w:asciiTheme="majorHAnsi" w:hAnsiTheme="majorHAnsi"/>
          <w:sz w:val="20"/>
          <w:szCs w:val="20"/>
          <w:lang w:val="es-ES"/>
        </w:rPr>
        <w:t xml:space="preserve"> (</w:t>
      </w:r>
      <w:r>
        <w:rPr>
          <w:rFonts w:asciiTheme="majorHAnsi" w:hAnsiTheme="majorHAnsi"/>
          <w:sz w:val="20"/>
          <w:szCs w:val="20"/>
          <w:lang w:val="es-ES"/>
        </w:rPr>
        <w:t>principio de legalidad y de retroactividad</w:t>
      </w:r>
      <w:r w:rsidRPr="00EE6383">
        <w:rPr>
          <w:rFonts w:asciiTheme="majorHAnsi" w:hAnsiTheme="majorHAnsi"/>
          <w:sz w:val="20"/>
          <w:szCs w:val="20"/>
          <w:lang w:val="es-ES"/>
        </w:rPr>
        <w:t>)</w:t>
      </w:r>
      <w:r>
        <w:rPr>
          <w:rFonts w:asciiTheme="majorHAnsi" w:hAnsiTheme="majorHAnsi"/>
          <w:sz w:val="20"/>
          <w:szCs w:val="20"/>
          <w:lang w:val="es-ES"/>
        </w:rPr>
        <w:t xml:space="preserve"> </w:t>
      </w:r>
      <w:r w:rsidRPr="00EE6383">
        <w:rPr>
          <w:rFonts w:asciiTheme="majorHAnsi" w:hAnsiTheme="majorHAnsi"/>
          <w:sz w:val="20"/>
          <w:szCs w:val="20"/>
          <w:lang w:val="es-ES"/>
        </w:rPr>
        <w:t>de la Convención Americana</w:t>
      </w:r>
      <w:r w:rsidR="007E4CBC">
        <w:rPr>
          <w:rFonts w:asciiTheme="majorHAnsi" w:hAnsiTheme="majorHAnsi"/>
          <w:sz w:val="20"/>
          <w:szCs w:val="20"/>
          <w:lang w:val="es-ES"/>
        </w:rPr>
        <w:t>,</w:t>
      </w:r>
      <w:r w:rsidRPr="00EE6383">
        <w:rPr>
          <w:rFonts w:asciiTheme="majorHAnsi" w:hAnsiTheme="majorHAnsi"/>
          <w:sz w:val="20"/>
          <w:szCs w:val="20"/>
          <w:lang w:val="es-ES"/>
        </w:rPr>
        <w:t xml:space="preserve"> la C</w:t>
      </w:r>
      <w:r w:rsidR="007E4CBC">
        <w:rPr>
          <w:rFonts w:asciiTheme="majorHAnsi" w:hAnsiTheme="majorHAnsi"/>
          <w:sz w:val="20"/>
          <w:szCs w:val="20"/>
          <w:lang w:val="es-ES"/>
        </w:rPr>
        <w:t>IDH</w:t>
      </w:r>
      <w:r w:rsidRPr="00EE6383">
        <w:rPr>
          <w:rFonts w:asciiTheme="majorHAnsi" w:hAnsiTheme="majorHAnsi"/>
          <w:sz w:val="20"/>
          <w:szCs w:val="20"/>
          <w:lang w:val="es-ES"/>
        </w:rPr>
        <w:t xml:space="preserve"> observa que</w:t>
      </w:r>
      <w:r w:rsidR="007E4CBC">
        <w:rPr>
          <w:rFonts w:asciiTheme="majorHAnsi" w:hAnsiTheme="majorHAnsi"/>
          <w:sz w:val="20"/>
          <w:szCs w:val="20"/>
          <w:lang w:val="es-ES"/>
        </w:rPr>
        <w:t xml:space="preserve"> la parte peticionaria</w:t>
      </w:r>
      <w:r w:rsidR="007E4CBC" w:rsidRPr="00EE6383">
        <w:rPr>
          <w:rFonts w:asciiTheme="majorHAnsi" w:hAnsiTheme="majorHAnsi"/>
          <w:sz w:val="20"/>
          <w:szCs w:val="20"/>
          <w:lang w:val="es-ES"/>
        </w:rPr>
        <w:t xml:space="preserve"> </w:t>
      </w:r>
      <w:r w:rsidRPr="00EE6383">
        <w:rPr>
          <w:rFonts w:asciiTheme="majorHAnsi" w:hAnsiTheme="majorHAnsi"/>
          <w:sz w:val="20"/>
          <w:szCs w:val="20"/>
          <w:lang w:val="es-ES"/>
        </w:rPr>
        <w:t xml:space="preserve">no ha ofrecido alegatos o sustento suficiente que permita considerar </w:t>
      </w:r>
      <w:r w:rsidRPr="007E4CBC">
        <w:rPr>
          <w:rFonts w:asciiTheme="majorHAnsi" w:hAnsiTheme="majorHAnsi"/>
          <w:i/>
          <w:iCs/>
          <w:sz w:val="20"/>
          <w:szCs w:val="20"/>
          <w:lang w:val="es-ES"/>
        </w:rPr>
        <w:t>prima facie</w:t>
      </w:r>
      <w:r w:rsidRPr="00EE6383">
        <w:rPr>
          <w:rFonts w:asciiTheme="majorHAnsi" w:hAnsiTheme="majorHAnsi"/>
          <w:sz w:val="20"/>
          <w:szCs w:val="20"/>
          <w:lang w:val="es-ES"/>
        </w:rPr>
        <w:t xml:space="preserve"> su posible violación.</w:t>
      </w:r>
    </w:p>
    <w:p w14:paraId="05F82F8E" w14:textId="77777777" w:rsidR="00BC4C33" w:rsidRPr="00BC4C33" w:rsidRDefault="00BC4C33" w:rsidP="00BC4C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9BB41F5" w14:textId="6CD215D7" w:rsidR="003239B8" w:rsidRPr="00BC4C33" w:rsidRDefault="00EC72AB"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BC4C33">
        <w:rPr>
          <w:rFonts w:asciiTheme="majorHAnsi" w:hAnsiTheme="majorHAnsi"/>
          <w:b/>
          <w:bCs/>
          <w:sz w:val="20"/>
          <w:szCs w:val="20"/>
          <w:lang w:val="es-ES"/>
        </w:rPr>
        <w:t>VI</w:t>
      </w:r>
      <w:r w:rsidR="00F04591" w:rsidRPr="00BC4C33">
        <w:rPr>
          <w:rFonts w:asciiTheme="majorHAnsi" w:hAnsiTheme="majorHAnsi"/>
          <w:b/>
          <w:bCs/>
          <w:sz w:val="20"/>
          <w:szCs w:val="20"/>
          <w:lang w:val="es-ES"/>
        </w:rPr>
        <w:t>II</w:t>
      </w:r>
      <w:r w:rsidR="003239B8" w:rsidRPr="00BC4C33">
        <w:rPr>
          <w:rFonts w:asciiTheme="majorHAnsi" w:hAnsiTheme="majorHAnsi"/>
          <w:b/>
          <w:bCs/>
          <w:sz w:val="20"/>
          <w:szCs w:val="20"/>
          <w:lang w:val="es-ES"/>
        </w:rPr>
        <w:t xml:space="preserve">. </w:t>
      </w:r>
      <w:r w:rsidR="003239B8" w:rsidRPr="00BC4C33">
        <w:rPr>
          <w:rFonts w:asciiTheme="majorHAnsi" w:hAnsiTheme="majorHAnsi"/>
          <w:b/>
          <w:bCs/>
          <w:sz w:val="20"/>
          <w:szCs w:val="20"/>
          <w:lang w:val="es-ES"/>
        </w:rPr>
        <w:tab/>
        <w:t>DECISIÓN</w:t>
      </w:r>
    </w:p>
    <w:p w14:paraId="529CC41A" w14:textId="77777777" w:rsidR="00BC4C33" w:rsidRPr="00BC4C33" w:rsidRDefault="00BC4C33" w:rsidP="000124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0FDE1D10" w14:textId="3CA1E252" w:rsidR="003239B8" w:rsidRDefault="003239B8" w:rsidP="000124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C4C33">
        <w:rPr>
          <w:rFonts w:asciiTheme="majorHAnsi" w:hAnsiTheme="majorHAnsi"/>
          <w:sz w:val="20"/>
          <w:szCs w:val="20"/>
          <w:lang w:val="es-ES"/>
        </w:rPr>
        <w:t>Declarar admisible la presente petición en relación con</w:t>
      </w:r>
      <w:r w:rsidR="003A6337" w:rsidRPr="00BC4C33">
        <w:rPr>
          <w:rFonts w:asciiTheme="majorHAnsi" w:hAnsiTheme="majorHAnsi"/>
          <w:sz w:val="20"/>
          <w:szCs w:val="20"/>
          <w:lang w:val="es-ES"/>
        </w:rPr>
        <w:t xml:space="preserve"> </w:t>
      </w:r>
      <w:r w:rsidR="007B3CC5" w:rsidRPr="00BC4C33">
        <w:rPr>
          <w:rFonts w:asciiTheme="majorHAnsi" w:hAnsiTheme="majorHAnsi"/>
          <w:sz w:val="20"/>
          <w:szCs w:val="20"/>
          <w:lang w:val="es-ES"/>
        </w:rPr>
        <w:t>los artículos</w:t>
      </w:r>
      <w:r w:rsidR="00BC4C33" w:rsidRPr="00BC4C33">
        <w:rPr>
          <w:rFonts w:asciiTheme="majorHAnsi" w:hAnsiTheme="majorHAnsi"/>
          <w:sz w:val="20"/>
          <w:szCs w:val="20"/>
          <w:lang w:val="es-ES"/>
        </w:rPr>
        <w:t xml:space="preserve"> 4</w:t>
      </w:r>
      <w:r w:rsidR="001F34C3">
        <w:rPr>
          <w:rFonts w:asciiTheme="majorHAnsi" w:hAnsiTheme="majorHAnsi"/>
          <w:sz w:val="20"/>
          <w:szCs w:val="20"/>
          <w:lang w:val="es-ES"/>
        </w:rPr>
        <w:t>,</w:t>
      </w:r>
      <w:r w:rsidR="007B3CC5" w:rsidRPr="00BC4C33">
        <w:rPr>
          <w:rFonts w:asciiTheme="majorHAnsi" w:hAnsiTheme="majorHAnsi"/>
          <w:sz w:val="20"/>
          <w:szCs w:val="20"/>
          <w:lang w:val="es-ES"/>
        </w:rPr>
        <w:t xml:space="preserve"> </w:t>
      </w:r>
      <w:r w:rsidR="00BC4C33" w:rsidRPr="00BC4C33">
        <w:rPr>
          <w:rFonts w:asciiTheme="majorHAnsi" w:hAnsiTheme="majorHAnsi"/>
          <w:sz w:val="20"/>
          <w:szCs w:val="20"/>
          <w:lang w:val="es-ES"/>
        </w:rPr>
        <w:t xml:space="preserve">5, </w:t>
      </w:r>
      <w:r w:rsidR="007B3CC5" w:rsidRPr="00BC4C33">
        <w:rPr>
          <w:rFonts w:asciiTheme="majorHAnsi" w:hAnsiTheme="majorHAnsi"/>
          <w:sz w:val="20"/>
          <w:szCs w:val="20"/>
          <w:lang w:val="es-ES"/>
        </w:rPr>
        <w:t>7, 8 y 25 de la Convención Americana</w:t>
      </w:r>
      <w:r w:rsidR="001F34C3">
        <w:rPr>
          <w:rFonts w:asciiTheme="majorHAnsi" w:hAnsiTheme="majorHAnsi"/>
          <w:sz w:val="20"/>
          <w:szCs w:val="20"/>
          <w:lang w:val="es-ES"/>
        </w:rPr>
        <w:t>,</w:t>
      </w:r>
      <w:r w:rsidR="007B3CC5" w:rsidRPr="00BC4C33">
        <w:rPr>
          <w:rFonts w:asciiTheme="majorHAnsi" w:hAnsiTheme="majorHAnsi"/>
          <w:sz w:val="20"/>
          <w:szCs w:val="20"/>
          <w:lang w:val="es-ES"/>
        </w:rPr>
        <w:t xml:space="preserve"> en </w:t>
      </w:r>
      <w:r w:rsidR="002C551D">
        <w:rPr>
          <w:rFonts w:asciiTheme="majorHAnsi" w:hAnsiTheme="majorHAnsi"/>
          <w:sz w:val="20"/>
          <w:szCs w:val="20"/>
          <w:lang w:val="es-ES"/>
        </w:rPr>
        <w:t>concordancia</w:t>
      </w:r>
      <w:r w:rsidR="007B3CC5" w:rsidRPr="00BC4C33">
        <w:rPr>
          <w:rFonts w:asciiTheme="majorHAnsi" w:hAnsiTheme="majorHAnsi"/>
          <w:sz w:val="20"/>
          <w:szCs w:val="20"/>
          <w:lang w:val="es-ES"/>
        </w:rPr>
        <w:t xml:space="preserve"> con su artículo 1.1 y </w:t>
      </w:r>
      <w:r w:rsidR="008B536E">
        <w:rPr>
          <w:rFonts w:asciiTheme="majorHAnsi" w:hAnsiTheme="majorHAnsi"/>
          <w:sz w:val="20"/>
          <w:szCs w:val="20"/>
          <w:lang w:val="es-ES"/>
        </w:rPr>
        <w:t xml:space="preserve">con </w:t>
      </w:r>
      <w:r w:rsidR="007B3CC5" w:rsidRPr="00BC4C33">
        <w:rPr>
          <w:rFonts w:asciiTheme="majorHAnsi" w:hAnsiTheme="majorHAnsi"/>
          <w:sz w:val="20"/>
          <w:szCs w:val="20"/>
          <w:lang w:val="es-ES"/>
        </w:rPr>
        <w:t>los artículos 1, 6 y 8 de la Convención Interamericana para Prevenir y Sancionar la Tortura</w:t>
      </w:r>
      <w:r w:rsidR="00300343">
        <w:rPr>
          <w:rFonts w:asciiTheme="majorHAnsi" w:hAnsiTheme="majorHAnsi"/>
          <w:sz w:val="20"/>
          <w:szCs w:val="20"/>
          <w:lang w:val="es-ES"/>
        </w:rPr>
        <w:t>, y;</w:t>
      </w:r>
    </w:p>
    <w:p w14:paraId="41A401F9" w14:textId="77777777" w:rsidR="001F34C3" w:rsidRPr="00BC4C33" w:rsidRDefault="001F34C3" w:rsidP="001F34C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157390F" w14:textId="478B71C2" w:rsidR="00D93A90" w:rsidRPr="00BC4C33" w:rsidRDefault="004A6A54" w:rsidP="000124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BC4C33">
        <w:rPr>
          <w:rFonts w:asciiTheme="majorHAnsi" w:hAnsiTheme="majorHAnsi"/>
          <w:sz w:val="20"/>
          <w:szCs w:val="20"/>
          <w:lang w:val="es-ES"/>
        </w:rPr>
        <w:t xml:space="preserve">Notificar a las partes la presente decisión; </w:t>
      </w:r>
      <w:r w:rsidR="004C5B35" w:rsidRPr="00BC4C33">
        <w:rPr>
          <w:rFonts w:asciiTheme="majorHAnsi" w:hAnsiTheme="majorHAnsi"/>
          <w:sz w:val="20"/>
          <w:szCs w:val="20"/>
          <w:lang w:val="es-ES"/>
        </w:rPr>
        <w:t>proceder</w:t>
      </w:r>
      <w:r w:rsidRPr="00BC4C33">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3CC82043" w14:textId="77777777" w:rsidR="003F0FAD" w:rsidRDefault="003F0FAD">
      <w:pPr>
        <w:rPr>
          <w:rFonts w:asciiTheme="majorHAnsi" w:hAnsiTheme="majorHAnsi"/>
          <w:sz w:val="20"/>
          <w:szCs w:val="20"/>
          <w:lang w:val="es-ES"/>
        </w:rPr>
      </w:pPr>
    </w:p>
    <w:p w14:paraId="648A7438" w14:textId="49A0E58B" w:rsidR="003F0FAD" w:rsidRPr="00A37B82" w:rsidRDefault="003F0FAD" w:rsidP="003F0FA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E9965EE" w14:textId="77777777" w:rsidR="003F0FAD" w:rsidRPr="00A37B82" w:rsidRDefault="003F0FAD" w:rsidP="003F0FAD">
      <w:pPr>
        <w:suppressAutoHyphens/>
        <w:ind w:firstLine="720"/>
        <w:jc w:val="both"/>
        <w:rPr>
          <w:rFonts w:asciiTheme="majorHAnsi" w:hAnsiTheme="majorHAnsi" w:cs="Arial"/>
          <w:noProof/>
          <w:spacing w:val="-2"/>
          <w:sz w:val="20"/>
          <w:szCs w:val="20"/>
          <w:lang w:val="es-CL"/>
        </w:rPr>
      </w:pPr>
    </w:p>
    <w:p w14:paraId="20459840" w14:textId="13E7C047" w:rsidR="00717B5B" w:rsidRDefault="00717B5B">
      <w:pPr>
        <w:rPr>
          <w:rFonts w:asciiTheme="majorHAnsi" w:hAnsiTheme="majorHAnsi"/>
          <w:sz w:val="20"/>
          <w:szCs w:val="20"/>
          <w:lang w:val="es-ES"/>
        </w:rPr>
      </w:pPr>
      <w:r>
        <w:rPr>
          <w:rFonts w:asciiTheme="majorHAnsi" w:hAnsiTheme="majorHAnsi"/>
          <w:sz w:val="20"/>
          <w:szCs w:val="20"/>
          <w:lang w:val="es-ES"/>
        </w:rPr>
        <w:br w:type="page"/>
      </w:r>
    </w:p>
    <w:p w14:paraId="2A35ADB7" w14:textId="1B81B50C" w:rsidR="004C5B35" w:rsidRDefault="00A32EBB" w:rsidP="00A32EB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r>
        <w:rPr>
          <w:rFonts w:asciiTheme="majorHAnsi" w:hAnsiTheme="majorHAnsi"/>
          <w:b/>
          <w:bCs/>
          <w:sz w:val="20"/>
          <w:szCs w:val="20"/>
          <w:lang w:val="es-ES"/>
        </w:rPr>
        <w:lastRenderedPageBreak/>
        <w:t>ANEXO</w:t>
      </w:r>
    </w:p>
    <w:p w14:paraId="5A0B5FEE" w14:textId="016C0DBF" w:rsidR="00A32EBB" w:rsidRDefault="00A32EBB" w:rsidP="00A32EBB">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p>
    <w:p w14:paraId="4457D571" w14:textId="3D4FDD2E" w:rsidR="00A32EBB" w:rsidRDefault="00A32EBB" w:rsidP="00A32E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Pr>
          <w:rFonts w:asciiTheme="majorHAnsi" w:hAnsiTheme="majorHAnsi"/>
          <w:b/>
          <w:bCs/>
          <w:sz w:val="20"/>
          <w:szCs w:val="20"/>
          <w:lang w:val="es-PA"/>
        </w:rPr>
        <w:tab/>
      </w:r>
      <w:r w:rsidRPr="00A32EBB">
        <w:rPr>
          <w:rFonts w:asciiTheme="majorHAnsi" w:hAnsiTheme="majorHAnsi"/>
          <w:b/>
          <w:bCs/>
          <w:sz w:val="20"/>
          <w:szCs w:val="20"/>
          <w:lang w:val="es-PA"/>
        </w:rPr>
        <w:t xml:space="preserve">A. </w:t>
      </w:r>
      <w:r>
        <w:rPr>
          <w:rFonts w:asciiTheme="majorHAnsi" w:hAnsiTheme="majorHAnsi"/>
          <w:b/>
          <w:bCs/>
          <w:sz w:val="20"/>
          <w:szCs w:val="20"/>
          <w:lang w:val="es-PA"/>
        </w:rPr>
        <w:tab/>
      </w:r>
      <w:r w:rsidRPr="00A32EBB">
        <w:rPr>
          <w:rFonts w:asciiTheme="majorHAnsi" w:hAnsiTheme="majorHAnsi"/>
          <w:b/>
          <w:bCs/>
          <w:sz w:val="20"/>
          <w:szCs w:val="20"/>
          <w:lang w:val="es-PA"/>
        </w:rPr>
        <w:t xml:space="preserve">Presuntas </w:t>
      </w:r>
      <w:r>
        <w:rPr>
          <w:rFonts w:asciiTheme="majorHAnsi" w:hAnsiTheme="majorHAnsi"/>
          <w:b/>
          <w:bCs/>
          <w:sz w:val="20"/>
          <w:szCs w:val="20"/>
          <w:lang w:val="es-PA"/>
        </w:rPr>
        <w:t>v</w:t>
      </w:r>
      <w:r w:rsidRPr="00A32EBB">
        <w:rPr>
          <w:rFonts w:asciiTheme="majorHAnsi" w:hAnsiTheme="majorHAnsi"/>
          <w:b/>
          <w:bCs/>
          <w:sz w:val="20"/>
          <w:szCs w:val="20"/>
          <w:lang w:val="es-PA"/>
        </w:rPr>
        <w:t xml:space="preserve">íctimas y </w:t>
      </w:r>
      <w:r>
        <w:rPr>
          <w:rFonts w:asciiTheme="majorHAnsi" w:hAnsiTheme="majorHAnsi"/>
          <w:b/>
          <w:bCs/>
          <w:sz w:val="20"/>
          <w:szCs w:val="20"/>
          <w:lang w:val="es-PA"/>
        </w:rPr>
        <w:t>c</w:t>
      </w:r>
      <w:r w:rsidRPr="00A32EBB">
        <w:rPr>
          <w:rFonts w:asciiTheme="majorHAnsi" w:hAnsiTheme="majorHAnsi"/>
          <w:b/>
          <w:bCs/>
          <w:sz w:val="20"/>
          <w:szCs w:val="20"/>
          <w:lang w:val="es-PA"/>
        </w:rPr>
        <w:t xml:space="preserve">ondenas </w:t>
      </w:r>
      <w:r>
        <w:rPr>
          <w:rFonts w:asciiTheme="majorHAnsi" w:hAnsiTheme="majorHAnsi"/>
          <w:b/>
          <w:bCs/>
          <w:sz w:val="20"/>
          <w:szCs w:val="20"/>
          <w:lang w:val="es-PA"/>
        </w:rPr>
        <w:t>p</w:t>
      </w:r>
      <w:r w:rsidRPr="00A32EBB">
        <w:rPr>
          <w:rFonts w:asciiTheme="majorHAnsi" w:hAnsiTheme="majorHAnsi"/>
          <w:b/>
          <w:bCs/>
          <w:sz w:val="20"/>
          <w:szCs w:val="20"/>
          <w:lang w:val="es-PA"/>
        </w:rPr>
        <w:t xml:space="preserve">enales </w:t>
      </w:r>
      <w:r>
        <w:rPr>
          <w:rFonts w:asciiTheme="majorHAnsi" w:hAnsiTheme="majorHAnsi"/>
          <w:b/>
          <w:bCs/>
          <w:sz w:val="20"/>
          <w:szCs w:val="20"/>
          <w:lang w:val="es-PA"/>
        </w:rPr>
        <w:t>de</w:t>
      </w:r>
      <w:r w:rsidRPr="00A32EBB">
        <w:rPr>
          <w:rFonts w:asciiTheme="majorHAnsi" w:hAnsiTheme="majorHAnsi"/>
          <w:b/>
          <w:bCs/>
          <w:sz w:val="20"/>
          <w:szCs w:val="20"/>
          <w:lang w:val="es-PA"/>
        </w:rPr>
        <w:t xml:space="preserve"> </w:t>
      </w:r>
      <w:r>
        <w:rPr>
          <w:rFonts w:asciiTheme="majorHAnsi" w:hAnsiTheme="majorHAnsi"/>
          <w:b/>
          <w:bCs/>
          <w:sz w:val="20"/>
          <w:szCs w:val="20"/>
          <w:lang w:val="es-PA"/>
        </w:rPr>
        <w:t>p</w:t>
      </w:r>
      <w:r w:rsidRPr="00A32EBB">
        <w:rPr>
          <w:rFonts w:asciiTheme="majorHAnsi" w:hAnsiTheme="majorHAnsi"/>
          <w:b/>
          <w:bCs/>
          <w:sz w:val="20"/>
          <w:szCs w:val="20"/>
          <w:lang w:val="es-PA"/>
        </w:rPr>
        <w:t xml:space="preserve">rimera </w:t>
      </w:r>
      <w:r>
        <w:rPr>
          <w:rFonts w:asciiTheme="majorHAnsi" w:hAnsiTheme="majorHAnsi"/>
          <w:b/>
          <w:bCs/>
          <w:sz w:val="20"/>
          <w:szCs w:val="20"/>
          <w:lang w:val="es-PA"/>
        </w:rPr>
        <w:t>i</w:t>
      </w:r>
      <w:r w:rsidRPr="00A32EBB">
        <w:rPr>
          <w:rFonts w:asciiTheme="majorHAnsi" w:hAnsiTheme="majorHAnsi"/>
          <w:b/>
          <w:bCs/>
          <w:sz w:val="20"/>
          <w:szCs w:val="20"/>
          <w:lang w:val="es-PA"/>
        </w:rPr>
        <w:t>nstancia</w:t>
      </w:r>
    </w:p>
    <w:p w14:paraId="3C9C22B5" w14:textId="77777777" w:rsidR="00A32EBB" w:rsidRDefault="00A32EBB" w:rsidP="00A32E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p>
    <w:p w14:paraId="2194E8C7" w14:textId="63A4A11D"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Rubén Villalba (30 años de prisión y 5 años de medidas de seguridad)</w:t>
      </w:r>
    </w:p>
    <w:p w14:paraId="5B2BBE65" w14:textId="0E5607B1"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 xml:space="preserve">Luís Olmedo Paredes (20 años de prisión) </w:t>
      </w:r>
    </w:p>
    <w:p w14:paraId="424E5F2B" w14:textId="738A533D"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Arnaldo Quintana Paredes (18 años de prisión)</w:t>
      </w:r>
    </w:p>
    <w:p w14:paraId="49643E6F" w14:textId="0AD7A874"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 xml:space="preserve">Néstor Castro Benítez (18 años de prisión) </w:t>
      </w:r>
    </w:p>
    <w:p w14:paraId="39443013" w14:textId="7EA5EB64"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Lucía Agüero Romero (6 años de prisión)</w:t>
      </w:r>
    </w:p>
    <w:p w14:paraId="7DB8A7ED" w14:textId="37B03892"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María Fani Olmedo Paredes (6 años de prisión)</w:t>
      </w:r>
    </w:p>
    <w:p w14:paraId="3FF819CB" w14:textId="12A5957F"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Dolores López Peralta (6 años de prisión)</w:t>
      </w:r>
    </w:p>
    <w:p w14:paraId="1E474A08" w14:textId="4B209037"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Felipe Benítez Balmori (4 años de prisión)</w:t>
      </w:r>
    </w:p>
    <w:p w14:paraId="11342894" w14:textId="5ED5C738"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Adalberto Castro Benítez (4 años de prisión)</w:t>
      </w:r>
    </w:p>
    <w:p w14:paraId="5F1BBAEC" w14:textId="1C0F6D32"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Juan Carlos Tillería Cáceres (4 años de prisión)</w:t>
      </w:r>
    </w:p>
    <w:p w14:paraId="4F8E42FA" w14:textId="034D8A61" w:rsidR="00A32EBB" w:rsidRPr="00A32EBB" w:rsidRDefault="00A32EBB" w:rsidP="00A32EB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Alcides Ramón Ramírez Paniagua (4 años de prisión)</w:t>
      </w:r>
    </w:p>
    <w:p w14:paraId="3367DCA6" w14:textId="4EF2DBBC" w:rsidR="00A32EBB" w:rsidRDefault="00A32EBB" w:rsidP="00A32E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PA"/>
        </w:rPr>
      </w:pPr>
    </w:p>
    <w:p w14:paraId="55E49609" w14:textId="77777777" w:rsidR="004F42D9" w:rsidRDefault="004F42D9" w:rsidP="00A32E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PA"/>
        </w:rPr>
      </w:pPr>
    </w:p>
    <w:p w14:paraId="67AAEF13" w14:textId="6ED7E233" w:rsidR="00A32EBB" w:rsidRDefault="00A32EBB" w:rsidP="004F42D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b/>
          <w:bCs/>
          <w:sz w:val="20"/>
          <w:szCs w:val="20"/>
          <w:lang w:val="es-PA"/>
        </w:rPr>
      </w:pPr>
      <w:r w:rsidRPr="00A32EBB">
        <w:rPr>
          <w:rFonts w:asciiTheme="majorHAnsi" w:hAnsiTheme="majorHAnsi"/>
          <w:b/>
          <w:bCs/>
          <w:sz w:val="20"/>
          <w:szCs w:val="20"/>
          <w:lang w:val="es-PA"/>
        </w:rPr>
        <w:t xml:space="preserve">B. </w:t>
      </w:r>
      <w:r>
        <w:rPr>
          <w:rFonts w:asciiTheme="majorHAnsi" w:hAnsiTheme="majorHAnsi"/>
          <w:b/>
          <w:bCs/>
          <w:sz w:val="20"/>
          <w:szCs w:val="20"/>
          <w:lang w:val="es-PA"/>
        </w:rPr>
        <w:tab/>
      </w:r>
      <w:r w:rsidRPr="00A32EBB">
        <w:rPr>
          <w:rFonts w:asciiTheme="majorHAnsi" w:hAnsiTheme="majorHAnsi"/>
          <w:b/>
          <w:bCs/>
          <w:sz w:val="20"/>
          <w:szCs w:val="20"/>
          <w:lang w:val="es-PA"/>
        </w:rPr>
        <w:t xml:space="preserve">Personas </w:t>
      </w:r>
      <w:r>
        <w:rPr>
          <w:rFonts w:asciiTheme="majorHAnsi" w:hAnsiTheme="majorHAnsi"/>
          <w:b/>
          <w:bCs/>
          <w:sz w:val="20"/>
          <w:szCs w:val="20"/>
          <w:lang w:val="es-PA"/>
        </w:rPr>
        <w:t>f</w:t>
      </w:r>
      <w:r w:rsidRPr="00A32EBB">
        <w:rPr>
          <w:rFonts w:asciiTheme="majorHAnsi" w:hAnsiTheme="majorHAnsi"/>
          <w:b/>
          <w:bCs/>
          <w:sz w:val="20"/>
          <w:szCs w:val="20"/>
          <w:lang w:val="es-PA"/>
        </w:rPr>
        <w:t xml:space="preserve">allecidas </w:t>
      </w:r>
      <w:r>
        <w:rPr>
          <w:rFonts w:asciiTheme="majorHAnsi" w:hAnsiTheme="majorHAnsi"/>
          <w:b/>
          <w:bCs/>
          <w:sz w:val="20"/>
          <w:szCs w:val="20"/>
          <w:lang w:val="es-PA"/>
        </w:rPr>
        <w:t>d</w:t>
      </w:r>
      <w:r w:rsidRPr="00A32EBB">
        <w:rPr>
          <w:rFonts w:asciiTheme="majorHAnsi" w:hAnsiTheme="majorHAnsi"/>
          <w:b/>
          <w:bCs/>
          <w:sz w:val="20"/>
          <w:szCs w:val="20"/>
          <w:lang w:val="es-PA"/>
        </w:rPr>
        <w:t xml:space="preserve">urante los </w:t>
      </w:r>
      <w:r>
        <w:rPr>
          <w:rFonts w:asciiTheme="majorHAnsi" w:hAnsiTheme="majorHAnsi"/>
          <w:b/>
          <w:bCs/>
          <w:sz w:val="20"/>
          <w:szCs w:val="20"/>
          <w:lang w:val="es-PA"/>
        </w:rPr>
        <w:t>e</w:t>
      </w:r>
      <w:r w:rsidRPr="00A32EBB">
        <w:rPr>
          <w:rFonts w:asciiTheme="majorHAnsi" w:hAnsiTheme="majorHAnsi"/>
          <w:b/>
          <w:bCs/>
          <w:sz w:val="20"/>
          <w:szCs w:val="20"/>
          <w:lang w:val="es-PA"/>
        </w:rPr>
        <w:t xml:space="preserve">ventos del 15 de </w:t>
      </w:r>
      <w:r>
        <w:rPr>
          <w:rFonts w:asciiTheme="majorHAnsi" w:hAnsiTheme="majorHAnsi"/>
          <w:b/>
          <w:bCs/>
          <w:sz w:val="20"/>
          <w:szCs w:val="20"/>
          <w:lang w:val="es-PA"/>
        </w:rPr>
        <w:t>j</w:t>
      </w:r>
      <w:r w:rsidRPr="00A32EBB">
        <w:rPr>
          <w:rFonts w:asciiTheme="majorHAnsi" w:hAnsiTheme="majorHAnsi"/>
          <w:b/>
          <w:bCs/>
          <w:sz w:val="20"/>
          <w:szCs w:val="20"/>
          <w:lang w:val="es-PA"/>
        </w:rPr>
        <w:t>unio de 2012</w:t>
      </w:r>
      <w:r w:rsidR="004F42D9">
        <w:rPr>
          <w:rFonts w:asciiTheme="majorHAnsi" w:hAnsiTheme="majorHAnsi"/>
          <w:b/>
          <w:bCs/>
          <w:sz w:val="20"/>
          <w:szCs w:val="20"/>
          <w:lang w:val="es-PA"/>
        </w:rPr>
        <w:t xml:space="preserve"> </w:t>
      </w:r>
      <w:r>
        <w:rPr>
          <w:rFonts w:asciiTheme="majorHAnsi" w:hAnsiTheme="majorHAnsi"/>
          <w:b/>
          <w:bCs/>
          <w:sz w:val="20"/>
          <w:szCs w:val="20"/>
          <w:lang w:val="es-PA"/>
        </w:rPr>
        <w:t>s</w:t>
      </w:r>
      <w:r w:rsidRPr="00A32EBB">
        <w:rPr>
          <w:rFonts w:asciiTheme="majorHAnsi" w:hAnsiTheme="majorHAnsi"/>
          <w:b/>
          <w:bCs/>
          <w:sz w:val="20"/>
          <w:szCs w:val="20"/>
          <w:lang w:val="es-PA"/>
        </w:rPr>
        <w:t xml:space="preserve">egún </w:t>
      </w:r>
      <w:r>
        <w:rPr>
          <w:rFonts w:asciiTheme="majorHAnsi" w:hAnsiTheme="majorHAnsi"/>
          <w:b/>
          <w:bCs/>
          <w:sz w:val="20"/>
          <w:szCs w:val="20"/>
          <w:lang w:val="es-PA"/>
        </w:rPr>
        <w:t xml:space="preserve">el </w:t>
      </w:r>
      <w:hyperlink r:id="rId19" w:history="1">
        <w:r w:rsidRPr="0078365F">
          <w:rPr>
            <w:rStyle w:val="Hyperlink"/>
            <w:rFonts w:asciiTheme="majorHAnsi" w:hAnsiTheme="majorHAnsi"/>
            <w:b/>
            <w:bCs/>
            <w:color w:val="0000FF"/>
            <w:sz w:val="20"/>
            <w:szCs w:val="20"/>
            <w:lang w:val="es-PA"/>
          </w:rPr>
          <w:t>informe de CODEHUPY</w:t>
        </w:r>
      </w:hyperlink>
      <w:r w:rsidRPr="00A32EBB">
        <w:rPr>
          <w:rFonts w:asciiTheme="majorHAnsi" w:hAnsiTheme="majorHAnsi"/>
          <w:b/>
          <w:bCs/>
          <w:sz w:val="20"/>
          <w:szCs w:val="20"/>
          <w:lang w:val="es-PA"/>
        </w:rPr>
        <w:t xml:space="preserve"> trasladado al Estado el 10 de marzo de 2017 </w:t>
      </w:r>
    </w:p>
    <w:p w14:paraId="08115980" w14:textId="77777777" w:rsidR="00A32EBB" w:rsidRDefault="00A32EBB" w:rsidP="00A32E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PA"/>
        </w:rPr>
      </w:pPr>
    </w:p>
    <w:p w14:paraId="52857C16"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asciiTheme="majorHAnsi" w:hAnsiTheme="majorHAnsi"/>
          <w:sz w:val="20"/>
          <w:szCs w:val="20"/>
          <w:lang w:val="es-PA"/>
        </w:rPr>
      </w:pPr>
      <w:r w:rsidRPr="00A32EBB">
        <w:rPr>
          <w:rFonts w:asciiTheme="majorHAnsi" w:hAnsiTheme="majorHAnsi"/>
          <w:sz w:val="20"/>
          <w:szCs w:val="20"/>
          <w:lang w:val="es-PA"/>
        </w:rPr>
        <w:t>Luis Paredes</w:t>
      </w:r>
    </w:p>
    <w:p w14:paraId="01D3B9BC"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Luciano Ortega</w:t>
      </w:r>
    </w:p>
    <w:p w14:paraId="3C9E4083"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Fermín Paredes</w:t>
      </w:r>
    </w:p>
    <w:p w14:paraId="2AF403B0"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Adolfo Castro</w:t>
      </w:r>
    </w:p>
    <w:p w14:paraId="33452E00" w14:textId="6FDC287F"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 xml:space="preserve">Avelino Espínola </w:t>
      </w:r>
      <w:r w:rsidR="004F42D9">
        <w:rPr>
          <w:rFonts w:asciiTheme="majorHAnsi" w:hAnsiTheme="majorHAnsi"/>
          <w:sz w:val="20"/>
          <w:szCs w:val="20"/>
          <w:lang w:val="es-PA"/>
        </w:rPr>
        <w:t>(“</w:t>
      </w:r>
      <w:r w:rsidRPr="00A32EBB">
        <w:rPr>
          <w:rFonts w:asciiTheme="majorHAnsi" w:hAnsiTheme="majorHAnsi"/>
          <w:sz w:val="20"/>
          <w:szCs w:val="20"/>
          <w:lang w:val="es-PA"/>
        </w:rPr>
        <w:t>Pindú</w:t>
      </w:r>
      <w:r w:rsidR="004F42D9">
        <w:rPr>
          <w:rFonts w:asciiTheme="majorHAnsi" w:hAnsiTheme="majorHAnsi"/>
          <w:sz w:val="20"/>
          <w:szCs w:val="20"/>
          <w:lang w:val="es-PA"/>
        </w:rPr>
        <w:t>”)</w:t>
      </w:r>
    </w:p>
    <w:p w14:paraId="2F735038"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Arnaldo Ruiz Díaz</w:t>
      </w:r>
    </w:p>
    <w:p w14:paraId="0B531B38"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Ricardo Frutos Jara</w:t>
      </w:r>
    </w:p>
    <w:p w14:paraId="796E80F0"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Delfín Duarte</w:t>
      </w:r>
    </w:p>
    <w:p w14:paraId="7A042969"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Francisco Ayala</w:t>
      </w:r>
    </w:p>
    <w:p w14:paraId="7F0C09BA" w14:textId="77777777" w:rsid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De los Santos Agüero</w:t>
      </w:r>
    </w:p>
    <w:p w14:paraId="29581B86" w14:textId="2F4F7C2E" w:rsidR="00A32EBB" w:rsidRPr="00A32EBB" w:rsidRDefault="00A32EBB" w:rsidP="00717B5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hAnsiTheme="majorHAnsi"/>
          <w:sz w:val="20"/>
          <w:szCs w:val="20"/>
          <w:lang w:val="es-PA"/>
        </w:rPr>
      </w:pPr>
      <w:r w:rsidRPr="00A32EBB">
        <w:rPr>
          <w:rFonts w:asciiTheme="majorHAnsi" w:hAnsiTheme="majorHAnsi"/>
          <w:sz w:val="20"/>
          <w:szCs w:val="20"/>
          <w:lang w:val="es-PA"/>
        </w:rPr>
        <w:t>Andrés Riveros</w:t>
      </w:r>
    </w:p>
    <w:sectPr w:rsidR="00A32EBB" w:rsidRPr="00A32EB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F4A3" w14:textId="77777777" w:rsidR="00C840E0" w:rsidRDefault="00C840E0">
      <w:r>
        <w:separator/>
      </w:r>
    </w:p>
  </w:endnote>
  <w:endnote w:type="continuationSeparator" w:id="0">
    <w:p w14:paraId="1FE23546" w14:textId="77777777" w:rsidR="00C840E0" w:rsidRDefault="00C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F99A" w14:textId="77777777" w:rsidR="00C840E0" w:rsidRPr="000F35ED" w:rsidRDefault="00C840E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521580" w14:textId="77777777" w:rsidR="00C840E0" w:rsidRPr="000F35ED" w:rsidRDefault="00C840E0" w:rsidP="000F35ED">
      <w:pPr>
        <w:rPr>
          <w:rFonts w:asciiTheme="majorHAnsi" w:hAnsiTheme="majorHAnsi"/>
          <w:sz w:val="16"/>
          <w:szCs w:val="16"/>
        </w:rPr>
      </w:pPr>
      <w:r w:rsidRPr="000F35ED">
        <w:rPr>
          <w:rFonts w:asciiTheme="majorHAnsi" w:hAnsiTheme="majorHAnsi"/>
          <w:sz w:val="16"/>
          <w:szCs w:val="16"/>
        </w:rPr>
        <w:separator/>
      </w:r>
    </w:p>
    <w:p w14:paraId="7A0F97E1" w14:textId="77777777" w:rsidR="00C840E0" w:rsidRPr="000F35ED" w:rsidRDefault="00C840E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8F85CBB" w14:textId="77777777" w:rsidR="00C840E0" w:rsidRPr="000F35ED" w:rsidRDefault="00C840E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72BEEB" w14:textId="4492EF78" w:rsidR="00F576FD" w:rsidRPr="00BC4C33" w:rsidRDefault="00F576FD"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w:t>
      </w:r>
      <w:r w:rsidR="00A32EBB">
        <w:rPr>
          <w:rFonts w:asciiTheme="majorHAnsi" w:hAnsiTheme="majorHAnsi"/>
          <w:color w:val="auto"/>
          <w:sz w:val="16"/>
          <w:szCs w:val="16"/>
          <w:lang w:val="es-PA"/>
        </w:rPr>
        <w:t>Ver anexo.</w:t>
      </w:r>
    </w:p>
  </w:footnote>
  <w:footnote w:id="3">
    <w:p w14:paraId="479652BE" w14:textId="365E9877" w:rsidR="00CC395D" w:rsidRPr="00BC4C33" w:rsidRDefault="00CC395D"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En adelante “la Convención Americana”.</w:t>
      </w:r>
    </w:p>
  </w:footnote>
  <w:footnote w:id="4">
    <w:p w14:paraId="79F07139" w14:textId="2DC78759" w:rsidR="008E3BFE" w:rsidRPr="00BC4C33" w:rsidRDefault="008E3BFE" w:rsidP="003F0FAD">
      <w:pPr>
        <w:pStyle w:val="FootnoteText"/>
        <w:ind w:firstLine="720"/>
        <w:jc w:val="both"/>
        <w:rPr>
          <w:rFonts w:asciiTheme="majorHAnsi" w:hAnsiTheme="majorHAnsi"/>
          <w:color w:val="auto"/>
          <w:sz w:val="16"/>
          <w:szCs w:val="16"/>
          <w:lang w:val="es-ES"/>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ES"/>
        </w:rPr>
        <w:t xml:space="preserve"> Las observaciones de cada parte fueron debidamente trasladadas a la parte contraria.</w:t>
      </w:r>
      <w:r w:rsidR="00EF70B7" w:rsidRPr="00BC4C33">
        <w:rPr>
          <w:rFonts w:asciiTheme="majorHAnsi" w:hAnsiTheme="majorHAnsi"/>
          <w:color w:val="auto"/>
          <w:sz w:val="16"/>
          <w:szCs w:val="16"/>
          <w:lang w:val="es-ES"/>
        </w:rPr>
        <w:t xml:space="preserve"> </w:t>
      </w:r>
    </w:p>
  </w:footnote>
  <w:footnote w:id="5">
    <w:p w14:paraId="0639ACB4" w14:textId="63A40B0C" w:rsidR="004E7074" w:rsidRPr="00BC4C33" w:rsidRDefault="004E7074"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w:t>
      </w:r>
      <w:r w:rsidR="00683985" w:rsidRPr="00BC4C33">
        <w:rPr>
          <w:rFonts w:asciiTheme="majorHAnsi" w:hAnsiTheme="majorHAnsi"/>
          <w:color w:val="auto"/>
          <w:sz w:val="16"/>
          <w:szCs w:val="16"/>
          <w:lang w:val="es-PA"/>
        </w:rPr>
        <w:t>Rubén</w:t>
      </w:r>
      <w:r w:rsidRPr="00BC4C33">
        <w:rPr>
          <w:rFonts w:asciiTheme="majorHAnsi" w:hAnsiTheme="majorHAnsi"/>
          <w:color w:val="auto"/>
          <w:sz w:val="16"/>
          <w:szCs w:val="16"/>
          <w:lang w:val="es-PA"/>
        </w:rPr>
        <w:t xml:space="preserve"> </w:t>
      </w:r>
      <w:r w:rsidR="00A52704" w:rsidRPr="00BC4C33">
        <w:rPr>
          <w:rFonts w:asciiTheme="majorHAnsi" w:hAnsiTheme="majorHAnsi"/>
          <w:color w:val="auto"/>
          <w:sz w:val="16"/>
          <w:szCs w:val="16"/>
          <w:lang w:val="es-PA"/>
        </w:rPr>
        <w:t>Villalba</w:t>
      </w:r>
      <w:r w:rsidRPr="00BC4C33">
        <w:rPr>
          <w:rFonts w:asciiTheme="majorHAnsi" w:hAnsiTheme="majorHAnsi"/>
          <w:color w:val="auto"/>
          <w:sz w:val="16"/>
          <w:szCs w:val="16"/>
          <w:lang w:val="es-PA"/>
        </w:rPr>
        <w:t xml:space="preserve"> y Luis Olmedo</w:t>
      </w:r>
      <w:r w:rsidR="00A52704">
        <w:rPr>
          <w:rFonts w:asciiTheme="majorHAnsi" w:hAnsiTheme="majorHAnsi"/>
          <w:color w:val="auto"/>
          <w:sz w:val="16"/>
          <w:szCs w:val="16"/>
          <w:lang w:val="es-PA"/>
        </w:rPr>
        <w:t>.</w:t>
      </w:r>
    </w:p>
  </w:footnote>
  <w:footnote w:id="6">
    <w:p w14:paraId="25A97B4A" w14:textId="13B7D1CC" w:rsidR="00FF373E" w:rsidRPr="00BC4C33" w:rsidRDefault="00FF373E"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Los detalles de la condena impuesta en primera instancia a cada presunta víctima se detallan en el anexo. </w:t>
      </w:r>
    </w:p>
  </w:footnote>
  <w:footnote w:id="7">
    <w:p w14:paraId="6B172743" w14:textId="16506582" w:rsidR="008A3960" w:rsidRPr="00BC4C33" w:rsidRDefault="008A3960"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Rubén Villalba, Luis Olmedo, Néstor Castro y Arnaldo Quintana. </w:t>
      </w:r>
    </w:p>
  </w:footnote>
  <w:footnote w:id="8">
    <w:p w14:paraId="6DE5831E" w14:textId="35B99031" w:rsidR="004437A9" w:rsidRPr="00BC4C33" w:rsidRDefault="004437A9"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Luis Paredes y De Los Santos Agüero. </w:t>
      </w:r>
    </w:p>
  </w:footnote>
  <w:footnote w:id="9">
    <w:p w14:paraId="29A56B3B" w14:textId="1233EF76" w:rsidR="0032128C" w:rsidRPr="00BC4C33" w:rsidRDefault="0032128C"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Rubén Villalba, Luis Olmedo Paredes, Arnaldo Quintana Paredes y Néstor Castro Benítez</w:t>
      </w:r>
      <w:r w:rsidR="007E4CBC">
        <w:rPr>
          <w:rFonts w:asciiTheme="majorHAnsi" w:hAnsiTheme="majorHAnsi"/>
          <w:color w:val="auto"/>
          <w:sz w:val="16"/>
          <w:szCs w:val="16"/>
          <w:lang w:val="es-PA"/>
        </w:rPr>
        <w:t>.</w:t>
      </w:r>
      <w:r w:rsidRPr="00BC4C33">
        <w:rPr>
          <w:rFonts w:asciiTheme="majorHAnsi" w:hAnsiTheme="majorHAnsi"/>
          <w:color w:val="auto"/>
          <w:sz w:val="16"/>
          <w:szCs w:val="16"/>
          <w:lang w:val="es-PA"/>
        </w:rPr>
        <w:t xml:space="preserve"> </w:t>
      </w:r>
    </w:p>
  </w:footnote>
  <w:footnote w:id="10">
    <w:p w14:paraId="02E99896" w14:textId="4D07B9C2" w:rsidR="00904C26" w:rsidRPr="00BC4C33" w:rsidRDefault="00904C26" w:rsidP="003F0FAD">
      <w:pPr>
        <w:pStyle w:val="FootnoteText"/>
        <w:ind w:firstLine="720"/>
        <w:jc w:val="both"/>
        <w:rPr>
          <w:rFonts w:asciiTheme="majorHAnsi" w:hAnsiTheme="majorHAnsi"/>
          <w:color w:val="auto"/>
          <w:sz w:val="16"/>
          <w:szCs w:val="16"/>
          <w:lang w:val="es-PA"/>
        </w:rPr>
      </w:pP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PA"/>
        </w:rPr>
        <w:t xml:space="preserve"> CIDH, Informe No. 292/20. Petición 835-11. Admisibilidad. María de la Paz Rentería Sánchez. </w:t>
      </w:r>
      <w:r w:rsidRPr="00BC4C33">
        <w:rPr>
          <w:rFonts w:asciiTheme="majorHAnsi" w:hAnsiTheme="majorHAnsi"/>
          <w:color w:val="auto"/>
          <w:sz w:val="16"/>
          <w:szCs w:val="16"/>
          <w:lang w:val="es-US"/>
        </w:rPr>
        <w:t>México. 11 de octubre de 2020.</w:t>
      </w:r>
    </w:p>
  </w:footnote>
  <w:footnote w:id="11">
    <w:p w14:paraId="3DA7C3A9" w14:textId="77777777" w:rsidR="001B0407" w:rsidRPr="00BC4C33" w:rsidRDefault="001B0407" w:rsidP="003F0FAD">
      <w:pPr>
        <w:pStyle w:val="FootnoteText"/>
        <w:jc w:val="both"/>
        <w:rPr>
          <w:rFonts w:asciiTheme="majorHAnsi" w:hAnsiTheme="majorHAnsi"/>
          <w:color w:val="auto"/>
          <w:sz w:val="16"/>
          <w:szCs w:val="16"/>
          <w:lang w:val="es-ES"/>
        </w:rPr>
      </w:pPr>
      <w:r w:rsidRPr="00BC4C33">
        <w:rPr>
          <w:rFonts w:asciiTheme="majorHAnsi" w:hAnsiTheme="majorHAnsi"/>
          <w:color w:val="auto"/>
          <w:sz w:val="16"/>
          <w:szCs w:val="16"/>
          <w:lang w:val="es-ES"/>
        </w:rPr>
        <w:tab/>
      </w: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ES"/>
        </w:rPr>
        <w:t xml:space="preserve"> CIDH, Informe No. 49/18, Petición 1542-07. Admisibilidad. Juan Espinosa Romero. Ecuador. 5 de mayo de 2018, párr. 13.</w:t>
      </w:r>
    </w:p>
  </w:footnote>
  <w:footnote w:id="12">
    <w:p w14:paraId="37FEAAFB" w14:textId="77777777" w:rsidR="005F0184" w:rsidRPr="00BC4C33" w:rsidRDefault="005F0184" w:rsidP="003F0FAD">
      <w:pPr>
        <w:pStyle w:val="FootnoteText"/>
        <w:jc w:val="both"/>
        <w:rPr>
          <w:rFonts w:asciiTheme="majorHAnsi" w:hAnsiTheme="majorHAnsi"/>
          <w:color w:val="auto"/>
          <w:sz w:val="16"/>
          <w:szCs w:val="16"/>
          <w:lang w:val="es-ES_tradnl"/>
        </w:rPr>
      </w:pPr>
      <w:r w:rsidRPr="00BC4C33">
        <w:rPr>
          <w:rFonts w:asciiTheme="majorHAnsi" w:hAnsiTheme="majorHAnsi"/>
          <w:color w:val="auto"/>
          <w:sz w:val="16"/>
          <w:szCs w:val="16"/>
          <w:lang w:val="es-ES"/>
        </w:rPr>
        <w:tab/>
      </w:r>
      <w:r w:rsidRPr="00BC4C33">
        <w:rPr>
          <w:rStyle w:val="FootnoteReference"/>
          <w:rFonts w:asciiTheme="majorHAnsi" w:hAnsiTheme="majorHAnsi"/>
          <w:color w:val="auto"/>
          <w:sz w:val="16"/>
          <w:szCs w:val="16"/>
        </w:rPr>
        <w:footnoteRef/>
      </w:r>
      <w:r w:rsidRPr="00BC4C33">
        <w:rPr>
          <w:rFonts w:asciiTheme="majorHAnsi" w:hAnsiTheme="majorHAnsi"/>
          <w:color w:val="auto"/>
          <w:sz w:val="16"/>
          <w:szCs w:val="16"/>
          <w:lang w:val="es-ES"/>
        </w:rPr>
        <w:t xml:space="preserve"> CIDH, Informe No. 71/17, Petición 271-07. Admisibilidad. Jorge Luis de la Rosa Mejía y otros. Colombia. 29 de junio de 2017, párr.</w:t>
      </w:r>
      <w:r w:rsidRPr="00BC4C33">
        <w:rPr>
          <w:rFonts w:asciiTheme="majorHAnsi" w:hAnsiTheme="majorHAnsi"/>
          <w:color w:val="auto"/>
          <w:sz w:val="16"/>
          <w:szCs w:val="16"/>
          <w:lang w:val="es-ES_tradnl"/>
        </w:rPr>
        <w:t xml:space="preserve">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840E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CE12249"/>
    <w:multiLevelType w:val="hybridMultilevel"/>
    <w:tmpl w:val="39EEE1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76537D"/>
    <w:multiLevelType w:val="hybridMultilevel"/>
    <w:tmpl w:val="732A7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675F7"/>
    <w:multiLevelType w:val="hybridMultilevel"/>
    <w:tmpl w:val="C0DC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BA3AD7"/>
    <w:multiLevelType w:val="hybridMultilevel"/>
    <w:tmpl w:val="31167224"/>
    <w:lvl w:ilvl="0" w:tplc="DC0A2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DC56909"/>
    <w:multiLevelType w:val="hybridMultilevel"/>
    <w:tmpl w:val="2012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3"/>
  </w:num>
  <w:num w:numId="5">
    <w:abstractNumId w:val="52"/>
  </w:num>
  <w:num w:numId="6">
    <w:abstractNumId w:val="31"/>
  </w:num>
  <w:num w:numId="7">
    <w:abstractNumId w:val="7"/>
  </w:num>
  <w:num w:numId="8">
    <w:abstractNumId w:val="18"/>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30"/>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0"/>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4"/>
  </w:num>
  <w:num w:numId="51">
    <w:abstractNumId w:val="22"/>
  </w:num>
  <w:num w:numId="52">
    <w:abstractNumId w:val="45"/>
  </w:num>
  <w:num w:numId="53">
    <w:abstractNumId w:val="55"/>
  </w:num>
  <w:num w:numId="54">
    <w:abstractNumId w:val="49"/>
  </w:num>
  <w:num w:numId="55">
    <w:abstractNumId w:val="5"/>
  </w:num>
  <w:num w:numId="56">
    <w:abstractNumId w:val="47"/>
  </w:num>
  <w:num w:numId="57">
    <w:abstractNumId w:val="63"/>
  </w:num>
  <w:num w:numId="58">
    <w:abstractNumId w:val="21"/>
  </w:num>
  <w:num w:numId="59">
    <w:abstractNumId w:val="3"/>
  </w:num>
  <w:num w:numId="60">
    <w:abstractNumId w:val="51"/>
  </w:num>
  <w:num w:numId="61">
    <w:abstractNumId w:val="9"/>
  </w:num>
  <w:num w:numId="62">
    <w:abstractNumId w:val="28"/>
  </w:num>
  <w:num w:numId="63">
    <w:abstractNumId w:val="27"/>
  </w:num>
  <w:num w:numId="64">
    <w:abstractNumId w:val="33"/>
  </w:num>
  <w:num w:numId="65">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710"/>
    <w:rsid w:val="00006B74"/>
    <w:rsid w:val="00006E1F"/>
    <w:rsid w:val="000070D7"/>
    <w:rsid w:val="000104F5"/>
    <w:rsid w:val="00012432"/>
    <w:rsid w:val="00015701"/>
    <w:rsid w:val="0001788C"/>
    <w:rsid w:val="0002186F"/>
    <w:rsid w:val="0002733D"/>
    <w:rsid w:val="000337EF"/>
    <w:rsid w:val="00040C3A"/>
    <w:rsid w:val="000419AD"/>
    <w:rsid w:val="00057459"/>
    <w:rsid w:val="00063267"/>
    <w:rsid w:val="00070B26"/>
    <w:rsid w:val="000716C5"/>
    <w:rsid w:val="000736C4"/>
    <w:rsid w:val="00075E23"/>
    <w:rsid w:val="0009006E"/>
    <w:rsid w:val="0009344A"/>
    <w:rsid w:val="000A19F8"/>
    <w:rsid w:val="000A3254"/>
    <w:rsid w:val="000A392E"/>
    <w:rsid w:val="000A575F"/>
    <w:rsid w:val="000A63D0"/>
    <w:rsid w:val="000A6634"/>
    <w:rsid w:val="000B0579"/>
    <w:rsid w:val="000C1C69"/>
    <w:rsid w:val="000C264F"/>
    <w:rsid w:val="000C3A31"/>
    <w:rsid w:val="000D10DB"/>
    <w:rsid w:val="000E060F"/>
    <w:rsid w:val="000E2789"/>
    <w:rsid w:val="000E40A8"/>
    <w:rsid w:val="000E5EB5"/>
    <w:rsid w:val="000F35ED"/>
    <w:rsid w:val="00107131"/>
    <w:rsid w:val="0010736F"/>
    <w:rsid w:val="00107937"/>
    <w:rsid w:val="00111A8A"/>
    <w:rsid w:val="00113F73"/>
    <w:rsid w:val="0011606F"/>
    <w:rsid w:val="001169B9"/>
    <w:rsid w:val="00121CC2"/>
    <w:rsid w:val="00131D8B"/>
    <w:rsid w:val="00133EE5"/>
    <w:rsid w:val="001342BD"/>
    <w:rsid w:val="00135357"/>
    <w:rsid w:val="00136E3D"/>
    <w:rsid w:val="00143EFE"/>
    <w:rsid w:val="001463B9"/>
    <w:rsid w:val="001479C0"/>
    <w:rsid w:val="0015330B"/>
    <w:rsid w:val="00156563"/>
    <w:rsid w:val="001666FC"/>
    <w:rsid w:val="00167A34"/>
    <w:rsid w:val="00175538"/>
    <w:rsid w:val="00176BB3"/>
    <w:rsid w:val="00177EEF"/>
    <w:rsid w:val="00191749"/>
    <w:rsid w:val="00197952"/>
    <w:rsid w:val="001A7870"/>
    <w:rsid w:val="001B0407"/>
    <w:rsid w:val="001B3A00"/>
    <w:rsid w:val="001B4C00"/>
    <w:rsid w:val="001B7A5C"/>
    <w:rsid w:val="001C1B41"/>
    <w:rsid w:val="001D5DCE"/>
    <w:rsid w:val="001D65EF"/>
    <w:rsid w:val="001E3CBA"/>
    <w:rsid w:val="001E49E7"/>
    <w:rsid w:val="001E5ACC"/>
    <w:rsid w:val="001F1FA3"/>
    <w:rsid w:val="001F271B"/>
    <w:rsid w:val="001F2DF1"/>
    <w:rsid w:val="001F34C3"/>
    <w:rsid w:val="001F7201"/>
    <w:rsid w:val="00204931"/>
    <w:rsid w:val="00214EB2"/>
    <w:rsid w:val="00223A29"/>
    <w:rsid w:val="00223DB4"/>
    <w:rsid w:val="002250A3"/>
    <w:rsid w:val="00231294"/>
    <w:rsid w:val="00235217"/>
    <w:rsid w:val="002355A9"/>
    <w:rsid w:val="00240BD5"/>
    <w:rsid w:val="00246D1F"/>
    <w:rsid w:val="00247403"/>
    <w:rsid w:val="00247542"/>
    <w:rsid w:val="00253195"/>
    <w:rsid w:val="0026482F"/>
    <w:rsid w:val="00266B61"/>
    <w:rsid w:val="0026712A"/>
    <w:rsid w:val="002704DB"/>
    <w:rsid w:val="00270E2D"/>
    <w:rsid w:val="00277BDA"/>
    <w:rsid w:val="0029575A"/>
    <w:rsid w:val="002A0AAE"/>
    <w:rsid w:val="002A5820"/>
    <w:rsid w:val="002A6787"/>
    <w:rsid w:val="002B6FFB"/>
    <w:rsid w:val="002C3350"/>
    <w:rsid w:val="002C51B0"/>
    <w:rsid w:val="002C551D"/>
    <w:rsid w:val="002D148F"/>
    <w:rsid w:val="002D2B26"/>
    <w:rsid w:val="002D4E91"/>
    <w:rsid w:val="002D5BCF"/>
    <w:rsid w:val="002D7EA2"/>
    <w:rsid w:val="002E187C"/>
    <w:rsid w:val="002E7512"/>
    <w:rsid w:val="002F0EDC"/>
    <w:rsid w:val="002F27B6"/>
    <w:rsid w:val="002F3724"/>
    <w:rsid w:val="00300343"/>
    <w:rsid w:val="00302733"/>
    <w:rsid w:val="003121D5"/>
    <w:rsid w:val="00314078"/>
    <w:rsid w:val="0031535D"/>
    <w:rsid w:val="0032128C"/>
    <w:rsid w:val="003239B8"/>
    <w:rsid w:val="0033169F"/>
    <w:rsid w:val="0034224A"/>
    <w:rsid w:val="00342C57"/>
    <w:rsid w:val="00343438"/>
    <w:rsid w:val="00344977"/>
    <w:rsid w:val="00346C95"/>
    <w:rsid w:val="00351155"/>
    <w:rsid w:val="0035443B"/>
    <w:rsid w:val="00356185"/>
    <w:rsid w:val="00357AA9"/>
    <w:rsid w:val="00360380"/>
    <w:rsid w:val="0037519E"/>
    <w:rsid w:val="00386C6C"/>
    <w:rsid w:val="00386CF0"/>
    <w:rsid w:val="003942EC"/>
    <w:rsid w:val="003A6337"/>
    <w:rsid w:val="003B4FF6"/>
    <w:rsid w:val="003B70FB"/>
    <w:rsid w:val="003C38B3"/>
    <w:rsid w:val="003C6112"/>
    <w:rsid w:val="003C676B"/>
    <w:rsid w:val="003D0A55"/>
    <w:rsid w:val="003D0ADD"/>
    <w:rsid w:val="003D299E"/>
    <w:rsid w:val="003D3BC2"/>
    <w:rsid w:val="003E1CFF"/>
    <w:rsid w:val="003E614F"/>
    <w:rsid w:val="003E62F0"/>
    <w:rsid w:val="003E6619"/>
    <w:rsid w:val="003E6CA1"/>
    <w:rsid w:val="003F0FAD"/>
    <w:rsid w:val="003F3BA0"/>
    <w:rsid w:val="004065A8"/>
    <w:rsid w:val="004153F5"/>
    <w:rsid w:val="004165C2"/>
    <w:rsid w:val="0042745E"/>
    <w:rsid w:val="004304AD"/>
    <w:rsid w:val="00441ECB"/>
    <w:rsid w:val="004437A9"/>
    <w:rsid w:val="00445193"/>
    <w:rsid w:val="0044720B"/>
    <w:rsid w:val="00447CCF"/>
    <w:rsid w:val="004536E0"/>
    <w:rsid w:val="004565BA"/>
    <w:rsid w:val="00462C1B"/>
    <w:rsid w:val="004667C6"/>
    <w:rsid w:val="00467B7E"/>
    <w:rsid w:val="0047080D"/>
    <w:rsid w:val="00473BB4"/>
    <w:rsid w:val="00476211"/>
    <w:rsid w:val="00477592"/>
    <w:rsid w:val="00486F1C"/>
    <w:rsid w:val="0049419D"/>
    <w:rsid w:val="004A05E6"/>
    <w:rsid w:val="004A59CC"/>
    <w:rsid w:val="004A6A54"/>
    <w:rsid w:val="004C1302"/>
    <w:rsid w:val="004C20D2"/>
    <w:rsid w:val="004C2312"/>
    <w:rsid w:val="004C4B62"/>
    <w:rsid w:val="004C54C9"/>
    <w:rsid w:val="004C5B35"/>
    <w:rsid w:val="004C616A"/>
    <w:rsid w:val="004D4ABA"/>
    <w:rsid w:val="004D6025"/>
    <w:rsid w:val="004E19B1"/>
    <w:rsid w:val="004E2649"/>
    <w:rsid w:val="004E7074"/>
    <w:rsid w:val="004F42D9"/>
    <w:rsid w:val="00501399"/>
    <w:rsid w:val="00501652"/>
    <w:rsid w:val="0050633D"/>
    <w:rsid w:val="00506F44"/>
    <w:rsid w:val="00507BC4"/>
    <w:rsid w:val="005128E4"/>
    <w:rsid w:val="005133DB"/>
    <w:rsid w:val="00516466"/>
    <w:rsid w:val="00525560"/>
    <w:rsid w:val="005415E6"/>
    <w:rsid w:val="00544216"/>
    <w:rsid w:val="00544C49"/>
    <w:rsid w:val="00545D04"/>
    <w:rsid w:val="005516A1"/>
    <w:rsid w:val="0055234F"/>
    <w:rsid w:val="00557331"/>
    <w:rsid w:val="00563067"/>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4A7D"/>
    <w:rsid w:val="005D66AD"/>
    <w:rsid w:val="005E0B65"/>
    <w:rsid w:val="005E11B2"/>
    <w:rsid w:val="005F0184"/>
    <w:rsid w:val="005F0A4D"/>
    <w:rsid w:val="005F0DAD"/>
    <w:rsid w:val="005F0F33"/>
    <w:rsid w:val="005F2345"/>
    <w:rsid w:val="005F51F5"/>
    <w:rsid w:val="00600DEB"/>
    <w:rsid w:val="006068B7"/>
    <w:rsid w:val="00610BF4"/>
    <w:rsid w:val="006261F3"/>
    <w:rsid w:val="006277DE"/>
    <w:rsid w:val="00627C9F"/>
    <w:rsid w:val="006311E9"/>
    <w:rsid w:val="00631390"/>
    <w:rsid w:val="00632354"/>
    <w:rsid w:val="00633DFC"/>
    <w:rsid w:val="00642810"/>
    <w:rsid w:val="00647756"/>
    <w:rsid w:val="006509DA"/>
    <w:rsid w:val="00652333"/>
    <w:rsid w:val="00670466"/>
    <w:rsid w:val="00676319"/>
    <w:rsid w:val="006775AB"/>
    <w:rsid w:val="0068009E"/>
    <w:rsid w:val="006819E9"/>
    <w:rsid w:val="0068259A"/>
    <w:rsid w:val="00683985"/>
    <w:rsid w:val="006849C1"/>
    <w:rsid w:val="00686471"/>
    <w:rsid w:val="0068700F"/>
    <w:rsid w:val="0068794B"/>
    <w:rsid w:val="00691BBE"/>
    <w:rsid w:val="00692219"/>
    <w:rsid w:val="0069402E"/>
    <w:rsid w:val="006A0A72"/>
    <w:rsid w:val="006A17D2"/>
    <w:rsid w:val="006A2677"/>
    <w:rsid w:val="006A548D"/>
    <w:rsid w:val="006A73E6"/>
    <w:rsid w:val="006B2D5C"/>
    <w:rsid w:val="006B2EE8"/>
    <w:rsid w:val="006B4AC0"/>
    <w:rsid w:val="006C23C9"/>
    <w:rsid w:val="006C4EB1"/>
    <w:rsid w:val="006D5937"/>
    <w:rsid w:val="006E0166"/>
    <w:rsid w:val="006E5136"/>
    <w:rsid w:val="006E772A"/>
    <w:rsid w:val="006E7B34"/>
    <w:rsid w:val="006F1367"/>
    <w:rsid w:val="00701300"/>
    <w:rsid w:val="0070697F"/>
    <w:rsid w:val="00717B5B"/>
    <w:rsid w:val="0072199C"/>
    <w:rsid w:val="00722C9F"/>
    <w:rsid w:val="007253B8"/>
    <w:rsid w:val="00727B0E"/>
    <w:rsid w:val="0073598C"/>
    <w:rsid w:val="0073741F"/>
    <w:rsid w:val="00756485"/>
    <w:rsid w:val="0076643F"/>
    <w:rsid w:val="00772E5F"/>
    <w:rsid w:val="00777F63"/>
    <w:rsid w:val="0078365F"/>
    <w:rsid w:val="007852B5"/>
    <w:rsid w:val="00795CF5"/>
    <w:rsid w:val="00796A37"/>
    <w:rsid w:val="007A5817"/>
    <w:rsid w:val="007B05C4"/>
    <w:rsid w:val="007B3CC5"/>
    <w:rsid w:val="007B60E9"/>
    <w:rsid w:val="007B6CC3"/>
    <w:rsid w:val="007C3334"/>
    <w:rsid w:val="007C402A"/>
    <w:rsid w:val="007D2B98"/>
    <w:rsid w:val="007D7C02"/>
    <w:rsid w:val="007E21BC"/>
    <w:rsid w:val="007E4CBC"/>
    <w:rsid w:val="007E58FE"/>
    <w:rsid w:val="007E7C82"/>
    <w:rsid w:val="007F588D"/>
    <w:rsid w:val="00802748"/>
    <w:rsid w:val="00803F1C"/>
    <w:rsid w:val="0080600E"/>
    <w:rsid w:val="008168D8"/>
    <w:rsid w:val="00817612"/>
    <w:rsid w:val="00820843"/>
    <w:rsid w:val="008338A4"/>
    <w:rsid w:val="00834D49"/>
    <w:rsid w:val="00837C45"/>
    <w:rsid w:val="008411F0"/>
    <w:rsid w:val="008439BC"/>
    <w:rsid w:val="00844730"/>
    <w:rsid w:val="008457C2"/>
    <w:rsid w:val="00853BC6"/>
    <w:rsid w:val="00853E84"/>
    <w:rsid w:val="0085574A"/>
    <w:rsid w:val="00857A82"/>
    <w:rsid w:val="00860065"/>
    <w:rsid w:val="00867D72"/>
    <w:rsid w:val="00871526"/>
    <w:rsid w:val="00873836"/>
    <w:rsid w:val="00875668"/>
    <w:rsid w:val="008848DC"/>
    <w:rsid w:val="00885737"/>
    <w:rsid w:val="00886E59"/>
    <w:rsid w:val="00890650"/>
    <w:rsid w:val="00891559"/>
    <w:rsid w:val="00897E12"/>
    <w:rsid w:val="008A0F81"/>
    <w:rsid w:val="008A310C"/>
    <w:rsid w:val="008A3960"/>
    <w:rsid w:val="008A7E0F"/>
    <w:rsid w:val="008B12F5"/>
    <w:rsid w:val="008B536E"/>
    <w:rsid w:val="008B5932"/>
    <w:rsid w:val="008C5751"/>
    <w:rsid w:val="008D597E"/>
    <w:rsid w:val="008D768D"/>
    <w:rsid w:val="008E0FD8"/>
    <w:rsid w:val="008E328A"/>
    <w:rsid w:val="008E3759"/>
    <w:rsid w:val="008E3BFE"/>
    <w:rsid w:val="008E74F7"/>
    <w:rsid w:val="008E7900"/>
    <w:rsid w:val="008F1912"/>
    <w:rsid w:val="008F3148"/>
    <w:rsid w:val="0090270B"/>
    <w:rsid w:val="009041DC"/>
    <w:rsid w:val="00904C26"/>
    <w:rsid w:val="009152FE"/>
    <w:rsid w:val="00917B5A"/>
    <w:rsid w:val="00920A58"/>
    <w:rsid w:val="00920A8C"/>
    <w:rsid w:val="00934A2C"/>
    <w:rsid w:val="009354D3"/>
    <w:rsid w:val="00935F06"/>
    <w:rsid w:val="00937B3A"/>
    <w:rsid w:val="00944EBD"/>
    <w:rsid w:val="00954B82"/>
    <w:rsid w:val="00957000"/>
    <w:rsid w:val="00962436"/>
    <w:rsid w:val="00966771"/>
    <w:rsid w:val="0096706E"/>
    <w:rsid w:val="00974326"/>
    <w:rsid w:val="00974491"/>
    <w:rsid w:val="00975C4E"/>
    <w:rsid w:val="00981FBA"/>
    <w:rsid w:val="00997BC5"/>
    <w:rsid w:val="009A4F41"/>
    <w:rsid w:val="009B3443"/>
    <w:rsid w:val="009B381B"/>
    <w:rsid w:val="009C2FC5"/>
    <w:rsid w:val="009D1753"/>
    <w:rsid w:val="009D1AD1"/>
    <w:rsid w:val="009D6502"/>
    <w:rsid w:val="009D7611"/>
    <w:rsid w:val="009D78A5"/>
    <w:rsid w:val="009E08DD"/>
    <w:rsid w:val="009E0B61"/>
    <w:rsid w:val="009E53DE"/>
    <w:rsid w:val="009E7C00"/>
    <w:rsid w:val="00A04336"/>
    <w:rsid w:val="00A0691C"/>
    <w:rsid w:val="00A06BDA"/>
    <w:rsid w:val="00A11E44"/>
    <w:rsid w:val="00A154C8"/>
    <w:rsid w:val="00A16DDA"/>
    <w:rsid w:val="00A22397"/>
    <w:rsid w:val="00A32313"/>
    <w:rsid w:val="00A328B3"/>
    <w:rsid w:val="00A32EBB"/>
    <w:rsid w:val="00A362E4"/>
    <w:rsid w:val="00A43B73"/>
    <w:rsid w:val="00A47A43"/>
    <w:rsid w:val="00A50FCF"/>
    <w:rsid w:val="00A52704"/>
    <w:rsid w:val="00A528D1"/>
    <w:rsid w:val="00A610CD"/>
    <w:rsid w:val="00A625E0"/>
    <w:rsid w:val="00A74947"/>
    <w:rsid w:val="00A758AA"/>
    <w:rsid w:val="00A92093"/>
    <w:rsid w:val="00AA09A2"/>
    <w:rsid w:val="00AA734F"/>
    <w:rsid w:val="00AA7996"/>
    <w:rsid w:val="00AB4E59"/>
    <w:rsid w:val="00AC19CB"/>
    <w:rsid w:val="00AD1886"/>
    <w:rsid w:val="00AE5488"/>
    <w:rsid w:val="00AE6F91"/>
    <w:rsid w:val="00AF2CA8"/>
    <w:rsid w:val="00AF5571"/>
    <w:rsid w:val="00AF613D"/>
    <w:rsid w:val="00AF75E0"/>
    <w:rsid w:val="00B02364"/>
    <w:rsid w:val="00B0497B"/>
    <w:rsid w:val="00B06B4E"/>
    <w:rsid w:val="00B07341"/>
    <w:rsid w:val="00B14CBD"/>
    <w:rsid w:val="00B202B5"/>
    <w:rsid w:val="00B23C8F"/>
    <w:rsid w:val="00B30539"/>
    <w:rsid w:val="00B314DB"/>
    <w:rsid w:val="00B329CA"/>
    <w:rsid w:val="00B361F2"/>
    <w:rsid w:val="00B3718B"/>
    <w:rsid w:val="00B4632A"/>
    <w:rsid w:val="00B5067D"/>
    <w:rsid w:val="00B530F1"/>
    <w:rsid w:val="00B57297"/>
    <w:rsid w:val="00B71402"/>
    <w:rsid w:val="00B736AF"/>
    <w:rsid w:val="00B742BE"/>
    <w:rsid w:val="00B824CA"/>
    <w:rsid w:val="00B84C70"/>
    <w:rsid w:val="00B86EBD"/>
    <w:rsid w:val="00B87359"/>
    <w:rsid w:val="00B97946"/>
    <w:rsid w:val="00BA0F4A"/>
    <w:rsid w:val="00BA276C"/>
    <w:rsid w:val="00BA5544"/>
    <w:rsid w:val="00BB306F"/>
    <w:rsid w:val="00BB3FBD"/>
    <w:rsid w:val="00BC3E25"/>
    <w:rsid w:val="00BC4C33"/>
    <w:rsid w:val="00BC6CD0"/>
    <w:rsid w:val="00BC796E"/>
    <w:rsid w:val="00BD3C64"/>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261D"/>
    <w:rsid w:val="00C34D8F"/>
    <w:rsid w:val="00C35A26"/>
    <w:rsid w:val="00C51515"/>
    <w:rsid w:val="00C53910"/>
    <w:rsid w:val="00C5660B"/>
    <w:rsid w:val="00C56854"/>
    <w:rsid w:val="00C5788A"/>
    <w:rsid w:val="00C57C67"/>
    <w:rsid w:val="00C631B4"/>
    <w:rsid w:val="00C66B72"/>
    <w:rsid w:val="00C80615"/>
    <w:rsid w:val="00C80E8A"/>
    <w:rsid w:val="00C840E0"/>
    <w:rsid w:val="00C87AC4"/>
    <w:rsid w:val="00C9567A"/>
    <w:rsid w:val="00CA48A3"/>
    <w:rsid w:val="00CB08ED"/>
    <w:rsid w:val="00CB212D"/>
    <w:rsid w:val="00CB2660"/>
    <w:rsid w:val="00CC395D"/>
    <w:rsid w:val="00CC56CD"/>
    <w:rsid w:val="00CC5E90"/>
    <w:rsid w:val="00CD046C"/>
    <w:rsid w:val="00CD186A"/>
    <w:rsid w:val="00CE076C"/>
    <w:rsid w:val="00CE5199"/>
    <w:rsid w:val="00CE66D5"/>
    <w:rsid w:val="00CE7F0A"/>
    <w:rsid w:val="00CF637A"/>
    <w:rsid w:val="00D0051F"/>
    <w:rsid w:val="00D059DE"/>
    <w:rsid w:val="00D05ABD"/>
    <w:rsid w:val="00D0674D"/>
    <w:rsid w:val="00D11130"/>
    <w:rsid w:val="00D13FCE"/>
    <w:rsid w:val="00D15554"/>
    <w:rsid w:val="00D15B5D"/>
    <w:rsid w:val="00D165EC"/>
    <w:rsid w:val="00D17E8C"/>
    <w:rsid w:val="00D23703"/>
    <w:rsid w:val="00D306D1"/>
    <w:rsid w:val="00D30800"/>
    <w:rsid w:val="00D34786"/>
    <w:rsid w:val="00D37BFC"/>
    <w:rsid w:val="00D42822"/>
    <w:rsid w:val="00D44E4B"/>
    <w:rsid w:val="00D47A8E"/>
    <w:rsid w:val="00D506EE"/>
    <w:rsid w:val="00D52D14"/>
    <w:rsid w:val="00D55256"/>
    <w:rsid w:val="00D56D93"/>
    <w:rsid w:val="00D6300C"/>
    <w:rsid w:val="00D656AE"/>
    <w:rsid w:val="00D70C4F"/>
    <w:rsid w:val="00D712D3"/>
    <w:rsid w:val="00D71422"/>
    <w:rsid w:val="00D72DC6"/>
    <w:rsid w:val="00D73F5E"/>
    <w:rsid w:val="00D7558D"/>
    <w:rsid w:val="00D77503"/>
    <w:rsid w:val="00D81D92"/>
    <w:rsid w:val="00D876F9"/>
    <w:rsid w:val="00D877B6"/>
    <w:rsid w:val="00D9011A"/>
    <w:rsid w:val="00D93A90"/>
    <w:rsid w:val="00DA7B5F"/>
    <w:rsid w:val="00DC11E7"/>
    <w:rsid w:val="00DC161E"/>
    <w:rsid w:val="00DC2D8C"/>
    <w:rsid w:val="00DC352E"/>
    <w:rsid w:val="00DC7023"/>
    <w:rsid w:val="00DC769A"/>
    <w:rsid w:val="00DD03D6"/>
    <w:rsid w:val="00DD061E"/>
    <w:rsid w:val="00DD3D86"/>
    <w:rsid w:val="00DE12F0"/>
    <w:rsid w:val="00DF05F9"/>
    <w:rsid w:val="00DF1EC4"/>
    <w:rsid w:val="00DF51E9"/>
    <w:rsid w:val="00E01943"/>
    <w:rsid w:val="00E0340B"/>
    <w:rsid w:val="00E04A90"/>
    <w:rsid w:val="00E0551F"/>
    <w:rsid w:val="00E21830"/>
    <w:rsid w:val="00E219C7"/>
    <w:rsid w:val="00E256DA"/>
    <w:rsid w:val="00E26CCA"/>
    <w:rsid w:val="00E27F56"/>
    <w:rsid w:val="00E330C0"/>
    <w:rsid w:val="00E4118C"/>
    <w:rsid w:val="00E43157"/>
    <w:rsid w:val="00E43ED7"/>
    <w:rsid w:val="00E461CE"/>
    <w:rsid w:val="00E720CA"/>
    <w:rsid w:val="00E76720"/>
    <w:rsid w:val="00E84EB5"/>
    <w:rsid w:val="00E85662"/>
    <w:rsid w:val="00E87431"/>
    <w:rsid w:val="00E8789F"/>
    <w:rsid w:val="00E90B29"/>
    <w:rsid w:val="00E92747"/>
    <w:rsid w:val="00E95A1D"/>
    <w:rsid w:val="00E97B71"/>
    <w:rsid w:val="00EA3D34"/>
    <w:rsid w:val="00EA5B65"/>
    <w:rsid w:val="00EB454D"/>
    <w:rsid w:val="00EC26E9"/>
    <w:rsid w:val="00EC6AFE"/>
    <w:rsid w:val="00EC72AB"/>
    <w:rsid w:val="00ED2F03"/>
    <w:rsid w:val="00ED549D"/>
    <w:rsid w:val="00ED76BE"/>
    <w:rsid w:val="00ED7F05"/>
    <w:rsid w:val="00EE00E9"/>
    <w:rsid w:val="00EE014D"/>
    <w:rsid w:val="00EE1899"/>
    <w:rsid w:val="00EE62D5"/>
    <w:rsid w:val="00EE6383"/>
    <w:rsid w:val="00EF35AB"/>
    <w:rsid w:val="00EF4C44"/>
    <w:rsid w:val="00EF619B"/>
    <w:rsid w:val="00EF6364"/>
    <w:rsid w:val="00EF70B7"/>
    <w:rsid w:val="00F00B55"/>
    <w:rsid w:val="00F02AD1"/>
    <w:rsid w:val="00F04591"/>
    <w:rsid w:val="00F06354"/>
    <w:rsid w:val="00F11F0D"/>
    <w:rsid w:val="00F13BBC"/>
    <w:rsid w:val="00F1457D"/>
    <w:rsid w:val="00F1614B"/>
    <w:rsid w:val="00F174C2"/>
    <w:rsid w:val="00F253CC"/>
    <w:rsid w:val="00F332EF"/>
    <w:rsid w:val="00F37106"/>
    <w:rsid w:val="00F41953"/>
    <w:rsid w:val="00F46695"/>
    <w:rsid w:val="00F519CF"/>
    <w:rsid w:val="00F53168"/>
    <w:rsid w:val="00F55597"/>
    <w:rsid w:val="00F56BA5"/>
    <w:rsid w:val="00F57604"/>
    <w:rsid w:val="00F576FD"/>
    <w:rsid w:val="00F60E22"/>
    <w:rsid w:val="00F63B39"/>
    <w:rsid w:val="00F63FCC"/>
    <w:rsid w:val="00F81395"/>
    <w:rsid w:val="00F81887"/>
    <w:rsid w:val="00F81BB8"/>
    <w:rsid w:val="00F848B9"/>
    <w:rsid w:val="00F86078"/>
    <w:rsid w:val="00F8614B"/>
    <w:rsid w:val="00F917D1"/>
    <w:rsid w:val="00F9342C"/>
    <w:rsid w:val="00F9653B"/>
    <w:rsid w:val="00FA3048"/>
    <w:rsid w:val="00FA56EA"/>
    <w:rsid w:val="00FB62CF"/>
    <w:rsid w:val="00FC0F4A"/>
    <w:rsid w:val="00FC3330"/>
    <w:rsid w:val="00FC3F55"/>
    <w:rsid w:val="00FC71C8"/>
    <w:rsid w:val="00FD12D4"/>
    <w:rsid w:val="00FD3C3B"/>
    <w:rsid w:val="00FE07DD"/>
    <w:rsid w:val="00FE3236"/>
    <w:rsid w:val="00FE6B45"/>
    <w:rsid w:val="00FF373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F018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F57604"/>
    <w:rPr>
      <w:rFonts w:ascii="Calibri" w:hAnsi="Calibri"/>
      <w:color w:val="000000"/>
      <w:u w:color="000000"/>
      <w:lang w:val="en-US"/>
    </w:rPr>
  </w:style>
  <w:style w:type="character" w:styleId="UnresolvedMention">
    <w:name w:val="Unresolved Mention"/>
    <w:basedOn w:val="DefaultParagraphFont"/>
    <w:uiPriority w:val="99"/>
    <w:semiHidden/>
    <w:unhideWhenUsed/>
    <w:rsid w:val="00A3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hyperlink" Target="https://codehupy.org.py/wp-content/uploads/2017/03/Informe-de-DDHH-sobre-el-caso-Marina-Kue.pdf" TargetMode="Externa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32B-9530-4F83-B62F-40A71C4D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4952</Words>
  <Characters>25705</Characters>
  <Application>Microsoft Office Word</Application>
  <DocSecurity>0</DocSecurity>
  <Lines>514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324/21</dc:title>
  <dc:creator/>
  <cp:lastModifiedBy/>
  <cp:revision>1</cp:revision>
  <dcterms:created xsi:type="dcterms:W3CDTF">2022-03-02T18:11:00Z</dcterms:created>
  <dcterms:modified xsi:type="dcterms:W3CDTF">2022-03-02T18:11:00Z</dcterms:modified>
</cp:coreProperties>
</file>