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8C57" w14:textId="77777777" w:rsidR="00040C3A" w:rsidRPr="00671AA7" w:rsidRDefault="00D306D1" w:rsidP="0044628A">
      <w:pPr>
        <w:jc w:val="both"/>
        <w:rPr>
          <w:rFonts w:asciiTheme="majorHAnsi" w:hAnsiTheme="majorHAnsi" w:cs="Univers"/>
          <w:b/>
          <w:bCs/>
          <w:sz w:val="22"/>
          <w:szCs w:val="22"/>
        </w:rPr>
      </w:pPr>
      <w:r w:rsidRPr="00671AA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ABEECE2" wp14:editId="7992651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AD3D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671AA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3D8FD5" wp14:editId="54C39BB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9377D" w14:textId="77777777" w:rsidR="007B432F" w:rsidRDefault="007B432F" w:rsidP="00AE5488">
                            <w:r>
                              <w:rPr>
                                <w:noProof/>
                              </w:rPr>
                              <w:drawing>
                                <wp:inline distT="0" distB="0" distL="0" distR="0" wp14:anchorId="382041C6" wp14:editId="48881CA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8FD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CD9377D" w14:textId="77777777" w:rsidR="007B432F" w:rsidRDefault="007B432F" w:rsidP="00AE5488">
                      <w:r>
                        <w:rPr>
                          <w:noProof/>
                        </w:rPr>
                        <w:drawing>
                          <wp:inline distT="0" distB="0" distL="0" distR="0" wp14:anchorId="382041C6" wp14:editId="48881CA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3ECB9FA" w14:textId="77777777" w:rsidR="00040C3A" w:rsidRPr="00671AA7" w:rsidRDefault="00040C3A" w:rsidP="0044628A">
      <w:pPr>
        <w:suppressAutoHyphens/>
        <w:jc w:val="both"/>
        <w:rPr>
          <w:rFonts w:asciiTheme="majorHAnsi" w:hAnsiTheme="majorHAnsi"/>
          <w:sz w:val="22"/>
          <w:szCs w:val="22"/>
        </w:rPr>
      </w:pPr>
    </w:p>
    <w:p w14:paraId="4BA77387" w14:textId="77777777" w:rsidR="00040C3A" w:rsidRPr="00671AA7" w:rsidRDefault="00040C3A" w:rsidP="0044628A">
      <w:pPr>
        <w:suppressAutoHyphens/>
        <w:jc w:val="both"/>
        <w:rPr>
          <w:rFonts w:asciiTheme="majorHAnsi" w:hAnsiTheme="majorHAnsi"/>
          <w:sz w:val="22"/>
          <w:szCs w:val="22"/>
        </w:rPr>
      </w:pPr>
    </w:p>
    <w:p w14:paraId="7207D55C" w14:textId="77777777" w:rsidR="005128E4" w:rsidRPr="00671AA7" w:rsidRDefault="005128E4" w:rsidP="0044628A">
      <w:pPr>
        <w:suppressAutoHyphens/>
        <w:rPr>
          <w:rFonts w:asciiTheme="majorHAnsi" w:hAnsiTheme="majorHAnsi"/>
          <w:sz w:val="22"/>
          <w:szCs w:val="22"/>
        </w:rPr>
      </w:pPr>
    </w:p>
    <w:p w14:paraId="31912A07" w14:textId="77777777" w:rsidR="005128E4" w:rsidRPr="00671AA7" w:rsidRDefault="005128E4" w:rsidP="0044628A">
      <w:pPr>
        <w:suppressAutoHyphens/>
        <w:rPr>
          <w:rFonts w:asciiTheme="majorHAnsi" w:hAnsiTheme="majorHAnsi"/>
          <w:sz w:val="22"/>
          <w:szCs w:val="22"/>
        </w:rPr>
      </w:pPr>
    </w:p>
    <w:p w14:paraId="29060EE8" w14:textId="77777777" w:rsidR="005128E4" w:rsidRPr="00671AA7" w:rsidRDefault="005128E4" w:rsidP="0044628A">
      <w:pPr>
        <w:suppressAutoHyphens/>
        <w:rPr>
          <w:rFonts w:asciiTheme="majorHAnsi" w:hAnsiTheme="majorHAnsi"/>
          <w:sz w:val="22"/>
          <w:szCs w:val="22"/>
        </w:rPr>
      </w:pPr>
    </w:p>
    <w:p w14:paraId="6876B53E" w14:textId="77777777" w:rsidR="00040C3A" w:rsidRPr="00671AA7" w:rsidRDefault="00040C3A" w:rsidP="0044628A">
      <w:pPr>
        <w:suppressAutoHyphens/>
        <w:jc w:val="center"/>
        <w:rPr>
          <w:rFonts w:asciiTheme="majorHAnsi" w:hAnsiTheme="majorHAnsi"/>
          <w:sz w:val="22"/>
          <w:szCs w:val="22"/>
        </w:rPr>
      </w:pPr>
    </w:p>
    <w:p w14:paraId="2D13F8FF" w14:textId="77777777" w:rsidR="00040C3A" w:rsidRPr="00671AA7" w:rsidRDefault="00040C3A" w:rsidP="0044628A">
      <w:pPr>
        <w:suppressAutoHyphens/>
        <w:jc w:val="center"/>
        <w:rPr>
          <w:rFonts w:asciiTheme="majorHAnsi" w:hAnsiTheme="majorHAnsi"/>
          <w:sz w:val="22"/>
          <w:szCs w:val="22"/>
        </w:rPr>
      </w:pPr>
    </w:p>
    <w:p w14:paraId="72441092" w14:textId="77777777" w:rsidR="005B52B0" w:rsidRPr="00671AA7" w:rsidRDefault="005B52B0" w:rsidP="0044628A">
      <w:pPr>
        <w:suppressAutoHyphens/>
        <w:jc w:val="center"/>
        <w:rPr>
          <w:rFonts w:asciiTheme="majorHAnsi" w:hAnsiTheme="majorHAnsi"/>
          <w:sz w:val="22"/>
          <w:szCs w:val="22"/>
        </w:rPr>
      </w:pPr>
    </w:p>
    <w:p w14:paraId="383CAB3F" w14:textId="77777777" w:rsidR="005B52B0" w:rsidRPr="00671AA7" w:rsidRDefault="005B52B0" w:rsidP="0044628A">
      <w:pPr>
        <w:suppressAutoHyphens/>
        <w:jc w:val="center"/>
        <w:rPr>
          <w:rFonts w:asciiTheme="majorHAnsi" w:hAnsiTheme="majorHAnsi"/>
          <w:sz w:val="22"/>
          <w:szCs w:val="22"/>
        </w:rPr>
      </w:pPr>
    </w:p>
    <w:p w14:paraId="0A82739F" w14:textId="77777777" w:rsidR="005B52B0" w:rsidRPr="00671AA7" w:rsidRDefault="005B52B0" w:rsidP="0044628A">
      <w:pPr>
        <w:suppressAutoHyphens/>
        <w:jc w:val="center"/>
        <w:rPr>
          <w:rFonts w:asciiTheme="majorHAnsi" w:hAnsiTheme="majorHAnsi"/>
          <w:sz w:val="22"/>
          <w:szCs w:val="22"/>
        </w:rPr>
      </w:pPr>
    </w:p>
    <w:p w14:paraId="499A452C" w14:textId="77777777" w:rsidR="00040C3A" w:rsidRPr="00671AA7" w:rsidRDefault="00040C3A" w:rsidP="0044628A">
      <w:pPr>
        <w:suppressAutoHyphens/>
        <w:jc w:val="center"/>
        <w:rPr>
          <w:rFonts w:asciiTheme="majorHAnsi" w:hAnsiTheme="majorHAnsi"/>
          <w:sz w:val="22"/>
          <w:szCs w:val="22"/>
        </w:rPr>
      </w:pPr>
    </w:p>
    <w:p w14:paraId="3E5C7B7B" w14:textId="77777777" w:rsidR="00040C3A" w:rsidRPr="00671AA7" w:rsidRDefault="00040C3A" w:rsidP="0044628A">
      <w:pPr>
        <w:suppressAutoHyphens/>
        <w:jc w:val="center"/>
        <w:rPr>
          <w:rFonts w:asciiTheme="majorHAnsi" w:hAnsiTheme="majorHAnsi"/>
          <w:sz w:val="22"/>
          <w:szCs w:val="22"/>
        </w:rPr>
      </w:pPr>
    </w:p>
    <w:p w14:paraId="7CF9F6FF" w14:textId="77777777" w:rsidR="00040C3A" w:rsidRPr="00671AA7" w:rsidRDefault="003D3BC2" w:rsidP="0044628A">
      <w:pPr>
        <w:suppressAutoHyphens/>
        <w:jc w:val="center"/>
        <w:rPr>
          <w:rFonts w:asciiTheme="majorHAnsi" w:hAnsiTheme="majorHAnsi"/>
          <w:sz w:val="22"/>
          <w:szCs w:val="22"/>
        </w:rPr>
      </w:pPr>
      <w:r w:rsidRPr="00671AA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F3ABF29" wp14:editId="3BC468C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F7ACC" w14:textId="2F9B06A6" w:rsidR="007B432F" w:rsidRPr="00772A77" w:rsidRDefault="007B432F" w:rsidP="00997BC5">
                            <w:pPr>
                              <w:spacing w:line="276" w:lineRule="auto"/>
                              <w:rPr>
                                <w:rFonts w:asciiTheme="majorHAnsi" w:hAnsiTheme="majorHAnsi" w:cs="Arial"/>
                                <w:b/>
                                <w:bCs/>
                                <w:color w:val="0D0D0D" w:themeColor="text1" w:themeTint="F2"/>
                                <w:sz w:val="36"/>
                                <w:szCs w:val="22"/>
                              </w:rPr>
                            </w:pPr>
                            <w:r w:rsidRPr="00772A77">
                              <w:rPr>
                                <w:rFonts w:asciiTheme="majorHAnsi" w:hAnsiTheme="majorHAnsi" w:cs="Arial"/>
                                <w:b/>
                                <w:bCs/>
                                <w:color w:val="0D0D0D" w:themeColor="text1" w:themeTint="F2"/>
                                <w:sz w:val="36"/>
                                <w:szCs w:val="22"/>
                              </w:rPr>
                              <w:t xml:space="preserve">INFORME </w:t>
                            </w:r>
                            <w:r w:rsidRPr="00772A77">
                              <w:rPr>
                                <w:rFonts w:asciiTheme="majorHAnsi" w:hAnsiTheme="majorHAnsi" w:cs="Arial"/>
                                <w:b/>
                                <w:bCs/>
                                <w:color w:val="0D0D0D" w:themeColor="text1" w:themeTint="F2"/>
                                <w:sz w:val="36"/>
                                <w:szCs w:val="40"/>
                              </w:rPr>
                              <w:t>No.</w:t>
                            </w:r>
                            <w:r w:rsidRPr="00772A77">
                              <w:rPr>
                                <w:rFonts w:asciiTheme="majorHAnsi" w:hAnsiTheme="majorHAnsi" w:cs="Arial"/>
                                <w:b/>
                                <w:bCs/>
                                <w:color w:val="0D0D0D" w:themeColor="text1" w:themeTint="F2"/>
                                <w:sz w:val="36"/>
                                <w:szCs w:val="22"/>
                              </w:rPr>
                              <w:t xml:space="preserve"> </w:t>
                            </w:r>
                            <w:r w:rsidR="00690416">
                              <w:rPr>
                                <w:rFonts w:asciiTheme="majorHAnsi" w:hAnsiTheme="majorHAnsi" w:cs="Arial"/>
                                <w:b/>
                                <w:bCs/>
                                <w:color w:val="0D0D0D" w:themeColor="text1" w:themeTint="F2"/>
                                <w:sz w:val="36"/>
                                <w:szCs w:val="22"/>
                              </w:rPr>
                              <w:t>392</w:t>
                            </w:r>
                            <w:r w:rsidRPr="00772A77">
                              <w:rPr>
                                <w:rFonts w:asciiTheme="majorHAnsi" w:hAnsiTheme="majorHAnsi" w:cs="Arial"/>
                                <w:b/>
                                <w:bCs/>
                                <w:color w:val="0D0D0D" w:themeColor="text1" w:themeTint="F2"/>
                                <w:sz w:val="36"/>
                                <w:szCs w:val="22"/>
                              </w:rPr>
                              <w:t>/</w:t>
                            </w:r>
                            <w:r w:rsidR="009F0A6F" w:rsidRPr="00772A77">
                              <w:rPr>
                                <w:rFonts w:asciiTheme="majorHAnsi" w:hAnsiTheme="majorHAnsi" w:cs="Arial"/>
                                <w:b/>
                                <w:bCs/>
                                <w:color w:val="0D0D0D" w:themeColor="text1" w:themeTint="F2"/>
                                <w:sz w:val="36"/>
                                <w:szCs w:val="22"/>
                              </w:rPr>
                              <w:t>21</w:t>
                            </w:r>
                          </w:p>
                          <w:p w14:paraId="40E6CA16" w14:textId="1F5E9F4C" w:rsidR="007B432F" w:rsidRPr="00772A77" w:rsidRDefault="007B432F" w:rsidP="00997BC5">
                            <w:pPr>
                              <w:spacing w:line="276" w:lineRule="auto"/>
                              <w:rPr>
                                <w:rFonts w:asciiTheme="majorHAnsi" w:hAnsiTheme="majorHAnsi" w:cs="Arial"/>
                                <w:b/>
                                <w:color w:val="0D0D0D" w:themeColor="text1" w:themeTint="F2"/>
                                <w:sz w:val="36"/>
                                <w:szCs w:val="22"/>
                              </w:rPr>
                            </w:pPr>
                            <w:r w:rsidRPr="00772A77">
                              <w:rPr>
                                <w:rFonts w:asciiTheme="majorHAnsi" w:hAnsiTheme="majorHAnsi" w:cs="Arial"/>
                                <w:b/>
                                <w:color w:val="0D0D0D" w:themeColor="text1" w:themeTint="F2"/>
                                <w:sz w:val="36"/>
                                <w:szCs w:val="22"/>
                              </w:rPr>
                              <w:t xml:space="preserve">PETICIÓN </w:t>
                            </w:r>
                            <w:r w:rsidR="00A75FF5" w:rsidRPr="00772A77">
                              <w:rPr>
                                <w:rFonts w:asciiTheme="majorHAnsi" w:hAnsiTheme="majorHAnsi" w:cs="Arial"/>
                                <w:b/>
                                <w:color w:val="0D0D0D" w:themeColor="text1" w:themeTint="F2"/>
                                <w:sz w:val="36"/>
                                <w:szCs w:val="22"/>
                              </w:rPr>
                              <w:t>1250-09</w:t>
                            </w:r>
                            <w:r w:rsidRPr="00772A77">
                              <w:rPr>
                                <w:rFonts w:asciiTheme="majorHAnsi" w:hAnsiTheme="majorHAnsi" w:cs="Arial"/>
                                <w:b/>
                                <w:color w:val="0D0D0D" w:themeColor="text1" w:themeTint="F2"/>
                                <w:sz w:val="36"/>
                                <w:szCs w:val="22"/>
                              </w:rPr>
                              <w:t xml:space="preserve"> </w:t>
                            </w:r>
                          </w:p>
                          <w:p w14:paraId="70E38FFF" w14:textId="4DFA8F5D" w:rsidR="007B432F" w:rsidRPr="00772A77" w:rsidRDefault="007B432F" w:rsidP="00997BC5">
                            <w:pPr>
                              <w:spacing w:line="276" w:lineRule="auto"/>
                              <w:rPr>
                                <w:rFonts w:asciiTheme="majorHAnsi" w:hAnsiTheme="majorHAnsi" w:cs="Arial"/>
                                <w:color w:val="0D0D0D" w:themeColor="text1" w:themeTint="F2"/>
                                <w:szCs w:val="22"/>
                              </w:rPr>
                            </w:pPr>
                            <w:r w:rsidRPr="00772A77">
                              <w:rPr>
                                <w:rFonts w:asciiTheme="majorHAnsi" w:hAnsiTheme="majorHAnsi" w:cs="Arial"/>
                                <w:color w:val="0D0D0D" w:themeColor="text1" w:themeTint="F2"/>
                                <w:szCs w:val="22"/>
                              </w:rPr>
                              <w:t xml:space="preserve">INFORME DE </w:t>
                            </w:r>
                            <w:r w:rsidR="0022254D">
                              <w:rPr>
                                <w:rFonts w:asciiTheme="majorHAnsi" w:hAnsiTheme="majorHAnsi" w:cs="Arial"/>
                                <w:color w:val="0D0D0D" w:themeColor="text1" w:themeTint="F2"/>
                                <w:szCs w:val="22"/>
                              </w:rPr>
                              <w:t>A</w:t>
                            </w:r>
                            <w:r w:rsidRPr="00772A77">
                              <w:rPr>
                                <w:rFonts w:asciiTheme="majorHAnsi" w:hAnsiTheme="majorHAnsi" w:cs="Arial"/>
                                <w:color w:val="0D0D0D" w:themeColor="text1" w:themeTint="F2"/>
                                <w:szCs w:val="22"/>
                              </w:rPr>
                              <w:t xml:space="preserve">DMISIBILIDAD </w:t>
                            </w:r>
                          </w:p>
                          <w:p w14:paraId="651819F4" w14:textId="77777777" w:rsidR="007B432F" w:rsidRPr="00772A77" w:rsidRDefault="007B432F" w:rsidP="00997BC5">
                            <w:pPr>
                              <w:spacing w:line="276" w:lineRule="auto"/>
                              <w:rPr>
                                <w:rFonts w:asciiTheme="majorHAnsi" w:hAnsiTheme="majorHAnsi" w:cs="Arial"/>
                                <w:color w:val="0D0D0D" w:themeColor="text1" w:themeTint="F2"/>
                                <w:szCs w:val="22"/>
                              </w:rPr>
                            </w:pPr>
                            <w:bookmarkStart w:id="0" w:name="_ftnref1"/>
                          </w:p>
                          <w:bookmarkEnd w:id="0"/>
                          <w:p w14:paraId="68A88A44" w14:textId="3BEF1DEA" w:rsidR="007B432F" w:rsidRPr="00772A77" w:rsidRDefault="00A75FF5" w:rsidP="00B466F3">
                            <w:pPr>
                              <w:spacing w:line="276" w:lineRule="auto"/>
                              <w:rPr>
                                <w:rFonts w:asciiTheme="majorHAnsi" w:hAnsiTheme="majorHAnsi" w:cs="Arial"/>
                                <w:color w:val="0D0D0D" w:themeColor="text1" w:themeTint="F2"/>
                                <w:szCs w:val="22"/>
                              </w:rPr>
                            </w:pPr>
                            <w:r w:rsidRPr="00772A77">
                              <w:rPr>
                                <w:rFonts w:asciiTheme="majorHAnsi" w:hAnsiTheme="majorHAnsi" w:cs="Arial"/>
                                <w:color w:val="0D0D0D" w:themeColor="text1" w:themeTint="F2"/>
                                <w:szCs w:val="22"/>
                              </w:rPr>
                              <w:t>HIGINIO PÉREZ MIGUEL Y ALBERTO PÉREZ DELGADO</w:t>
                            </w:r>
                          </w:p>
                          <w:p w14:paraId="24CD50BC" w14:textId="77777777" w:rsidR="007B432F" w:rsidRPr="00772A77" w:rsidRDefault="007B432F" w:rsidP="00B466F3">
                            <w:pPr>
                              <w:spacing w:line="276" w:lineRule="auto"/>
                              <w:rPr>
                                <w:rFonts w:asciiTheme="majorHAnsi" w:hAnsiTheme="majorHAnsi" w:cs="Arial"/>
                                <w:color w:val="0D0D0D" w:themeColor="text1" w:themeTint="F2"/>
                                <w:szCs w:val="22"/>
                              </w:rPr>
                            </w:pPr>
                            <w:r w:rsidRPr="00772A77">
                              <w:rPr>
                                <w:rFonts w:asciiTheme="majorHAnsi" w:hAnsiTheme="majorHAnsi" w:cs="Arial"/>
                                <w:color w:val="0D0D0D" w:themeColor="text1" w:themeTint="F2"/>
                                <w:szCs w:val="22"/>
                              </w:rPr>
                              <w:t>URUGUAY</w:t>
                            </w:r>
                          </w:p>
                          <w:p w14:paraId="739F03B3" w14:textId="77777777" w:rsidR="007B432F" w:rsidRPr="00AE5488" w:rsidRDefault="007B432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ABF2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40F7ACC" w14:textId="2F9B06A6" w:rsidR="007B432F" w:rsidRPr="00772A77" w:rsidRDefault="007B432F" w:rsidP="00997BC5">
                      <w:pPr>
                        <w:spacing w:line="276" w:lineRule="auto"/>
                        <w:rPr>
                          <w:rFonts w:asciiTheme="majorHAnsi" w:hAnsiTheme="majorHAnsi" w:cs="Arial"/>
                          <w:b/>
                          <w:bCs/>
                          <w:color w:val="0D0D0D" w:themeColor="text1" w:themeTint="F2"/>
                          <w:sz w:val="36"/>
                          <w:szCs w:val="22"/>
                        </w:rPr>
                      </w:pPr>
                      <w:r w:rsidRPr="00772A77">
                        <w:rPr>
                          <w:rFonts w:asciiTheme="majorHAnsi" w:hAnsiTheme="majorHAnsi" w:cs="Arial"/>
                          <w:b/>
                          <w:bCs/>
                          <w:color w:val="0D0D0D" w:themeColor="text1" w:themeTint="F2"/>
                          <w:sz w:val="36"/>
                          <w:szCs w:val="22"/>
                        </w:rPr>
                        <w:t xml:space="preserve">INFORME </w:t>
                      </w:r>
                      <w:r w:rsidRPr="00772A77">
                        <w:rPr>
                          <w:rFonts w:asciiTheme="majorHAnsi" w:hAnsiTheme="majorHAnsi" w:cs="Arial"/>
                          <w:b/>
                          <w:bCs/>
                          <w:color w:val="0D0D0D" w:themeColor="text1" w:themeTint="F2"/>
                          <w:sz w:val="36"/>
                          <w:szCs w:val="40"/>
                        </w:rPr>
                        <w:t>No.</w:t>
                      </w:r>
                      <w:r w:rsidRPr="00772A77">
                        <w:rPr>
                          <w:rFonts w:asciiTheme="majorHAnsi" w:hAnsiTheme="majorHAnsi" w:cs="Arial"/>
                          <w:b/>
                          <w:bCs/>
                          <w:color w:val="0D0D0D" w:themeColor="text1" w:themeTint="F2"/>
                          <w:sz w:val="36"/>
                          <w:szCs w:val="22"/>
                        </w:rPr>
                        <w:t xml:space="preserve"> </w:t>
                      </w:r>
                      <w:r w:rsidR="00690416">
                        <w:rPr>
                          <w:rFonts w:asciiTheme="majorHAnsi" w:hAnsiTheme="majorHAnsi" w:cs="Arial"/>
                          <w:b/>
                          <w:bCs/>
                          <w:color w:val="0D0D0D" w:themeColor="text1" w:themeTint="F2"/>
                          <w:sz w:val="36"/>
                          <w:szCs w:val="22"/>
                        </w:rPr>
                        <w:t>392</w:t>
                      </w:r>
                      <w:r w:rsidRPr="00772A77">
                        <w:rPr>
                          <w:rFonts w:asciiTheme="majorHAnsi" w:hAnsiTheme="majorHAnsi" w:cs="Arial"/>
                          <w:b/>
                          <w:bCs/>
                          <w:color w:val="0D0D0D" w:themeColor="text1" w:themeTint="F2"/>
                          <w:sz w:val="36"/>
                          <w:szCs w:val="22"/>
                        </w:rPr>
                        <w:t>/</w:t>
                      </w:r>
                      <w:r w:rsidR="009F0A6F" w:rsidRPr="00772A77">
                        <w:rPr>
                          <w:rFonts w:asciiTheme="majorHAnsi" w:hAnsiTheme="majorHAnsi" w:cs="Arial"/>
                          <w:b/>
                          <w:bCs/>
                          <w:color w:val="0D0D0D" w:themeColor="text1" w:themeTint="F2"/>
                          <w:sz w:val="36"/>
                          <w:szCs w:val="22"/>
                        </w:rPr>
                        <w:t>21</w:t>
                      </w:r>
                    </w:p>
                    <w:p w14:paraId="40E6CA16" w14:textId="1F5E9F4C" w:rsidR="007B432F" w:rsidRPr="00772A77" w:rsidRDefault="007B432F" w:rsidP="00997BC5">
                      <w:pPr>
                        <w:spacing w:line="276" w:lineRule="auto"/>
                        <w:rPr>
                          <w:rFonts w:asciiTheme="majorHAnsi" w:hAnsiTheme="majorHAnsi" w:cs="Arial"/>
                          <w:b/>
                          <w:color w:val="0D0D0D" w:themeColor="text1" w:themeTint="F2"/>
                          <w:sz w:val="36"/>
                          <w:szCs w:val="22"/>
                        </w:rPr>
                      </w:pPr>
                      <w:r w:rsidRPr="00772A77">
                        <w:rPr>
                          <w:rFonts w:asciiTheme="majorHAnsi" w:hAnsiTheme="majorHAnsi" w:cs="Arial"/>
                          <w:b/>
                          <w:color w:val="0D0D0D" w:themeColor="text1" w:themeTint="F2"/>
                          <w:sz w:val="36"/>
                          <w:szCs w:val="22"/>
                        </w:rPr>
                        <w:t xml:space="preserve">PETICIÓN </w:t>
                      </w:r>
                      <w:r w:rsidR="00A75FF5" w:rsidRPr="00772A77">
                        <w:rPr>
                          <w:rFonts w:asciiTheme="majorHAnsi" w:hAnsiTheme="majorHAnsi" w:cs="Arial"/>
                          <w:b/>
                          <w:color w:val="0D0D0D" w:themeColor="text1" w:themeTint="F2"/>
                          <w:sz w:val="36"/>
                          <w:szCs w:val="22"/>
                        </w:rPr>
                        <w:t>1250-09</w:t>
                      </w:r>
                      <w:r w:rsidRPr="00772A77">
                        <w:rPr>
                          <w:rFonts w:asciiTheme="majorHAnsi" w:hAnsiTheme="majorHAnsi" w:cs="Arial"/>
                          <w:b/>
                          <w:color w:val="0D0D0D" w:themeColor="text1" w:themeTint="F2"/>
                          <w:sz w:val="36"/>
                          <w:szCs w:val="22"/>
                        </w:rPr>
                        <w:t xml:space="preserve"> </w:t>
                      </w:r>
                    </w:p>
                    <w:p w14:paraId="70E38FFF" w14:textId="4DFA8F5D" w:rsidR="007B432F" w:rsidRPr="00772A77" w:rsidRDefault="007B432F" w:rsidP="00997BC5">
                      <w:pPr>
                        <w:spacing w:line="276" w:lineRule="auto"/>
                        <w:rPr>
                          <w:rFonts w:asciiTheme="majorHAnsi" w:hAnsiTheme="majorHAnsi" w:cs="Arial"/>
                          <w:color w:val="0D0D0D" w:themeColor="text1" w:themeTint="F2"/>
                          <w:szCs w:val="22"/>
                        </w:rPr>
                      </w:pPr>
                      <w:r w:rsidRPr="00772A77">
                        <w:rPr>
                          <w:rFonts w:asciiTheme="majorHAnsi" w:hAnsiTheme="majorHAnsi" w:cs="Arial"/>
                          <w:color w:val="0D0D0D" w:themeColor="text1" w:themeTint="F2"/>
                          <w:szCs w:val="22"/>
                        </w:rPr>
                        <w:t xml:space="preserve">INFORME DE </w:t>
                      </w:r>
                      <w:r w:rsidR="0022254D">
                        <w:rPr>
                          <w:rFonts w:asciiTheme="majorHAnsi" w:hAnsiTheme="majorHAnsi" w:cs="Arial"/>
                          <w:color w:val="0D0D0D" w:themeColor="text1" w:themeTint="F2"/>
                          <w:szCs w:val="22"/>
                        </w:rPr>
                        <w:t>A</w:t>
                      </w:r>
                      <w:r w:rsidRPr="00772A77">
                        <w:rPr>
                          <w:rFonts w:asciiTheme="majorHAnsi" w:hAnsiTheme="majorHAnsi" w:cs="Arial"/>
                          <w:color w:val="0D0D0D" w:themeColor="text1" w:themeTint="F2"/>
                          <w:szCs w:val="22"/>
                        </w:rPr>
                        <w:t xml:space="preserve">DMISIBILIDAD </w:t>
                      </w:r>
                    </w:p>
                    <w:p w14:paraId="651819F4" w14:textId="77777777" w:rsidR="007B432F" w:rsidRPr="00772A77" w:rsidRDefault="007B432F" w:rsidP="00997BC5">
                      <w:pPr>
                        <w:spacing w:line="276" w:lineRule="auto"/>
                        <w:rPr>
                          <w:rFonts w:asciiTheme="majorHAnsi" w:hAnsiTheme="majorHAnsi" w:cs="Arial"/>
                          <w:color w:val="0D0D0D" w:themeColor="text1" w:themeTint="F2"/>
                          <w:szCs w:val="22"/>
                        </w:rPr>
                      </w:pPr>
                      <w:bookmarkStart w:id="1" w:name="_ftnref1"/>
                    </w:p>
                    <w:bookmarkEnd w:id="1"/>
                    <w:p w14:paraId="68A88A44" w14:textId="3BEF1DEA" w:rsidR="007B432F" w:rsidRPr="00772A77" w:rsidRDefault="00A75FF5" w:rsidP="00B466F3">
                      <w:pPr>
                        <w:spacing w:line="276" w:lineRule="auto"/>
                        <w:rPr>
                          <w:rFonts w:asciiTheme="majorHAnsi" w:hAnsiTheme="majorHAnsi" w:cs="Arial"/>
                          <w:color w:val="0D0D0D" w:themeColor="text1" w:themeTint="F2"/>
                          <w:szCs w:val="22"/>
                        </w:rPr>
                      </w:pPr>
                      <w:r w:rsidRPr="00772A77">
                        <w:rPr>
                          <w:rFonts w:asciiTheme="majorHAnsi" w:hAnsiTheme="majorHAnsi" w:cs="Arial"/>
                          <w:color w:val="0D0D0D" w:themeColor="text1" w:themeTint="F2"/>
                          <w:szCs w:val="22"/>
                        </w:rPr>
                        <w:t>HIGINIO PÉREZ MIGUEL Y ALBERTO PÉREZ DELGADO</w:t>
                      </w:r>
                    </w:p>
                    <w:p w14:paraId="24CD50BC" w14:textId="77777777" w:rsidR="007B432F" w:rsidRPr="00772A77" w:rsidRDefault="007B432F" w:rsidP="00B466F3">
                      <w:pPr>
                        <w:spacing w:line="276" w:lineRule="auto"/>
                        <w:rPr>
                          <w:rFonts w:asciiTheme="majorHAnsi" w:hAnsiTheme="majorHAnsi" w:cs="Arial"/>
                          <w:color w:val="0D0D0D" w:themeColor="text1" w:themeTint="F2"/>
                          <w:szCs w:val="22"/>
                        </w:rPr>
                      </w:pPr>
                      <w:r w:rsidRPr="00772A77">
                        <w:rPr>
                          <w:rFonts w:asciiTheme="majorHAnsi" w:hAnsiTheme="majorHAnsi" w:cs="Arial"/>
                          <w:color w:val="0D0D0D" w:themeColor="text1" w:themeTint="F2"/>
                          <w:szCs w:val="22"/>
                        </w:rPr>
                        <w:t>URUGUAY</w:t>
                      </w:r>
                    </w:p>
                    <w:p w14:paraId="739F03B3" w14:textId="77777777" w:rsidR="007B432F" w:rsidRPr="00AE5488" w:rsidRDefault="007B432F" w:rsidP="007A5817">
                      <w:pPr>
                        <w:rPr>
                          <w:color w:val="0D0D0D" w:themeColor="text1" w:themeTint="F2"/>
                          <w:lang w:val="es-ES_tradnl"/>
                        </w:rPr>
                      </w:pPr>
                    </w:p>
                  </w:txbxContent>
                </v:textbox>
              </v:shape>
            </w:pict>
          </mc:Fallback>
        </mc:AlternateContent>
      </w:r>
      <w:r w:rsidR="004E2649" w:rsidRPr="00671AA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8F46EE2" wp14:editId="544ED71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80440" w14:textId="5B0AD8D8" w:rsidR="007B432F" w:rsidRPr="004E2649" w:rsidRDefault="007B432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917F068" w14:textId="191E8614" w:rsidR="007B432F" w:rsidRPr="004E2649" w:rsidRDefault="007B432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90416">
                              <w:rPr>
                                <w:rFonts w:asciiTheme="minorHAnsi" w:hAnsiTheme="minorHAnsi"/>
                                <w:color w:val="FFFFFF" w:themeColor="background1"/>
                                <w:sz w:val="22"/>
                                <w:lang w:val="pt-BR"/>
                              </w:rPr>
                              <w:t>403</w:t>
                            </w:r>
                          </w:p>
                          <w:p w14:paraId="466E8180" w14:textId="2053E349" w:rsidR="007B432F" w:rsidRPr="004577AB" w:rsidRDefault="00690416"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14 diciembre</w:t>
                            </w:r>
                            <w:r w:rsidR="007B432F" w:rsidRPr="004577AB">
                              <w:rPr>
                                <w:rFonts w:asciiTheme="minorHAnsi" w:hAnsiTheme="minorHAnsi"/>
                                <w:color w:val="FFFFFF" w:themeColor="background1"/>
                                <w:sz w:val="22"/>
                                <w:lang w:val="es-CO"/>
                              </w:rPr>
                              <w:t xml:space="preserve"> 20</w:t>
                            </w:r>
                            <w:r w:rsidR="002434FD">
                              <w:rPr>
                                <w:rFonts w:asciiTheme="minorHAnsi" w:hAnsiTheme="minorHAnsi"/>
                                <w:color w:val="FFFFFF" w:themeColor="background1"/>
                                <w:sz w:val="22"/>
                                <w:lang w:val="es-CO"/>
                              </w:rPr>
                              <w:t>2</w:t>
                            </w:r>
                            <w:r w:rsidR="007B432F" w:rsidRPr="004577AB">
                              <w:rPr>
                                <w:rFonts w:asciiTheme="minorHAnsi" w:hAnsiTheme="minorHAnsi"/>
                                <w:color w:val="FFFFFF" w:themeColor="background1"/>
                                <w:sz w:val="22"/>
                                <w:lang w:val="es-CO"/>
                              </w:rPr>
                              <w:t>1</w:t>
                            </w:r>
                          </w:p>
                          <w:p w14:paraId="186ADC6D" w14:textId="77777777" w:rsidR="007B432F" w:rsidRPr="00B466F3" w:rsidRDefault="007B432F" w:rsidP="007A5817">
                            <w:pPr>
                              <w:spacing w:line="276" w:lineRule="auto"/>
                              <w:jc w:val="right"/>
                              <w:rPr>
                                <w:rFonts w:asciiTheme="minorHAnsi" w:hAnsiTheme="minorHAnsi"/>
                                <w:color w:val="FFFFFF" w:themeColor="background1"/>
                                <w:sz w:val="22"/>
                                <w:lang w:val="pt-BR"/>
                              </w:rPr>
                            </w:pPr>
                            <w:r w:rsidRPr="004577AB">
                              <w:rPr>
                                <w:rFonts w:asciiTheme="minorHAnsi" w:hAnsiTheme="minorHAnsi"/>
                                <w:color w:val="FFFFFF" w:themeColor="background1"/>
                                <w:sz w:val="22"/>
                                <w:lang w:val="es-CO"/>
                              </w:rPr>
                              <w:t xml:space="preserve">Original: </w:t>
                            </w:r>
                            <w:r>
                              <w:rPr>
                                <w:rFonts w:asciiTheme="minorHAnsi" w:hAnsiTheme="minorHAnsi"/>
                                <w:color w:val="FFFFFF" w:themeColor="background1"/>
                                <w:sz w:val="22"/>
                                <w:lang w:val="es-CO"/>
                              </w:rPr>
                              <w:t>espa</w:t>
                            </w:r>
                            <w:r>
                              <w:rPr>
                                <w:rFonts w:asciiTheme="minorHAnsi" w:hAnsiTheme="minorHAnsi" w:cstheme="minorHAnsi"/>
                                <w:color w:val="FFFFFF" w:themeColor="background1"/>
                                <w:sz w:val="22"/>
                                <w:lang w:val="es-CO"/>
                              </w:rPr>
                              <w:t>ñ</w:t>
                            </w:r>
                            <w:r>
                              <w:rPr>
                                <w:rFonts w:asciiTheme="minorHAnsi" w:hAnsiTheme="minorHAnsi"/>
                                <w:color w:val="FFFFFF" w:themeColor="background1"/>
                                <w:sz w:val="22"/>
                                <w:lang w:val="es-CO"/>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46EE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C880440" w14:textId="5B0AD8D8" w:rsidR="007B432F" w:rsidRPr="004E2649" w:rsidRDefault="007B432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917F068" w14:textId="191E8614" w:rsidR="007B432F" w:rsidRPr="004E2649" w:rsidRDefault="007B432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90416">
                        <w:rPr>
                          <w:rFonts w:asciiTheme="minorHAnsi" w:hAnsiTheme="minorHAnsi"/>
                          <w:color w:val="FFFFFF" w:themeColor="background1"/>
                          <w:sz w:val="22"/>
                          <w:lang w:val="pt-BR"/>
                        </w:rPr>
                        <w:t>403</w:t>
                      </w:r>
                    </w:p>
                    <w:p w14:paraId="466E8180" w14:textId="2053E349" w:rsidR="007B432F" w:rsidRPr="004577AB" w:rsidRDefault="00690416"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14 diciembre</w:t>
                      </w:r>
                      <w:r w:rsidR="007B432F" w:rsidRPr="004577AB">
                        <w:rPr>
                          <w:rFonts w:asciiTheme="minorHAnsi" w:hAnsiTheme="minorHAnsi"/>
                          <w:color w:val="FFFFFF" w:themeColor="background1"/>
                          <w:sz w:val="22"/>
                          <w:lang w:val="es-CO"/>
                        </w:rPr>
                        <w:t xml:space="preserve"> 20</w:t>
                      </w:r>
                      <w:r w:rsidR="002434FD">
                        <w:rPr>
                          <w:rFonts w:asciiTheme="minorHAnsi" w:hAnsiTheme="minorHAnsi"/>
                          <w:color w:val="FFFFFF" w:themeColor="background1"/>
                          <w:sz w:val="22"/>
                          <w:lang w:val="es-CO"/>
                        </w:rPr>
                        <w:t>2</w:t>
                      </w:r>
                      <w:r w:rsidR="007B432F" w:rsidRPr="004577AB">
                        <w:rPr>
                          <w:rFonts w:asciiTheme="minorHAnsi" w:hAnsiTheme="minorHAnsi"/>
                          <w:color w:val="FFFFFF" w:themeColor="background1"/>
                          <w:sz w:val="22"/>
                          <w:lang w:val="es-CO"/>
                        </w:rPr>
                        <w:t>1</w:t>
                      </w:r>
                    </w:p>
                    <w:p w14:paraId="186ADC6D" w14:textId="77777777" w:rsidR="007B432F" w:rsidRPr="00B466F3" w:rsidRDefault="007B432F" w:rsidP="007A5817">
                      <w:pPr>
                        <w:spacing w:line="276" w:lineRule="auto"/>
                        <w:jc w:val="right"/>
                        <w:rPr>
                          <w:rFonts w:asciiTheme="minorHAnsi" w:hAnsiTheme="minorHAnsi"/>
                          <w:color w:val="FFFFFF" w:themeColor="background1"/>
                          <w:sz w:val="22"/>
                          <w:lang w:val="pt-BR"/>
                        </w:rPr>
                      </w:pPr>
                      <w:r w:rsidRPr="004577AB">
                        <w:rPr>
                          <w:rFonts w:asciiTheme="minorHAnsi" w:hAnsiTheme="minorHAnsi"/>
                          <w:color w:val="FFFFFF" w:themeColor="background1"/>
                          <w:sz w:val="22"/>
                          <w:lang w:val="es-CO"/>
                        </w:rPr>
                        <w:t xml:space="preserve">Original: </w:t>
                      </w:r>
                      <w:r>
                        <w:rPr>
                          <w:rFonts w:asciiTheme="minorHAnsi" w:hAnsiTheme="minorHAnsi"/>
                          <w:color w:val="FFFFFF" w:themeColor="background1"/>
                          <w:sz w:val="22"/>
                          <w:lang w:val="es-CO"/>
                        </w:rPr>
                        <w:t>espa</w:t>
                      </w:r>
                      <w:r>
                        <w:rPr>
                          <w:rFonts w:asciiTheme="minorHAnsi" w:hAnsiTheme="minorHAnsi" w:cstheme="minorHAnsi"/>
                          <w:color w:val="FFFFFF" w:themeColor="background1"/>
                          <w:sz w:val="22"/>
                          <w:lang w:val="es-CO"/>
                        </w:rPr>
                        <w:t>ñ</w:t>
                      </w:r>
                      <w:r>
                        <w:rPr>
                          <w:rFonts w:asciiTheme="minorHAnsi" w:hAnsiTheme="minorHAnsi"/>
                          <w:color w:val="FFFFFF" w:themeColor="background1"/>
                          <w:sz w:val="22"/>
                          <w:lang w:val="es-CO"/>
                        </w:rPr>
                        <w:t>ol</w:t>
                      </w:r>
                    </w:p>
                  </w:txbxContent>
                </v:textbox>
              </v:shape>
            </w:pict>
          </mc:Fallback>
        </mc:AlternateContent>
      </w:r>
    </w:p>
    <w:p w14:paraId="1C858242" w14:textId="77777777" w:rsidR="00040C3A" w:rsidRPr="00671AA7" w:rsidRDefault="00040C3A" w:rsidP="0044628A">
      <w:pPr>
        <w:suppressAutoHyphens/>
        <w:jc w:val="center"/>
        <w:rPr>
          <w:rFonts w:asciiTheme="majorHAnsi" w:hAnsiTheme="majorHAnsi"/>
          <w:sz w:val="22"/>
          <w:szCs w:val="22"/>
        </w:rPr>
      </w:pPr>
    </w:p>
    <w:p w14:paraId="48E2EDED" w14:textId="77777777" w:rsidR="00040C3A" w:rsidRPr="00671AA7" w:rsidRDefault="00040C3A" w:rsidP="0044628A">
      <w:pPr>
        <w:suppressAutoHyphens/>
        <w:jc w:val="center"/>
        <w:rPr>
          <w:rFonts w:asciiTheme="majorHAnsi" w:hAnsiTheme="majorHAnsi"/>
          <w:sz w:val="22"/>
          <w:szCs w:val="22"/>
        </w:rPr>
      </w:pPr>
    </w:p>
    <w:p w14:paraId="44CE6FAB" w14:textId="77777777" w:rsidR="00040C3A" w:rsidRPr="00671AA7" w:rsidRDefault="00040C3A" w:rsidP="0044628A">
      <w:pPr>
        <w:suppressAutoHyphens/>
        <w:jc w:val="center"/>
        <w:rPr>
          <w:rFonts w:asciiTheme="majorHAnsi" w:hAnsiTheme="majorHAnsi" w:cs="Arial"/>
          <w:sz w:val="22"/>
          <w:szCs w:val="22"/>
        </w:rPr>
      </w:pPr>
    </w:p>
    <w:p w14:paraId="3E9ED368" w14:textId="77777777" w:rsidR="00040C3A" w:rsidRPr="00671AA7" w:rsidRDefault="00040C3A" w:rsidP="0044628A">
      <w:pPr>
        <w:suppressAutoHyphens/>
        <w:jc w:val="center"/>
        <w:rPr>
          <w:rFonts w:asciiTheme="majorHAnsi" w:hAnsiTheme="majorHAnsi"/>
          <w:sz w:val="22"/>
          <w:szCs w:val="22"/>
        </w:rPr>
      </w:pPr>
    </w:p>
    <w:p w14:paraId="6E20FFEA" w14:textId="77777777" w:rsidR="00040C3A" w:rsidRPr="00671AA7" w:rsidRDefault="00040C3A" w:rsidP="0044628A">
      <w:pPr>
        <w:suppressAutoHyphens/>
        <w:jc w:val="center"/>
        <w:rPr>
          <w:rFonts w:asciiTheme="majorHAnsi" w:hAnsiTheme="majorHAnsi"/>
          <w:sz w:val="22"/>
          <w:szCs w:val="22"/>
        </w:rPr>
      </w:pPr>
    </w:p>
    <w:p w14:paraId="0306AAA0" w14:textId="77777777" w:rsidR="00040C3A" w:rsidRPr="00671AA7" w:rsidRDefault="00040C3A" w:rsidP="0044628A">
      <w:pPr>
        <w:suppressAutoHyphens/>
        <w:jc w:val="center"/>
        <w:rPr>
          <w:rFonts w:asciiTheme="majorHAnsi" w:hAnsiTheme="majorHAnsi"/>
          <w:sz w:val="22"/>
          <w:szCs w:val="22"/>
        </w:rPr>
      </w:pPr>
    </w:p>
    <w:p w14:paraId="31CC5DEB" w14:textId="77777777" w:rsidR="00040C3A" w:rsidRPr="00671AA7" w:rsidRDefault="00040C3A" w:rsidP="0044628A">
      <w:pPr>
        <w:suppressAutoHyphens/>
        <w:jc w:val="center"/>
        <w:rPr>
          <w:rFonts w:asciiTheme="majorHAnsi" w:hAnsiTheme="majorHAnsi"/>
          <w:sz w:val="22"/>
          <w:szCs w:val="22"/>
        </w:rPr>
      </w:pPr>
    </w:p>
    <w:p w14:paraId="083BD725" w14:textId="77777777" w:rsidR="005128E4" w:rsidRPr="00671AA7" w:rsidRDefault="005128E4" w:rsidP="0044628A">
      <w:pPr>
        <w:suppressAutoHyphens/>
        <w:jc w:val="center"/>
        <w:rPr>
          <w:rFonts w:asciiTheme="majorHAnsi" w:hAnsiTheme="majorHAnsi"/>
          <w:sz w:val="22"/>
          <w:szCs w:val="22"/>
        </w:rPr>
      </w:pPr>
    </w:p>
    <w:p w14:paraId="7AB95797" w14:textId="77777777" w:rsidR="00040C3A" w:rsidRPr="00671AA7" w:rsidRDefault="00040C3A" w:rsidP="0044628A">
      <w:pPr>
        <w:suppressAutoHyphens/>
        <w:jc w:val="center"/>
        <w:rPr>
          <w:rFonts w:asciiTheme="majorHAnsi" w:hAnsiTheme="majorHAnsi"/>
          <w:sz w:val="22"/>
          <w:szCs w:val="22"/>
        </w:rPr>
      </w:pPr>
    </w:p>
    <w:p w14:paraId="3362420E" w14:textId="77777777" w:rsidR="005128E4" w:rsidRPr="00671AA7" w:rsidRDefault="005128E4" w:rsidP="0044628A">
      <w:pPr>
        <w:suppressAutoHyphens/>
        <w:jc w:val="center"/>
        <w:rPr>
          <w:rFonts w:asciiTheme="majorHAnsi" w:hAnsiTheme="majorHAnsi"/>
          <w:sz w:val="22"/>
          <w:szCs w:val="22"/>
        </w:rPr>
      </w:pPr>
    </w:p>
    <w:p w14:paraId="5B8CD2D9" w14:textId="77777777" w:rsidR="005128E4" w:rsidRPr="00671AA7" w:rsidRDefault="005128E4" w:rsidP="0044628A">
      <w:pPr>
        <w:suppressAutoHyphens/>
        <w:jc w:val="center"/>
        <w:rPr>
          <w:rFonts w:asciiTheme="majorHAnsi" w:hAnsiTheme="majorHAnsi"/>
          <w:sz w:val="22"/>
          <w:szCs w:val="22"/>
        </w:rPr>
      </w:pPr>
    </w:p>
    <w:p w14:paraId="4481BEC6" w14:textId="77777777" w:rsidR="005128E4" w:rsidRPr="00671AA7" w:rsidRDefault="005128E4" w:rsidP="0044628A">
      <w:pPr>
        <w:suppressAutoHyphens/>
        <w:jc w:val="center"/>
        <w:rPr>
          <w:rFonts w:asciiTheme="majorHAnsi" w:hAnsiTheme="majorHAnsi"/>
          <w:sz w:val="22"/>
          <w:szCs w:val="22"/>
        </w:rPr>
      </w:pPr>
    </w:p>
    <w:p w14:paraId="40809A01" w14:textId="77777777" w:rsidR="00040C3A" w:rsidRPr="00671AA7" w:rsidRDefault="00040C3A" w:rsidP="0044628A">
      <w:pPr>
        <w:suppressAutoHyphens/>
        <w:jc w:val="center"/>
        <w:rPr>
          <w:rFonts w:asciiTheme="majorHAnsi" w:hAnsiTheme="majorHAnsi"/>
          <w:sz w:val="22"/>
          <w:szCs w:val="22"/>
        </w:rPr>
      </w:pPr>
    </w:p>
    <w:p w14:paraId="20A0FDAB" w14:textId="77777777" w:rsidR="00040C3A" w:rsidRPr="00671AA7" w:rsidRDefault="00040C3A" w:rsidP="0044628A">
      <w:pPr>
        <w:suppressAutoHyphens/>
        <w:jc w:val="center"/>
        <w:rPr>
          <w:rFonts w:asciiTheme="majorHAnsi" w:hAnsiTheme="majorHAnsi"/>
          <w:sz w:val="22"/>
          <w:szCs w:val="22"/>
        </w:rPr>
      </w:pPr>
    </w:p>
    <w:p w14:paraId="5B3052C6" w14:textId="77777777" w:rsidR="00A50FCF" w:rsidRPr="00671AA7" w:rsidRDefault="00A50FCF" w:rsidP="0044628A">
      <w:pPr>
        <w:suppressAutoHyphens/>
        <w:jc w:val="center"/>
        <w:rPr>
          <w:rFonts w:asciiTheme="majorHAnsi" w:hAnsiTheme="majorHAnsi"/>
          <w:sz w:val="18"/>
          <w:szCs w:val="22"/>
        </w:rPr>
      </w:pPr>
    </w:p>
    <w:p w14:paraId="67E464F9" w14:textId="77777777" w:rsidR="00A50FCF" w:rsidRPr="00671AA7" w:rsidRDefault="00A50FCF" w:rsidP="0044628A">
      <w:pPr>
        <w:suppressAutoHyphens/>
        <w:jc w:val="center"/>
        <w:rPr>
          <w:rFonts w:asciiTheme="majorHAnsi" w:hAnsiTheme="majorHAnsi"/>
          <w:sz w:val="18"/>
          <w:szCs w:val="22"/>
        </w:rPr>
      </w:pPr>
    </w:p>
    <w:p w14:paraId="400285A4" w14:textId="77777777" w:rsidR="00A50FCF" w:rsidRPr="00671AA7" w:rsidRDefault="00A50FCF" w:rsidP="0044628A">
      <w:pPr>
        <w:suppressAutoHyphens/>
        <w:jc w:val="center"/>
        <w:rPr>
          <w:rFonts w:asciiTheme="majorHAnsi" w:hAnsiTheme="majorHAnsi"/>
          <w:sz w:val="18"/>
          <w:szCs w:val="22"/>
        </w:rPr>
      </w:pPr>
    </w:p>
    <w:p w14:paraId="3BCDAE9C" w14:textId="77777777" w:rsidR="00A50FCF" w:rsidRPr="00671AA7" w:rsidRDefault="00A50FCF" w:rsidP="0044628A">
      <w:pPr>
        <w:suppressAutoHyphens/>
        <w:jc w:val="center"/>
        <w:rPr>
          <w:rFonts w:asciiTheme="majorHAnsi" w:hAnsiTheme="majorHAnsi"/>
          <w:sz w:val="18"/>
          <w:szCs w:val="22"/>
        </w:rPr>
      </w:pPr>
    </w:p>
    <w:p w14:paraId="5CB05BD4" w14:textId="77777777" w:rsidR="00A50FCF" w:rsidRPr="00671AA7" w:rsidRDefault="00A50FCF" w:rsidP="0044628A">
      <w:pPr>
        <w:suppressAutoHyphens/>
        <w:jc w:val="center"/>
        <w:rPr>
          <w:rFonts w:asciiTheme="majorHAnsi" w:hAnsiTheme="majorHAnsi"/>
          <w:sz w:val="18"/>
          <w:szCs w:val="22"/>
        </w:rPr>
      </w:pPr>
    </w:p>
    <w:p w14:paraId="74BFC6F4" w14:textId="77777777" w:rsidR="00A50FCF" w:rsidRPr="00671AA7" w:rsidRDefault="00A50FCF" w:rsidP="0044628A">
      <w:pPr>
        <w:suppressAutoHyphens/>
        <w:jc w:val="center"/>
        <w:rPr>
          <w:rFonts w:asciiTheme="majorHAnsi" w:hAnsiTheme="majorHAnsi"/>
          <w:sz w:val="18"/>
          <w:szCs w:val="22"/>
        </w:rPr>
      </w:pPr>
    </w:p>
    <w:p w14:paraId="7C4070E7" w14:textId="77777777" w:rsidR="00A50FCF" w:rsidRPr="00671AA7" w:rsidRDefault="00A50FCF" w:rsidP="0044628A">
      <w:pPr>
        <w:suppressAutoHyphens/>
        <w:jc w:val="center"/>
        <w:rPr>
          <w:rFonts w:asciiTheme="majorHAnsi" w:hAnsiTheme="majorHAnsi"/>
          <w:sz w:val="18"/>
          <w:szCs w:val="22"/>
        </w:rPr>
      </w:pPr>
    </w:p>
    <w:p w14:paraId="4F384E45" w14:textId="77777777" w:rsidR="00A50FCF" w:rsidRPr="00671AA7" w:rsidRDefault="00A50FCF" w:rsidP="0044628A">
      <w:pPr>
        <w:suppressAutoHyphens/>
        <w:jc w:val="center"/>
        <w:rPr>
          <w:rFonts w:asciiTheme="majorHAnsi" w:hAnsiTheme="majorHAnsi"/>
          <w:sz w:val="18"/>
          <w:szCs w:val="22"/>
        </w:rPr>
      </w:pPr>
    </w:p>
    <w:p w14:paraId="3E1F8CC0" w14:textId="77777777" w:rsidR="00A50FCF" w:rsidRPr="00671AA7" w:rsidRDefault="00A50FCF" w:rsidP="0044628A">
      <w:pPr>
        <w:suppressAutoHyphens/>
        <w:jc w:val="center"/>
        <w:rPr>
          <w:rFonts w:asciiTheme="majorHAnsi" w:hAnsiTheme="majorHAnsi"/>
          <w:sz w:val="18"/>
          <w:szCs w:val="22"/>
        </w:rPr>
      </w:pPr>
    </w:p>
    <w:p w14:paraId="5B6779DD" w14:textId="77777777" w:rsidR="00A50FCF" w:rsidRPr="00671AA7" w:rsidRDefault="00A50FCF" w:rsidP="0044628A">
      <w:pPr>
        <w:suppressAutoHyphens/>
        <w:jc w:val="center"/>
        <w:rPr>
          <w:rFonts w:asciiTheme="majorHAnsi" w:hAnsiTheme="majorHAnsi"/>
          <w:sz w:val="18"/>
          <w:szCs w:val="22"/>
        </w:rPr>
      </w:pPr>
    </w:p>
    <w:p w14:paraId="2BBB0481" w14:textId="77777777" w:rsidR="00A50FCF" w:rsidRPr="00671AA7" w:rsidRDefault="00A50FCF" w:rsidP="0044628A">
      <w:pPr>
        <w:suppressAutoHyphens/>
        <w:jc w:val="center"/>
        <w:rPr>
          <w:rFonts w:asciiTheme="majorHAnsi" w:hAnsiTheme="majorHAnsi"/>
          <w:sz w:val="18"/>
          <w:szCs w:val="22"/>
        </w:rPr>
      </w:pPr>
    </w:p>
    <w:p w14:paraId="40A88DF3" w14:textId="77777777" w:rsidR="00A50FCF" w:rsidRPr="00671AA7" w:rsidRDefault="00A50FCF" w:rsidP="0044628A">
      <w:pPr>
        <w:suppressAutoHyphens/>
        <w:jc w:val="center"/>
        <w:rPr>
          <w:rFonts w:asciiTheme="majorHAnsi" w:hAnsiTheme="majorHAnsi"/>
          <w:sz w:val="18"/>
          <w:szCs w:val="22"/>
        </w:rPr>
      </w:pPr>
    </w:p>
    <w:p w14:paraId="1D5A68E3" w14:textId="77777777" w:rsidR="00A50FCF" w:rsidRPr="00671AA7" w:rsidRDefault="00A50FCF" w:rsidP="0044628A">
      <w:pPr>
        <w:suppressAutoHyphens/>
        <w:jc w:val="center"/>
        <w:rPr>
          <w:rFonts w:asciiTheme="majorHAnsi" w:hAnsiTheme="majorHAnsi"/>
          <w:sz w:val="18"/>
          <w:szCs w:val="22"/>
        </w:rPr>
      </w:pPr>
    </w:p>
    <w:p w14:paraId="30769C7D" w14:textId="77777777" w:rsidR="00A50FCF" w:rsidRPr="00671AA7" w:rsidRDefault="00A50FCF" w:rsidP="0044628A">
      <w:pPr>
        <w:suppressAutoHyphens/>
        <w:jc w:val="center"/>
        <w:rPr>
          <w:rFonts w:asciiTheme="majorHAnsi" w:hAnsiTheme="majorHAnsi"/>
          <w:sz w:val="18"/>
          <w:szCs w:val="22"/>
        </w:rPr>
      </w:pPr>
    </w:p>
    <w:p w14:paraId="515E40F3" w14:textId="77777777" w:rsidR="00A50FCF" w:rsidRPr="00671AA7" w:rsidRDefault="0090270B" w:rsidP="0044628A">
      <w:pPr>
        <w:suppressAutoHyphens/>
        <w:jc w:val="center"/>
        <w:rPr>
          <w:rFonts w:asciiTheme="majorHAnsi" w:hAnsiTheme="majorHAnsi"/>
          <w:sz w:val="18"/>
          <w:szCs w:val="22"/>
        </w:rPr>
      </w:pPr>
      <w:r w:rsidRPr="00671AA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F9DE138" wp14:editId="16D6221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B662B" w14:textId="757AAA97" w:rsidR="007B432F" w:rsidRPr="0046259C" w:rsidRDefault="007B432F" w:rsidP="00DD3D86">
                            <w:pPr>
                              <w:tabs>
                                <w:tab w:val="center" w:pos="5400"/>
                              </w:tabs>
                              <w:suppressAutoHyphens/>
                              <w:spacing w:before="60"/>
                              <w:rPr>
                                <w:rFonts w:asciiTheme="majorHAnsi" w:hAnsiTheme="majorHAnsi"/>
                                <w:color w:val="0D0D0D" w:themeColor="text1" w:themeTint="F2"/>
                                <w:sz w:val="18"/>
                                <w:szCs w:val="22"/>
                                <w:lang w:val="es-ES_tradnl"/>
                              </w:rPr>
                            </w:pPr>
                            <w:r w:rsidRPr="0046259C">
                              <w:rPr>
                                <w:rFonts w:asciiTheme="majorHAnsi" w:hAnsiTheme="majorHAnsi"/>
                                <w:color w:val="0D0D0D" w:themeColor="text1" w:themeTint="F2"/>
                                <w:sz w:val="18"/>
                                <w:szCs w:val="22"/>
                                <w:lang w:val="es-ES_tradnl"/>
                              </w:rPr>
                              <w:t xml:space="preserve">Aprobado electrónicamente por la Comisión el </w:t>
                            </w:r>
                            <w:r w:rsidR="00690416">
                              <w:rPr>
                                <w:rFonts w:asciiTheme="majorHAnsi" w:hAnsiTheme="majorHAnsi"/>
                                <w:color w:val="0D0D0D" w:themeColor="text1" w:themeTint="F2"/>
                                <w:sz w:val="18"/>
                                <w:szCs w:val="22"/>
                                <w:lang w:val="es-ES_tradnl"/>
                              </w:rPr>
                              <w:t xml:space="preserve">14 </w:t>
                            </w:r>
                            <w:r w:rsidRPr="0046259C">
                              <w:rPr>
                                <w:rFonts w:asciiTheme="majorHAnsi" w:hAnsiTheme="majorHAnsi"/>
                                <w:color w:val="0D0D0D" w:themeColor="text1" w:themeTint="F2"/>
                                <w:sz w:val="18"/>
                                <w:szCs w:val="22"/>
                                <w:lang w:val="es-ES_tradnl"/>
                              </w:rPr>
                              <w:t xml:space="preserve">de </w:t>
                            </w:r>
                            <w:r w:rsidR="00690416">
                              <w:rPr>
                                <w:rFonts w:asciiTheme="majorHAnsi" w:hAnsiTheme="majorHAnsi"/>
                                <w:color w:val="0D0D0D" w:themeColor="text1" w:themeTint="F2"/>
                                <w:sz w:val="18"/>
                                <w:szCs w:val="22"/>
                                <w:lang w:val="es-ES_tradnl"/>
                              </w:rPr>
                              <w:t>diciembre</w:t>
                            </w:r>
                            <w:r w:rsidRPr="0046259C">
                              <w:rPr>
                                <w:rFonts w:asciiTheme="majorHAnsi" w:hAnsiTheme="majorHAnsi"/>
                                <w:color w:val="0D0D0D" w:themeColor="text1" w:themeTint="F2"/>
                                <w:sz w:val="18"/>
                                <w:szCs w:val="22"/>
                                <w:lang w:val="es-ES_tradnl"/>
                              </w:rPr>
                              <w:t xml:space="preserve"> de 20</w:t>
                            </w:r>
                            <w:r w:rsidR="009F0A6F" w:rsidRPr="0046259C">
                              <w:rPr>
                                <w:rFonts w:asciiTheme="majorHAnsi" w:hAnsiTheme="majorHAnsi"/>
                                <w:color w:val="0D0D0D" w:themeColor="text1" w:themeTint="F2"/>
                                <w:sz w:val="18"/>
                                <w:szCs w:val="22"/>
                                <w:lang w:val="es-ES_tradnl"/>
                              </w:rPr>
                              <w:t>21</w:t>
                            </w:r>
                            <w:r w:rsidR="00127A49" w:rsidRPr="0046259C">
                              <w:rPr>
                                <w:rFonts w:asciiTheme="majorHAnsi" w:hAnsiTheme="majorHAnsi"/>
                                <w:color w:val="0D0D0D" w:themeColor="text1" w:themeTint="F2"/>
                                <w:sz w:val="18"/>
                                <w:szCs w:val="22"/>
                                <w:lang w:val="es-ES_tradnl"/>
                              </w:rPr>
                              <w:t>.</w:t>
                            </w:r>
                          </w:p>
                          <w:p w14:paraId="7B7B6EE3" w14:textId="77777777" w:rsidR="007B432F" w:rsidRPr="007A5817" w:rsidRDefault="007B432F" w:rsidP="00247403">
                            <w:pPr>
                              <w:tabs>
                                <w:tab w:val="center" w:pos="5400"/>
                              </w:tabs>
                              <w:suppressAutoHyphens/>
                              <w:spacing w:before="60"/>
                              <w:rPr>
                                <w:rFonts w:asciiTheme="minorHAnsi" w:hAnsiTheme="minorHAnsi" w:cs="Univers"/>
                                <w:color w:val="0D0D0D" w:themeColor="text1" w:themeTint="F2"/>
                                <w:sz w:val="20"/>
                                <w:szCs w:val="20"/>
                              </w:rPr>
                            </w:pPr>
                          </w:p>
                          <w:p w14:paraId="4959F08D" w14:textId="77777777" w:rsidR="007B432F" w:rsidRPr="00167A34" w:rsidRDefault="007B432F"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DE138"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5AB662B" w14:textId="757AAA97" w:rsidR="007B432F" w:rsidRPr="0046259C" w:rsidRDefault="007B432F" w:rsidP="00DD3D86">
                      <w:pPr>
                        <w:tabs>
                          <w:tab w:val="center" w:pos="5400"/>
                        </w:tabs>
                        <w:suppressAutoHyphens/>
                        <w:spacing w:before="60"/>
                        <w:rPr>
                          <w:rFonts w:asciiTheme="majorHAnsi" w:hAnsiTheme="majorHAnsi"/>
                          <w:color w:val="0D0D0D" w:themeColor="text1" w:themeTint="F2"/>
                          <w:sz w:val="18"/>
                          <w:szCs w:val="22"/>
                          <w:lang w:val="es-ES_tradnl"/>
                        </w:rPr>
                      </w:pPr>
                      <w:r w:rsidRPr="0046259C">
                        <w:rPr>
                          <w:rFonts w:asciiTheme="majorHAnsi" w:hAnsiTheme="majorHAnsi"/>
                          <w:color w:val="0D0D0D" w:themeColor="text1" w:themeTint="F2"/>
                          <w:sz w:val="18"/>
                          <w:szCs w:val="22"/>
                          <w:lang w:val="es-ES_tradnl"/>
                        </w:rPr>
                        <w:t xml:space="preserve">Aprobado electrónicamente por la Comisión el </w:t>
                      </w:r>
                      <w:r w:rsidR="00690416">
                        <w:rPr>
                          <w:rFonts w:asciiTheme="majorHAnsi" w:hAnsiTheme="majorHAnsi"/>
                          <w:color w:val="0D0D0D" w:themeColor="text1" w:themeTint="F2"/>
                          <w:sz w:val="18"/>
                          <w:szCs w:val="22"/>
                          <w:lang w:val="es-ES_tradnl"/>
                        </w:rPr>
                        <w:t xml:space="preserve">14 </w:t>
                      </w:r>
                      <w:r w:rsidRPr="0046259C">
                        <w:rPr>
                          <w:rFonts w:asciiTheme="majorHAnsi" w:hAnsiTheme="majorHAnsi"/>
                          <w:color w:val="0D0D0D" w:themeColor="text1" w:themeTint="F2"/>
                          <w:sz w:val="18"/>
                          <w:szCs w:val="22"/>
                          <w:lang w:val="es-ES_tradnl"/>
                        </w:rPr>
                        <w:t xml:space="preserve">de </w:t>
                      </w:r>
                      <w:r w:rsidR="00690416">
                        <w:rPr>
                          <w:rFonts w:asciiTheme="majorHAnsi" w:hAnsiTheme="majorHAnsi"/>
                          <w:color w:val="0D0D0D" w:themeColor="text1" w:themeTint="F2"/>
                          <w:sz w:val="18"/>
                          <w:szCs w:val="22"/>
                          <w:lang w:val="es-ES_tradnl"/>
                        </w:rPr>
                        <w:t>diciembre</w:t>
                      </w:r>
                      <w:r w:rsidRPr="0046259C">
                        <w:rPr>
                          <w:rFonts w:asciiTheme="majorHAnsi" w:hAnsiTheme="majorHAnsi"/>
                          <w:color w:val="0D0D0D" w:themeColor="text1" w:themeTint="F2"/>
                          <w:sz w:val="18"/>
                          <w:szCs w:val="22"/>
                          <w:lang w:val="es-ES_tradnl"/>
                        </w:rPr>
                        <w:t xml:space="preserve"> de 20</w:t>
                      </w:r>
                      <w:r w:rsidR="009F0A6F" w:rsidRPr="0046259C">
                        <w:rPr>
                          <w:rFonts w:asciiTheme="majorHAnsi" w:hAnsiTheme="majorHAnsi"/>
                          <w:color w:val="0D0D0D" w:themeColor="text1" w:themeTint="F2"/>
                          <w:sz w:val="18"/>
                          <w:szCs w:val="22"/>
                          <w:lang w:val="es-ES_tradnl"/>
                        </w:rPr>
                        <w:t>21</w:t>
                      </w:r>
                      <w:r w:rsidR="00127A49" w:rsidRPr="0046259C">
                        <w:rPr>
                          <w:rFonts w:asciiTheme="majorHAnsi" w:hAnsiTheme="majorHAnsi"/>
                          <w:color w:val="0D0D0D" w:themeColor="text1" w:themeTint="F2"/>
                          <w:sz w:val="18"/>
                          <w:szCs w:val="22"/>
                          <w:lang w:val="es-ES_tradnl"/>
                        </w:rPr>
                        <w:t>.</w:t>
                      </w:r>
                    </w:p>
                    <w:p w14:paraId="7B7B6EE3" w14:textId="77777777" w:rsidR="007B432F" w:rsidRPr="007A5817" w:rsidRDefault="007B432F" w:rsidP="00247403">
                      <w:pPr>
                        <w:tabs>
                          <w:tab w:val="center" w:pos="5400"/>
                        </w:tabs>
                        <w:suppressAutoHyphens/>
                        <w:spacing w:before="60"/>
                        <w:rPr>
                          <w:rFonts w:asciiTheme="minorHAnsi" w:hAnsiTheme="minorHAnsi" w:cs="Univers"/>
                          <w:color w:val="0D0D0D" w:themeColor="text1" w:themeTint="F2"/>
                          <w:sz w:val="20"/>
                          <w:szCs w:val="20"/>
                        </w:rPr>
                      </w:pPr>
                    </w:p>
                    <w:p w14:paraId="4959F08D" w14:textId="77777777" w:rsidR="007B432F" w:rsidRPr="00167A34" w:rsidRDefault="007B432F"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27EE8671" w14:textId="77777777" w:rsidR="00A50FCF" w:rsidRPr="00671AA7" w:rsidRDefault="00A50FCF" w:rsidP="0044628A">
      <w:pPr>
        <w:suppressAutoHyphens/>
        <w:jc w:val="center"/>
        <w:rPr>
          <w:rFonts w:asciiTheme="majorHAnsi" w:hAnsiTheme="majorHAnsi"/>
          <w:sz w:val="18"/>
          <w:szCs w:val="22"/>
        </w:rPr>
      </w:pPr>
    </w:p>
    <w:p w14:paraId="04A86091" w14:textId="77777777" w:rsidR="00A50FCF" w:rsidRPr="00671AA7" w:rsidRDefault="00A50FCF" w:rsidP="0044628A">
      <w:pPr>
        <w:suppressAutoHyphens/>
        <w:jc w:val="center"/>
        <w:rPr>
          <w:rFonts w:asciiTheme="majorHAnsi" w:hAnsiTheme="majorHAnsi"/>
          <w:sz w:val="18"/>
          <w:szCs w:val="22"/>
        </w:rPr>
      </w:pPr>
    </w:p>
    <w:p w14:paraId="4A8D410A" w14:textId="77777777" w:rsidR="00A50FCF" w:rsidRPr="00671AA7" w:rsidRDefault="00A50FCF" w:rsidP="0044628A">
      <w:pPr>
        <w:suppressAutoHyphens/>
        <w:jc w:val="center"/>
        <w:rPr>
          <w:rFonts w:asciiTheme="majorHAnsi" w:hAnsiTheme="majorHAnsi"/>
          <w:sz w:val="18"/>
          <w:szCs w:val="22"/>
        </w:rPr>
      </w:pPr>
    </w:p>
    <w:p w14:paraId="2804F679" w14:textId="77777777" w:rsidR="00A50FCF" w:rsidRPr="00671AA7" w:rsidRDefault="00A50FCF" w:rsidP="0044628A">
      <w:pPr>
        <w:suppressAutoHyphens/>
        <w:jc w:val="center"/>
        <w:rPr>
          <w:rFonts w:asciiTheme="majorHAnsi" w:hAnsiTheme="majorHAnsi"/>
          <w:sz w:val="18"/>
          <w:szCs w:val="22"/>
        </w:rPr>
      </w:pPr>
    </w:p>
    <w:p w14:paraId="617051A1" w14:textId="77777777" w:rsidR="00A50FCF" w:rsidRPr="00671AA7" w:rsidRDefault="0090270B" w:rsidP="0044628A">
      <w:pPr>
        <w:suppressAutoHyphens/>
        <w:jc w:val="center"/>
        <w:rPr>
          <w:rFonts w:asciiTheme="majorHAnsi" w:hAnsiTheme="majorHAnsi"/>
          <w:sz w:val="18"/>
          <w:szCs w:val="22"/>
        </w:rPr>
      </w:pPr>
      <w:r w:rsidRPr="00671AA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E5E8C7" wp14:editId="221FE4C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DC4E6" w14:textId="2E1D3259" w:rsidR="007B432F" w:rsidRPr="0046259C" w:rsidRDefault="007B432F" w:rsidP="00113F73">
                            <w:pPr>
                              <w:spacing w:line="276" w:lineRule="auto"/>
                              <w:rPr>
                                <w:rFonts w:asciiTheme="majorHAnsi" w:hAnsiTheme="majorHAnsi"/>
                                <w:color w:val="595959" w:themeColor="text1" w:themeTint="A6"/>
                                <w:sz w:val="18"/>
                                <w:szCs w:val="18"/>
                                <w:lang w:val="es-ES_tradnl"/>
                              </w:rPr>
                            </w:pPr>
                            <w:r w:rsidRPr="00690416">
                              <w:rPr>
                                <w:rFonts w:asciiTheme="majorHAnsi" w:hAnsiTheme="majorHAnsi"/>
                                <w:b/>
                                <w:color w:val="595959" w:themeColor="text1" w:themeTint="A6"/>
                                <w:sz w:val="18"/>
                                <w:szCs w:val="18"/>
                                <w:lang w:val="pt-BR"/>
                              </w:rPr>
                              <w:t>Citar como:</w:t>
                            </w:r>
                            <w:r w:rsidRPr="00690416">
                              <w:rPr>
                                <w:rFonts w:asciiTheme="majorHAnsi" w:hAnsiTheme="majorHAnsi"/>
                                <w:color w:val="595959" w:themeColor="text1" w:themeTint="A6"/>
                                <w:sz w:val="18"/>
                                <w:szCs w:val="18"/>
                                <w:lang w:val="pt-BR"/>
                              </w:rPr>
                              <w:t xml:space="preserve"> CIDH, Informe No. </w:t>
                            </w:r>
                            <w:r w:rsidR="00690416" w:rsidRPr="00690416">
                              <w:rPr>
                                <w:rFonts w:asciiTheme="majorHAnsi" w:hAnsiTheme="majorHAnsi"/>
                                <w:color w:val="595959" w:themeColor="text1" w:themeTint="A6"/>
                                <w:sz w:val="18"/>
                                <w:szCs w:val="18"/>
                                <w:lang w:val="pt-BR"/>
                              </w:rPr>
                              <w:t>392</w:t>
                            </w:r>
                            <w:r w:rsidR="00D2589D" w:rsidRPr="00690416">
                              <w:rPr>
                                <w:rFonts w:asciiTheme="majorHAnsi" w:hAnsiTheme="majorHAnsi"/>
                                <w:color w:val="595959" w:themeColor="text1" w:themeTint="A6"/>
                                <w:sz w:val="18"/>
                                <w:szCs w:val="18"/>
                                <w:lang w:val="pt-BR"/>
                              </w:rPr>
                              <w:t>/</w:t>
                            </w:r>
                            <w:r w:rsidR="00690416" w:rsidRPr="00690416">
                              <w:rPr>
                                <w:rFonts w:asciiTheme="majorHAnsi" w:hAnsiTheme="majorHAnsi"/>
                                <w:color w:val="595959" w:themeColor="text1" w:themeTint="A6"/>
                                <w:sz w:val="18"/>
                                <w:szCs w:val="18"/>
                                <w:lang w:val="pt-BR"/>
                              </w:rPr>
                              <w:t>21</w:t>
                            </w:r>
                            <w:r w:rsidRPr="00690416">
                              <w:rPr>
                                <w:rFonts w:asciiTheme="majorHAnsi" w:hAnsiTheme="majorHAnsi"/>
                                <w:color w:val="595959" w:themeColor="text1" w:themeTint="A6"/>
                                <w:sz w:val="18"/>
                                <w:szCs w:val="18"/>
                                <w:lang w:val="pt-BR"/>
                              </w:rPr>
                              <w:t xml:space="preserve">. </w:t>
                            </w:r>
                            <w:r w:rsidRPr="0046259C">
                              <w:rPr>
                                <w:rFonts w:asciiTheme="majorHAnsi" w:hAnsiTheme="majorHAnsi"/>
                                <w:color w:val="595959" w:themeColor="text1" w:themeTint="A6"/>
                                <w:sz w:val="18"/>
                                <w:szCs w:val="18"/>
                                <w:lang w:val="es-ES_tradnl"/>
                              </w:rPr>
                              <w:t xml:space="preserve">Petición </w:t>
                            </w:r>
                            <w:r w:rsidR="0046259C" w:rsidRPr="0046259C">
                              <w:rPr>
                                <w:rFonts w:asciiTheme="majorHAnsi" w:hAnsiTheme="majorHAnsi"/>
                                <w:color w:val="595959" w:themeColor="text1" w:themeTint="A6"/>
                                <w:sz w:val="18"/>
                                <w:szCs w:val="18"/>
                                <w:lang w:val="es-ES_tradnl"/>
                              </w:rPr>
                              <w:t>1250</w:t>
                            </w:r>
                            <w:r w:rsidRPr="0046259C">
                              <w:rPr>
                                <w:rFonts w:asciiTheme="majorHAnsi" w:hAnsiTheme="majorHAnsi"/>
                                <w:color w:val="595959" w:themeColor="text1" w:themeTint="A6"/>
                                <w:sz w:val="18"/>
                                <w:szCs w:val="18"/>
                                <w:lang w:val="es-ES_tradnl"/>
                              </w:rPr>
                              <w:t>-</w:t>
                            </w:r>
                            <w:r w:rsidR="0046259C" w:rsidRPr="0046259C">
                              <w:rPr>
                                <w:rFonts w:asciiTheme="majorHAnsi" w:hAnsiTheme="majorHAnsi"/>
                                <w:color w:val="595959" w:themeColor="text1" w:themeTint="A6"/>
                                <w:sz w:val="18"/>
                                <w:szCs w:val="18"/>
                                <w:lang w:val="es-ES_tradnl"/>
                              </w:rPr>
                              <w:t>09</w:t>
                            </w:r>
                            <w:r w:rsidRPr="0046259C">
                              <w:rPr>
                                <w:rFonts w:asciiTheme="majorHAnsi" w:hAnsiTheme="majorHAnsi"/>
                                <w:color w:val="595959" w:themeColor="text1" w:themeTint="A6"/>
                                <w:sz w:val="18"/>
                                <w:szCs w:val="18"/>
                                <w:lang w:val="es-ES_tradnl"/>
                              </w:rPr>
                              <w:t xml:space="preserve">. </w:t>
                            </w:r>
                            <w:r w:rsidR="00CD1E3C">
                              <w:rPr>
                                <w:rFonts w:asciiTheme="majorHAnsi" w:hAnsiTheme="majorHAnsi"/>
                                <w:color w:val="595959" w:themeColor="text1" w:themeTint="A6"/>
                                <w:sz w:val="18"/>
                                <w:szCs w:val="18"/>
                                <w:lang w:val="es-ES_tradnl"/>
                              </w:rPr>
                              <w:t>A</w:t>
                            </w:r>
                            <w:r w:rsidRPr="0046259C">
                              <w:rPr>
                                <w:rFonts w:asciiTheme="majorHAnsi" w:hAnsiTheme="majorHAnsi"/>
                                <w:color w:val="595959" w:themeColor="text1" w:themeTint="A6"/>
                                <w:sz w:val="18"/>
                                <w:szCs w:val="18"/>
                                <w:lang w:val="es-ES_tradnl"/>
                              </w:rPr>
                              <w:t xml:space="preserve">dmisibilidad. </w:t>
                            </w:r>
                            <w:r w:rsidR="0046259C" w:rsidRPr="0046259C">
                              <w:rPr>
                                <w:rFonts w:asciiTheme="majorHAnsi" w:hAnsiTheme="majorHAnsi"/>
                                <w:color w:val="595959" w:themeColor="text1" w:themeTint="A6"/>
                                <w:sz w:val="18"/>
                                <w:szCs w:val="18"/>
                                <w:lang w:val="es-ES_tradnl"/>
                              </w:rPr>
                              <w:t xml:space="preserve">Higinio Pérez Miguel </w:t>
                            </w:r>
                            <w:r w:rsidR="006A208B">
                              <w:rPr>
                                <w:rFonts w:asciiTheme="majorHAnsi" w:hAnsiTheme="majorHAnsi"/>
                                <w:color w:val="595959" w:themeColor="text1" w:themeTint="A6"/>
                                <w:sz w:val="18"/>
                                <w:szCs w:val="18"/>
                                <w:lang w:val="es-ES_tradnl"/>
                              </w:rPr>
                              <w:t>y</w:t>
                            </w:r>
                            <w:r w:rsidR="0046259C" w:rsidRPr="0046259C">
                              <w:rPr>
                                <w:rFonts w:asciiTheme="majorHAnsi" w:hAnsiTheme="majorHAnsi"/>
                                <w:color w:val="595959" w:themeColor="text1" w:themeTint="A6"/>
                                <w:sz w:val="18"/>
                                <w:szCs w:val="18"/>
                                <w:lang w:val="es-ES_tradnl"/>
                              </w:rPr>
                              <w:t xml:space="preserve"> Alberto Pérez Delgado</w:t>
                            </w:r>
                            <w:r w:rsidRPr="0046259C">
                              <w:rPr>
                                <w:rFonts w:asciiTheme="majorHAnsi" w:hAnsiTheme="majorHAnsi"/>
                                <w:color w:val="595959" w:themeColor="text1" w:themeTint="A6"/>
                                <w:sz w:val="18"/>
                                <w:szCs w:val="18"/>
                                <w:lang w:val="es-ES_tradnl"/>
                              </w:rPr>
                              <w:t xml:space="preserve">. Uruguay. </w:t>
                            </w:r>
                            <w:r w:rsidR="00690416">
                              <w:rPr>
                                <w:rFonts w:asciiTheme="majorHAnsi" w:hAnsiTheme="majorHAnsi"/>
                                <w:color w:val="595959" w:themeColor="text1" w:themeTint="A6"/>
                                <w:sz w:val="18"/>
                                <w:szCs w:val="18"/>
                                <w:lang w:val="es-ES_tradnl"/>
                              </w:rPr>
                              <w:t>14 de diciembre de 2021</w:t>
                            </w:r>
                            <w:r w:rsidR="00D2589D" w:rsidRPr="0046259C">
                              <w:rPr>
                                <w:rFonts w:asciiTheme="majorHAnsi" w:hAnsiTheme="majorHAnsi"/>
                                <w:color w:val="595959" w:themeColor="text1" w:themeTint="A6"/>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5E8C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0FDC4E6" w14:textId="2E1D3259" w:rsidR="007B432F" w:rsidRPr="0046259C" w:rsidRDefault="007B432F" w:rsidP="00113F73">
                      <w:pPr>
                        <w:spacing w:line="276" w:lineRule="auto"/>
                        <w:rPr>
                          <w:rFonts w:asciiTheme="majorHAnsi" w:hAnsiTheme="majorHAnsi"/>
                          <w:color w:val="595959" w:themeColor="text1" w:themeTint="A6"/>
                          <w:sz w:val="18"/>
                          <w:szCs w:val="18"/>
                          <w:lang w:val="es-ES_tradnl"/>
                        </w:rPr>
                      </w:pPr>
                      <w:r w:rsidRPr="00690416">
                        <w:rPr>
                          <w:rFonts w:asciiTheme="majorHAnsi" w:hAnsiTheme="majorHAnsi"/>
                          <w:b/>
                          <w:color w:val="595959" w:themeColor="text1" w:themeTint="A6"/>
                          <w:sz w:val="18"/>
                          <w:szCs w:val="18"/>
                          <w:lang w:val="pt-BR"/>
                        </w:rPr>
                        <w:t>Citar como:</w:t>
                      </w:r>
                      <w:r w:rsidRPr="00690416">
                        <w:rPr>
                          <w:rFonts w:asciiTheme="majorHAnsi" w:hAnsiTheme="majorHAnsi"/>
                          <w:color w:val="595959" w:themeColor="text1" w:themeTint="A6"/>
                          <w:sz w:val="18"/>
                          <w:szCs w:val="18"/>
                          <w:lang w:val="pt-BR"/>
                        </w:rPr>
                        <w:t xml:space="preserve"> CIDH, Informe No. </w:t>
                      </w:r>
                      <w:r w:rsidR="00690416" w:rsidRPr="00690416">
                        <w:rPr>
                          <w:rFonts w:asciiTheme="majorHAnsi" w:hAnsiTheme="majorHAnsi"/>
                          <w:color w:val="595959" w:themeColor="text1" w:themeTint="A6"/>
                          <w:sz w:val="18"/>
                          <w:szCs w:val="18"/>
                          <w:lang w:val="pt-BR"/>
                        </w:rPr>
                        <w:t>392</w:t>
                      </w:r>
                      <w:r w:rsidR="00D2589D" w:rsidRPr="00690416">
                        <w:rPr>
                          <w:rFonts w:asciiTheme="majorHAnsi" w:hAnsiTheme="majorHAnsi"/>
                          <w:color w:val="595959" w:themeColor="text1" w:themeTint="A6"/>
                          <w:sz w:val="18"/>
                          <w:szCs w:val="18"/>
                          <w:lang w:val="pt-BR"/>
                        </w:rPr>
                        <w:t>/</w:t>
                      </w:r>
                      <w:r w:rsidR="00690416" w:rsidRPr="00690416">
                        <w:rPr>
                          <w:rFonts w:asciiTheme="majorHAnsi" w:hAnsiTheme="majorHAnsi"/>
                          <w:color w:val="595959" w:themeColor="text1" w:themeTint="A6"/>
                          <w:sz w:val="18"/>
                          <w:szCs w:val="18"/>
                          <w:lang w:val="pt-BR"/>
                        </w:rPr>
                        <w:t>21</w:t>
                      </w:r>
                      <w:r w:rsidRPr="00690416">
                        <w:rPr>
                          <w:rFonts w:asciiTheme="majorHAnsi" w:hAnsiTheme="majorHAnsi"/>
                          <w:color w:val="595959" w:themeColor="text1" w:themeTint="A6"/>
                          <w:sz w:val="18"/>
                          <w:szCs w:val="18"/>
                          <w:lang w:val="pt-BR"/>
                        </w:rPr>
                        <w:t xml:space="preserve">. </w:t>
                      </w:r>
                      <w:r w:rsidRPr="0046259C">
                        <w:rPr>
                          <w:rFonts w:asciiTheme="majorHAnsi" w:hAnsiTheme="majorHAnsi"/>
                          <w:color w:val="595959" w:themeColor="text1" w:themeTint="A6"/>
                          <w:sz w:val="18"/>
                          <w:szCs w:val="18"/>
                          <w:lang w:val="es-ES_tradnl"/>
                        </w:rPr>
                        <w:t xml:space="preserve">Petición </w:t>
                      </w:r>
                      <w:r w:rsidR="0046259C" w:rsidRPr="0046259C">
                        <w:rPr>
                          <w:rFonts w:asciiTheme="majorHAnsi" w:hAnsiTheme="majorHAnsi"/>
                          <w:color w:val="595959" w:themeColor="text1" w:themeTint="A6"/>
                          <w:sz w:val="18"/>
                          <w:szCs w:val="18"/>
                          <w:lang w:val="es-ES_tradnl"/>
                        </w:rPr>
                        <w:t>1250</w:t>
                      </w:r>
                      <w:r w:rsidRPr="0046259C">
                        <w:rPr>
                          <w:rFonts w:asciiTheme="majorHAnsi" w:hAnsiTheme="majorHAnsi"/>
                          <w:color w:val="595959" w:themeColor="text1" w:themeTint="A6"/>
                          <w:sz w:val="18"/>
                          <w:szCs w:val="18"/>
                          <w:lang w:val="es-ES_tradnl"/>
                        </w:rPr>
                        <w:t>-</w:t>
                      </w:r>
                      <w:r w:rsidR="0046259C" w:rsidRPr="0046259C">
                        <w:rPr>
                          <w:rFonts w:asciiTheme="majorHAnsi" w:hAnsiTheme="majorHAnsi"/>
                          <w:color w:val="595959" w:themeColor="text1" w:themeTint="A6"/>
                          <w:sz w:val="18"/>
                          <w:szCs w:val="18"/>
                          <w:lang w:val="es-ES_tradnl"/>
                        </w:rPr>
                        <w:t>09</w:t>
                      </w:r>
                      <w:r w:rsidRPr="0046259C">
                        <w:rPr>
                          <w:rFonts w:asciiTheme="majorHAnsi" w:hAnsiTheme="majorHAnsi"/>
                          <w:color w:val="595959" w:themeColor="text1" w:themeTint="A6"/>
                          <w:sz w:val="18"/>
                          <w:szCs w:val="18"/>
                          <w:lang w:val="es-ES_tradnl"/>
                        </w:rPr>
                        <w:t xml:space="preserve">. </w:t>
                      </w:r>
                      <w:r w:rsidR="00CD1E3C">
                        <w:rPr>
                          <w:rFonts w:asciiTheme="majorHAnsi" w:hAnsiTheme="majorHAnsi"/>
                          <w:color w:val="595959" w:themeColor="text1" w:themeTint="A6"/>
                          <w:sz w:val="18"/>
                          <w:szCs w:val="18"/>
                          <w:lang w:val="es-ES_tradnl"/>
                        </w:rPr>
                        <w:t>A</w:t>
                      </w:r>
                      <w:r w:rsidRPr="0046259C">
                        <w:rPr>
                          <w:rFonts w:asciiTheme="majorHAnsi" w:hAnsiTheme="majorHAnsi"/>
                          <w:color w:val="595959" w:themeColor="text1" w:themeTint="A6"/>
                          <w:sz w:val="18"/>
                          <w:szCs w:val="18"/>
                          <w:lang w:val="es-ES_tradnl"/>
                        </w:rPr>
                        <w:t xml:space="preserve">dmisibilidad. </w:t>
                      </w:r>
                      <w:r w:rsidR="0046259C" w:rsidRPr="0046259C">
                        <w:rPr>
                          <w:rFonts w:asciiTheme="majorHAnsi" w:hAnsiTheme="majorHAnsi"/>
                          <w:color w:val="595959" w:themeColor="text1" w:themeTint="A6"/>
                          <w:sz w:val="18"/>
                          <w:szCs w:val="18"/>
                          <w:lang w:val="es-ES_tradnl"/>
                        </w:rPr>
                        <w:t xml:space="preserve">Higinio Pérez Miguel </w:t>
                      </w:r>
                      <w:r w:rsidR="006A208B">
                        <w:rPr>
                          <w:rFonts w:asciiTheme="majorHAnsi" w:hAnsiTheme="majorHAnsi"/>
                          <w:color w:val="595959" w:themeColor="text1" w:themeTint="A6"/>
                          <w:sz w:val="18"/>
                          <w:szCs w:val="18"/>
                          <w:lang w:val="es-ES_tradnl"/>
                        </w:rPr>
                        <w:t>y</w:t>
                      </w:r>
                      <w:r w:rsidR="0046259C" w:rsidRPr="0046259C">
                        <w:rPr>
                          <w:rFonts w:asciiTheme="majorHAnsi" w:hAnsiTheme="majorHAnsi"/>
                          <w:color w:val="595959" w:themeColor="text1" w:themeTint="A6"/>
                          <w:sz w:val="18"/>
                          <w:szCs w:val="18"/>
                          <w:lang w:val="es-ES_tradnl"/>
                        </w:rPr>
                        <w:t xml:space="preserve"> Alberto Pérez Delgado</w:t>
                      </w:r>
                      <w:r w:rsidRPr="0046259C">
                        <w:rPr>
                          <w:rFonts w:asciiTheme="majorHAnsi" w:hAnsiTheme="majorHAnsi"/>
                          <w:color w:val="595959" w:themeColor="text1" w:themeTint="A6"/>
                          <w:sz w:val="18"/>
                          <w:szCs w:val="18"/>
                          <w:lang w:val="es-ES_tradnl"/>
                        </w:rPr>
                        <w:t xml:space="preserve">. Uruguay. </w:t>
                      </w:r>
                      <w:r w:rsidR="00690416">
                        <w:rPr>
                          <w:rFonts w:asciiTheme="majorHAnsi" w:hAnsiTheme="majorHAnsi"/>
                          <w:color w:val="595959" w:themeColor="text1" w:themeTint="A6"/>
                          <w:sz w:val="18"/>
                          <w:szCs w:val="18"/>
                          <w:lang w:val="es-ES_tradnl"/>
                        </w:rPr>
                        <w:t>14 de diciembre de 2021</w:t>
                      </w:r>
                      <w:r w:rsidR="00D2589D" w:rsidRPr="0046259C">
                        <w:rPr>
                          <w:rFonts w:asciiTheme="majorHAnsi" w:hAnsiTheme="majorHAnsi"/>
                          <w:color w:val="595959" w:themeColor="text1" w:themeTint="A6"/>
                          <w:sz w:val="18"/>
                          <w:szCs w:val="18"/>
                          <w:lang w:val="es-ES_tradnl"/>
                        </w:rPr>
                        <w:t>.</w:t>
                      </w:r>
                    </w:p>
                  </w:txbxContent>
                </v:textbox>
              </v:shape>
            </w:pict>
          </mc:Fallback>
        </mc:AlternateContent>
      </w:r>
    </w:p>
    <w:p w14:paraId="2CF866E1" w14:textId="77777777" w:rsidR="00A50FCF" w:rsidRPr="00671AA7" w:rsidRDefault="00A50FCF" w:rsidP="0044628A">
      <w:pPr>
        <w:suppressAutoHyphens/>
        <w:jc w:val="center"/>
        <w:rPr>
          <w:rFonts w:asciiTheme="majorHAnsi" w:hAnsiTheme="majorHAnsi"/>
          <w:sz w:val="18"/>
          <w:szCs w:val="22"/>
        </w:rPr>
      </w:pPr>
    </w:p>
    <w:p w14:paraId="508F93F6" w14:textId="2D9EBCF2" w:rsidR="0090270B" w:rsidRPr="00671AA7" w:rsidRDefault="00D306D1" w:rsidP="0044628A">
      <w:pPr>
        <w:suppressAutoHyphens/>
        <w:jc w:val="center"/>
        <w:rPr>
          <w:rFonts w:asciiTheme="majorHAnsi" w:hAnsiTheme="majorHAnsi"/>
          <w:b/>
          <w:sz w:val="20"/>
        </w:rPr>
      </w:pPr>
      <w:r w:rsidRPr="00671AA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37156B3" wp14:editId="0AABFA9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D1E19" w14:textId="77777777" w:rsidR="007B432F" w:rsidRPr="004B7EB6" w:rsidRDefault="007B432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56B3"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082D1E19" w14:textId="77777777" w:rsidR="007B432F" w:rsidRPr="004B7EB6" w:rsidRDefault="007B432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2C367C" w14:textId="3DC35BF7" w:rsidR="0070697F" w:rsidRPr="00671AA7" w:rsidRDefault="002434FD" w:rsidP="0044628A">
      <w:pPr>
        <w:suppressAutoHyphens/>
        <w:jc w:val="center"/>
        <w:rPr>
          <w:rFonts w:asciiTheme="majorHAnsi" w:hAnsiTheme="majorHAnsi"/>
          <w:b/>
          <w:sz w:val="20"/>
        </w:rPr>
        <w:sectPr w:rsidR="0070697F" w:rsidRPr="00671AA7" w:rsidSect="00D83678">
          <w:headerReference w:type="even" r:id="rId12"/>
          <w:headerReference w:type="default" r:id="rId13"/>
          <w:footerReference w:type="default" r:id="rId14"/>
          <w:footerReference w:type="first" r:id="rId15"/>
          <w:type w:val="oddPage"/>
          <w:pgSz w:w="12240" w:h="15840"/>
          <w:pgMar w:top="1361" w:right="1418" w:bottom="1361" w:left="1418" w:header="720" w:footer="720" w:gutter="0"/>
          <w:pgNumType w:start="0"/>
          <w:cols w:space="720"/>
          <w:titlePg/>
          <w:docGrid w:linePitch="326"/>
        </w:sectPr>
      </w:pPr>
      <w:r w:rsidRPr="00671AA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C984889" wp14:editId="47A42D69">
                <wp:simplePos x="0" y="0"/>
                <wp:positionH relativeFrom="column">
                  <wp:posOffset>1329690</wp:posOffset>
                </wp:positionH>
                <wp:positionV relativeFrom="paragraph">
                  <wp:posOffset>615043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32E7D" w14:textId="5F5A7191" w:rsidR="007B432F" w:rsidRPr="00D72DC6" w:rsidRDefault="00127A49" w:rsidP="00F02AD1">
                            <w:pPr>
                              <w:rPr>
                                <w:color w:val="FFFFFF" w:themeColor="background1"/>
                                <w14:textFill>
                                  <w14:noFill/>
                                </w14:textFill>
                              </w:rPr>
                            </w:pPr>
                            <w:r>
                              <w:rPr>
                                <w:noProof/>
                                <w:color w:val="FFFFFF" w:themeColor="background1"/>
                              </w:rPr>
                              <w:drawing>
                                <wp:inline distT="0" distB="0" distL="0" distR="0" wp14:anchorId="2BC3AB2F" wp14:editId="0A721888">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84889" id="Text Box 9" o:spid="_x0000_s1032" type="#_x0000_t202" style="position:absolute;left:0;text-align:left;margin-left:104.7pt;margin-top:48.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" fillcolor="white [3201]" stroked="f" strokeweight=".5pt">
                <v:textbox>
                  <w:txbxContent>
                    <w:p w14:paraId="6AB32E7D" w14:textId="5F5A7191" w:rsidR="007B432F" w:rsidRPr="00D72DC6" w:rsidRDefault="00127A49" w:rsidP="00F02AD1">
                      <w:pPr>
                        <w:rPr>
                          <w:color w:val="FFFFFF" w:themeColor="background1"/>
                          <w14:textFill>
                            <w14:noFill/>
                          </w14:textFill>
                        </w:rPr>
                      </w:pPr>
                      <w:r>
                        <w:rPr>
                          <w:noProof/>
                          <w:color w:val="FFFFFF" w:themeColor="background1"/>
                        </w:rPr>
                        <w:drawing>
                          <wp:inline distT="0" distB="0" distL="0" distR="0" wp14:anchorId="2BC3AB2F" wp14:editId="0A721888">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7"/>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671AA7">
        <w:rPr>
          <w:rFonts w:asciiTheme="majorHAnsi" w:hAnsiTheme="majorHAnsi"/>
          <w:b/>
          <w:sz w:val="20"/>
        </w:rPr>
        <w:tab/>
      </w:r>
    </w:p>
    <w:p w14:paraId="4E32FF06" w14:textId="77777777" w:rsidR="003239B8" w:rsidRPr="00671AA7" w:rsidRDefault="003239B8" w:rsidP="0044628A">
      <w:pPr>
        <w:spacing w:after="240"/>
        <w:ind w:firstLine="720"/>
        <w:jc w:val="both"/>
        <w:rPr>
          <w:rFonts w:asciiTheme="majorHAnsi" w:hAnsiTheme="majorHAnsi"/>
          <w:b/>
          <w:bCs/>
          <w:sz w:val="20"/>
          <w:szCs w:val="20"/>
        </w:rPr>
      </w:pPr>
      <w:r w:rsidRPr="00671AA7">
        <w:rPr>
          <w:rFonts w:asciiTheme="majorHAnsi" w:hAnsiTheme="majorHAnsi"/>
          <w:b/>
          <w:bCs/>
          <w:sz w:val="20"/>
          <w:szCs w:val="20"/>
        </w:rPr>
        <w:lastRenderedPageBreak/>
        <w:t>I.</w:t>
      </w:r>
      <w:r w:rsidRPr="00671AA7">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D16CE" w14:paraId="2030DE86" w14:textId="77777777" w:rsidTr="004A6A54">
        <w:tc>
          <w:tcPr>
            <w:tcW w:w="3600" w:type="dxa"/>
            <w:tcBorders>
              <w:top w:val="single" w:sz="4" w:space="0" w:color="auto"/>
              <w:bottom w:val="single" w:sz="6" w:space="0" w:color="auto"/>
            </w:tcBorders>
            <w:shd w:val="clear" w:color="auto" w:fill="386294"/>
            <w:vAlign w:val="center"/>
          </w:tcPr>
          <w:p w14:paraId="156E6A11" w14:textId="77777777" w:rsidR="003239B8" w:rsidRPr="00FD16CE" w:rsidRDefault="003239B8" w:rsidP="0044628A">
            <w:pPr>
              <w:jc w:val="center"/>
              <w:rPr>
                <w:rFonts w:ascii="Cambria" w:hAnsi="Cambria"/>
                <w:b/>
                <w:bCs/>
                <w:color w:val="FFFFFF" w:themeColor="background1"/>
                <w:sz w:val="20"/>
                <w:szCs w:val="20"/>
              </w:rPr>
            </w:pPr>
            <w:r w:rsidRPr="00FD16CE">
              <w:rPr>
                <w:rFonts w:ascii="Cambria" w:hAnsi="Cambria"/>
                <w:b/>
                <w:bCs/>
                <w:color w:val="FFFFFF" w:themeColor="background1"/>
                <w:sz w:val="20"/>
                <w:szCs w:val="20"/>
              </w:rPr>
              <w:t>Parte peticionaria:</w:t>
            </w:r>
          </w:p>
        </w:tc>
        <w:tc>
          <w:tcPr>
            <w:tcW w:w="5760" w:type="dxa"/>
            <w:vAlign w:val="center"/>
          </w:tcPr>
          <w:p w14:paraId="47E7BC55" w14:textId="372A3650" w:rsidR="003239B8" w:rsidRPr="00FD16CE" w:rsidRDefault="0046259C" w:rsidP="0044628A">
            <w:pPr>
              <w:jc w:val="both"/>
              <w:rPr>
                <w:rFonts w:ascii="Cambria" w:hAnsi="Cambria"/>
                <w:bCs/>
                <w:sz w:val="20"/>
                <w:szCs w:val="20"/>
              </w:rPr>
            </w:pPr>
            <w:r w:rsidRPr="00FD16CE">
              <w:rPr>
                <w:rFonts w:asciiTheme="majorHAnsi" w:hAnsiTheme="majorHAnsi"/>
                <w:bCs/>
                <w:sz w:val="20"/>
                <w:szCs w:val="20"/>
              </w:rPr>
              <w:t xml:space="preserve">Higinio Pérez Miguel </w:t>
            </w:r>
            <w:r w:rsidR="006A208B" w:rsidRPr="00FD16CE">
              <w:rPr>
                <w:rFonts w:asciiTheme="majorHAnsi" w:hAnsiTheme="majorHAnsi"/>
                <w:bCs/>
                <w:sz w:val="20"/>
                <w:szCs w:val="20"/>
              </w:rPr>
              <w:t>y</w:t>
            </w:r>
            <w:r w:rsidRPr="00FD16CE">
              <w:rPr>
                <w:rFonts w:asciiTheme="majorHAnsi" w:hAnsiTheme="majorHAnsi"/>
                <w:bCs/>
                <w:sz w:val="20"/>
                <w:szCs w:val="20"/>
              </w:rPr>
              <w:t xml:space="preserve"> Alberto Pérez Delgado</w:t>
            </w:r>
          </w:p>
        </w:tc>
      </w:tr>
      <w:tr w:rsidR="003239B8" w:rsidRPr="00FD16CE" w14:paraId="6D37DDD6" w14:textId="77777777" w:rsidTr="004A6A54">
        <w:tc>
          <w:tcPr>
            <w:tcW w:w="3600" w:type="dxa"/>
            <w:tcBorders>
              <w:top w:val="single" w:sz="6" w:space="0" w:color="auto"/>
              <w:bottom w:val="single" w:sz="6" w:space="0" w:color="auto"/>
            </w:tcBorders>
            <w:shd w:val="clear" w:color="auto" w:fill="386294"/>
            <w:vAlign w:val="center"/>
          </w:tcPr>
          <w:p w14:paraId="0DD585C3" w14:textId="77777777" w:rsidR="003239B8" w:rsidRPr="00FD16CE" w:rsidRDefault="00E20CAD" w:rsidP="0044628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682351" w:rsidRPr="00FD16CE">
                  <w:rPr>
                    <w:rFonts w:ascii="Cambria" w:hAnsi="Cambria"/>
                    <w:b/>
                    <w:bCs/>
                    <w:color w:val="FFFFFF" w:themeColor="background1"/>
                    <w:sz w:val="20"/>
                    <w:szCs w:val="20"/>
                  </w:rPr>
                  <w:t>Presunta víctima</w:t>
                </w:r>
              </w:sdtContent>
            </w:sdt>
            <w:r w:rsidR="003239B8" w:rsidRPr="00FD16CE">
              <w:rPr>
                <w:rFonts w:ascii="Cambria" w:hAnsi="Cambria"/>
                <w:b/>
                <w:bCs/>
                <w:color w:val="FFFFFF" w:themeColor="background1"/>
                <w:sz w:val="20"/>
                <w:szCs w:val="20"/>
              </w:rPr>
              <w:t>:</w:t>
            </w:r>
          </w:p>
        </w:tc>
        <w:tc>
          <w:tcPr>
            <w:tcW w:w="5760" w:type="dxa"/>
            <w:vAlign w:val="center"/>
          </w:tcPr>
          <w:p w14:paraId="53793D77" w14:textId="6483470B" w:rsidR="003239B8" w:rsidRPr="00FD16CE" w:rsidRDefault="0046259C" w:rsidP="0044628A">
            <w:pPr>
              <w:jc w:val="both"/>
              <w:rPr>
                <w:rFonts w:ascii="Cambria" w:hAnsi="Cambria"/>
                <w:bCs/>
                <w:sz w:val="20"/>
                <w:szCs w:val="20"/>
              </w:rPr>
            </w:pPr>
            <w:r w:rsidRPr="00FD16CE">
              <w:rPr>
                <w:rFonts w:asciiTheme="majorHAnsi" w:hAnsiTheme="majorHAnsi"/>
                <w:bCs/>
                <w:sz w:val="20"/>
                <w:szCs w:val="20"/>
              </w:rPr>
              <w:t xml:space="preserve">Higinio Pérez Miguel </w:t>
            </w:r>
            <w:r w:rsidR="006A208B" w:rsidRPr="00FD16CE">
              <w:rPr>
                <w:rFonts w:asciiTheme="majorHAnsi" w:hAnsiTheme="majorHAnsi"/>
                <w:bCs/>
                <w:sz w:val="20"/>
                <w:szCs w:val="20"/>
              </w:rPr>
              <w:t>y</w:t>
            </w:r>
            <w:r w:rsidRPr="00FD16CE">
              <w:rPr>
                <w:rFonts w:asciiTheme="majorHAnsi" w:hAnsiTheme="majorHAnsi"/>
                <w:bCs/>
                <w:sz w:val="20"/>
                <w:szCs w:val="20"/>
              </w:rPr>
              <w:t xml:space="preserve"> Alberto Pérez Delgado</w:t>
            </w:r>
          </w:p>
        </w:tc>
      </w:tr>
      <w:tr w:rsidR="003239B8" w:rsidRPr="00FD16CE" w14:paraId="05DF8370" w14:textId="77777777" w:rsidTr="004A6A54">
        <w:tc>
          <w:tcPr>
            <w:tcW w:w="3600" w:type="dxa"/>
            <w:tcBorders>
              <w:top w:val="single" w:sz="6" w:space="0" w:color="auto"/>
              <w:bottom w:val="single" w:sz="6" w:space="0" w:color="auto"/>
            </w:tcBorders>
            <w:shd w:val="clear" w:color="auto" w:fill="386294"/>
            <w:vAlign w:val="center"/>
          </w:tcPr>
          <w:p w14:paraId="13465242" w14:textId="77777777" w:rsidR="003239B8" w:rsidRPr="00FD16CE" w:rsidRDefault="003239B8" w:rsidP="0044628A">
            <w:pPr>
              <w:jc w:val="center"/>
              <w:rPr>
                <w:rFonts w:ascii="Cambria" w:hAnsi="Cambria"/>
                <w:b/>
                <w:bCs/>
                <w:color w:val="FFFFFF" w:themeColor="background1"/>
                <w:sz w:val="20"/>
                <w:szCs w:val="20"/>
              </w:rPr>
            </w:pPr>
            <w:r w:rsidRPr="00FD16CE">
              <w:rPr>
                <w:rFonts w:ascii="Cambria" w:hAnsi="Cambria"/>
                <w:b/>
                <w:bCs/>
                <w:color w:val="FFFFFF" w:themeColor="background1"/>
                <w:sz w:val="20"/>
                <w:szCs w:val="20"/>
              </w:rPr>
              <w:t>Estado denunciado:</w:t>
            </w:r>
          </w:p>
        </w:tc>
        <w:tc>
          <w:tcPr>
            <w:tcW w:w="5760" w:type="dxa"/>
            <w:vAlign w:val="center"/>
          </w:tcPr>
          <w:p w14:paraId="0BCE56AB" w14:textId="77777777" w:rsidR="003239B8" w:rsidRPr="00FD16CE" w:rsidRDefault="00BE4E90" w:rsidP="0044628A">
            <w:pPr>
              <w:jc w:val="both"/>
              <w:rPr>
                <w:rFonts w:ascii="Cambria" w:hAnsi="Cambria"/>
                <w:bCs/>
                <w:sz w:val="20"/>
                <w:szCs w:val="20"/>
              </w:rPr>
            </w:pPr>
            <w:r w:rsidRPr="00FD16CE">
              <w:rPr>
                <w:rFonts w:ascii="Cambria" w:hAnsi="Cambria"/>
                <w:bCs/>
                <w:sz w:val="20"/>
                <w:szCs w:val="20"/>
              </w:rPr>
              <w:t>Uruguay</w:t>
            </w:r>
          </w:p>
        </w:tc>
      </w:tr>
      <w:tr w:rsidR="00223A29" w:rsidRPr="00FD16CE" w14:paraId="5B0E6544" w14:textId="77777777" w:rsidTr="004A6A54">
        <w:tc>
          <w:tcPr>
            <w:tcW w:w="3600" w:type="dxa"/>
            <w:tcBorders>
              <w:top w:val="single" w:sz="6" w:space="0" w:color="auto"/>
              <w:bottom w:val="single" w:sz="6" w:space="0" w:color="auto"/>
            </w:tcBorders>
            <w:shd w:val="clear" w:color="auto" w:fill="386294"/>
            <w:vAlign w:val="center"/>
          </w:tcPr>
          <w:p w14:paraId="6AC224B2" w14:textId="77777777" w:rsidR="00223A29" w:rsidRPr="00FD16CE" w:rsidRDefault="001B3A00" w:rsidP="0044628A">
            <w:pPr>
              <w:jc w:val="center"/>
              <w:rPr>
                <w:rFonts w:ascii="Cambria" w:hAnsi="Cambria"/>
                <w:b/>
                <w:bCs/>
                <w:color w:val="FFFFFF" w:themeColor="background1"/>
                <w:sz w:val="20"/>
                <w:szCs w:val="20"/>
              </w:rPr>
            </w:pPr>
            <w:r w:rsidRPr="00FD16CE">
              <w:rPr>
                <w:rFonts w:ascii="Cambria" w:hAnsi="Cambria"/>
                <w:b/>
                <w:bCs/>
                <w:color w:val="FFFFFF" w:themeColor="background1"/>
                <w:sz w:val="20"/>
                <w:szCs w:val="20"/>
              </w:rPr>
              <w:t xml:space="preserve">Derechos </w:t>
            </w:r>
            <w:r w:rsidR="00E4118C" w:rsidRPr="00FD16CE">
              <w:rPr>
                <w:rFonts w:ascii="Cambria" w:hAnsi="Cambria"/>
                <w:b/>
                <w:bCs/>
                <w:color w:val="FFFFFF" w:themeColor="background1"/>
                <w:sz w:val="20"/>
                <w:szCs w:val="20"/>
              </w:rPr>
              <w:t>invocados</w:t>
            </w:r>
            <w:r w:rsidRPr="00FD16CE">
              <w:rPr>
                <w:rFonts w:ascii="Cambria" w:hAnsi="Cambria"/>
                <w:b/>
                <w:bCs/>
                <w:color w:val="FFFFFF" w:themeColor="background1"/>
                <w:sz w:val="20"/>
                <w:szCs w:val="20"/>
              </w:rPr>
              <w:t>:</w:t>
            </w:r>
          </w:p>
        </w:tc>
        <w:tc>
          <w:tcPr>
            <w:tcW w:w="5760" w:type="dxa"/>
            <w:vAlign w:val="center"/>
          </w:tcPr>
          <w:p w14:paraId="3506A5AB" w14:textId="00678720" w:rsidR="00223A29" w:rsidRPr="00FD16CE" w:rsidRDefault="00BE4E90" w:rsidP="0044628A">
            <w:pPr>
              <w:jc w:val="both"/>
              <w:rPr>
                <w:rFonts w:ascii="Cambria" w:hAnsi="Cambria"/>
                <w:bCs/>
                <w:sz w:val="20"/>
                <w:szCs w:val="20"/>
              </w:rPr>
            </w:pPr>
            <w:r w:rsidRPr="00FD16CE">
              <w:rPr>
                <w:rFonts w:ascii="Cambria" w:hAnsi="Cambria"/>
                <w:bCs/>
                <w:sz w:val="20"/>
                <w:szCs w:val="20"/>
              </w:rPr>
              <w:t xml:space="preserve">Artículos </w:t>
            </w:r>
            <w:r w:rsidR="00A032EB" w:rsidRPr="00FD16CE">
              <w:rPr>
                <w:rFonts w:ascii="Cambria" w:hAnsi="Cambria"/>
                <w:bCs/>
                <w:sz w:val="20"/>
                <w:szCs w:val="20"/>
              </w:rPr>
              <w:t xml:space="preserve">4 (vida), </w:t>
            </w:r>
            <w:r w:rsidR="00671AA7" w:rsidRPr="00FD16CE">
              <w:rPr>
                <w:rFonts w:ascii="Cambria" w:hAnsi="Cambria"/>
                <w:bCs/>
                <w:sz w:val="20"/>
                <w:szCs w:val="20"/>
              </w:rPr>
              <w:t>5 (integridad personal), 7 (libertad personal), 8 (garantías judiciales),</w:t>
            </w:r>
            <w:r w:rsidR="002F3B80" w:rsidRPr="00FD16CE">
              <w:rPr>
                <w:rFonts w:ascii="Cambria" w:hAnsi="Cambria"/>
                <w:bCs/>
                <w:sz w:val="20"/>
                <w:szCs w:val="20"/>
              </w:rPr>
              <w:t xml:space="preserve"> </w:t>
            </w:r>
            <w:r w:rsidR="00A032EB" w:rsidRPr="00FD16CE">
              <w:rPr>
                <w:rFonts w:ascii="Cambria" w:hAnsi="Cambria"/>
                <w:bCs/>
                <w:sz w:val="20"/>
                <w:szCs w:val="20"/>
              </w:rPr>
              <w:t>9 (legalidad y retroactividad), 13</w:t>
            </w:r>
            <w:r w:rsidR="00C524AB" w:rsidRPr="00FD16CE">
              <w:rPr>
                <w:rFonts w:ascii="Cambria" w:hAnsi="Cambria"/>
                <w:bCs/>
                <w:sz w:val="20"/>
                <w:szCs w:val="20"/>
              </w:rPr>
              <w:t xml:space="preserve"> (libertad de expresión),</w:t>
            </w:r>
            <w:r w:rsidR="00F05490" w:rsidRPr="00FD16CE">
              <w:rPr>
                <w:rFonts w:ascii="Cambria" w:hAnsi="Cambria"/>
                <w:bCs/>
                <w:sz w:val="20"/>
                <w:szCs w:val="20"/>
              </w:rPr>
              <w:t xml:space="preserve"> </w:t>
            </w:r>
            <w:r w:rsidR="00C524AB" w:rsidRPr="00FD16CE">
              <w:rPr>
                <w:rFonts w:ascii="Cambria" w:hAnsi="Cambria"/>
                <w:bCs/>
                <w:sz w:val="20"/>
                <w:szCs w:val="20"/>
              </w:rPr>
              <w:t>21 (propiedad privada), 24 (igualdad ante la ley)</w:t>
            </w:r>
            <w:r w:rsidR="001A7194" w:rsidRPr="00FD16CE">
              <w:rPr>
                <w:rFonts w:ascii="Cambria" w:hAnsi="Cambria"/>
                <w:bCs/>
                <w:sz w:val="20"/>
                <w:szCs w:val="20"/>
              </w:rPr>
              <w:t>,</w:t>
            </w:r>
            <w:r w:rsidR="00671AA7" w:rsidRPr="00FD16CE">
              <w:rPr>
                <w:rFonts w:ascii="Cambria" w:hAnsi="Cambria"/>
                <w:bCs/>
                <w:sz w:val="20"/>
                <w:szCs w:val="20"/>
              </w:rPr>
              <w:t xml:space="preserve"> 25 (protección judicial)</w:t>
            </w:r>
            <w:r w:rsidR="001A7194" w:rsidRPr="00FD16CE">
              <w:rPr>
                <w:rFonts w:ascii="Cambria" w:hAnsi="Cambria"/>
                <w:bCs/>
                <w:sz w:val="20"/>
                <w:szCs w:val="20"/>
              </w:rPr>
              <w:t>, 26 (desarrollo progresivo), 29 (normas de interpretación), 30 (alcance de las restricciones) y 32 (deberes y derechos)</w:t>
            </w:r>
            <w:r w:rsidR="00671AA7" w:rsidRPr="00FD16CE">
              <w:rPr>
                <w:rFonts w:ascii="Cambria" w:hAnsi="Cambria"/>
                <w:bCs/>
                <w:sz w:val="20"/>
                <w:szCs w:val="20"/>
              </w:rPr>
              <w:t xml:space="preserve"> de la Convención Americana </w:t>
            </w:r>
            <w:r w:rsidR="004577AB" w:rsidRPr="00FD16CE">
              <w:rPr>
                <w:rFonts w:ascii="Cambria" w:hAnsi="Cambria"/>
                <w:bCs/>
                <w:sz w:val="20"/>
                <w:szCs w:val="20"/>
              </w:rPr>
              <w:t>sobre</w:t>
            </w:r>
            <w:r w:rsidR="00671AA7" w:rsidRPr="00FD16CE">
              <w:rPr>
                <w:rFonts w:ascii="Cambria" w:hAnsi="Cambria"/>
                <w:bCs/>
                <w:sz w:val="20"/>
                <w:szCs w:val="20"/>
              </w:rPr>
              <w:t xml:space="preserve"> Derechos Humanos</w:t>
            </w:r>
            <w:r w:rsidR="00671AA7" w:rsidRPr="00FD16CE">
              <w:rPr>
                <w:rStyle w:val="FootnoteReference"/>
                <w:rFonts w:ascii="Cambria" w:hAnsi="Cambria"/>
                <w:bCs/>
                <w:sz w:val="20"/>
                <w:szCs w:val="20"/>
              </w:rPr>
              <w:footnoteReference w:id="2"/>
            </w:r>
            <w:r w:rsidR="00C524AB" w:rsidRPr="00FD16CE">
              <w:rPr>
                <w:rFonts w:ascii="Cambria" w:hAnsi="Cambria"/>
                <w:bCs/>
                <w:sz w:val="20"/>
                <w:szCs w:val="20"/>
              </w:rPr>
              <w:t xml:space="preserve"> en relación con su</w:t>
            </w:r>
            <w:r w:rsidR="001A7194" w:rsidRPr="00FD16CE">
              <w:rPr>
                <w:rFonts w:ascii="Cambria" w:hAnsi="Cambria"/>
                <w:bCs/>
                <w:sz w:val="20"/>
                <w:szCs w:val="20"/>
              </w:rPr>
              <w:t>s</w:t>
            </w:r>
            <w:r w:rsidR="00C524AB" w:rsidRPr="00FD16CE">
              <w:rPr>
                <w:rFonts w:ascii="Cambria" w:hAnsi="Cambria"/>
                <w:bCs/>
                <w:sz w:val="20"/>
                <w:szCs w:val="20"/>
              </w:rPr>
              <w:t xml:space="preserve"> artículo</w:t>
            </w:r>
            <w:r w:rsidR="001A7194" w:rsidRPr="00FD16CE">
              <w:rPr>
                <w:rFonts w:ascii="Cambria" w:hAnsi="Cambria"/>
                <w:bCs/>
                <w:sz w:val="20"/>
                <w:szCs w:val="20"/>
              </w:rPr>
              <w:t>s 1.1 (obligación de respetar los derechos) y</w:t>
            </w:r>
            <w:r w:rsidR="00C524AB" w:rsidRPr="00FD16CE">
              <w:rPr>
                <w:rFonts w:ascii="Cambria" w:hAnsi="Cambria"/>
                <w:bCs/>
                <w:sz w:val="20"/>
                <w:szCs w:val="20"/>
              </w:rPr>
              <w:t xml:space="preserve"> 2 (deber de adoptar disposiciones de derecho interno)</w:t>
            </w:r>
            <w:r w:rsidR="00E243F9" w:rsidRPr="00FD16CE">
              <w:rPr>
                <w:rFonts w:ascii="Cambria" w:hAnsi="Cambria"/>
                <w:bCs/>
                <w:sz w:val="20"/>
                <w:szCs w:val="20"/>
              </w:rPr>
              <w:t>;</w:t>
            </w:r>
            <w:r w:rsidR="00DA3C2B" w:rsidRPr="00FD16CE">
              <w:rPr>
                <w:rFonts w:ascii="Cambria" w:hAnsi="Cambria"/>
                <w:bCs/>
                <w:sz w:val="20"/>
                <w:szCs w:val="20"/>
              </w:rPr>
              <w:t xml:space="preserve"> </w:t>
            </w:r>
            <w:r w:rsidR="00972192" w:rsidRPr="00FD16CE">
              <w:rPr>
                <w:rFonts w:ascii="Cambria" w:hAnsi="Cambria"/>
                <w:bCs/>
                <w:sz w:val="20"/>
                <w:szCs w:val="20"/>
              </w:rPr>
              <w:t xml:space="preserve">Convención </w:t>
            </w:r>
            <w:r w:rsidR="00D14E21" w:rsidRPr="00FD16CE">
              <w:rPr>
                <w:rFonts w:ascii="Cambria" w:hAnsi="Cambria"/>
                <w:bCs/>
                <w:sz w:val="20"/>
                <w:szCs w:val="20"/>
              </w:rPr>
              <w:t>Interamericana para la Protección de las Personas Mayores</w:t>
            </w:r>
            <w:r w:rsidR="00CB51D5" w:rsidRPr="00FD16CE">
              <w:rPr>
                <w:rFonts w:ascii="Cambria" w:hAnsi="Cambria"/>
                <w:bCs/>
                <w:sz w:val="20"/>
                <w:szCs w:val="20"/>
              </w:rPr>
              <w:t xml:space="preserve">; </w:t>
            </w:r>
            <w:r w:rsidR="00726274" w:rsidRPr="00FD16CE">
              <w:rPr>
                <w:rFonts w:ascii="Cambria" w:hAnsi="Cambria"/>
                <w:bCs/>
                <w:sz w:val="20"/>
                <w:szCs w:val="20"/>
              </w:rPr>
              <w:t xml:space="preserve">y </w:t>
            </w:r>
            <w:r w:rsidR="0044628A" w:rsidRPr="00FD16CE">
              <w:rPr>
                <w:rFonts w:ascii="Cambria" w:hAnsi="Cambria"/>
                <w:bCs/>
                <w:sz w:val="20"/>
                <w:szCs w:val="20"/>
              </w:rPr>
              <w:t>t</w:t>
            </w:r>
            <w:r w:rsidR="00DA3C2B" w:rsidRPr="00FD16CE">
              <w:rPr>
                <w:rFonts w:ascii="Cambria" w:hAnsi="Cambria"/>
                <w:bCs/>
                <w:sz w:val="20"/>
                <w:szCs w:val="20"/>
              </w:rPr>
              <w:t xml:space="preserve">ambién </w:t>
            </w:r>
            <w:r w:rsidR="0044628A" w:rsidRPr="00FD16CE">
              <w:rPr>
                <w:rFonts w:ascii="Cambria" w:hAnsi="Cambria"/>
                <w:bCs/>
                <w:sz w:val="20"/>
                <w:szCs w:val="20"/>
              </w:rPr>
              <w:t xml:space="preserve">invoca la Declaración Americana de Derechos y Deberes del Hombre </w:t>
            </w:r>
            <w:r w:rsidR="00DA3C2B" w:rsidRPr="00FD16CE">
              <w:rPr>
                <w:rFonts w:ascii="Cambria" w:hAnsi="Cambria"/>
                <w:bCs/>
                <w:sz w:val="20"/>
                <w:szCs w:val="20"/>
              </w:rPr>
              <w:t>sin especificar artículos</w:t>
            </w:r>
          </w:p>
        </w:tc>
      </w:tr>
    </w:tbl>
    <w:p w14:paraId="524FBADE" w14:textId="77777777" w:rsidR="003239B8" w:rsidRPr="00FD16CE" w:rsidRDefault="003239B8" w:rsidP="0044628A">
      <w:pPr>
        <w:spacing w:before="240" w:after="240"/>
        <w:ind w:firstLine="720"/>
        <w:jc w:val="both"/>
        <w:rPr>
          <w:rFonts w:asciiTheme="majorHAnsi" w:hAnsiTheme="majorHAnsi"/>
          <w:b/>
          <w:bCs/>
          <w:sz w:val="20"/>
          <w:szCs w:val="20"/>
        </w:rPr>
      </w:pPr>
      <w:r w:rsidRPr="00FD16CE">
        <w:rPr>
          <w:rFonts w:asciiTheme="majorHAnsi" w:hAnsiTheme="majorHAnsi"/>
          <w:b/>
          <w:bCs/>
          <w:sz w:val="20"/>
          <w:szCs w:val="20"/>
        </w:rPr>
        <w:t>II.</w:t>
      </w:r>
      <w:r w:rsidRPr="00FD16CE">
        <w:rPr>
          <w:rFonts w:asciiTheme="majorHAnsi" w:hAnsiTheme="majorHAnsi"/>
          <w:b/>
          <w:bCs/>
          <w:sz w:val="20"/>
          <w:szCs w:val="20"/>
        </w:rPr>
        <w:tab/>
        <w:t>TRÁMITE ANTE LA CIDH</w:t>
      </w:r>
      <w:r w:rsidR="008E3BFE" w:rsidRPr="00FD16C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BE4E90" w:rsidRPr="00FD16CE" w14:paraId="3622AB7E" w14:textId="77777777" w:rsidTr="007B432F">
        <w:tc>
          <w:tcPr>
            <w:tcW w:w="3600" w:type="dxa"/>
            <w:tcBorders>
              <w:top w:val="single" w:sz="6" w:space="0" w:color="auto"/>
              <w:bottom w:val="single" w:sz="6" w:space="0" w:color="auto"/>
            </w:tcBorders>
            <w:shd w:val="clear" w:color="auto" w:fill="386294"/>
            <w:vAlign w:val="center"/>
          </w:tcPr>
          <w:p w14:paraId="57C0B655" w14:textId="77777777" w:rsidR="00BE4E90" w:rsidRPr="00FD16CE" w:rsidRDefault="00BE4E90" w:rsidP="0044628A">
            <w:pPr>
              <w:jc w:val="center"/>
              <w:rPr>
                <w:rFonts w:ascii="Cambria" w:hAnsi="Cambria"/>
                <w:b/>
                <w:bCs/>
                <w:color w:val="FFFFFF" w:themeColor="background1"/>
                <w:sz w:val="20"/>
                <w:szCs w:val="20"/>
              </w:rPr>
            </w:pPr>
            <w:r w:rsidRPr="00FD16CE">
              <w:rPr>
                <w:rFonts w:ascii="Cambria" w:hAnsi="Cambria"/>
                <w:b/>
                <w:bCs/>
                <w:color w:val="FFFFFF" w:themeColor="background1"/>
                <w:sz w:val="20"/>
                <w:szCs w:val="20"/>
              </w:rPr>
              <w:t>Presentación de la petición:</w:t>
            </w:r>
          </w:p>
        </w:tc>
        <w:tc>
          <w:tcPr>
            <w:tcW w:w="5760" w:type="dxa"/>
            <w:vAlign w:val="center"/>
          </w:tcPr>
          <w:p w14:paraId="171FB2FF" w14:textId="2790CE47" w:rsidR="00BE4E90" w:rsidRPr="00FD16CE" w:rsidRDefault="006C4A00" w:rsidP="0044628A">
            <w:pPr>
              <w:jc w:val="both"/>
              <w:rPr>
                <w:rFonts w:ascii="Cambria" w:hAnsi="Cambria"/>
                <w:bCs/>
                <w:sz w:val="20"/>
                <w:szCs w:val="20"/>
              </w:rPr>
            </w:pPr>
            <w:r w:rsidRPr="00FD16CE">
              <w:rPr>
                <w:rFonts w:ascii="Cambria" w:hAnsi="Cambria"/>
                <w:bCs/>
                <w:sz w:val="20"/>
                <w:szCs w:val="20"/>
              </w:rPr>
              <w:t>7</w:t>
            </w:r>
            <w:r w:rsidR="00AD4BA6" w:rsidRPr="00FD16CE">
              <w:rPr>
                <w:rFonts w:ascii="Cambria" w:hAnsi="Cambria"/>
                <w:bCs/>
                <w:sz w:val="20"/>
                <w:szCs w:val="20"/>
              </w:rPr>
              <w:t xml:space="preserve"> de octubre de </w:t>
            </w:r>
            <w:r w:rsidRPr="00FD16CE">
              <w:rPr>
                <w:rFonts w:ascii="Cambria" w:hAnsi="Cambria"/>
                <w:bCs/>
                <w:sz w:val="20"/>
                <w:szCs w:val="20"/>
              </w:rPr>
              <w:t>2009</w:t>
            </w:r>
          </w:p>
        </w:tc>
      </w:tr>
      <w:tr w:rsidR="00BE4E90" w:rsidRPr="00FD16CE" w14:paraId="5D798781" w14:textId="77777777" w:rsidTr="007B432F">
        <w:tc>
          <w:tcPr>
            <w:tcW w:w="3600" w:type="dxa"/>
            <w:tcBorders>
              <w:top w:val="single" w:sz="6" w:space="0" w:color="auto"/>
              <w:bottom w:val="single" w:sz="6" w:space="0" w:color="auto"/>
            </w:tcBorders>
            <w:shd w:val="clear" w:color="auto" w:fill="386294"/>
            <w:vAlign w:val="center"/>
          </w:tcPr>
          <w:p w14:paraId="6B19C5DB" w14:textId="77777777" w:rsidR="00BE4E90" w:rsidRPr="00FD16CE" w:rsidRDefault="00BE4E90" w:rsidP="0044628A">
            <w:pPr>
              <w:jc w:val="center"/>
              <w:rPr>
                <w:rFonts w:ascii="Cambria" w:hAnsi="Cambria"/>
                <w:b/>
                <w:bCs/>
                <w:color w:val="FFFFFF" w:themeColor="background1"/>
                <w:sz w:val="20"/>
                <w:szCs w:val="20"/>
              </w:rPr>
            </w:pPr>
            <w:r w:rsidRPr="00FD16CE">
              <w:rPr>
                <w:rFonts w:ascii="Cambria" w:hAnsi="Cambria"/>
                <w:b/>
                <w:bCs/>
                <w:color w:val="FFFFFF" w:themeColor="background1"/>
                <w:sz w:val="20"/>
                <w:szCs w:val="20"/>
              </w:rPr>
              <w:t>Información adicional recibida durante la etapa de estudio:</w:t>
            </w:r>
          </w:p>
        </w:tc>
        <w:tc>
          <w:tcPr>
            <w:tcW w:w="5760" w:type="dxa"/>
            <w:vAlign w:val="center"/>
          </w:tcPr>
          <w:p w14:paraId="56C84E87" w14:textId="6A384066" w:rsidR="00BE4E90" w:rsidRPr="00FD16CE" w:rsidRDefault="00D73635" w:rsidP="0044628A">
            <w:pPr>
              <w:jc w:val="both"/>
              <w:rPr>
                <w:rFonts w:ascii="Cambria" w:hAnsi="Cambria"/>
                <w:bCs/>
                <w:sz w:val="20"/>
                <w:szCs w:val="20"/>
              </w:rPr>
            </w:pPr>
            <w:r w:rsidRPr="00FD16CE">
              <w:rPr>
                <w:rFonts w:ascii="Cambria" w:hAnsi="Cambria"/>
                <w:bCs/>
                <w:sz w:val="20"/>
                <w:szCs w:val="20"/>
              </w:rPr>
              <w:t>6 de octubre de 2010; 18 de enero de 2011;</w:t>
            </w:r>
            <w:r w:rsidR="00A14803" w:rsidRPr="00FD16CE">
              <w:rPr>
                <w:rFonts w:ascii="Cambria" w:hAnsi="Cambria"/>
                <w:bCs/>
                <w:sz w:val="20"/>
                <w:szCs w:val="20"/>
              </w:rPr>
              <w:t xml:space="preserve"> 13 de febrero de 2012; y 23 de abril de 2013</w:t>
            </w:r>
          </w:p>
        </w:tc>
      </w:tr>
      <w:tr w:rsidR="00BE4E90" w:rsidRPr="00FD16CE" w14:paraId="21328F79" w14:textId="77777777" w:rsidTr="007B432F">
        <w:tc>
          <w:tcPr>
            <w:tcW w:w="3600" w:type="dxa"/>
            <w:tcBorders>
              <w:top w:val="single" w:sz="6" w:space="0" w:color="auto"/>
              <w:bottom w:val="single" w:sz="6" w:space="0" w:color="auto"/>
            </w:tcBorders>
            <w:shd w:val="clear" w:color="auto" w:fill="386294"/>
            <w:vAlign w:val="center"/>
          </w:tcPr>
          <w:p w14:paraId="1A504060" w14:textId="77777777" w:rsidR="00BE4E90" w:rsidRPr="00FD16CE" w:rsidRDefault="00BE4E90" w:rsidP="0044628A">
            <w:pPr>
              <w:jc w:val="center"/>
              <w:rPr>
                <w:rFonts w:ascii="Cambria" w:hAnsi="Cambria"/>
                <w:b/>
                <w:bCs/>
                <w:color w:val="FFFFFF" w:themeColor="background1"/>
                <w:sz w:val="20"/>
                <w:szCs w:val="20"/>
              </w:rPr>
            </w:pPr>
            <w:r w:rsidRPr="00FD16CE">
              <w:rPr>
                <w:rFonts w:ascii="Cambria" w:hAnsi="Cambria"/>
                <w:b/>
                <w:color w:val="FFFFFF" w:themeColor="background1"/>
                <w:sz w:val="20"/>
                <w:szCs w:val="20"/>
              </w:rPr>
              <w:t>Notificación de la petición al Estado:</w:t>
            </w:r>
          </w:p>
        </w:tc>
        <w:tc>
          <w:tcPr>
            <w:tcW w:w="5760" w:type="dxa"/>
            <w:vAlign w:val="center"/>
          </w:tcPr>
          <w:p w14:paraId="13C2548E" w14:textId="16CADE58" w:rsidR="00BE4E90" w:rsidRPr="00FD16CE" w:rsidRDefault="00A14803" w:rsidP="0044628A">
            <w:pPr>
              <w:jc w:val="both"/>
              <w:rPr>
                <w:rFonts w:ascii="Cambria" w:hAnsi="Cambria"/>
                <w:bCs/>
                <w:sz w:val="20"/>
                <w:szCs w:val="20"/>
              </w:rPr>
            </w:pPr>
            <w:r w:rsidRPr="00FD16CE">
              <w:rPr>
                <w:rFonts w:ascii="Cambria" w:hAnsi="Cambria"/>
                <w:bCs/>
                <w:sz w:val="20"/>
                <w:szCs w:val="20"/>
              </w:rPr>
              <w:t>2</w:t>
            </w:r>
            <w:r w:rsidR="006C4A00" w:rsidRPr="00FD16CE">
              <w:rPr>
                <w:rFonts w:ascii="Cambria" w:hAnsi="Cambria"/>
                <w:bCs/>
                <w:sz w:val="20"/>
                <w:szCs w:val="20"/>
              </w:rPr>
              <w:t xml:space="preserve"> de </w:t>
            </w:r>
            <w:r w:rsidRPr="00FD16CE">
              <w:rPr>
                <w:rFonts w:ascii="Cambria" w:hAnsi="Cambria"/>
                <w:bCs/>
                <w:sz w:val="20"/>
                <w:szCs w:val="20"/>
              </w:rPr>
              <w:t>marzo</w:t>
            </w:r>
            <w:r w:rsidR="006C4A00" w:rsidRPr="00FD16CE">
              <w:rPr>
                <w:rFonts w:ascii="Cambria" w:hAnsi="Cambria"/>
                <w:bCs/>
                <w:sz w:val="20"/>
                <w:szCs w:val="20"/>
              </w:rPr>
              <w:t xml:space="preserve"> de 2017</w:t>
            </w:r>
          </w:p>
        </w:tc>
      </w:tr>
      <w:tr w:rsidR="00BE4E90" w:rsidRPr="00FD16CE" w14:paraId="3BE6D352" w14:textId="77777777" w:rsidTr="007B432F">
        <w:tc>
          <w:tcPr>
            <w:tcW w:w="3600" w:type="dxa"/>
            <w:tcBorders>
              <w:top w:val="single" w:sz="6" w:space="0" w:color="auto"/>
              <w:bottom w:val="single" w:sz="6" w:space="0" w:color="auto"/>
            </w:tcBorders>
            <w:shd w:val="clear" w:color="auto" w:fill="386294"/>
            <w:vAlign w:val="center"/>
          </w:tcPr>
          <w:p w14:paraId="2BB6DE2A" w14:textId="77777777" w:rsidR="00BE4E90" w:rsidRPr="00FD16CE" w:rsidRDefault="00BE4E90" w:rsidP="0044628A">
            <w:pPr>
              <w:jc w:val="center"/>
              <w:rPr>
                <w:rFonts w:ascii="Cambria" w:hAnsi="Cambria"/>
                <w:b/>
                <w:bCs/>
                <w:color w:val="FFFFFF" w:themeColor="background1"/>
                <w:sz w:val="20"/>
                <w:szCs w:val="20"/>
              </w:rPr>
            </w:pPr>
            <w:r w:rsidRPr="00FD16CE">
              <w:rPr>
                <w:rFonts w:ascii="Cambria" w:hAnsi="Cambria"/>
                <w:b/>
                <w:color w:val="FFFFFF" w:themeColor="background1"/>
                <w:sz w:val="20"/>
                <w:szCs w:val="20"/>
              </w:rPr>
              <w:t>Primera respuesta del Estado:</w:t>
            </w:r>
          </w:p>
        </w:tc>
        <w:tc>
          <w:tcPr>
            <w:tcW w:w="5760" w:type="dxa"/>
            <w:vAlign w:val="center"/>
          </w:tcPr>
          <w:p w14:paraId="2175B67E" w14:textId="62274CA3" w:rsidR="00BE4E90" w:rsidRPr="00FD16CE" w:rsidRDefault="006C4A00" w:rsidP="0044628A">
            <w:pPr>
              <w:jc w:val="both"/>
              <w:rPr>
                <w:rFonts w:ascii="Cambria" w:hAnsi="Cambria"/>
                <w:bCs/>
                <w:sz w:val="20"/>
                <w:szCs w:val="20"/>
              </w:rPr>
            </w:pPr>
            <w:r w:rsidRPr="00FD16CE">
              <w:rPr>
                <w:rFonts w:ascii="Cambria" w:hAnsi="Cambria"/>
                <w:bCs/>
                <w:sz w:val="20"/>
                <w:szCs w:val="20"/>
              </w:rPr>
              <w:t>8 de mayo de 2017</w:t>
            </w:r>
          </w:p>
        </w:tc>
      </w:tr>
      <w:tr w:rsidR="00BE4E90" w:rsidRPr="00FD16CE" w14:paraId="7F0ED2A1" w14:textId="77777777" w:rsidTr="007B432F">
        <w:tc>
          <w:tcPr>
            <w:tcW w:w="3600" w:type="dxa"/>
            <w:tcBorders>
              <w:top w:val="single" w:sz="6" w:space="0" w:color="auto"/>
              <w:bottom w:val="single" w:sz="6" w:space="0" w:color="auto"/>
            </w:tcBorders>
            <w:shd w:val="clear" w:color="auto" w:fill="386294"/>
            <w:vAlign w:val="center"/>
          </w:tcPr>
          <w:p w14:paraId="2145B893" w14:textId="77777777" w:rsidR="00BE4E90" w:rsidRPr="00FD16CE" w:rsidRDefault="00BE4E90" w:rsidP="0044628A">
            <w:pPr>
              <w:jc w:val="center"/>
              <w:rPr>
                <w:rFonts w:ascii="Cambria" w:hAnsi="Cambria"/>
                <w:b/>
                <w:bCs/>
                <w:color w:val="FFFFFF" w:themeColor="background1"/>
                <w:sz w:val="20"/>
                <w:szCs w:val="20"/>
              </w:rPr>
            </w:pPr>
            <w:r w:rsidRPr="00FD16CE">
              <w:rPr>
                <w:rFonts w:ascii="Cambria" w:hAnsi="Cambria"/>
                <w:b/>
                <w:bCs/>
                <w:color w:val="FFFFFF" w:themeColor="background1"/>
                <w:sz w:val="20"/>
                <w:szCs w:val="20"/>
              </w:rPr>
              <w:t>Observaciones adicionales de la parte peticionaria:</w:t>
            </w:r>
          </w:p>
        </w:tc>
        <w:tc>
          <w:tcPr>
            <w:tcW w:w="5760" w:type="dxa"/>
            <w:vAlign w:val="center"/>
          </w:tcPr>
          <w:p w14:paraId="0AC69355" w14:textId="336C279B" w:rsidR="00BE4E90" w:rsidRPr="00FD16CE" w:rsidRDefault="002B4EA6" w:rsidP="0044628A">
            <w:pPr>
              <w:jc w:val="both"/>
              <w:rPr>
                <w:rFonts w:ascii="Cambria" w:hAnsi="Cambria"/>
                <w:bCs/>
                <w:sz w:val="20"/>
                <w:szCs w:val="20"/>
                <w:highlight w:val="lightGray"/>
              </w:rPr>
            </w:pPr>
            <w:r w:rsidRPr="00FD16CE">
              <w:rPr>
                <w:rFonts w:ascii="Cambria" w:hAnsi="Cambria"/>
                <w:bCs/>
                <w:sz w:val="20"/>
                <w:szCs w:val="20"/>
              </w:rPr>
              <w:t>18 de septiembre y 11 de octubre de 2017; 23 de abril, 2 de noviembre y 19 de diciembre de 2018; 20 de enero de 2020; y 12 de marzo de 2021</w:t>
            </w:r>
          </w:p>
        </w:tc>
      </w:tr>
      <w:tr w:rsidR="00BE4E90" w:rsidRPr="00FD16CE" w14:paraId="5DF2AB8C" w14:textId="77777777" w:rsidTr="007B432F">
        <w:tc>
          <w:tcPr>
            <w:tcW w:w="3600" w:type="dxa"/>
            <w:tcBorders>
              <w:top w:val="single" w:sz="6" w:space="0" w:color="auto"/>
              <w:bottom w:val="single" w:sz="6" w:space="0" w:color="auto"/>
            </w:tcBorders>
            <w:shd w:val="clear" w:color="auto" w:fill="386294"/>
            <w:vAlign w:val="center"/>
          </w:tcPr>
          <w:p w14:paraId="76B377E0" w14:textId="77777777" w:rsidR="00BE4E90" w:rsidRPr="00FD16CE" w:rsidRDefault="00BE4E90" w:rsidP="0044628A">
            <w:pPr>
              <w:jc w:val="center"/>
              <w:rPr>
                <w:rFonts w:ascii="Cambria" w:hAnsi="Cambria"/>
                <w:b/>
                <w:bCs/>
                <w:color w:val="FFFFFF" w:themeColor="background1"/>
                <w:sz w:val="20"/>
                <w:szCs w:val="20"/>
              </w:rPr>
            </w:pPr>
            <w:r w:rsidRPr="00FD16CE">
              <w:rPr>
                <w:rFonts w:ascii="Cambria" w:hAnsi="Cambria"/>
                <w:b/>
                <w:bCs/>
                <w:color w:val="FFFFFF" w:themeColor="background1"/>
                <w:sz w:val="20"/>
                <w:szCs w:val="20"/>
              </w:rPr>
              <w:t>Observaciones adicionales del Estado:</w:t>
            </w:r>
          </w:p>
        </w:tc>
        <w:tc>
          <w:tcPr>
            <w:tcW w:w="5760" w:type="dxa"/>
            <w:vAlign w:val="center"/>
          </w:tcPr>
          <w:p w14:paraId="5E0AC349" w14:textId="79EC23AE" w:rsidR="00BE4E90" w:rsidRPr="00FD16CE" w:rsidRDefault="002B4EA6" w:rsidP="0044628A">
            <w:pPr>
              <w:jc w:val="both"/>
              <w:rPr>
                <w:rFonts w:ascii="Cambria" w:hAnsi="Cambria"/>
                <w:bCs/>
                <w:sz w:val="20"/>
                <w:szCs w:val="20"/>
                <w:highlight w:val="lightGray"/>
              </w:rPr>
            </w:pPr>
            <w:r w:rsidRPr="00FD16CE">
              <w:rPr>
                <w:rFonts w:ascii="Cambria" w:hAnsi="Cambria"/>
                <w:bCs/>
                <w:sz w:val="20"/>
                <w:szCs w:val="20"/>
              </w:rPr>
              <w:t>9 de julio de 2018; y 1º de mayo de 2019</w:t>
            </w:r>
          </w:p>
        </w:tc>
      </w:tr>
      <w:tr w:rsidR="00B46EED" w:rsidRPr="00FD16CE" w14:paraId="6103181E" w14:textId="77777777" w:rsidTr="007B432F">
        <w:tc>
          <w:tcPr>
            <w:tcW w:w="3600" w:type="dxa"/>
            <w:tcBorders>
              <w:top w:val="single" w:sz="6" w:space="0" w:color="auto"/>
              <w:bottom w:val="single" w:sz="6" w:space="0" w:color="auto"/>
            </w:tcBorders>
            <w:shd w:val="clear" w:color="auto" w:fill="386294"/>
            <w:vAlign w:val="center"/>
          </w:tcPr>
          <w:p w14:paraId="0AD27397" w14:textId="76050574" w:rsidR="00B46EED" w:rsidRPr="00FD16CE" w:rsidRDefault="00B46EED" w:rsidP="0044628A">
            <w:pPr>
              <w:jc w:val="center"/>
              <w:rPr>
                <w:rFonts w:ascii="Cambria" w:hAnsi="Cambria"/>
                <w:b/>
                <w:bCs/>
                <w:color w:val="FFFFFF" w:themeColor="background1"/>
                <w:sz w:val="20"/>
                <w:szCs w:val="20"/>
              </w:rPr>
            </w:pPr>
            <w:r w:rsidRPr="00FD16CE">
              <w:rPr>
                <w:rFonts w:ascii="Cambria" w:hAnsi="Cambria"/>
                <w:b/>
                <w:bCs/>
                <w:color w:val="FFFFFF" w:themeColor="background1"/>
                <w:sz w:val="20"/>
                <w:szCs w:val="20"/>
              </w:rPr>
              <w:t>Medida cautelar asociada:</w:t>
            </w:r>
          </w:p>
        </w:tc>
        <w:tc>
          <w:tcPr>
            <w:tcW w:w="5760" w:type="dxa"/>
            <w:vAlign w:val="center"/>
          </w:tcPr>
          <w:p w14:paraId="46A91E7A" w14:textId="2A0892B4" w:rsidR="00B46EED" w:rsidRPr="00FD16CE" w:rsidRDefault="00B46EED" w:rsidP="0044628A">
            <w:pPr>
              <w:jc w:val="both"/>
              <w:rPr>
                <w:rFonts w:ascii="Cambria" w:hAnsi="Cambria"/>
                <w:bCs/>
                <w:sz w:val="20"/>
                <w:szCs w:val="20"/>
              </w:rPr>
            </w:pPr>
            <w:r w:rsidRPr="00FD16CE">
              <w:rPr>
                <w:rFonts w:ascii="Cambria" w:hAnsi="Cambria"/>
                <w:bCs/>
                <w:sz w:val="20"/>
                <w:szCs w:val="20"/>
              </w:rPr>
              <w:t>1720-</w:t>
            </w:r>
            <w:r w:rsidR="002E5E0C">
              <w:rPr>
                <w:rFonts w:ascii="Cambria" w:hAnsi="Cambria"/>
                <w:bCs/>
                <w:sz w:val="20"/>
                <w:szCs w:val="20"/>
              </w:rPr>
              <w:t>18:</w:t>
            </w:r>
            <w:r w:rsidRPr="00FD16CE">
              <w:rPr>
                <w:rFonts w:ascii="Cambria" w:hAnsi="Cambria"/>
                <w:bCs/>
                <w:sz w:val="20"/>
                <w:szCs w:val="20"/>
              </w:rPr>
              <w:t xml:space="preserve"> no otorgada</w:t>
            </w:r>
          </w:p>
        </w:tc>
      </w:tr>
    </w:tbl>
    <w:p w14:paraId="41AC0681" w14:textId="77777777" w:rsidR="003239B8" w:rsidRPr="00FD16CE" w:rsidRDefault="003239B8" w:rsidP="0044628A">
      <w:pPr>
        <w:spacing w:before="240" w:after="240"/>
        <w:ind w:firstLine="720"/>
        <w:jc w:val="both"/>
        <w:rPr>
          <w:rFonts w:asciiTheme="majorHAnsi" w:hAnsiTheme="majorHAnsi"/>
          <w:b/>
          <w:bCs/>
          <w:sz w:val="20"/>
          <w:szCs w:val="20"/>
        </w:rPr>
      </w:pPr>
      <w:r w:rsidRPr="00FD16CE">
        <w:rPr>
          <w:rFonts w:asciiTheme="majorHAnsi" w:hAnsiTheme="majorHAnsi"/>
          <w:b/>
          <w:bCs/>
          <w:sz w:val="20"/>
          <w:szCs w:val="20"/>
        </w:rPr>
        <w:t xml:space="preserve">III. </w:t>
      </w:r>
      <w:r w:rsidRPr="00FD16CE">
        <w:rPr>
          <w:rFonts w:asciiTheme="majorHAnsi" w:hAnsiTheme="majorHAnsi"/>
          <w:b/>
          <w:bCs/>
          <w:sz w:val="20"/>
          <w:szCs w:val="20"/>
        </w:rPr>
        <w:tab/>
        <w:t>COMPETENCIA</w:t>
      </w:r>
      <w:r w:rsidR="00EE00E9" w:rsidRPr="00FD16CE">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D16CE" w14:paraId="714878FD" w14:textId="77777777" w:rsidTr="004A6A54">
        <w:trPr>
          <w:cantSplit/>
        </w:trPr>
        <w:tc>
          <w:tcPr>
            <w:tcW w:w="3600" w:type="dxa"/>
            <w:tcBorders>
              <w:top w:val="single" w:sz="4" w:space="0" w:color="auto"/>
              <w:bottom w:val="single" w:sz="6" w:space="0" w:color="auto"/>
            </w:tcBorders>
            <w:shd w:val="clear" w:color="auto" w:fill="386294"/>
            <w:vAlign w:val="center"/>
          </w:tcPr>
          <w:p w14:paraId="7F826B3C" w14:textId="77777777" w:rsidR="003239B8" w:rsidRPr="00FD16CE" w:rsidRDefault="003239B8" w:rsidP="0044628A">
            <w:pPr>
              <w:jc w:val="center"/>
              <w:rPr>
                <w:rFonts w:ascii="Cambria" w:hAnsi="Cambria"/>
                <w:b/>
                <w:bCs/>
                <w:i/>
                <w:color w:val="FFFFFF" w:themeColor="background1"/>
                <w:sz w:val="20"/>
                <w:szCs w:val="20"/>
              </w:rPr>
            </w:pPr>
            <w:r w:rsidRPr="00FD16CE">
              <w:rPr>
                <w:rFonts w:ascii="Cambria" w:hAnsi="Cambria"/>
                <w:b/>
                <w:bCs/>
                <w:color w:val="FFFFFF" w:themeColor="background1"/>
                <w:sz w:val="20"/>
                <w:szCs w:val="20"/>
              </w:rPr>
              <w:t>Competencia</w:t>
            </w:r>
            <w:r w:rsidRPr="00FD16CE">
              <w:rPr>
                <w:rFonts w:ascii="Cambria" w:hAnsi="Cambria"/>
                <w:b/>
                <w:bCs/>
                <w:i/>
                <w:color w:val="FFFFFF" w:themeColor="background1"/>
                <w:sz w:val="20"/>
                <w:szCs w:val="20"/>
              </w:rPr>
              <w:t xml:space="preserve"> </w:t>
            </w:r>
            <w:proofErr w:type="spellStart"/>
            <w:r w:rsidRPr="00FD16CE">
              <w:rPr>
                <w:rFonts w:ascii="Cambria" w:hAnsi="Cambria"/>
                <w:b/>
                <w:bCs/>
                <w:i/>
                <w:color w:val="FFFFFF" w:themeColor="background1"/>
                <w:sz w:val="20"/>
                <w:szCs w:val="20"/>
              </w:rPr>
              <w:t>Ratione</w:t>
            </w:r>
            <w:proofErr w:type="spellEnd"/>
            <w:r w:rsidRPr="00FD16CE">
              <w:rPr>
                <w:rFonts w:ascii="Cambria" w:hAnsi="Cambria"/>
                <w:b/>
                <w:bCs/>
                <w:i/>
                <w:color w:val="FFFFFF" w:themeColor="background1"/>
                <w:sz w:val="20"/>
                <w:szCs w:val="20"/>
              </w:rPr>
              <w:t xml:space="preserve"> </w:t>
            </w:r>
            <w:proofErr w:type="spellStart"/>
            <w:r w:rsidRPr="00FD16CE">
              <w:rPr>
                <w:rFonts w:ascii="Cambria" w:hAnsi="Cambria"/>
                <w:b/>
                <w:bCs/>
                <w:i/>
                <w:color w:val="FFFFFF" w:themeColor="background1"/>
                <w:sz w:val="20"/>
                <w:szCs w:val="20"/>
              </w:rPr>
              <w:t>personae</w:t>
            </w:r>
            <w:proofErr w:type="spellEnd"/>
            <w:r w:rsidRPr="00FD16CE">
              <w:rPr>
                <w:rFonts w:ascii="Cambria" w:hAnsi="Cambria"/>
                <w:b/>
                <w:bCs/>
                <w:i/>
                <w:color w:val="FFFFFF" w:themeColor="background1"/>
                <w:sz w:val="20"/>
                <w:szCs w:val="20"/>
              </w:rPr>
              <w:t>:</w:t>
            </w:r>
          </w:p>
        </w:tc>
        <w:tc>
          <w:tcPr>
            <w:tcW w:w="5760" w:type="dxa"/>
            <w:vAlign w:val="center"/>
          </w:tcPr>
          <w:p w14:paraId="4958DDF9" w14:textId="77777777" w:rsidR="003239B8" w:rsidRPr="00FD16CE" w:rsidRDefault="00F87647" w:rsidP="0044628A">
            <w:pPr>
              <w:rPr>
                <w:rFonts w:ascii="Cambria" w:hAnsi="Cambria"/>
                <w:bCs/>
                <w:sz w:val="20"/>
                <w:szCs w:val="20"/>
              </w:rPr>
            </w:pPr>
            <w:r w:rsidRPr="00FD16CE">
              <w:rPr>
                <w:rFonts w:ascii="Cambria" w:hAnsi="Cambria"/>
                <w:bCs/>
                <w:sz w:val="20"/>
                <w:szCs w:val="20"/>
              </w:rPr>
              <w:t>Sí</w:t>
            </w:r>
          </w:p>
        </w:tc>
      </w:tr>
      <w:tr w:rsidR="003239B8" w:rsidRPr="00FD16CE" w14:paraId="38FC6B3D" w14:textId="77777777" w:rsidTr="004A6A54">
        <w:trPr>
          <w:cantSplit/>
        </w:trPr>
        <w:tc>
          <w:tcPr>
            <w:tcW w:w="3600" w:type="dxa"/>
            <w:tcBorders>
              <w:top w:val="single" w:sz="6" w:space="0" w:color="auto"/>
              <w:bottom w:val="single" w:sz="6" w:space="0" w:color="auto"/>
            </w:tcBorders>
            <w:shd w:val="clear" w:color="auto" w:fill="386294"/>
            <w:vAlign w:val="center"/>
          </w:tcPr>
          <w:p w14:paraId="04567275" w14:textId="77777777" w:rsidR="003239B8" w:rsidRPr="00FD16CE" w:rsidRDefault="003239B8" w:rsidP="0044628A">
            <w:pPr>
              <w:jc w:val="center"/>
              <w:rPr>
                <w:rFonts w:ascii="Cambria" w:hAnsi="Cambria"/>
                <w:b/>
                <w:bCs/>
                <w:color w:val="FFFFFF" w:themeColor="background1"/>
                <w:sz w:val="20"/>
                <w:szCs w:val="20"/>
              </w:rPr>
            </w:pPr>
            <w:r w:rsidRPr="00FD16CE">
              <w:rPr>
                <w:rFonts w:ascii="Cambria" w:hAnsi="Cambria"/>
                <w:b/>
                <w:bCs/>
                <w:color w:val="FFFFFF" w:themeColor="background1"/>
                <w:sz w:val="20"/>
                <w:szCs w:val="20"/>
              </w:rPr>
              <w:t>Competencia</w:t>
            </w:r>
            <w:r w:rsidRPr="00FD16CE">
              <w:rPr>
                <w:rFonts w:ascii="Cambria" w:hAnsi="Cambria"/>
                <w:b/>
                <w:bCs/>
                <w:i/>
                <w:color w:val="FFFFFF" w:themeColor="background1"/>
                <w:sz w:val="20"/>
                <w:szCs w:val="20"/>
              </w:rPr>
              <w:t xml:space="preserve"> </w:t>
            </w:r>
            <w:proofErr w:type="spellStart"/>
            <w:r w:rsidRPr="00FD16CE">
              <w:rPr>
                <w:rFonts w:ascii="Cambria" w:hAnsi="Cambria"/>
                <w:b/>
                <w:bCs/>
                <w:i/>
                <w:color w:val="FFFFFF" w:themeColor="background1"/>
                <w:sz w:val="20"/>
                <w:szCs w:val="20"/>
              </w:rPr>
              <w:t>Ratione</w:t>
            </w:r>
            <w:proofErr w:type="spellEnd"/>
            <w:r w:rsidRPr="00FD16CE">
              <w:rPr>
                <w:rFonts w:ascii="Cambria" w:hAnsi="Cambria"/>
                <w:b/>
                <w:bCs/>
                <w:i/>
                <w:color w:val="FFFFFF" w:themeColor="background1"/>
                <w:sz w:val="20"/>
                <w:szCs w:val="20"/>
              </w:rPr>
              <w:t xml:space="preserve"> loci</w:t>
            </w:r>
            <w:r w:rsidRPr="00FD16CE">
              <w:rPr>
                <w:rFonts w:ascii="Cambria" w:hAnsi="Cambria"/>
                <w:b/>
                <w:bCs/>
                <w:color w:val="FFFFFF" w:themeColor="background1"/>
                <w:sz w:val="20"/>
                <w:szCs w:val="20"/>
              </w:rPr>
              <w:t>:</w:t>
            </w:r>
          </w:p>
        </w:tc>
        <w:tc>
          <w:tcPr>
            <w:tcW w:w="5760" w:type="dxa"/>
            <w:vAlign w:val="center"/>
          </w:tcPr>
          <w:p w14:paraId="03719F64" w14:textId="77777777" w:rsidR="003239B8" w:rsidRPr="00FD16CE" w:rsidRDefault="00F87647" w:rsidP="0044628A">
            <w:pPr>
              <w:rPr>
                <w:rFonts w:ascii="Cambria" w:hAnsi="Cambria"/>
                <w:bCs/>
                <w:sz w:val="20"/>
                <w:szCs w:val="20"/>
              </w:rPr>
            </w:pPr>
            <w:r w:rsidRPr="00FD16CE">
              <w:rPr>
                <w:rFonts w:ascii="Cambria" w:hAnsi="Cambria"/>
                <w:bCs/>
                <w:sz w:val="20"/>
                <w:szCs w:val="20"/>
              </w:rPr>
              <w:t>Sí</w:t>
            </w:r>
          </w:p>
        </w:tc>
      </w:tr>
      <w:tr w:rsidR="003239B8" w:rsidRPr="00FD16CE" w14:paraId="277AC525" w14:textId="77777777" w:rsidTr="004A6A54">
        <w:trPr>
          <w:cantSplit/>
        </w:trPr>
        <w:tc>
          <w:tcPr>
            <w:tcW w:w="3600" w:type="dxa"/>
            <w:tcBorders>
              <w:top w:val="single" w:sz="6" w:space="0" w:color="auto"/>
              <w:bottom w:val="single" w:sz="6" w:space="0" w:color="auto"/>
            </w:tcBorders>
            <w:shd w:val="clear" w:color="auto" w:fill="386294"/>
            <w:vAlign w:val="center"/>
          </w:tcPr>
          <w:p w14:paraId="46AAC792" w14:textId="77777777" w:rsidR="003239B8" w:rsidRPr="00FD16CE" w:rsidRDefault="003239B8" w:rsidP="0044628A">
            <w:pPr>
              <w:jc w:val="center"/>
              <w:rPr>
                <w:rFonts w:ascii="Cambria" w:hAnsi="Cambria"/>
                <w:b/>
                <w:bCs/>
                <w:color w:val="FFFFFF" w:themeColor="background1"/>
                <w:sz w:val="20"/>
                <w:szCs w:val="20"/>
              </w:rPr>
            </w:pPr>
            <w:r w:rsidRPr="00FD16CE">
              <w:rPr>
                <w:rFonts w:ascii="Cambria" w:hAnsi="Cambria"/>
                <w:b/>
                <w:bCs/>
                <w:color w:val="FFFFFF" w:themeColor="background1"/>
                <w:sz w:val="20"/>
                <w:szCs w:val="20"/>
              </w:rPr>
              <w:t>Competencia</w:t>
            </w:r>
            <w:r w:rsidRPr="00FD16CE">
              <w:rPr>
                <w:rFonts w:ascii="Cambria" w:hAnsi="Cambria"/>
                <w:b/>
                <w:bCs/>
                <w:i/>
                <w:color w:val="FFFFFF" w:themeColor="background1"/>
                <w:sz w:val="20"/>
                <w:szCs w:val="20"/>
              </w:rPr>
              <w:t xml:space="preserve"> </w:t>
            </w:r>
            <w:proofErr w:type="spellStart"/>
            <w:r w:rsidRPr="00FD16CE">
              <w:rPr>
                <w:rFonts w:ascii="Cambria" w:hAnsi="Cambria"/>
                <w:b/>
                <w:bCs/>
                <w:i/>
                <w:color w:val="FFFFFF" w:themeColor="background1"/>
                <w:sz w:val="20"/>
                <w:szCs w:val="20"/>
              </w:rPr>
              <w:t>Ratione</w:t>
            </w:r>
            <w:proofErr w:type="spellEnd"/>
            <w:r w:rsidRPr="00FD16CE">
              <w:rPr>
                <w:rFonts w:ascii="Cambria" w:hAnsi="Cambria"/>
                <w:b/>
                <w:bCs/>
                <w:i/>
                <w:color w:val="FFFFFF" w:themeColor="background1"/>
                <w:sz w:val="20"/>
                <w:szCs w:val="20"/>
              </w:rPr>
              <w:t xml:space="preserve"> </w:t>
            </w:r>
            <w:proofErr w:type="spellStart"/>
            <w:r w:rsidRPr="00FD16CE">
              <w:rPr>
                <w:rFonts w:ascii="Cambria" w:hAnsi="Cambria"/>
                <w:b/>
                <w:bCs/>
                <w:i/>
                <w:color w:val="FFFFFF" w:themeColor="background1"/>
                <w:sz w:val="20"/>
                <w:szCs w:val="20"/>
              </w:rPr>
              <w:t>temporis</w:t>
            </w:r>
            <w:proofErr w:type="spellEnd"/>
            <w:r w:rsidRPr="00FD16CE">
              <w:rPr>
                <w:rFonts w:ascii="Cambria" w:hAnsi="Cambria"/>
                <w:b/>
                <w:bCs/>
                <w:color w:val="FFFFFF" w:themeColor="background1"/>
                <w:sz w:val="20"/>
                <w:szCs w:val="20"/>
              </w:rPr>
              <w:t>:</w:t>
            </w:r>
          </w:p>
        </w:tc>
        <w:tc>
          <w:tcPr>
            <w:tcW w:w="5760" w:type="dxa"/>
            <w:vAlign w:val="center"/>
          </w:tcPr>
          <w:p w14:paraId="20B6FFA9" w14:textId="77777777" w:rsidR="003239B8" w:rsidRPr="00FD16CE" w:rsidRDefault="00F87647" w:rsidP="0044628A">
            <w:pPr>
              <w:rPr>
                <w:bCs/>
                <w:sz w:val="20"/>
                <w:szCs w:val="20"/>
              </w:rPr>
            </w:pPr>
            <w:r w:rsidRPr="00FD16CE">
              <w:rPr>
                <w:bCs/>
                <w:sz w:val="20"/>
                <w:szCs w:val="20"/>
              </w:rPr>
              <w:t>Sí</w:t>
            </w:r>
          </w:p>
        </w:tc>
      </w:tr>
      <w:tr w:rsidR="003239B8" w:rsidRPr="00FD16CE" w14:paraId="1797CEC4" w14:textId="77777777" w:rsidTr="004A6A54">
        <w:trPr>
          <w:cantSplit/>
        </w:trPr>
        <w:tc>
          <w:tcPr>
            <w:tcW w:w="3600" w:type="dxa"/>
            <w:tcBorders>
              <w:top w:val="single" w:sz="6" w:space="0" w:color="auto"/>
              <w:bottom w:val="single" w:sz="6" w:space="0" w:color="auto"/>
            </w:tcBorders>
            <w:shd w:val="clear" w:color="auto" w:fill="386294"/>
            <w:vAlign w:val="center"/>
          </w:tcPr>
          <w:p w14:paraId="2BE9F29C" w14:textId="77777777" w:rsidR="003239B8" w:rsidRPr="00FD16CE" w:rsidRDefault="003239B8" w:rsidP="0044628A">
            <w:pPr>
              <w:jc w:val="center"/>
              <w:rPr>
                <w:rFonts w:ascii="Cambria" w:hAnsi="Cambria"/>
                <w:b/>
                <w:bCs/>
                <w:color w:val="FFFFFF" w:themeColor="background1"/>
                <w:sz w:val="20"/>
                <w:szCs w:val="20"/>
              </w:rPr>
            </w:pPr>
            <w:r w:rsidRPr="00FD16CE">
              <w:rPr>
                <w:rFonts w:ascii="Cambria" w:hAnsi="Cambria"/>
                <w:b/>
                <w:bCs/>
                <w:color w:val="FFFFFF" w:themeColor="background1"/>
                <w:sz w:val="20"/>
                <w:szCs w:val="20"/>
              </w:rPr>
              <w:t>Competencia</w:t>
            </w:r>
            <w:r w:rsidRPr="00FD16CE">
              <w:rPr>
                <w:rFonts w:ascii="Cambria" w:hAnsi="Cambria"/>
                <w:b/>
                <w:bCs/>
                <w:i/>
                <w:color w:val="FFFFFF" w:themeColor="background1"/>
                <w:sz w:val="20"/>
                <w:szCs w:val="20"/>
              </w:rPr>
              <w:t xml:space="preserve"> </w:t>
            </w:r>
            <w:proofErr w:type="spellStart"/>
            <w:r w:rsidRPr="00FD16CE">
              <w:rPr>
                <w:rFonts w:ascii="Cambria" w:hAnsi="Cambria"/>
                <w:b/>
                <w:bCs/>
                <w:i/>
                <w:color w:val="FFFFFF" w:themeColor="background1"/>
                <w:sz w:val="20"/>
                <w:szCs w:val="20"/>
              </w:rPr>
              <w:t>Ratione</w:t>
            </w:r>
            <w:proofErr w:type="spellEnd"/>
            <w:r w:rsidRPr="00FD16CE">
              <w:rPr>
                <w:rFonts w:ascii="Cambria" w:hAnsi="Cambria"/>
                <w:b/>
                <w:bCs/>
                <w:i/>
                <w:color w:val="FFFFFF" w:themeColor="background1"/>
                <w:sz w:val="20"/>
                <w:szCs w:val="20"/>
              </w:rPr>
              <w:t xml:space="preserve"> </w:t>
            </w:r>
            <w:proofErr w:type="spellStart"/>
            <w:r w:rsidRPr="00FD16CE">
              <w:rPr>
                <w:rFonts w:ascii="Cambria" w:hAnsi="Cambria"/>
                <w:b/>
                <w:bCs/>
                <w:i/>
                <w:color w:val="FFFFFF" w:themeColor="background1"/>
                <w:sz w:val="20"/>
                <w:szCs w:val="20"/>
              </w:rPr>
              <w:t>materia</w:t>
            </w:r>
            <w:r w:rsidR="00EE00E9" w:rsidRPr="00FD16CE">
              <w:rPr>
                <w:rFonts w:ascii="Cambria" w:hAnsi="Cambria"/>
                <w:b/>
                <w:bCs/>
                <w:i/>
                <w:color w:val="FFFFFF" w:themeColor="background1"/>
                <w:sz w:val="20"/>
                <w:szCs w:val="20"/>
              </w:rPr>
              <w:t>e</w:t>
            </w:r>
            <w:proofErr w:type="spellEnd"/>
            <w:r w:rsidRPr="00FD16CE">
              <w:rPr>
                <w:rFonts w:ascii="Cambria" w:hAnsi="Cambria"/>
                <w:b/>
                <w:bCs/>
                <w:color w:val="FFFFFF" w:themeColor="background1"/>
                <w:sz w:val="20"/>
                <w:szCs w:val="20"/>
              </w:rPr>
              <w:t>:</w:t>
            </w:r>
          </w:p>
        </w:tc>
        <w:tc>
          <w:tcPr>
            <w:tcW w:w="5760" w:type="dxa"/>
            <w:vAlign w:val="center"/>
          </w:tcPr>
          <w:p w14:paraId="490D202A" w14:textId="481980D1" w:rsidR="003239B8" w:rsidRPr="00FD16CE" w:rsidRDefault="00F87647" w:rsidP="0044628A">
            <w:pPr>
              <w:jc w:val="both"/>
              <w:rPr>
                <w:rFonts w:ascii="Cambria" w:hAnsi="Cambria"/>
                <w:bCs/>
                <w:sz w:val="20"/>
                <w:szCs w:val="20"/>
              </w:rPr>
            </w:pPr>
            <w:r w:rsidRPr="00FD16CE">
              <w:rPr>
                <w:rFonts w:ascii="Cambria" w:hAnsi="Cambria"/>
                <w:bCs/>
                <w:sz w:val="20"/>
                <w:szCs w:val="20"/>
              </w:rPr>
              <w:t>Sí, Convención Americana (de</w:t>
            </w:r>
            <w:r w:rsidR="00813EC3" w:rsidRPr="00FD16CE">
              <w:rPr>
                <w:rFonts w:ascii="Cambria" w:hAnsi="Cambria"/>
                <w:bCs/>
                <w:sz w:val="20"/>
                <w:szCs w:val="20"/>
              </w:rPr>
              <w:t xml:space="preserve">pósito del </w:t>
            </w:r>
            <w:r w:rsidR="008441BD" w:rsidRPr="00FD16CE">
              <w:rPr>
                <w:rFonts w:ascii="Cambria" w:hAnsi="Cambria"/>
                <w:bCs/>
                <w:sz w:val="20"/>
                <w:szCs w:val="20"/>
              </w:rPr>
              <w:t xml:space="preserve">instrumento realizado el </w:t>
            </w:r>
            <w:r w:rsidR="00B46EED" w:rsidRPr="00FD16CE">
              <w:rPr>
                <w:rFonts w:ascii="Cambria" w:hAnsi="Cambria"/>
                <w:bCs/>
                <w:sz w:val="20"/>
                <w:szCs w:val="20"/>
              </w:rPr>
              <w:t>19</w:t>
            </w:r>
            <w:r w:rsidR="00813EC3" w:rsidRPr="00FD16CE">
              <w:rPr>
                <w:rFonts w:ascii="Cambria" w:hAnsi="Cambria"/>
                <w:bCs/>
                <w:sz w:val="20"/>
                <w:szCs w:val="20"/>
              </w:rPr>
              <w:t xml:space="preserve"> de </w:t>
            </w:r>
            <w:r w:rsidR="00B46EED" w:rsidRPr="00FD16CE">
              <w:rPr>
                <w:rFonts w:ascii="Cambria" w:hAnsi="Cambria"/>
                <w:bCs/>
                <w:sz w:val="20"/>
                <w:szCs w:val="20"/>
              </w:rPr>
              <w:t>abril</w:t>
            </w:r>
            <w:r w:rsidR="008441BD" w:rsidRPr="00FD16CE">
              <w:rPr>
                <w:rFonts w:ascii="Cambria" w:hAnsi="Cambria"/>
                <w:bCs/>
                <w:sz w:val="20"/>
                <w:szCs w:val="20"/>
              </w:rPr>
              <w:t xml:space="preserve"> de 1985</w:t>
            </w:r>
            <w:r w:rsidR="00813EC3" w:rsidRPr="00FD16CE">
              <w:rPr>
                <w:rFonts w:ascii="Cambria" w:hAnsi="Cambria"/>
                <w:bCs/>
                <w:sz w:val="20"/>
                <w:szCs w:val="20"/>
              </w:rPr>
              <w:t xml:space="preserve">) </w:t>
            </w:r>
          </w:p>
        </w:tc>
      </w:tr>
    </w:tbl>
    <w:p w14:paraId="35E3F112" w14:textId="77777777" w:rsidR="003239B8" w:rsidRPr="00FD16CE" w:rsidRDefault="003239B8" w:rsidP="00A24FD3">
      <w:pPr>
        <w:spacing w:before="240" w:after="240"/>
        <w:ind w:left="1440" w:hanging="720"/>
        <w:jc w:val="both"/>
        <w:rPr>
          <w:rFonts w:asciiTheme="majorHAnsi" w:hAnsiTheme="majorHAnsi"/>
          <w:b/>
          <w:bCs/>
          <w:sz w:val="20"/>
          <w:szCs w:val="20"/>
        </w:rPr>
      </w:pPr>
      <w:r w:rsidRPr="00FD16CE">
        <w:rPr>
          <w:rFonts w:asciiTheme="majorHAnsi" w:hAnsiTheme="majorHAnsi"/>
          <w:b/>
          <w:bCs/>
          <w:sz w:val="20"/>
          <w:szCs w:val="20"/>
        </w:rPr>
        <w:t xml:space="preserve">IV. </w:t>
      </w:r>
      <w:r w:rsidRPr="00FD16CE">
        <w:rPr>
          <w:rFonts w:asciiTheme="majorHAnsi" w:hAnsiTheme="majorHAnsi"/>
          <w:b/>
          <w:bCs/>
          <w:sz w:val="20"/>
          <w:szCs w:val="20"/>
        </w:rPr>
        <w:tab/>
      </w:r>
      <w:r w:rsidR="00EE00E9" w:rsidRPr="00FD16CE">
        <w:rPr>
          <w:rFonts w:asciiTheme="majorHAnsi" w:hAnsiTheme="majorHAnsi"/>
          <w:b/>
          <w:bCs/>
          <w:sz w:val="20"/>
          <w:szCs w:val="20"/>
        </w:rPr>
        <w:t>DUPLICACIÓN</w:t>
      </w:r>
      <w:r w:rsidR="00EE00E9" w:rsidRPr="00FD16CE">
        <w:rPr>
          <w:rFonts w:asciiTheme="majorHAnsi" w:hAnsiTheme="majorHAnsi"/>
          <w:b/>
          <w:bCs/>
          <w:color w:val="FFFFFF" w:themeColor="background1"/>
          <w:sz w:val="20"/>
          <w:szCs w:val="20"/>
        </w:rPr>
        <w:t xml:space="preserve"> </w:t>
      </w:r>
      <w:r w:rsidR="00EE00E9" w:rsidRPr="00FD16CE">
        <w:rPr>
          <w:rFonts w:asciiTheme="majorHAnsi" w:hAnsiTheme="majorHAnsi"/>
          <w:b/>
          <w:bCs/>
          <w:sz w:val="20"/>
          <w:szCs w:val="20"/>
        </w:rPr>
        <w:t>DE PROCEDIMIENTOS Y COSA JUZGADA</w:t>
      </w:r>
      <w:r w:rsidR="00EE00E9" w:rsidRPr="00FD16CE">
        <w:rPr>
          <w:rFonts w:asciiTheme="majorHAnsi" w:hAnsiTheme="majorHAnsi"/>
          <w:b/>
          <w:bCs/>
          <w:i/>
          <w:sz w:val="20"/>
          <w:szCs w:val="20"/>
        </w:rPr>
        <w:t xml:space="preserve"> </w:t>
      </w:r>
      <w:r w:rsidR="00EE00E9" w:rsidRPr="00FD16CE">
        <w:rPr>
          <w:rFonts w:asciiTheme="majorHAnsi" w:hAnsiTheme="majorHAnsi"/>
          <w:b/>
          <w:bCs/>
          <w:sz w:val="20"/>
          <w:szCs w:val="20"/>
        </w:rPr>
        <w:t xml:space="preserve">INTERNACIONAL, </w:t>
      </w:r>
      <w:r w:rsidRPr="00FD16CE">
        <w:rPr>
          <w:rFonts w:asciiTheme="majorHAnsi" w:hAnsiTheme="majorHAnsi"/>
          <w:b/>
          <w:bCs/>
          <w:sz w:val="20"/>
          <w:szCs w:val="20"/>
        </w:rPr>
        <w:t xml:space="preserve">CARACTERIZACIÓN, </w:t>
      </w:r>
      <w:r w:rsidRPr="00FD16CE">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FD16CE" w14:paraId="5235CDB5" w14:textId="77777777" w:rsidTr="004A6A54">
        <w:trPr>
          <w:cantSplit/>
        </w:trPr>
        <w:tc>
          <w:tcPr>
            <w:tcW w:w="3600" w:type="dxa"/>
            <w:tcBorders>
              <w:top w:val="single" w:sz="4" w:space="0" w:color="auto"/>
              <w:bottom w:val="single" w:sz="6" w:space="0" w:color="auto"/>
            </w:tcBorders>
            <w:shd w:val="clear" w:color="auto" w:fill="386294"/>
            <w:vAlign w:val="center"/>
          </w:tcPr>
          <w:p w14:paraId="04A41E67" w14:textId="77777777" w:rsidR="00EE00E9" w:rsidRPr="00FD16CE" w:rsidRDefault="00EE00E9" w:rsidP="0044628A">
            <w:pPr>
              <w:jc w:val="center"/>
              <w:rPr>
                <w:rFonts w:ascii="Cambria" w:hAnsi="Cambria"/>
                <w:b/>
                <w:bCs/>
                <w:color w:val="FFFFFF" w:themeColor="background1"/>
                <w:sz w:val="20"/>
                <w:szCs w:val="20"/>
              </w:rPr>
            </w:pPr>
            <w:r w:rsidRPr="00FD16CE">
              <w:rPr>
                <w:rFonts w:ascii="Cambria" w:hAnsi="Cambria"/>
                <w:b/>
                <w:bCs/>
                <w:color w:val="FFFFFF" w:themeColor="background1"/>
                <w:sz w:val="20"/>
                <w:szCs w:val="20"/>
              </w:rPr>
              <w:t>Duplicación de procedimientos y cosa juzgada internacional:</w:t>
            </w:r>
          </w:p>
        </w:tc>
        <w:tc>
          <w:tcPr>
            <w:tcW w:w="5760" w:type="dxa"/>
            <w:vAlign w:val="center"/>
          </w:tcPr>
          <w:p w14:paraId="272F073F" w14:textId="77777777" w:rsidR="00EE00E9" w:rsidRPr="00FD16CE" w:rsidRDefault="00813EC3" w:rsidP="0044628A">
            <w:pPr>
              <w:jc w:val="both"/>
              <w:rPr>
                <w:rFonts w:ascii="Cambria" w:hAnsi="Cambria"/>
                <w:bCs/>
                <w:sz w:val="20"/>
                <w:szCs w:val="20"/>
              </w:rPr>
            </w:pPr>
            <w:r w:rsidRPr="00FD16CE">
              <w:rPr>
                <w:rFonts w:ascii="Cambria" w:hAnsi="Cambria"/>
                <w:bCs/>
                <w:sz w:val="20"/>
                <w:szCs w:val="20"/>
              </w:rPr>
              <w:t>No</w:t>
            </w:r>
          </w:p>
        </w:tc>
      </w:tr>
      <w:tr w:rsidR="003239B8" w:rsidRPr="00FD16CE" w14:paraId="7F9C32AF" w14:textId="77777777" w:rsidTr="004A6A54">
        <w:trPr>
          <w:cantSplit/>
        </w:trPr>
        <w:tc>
          <w:tcPr>
            <w:tcW w:w="3600" w:type="dxa"/>
            <w:tcBorders>
              <w:top w:val="single" w:sz="4" w:space="0" w:color="auto"/>
              <w:bottom w:val="single" w:sz="6" w:space="0" w:color="auto"/>
            </w:tcBorders>
            <w:shd w:val="clear" w:color="auto" w:fill="386294"/>
            <w:vAlign w:val="center"/>
          </w:tcPr>
          <w:p w14:paraId="75218014" w14:textId="77777777" w:rsidR="003239B8" w:rsidRPr="00FD16CE" w:rsidRDefault="003239B8" w:rsidP="0044628A">
            <w:pPr>
              <w:jc w:val="center"/>
              <w:rPr>
                <w:rFonts w:ascii="Cambria" w:hAnsi="Cambria"/>
                <w:b/>
                <w:bCs/>
                <w:i/>
                <w:color w:val="FFFFFF" w:themeColor="background1"/>
                <w:sz w:val="20"/>
                <w:szCs w:val="20"/>
              </w:rPr>
            </w:pPr>
            <w:r w:rsidRPr="00FD16CE">
              <w:rPr>
                <w:rFonts w:ascii="Cambria" w:hAnsi="Cambria"/>
                <w:b/>
                <w:bCs/>
                <w:color w:val="FFFFFF" w:themeColor="background1"/>
                <w:sz w:val="20"/>
                <w:szCs w:val="20"/>
              </w:rPr>
              <w:t>Derechos declarados admisibles</w:t>
            </w:r>
            <w:r w:rsidRPr="00FD16CE">
              <w:rPr>
                <w:rFonts w:ascii="Cambria" w:hAnsi="Cambria"/>
                <w:b/>
                <w:bCs/>
                <w:i/>
                <w:color w:val="FFFFFF" w:themeColor="background1"/>
                <w:sz w:val="20"/>
                <w:szCs w:val="20"/>
              </w:rPr>
              <w:t>:</w:t>
            </w:r>
          </w:p>
        </w:tc>
        <w:tc>
          <w:tcPr>
            <w:tcW w:w="5760" w:type="dxa"/>
            <w:vAlign w:val="center"/>
          </w:tcPr>
          <w:p w14:paraId="213B6B9D" w14:textId="7B70065B" w:rsidR="003239B8" w:rsidRPr="00FD16CE" w:rsidRDefault="00DB2575" w:rsidP="00DB2575">
            <w:pPr>
              <w:jc w:val="both"/>
              <w:rPr>
                <w:rFonts w:ascii="Cambria" w:hAnsi="Cambria"/>
                <w:bCs/>
                <w:sz w:val="20"/>
                <w:szCs w:val="20"/>
              </w:rPr>
            </w:pPr>
            <w:r w:rsidRPr="00FD16CE">
              <w:rPr>
                <w:rFonts w:ascii="Cambria" w:hAnsi="Cambria"/>
                <w:bCs/>
                <w:sz w:val="20"/>
                <w:szCs w:val="20"/>
              </w:rPr>
              <w:t xml:space="preserve">Artículos </w:t>
            </w:r>
            <w:r w:rsidR="00074640" w:rsidRPr="00FD16CE">
              <w:rPr>
                <w:rFonts w:ascii="Cambria" w:hAnsi="Cambria"/>
                <w:bCs/>
                <w:sz w:val="20"/>
                <w:szCs w:val="20"/>
              </w:rPr>
              <w:t xml:space="preserve">8 (garantías judiciales), 13 (libertad de expresión) y 25 (protección judicial) </w:t>
            </w:r>
            <w:r w:rsidR="00FD16CE" w:rsidRPr="00FD16CE">
              <w:rPr>
                <w:rFonts w:ascii="Cambria" w:hAnsi="Cambria"/>
                <w:bCs/>
                <w:sz w:val="20"/>
                <w:szCs w:val="20"/>
              </w:rPr>
              <w:t>d</w:t>
            </w:r>
            <w:r w:rsidRPr="00FD16CE">
              <w:rPr>
                <w:rFonts w:ascii="Cambria" w:hAnsi="Cambria"/>
                <w:bCs/>
                <w:sz w:val="20"/>
                <w:szCs w:val="20"/>
              </w:rPr>
              <w:t>e la Convención Americana</w:t>
            </w:r>
            <w:r w:rsidR="006633EB">
              <w:rPr>
                <w:rFonts w:ascii="Cambria" w:hAnsi="Cambria"/>
                <w:bCs/>
                <w:sz w:val="20"/>
                <w:szCs w:val="20"/>
              </w:rPr>
              <w:t>,</w:t>
            </w:r>
            <w:r w:rsidRPr="00FD16CE">
              <w:rPr>
                <w:rFonts w:ascii="Cambria" w:hAnsi="Cambria"/>
                <w:bCs/>
                <w:sz w:val="20"/>
                <w:szCs w:val="20"/>
              </w:rPr>
              <w:t xml:space="preserve"> en relación con su artículo 1.1 (obligación de respetar los derechos)</w:t>
            </w:r>
          </w:p>
        </w:tc>
      </w:tr>
      <w:tr w:rsidR="003239B8" w:rsidRPr="00FD16CE" w14:paraId="47501708" w14:textId="77777777" w:rsidTr="004A6A54">
        <w:trPr>
          <w:cantSplit/>
        </w:trPr>
        <w:tc>
          <w:tcPr>
            <w:tcW w:w="3600" w:type="dxa"/>
            <w:tcBorders>
              <w:top w:val="single" w:sz="6" w:space="0" w:color="auto"/>
              <w:bottom w:val="single" w:sz="6" w:space="0" w:color="auto"/>
            </w:tcBorders>
            <w:shd w:val="clear" w:color="auto" w:fill="386294"/>
            <w:vAlign w:val="center"/>
          </w:tcPr>
          <w:p w14:paraId="26515CCF" w14:textId="77777777" w:rsidR="003239B8" w:rsidRPr="00FD16CE" w:rsidRDefault="003239B8" w:rsidP="0044628A">
            <w:pPr>
              <w:jc w:val="center"/>
              <w:rPr>
                <w:rFonts w:ascii="Cambria" w:hAnsi="Cambria"/>
                <w:b/>
                <w:bCs/>
                <w:color w:val="FFFFFF" w:themeColor="background1"/>
                <w:sz w:val="20"/>
                <w:szCs w:val="20"/>
              </w:rPr>
            </w:pPr>
            <w:r w:rsidRPr="00FD16CE">
              <w:rPr>
                <w:rFonts w:ascii="Cambria" w:hAnsi="Cambria"/>
                <w:b/>
                <w:bCs/>
                <w:color w:val="FFFFFF" w:themeColor="background1"/>
                <w:sz w:val="20"/>
                <w:szCs w:val="20"/>
              </w:rPr>
              <w:t>Agotamiento de recursos internos</w:t>
            </w:r>
            <w:r w:rsidR="00EE00E9" w:rsidRPr="00FD16CE">
              <w:rPr>
                <w:rFonts w:ascii="Cambria" w:hAnsi="Cambria"/>
                <w:b/>
                <w:bCs/>
                <w:color w:val="FFFFFF" w:themeColor="background1"/>
                <w:sz w:val="20"/>
                <w:szCs w:val="20"/>
              </w:rPr>
              <w:t xml:space="preserve"> o procedencia de una excepción</w:t>
            </w:r>
            <w:r w:rsidRPr="00FD16CE">
              <w:rPr>
                <w:rFonts w:ascii="Cambria" w:hAnsi="Cambria"/>
                <w:b/>
                <w:bCs/>
                <w:color w:val="FFFFFF" w:themeColor="background1"/>
                <w:sz w:val="20"/>
                <w:szCs w:val="20"/>
              </w:rPr>
              <w:t>:</w:t>
            </w:r>
          </w:p>
        </w:tc>
        <w:tc>
          <w:tcPr>
            <w:tcW w:w="5760" w:type="dxa"/>
            <w:vAlign w:val="center"/>
          </w:tcPr>
          <w:p w14:paraId="1A624725" w14:textId="19BEF8B8" w:rsidR="003239B8" w:rsidRPr="00FD16CE" w:rsidRDefault="00813EC3" w:rsidP="0044628A">
            <w:pPr>
              <w:rPr>
                <w:rFonts w:ascii="Cambria" w:hAnsi="Cambria"/>
                <w:bCs/>
                <w:sz w:val="20"/>
                <w:szCs w:val="20"/>
              </w:rPr>
            </w:pPr>
            <w:r w:rsidRPr="00FD16CE">
              <w:rPr>
                <w:rFonts w:ascii="Cambria" w:hAnsi="Cambria"/>
                <w:bCs/>
                <w:sz w:val="20"/>
                <w:szCs w:val="20"/>
              </w:rPr>
              <w:t>Sí</w:t>
            </w:r>
            <w:r w:rsidR="002F3B80" w:rsidRPr="00FD16CE">
              <w:rPr>
                <w:rFonts w:ascii="Cambria" w:hAnsi="Cambria"/>
                <w:bCs/>
                <w:sz w:val="20"/>
                <w:szCs w:val="20"/>
              </w:rPr>
              <w:t>, en los términos de la sección VI</w:t>
            </w:r>
          </w:p>
        </w:tc>
      </w:tr>
      <w:tr w:rsidR="003239B8" w:rsidRPr="00772A77" w14:paraId="3458D8AD" w14:textId="77777777" w:rsidTr="004A6A54">
        <w:trPr>
          <w:cantSplit/>
        </w:trPr>
        <w:tc>
          <w:tcPr>
            <w:tcW w:w="3600" w:type="dxa"/>
            <w:tcBorders>
              <w:top w:val="single" w:sz="6" w:space="0" w:color="auto"/>
              <w:bottom w:val="single" w:sz="6" w:space="0" w:color="auto"/>
            </w:tcBorders>
            <w:shd w:val="clear" w:color="auto" w:fill="386294"/>
            <w:vAlign w:val="center"/>
          </w:tcPr>
          <w:p w14:paraId="66905769" w14:textId="77777777" w:rsidR="003239B8" w:rsidRPr="00671AA7" w:rsidRDefault="003239B8" w:rsidP="0044628A">
            <w:pPr>
              <w:jc w:val="center"/>
              <w:rPr>
                <w:rFonts w:ascii="Cambria" w:hAnsi="Cambria"/>
                <w:b/>
                <w:bCs/>
                <w:color w:val="FFFFFF" w:themeColor="background1"/>
                <w:sz w:val="20"/>
                <w:szCs w:val="20"/>
              </w:rPr>
            </w:pPr>
            <w:r w:rsidRPr="00671AA7">
              <w:rPr>
                <w:rFonts w:ascii="Cambria" w:hAnsi="Cambria"/>
                <w:b/>
                <w:bCs/>
                <w:color w:val="FFFFFF" w:themeColor="background1"/>
                <w:sz w:val="20"/>
                <w:szCs w:val="20"/>
              </w:rPr>
              <w:t>Presentación dentro de plazo:</w:t>
            </w:r>
          </w:p>
        </w:tc>
        <w:tc>
          <w:tcPr>
            <w:tcW w:w="5760" w:type="dxa"/>
            <w:vAlign w:val="center"/>
          </w:tcPr>
          <w:p w14:paraId="4A763840" w14:textId="77777777" w:rsidR="00813EC3" w:rsidRPr="004577AB" w:rsidRDefault="00813EC3" w:rsidP="0044628A">
            <w:pPr>
              <w:rPr>
                <w:rFonts w:asciiTheme="majorHAnsi" w:hAnsiTheme="majorHAnsi"/>
                <w:bCs/>
                <w:sz w:val="20"/>
                <w:szCs w:val="20"/>
              </w:rPr>
            </w:pPr>
            <w:r w:rsidRPr="0002692C">
              <w:rPr>
                <w:rFonts w:asciiTheme="majorHAnsi" w:hAnsiTheme="majorHAnsi"/>
                <w:bCs/>
                <w:sz w:val="20"/>
                <w:szCs w:val="20"/>
              </w:rPr>
              <w:t>Sí, en los términos de la sección VI</w:t>
            </w:r>
          </w:p>
        </w:tc>
      </w:tr>
    </w:tbl>
    <w:p w14:paraId="01022F5E" w14:textId="3448943A" w:rsidR="0044628A" w:rsidRPr="00854B85" w:rsidRDefault="00223A29" w:rsidP="00D83678">
      <w:pPr>
        <w:ind w:firstLine="709"/>
        <w:rPr>
          <w:rFonts w:asciiTheme="majorHAnsi" w:hAnsiTheme="majorHAnsi"/>
          <w:b/>
          <w:sz w:val="20"/>
          <w:szCs w:val="20"/>
          <w:lang w:val="es-ES_tradnl"/>
        </w:rPr>
      </w:pPr>
      <w:r w:rsidRPr="00854B85">
        <w:rPr>
          <w:rFonts w:asciiTheme="majorHAnsi" w:hAnsiTheme="majorHAnsi"/>
          <w:b/>
          <w:sz w:val="20"/>
          <w:szCs w:val="20"/>
          <w:lang w:val="es-ES_tradnl"/>
        </w:rPr>
        <w:lastRenderedPageBreak/>
        <w:t xml:space="preserve">V. </w:t>
      </w:r>
      <w:r w:rsidRPr="00854B85">
        <w:rPr>
          <w:rFonts w:asciiTheme="majorHAnsi" w:hAnsiTheme="majorHAnsi"/>
          <w:b/>
          <w:sz w:val="20"/>
          <w:szCs w:val="20"/>
          <w:lang w:val="es-ES_tradnl"/>
        </w:rPr>
        <w:tab/>
      </w:r>
      <w:r w:rsidR="003239B8" w:rsidRPr="00854B85">
        <w:rPr>
          <w:rFonts w:asciiTheme="majorHAnsi" w:hAnsiTheme="majorHAnsi"/>
          <w:b/>
          <w:sz w:val="20"/>
          <w:szCs w:val="20"/>
          <w:lang w:val="es-ES_tradnl"/>
        </w:rPr>
        <w:t xml:space="preserve">HECHOS ALEGADOS </w:t>
      </w:r>
    </w:p>
    <w:p w14:paraId="435D2A3F" w14:textId="2593ED43" w:rsidR="00544D35" w:rsidRPr="00854B85" w:rsidRDefault="00544D35"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bCs/>
          <w:sz w:val="20"/>
          <w:szCs w:val="20"/>
          <w:lang w:val="es-ES_tradnl"/>
        </w:rPr>
        <w:t xml:space="preserve">Higinio Pérez Miguel y Alberto Pérez Delgado (en adelante “los peticionarios”) denuncian presuntas violaciones a sus derechos humanos </w:t>
      </w:r>
      <w:r w:rsidR="003256C1" w:rsidRPr="00854B85">
        <w:rPr>
          <w:rFonts w:asciiTheme="majorHAnsi" w:hAnsiTheme="majorHAnsi"/>
          <w:bCs/>
          <w:sz w:val="20"/>
          <w:szCs w:val="20"/>
          <w:lang w:val="es-ES_tradnl"/>
        </w:rPr>
        <w:t xml:space="preserve">en </w:t>
      </w:r>
      <w:r w:rsidR="00472D14" w:rsidRPr="00854B85">
        <w:rPr>
          <w:rFonts w:asciiTheme="majorHAnsi" w:hAnsiTheme="majorHAnsi"/>
          <w:bCs/>
          <w:sz w:val="20"/>
          <w:szCs w:val="20"/>
          <w:lang w:val="es-ES_tradnl"/>
        </w:rPr>
        <w:t>el marco</w:t>
      </w:r>
      <w:r w:rsidR="003256C1" w:rsidRPr="00854B85">
        <w:rPr>
          <w:rFonts w:asciiTheme="majorHAnsi" w:hAnsiTheme="majorHAnsi"/>
          <w:bCs/>
          <w:sz w:val="20"/>
          <w:szCs w:val="20"/>
          <w:lang w:val="es-ES_tradnl"/>
        </w:rPr>
        <w:t xml:space="preserve"> de</w:t>
      </w:r>
      <w:r w:rsidR="008A368C" w:rsidRPr="00854B85">
        <w:rPr>
          <w:rFonts w:asciiTheme="majorHAnsi" w:hAnsiTheme="majorHAnsi"/>
          <w:bCs/>
          <w:sz w:val="20"/>
          <w:szCs w:val="20"/>
          <w:lang w:val="es-ES_tradnl"/>
        </w:rPr>
        <w:t xml:space="preserve"> un</w:t>
      </w:r>
      <w:r w:rsidRPr="00854B85">
        <w:rPr>
          <w:rFonts w:asciiTheme="majorHAnsi" w:hAnsiTheme="majorHAnsi"/>
          <w:bCs/>
          <w:sz w:val="20"/>
          <w:szCs w:val="20"/>
          <w:lang w:val="es-ES_tradnl"/>
        </w:rPr>
        <w:t xml:space="preserve"> </w:t>
      </w:r>
      <w:r w:rsidR="00AE4EBC" w:rsidRPr="00854B85">
        <w:rPr>
          <w:rFonts w:asciiTheme="majorHAnsi" w:hAnsiTheme="majorHAnsi"/>
          <w:bCs/>
          <w:sz w:val="20"/>
          <w:szCs w:val="20"/>
          <w:lang w:val="es-ES_tradnl"/>
        </w:rPr>
        <w:t>proceso</w:t>
      </w:r>
      <w:r w:rsidRPr="00854B85">
        <w:rPr>
          <w:rFonts w:asciiTheme="majorHAnsi" w:hAnsiTheme="majorHAnsi"/>
          <w:bCs/>
          <w:sz w:val="20"/>
          <w:szCs w:val="20"/>
          <w:lang w:val="es-ES_tradnl"/>
        </w:rPr>
        <w:t xml:space="preserve"> </w:t>
      </w:r>
      <w:r w:rsidR="00263F39" w:rsidRPr="00854B85">
        <w:rPr>
          <w:rFonts w:asciiTheme="majorHAnsi" w:hAnsiTheme="majorHAnsi"/>
          <w:bCs/>
          <w:sz w:val="20"/>
          <w:szCs w:val="20"/>
          <w:lang w:val="es-ES_tradnl"/>
        </w:rPr>
        <w:t>contencioso-administrativo</w:t>
      </w:r>
      <w:r w:rsidR="008A368C" w:rsidRPr="00854B85">
        <w:rPr>
          <w:rFonts w:asciiTheme="majorHAnsi" w:hAnsiTheme="majorHAnsi"/>
          <w:bCs/>
          <w:sz w:val="20"/>
          <w:szCs w:val="20"/>
          <w:lang w:val="es-ES_tradnl"/>
        </w:rPr>
        <w:t xml:space="preserve">; </w:t>
      </w:r>
      <w:r w:rsidR="00AE4EBC" w:rsidRPr="00854B85">
        <w:rPr>
          <w:rFonts w:asciiTheme="majorHAnsi" w:hAnsiTheme="majorHAnsi"/>
          <w:bCs/>
          <w:sz w:val="20"/>
          <w:szCs w:val="20"/>
          <w:lang w:val="es-ES_tradnl"/>
        </w:rPr>
        <w:t>la falta de investigación de</w:t>
      </w:r>
      <w:r w:rsidR="00D3029E" w:rsidRPr="00854B85">
        <w:rPr>
          <w:rFonts w:asciiTheme="majorHAnsi" w:hAnsiTheme="majorHAnsi"/>
          <w:bCs/>
          <w:sz w:val="20"/>
          <w:szCs w:val="20"/>
          <w:lang w:val="es-ES_tradnl"/>
        </w:rPr>
        <w:t xml:space="preserve"> una denuncia administrativa</w:t>
      </w:r>
      <w:r w:rsidR="008A368C" w:rsidRPr="00854B85">
        <w:rPr>
          <w:rFonts w:asciiTheme="majorHAnsi" w:hAnsiTheme="majorHAnsi"/>
          <w:bCs/>
          <w:sz w:val="20"/>
          <w:szCs w:val="20"/>
          <w:lang w:val="es-ES_tradnl"/>
        </w:rPr>
        <w:t>;</w:t>
      </w:r>
      <w:r w:rsidR="00AE4EBC" w:rsidRPr="00854B85">
        <w:rPr>
          <w:rFonts w:asciiTheme="majorHAnsi" w:hAnsiTheme="majorHAnsi"/>
          <w:bCs/>
          <w:sz w:val="20"/>
          <w:szCs w:val="20"/>
          <w:lang w:val="es-ES_tradnl"/>
        </w:rPr>
        <w:t xml:space="preserve"> la imposibilidad de acceso a la información pública</w:t>
      </w:r>
      <w:r w:rsidR="008A368C" w:rsidRPr="00854B85">
        <w:rPr>
          <w:rFonts w:asciiTheme="majorHAnsi" w:hAnsiTheme="majorHAnsi"/>
          <w:bCs/>
          <w:sz w:val="20"/>
          <w:szCs w:val="20"/>
          <w:lang w:val="es-ES_tradnl"/>
        </w:rPr>
        <w:t>; y</w:t>
      </w:r>
      <w:r w:rsidR="00AE4EBC" w:rsidRPr="00854B85">
        <w:rPr>
          <w:rFonts w:asciiTheme="majorHAnsi" w:hAnsiTheme="majorHAnsi"/>
          <w:bCs/>
          <w:sz w:val="20"/>
          <w:szCs w:val="20"/>
          <w:lang w:val="es-ES_tradnl"/>
        </w:rPr>
        <w:t xml:space="preserve"> la falta de aplicación de criterios convencionales en las resoluciones emitidas por los órganos judiciales de Uruguay.</w:t>
      </w:r>
    </w:p>
    <w:p w14:paraId="0CCA8A89" w14:textId="76AEF6F7" w:rsidR="007E6ACF" w:rsidRPr="00854B85" w:rsidRDefault="007E6ACF" w:rsidP="007E6ACF">
      <w:pPr>
        <w:pStyle w:val="ListParagraph"/>
        <w:suppressAutoHyphens/>
        <w:spacing w:before="240" w:after="240"/>
        <w:ind w:left="709"/>
        <w:jc w:val="both"/>
        <w:rPr>
          <w:rFonts w:asciiTheme="majorHAnsi" w:hAnsiTheme="majorHAnsi"/>
          <w:b/>
          <w:i/>
          <w:iCs/>
          <w:sz w:val="20"/>
          <w:szCs w:val="20"/>
          <w:lang w:val="es-ES_tradnl"/>
        </w:rPr>
      </w:pPr>
      <w:r w:rsidRPr="00854B85">
        <w:rPr>
          <w:rFonts w:asciiTheme="majorHAnsi" w:hAnsiTheme="majorHAnsi"/>
          <w:b/>
          <w:i/>
          <w:iCs/>
          <w:sz w:val="20"/>
          <w:szCs w:val="20"/>
          <w:lang w:val="es-ES_tradnl"/>
        </w:rPr>
        <w:t xml:space="preserve">Procedimiento </w:t>
      </w:r>
      <w:r w:rsidR="006936BE" w:rsidRPr="00854B85">
        <w:rPr>
          <w:rFonts w:asciiTheme="majorHAnsi" w:hAnsiTheme="majorHAnsi"/>
          <w:b/>
          <w:i/>
          <w:iCs/>
          <w:sz w:val="20"/>
          <w:szCs w:val="20"/>
          <w:lang w:val="es-ES_tradnl"/>
        </w:rPr>
        <w:t>c</w:t>
      </w:r>
      <w:r w:rsidRPr="00854B85">
        <w:rPr>
          <w:rFonts w:asciiTheme="majorHAnsi" w:hAnsiTheme="majorHAnsi"/>
          <w:b/>
          <w:i/>
          <w:iCs/>
          <w:sz w:val="20"/>
          <w:szCs w:val="20"/>
          <w:lang w:val="es-ES_tradnl"/>
        </w:rPr>
        <w:t>ontencioso</w:t>
      </w:r>
      <w:r w:rsidR="006936BE" w:rsidRPr="00854B85">
        <w:rPr>
          <w:rFonts w:asciiTheme="majorHAnsi" w:hAnsiTheme="majorHAnsi"/>
          <w:b/>
          <w:i/>
          <w:iCs/>
          <w:sz w:val="20"/>
          <w:szCs w:val="20"/>
          <w:lang w:val="es-ES_tradnl"/>
        </w:rPr>
        <w:t>-a</w:t>
      </w:r>
      <w:r w:rsidRPr="00854B85">
        <w:rPr>
          <w:rFonts w:asciiTheme="majorHAnsi" w:hAnsiTheme="majorHAnsi"/>
          <w:b/>
          <w:i/>
          <w:iCs/>
          <w:sz w:val="20"/>
          <w:szCs w:val="20"/>
          <w:lang w:val="es-ES_tradnl"/>
        </w:rPr>
        <w:t>dministrativo</w:t>
      </w:r>
    </w:p>
    <w:p w14:paraId="142CC9EA" w14:textId="05715B2F" w:rsidR="00E27D4E" w:rsidRPr="00854B85" w:rsidRDefault="00D8464D"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Los peticionarios </w:t>
      </w:r>
      <w:r w:rsidR="00DC668A" w:rsidRPr="00854B85">
        <w:rPr>
          <w:rFonts w:asciiTheme="majorHAnsi" w:hAnsiTheme="majorHAnsi"/>
          <w:sz w:val="20"/>
          <w:szCs w:val="20"/>
          <w:lang w:val="es-ES_tradnl"/>
        </w:rPr>
        <w:t>relatan</w:t>
      </w:r>
      <w:r w:rsidRPr="00854B85">
        <w:rPr>
          <w:rFonts w:asciiTheme="majorHAnsi" w:hAnsiTheme="majorHAnsi"/>
          <w:sz w:val="20"/>
          <w:szCs w:val="20"/>
          <w:lang w:val="es-ES_tradnl"/>
        </w:rPr>
        <w:t xml:space="preserve"> que </w:t>
      </w:r>
      <w:r w:rsidR="00FE43BE">
        <w:rPr>
          <w:rFonts w:asciiTheme="majorHAnsi" w:hAnsiTheme="majorHAnsi"/>
          <w:sz w:val="20"/>
          <w:szCs w:val="20"/>
          <w:lang w:val="es-ES_tradnl"/>
        </w:rPr>
        <w:t xml:space="preserve">desde el año 2000 </w:t>
      </w:r>
      <w:r w:rsidR="008A368C" w:rsidRPr="00854B85">
        <w:rPr>
          <w:rFonts w:asciiTheme="majorHAnsi" w:hAnsiTheme="majorHAnsi"/>
          <w:sz w:val="20"/>
          <w:szCs w:val="20"/>
          <w:lang w:val="es-ES_tradnl"/>
        </w:rPr>
        <w:t>arrendaron un local de su propiedad ubicado en el Departamento de Montevideo a una</w:t>
      </w:r>
      <w:r w:rsidR="00AE4EBC" w:rsidRPr="00854B85">
        <w:rPr>
          <w:rFonts w:asciiTheme="majorHAnsi" w:hAnsiTheme="majorHAnsi"/>
          <w:sz w:val="20"/>
          <w:szCs w:val="20"/>
          <w:lang w:val="es-ES_tradnl"/>
        </w:rPr>
        <w:t xml:space="preserve"> farmacia de primera categoría</w:t>
      </w:r>
      <w:r w:rsidR="00EC6689" w:rsidRPr="00854B85">
        <w:rPr>
          <w:rFonts w:asciiTheme="majorHAnsi" w:hAnsiTheme="majorHAnsi"/>
          <w:sz w:val="20"/>
          <w:szCs w:val="20"/>
          <w:lang w:val="es-ES_tradnl"/>
        </w:rPr>
        <w:t>. Sin embargo, indican que ante el incumplimiento de</w:t>
      </w:r>
      <w:r w:rsidR="004272CE" w:rsidRPr="00854B85">
        <w:rPr>
          <w:rFonts w:asciiTheme="majorHAnsi" w:hAnsiTheme="majorHAnsi"/>
          <w:sz w:val="20"/>
          <w:szCs w:val="20"/>
          <w:lang w:val="es-ES_tradnl"/>
        </w:rPr>
        <w:t>l</w:t>
      </w:r>
      <w:r w:rsidR="00EC6689" w:rsidRPr="00854B85">
        <w:rPr>
          <w:rFonts w:asciiTheme="majorHAnsi" w:hAnsiTheme="majorHAnsi"/>
          <w:sz w:val="20"/>
          <w:szCs w:val="20"/>
          <w:lang w:val="es-ES_tradnl"/>
        </w:rPr>
        <w:t xml:space="preserve"> pago de renta</w:t>
      </w:r>
      <w:r w:rsidR="005C453F">
        <w:rPr>
          <w:rFonts w:asciiTheme="majorHAnsi" w:hAnsiTheme="majorHAnsi"/>
          <w:sz w:val="20"/>
          <w:szCs w:val="20"/>
          <w:lang w:val="es-ES_tradnl"/>
        </w:rPr>
        <w:t>s</w:t>
      </w:r>
      <w:r w:rsidR="00EC6689" w:rsidRPr="00854B85">
        <w:rPr>
          <w:rFonts w:asciiTheme="majorHAnsi" w:hAnsiTheme="majorHAnsi"/>
          <w:sz w:val="20"/>
          <w:szCs w:val="20"/>
          <w:lang w:val="es-ES_tradnl"/>
        </w:rPr>
        <w:t xml:space="preserve"> solicitaron por la vía judicial el desalojo de </w:t>
      </w:r>
      <w:r w:rsidR="00AE4EBC" w:rsidRPr="00854B85">
        <w:rPr>
          <w:rFonts w:asciiTheme="majorHAnsi" w:hAnsiTheme="majorHAnsi"/>
          <w:sz w:val="20"/>
          <w:szCs w:val="20"/>
          <w:lang w:val="es-ES_tradnl"/>
        </w:rPr>
        <w:t xml:space="preserve">la </w:t>
      </w:r>
      <w:r w:rsidR="006C53FB" w:rsidRPr="00854B85">
        <w:rPr>
          <w:rFonts w:asciiTheme="majorHAnsi" w:hAnsiTheme="majorHAnsi"/>
          <w:sz w:val="20"/>
          <w:szCs w:val="20"/>
          <w:lang w:val="es-ES_tradnl"/>
        </w:rPr>
        <w:t>sociedad comercial que operaba dicha</w:t>
      </w:r>
      <w:r w:rsidR="00DC668A" w:rsidRPr="00854B85">
        <w:rPr>
          <w:rFonts w:asciiTheme="majorHAnsi" w:hAnsiTheme="majorHAnsi"/>
          <w:sz w:val="20"/>
          <w:szCs w:val="20"/>
          <w:lang w:val="es-ES_tradnl"/>
        </w:rPr>
        <w:t xml:space="preserve"> farmacia. U</w:t>
      </w:r>
      <w:r w:rsidR="00EC6689" w:rsidRPr="00854B85">
        <w:rPr>
          <w:rFonts w:asciiTheme="majorHAnsi" w:hAnsiTheme="majorHAnsi"/>
          <w:sz w:val="20"/>
          <w:szCs w:val="20"/>
          <w:lang w:val="es-ES_tradnl"/>
        </w:rPr>
        <w:t xml:space="preserve">na vez concretado el desalojo, </w:t>
      </w:r>
      <w:r w:rsidR="00A2362A" w:rsidRPr="00854B85">
        <w:rPr>
          <w:rFonts w:asciiTheme="majorHAnsi" w:hAnsiTheme="majorHAnsi"/>
          <w:sz w:val="20"/>
          <w:szCs w:val="20"/>
          <w:lang w:val="es-ES_tradnl"/>
        </w:rPr>
        <w:t xml:space="preserve">el 5 de </w:t>
      </w:r>
      <w:r w:rsidR="00C02314" w:rsidRPr="00854B85">
        <w:rPr>
          <w:rFonts w:asciiTheme="majorHAnsi" w:hAnsiTheme="majorHAnsi"/>
          <w:sz w:val="20"/>
          <w:szCs w:val="20"/>
          <w:lang w:val="es-ES_tradnl"/>
        </w:rPr>
        <w:t>marzo</w:t>
      </w:r>
      <w:r w:rsidR="00A2362A" w:rsidRPr="00854B85">
        <w:rPr>
          <w:rFonts w:asciiTheme="majorHAnsi" w:hAnsiTheme="majorHAnsi"/>
          <w:sz w:val="20"/>
          <w:szCs w:val="20"/>
          <w:lang w:val="es-ES_tradnl"/>
        </w:rPr>
        <w:t xml:space="preserve"> de 2004</w:t>
      </w:r>
      <w:r w:rsidR="00404241" w:rsidRPr="00854B85">
        <w:rPr>
          <w:rFonts w:asciiTheme="majorHAnsi" w:hAnsiTheme="majorHAnsi"/>
          <w:sz w:val="20"/>
          <w:szCs w:val="20"/>
          <w:lang w:val="es-ES_tradnl"/>
        </w:rPr>
        <w:t xml:space="preserve"> </w:t>
      </w:r>
      <w:r w:rsidR="00C02314" w:rsidRPr="00854B85">
        <w:rPr>
          <w:rFonts w:asciiTheme="majorHAnsi" w:hAnsiTheme="majorHAnsi"/>
          <w:sz w:val="20"/>
          <w:szCs w:val="20"/>
          <w:lang w:val="es-ES_tradnl"/>
        </w:rPr>
        <w:t>solicitaron</w:t>
      </w:r>
      <w:r w:rsidR="00415A1B" w:rsidRPr="00854B85">
        <w:rPr>
          <w:rFonts w:asciiTheme="majorHAnsi" w:hAnsiTheme="majorHAnsi"/>
          <w:sz w:val="20"/>
          <w:szCs w:val="20"/>
          <w:lang w:val="es-ES_tradnl"/>
        </w:rPr>
        <w:t xml:space="preserve"> al Ministerio de Salud Pública</w:t>
      </w:r>
      <w:r w:rsidR="00404241" w:rsidRPr="00854B85">
        <w:rPr>
          <w:rFonts w:asciiTheme="majorHAnsi" w:hAnsiTheme="majorHAnsi"/>
          <w:sz w:val="20"/>
          <w:szCs w:val="20"/>
          <w:lang w:val="es-ES_tradnl"/>
        </w:rPr>
        <w:t xml:space="preserve">, en </w:t>
      </w:r>
      <w:r w:rsidR="008B0087" w:rsidRPr="00854B85">
        <w:rPr>
          <w:rFonts w:asciiTheme="majorHAnsi" w:hAnsiTheme="majorHAnsi"/>
          <w:sz w:val="20"/>
          <w:szCs w:val="20"/>
          <w:lang w:val="es-ES_tradnl"/>
        </w:rPr>
        <w:t xml:space="preserve">su </w:t>
      </w:r>
      <w:r w:rsidR="00404241" w:rsidRPr="00854B85">
        <w:rPr>
          <w:rFonts w:asciiTheme="majorHAnsi" w:hAnsiTheme="majorHAnsi"/>
          <w:sz w:val="20"/>
          <w:szCs w:val="20"/>
          <w:lang w:val="es-ES_tradnl"/>
        </w:rPr>
        <w:t>calidad de arrendadores,</w:t>
      </w:r>
      <w:r w:rsidR="00A2362A" w:rsidRPr="00854B85">
        <w:rPr>
          <w:rFonts w:asciiTheme="majorHAnsi" w:hAnsiTheme="majorHAnsi"/>
          <w:sz w:val="20"/>
          <w:szCs w:val="20"/>
          <w:lang w:val="es-ES_tradnl"/>
        </w:rPr>
        <w:t xml:space="preserve"> la clausura</w:t>
      </w:r>
      <w:r w:rsidR="00404241" w:rsidRPr="00854B85">
        <w:rPr>
          <w:rFonts w:asciiTheme="majorHAnsi" w:hAnsiTheme="majorHAnsi"/>
          <w:sz w:val="20"/>
          <w:szCs w:val="20"/>
          <w:lang w:val="es-ES_tradnl"/>
        </w:rPr>
        <w:t xml:space="preserve"> </w:t>
      </w:r>
      <w:r w:rsidR="00EC6689" w:rsidRPr="00854B85">
        <w:rPr>
          <w:rFonts w:asciiTheme="majorHAnsi" w:hAnsiTheme="majorHAnsi"/>
          <w:sz w:val="20"/>
          <w:szCs w:val="20"/>
          <w:lang w:val="es-ES_tradnl"/>
        </w:rPr>
        <w:t>definitiva de la farmacia</w:t>
      </w:r>
      <w:r w:rsidR="00DF01AD" w:rsidRPr="00854B85">
        <w:rPr>
          <w:rFonts w:asciiTheme="majorHAnsi" w:hAnsiTheme="majorHAnsi"/>
          <w:sz w:val="20"/>
          <w:szCs w:val="20"/>
          <w:lang w:val="es-ES_tradnl"/>
        </w:rPr>
        <w:t>,</w:t>
      </w:r>
      <w:r w:rsidR="00404241" w:rsidRPr="00854B85">
        <w:rPr>
          <w:rFonts w:asciiTheme="majorHAnsi" w:hAnsiTheme="majorHAnsi"/>
          <w:sz w:val="20"/>
          <w:szCs w:val="20"/>
          <w:lang w:val="es-ES_tradnl"/>
        </w:rPr>
        <w:t xml:space="preserve"> el </w:t>
      </w:r>
      <w:r w:rsidR="00EC6689" w:rsidRPr="00854B85">
        <w:rPr>
          <w:rFonts w:asciiTheme="majorHAnsi" w:hAnsiTheme="majorHAnsi"/>
          <w:sz w:val="20"/>
          <w:szCs w:val="20"/>
          <w:lang w:val="es-ES_tradnl"/>
        </w:rPr>
        <w:t>resguardo y embargo</w:t>
      </w:r>
      <w:r w:rsidR="00404241" w:rsidRPr="00854B85">
        <w:rPr>
          <w:rFonts w:asciiTheme="majorHAnsi" w:hAnsiTheme="majorHAnsi"/>
          <w:sz w:val="20"/>
          <w:szCs w:val="20"/>
          <w:lang w:val="es-ES_tradnl"/>
        </w:rPr>
        <w:t xml:space="preserve"> de los medicamentos</w:t>
      </w:r>
      <w:r w:rsidR="00EC6689" w:rsidRPr="00854B85">
        <w:rPr>
          <w:rFonts w:asciiTheme="majorHAnsi" w:hAnsiTheme="majorHAnsi"/>
          <w:sz w:val="20"/>
          <w:szCs w:val="20"/>
          <w:lang w:val="es-ES_tradnl"/>
        </w:rPr>
        <w:t xml:space="preserve"> contenidos en el local comercial, así como la </w:t>
      </w:r>
      <w:r w:rsidR="00C50CEA" w:rsidRPr="00854B85">
        <w:rPr>
          <w:rFonts w:asciiTheme="majorHAnsi" w:hAnsiTheme="majorHAnsi"/>
          <w:sz w:val="20"/>
          <w:szCs w:val="20"/>
          <w:lang w:val="es-ES_tradnl"/>
        </w:rPr>
        <w:t>reapertura</w:t>
      </w:r>
      <w:r w:rsidR="002F0DB1" w:rsidRPr="00854B85">
        <w:rPr>
          <w:rFonts w:asciiTheme="majorHAnsi" w:hAnsiTheme="majorHAnsi"/>
          <w:sz w:val="20"/>
          <w:szCs w:val="20"/>
          <w:lang w:val="es-ES_tradnl"/>
        </w:rPr>
        <w:t xml:space="preserve"> de </w:t>
      </w:r>
      <w:r w:rsidR="00EC6689" w:rsidRPr="00854B85">
        <w:rPr>
          <w:rFonts w:asciiTheme="majorHAnsi" w:hAnsiTheme="majorHAnsi"/>
          <w:sz w:val="20"/>
          <w:szCs w:val="20"/>
          <w:lang w:val="es-ES_tradnl"/>
        </w:rPr>
        <w:t>la farmacia</w:t>
      </w:r>
      <w:r w:rsidR="00223EAA" w:rsidRPr="00854B85">
        <w:rPr>
          <w:rFonts w:asciiTheme="majorHAnsi" w:hAnsiTheme="majorHAnsi"/>
          <w:sz w:val="20"/>
          <w:szCs w:val="20"/>
          <w:lang w:val="es-ES_tradnl"/>
        </w:rPr>
        <w:t xml:space="preserve"> bajo la misma denominación</w:t>
      </w:r>
      <w:r w:rsidR="00FE43BE">
        <w:rPr>
          <w:rFonts w:asciiTheme="majorHAnsi" w:hAnsiTheme="majorHAnsi"/>
          <w:sz w:val="20"/>
          <w:szCs w:val="20"/>
          <w:lang w:val="es-ES_tradnl"/>
        </w:rPr>
        <w:t xml:space="preserve"> para ser operada por ellos</w:t>
      </w:r>
      <w:r w:rsidR="00EC6689" w:rsidRPr="00854B85">
        <w:rPr>
          <w:rFonts w:asciiTheme="majorHAnsi" w:hAnsiTheme="majorHAnsi"/>
          <w:sz w:val="20"/>
          <w:szCs w:val="20"/>
          <w:lang w:val="es-ES_tradnl"/>
        </w:rPr>
        <w:t>,</w:t>
      </w:r>
      <w:r w:rsidR="00C50CEA" w:rsidRPr="00854B85">
        <w:rPr>
          <w:rFonts w:asciiTheme="majorHAnsi" w:hAnsiTheme="majorHAnsi"/>
          <w:sz w:val="20"/>
          <w:szCs w:val="20"/>
          <w:lang w:val="es-ES_tradnl"/>
        </w:rPr>
        <w:t xml:space="preserve"> </w:t>
      </w:r>
      <w:r w:rsidR="00005B83" w:rsidRPr="00854B85">
        <w:rPr>
          <w:rFonts w:asciiTheme="majorHAnsi" w:hAnsiTheme="majorHAnsi"/>
          <w:sz w:val="20"/>
          <w:szCs w:val="20"/>
          <w:lang w:val="es-ES_tradnl"/>
        </w:rPr>
        <w:t>al ser uno de</w:t>
      </w:r>
      <w:r w:rsidR="00C50CEA" w:rsidRPr="00854B85">
        <w:rPr>
          <w:rFonts w:asciiTheme="majorHAnsi" w:hAnsiTheme="majorHAnsi"/>
          <w:sz w:val="20"/>
          <w:szCs w:val="20"/>
          <w:lang w:val="es-ES_tradnl"/>
        </w:rPr>
        <w:t xml:space="preserve"> los peticionarios bachiller en química. </w:t>
      </w:r>
    </w:p>
    <w:p w14:paraId="5196F675" w14:textId="36C296B8" w:rsidR="00966D3A" w:rsidRPr="00854B85" w:rsidRDefault="00713E35"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Por otro lado</w:t>
      </w:r>
      <w:r w:rsidR="00D03592" w:rsidRPr="00854B85">
        <w:rPr>
          <w:rFonts w:asciiTheme="majorHAnsi" w:hAnsiTheme="majorHAnsi"/>
          <w:sz w:val="20"/>
          <w:szCs w:val="20"/>
          <w:lang w:val="es-ES_tradnl"/>
        </w:rPr>
        <w:t>,</w:t>
      </w:r>
      <w:r w:rsidRPr="00854B85">
        <w:rPr>
          <w:rFonts w:asciiTheme="majorHAnsi" w:hAnsiTheme="majorHAnsi"/>
          <w:sz w:val="20"/>
          <w:szCs w:val="20"/>
          <w:lang w:val="es-ES_tradnl"/>
        </w:rPr>
        <w:t xml:space="preserve"> manifiestan que</w:t>
      </w:r>
      <w:r w:rsidR="00D03592" w:rsidRPr="00854B85">
        <w:rPr>
          <w:rFonts w:asciiTheme="majorHAnsi" w:hAnsiTheme="majorHAnsi"/>
          <w:sz w:val="20"/>
          <w:szCs w:val="20"/>
          <w:lang w:val="es-ES_tradnl"/>
        </w:rPr>
        <w:t xml:space="preserve"> </w:t>
      </w:r>
      <w:r w:rsidR="00E27D4E" w:rsidRPr="00854B85">
        <w:rPr>
          <w:rFonts w:asciiTheme="majorHAnsi" w:hAnsiTheme="majorHAnsi"/>
          <w:sz w:val="20"/>
          <w:szCs w:val="20"/>
          <w:lang w:val="es-ES_tradnl"/>
        </w:rPr>
        <w:t>en</w:t>
      </w:r>
      <w:r w:rsidR="00D03592" w:rsidRPr="00854B85">
        <w:rPr>
          <w:rFonts w:asciiTheme="majorHAnsi" w:hAnsiTheme="majorHAnsi"/>
          <w:sz w:val="20"/>
          <w:szCs w:val="20"/>
          <w:lang w:val="es-ES_tradnl"/>
        </w:rPr>
        <w:t xml:space="preserve"> resolución de 12 de septiembre de 2005 la División Productos de Salud</w:t>
      </w:r>
      <w:r w:rsidR="00D74CF6" w:rsidRPr="00854B85">
        <w:rPr>
          <w:rFonts w:asciiTheme="majorHAnsi" w:hAnsiTheme="majorHAnsi"/>
          <w:sz w:val="20"/>
          <w:szCs w:val="20"/>
          <w:lang w:val="es-ES_tradnl"/>
        </w:rPr>
        <w:t xml:space="preserve"> del Ministerio de Salud Pública</w:t>
      </w:r>
      <w:r w:rsidR="00D03592" w:rsidRPr="00854B85">
        <w:rPr>
          <w:rFonts w:asciiTheme="majorHAnsi" w:hAnsiTheme="majorHAnsi"/>
          <w:sz w:val="20"/>
          <w:szCs w:val="20"/>
          <w:lang w:val="es-ES_tradnl"/>
        </w:rPr>
        <w:t xml:space="preserve"> negó a los peticionarios la reapertura de la </w:t>
      </w:r>
      <w:r w:rsidR="00D74CF6" w:rsidRPr="00854B85">
        <w:rPr>
          <w:rFonts w:asciiTheme="majorHAnsi" w:hAnsiTheme="majorHAnsi"/>
          <w:sz w:val="20"/>
          <w:szCs w:val="20"/>
          <w:lang w:val="es-ES_tradnl"/>
        </w:rPr>
        <w:t xml:space="preserve">farmacia </w:t>
      </w:r>
      <w:r w:rsidR="00D03592" w:rsidRPr="00854B85">
        <w:rPr>
          <w:rFonts w:asciiTheme="majorHAnsi" w:hAnsiTheme="majorHAnsi"/>
          <w:sz w:val="20"/>
          <w:szCs w:val="20"/>
          <w:lang w:val="es-ES_tradnl"/>
        </w:rPr>
        <w:t>al considerar que</w:t>
      </w:r>
      <w:r w:rsidR="00D74CF6" w:rsidRPr="00854B85">
        <w:rPr>
          <w:rFonts w:asciiTheme="majorHAnsi" w:hAnsiTheme="majorHAnsi"/>
          <w:sz w:val="20"/>
          <w:szCs w:val="20"/>
          <w:lang w:val="es-ES_tradnl"/>
        </w:rPr>
        <w:t>,</w:t>
      </w:r>
      <w:r w:rsidR="00D03592" w:rsidRPr="00854B85">
        <w:rPr>
          <w:rFonts w:asciiTheme="majorHAnsi" w:hAnsiTheme="majorHAnsi"/>
          <w:sz w:val="20"/>
          <w:szCs w:val="20"/>
          <w:lang w:val="es-ES_tradnl"/>
        </w:rPr>
        <w:t xml:space="preserve"> derivado de la clausura y revocación</w:t>
      </w:r>
      <w:r w:rsidR="00E27D4E" w:rsidRPr="00854B85">
        <w:rPr>
          <w:rFonts w:asciiTheme="majorHAnsi" w:hAnsiTheme="majorHAnsi"/>
          <w:sz w:val="20"/>
          <w:szCs w:val="20"/>
          <w:lang w:val="es-ES_tradnl"/>
        </w:rPr>
        <w:t xml:space="preserve"> de la licencia</w:t>
      </w:r>
      <w:r w:rsidR="00D03592" w:rsidRPr="00854B85">
        <w:rPr>
          <w:rFonts w:asciiTheme="majorHAnsi" w:hAnsiTheme="majorHAnsi"/>
          <w:sz w:val="20"/>
          <w:szCs w:val="20"/>
          <w:lang w:val="es-ES_tradnl"/>
        </w:rPr>
        <w:t xml:space="preserve">, la solicitud </w:t>
      </w:r>
      <w:r w:rsidR="00B10E3D" w:rsidRPr="00854B85">
        <w:rPr>
          <w:rFonts w:asciiTheme="majorHAnsi" w:hAnsiTheme="majorHAnsi"/>
          <w:sz w:val="20"/>
          <w:szCs w:val="20"/>
          <w:lang w:val="es-ES_tradnl"/>
        </w:rPr>
        <w:t xml:space="preserve">de rehabilitación </w:t>
      </w:r>
      <w:r w:rsidR="003D0E13" w:rsidRPr="00854B85">
        <w:rPr>
          <w:rFonts w:asciiTheme="majorHAnsi" w:hAnsiTheme="majorHAnsi"/>
          <w:sz w:val="20"/>
          <w:szCs w:val="20"/>
          <w:lang w:val="es-ES_tradnl"/>
        </w:rPr>
        <w:t>constituía</w:t>
      </w:r>
      <w:r w:rsidR="00D03592" w:rsidRPr="00854B85">
        <w:rPr>
          <w:rFonts w:asciiTheme="majorHAnsi" w:hAnsiTheme="majorHAnsi"/>
          <w:sz w:val="20"/>
          <w:szCs w:val="20"/>
          <w:lang w:val="es-ES_tradnl"/>
        </w:rPr>
        <w:t xml:space="preserve"> una nueva </w:t>
      </w:r>
      <w:r w:rsidR="000D4D9E" w:rsidRPr="00854B85">
        <w:rPr>
          <w:rFonts w:asciiTheme="majorHAnsi" w:hAnsiTheme="majorHAnsi"/>
          <w:sz w:val="20"/>
          <w:szCs w:val="20"/>
          <w:lang w:val="es-ES_tradnl"/>
        </w:rPr>
        <w:t xml:space="preserve">petición de </w:t>
      </w:r>
      <w:r w:rsidR="00D03592" w:rsidRPr="00854B85">
        <w:rPr>
          <w:rFonts w:asciiTheme="majorHAnsi" w:hAnsiTheme="majorHAnsi"/>
          <w:sz w:val="20"/>
          <w:szCs w:val="20"/>
          <w:lang w:val="es-ES_tradnl"/>
        </w:rPr>
        <w:t>apertura</w:t>
      </w:r>
      <w:r w:rsidR="00EE6C60" w:rsidRPr="00854B85">
        <w:rPr>
          <w:rFonts w:asciiTheme="majorHAnsi" w:hAnsiTheme="majorHAnsi"/>
          <w:sz w:val="20"/>
          <w:szCs w:val="20"/>
          <w:lang w:val="es-ES_tradnl"/>
        </w:rPr>
        <w:t>.</w:t>
      </w:r>
      <w:r w:rsidR="00D03592" w:rsidRPr="00854B85">
        <w:rPr>
          <w:rFonts w:asciiTheme="majorHAnsi" w:hAnsiTheme="majorHAnsi"/>
          <w:sz w:val="20"/>
          <w:szCs w:val="20"/>
          <w:lang w:val="es-ES_tradnl"/>
        </w:rPr>
        <w:t xml:space="preserve"> </w:t>
      </w:r>
      <w:r w:rsidR="009F4FAC" w:rsidRPr="00854B85">
        <w:rPr>
          <w:rFonts w:asciiTheme="majorHAnsi" w:hAnsiTheme="majorHAnsi"/>
          <w:sz w:val="20"/>
          <w:szCs w:val="20"/>
          <w:lang w:val="es-ES_tradnl"/>
        </w:rPr>
        <w:t>Inconformes con lo anterior, el 2 de octubre de 2005 interpusier</w:t>
      </w:r>
      <w:r w:rsidR="00D74CF6" w:rsidRPr="00854B85">
        <w:rPr>
          <w:rFonts w:asciiTheme="majorHAnsi" w:hAnsiTheme="majorHAnsi"/>
          <w:sz w:val="20"/>
          <w:szCs w:val="20"/>
          <w:lang w:val="es-ES_tradnl"/>
        </w:rPr>
        <w:t>on</w:t>
      </w:r>
      <w:r w:rsidR="009F4FAC" w:rsidRPr="00854B85">
        <w:rPr>
          <w:rFonts w:asciiTheme="majorHAnsi" w:hAnsiTheme="majorHAnsi"/>
          <w:sz w:val="20"/>
          <w:szCs w:val="20"/>
          <w:lang w:val="es-ES_tradnl"/>
        </w:rPr>
        <w:t xml:space="preserve"> recurso</w:t>
      </w:r>
      <w:r w:rsidR="00D74CF6" w:rsidRPr="00854B85">
        <w:rPr>
          <w:rFonts w:asciiTheme="majorHAnsi" w:hAnsiTheme="majorHAnsi"/>
          <w:sz w:val="20"/>
          <w:szCs w:val="20"/>
          <w:lang w:val="es-ES_tradnl"/>
        </w:rPr>
        <w:t xml:space="preserve"> </w:t>
      </w:r>
      <w:r w:rsidR="009F4FAC" w:rsidRPr="00854B85">
        <w:rPr>
          <w:rFonts w:asciiTheme="majorHAnsi" w:hAnsiTheme="majorHAnsi"/>
          <w:sz w:val="20"/>
          <w:szCs w:val="20"/>
          <w:lang w:val="es-ES_tradnl"/>
        </w:rPr>
        <w:t>de revocación y jerárquico en subsidio</w:t>
      </w:r>
      <w:r w:rsidR="00966D3A" w:rsidRPr="00854B85">
        <w:rPr>
          <w:rFonts w:asciiTheme="majorHAnsi" w:hAnsiTheme="majorHAnsi"/>
          <w:sz w:val="20"/>
          <w:szCs w:val="20"/>
          <w:lang w:val="es-ES_tradnl"/>
        </w:rPr>
        <w:t>. En</w:t>
      </w:r>
      <w:r w:rsidR="00D74CF6" w:rsidRPr="00854B85">
        <w:rPr>
          <w:rFonts w:asciiTheme="majorHAnsi" w:hAnsiTheme="majorHAnsi"/>
          <w:sz w:val="20"/>
          <w:szCs w:val="20"/>
          <w:lang w:val="es-ES_tradnl"/>
        </w:rPr>
        <w:t xml:space="preserve"> </w:t>
      </w:r>
      <w:r w:rsidR="009F4FAC" w:rsidRPr="00854B85">
        <w:rPr>
          <w:rFonts w:asciiTheme="majorHAnsi" w:hAnsiTheme="majorHAnsi"/>
          <w:sz w:val="20"/>
          <w:szCs w:val="20"/>
          <w:lang w:val="es-ES_tradnl"/>
        </w:rPr>
        <w:t>resolución de 19 de enero de 2006</w:t>
      </w:r>
      <w:r w:rsidR="00966D3A" w:rsidRPr="00854B85">
        <w:rPr>
          <w:rFonts w:asciiTheme="majorHAnsi" w:hAnsiTheme="majorHAnsi"/>
          <w:sz w:val="20"/>
          <w:szCs w:val="20"/>
          <w:lang w:val="es-ES_tradnl"/>
        </w:rPr>
        <w:t xml:space="preserve"> el</w:t>
      </w:r>
      <w:r w:rsidR="009F4FAC" w:rsidRPr="00854B85">
        <w:rPr>
          <w:rFonts w:asciiTheme="majorHAnsi" w:hAnsiTheme="majorHAnsi"/>
          <w:sz w:val="20"/>
          <w:szCs w:val="20"/>
          <w:lang w:val="es-ES_tradnl"/>
        </w:rPr>
        <w:t xml:space="preserve"> Ministerio de Salud Pública confirmó la resolución recurrida</w:t>
      </w:r>
      <w:r w:rsidR="009F0FD5" w:rsidRPr="00854B85">
        <w:rPr>
          <w:rFonts w:asciiTheme="majorHAnsi" w:hAnsiTheme="majorHAnsi"/>
          <w:sz w:val="20"/>
          <w:szCs w:val="20"/>
          <w:lang w:val="es-ES_tradnl"/>
        </w:rPr>
        <w:t xml:space="preserve"> </w:t>
      </w:r>
      <w:r w:rsidR="009F4FAC" w:rsidRPr="00854B85">
        <w:rPr>
          <w:rFonts w:asciiTheme="majorHAnsi" w:hAnsiTheme="majorHAnsi"/>
          <w:sz w:val="20"/>
          <w:szCs w:val="20"/>
          <w:lang w:val="es-ES_tradnl"/>
        </w:rPr>
        <w:t>al considerar</w:t>
      </w:r>
      <w:r w:rsidR="009F0FD5" w:rsidRPr="00854B85">
        <w:rPr>
          <w:rFonts w:asciiTheme="majorHAnsi" w:hAnsiTheme="majorHAnsi"/>
          <w:sz w:val="20"/>
          <w:szCs w:val="20"/>
          <w:lang w:val="es-ES_tradnl"/>
        </w:rPr>
        <w:t xml:space="preserve"> nuevamente</w:t>
      </w:r>
      <w:r w:rsidR="009F4FAC" w:rsidRPr="00854B85">
        <w:rPr>
          <w:rFonts w:asciiTheme="majorHAnsi" w:hAnsiTheme="majorHAnsi"/>
          <w:sz w:val="20"/>
          <w:szCs w:val="20"/>
          <w:lang w:val="es-ES_tradnl"/>
        </w:rPr>
        <w:t xml:space="preserve"> que</w:t>
      </w:r>
      <w:r w:rsidR="009F0FD5" w:rsidRPr="00854B85">
        <w:rPr>
          <w:rFonts w:asciiTheme="majorHAnsi" w:hAnsiTheme="majorHAnsi"/>
          <w:sz w:val="20"/>
          <w:szCs w:val="20"/>
          <w:lang w:val="es-ES_tradnl"/>
        </w:rPr>
        <w:t xml:space="preserve"> la </w:t>
      </w:r>
      <w:r w:rsidR="00966250" w:rsidRPr="00854B85">
        <w:rPr>
          <w:rFonts w:asciiTheme="majorHAnsi" w:hAnsiTheme="majorHAnsi"/>
          <w:sz w:val="20"/>
          <w:szCs w:val="20"/>
          <w:lang w:val="es-ES_tradnl"/>
        </w:rPr>
        <w:t>petición</w:t>
      </w:r>
      <w:r w:rsidR="009F0FD5" w:rsidRPr="00854B85">
        <w:rPr>
          <w:rFonts w:asciiTheme="majorHAnsi" w:hAnsiTheme="majorHAnsi"/>
          <w:sz w:val="20"/>
          <w:szCs w:val="20"/>
          <w:lang w:val="es-ES_tradnl"/>
        </w:rPr>
        <w:t xml:space="preserve"> de rehabilitación de </w:t>
      </w:r>
      <w:r w:rsidR="00067448" w:rsidRPr="00854B85">
        <w:rPr>
          <w:rFonts w:asciiTheme="majorHAnsi" w:hAnsiTheme="majorHAnsi"/>
          <w:sz w:val="20"/>
          <w:szCs w:val="20"/>
          <w:lang w:val="es-ES_tradnl"/>
        </w:rPr>
        <w:t>farmacia</w:t>
      </w:r>
      <w:r w:rsidR="009F4FAC" w:rsidRPr="00854B85">
        <w:rPr>
          <w:rFonts w:asciiTheme="majorHAnsi" w:hAnsiTheme="majorHAnsi"/>
          <w:sz w:val="20"/>
          <w:szCs w:val="20"/>
          <w:lang w:val="es-ES_tradnl"/>
        </w:rPr>
        <w:t xml:space="preserve"> se trata</w:t>
      </w:r>
      <w:r w:rsidR="00D74CF6" w:rsidRPr="00854B85">
        <w:rPr>
          <w:rFonts w:asciiTheme="majorHAnsi" w:hAnsiTheme="majorHAnsi"/>
          <w:sz w:val="20"/>
          <w:szCs w:val="20"/>
          <w:lang w:val="es-ES_tradnl"/>
        </w:rPr>
        <w:t>ba</w:t>
      </w:r>
      <w:r w:rsidR="009F4FAC" w:rsidRPr="00854B85">
        <w:rPr>
          <w:rFonts w:asciiTheme="majorHAnsi" w:hAnsiTheme="majorHAnsi"/>
          <w:sz w:val="20"/>
          <w:szCs w:val="20"/>
          <w:lang w:val="es-ES_tradnl"/>
        </w:rPr>
        <w:t xml:space="preserve"> de una </w:t>
      </w:r>
      <w:r w:rsidR="00966250" w:rsidRPr="00854B85">
        <w:rPr>
          <w:rFonts w:asciiTheme="majorHAnsi" w:hAnsiTheme="majorHAnsi"/>
          <w:sz w:val="20"/>
          <w:szCs w:val="20"/>
          <w:lang w:val="es-ES_tradnl"/>
        </w:rPr>
        <w:t xml:space="preserve">solicitud de </w:t>
      </w:r>
      <w:r w:rsidR="009F4FAC" w:rsidRPr="00854B85">
        <w:rPr>
          <w:rFonts w:asciiTheme="majorHAnsi" w:hAnsiTheme="majorHAnsi"/>
          <w:sz w:val="20"/>
          <w:szCs w:val="20"/>
          <w:lang w:val="es-ES_tradnl"/>
        </w:rPr>
        <w:t>nueva apertura</w:t>
      </w:r>
      <w:r w:rsidR="009F0FD5" w:rsidRPr="00854B85">
        <w:rPr>
          <w:rFonts w:asciiTheme="majorHAnsi" w:hAnsiTheme="majorHAnsi"/>
          <w:sz w:val="20"/>
          <w:szCs w:val="20"/>
          <w:lang w:val="es-ES_tradnl"/>
        </w:rPr>
        <w:t>.</w:t>
      </w:r>
      <w:r w:rsidR="00D74CF6" w:rsidRPr="00854B85">
        <w:rPr>
          <w:rFonts w:asciiTheme="majorHAnsi" w:hAnsiTheme="majorHAnsi"/>
          <w:sz w:val="20"/>
          <w:szCs w:val="20"/>
          <w:lang w:val="es-ES_tradnl"/>
        </w:rPr>
        <w:t xml:space="preserve"> </w:t>
      </w:r>
      <w:r w:rsidR="00B01C3D" w:rsidRPr="00854B85">
        <w:rPr>
          <w:rFonts w:asciiTheme="majorHAnsi" w:hAnsiTheme="majorHAnsi"/>
          <w:sz w:val="20"/>
          <w:szCs w:val="20"/>
          <w:lang w:val="es-ES_tradnl"/>
        </w:rPr>
        <w:t>No conformes</w:t>
      </w:r>
      <w:r w:rsidR="00D74CF6" w:rsidRPr="00854B85">
        <w:rPr>
          <w:rFonts w:asciiTheme="majorHAnsi" w:hAnsiTheme="majorHAnsi"/>
          <w:sz w:val="20"/>
          <w:szCs w:val="20"/>
          <w:lang w:val="es-ES_tradnl"/>
        </w:rPr>
        <w:t xml:space="preserve">, </w:t>
      </w:r>
      <w:r w:rsidR="00067448" w:rsidRPr="00854B85">
        <w:rPr>
          <w:rFonts w:asciiTheme="majorHAnsi" w:hAnsiTheme="majorHAnsi"/>
          <w:sz w:val="20"/>
          <w:szCs w:val="20"/>
          <w:lang w:val="es-ES_tradnl"/>
        </w:rPr>
        <w:t xml:space="preserve">interpusieron </w:t>
      </w:r>
      <w:r w:rsidR="007F3665">
        <w:rPr>
          <w:rFonts w:asciiTheme="majorHAnsi" w:hAnsiTheme="majorHAnsi"/>
          <w:sz w:val="20"/>
          <w:szCs w:val="20"/>
          <w:lang w:val="es-ES_tradnl"/>
        </w:rPr>
        <w:t>un recurso</w:t>
      </w:r>
      <w:r w:rsidR="00067448" w:rsidRPr="00854B85">
        <w:rPr>
          <w:rFonts w:asciiTheme="majorHAnsi" w:hAnsiTheme="majorHAnsi"/>
          <w:sz w:val="20"/>
          <w:szCs w:val="20"/>
          <w:lang w:val="es-ES_tradnl"/>
        </w:rPr>
        <w:t xml:space="preserve"> de nulidad </w:t>
      </w:r>
      <w:r w:rsidR="005A21B8" w:rsidRPr="00854B85">
        <w:rPr>
          <w:rFonts w:asciiTheme="majorHAnsi" w:hAnsiTheme="majorHAnsi"/>
          <w:sz w:val="20"/>
          <w:szCs w:val="20"/>
          <w:lang w:val="es-ES_tradnl"/>
        </w:rPr>
        <w:t>contra la resolución de 12 de septiembre de 2005</w:t>
      </w:r>
      <w:r w:rsidR="00067448" w:rsidRPr="00854B85">
        <w:rPr>
          <w:rFonts w:asciiTheme="majorHAnsi" w:hAnsiTheme="majorHAnsi"/>
          <w:sz w:val="20"/>
          <w:szCs w:val="20"/>
          <w:lang w:val="es-ES_tradnl"/>
        </w:rPr>
        <w:t xml:space="preserve">, </w:t>
      </w:r>
      <w:r w:rsidR="00AB5A06" w:rsidRPr="00854B85">
        <w:rPr>
          <w:rFonts w:asciiTheme="majorHAnsi" w:hAnsiTheme="majorHAnsi"/>
          <w:sz w:val="20"/>
          <w:szCs w:val="20"/>
          <w:lang w:val="es-ES_tradnl"/>
        </w:rPr>
        <w:t xml:space="preserve">alegando que la misma no </w:t>
      </w:r>
      <w:r w:rsidR="005A21B8" w:rsidRPr="00854B85">
        <w:rPr>
          <w:rFonts w:asciiTheme="majorHAnsi" w:hAnsiTheme="majorHAnsi"/>
          <w:sz w:val="20"/>
          <w:szCs w:val="20"/>
          <w:lang w:val="es-ES_tradnl"/>
        </w:rPr>
        <w:t>consideró</w:t>
      </w:r>
      <w:r w:rsidR="00AB5A06" w:rsidRPr="00854B85">
        <w:rPr>
          <w:rFonts w:asciiTheme="majorHAnsi" w:hAnsiTheme="majorHAnsi"/>
          <w:sz w:val="20"/>
          <w:szCs w:val="20"/>
          <w:lang w:val="es-ES_tradnl"/>
        </w:rPr>
        <w:t xml:space="preserve"> lo establecido en el artículo 15 del Decreto 801/98</w:t>
      </w:r>
      <w:r w:rsidR="005A21B8" w:rsidRPr="00854B85">
        <w:rPr>
          <w:rFonts w:asciiTheme="majorHAnsi" w:hAnsiTheme="majorHAnsi"/>
          <w:sz w:val="20"/>
          <w:szCs w:val="20"/>
          <w:lang w:val="es-ES_tradnl"/>
        </w:rPr>
        <w:t>6 y que</w:t>
      </w:r>
      <w:r w:rsidR="00BF7558" w:rsidRPr="00854B85">
        <w:rPr>
          <w:rFonts w:asciiTheme="majorHAnsi" w:hAnsiTheme="majorHAnsi"/>
          <w:sz w:val="20"/>
          <w:szCs w:val="20"/>
          <w:lang w:val="es-ES_tradnl"/>
        </w:rPr>
        <w:t>, por el contrario,</w:t>
      </w:r>
      <w:r w:rsidR="005A21B8" w:rsidRPr="00854B85">
        <w:rPr>
          <w:rFonts w:asciiTheme="majorHAnsi" w:hAnsiTheme="majorHAnsi"/>
          <w:sz w:val="20"/>
          <w:szCs w:val="20"/>
          <w:lang w:val="es-ES_tradnl"/>
        </w:rPr>
        <w:t xml:space="preserve"> </w:t>
      </w:r>
      <w:r w:rsidR="00CB71AF" w:rsidRPr="00854B85">
        <w:rPr>
          <w:rFonts w:asciiTheme="majorHAnsi" w:hAnsiTheme="majorHAnsi"/>
          <w:sz w:val="20"/>
          <w:szCs w:val="20"/>
          <w:lang w:val="es-ES_tradnl"/>
        </w:rPr>
        <w:t>se aplicó</w:t>
      </w:r>
      <w:r w:rsidR="002654E4" w:rsidRPr="00854B85">
        <w:rPr>
          <w:rFonts w:asciiTheme="majorHAnsi" w:hAnsiTheme="majorHAnsi"/>
          <w:sz w:val="20"/>
          <w:szCs w:val="20"/>
          <w:lang w:val="es-ES_tradnl"/>
        </w:rPr>
        <w:t xml:space="preserve"> de manera errónea</w:t>
      </w:r>
      <w:r w:rsidR="005A21B8" w:rsidRPr="00854B85">
        <w:rPr>
          <w:rFonts w:asciiTheme="majorHAnsi" w:hAnsiTheme="majorHAnsi"/>
          <w:sz w:val="20"/>
          <w:szCs w:val="20"/>
          <w:lang w:val="es-ES_tradnl"/>
        </w:rPr>
        <w:t xml:space="preserve"> la Ley 17.715</w:t>
      </w:r>
      <w:r w:rsidR="00966D3A" w:rsidRPr="00854B85">
        <w:rPr>
          <w:rFonts w:asciiTheme="majorHAnsi" w:hAnsiTheme="majorHAnsi"/>
          <w:sz w:val="20"/>
          <w:szCs w:val="20"/>
          <w:lang w:val="es-ES_tradnl"/>
        </w:rPr>
        <w:t>. Además, alegaron que el Ministerio de Salud Pública, fuera de sus facultades, modificó el texto de la referida Ley</w:t>
      </w:r>
      <w:r w:rsidR="0080355B" w:rsidRPr="00854B85">
        <w:rPr>
          <w:rFonts w:asciiTheme="majorHAnsi" w:hAnsiTheme="majorHAnsi"/>
          <w:sz w:val="20"/>
          <w:szCs w:val="20"/>
          <w:lang w:val="es-ES_tradnl"/>
        </w:rPr>
        <w:t>.</w:t>
      </w:r>
      <w:r w:rsidR="00966D3A" w:rsidRPr="00854B85">
        <w:rPr>
          <w:rFonts w:asciiTheme="majorHAnsi" w:hAnsiTheme="majorHAnsi"/>
          <w:sz w:val="20"/>
          <w:szCs w:val="20"/>
          <w:lang w:val="es-ES_tradnl"/>
        </w:rPr>
        <w:t xml:space="preserve"> </w:t>
      </w:r>
    </w:p>
    <w:p w14:paraId="1AD81B39" w14:textId="10A7F034" w:rsidR="009F4FAC" w:rsidRPr="00854B85" w:rsidRDefault="0080355B"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Derivado de lo anterior,</w:t>
      </w:r>
      <w:r w:rsidR="001E32CC" w:rsidRPr="00854B85">
        <w:rPr>
          <w:rFonts w:asciiTheme="majorHAnsi" w:hAnsiTheme="majorHAnsi"/>
          <w:sz w:val="20"/>
          <w:szCs w:val="20"/>
          <w:lang w:val="es-ES_tradnl"/>
        </w:rPr>
        <w:t xml:space="preserve"> </w:t>
      </w:r>
      <w:r w:rsidRPr="00854B85">
        <w:rPr>
          <w:rFonts w:asciiTheme="majorHAnsi" w:hAnsiTheme="majorHAnsi"/>
          <w:sz w:val="20"/>
          <w:szCs w:val="20"/>
          <w:lang w:val="es-ES_tradnl"/>
        </w:rPr>
        <w:t>en sentencia de</w:t>
      </w:r>
      <w:r w:rsidR="009A1792" w:rsidRPr="00854B85">
        <w:rPr>
          <w:rFonts w:asciiTheme="majorHAnsi" w:hAnsiTheme="majorHAnsi"/>
          <w:sz w:val="20"/>
          <w:szCs w:val="20"/>
          <w:lang w:val="es-ES_tradnl"/>
        </w:rPr>
        <w:t xml:space="preserve"> 14 de abril de 2009</w:t>
      </w:r>
      <w:r w:rsidRPr="00854B85">
        <w:rPr>
          <w:rFonts w:asciiTheme="majorHAnsi" w:hAnsiTheme="majorHAnsi"/>
          <w:sz w:val="20"/>
          <w:szCs w:val="20"/>
          <w:lang w:val="es-ES_tradnl"/>
        </w:rPr>
        <w:t xml:space="preserve"> </w:t>
      </w:r>
      <w:r w:rsidR="009A1792" w:rsidRPr="00854B85">
        <w:rPr>
          <w:rFonts w:asciiTheme="majorHAnsi" w:hAnsiTheme="majorHAnsi"/>
          <w:sz w:val="20"/>
          <w:szCs w:val="20"/>
          <w:lang w:val="es-ES_tradnl"/>
        </w:rPr>
        <w:t>el Tribunal de lo Contencioso Administrativo</w:t>
      </w:r>
      <w:r w:rsidRPr="00854B85">
        <w:rPr>
          <w:rFonts w:asciiTheme="majorHAnsi" w:hAnsiTheme="majorHAnsi"/>
          <w:sz w:val="20"/>
          <w:szCs w:val="20"/>
          <w:lang w:val="es-ES_tradnl"/>
        </w:rPr>
        <w:t xml:space="preserve"> rechazó</w:t>
      </w:r>
      <w:r w:rsidR="001C15BF" w:rsidRPr="00854B85">
        <w:rPr>
          <w:rFonts w:asciiTheme="majorHAnsi" w:hAnsiTheme="majorHAnsi"/>
          <w:sz w:val="20"/>
          <w:szCs w:val="20"/>
          <w:lang w:val="es-ES_tradnl"/>
        </w:rPr>
        <w:t xml:space="preserve"> </w:t>
      </w:r>
      <w:r w:rsidR="003838A7">
        <w:rPr>
          <w:rFonts w:asciiTheme="majorHAnsi" w:hAnsiTheme="majorHAnsi"/>
          <w:sz w:val="20"/>
          <w:szCs w:val="20"/>
          <w:lang w:val="es-ES_tradnl"/>
        </w:rPr>
        <w:t xml:space="preserve">el recurso </w:t>
      </w:r>
      <w:r w:rsidRPr="00854B85">
        <w:rPr>
          <w:rFonts w:asciiTheme="majorHAnsi" w:hAnsiTheme="majorHAnsi"/>
          <w:sz w:val="20"/>
          <w:szCs w:val="20"/>
          <w:lang w:val="es-ES_tradnl"/>
        </w:rPr>
        <w:t>de nulidad interpuest</w:t>
      </w:r>
      <w:r w:rsidR="002A05F6">
        <w:rPr>
          <w:rFonts w:asciiTheme="majorHAnsi" w:hAnsiTheme="majorHAnsi"/>
          <w:sz w:val="20"/>
          <w:szCs w:val="20"/>
          <w:lang w:val="es-ES_tradnl"/>
        </w:rPr>
        <w:t>o</w:t>
      </w:r>
      <w:r w:rsidRPr="00854B85">
        <w:rPr>
          <w:rFonts w:asciiTheme="majorHAnsi" w:hAnsiTheme="majorHAnsi"/>
          <w:sz w:val="20"/>
          <w:szCs w:val="20"/>
          <w:lang w:val="es-ES_tradnl"/>
        </w:rPr>
        <w:t xml:space="preserve"> por </w:t>
      </w:r>
      <w:r w:rsidR="001C15BF" w:rsidRPr="00854B85">
        <w:rPr>
          <w:rFonts w:asciiTheme="majorHAnsi" w:hAnsiTheme="majorHAnsi"/>
          <w:sz w:val="20"/>
          <w:szCs w:val="20"/>
          <w:lang w:val="es-ES_tradnl"/>
        </w:rPr>
        <w:t xml:space="preserve">los peticionarios al considerar, entre otros, que si bien </w:t>
      </w:r>
      <w:r w:rsidR="00EE01E6" w:rsidRPr="00854B85">
        <w:rPr>
          <w:rFonts w:asciiTheme="majorHAnsi" w:hAnsiTheme="majorHAnsi"/>
          <w:sz w:val="20"/>
          <w:szCs w:val="20"/>
          <w:lang w:val="es-ES_tradnl"/>
        </w:rPr>
        <w:t>ellos</w:t>
      </w:r>
      <w:r w:rsidR="00033703" w:rsidRPr="00854B85">
        <w:rPr>
          <w:rFonts w:asciiTheme="majorHAnsi" w:hAnsiTheme="majorHAnsi"/>
          <w:sz w:val="20"/>
          <w:szCs w:val="20"/>
          <w:lang w:val="es-ES_tradnl"/>
        </w:rPr>
        <w:t xml:space="preserve"> </w:t>
      </w:r>
      <w:r w:rsidR="001C15BF" w:rsidRPr="00854B85">
        <w:rPr>
          <w:rFonts w:asciiTheme="majorHAnsi" w:hAnsiTheme="majorHAnsi"/>
          <w:sz w:val="20"/>
          <w:szCs w:val="20"/>
          <w:lang w:val="es-ES_tradnl"/>
        </w:rPr>
        <w:t>son los propietarios y ex arrendadores del local en el cual se desarrollaban las actividades de la farmacia</w:t>
      </w:r>
      <w:r w:rsidR="005C584D" w:rsidRPr="00854B85">
        <w:rPr>
          <w:rFonts w:asciiTheme="majorHAnsi" w:hAnsiTheme="majorHAnsi"/>
          <w:sz w:val="20"/>
          <w:szCs w:val="20"/>
          <w:lang w:val="es-ES_tradnl"/>
        </w:rPr>
        <w:t xml:space="preserve">, </w:t>
      </w:r>
      <w:r w:rsidR="001C15BF" w:rsidRPr="00854B85">
        <w:rPr>
          <w:rFonts w:asciiTheme="majorHAnsi" w:hAnsiTheme="majorHAnsi"/>
          <w:sz w:val="20"/>
          <w:szCs w:val="20"/>
          <w:lang w:val="es-ES_tradnl"/>
        </w:rPr>
        <w:t xml:space="preserve">en ningún momento se realizó la transmisión de la propiedad del establecimiento comercial </w:t>
      </w:r>
      <w:r w:rsidRPr="00854B85">
        <w:rPr>
          <w:rFonts w:asciiTheme="majorHAnsi" w:hAnsiTheme="majorHAnsi"/>
          <w:sz w:val="20"/>
          <w:szCs w:val="20"/>
          <w:lang w:val="es-ES_tradnl"/>
        </w:rPr>
        <w:t>en su favor</w:t>
      </w:r>
      <w:r w:rsidR="001C15BF" w:rsidRPr="00854B85">
        <w:rPr>
          <w:rFonts w:asciiTheme="majorHAnsi" w:hAnsiTheme="majorHAnsi"/>
          <w:sz w:val="20"/>
          <w:szCs w:val="20"/>
          <w:lang w:val="es-ES_tradnl"/>
        </w:rPr>
        <w:t>, por lo que no resulta aplicable lo establecido en el Decreto 801/986, sino lo establecido en la Ley 17.715, vigente desde el 28 de noviembre de 2003</w:t>
      </w:r>
      <w:r w:rsidR="00CB71AF" w:rsidRPr="00854B85">
        <w:rPr>
          <w:rFonts w:asciiTheme="majorHAnsi" w:hAnsiTheme="majorHAnsi"/>
          <w:sz w:val="20"/>
          <w:szCs w:val="20"/>
          <w:lang w:val="es-ES_tradnl"/>
        </w:rPr>
        <w:t xml:space="preserve">, es decir, nuevamente consideró que la solicitud de los peticionarios consistía en una </w:t>
      </w:r>
      <w:r w:rsidR="00966250" w:rsidRPr="00854B85">
        <w:rPr>
          <w:rFonts w:asciiTheme="majorHAnsi" w:hAnsiTheme="majorHAnsi"/>
          <w:sz w:val="20"/>
          <w:szCs w:val="20"/>
          <w:lang w:val="es-ES_tradnl"/>
        </w:rPr>
        <w:t xml:space="preserve">solicitud de </w:t>
      </w:r>
      <w:r w:rsidR="00B10E3D" w:rsidRPr="00854B85">
        <w:rPr>
          <w:rFonts w:asciiTheme="majorHAnsi" w:hAnsiTheme="majorHAnsi"/>
          <w:sz w:val="20"/>
          <w:szCs w:val="20"/>
          <w:lang w:val="es-ES_tradnl"/>
        </w:rPr>
        <w:t xml:space="preserve">nueva </w:t>
      </w:r>
      <w:r w:rsidR="00CB71AF" w:rsidRPr="00854B85">
        <w:rPr>
          <w:rFonts w:asciiTheme="majorHAnsi" w:hAnsiTheme="majorHAnsi"/>
          <w:sz w:val="20"/>
          <w:szCs w:val="20"/>
          <w:lang w:val="es-ES_tradnl"/>
        </w:rPr>
        <w:t>apertura de farmacia.</w:t>
      </w:r>
    </w:p>
    <w:p w14:paraId="3C5F213D" w14:textId="46C70A15" w:rsidR="00223329" w:rsidRPr="00854B85" w:rsidRDefault="00223329"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En contra de dicha resolución, </w:t>
      </w:r>
      <w:r w:rsidR="00240100" w:rsidRPr="00854B85">
        <w:rPr>
          <w:rFonts w:asciiTheme="majorHAnsi" w:hAnsiTheme="majorHAnsi"/>
          <w:sz w:val="20"/>
          <w:szCs w:val="20"/>
          <w:lang w:val="es-ES_tradnl"/>
        </w:rPr>
        <w:t xml:space="preserve">el 26 de mayo de 2009 </w:t>
      </w:r>
      <w:r w:rsidRPr="00854B85">
        <w:rPr>
          <w:rFonts w:asciiTheme="majorHAnsi" w:hAnsiTheme="majorHAnsi"/>
          <w:sz w:val="20"/>
          <w:szCs w:val="20"/>
          <w:lang w:val="es-ES_tradnl"/>
        </w:rPr>
        <w:t xml:space="preserve">los peticionarios interpusieron un recurso de revisión </w:t>
      </w:r>
      <w:r w:rsidR="002A05F6">
        <w:rPr>
          <w:rFonts w:asciiTheme="majorHAnsi" w:hAnsiTheme="majorHAnsi"/>
          <w:sz w:val="20"/>
          <w:szCs w:val="20"/>
          <w:lang w:val="es-ES_tradnl"/>
        </w:rPr>
        <w:t xml:space="preserve">nuevamente </w:t>
      </w:r>
      <w:r w:rsidRPr="00854B85">
        <w:rPr>
          <w:rFonts w:asciiTheme="majorHAnsi" w:hAnsiTheme="majorHAnsi"/>
          <w:sz w:val="20"/>
          <w:szCs w:val="20"/>
          <w:lang w:val="es-ES_tradnl"/>
        </w:rPr>
        <w:t>ante el Tribunal de lo Contencioso Administrativo alegando una falta de control de convencionalidad por parte de dicho tribunal</w:t>
      </w:r>
      <w:r w:rsidR="004209D9" w:rsidRPr="00854B85">
        <w:rPr>
          <w:rFonts w:asciiTheme="majorHAnsi" w:hAnsiTheme="majorHAnsi"/>
          <w:sz w:val="20"/>
          <w:szCs w:val="20"/>
          <w:lang w:val="es-ES_tradnl"/>
        </w:rPr>
        <w:t xml:space="preserve"> al momento de resolver </w:t>
      </w:r>
      <w:r w:rsidR="00700A97">
        <w:rPr>
          <w:rFonts w:asciiTheme="majorHAnsi" w:hAnsiTheme="majorHAnsi"/>
          <w:sz w:val="20"/>
          <w:szCs w:val="20"/>
          <w:lang w:val="es-ES_tradnl"/>
        </w:rPr>
        <w:t>el recurso</w:t>
      </w:r>
      <w:r w:rsidR="004209D9" w:rsidRPr="00854B85">
        <w:rPr>
          <w:rFonts w:asciiTheme="majorHAnsi" w:hAnsiTheme="majorHAnsi"/>
          <w:sz w:val="20"/>
          <w:szCs w:val="20"/>
          <w:lang w:val="es-ES_tradnl"/>
        </w:rPr>
        <w:t xml:space="preserve"> de nulidad</w:t>
      </w:r>
      <w:r w:rsidR="00637BA7" w:rsidRPr="00854B85">
        <w:rPr>
          <w:rFonts w:asciiTheme="majorHAnsi" w:hAnsiTheme="majorHAnsi"/>
          <w:sz w:val="20"/>
          <w:szCs w:val="20"/>
          <w:lang w:val="es-ES_tradnl"/>
        </w:rPr>
        <w:t xml:space="preserve">. </w:t>
      </w:r>
      <w:r w:rsidR="00971FCD" w:rsidRPr="00854B85">
        <w:rPr>
          <w:rFonts w:asciiTheme="majorHAnsi" w:hAnsiTheme="majorHAnsi"/>
          <w:sz w:val="20"/>
          <w:szCs w:val="20"/>
          <w:lang w:val="es-ES_tradnl"/>
        </w:rPr>
        <w:t>Además, alegaron</w:t>
      </w:r>
      <w:r w:rsidR="00AD6BBD" w:rsidRPr="00854B85">
        <w:rPr>
          <w:rFonts w:asciiTheme="majorHAnsi" w:hAnsiTheme="majorHAnsi"/>
          <w:sz w:val="20"/>
          <w:szCs w:val="20"/>
          <w:lang w:val="es-ES_tradnl"/>
        </w:rPr>
        <w:t xml:space="preserve"> que la</w:t>
      </w:r>
      <w:r w:rsidR="00CD4204" w:rsidRPr="00854B85">
        <w:rPr>
          <w:rFonts w:asciiTheme="majorHAnsi" w:hAnsiTheme="majorHAnsi"/>
          <w:sz w:val="20"/>
          <w:szCs w:val="20"/>
          <w:lang w:val="es-ES_tradnl"/>
        </w:rPr>
        <w:t>s investigaciones pertinentes a esclarecer lo establecido en</w:t>
      </w:r>
      <w:r w:rsidR="004209D9" w:rsidRPr="00854B85">
        <w:rPr>
          <w:rFonts w:asciiTheme="majorHAnsi" w:hAnsiTheme="majorHAnsi"/>
          <w:sz w:val="20"/>
          <w:szCs w:val="20"/>
          <w:lang w:val="es-ES_tradnl"/>
        </w:rPr>
        <w:t xml:space="preserve"> la</w:t>
      </w:r>
      <w:r w:rsidR="00AD6BBD" w:rsidRPr="00854B85">
        <w:rPr>
          <w:rFonts w:asciiTheme="majorHAnsi" w:hAnsiTheme="majorHAnsi"/>
          <w:sz w:val="20"/>
          <w:szCs w:val="20"/>
          <w:lang w:val="es-ES_tradnl"/>
        </w:rPr>
        <w:t xml:space="preserve"> </w:t>
      </w:r>
      <w:r w:rsidR="00971FCD" w:rsidRPr="00854B85">
        <w:rPr>
          <w:rFonts w:asciiTheme="majorHAnsi" w:hAnsiTheme="majorHAnsi"/>
          <w:sz w:val="20"/>
          <w:szCs w:val="20"/>
          <w:lang w:val="es-ES_tradnl"/>
        </w:rPr>
        <w:t>denuncia</w:t>
      </w:r>
      <w:r w:rsidR="00AD6BBD" w:rsidRPr="00854B85">
        <w:rPr>
          <w:rFonts w:asciiTheme="majorHAnsi" w:hAnsiTheme="majorHAnsi"/>
          <w:sz w:val="20"/>
          <w:szCs w:val="20"/>
          <w:lang w:val="es-ES_tradnl"/>
        </w:rPr>
        <w:t xml:space="preserve"> administrativa </w:t>
      </w:r>
      <w:r w:rsidR="009C0AE7" w:rsidRPr="00854B85">
        <w:rPr>
          <w:rFonts w:asciiTheme="majorHAnsi" w:hAnsiTheme="majorHAnsi"/>
          <w:sz w:val="20"/>
          <w:szCs w:val="20"/>
          <w:lang w:val="es-ES_tradnl"/>
        </w:rPr>
        <w:t xml:space="preserve">interpuesta en </w:t>
      </w:r>
      <w:r w:rsidR="00971FCD" w:rsidRPr="00854B85">
        <w:rPr>
          <w:rFonts w:asciiTheme="majorHAnsi" w:hAnsiTheme="majorHAnsi"/>
          <w:sz w:val="20"/>
          <w:szCs w:val="20"/>
          <w:lang w:val="es-ES_tradnl"/>
        </w:rPr>
        <w:t xml:space="preserve">2006 </w:t>
      </w:r>
      <w:r w:rsidR="00CD4204" w:rsidRPr="00854B85">
        <w:rPr>
          <w:rFonts w:asciiTheme="majorHAnsi" w:hAnsiTheme="majorHAnsi"/>
          <w:sz w:val="20"/>
          <w:szCs w:val="20"/>
          <w:lang w:val="es-ES_tradnl"/>
        </w:rPr>
        <w:t>no se habían realizado</w:t>
      </w:r>
      <w:r w:rsidR="009C0AE7" w:rsidRPr="00854B85">
        <w:rPr>
          <w:rFonts w:asciiTheme="majorHAnsi" w:hAnsiTheme="majorHAnsi"/>
          <w:sz w:val="20"/>
          <w:szCs w:val="20"/>
          <w:lang w:val="es-ES_tradnl"/>
        </w:rPr>
        <w:t xml:space="preserve"> a esa fecha</w:t>
      </w:r>
      <w:r w:rsidR="00CD4204" w:rsidRPr="00854B85">
        <w:rPr>
          <w:rFonts w:asciiTheme="majorHAnsi" w:hAnsiTheme="majorHAnsi"/>
          <w:sz w:val="20"/>
          <w:szCs w:val="20"/>
          <w:lang w:val="es-ES_tradnl"/>
        </w:rPr>
        <w:t xml:space="preserve">, aunado a la </w:t>
      </w:r>
      <w:r w:rsidR="00971FCD" w:rsidRPr="00854B85">
        <w:rPr>
          <w:rFonts w:asciiTheme="majorHAnsi" w:hAnsiTheme="majorHAnsi"/>
          <w:sz w:val="20"/>
          <w:szCs w:val="20"/>
          <w:lang w:val="es-ES_tradnl"/>
        </w:rPr>
        <w:t xml:space="preserve">constante negativa </w:t>
      </w:r>
      <w:r w:rsidR="00332C64" w:rsidRPr="00854B85">
        <w:rPr>
          <w:rFonts w:asciiTheme="majorHAnsi" w:hAnsiTheme="majorHAnsi"/>
          <w:sz w:val="20"/>
          <w:szCs w:val="20"/>
          <w:lang w:val="es-ES_tradnl"/>
        </w:rPr>
        <w:t xml:space="preserve">por parte del Ministerio de Salud Pública </w:t>
      </w:r>
      <w:r w:rsidR="00760DD9" w:rsidRPr="00854B85">
        <w:rPr>
          <w:rFonts w:asciiTheme="majorHAnsi" w:hAnsiTheme="majorHAnsi"/>
          <w:sz w:val="20"/>
          <w:szCs w:val="20"/>
          <w:lang w:val="es-ES_tradnl"/>
        </w:rPr>
        <w:t>para</w:t>
      </w:r>
      <w:r w:rsidR="00971FCD" w:rsidRPr="00854B85">
        <w:rPr>
          <w:rFonts w:asciiTheme="majorHAnsi" w:hAnsiTheme="majorHAnsi"/>
          <w:sz w:val="20"/>
          <w:szCs w:val="20"/>
          <w:lang w:val="es-ES_tradnl"/>
        </w:rPr>
        <w:t xml:space="preserve"> consultar el expediente de </w:t>
      </w:r>
      <w:r w:rsidR="00760DD9" w:rsidRPr="00854B85">
        <w:rPr>
          <w:rFonts w:asciiTheme="majorHAnsi" w:hAnsiTheme="majorHAnsi"/>
          <w:sz w:val="20"/>
          <w:szCs w:val="20"/>
          <w:lang w:val="es-ES_tradnl"/>
        </w:rPr>
        <w:t>esta</w:t>
      </w:r>
      <w:r w:rsidR="00332C64" w:rsidRPr="00854B85">
        <w:rPr>
          <w:rFonts w:asciiTheme="majorHAnsi" w:hAnsiTheme="majorHAnsi"/>
          <w:sz w:val="20"/>
          <w:szCs w:val="20"/>
          <w:lang w:val="es-ES_tradnl"/>
        </w:rPr>
        <w:t xml:space="preserve">, máxime que </w:t>
      </w:r>
      <w:r w:rsidR="009C0AE7" w:rsidRPr="00854B85">
        <w:rPr>
          <w:rFonts w:asciiTheme="majorHAnsi" w:hAnsiTheme="majorHAnsi"/>
          <w:sz w:val="20"/>
          <w:szCs w:val="20"/>
          <w:lang w:val="es-ES_tradnl"/>
        </w:rPr>
        <w:t>dicha dependencia</w:t>
      </w:r>
      <w:r w:rsidR="00332C64" w:rsidRPr="00854B85">
        <w:rPr>
          <w:rFonts w:asciiTheme="majorHAnsi" w:hAnsiTheme="majorHAnsi"/>
          <w:sz w:val="20"/>
          <w:szCs w:val="20"/>
          <w:lang w:val="es-ES_tradnl"/>
        </w:rPr>
        <w:t xml:space="preserve"> concedió </w:t>
      </w:r>
      <w:r w:rsidR="001D7F08" w:rsidRPr="00854B85">
        <w:rPr>
          <w:rFonts w:asciiTheme="majorHAnsi" w:hAnsiTheme="majorHAnsi"/>
          <w:sz w:val="20"/>
          <w:szCs w:val="20"/>
          <w:lang w:val="es-ES_tradnl"/>
        </w:rPr>
        <w:t xml:space="preserve">el </w:t>
      </w:r>
      <w:r w:rsidR="00332C64" w:rsidRPr="00854B85">
        <w:rPr>
          <w:rFonts w:asciiTheme="majorHAnsi" w:hAnsiTheme="majorHAnsi"/>
          <w:sz w:val="20"/>
          <w:szCs w:val="20"/>
          <w:lang w:val="es-ES_tradnl"/>
        </w:rPr>
        <w:t xml:space="preserve">acceso al </w:t>
      </w:r>
      <w:r w:rsidR="00D96DD3">
        <w:rPr>
          <w:rFonts w:asciiTheme="majorHAnsi" w:hAnsiTheme="majorHAnsi"/>
          <w:sz w:val="20"/>
          <w:szCs w:val="20"/>
          <w:lang w:val="es-ES_tradnl"/>
        </w:rPr>
        <w:t>mismo</w:t>
      </w:r>
      <w:r w:rsidR="00332C64" w:rsidRPr="00854B85">
        <w:rPr>
          <w:rFonts w:asciiTheme="majorHAnsi" w:hAnsiTheme="majorHAnsi"/>
          <w:sz w:val="20"/>
          <w:szCs w:val="20"/>
          <w:lang w:val="es-ES_tradnl"/>
        </w:rPr>
        <w:t xml:space="preserve">; sin embargo, afirman que por trabas de los funcionarios no pudieron concretar de manera material la consulta del </w:t>
      </w:r>
      <w:r w:rsidR="002A05F6" w:rsidRPr="00854B85">
        <w:rPr>
          <w:rFonts w:asciiTheme="majorHAnsi" w:hAnsiTheme="majorHAnsi"/>
          <w:sz w:val="20"/>
          <w:szCs w:val="20"/>
          <w:lang w:val="es-ES_tradnl"/>
        </w:rPr>
        <w:t>expediente</w:t>
      </w:r>
      <w:r w:rsidR="002A05F6">
        <w:rPr>
          <w:rFonts w:asciiTheme="majorHAnsi" w:hAnsiTheme="majorHAnsi"/>
          <w:sz w:val="20"/>
          <w:szCs w:val="20"/>
          <w:lang w:val="es-ES_tradnl"/>
        </w:rPr>
        <w:t>; dichos</w:t>
      </w:r>
      <w:r w:rsidR="009C0AE7" w:rsidRPr="00854B85">
        <w:rPr>
          <w:rFonts w:asciiTheme="majorHAnsi" w:hAnsiTheme="majorHAnsi"/>
          <w:sz w:val="20"/>
          <w:szCs w:val="20"/>
          <w:lang w:val="es-ES_tradnl"/>
        </w:rPr>
        <w:t xml:space="preserve"> alegatos</w:t>
      </w:r>
      <w:r w:rsidR="002A05F6">
        <w:rPr>
          <w:rFonts w:asciiTheme="majorHAnsi" w:hAnsiTheme="majorHAnsi"/>
          <w:sz w:val="20"/>
          <w:szCs w:val="20"/>
          <w:lang w:val="es-ES_tradnl"/>
        </w:rPr>
        <w:t xml:space="preserve"> fueron</w:t>
      </w:r>
      <w:r w:rsidR="009C0AE7" w:rsidRPr="00854B85">
        <w:rPr>
          <w:rFonts w:asciiTheme="majorHAnsi" w:hAnsiTheme="majorHAnsi"/>
          <w:sz w:val="20"/>
          <w:szCs w:val="20"/>
          <w:lang w:val="es-ES_tradnl"/>
        </w:rPr>
        <w:t xml:space="preserve"> planteados de igual manera en el recurso de revisión</w:t>
      </w:r>
      <w:r w:rsidR="00332C64" w:rsidRPr="00854B85">
        <w:rPr>
          <w:rFonts w:asciiTheme="majorHAnsi" w:hAnsiTheme="majorHAnsi"/>
          <w:sz w:val="20"/>
          <w:szCs w:val="20"/>
          <w:lang w:val="es-ES_tradnl"/>
        </w:rPr>
        <w:t xml:space="preserve">. </w:t>
      </w:r>
      <w:r w:rsidR="009C0AE7" w:rsidRPr="00854B85">
        <w:rPr>
          <w:rFonts w:asciiTheme="majorHAnsi" w:hAnsiTheme="majorHAnsi"/>
          <w:sz w:val="20"/>
          <w:szCs w:val="20"/>
          <w:lang w:val="es-ES_tradnl"/>
        </w:rPr>
        <w:t>Así,</w:t>
      </w:r>
      <w:r w:rsidR="009721C1" w:rsidRPr="00854B85">
        <w:rPr>
          <w:rFonts w:asciiTheme="majorHAnsi" w:hAnsiTheme="majorHAnsi"/>
          <w:sz w:val="20"/>
          <w:szCs w:val="20"/>
          <w:lang w:val="es-ES_tradnl"/>
        </w:rPr>
        <w:t xml:space="preserve"> </w:t>
      </w:r>
      <w:r w:rsidR="009C0AE7" w:rsidRPr="00854B85">
        <w:rPr>
          <w:rFonts w:asciiTheme="majorHAnsi" w:hAnsiTheme="majorHAnsi"/>
          <w:sz w:val="20"/>
          <w:szCs w:val="20"/>
          <w:lang w:val="es-ES_tradnl"/>
        </w:rPr>
        <w:t xml:space="preserve">en </w:t>
      </w:r>
      <w:r w:rsidR="009721C1" w:rsidRPr="00854B85">
        <w:rPr>
          <w:rFonts w:asciiTheme="majorHAnsi" w:hAnsiTheme="majorHAnsi"/>
          <w:sz w:val="20"/>
          <w:szCs w:val="20"/>
          <w:lang w:val="es-ES_tradnl"/>
        </w:rPr>
        <w:t xml:space="preserve">sentencia de </w:t>
      </w:r>
      <w:r w:rsidR="009721C1" w:rsidRPr="00854B85">
        <w:rPr>
          <w:rFonts w:asciiTheme="majorHAnsi" w:hAnsiTheme="majorHAnsi"/>
          <w:color w:val="000000" w:themeColor="text1"/>
          <w:sz w:val="20"/>
          <w:szCs w:val="20"/>
          <w:lang w:val="es-ES_tradnl"/>
        </w:rPr>
        <w:t>25 de febrero de 2010</w:t>
      </w:r>
      <w:r w:rsidR="009721C1" w:rsidRPr="00854B85">
        <w:rPr>
          <w:rFonts w:asciiTheme="majorHAnsi" w:hAnsiTheme="majorHAnsi"/>
          <w:sz w:val="20"/>
          <w:szCs w:val="20"/>
          <w:lang w:val="es-ES_tradnl"/>
        </w:rPr>
        <w:t xml:space="preserve"> el Tribunal de lo Contencioso Administrativo resolvió no hacer lugar al recurso de revisión interpuesto por los peticionarios, en razón de que el mismo se fundamentó principalmente en fallos </w:t>
      </w:r>
      <w:r w:rsidR="00A44878" w:rsidRPr="00854B85">
        <w:rPr>
          <w:rFonts w:asciiTheme="majorHAnsi" w:hAnsiTheme="majorHAnsi"/>
          <w:sz w:val="20"/>
          <w:szCs w:val="20"/>
          <w:lang w:val="es-ES_tradnl"/>
        </w:rPr>
        <w:t>emitidos</w:t>
      </w:r>
      <w:r w:rsidR="009721C1" w:rsidRPr="00854B85">
        <w:rPr>
          <w:rFonts w:asciiTheme="majorHAnsi" w:hAnsiTheme="majorHAnsi"/>
          <w:sz w:val="20"/>
          <w:szCs w:val="20"/>
          <w:lang w:val="es-ES_tradnl"/>
        </w:rPr>
        <w:t xml:space="preserve"> por</w:t>
      </w:r>
      <w:r w:rsidR="00A44878" w:rsidRPr="00854B85">
        <w:rPr>
          <w:rFonts w:asciiTheme="majorHAnsi" w:hAnsiTheme="majorHAnsi"/>
          <w:sz w:val="20"/>
          <w:szCs w:val="20"/>
          <w:lang w:val="es-ES_tradnl"/>
        </w:rPr>
        <w:t xml:space="preserve"> </w:t>
      </w:r>
      <w:r w:rsidR="009721C1" w:rsidRPr="00854B85">
        <w:rPr>
          <w:rFonts w:asciiTheme="majorHAnsi" w:hAnsiTheme="majorHAnsi"/>
          <w:sz w:val="20"/>
          <w:szCs w:val="20"/>
          <w:lang w:val="es-ES_tradnl"/>
        </w:rPr>
        <w:t xml:space="preserve">organismos </w:t>
      </w:r>
      <w:r w:rsidR="00A44878" w:rsidRPr="00854B85">
        <w:rPr>
          <w:rFonts w:asciiTheme="majorHAnsi" w:hAnsiTheme="majorHAnsi"/>
          <w:sz w:val="20"/>
          <w:szCs w:val="20"/>
          <w:lang w:val="es-ES_tradnl"/>
        </w:rPr>
        <w:t>internacionales</w:t>
      </w:r>
      <w:r w:rsidR="009C0AE7" w:rsidRPr="00854B85">
        <w:rPr>
          <w:rFonts w:asciiTheme="majorHAnsi" w:hAnsiTheme="majorHAnsi"/>
          <w:sz w:val="20"/>
          <w:szCs w:val="20"/>
          <w:lang w:val="es-ES_tradnl"/>
        </w:rPr>
        <w:t xml:space="preserve"> y </w:t>
      </w:r>
      <w:r w:rsidR="00693AD3" w:rsidRPr="00854B85">
        <w:rPr>
          <w:rFonts w:asciiTheme="majorHAnsi" w:hAnsiTheme="majorHAnsi"/>
          <w:sz w:val="20"/>
          <w:szCs w:val="20"/>
          <w:lang w:val="es-ES_tradnl"/>
        </w:rPr>
        <w:t xml:space="preserve">que no se aportó </w:t>
      </w:r>
      <w:r w:rsidR="009C0AE7" w:rsidRPr="00854B85">
        <w:rPr>
          <w:rFonts w:asciiTheme="majorHAnsi" w:hAnsiTheme="majorHAnsi"/>
          <w:sz w:val="20"/>
          <w:szCs w:val="20"/>
          <w:lang w:val="es-ES_tradnl"/>
        </w:rPr>
        <w:t>nuevo material probatorio</w:t>
      </w:r>
      <w:r w:rsidR="009721C1" w:rsidRPr="00854B85">
        <w:rPr>
          <w:rFonts w:asciiTheme="majorHAnsi" w:hAnsiTheme="majorHAnsi"/>
          <w:sz w:val="20"/>
          <w:szCs w:val="20"/>
          <w:lang w:val="es-ES_tradnl"/>
        </w:rPr>
        <w:t xml:space="preserve"> </w:t>
      </w:r>
      <w:r w:rsidR="00CF7F43">
        <w:rPr>
          <w:rFonts w:asciiTheme="majorHAnsi" w:hAnsiTheme="majorHAnsi"/>
          <w:sz w:val="20"/>
          <w:szCs w:val="20"/>
          <w:lang w:val="es-ES_tradnl"/>
        </w:rPr>
        <w:t>que constituyera nuevos elementos para reexaminar el fallo.</w:t>
      </w:r>
    </w:p>
    <w:p w14:paraId="792D641A" w14:textId="6F3D689A" w:rsidR="00693AD3" w:rsidRPr="00854B85" w:rsidRDefault="00693AD3" w:rsidP="00693AD3">
      <w:pPr>
        <w:pStyle w:val="ListParagraph"/>
        <w:suppressAutoHyphens/>
        <w:spacing w:before="240" w:after="240"/>
        <w:ind w:left="810"/>
        <w:jc w:val="both"/>
        <w:rPr>
          <w:rFonts w:asciiTheme="majorHAnsi" w:hAnsiTheme="majorHAnsi"/>
          <w:b/>
          <w:i/>
          <w:iCs/>
          <w:sz w:val="20"/>
          <w:szCs w:val="20"/>
          <w:lang w:val="es-ES_tradnl"/>
        </w:rPr>
      </w:pPr>
      <w:r w:rsidRPr="00854B85">
        <w:rPr>
          <w:rFonts w:asciiTheme="majorHAnsi" w:hAnsiTheme="majorHAnsi"/>
          <w:b/>
          <w:i/>
          <w:iCs/>
          <w:sz w:val="20"/>
          <w:szCs w:val="20"/>
          <w:lang w:val="es-ES_tradnl"/>
        </w:rPr>
        <w:t>Denuncia administrativa</w:t>
      </w:r>
      <w:r w:rsidR="00645361">
        <w:rPr>
          <w:rFonts w:asciiTheme="majorHAnsi" w:hAnsiTheme="majorHAnsi"/>
          <w:b/>
          <w:i/>
          <w:iCs/>
          <w:sz w:val="20"/>
          <w:szCs w:val="20"/>
          <w:lang w:val="es-ES_tradnl"/>
        </w:rPr>
        <w:t>,</w:t>
      </w:r>
      <w:r w:rsidR="008D16C6" w:rsidRPr="00854B85">
        <w:rPr>
          <w:rFonts w:asciiTheme="majorHAnsi" w:hAnsiTheme="majorHAnsi"/>
          <w:b/>
          <w:i/>
          <w:iCs/>
          <w:sz w:val="20"/>
          <w:szCs w:val="20"/>
          <w:lang w:val="es-ES_tradnl"/>
        </w:rPr>
        <w:t xml:space="preserve"> negativa al acceso a la información pública</w:t>
      </w:r>
      <w:r w:rsidR="00A94956" w:rsidRPr="00854B85">
        <w:rPr>
          <w:rFonts w:asciiTheme="majorHAnsi" w:hAnsiTheme="majorHAnsi"/>
          <w:b/>
          <w:i/>
          <w:iCs/>
          <w:sz w:val="20"/>
          <w:szCs w:val="20"/>
          <w:lang w:val="es-ES_tradnl"/>
        </w:rPr>
        <w:t xml:space="preserve"> y proceso civil</w:t>
      </w:r>
    </w:p>
    <w:p w14:paraId="7B56BA94" w14:textId="57F1B7D9" w:rsidR="00693AD3" w:rsidRPr="00854B85" w:rsidRDefault="00693AD3" w:rsidP="00690416">
      <w:pPr>
        <w:pStyle w:val="ListParagraph"/>
        <w:numPr>
          <w:ilvl w:val="0"/>
          <w:numId w:val="55"/>
        </w:numPr>
        <w:tabs>
          <w:tab w:val="clear" w:pos="810"/>
        </w:tabs>
        <w:suppressAutoHyphens/>
        <w:spacing w:before="240" w:after="240"/>
        <w:ind w:firstLine="630"/>
        <w:jc w:val="both"/>
        <w:rPr>
          <w:sz w:val="20"/>
          <w:szCs w:val="20"/>
          <w:lang w:val="es-ES_tradnl"/>
        </w:rPr>
      </w:pPr>
      <w:r w:rsidRPr="00854B85">
        <w:rPr>
          <w:rFonts w:asciiTheme="majorHAnsi" w:hAnsiTheme="majorHAnsi"/>
          <w:sz w:val="20"/>
          <w:szCs w:val="20"/>
          <w:lang w:val="es-ES_tradnl"/>
        </w:rPr>
        <w:t>Los peticionarios indican que, de manera paralela al procedimiento contencioso</w:t>
      </w:r>
      <w:r w:rsidR="006936BE" w:rsidRPr="00854B85">
        <w:rPr>
          <w:rFonts w:asciiTheme="majorHAnsi" w:hAnsiTheme="majorHAnsi"/>
          <w:sz w:val="20"/>
          <w:szCs w:val="20"/>
          <w:lang w:val="es-ES_tradnl"/>
        </w:rPr>
        <w:t>-</w:t>
      </w:r>
      <w:r w:rsidRPr="00854B85">
        <w:rPr>
          <w:rFonts w:asciiTheme="majorHAnsi" w:hAnsiTheme="majorHAnsi"/>
          <w:sz w:val="20"/>
          <w:szCs w:val="20"/>
          <w:lang w:val="es-ES_tradnl"/>
        </w:rPr>
        <w:t xml:space="preserve">administrativo, </w:t>
      </w:r>
      <w:r w:rsidRPr="00854B85">
        <w:rPr>
          <w:sz w:val="20"/>
          <w:szCs w:val="20"/>
          <w:lang w:val="es-ES_tradnl"/>
        </w:rPr>
        <w:t>el 29 de marzo de 2006 interpusieron una denuncia administrativa en contra de los funcionarios adscritos a la División Productos de Salud</w:t>
      </w:r>
      <w:r w:rsidR="005679A2" w:rsidRPr="00854B85">
        <w:rPr>
          <w:sz w:val="20"/>
          <w:szCs w:val="20"/>
          <w:lang w:val="es-ES_tradnl"/>
        </w:rPr>
        <w:t xml:space="preserve"> del Ministerio de Salud Pública</w:t>
      </w:r>
      <w:r w:rsidRPr="00854B85">
        <w:rPr>
          <w:sz w:val="20"/>
          <w:szCs w:val="20"/>
          <w:lang w:val="es-ES_tradnl"/>
        </w:rPr>
        <w:t xml:space="preserve">, </w:t>
      </w:r>
      <w:r w:rsidR="00956D38" w:rsidRPr="00854B85">
        <w:rPr>
          <w:sz w:val="20"/>
          <w:szCs w:val="20"/>
          <w:lang w:val="es-ES_tradnl"/>
        </w:rPr>
        <w:t>debido a que omitieron</w:t>
      </w:r>
      <w:r w:rsidRPr="00854B85">
        <w:rPr>
          <w:sz w:val="20"/>
          <w:szCs w:val="20"/>
          <w:lang w:val="es-ES_tradnl"/>
        </w:rPr>
        <w:t xml:space="preserve"> resguardar los medicamentos de la farmacia clausurada, así como </w:t>
      </w:r>
      <w:r w:rsidR="00956D38" w:rsidRPr="00854B85">
        <w:rPr>
          <w:sz w:val="20"/>
          <w:szCs w:val="20"/>
          <w:lang w:val="es-ES_tradnl"/>
        </w:rPr>
        <w:t>elevar los hechos al ámbito penal</w:t>
      </w:r>
      <w:r w:rsidR="00797631" w:rsidRPr="00854B85">
        <w:rPr>
          <w:sz w:val="20"/>
          <w:szCs w:val="20"/>
          <w:lang w:val="es-ES_tradnl"/>
        </w:rPr>
        <w:t xml:space="preserve">, </w:t>
      </w:r>
      <w:r w:rsidR="00797631" w:rsidRPr="00854B85">
        <w:rPr>
          <w:sz w:val="20"/>
          <w:szCs w:val="20"/>
          <w:lang w:val="es-ES_tradnl"/>
        </w:rPr>
        <w:lastRenderedPageBreak/>
        <w:t xml:space="preserve">incumpliendo con lo </w:t>
      </w:r>
      <w:r w:rsidR="00A84E98" w:rsidRPr="00854B85">
        <w:rPr>
          <w:sz w:val="20"/>
          <w:szCs w:val="20"/>
          <w:lang w:val="es-ES_tradnl"/>
        </w:rPr>
        <w:t>establecido</w:t>
      </w:r>
      <w:r w:rsidR="00797631" w:rsidRPr="00854B85">
        <w:rPr>
          <w:sz w:val="20"/>
          <w:szCs w:val="20"/>
          <w:lang w:val="es-ES_tradnl"/>
        </w:rPr>
        <w:t xml:space="preserve"> por la División Jurídica del Ministerio de Salud Pública </w:t>
      </w:r>
      <w:r w:rsidRPr="00854B85">
        <w:rPr>
          <w:sz w:val="20"/>
          <w:szCs w:val="20"/>
          <w:lang w:val="es-ES_tradnl"/>
        </w:rPr>
        <w:t>en informes de 10 de mayo, 29 de octubre y 12 de diciembre de 2014</w:t>
      </w:r>
      <w:r w:rsidR="00797631" w:rsidRPr="00854B85">
        <w:rPr>
          <w:sz w:val="20"/>
          <w:szCs w:val="20"/>
          <w:lang w:val="es-ES_tradnl"/>
        </w:rPr>
        <w:t>.</w:t>
      </w:r>
      <w:r w:rsidRPr="00854B85">
        <w:rPr>
          <w:sz w:val="20"/>
          <w:szCs w:val="20"/>
          <w:lang w:val="es-ES_tradnl"/>
        </w:rPr>
        <w:t xml:space="preserve"> </w:t>
      </w:r>
    </w:p>
    <w:p w14:paraId="349953B7" w14:textId="434B327A" w:rsidR="00693AD3" w:rsidRPr="00854B85" w:rsidRDefault="00444B58"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Pr>
          <w:rFonts w:asciiTheme="majorHAnsi" w:hAnsiTheme="majorHAnsi"/>
          <w:sz w:val="20"/>
          <w:szCs w:val="20"/>
          <w:lang w:val="es-ES_tradnl"/>
        </w:rPr>
        <w:t>Señalan</w:t>
      </w:r>
      <w:r w:rsidR="006F43BD" w:rsidRPr="00854B85">
        <w:rPr>
          <w:rFonts w:asciiTheme="majorHAnsi" w:hAnsiTheme="majorHAnsi"/>
          <w:sz w:val="20"/>
          <w:szCs w:val="20"/>
          <w:lang w:val="es-ES_tradnl"/>
        </w:rPr>
        <w:t xml:space="preserve"> que</w:t>
      </w:r>
      <w:r w:rsidR="00E52B50">
        <w:rPr>
          <w:rFonts w:asciiTheme="majorHAnsi" w:hAnsiTheme="majorHAnsi"/>
          <w:sz w:val="20"/>
          <w:szCs w:val="20"/>
          <w:lang w:val="es-ES_tradnl"/>
        </w:rPr>
        <w:t>,</w:t>
      </w:r>
      <w:r w:rsidR="006F43BD" w:rsidRPr="00854B85">
        <w:rPr>
          <w:rFonts w:asciiTheme="majorHAnsi" w:hAnsiTheme="majorHAnsi"/>
          <w:sz w:val="20"/>
          <w:szCs w:val="20"/>
          <w:lang w:val="es-ES_tradnl"/>
        </w:rPr>
        <w:t xml:space="preserve"> derivado de la falta de investigación de la denuncia administrativa, reiteradamente solicitaron al Ministerio de Salud Pública</w:t>
      </w:r>
      <w:r w:rsidR="005679A2" w:rsidRPr="00854B85">
        <w:rPr>
          <w:rFonts w:asciiTheme="majorHAnsi" w:hAnsiTheme="majorHAnsi"/>
          <w:sz w:val="20"/>
          <w:szCs w:val="20"/>
          <w:lang w:val="es-ES_tradnl"/>
        </w:rPr>
        <w:t xml:space="preserve"> acceso al expediente con la finalidad de conocer las actuaciones del mismo; sin embargo, </w:t>
      </w:r>
      <w:r w:rsidR="001448B2" w:rsidRPr="00854B85">
        <w:rPr>
          <w:rFonts w:asciiTheme="majorHAnsi" w:hAnsiTheme="majorHAnsi"/>
          <w:sz w:val="20"/>
          <w:szCs w:val="20"/>
          <w:lang w:val="es-ES_tradnl"/>
        </w:rPr>
        <w:t>manifiestan que no</w:t>
      </w:r>
      <w:r w:rsidR="005679A2" w:rsidRPr="00854B85">
        <w:rPr>
          <w:rFonts w:asciiTheme="majorHAnsi" w:hAnsiTheme="majorHAnsi"/>
          <w:sz w:val="20"/>
          <w:szCs w:val="20"/>
          <w:lang w:val="es-ES_tradnl"/>
        </w:rPr>
        <w:t xml:space="preserve"> pudieron acceder al </w:t>
      </w:r>
      <w:r w:rsidR="00DD432C" w:rsidRPr="00854B85">
        <w:rPr>
          <w:rFonts w:asciiTheme="majorHAnsi" w:hAnsiTheme="majorHAnsi"/>
          <w:sz w:val="20"/>
          <w:szCs w:val="20"/>
          <w:lang w:val="es-ES_tradnl"/>
        </w:rPr>
        <w:t>expediente</w:t>
      </w:r>
      <w:r w:rsidR="005679A2" w:rsidRPr="00854B85">
        <w:rPr>
          <w:rFonts w:asciiTheme="majorHAnsi" w:hAnsiTheme="majorHAnsi"/>
          <w:sz w:val="20"/>
          <w:szCs w:val="20"/>
          <w:lang w:val="es-ES_tradnl"/>
        </w:rPr>
        <w:t>, pese a que en oficio de 14 de mayo de 2009 dicho ministerio concedió su consulta</w:t>
      </w:r>
      <w:r w:rsidR="00DD432C" w:rsidRPr="00854B85">
        <w:rPr>
          <w:rFonts w:asciiTheme="majorHAnsi" w:hAnsiTheme="majorHAnsi"/>
          <w:sz w:val="20"/>
          <w:szCs w:val="20"/>
          <w:lang w:val="es-ES_tradnl"/>
        </w:rPr>
        <w:t>; sin embargo</w:t>
      </w:r>
      <w:r w:rsidR="005679A2" w:rsidRPr="00854B85">
        <w:rPr>
          <w:rFonts w:asciiTheme="majorHAnsi" w:hAnsiTheme="majorHAnsi"/>
          <w:sz w:val="20"/>
          <w:szCs w:val="20"/>
          <w:lang w:val="es-ES_tradnl"/>
        </w:rPr>
        <w:t>, aducen que no pudieron consultarlo</w:t>
      </w:r>
      <w:r w:rsidR="00DD432C" w:rsidRPr="00854B85">
        <w:rPr>
          <w:rFonts w:asciiTheme="majorHAnsi" w:hAnsiTheme="majorHAnsi"/>
          <w:sz w:val="20"/>
          <w:szCs w:val="20"/>
          <w:lang w:val="es-ES_tradnl"/>
        </w:rPr>
        <w:t xml:space="preserve"> nuevamente</w:t>
      </w:r>
      <w:r w:rsidR="005679A2" w:rsidRPr="00854B85">
        <w:rPr>
          <w:rFonts w:asciiTheme="majorHAnsi" w:hAnsiTheme="majorHAnsi"/>
          <w:sz w:val="20"/>
          <w:szCs w:val="20"/>
          <w:lang w:val="es-ES_tradnl"/>
        </w:rPr>
        <w:t>, debido a que los funcionarios encargados les indicaron que el mismo se encontraba extraviado. Al respecto, los</w:t>
      </w:r>
      <w:r w:rsidR="000726C0">
        <w:rPr>
          <w:rFonts w:asciiTheme="majorHAnsi" w:hAnsiTheme="majorHAnsi"/>
          <w:sz w:val="20"/>
          <w:szCs w:val="20"/>
          <w:lang w:val="es-ES_tradnl"/>
        </w:rPr>
        <w:t xml:space="preserve"> peticionarios</w:t>
      </w:r>
      <w:r w:rsidR="005679A2" w:rsidRPr="00854B85">
        <w:rPr>
          <w:rFonts w:asciiTheme="majorHAnsi" w:hAnsiTheme="majorHAnsi"/>
          <w:sz w:val="20"/>
          <w:szCs w:val="20"/>
          <w:lang w:val="es-ES_tradnl"/>
        </w:rPr>
        <w:t xml:space="preserve"> alegan que la falta de acceso al expediente </w:t>
      </w:r>
      <w:r w:rsidR="00DD432C" w:rsidRPr="00854B85">
        <w:rPr>
          <w:rFonts w:asciiTheme="majorHAnsi" w:hAnsiTheme="majorHAnsi"/>
          <w:sz w:val="20"/>
          <w:szCs w:val="20"/>
          <w:lang w:val="es-ES_tradnl"/>
        </w:rPr>
        <w:t>impactó directamente en la negativa del recurso de revisión por parte del Tribunal de lo Contencioso Administrativo, toda vez que</w:t>
      </w:r>
      <w:r w:rsidR="008C54BF">
        <w:rPr>
          <w:rFonts w:asciiTheme="majorHAnsi" w:hAnsiTheme="majorHAnsi"/>
          <w:sz w:val="20"/>
          <w:szCs w:val="20"/>
          <w:lang w:val="es-ES_tradnl"/>
        </w:rPr>
        <w:t>, a su juicio,</w:t>
      </w:r>
      <w:r w:rsidR="00DD432C" w:rsidRPr="00854B85">
        <w:rPr>
          <w:rFonts w:asciiTheme="majorHAnsi" w:hAnsiTheme="majorHAnsi"/>
          <w:sz w:val="20"/>
          <w:szCs w:val="20"/>
          <w:lang w:val="es-ES_tradnl"/>
        </w:rPr>
        <w:t xml:space="preserve"> dicho expediente constituía material probatorio suficiente para </w:t>
      </w:r>
      <w:r w:rsidR="00771AAF">
        <w:rPr>
          <w:rFonts w:asciiTheme="majorHAnsi" w:hAnsiTheme="majorHAnsi"/>
          <w:sz w:val="20"/>
          <w:szCs w:val="20"/>
          <w:lang w:val="es-ES_tradnl"/>
        </w:rPr>
        <w:t>tener elementos suficientes para poder</w:t>
      </w:r>
      <w:r w:rsidR="00DD432C" w:rsidRPr="00854B85">
        <w:rPr>
          <w:rFonts w:asciiTheme="majorHAnsi" w:hAnsiTheme="majorHAnsi"/>
          <w:sz w:val="20"/>
          <w:szCs w:val="20"/>
          <w:lang w:val="es-ES_tradnl"/>
        </w:rPr>
        <w:t xml:space="preserve"> reexaminar el fallo de primera instancia. </w:t>
      </w:r>
    </w:p>
    <w:p w14:paraId="6DFEA7DE" w14:textId="3571490C" w:rsidR="003246DC" w:rsidRPr="00854B85" w:rsidRDefault="00DD432C"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En ese mismo sentido,</w:t>
      </w:r>
      <w:r w:rsidR="00332C64" w:rsidRPr="00854B85">
        <w:rPr>
          <w:rFonts w:asciiTheme="majorHAnsi" w:hAnsiTheme="majorHAnsi"/>
          <w:sz w:val="20"/>
          <w:szCs w:val="20"/>
          <w:lang w:val="es-ES_tradnl"/>
        </w:rPr>
        <w:t xml:space="preserve"> </w:t>
      </w:r>
      <w:r w:rsidR="00B15132" w:rsidRPr="00854B85">
        <w:rPr>
          <w:rFonts w:asciiTheme="majorHAnsi" w:hAnsiTheme="majorHAnsi"/>
          <w:sz w:val="20"/>
          <w:szCs w:val="20"/>
          <w:lang w:val="es-ES_tradnl"/>
        </w:rPr>
        <w:t>expresan qu</w:t>
      </w:r>
      <w:r w:rsidRPr="00854B85">
        <w:rPr>
          <w:rFonts w:asciiTheme="majorHAnsi" w:hAnsiTheme="majorHAnsi"/>
          <w:sz w:val="20"/>
          <w:szCs w:val="20"/>
          <w:lang w:val="es-ES_tradnl"/>
        </w:rPr>
        <w:t>e</w:t>
      </w:r>
      <w:r w:rsidR="00B15132" w:rsidRPr="00854B85">
        <w:rPr>
          <w:rFonts w:asciiTheme="majorHAnsi" w:hAnsiTheme="majorHAnsi"/>
          <w:sz w:val="20"/>
          <w:szCs w:val="20"/>
          <w:lang w:val="es-ES_tradnl"/>
        </w:rPr>
        <w:t xml:space="preserve"> </w:t>
      </w:r>
      <w:r w:rsidR="00874B65" w:rsidRPr="00854B85">
        <w:rPr>
          <w:rFonts w:asciiTheme="majorHAnsi" w:hAnsiTheme="majorHAnsi"/>
          <w:sz w:val="20"/>
          <w:szCs w:val="20"/>
          <w:lang w:val="es-ES_tradnl"/>
        </w:rPr>
        <w:t>el 9 de marzo de 2011</w:t>
      </w:r>
      <w:r w:rsidR="00FF59B1" w:rsidRPr="00854B85">
        <w:rPr>
          <w:rFonts w:asciiTheme="majorHAnsi" w:hAnsiTheme="majorHAnsi"/>
          <w:sz w:val="20"/>
          <w:szCs w:val="20"/>
          <w:lang w:val="es-ES_tradnl"/>
        </w:rPr>
        <w:t xml:space="preserve"> interpusieron</w:t>
      </w:r>
      <w:r w:rsidR="00874B65" w:rsidRPr="00854B85">
        <w:rPr>
          <w:rFonts w:asciiTheme="majorHAnsi" w:hAnsiTheme="majorHAnsi"/>
          <w:sz w:val="20"/>
          <w:szCs w:val="20"/>
          <w:lang w:val="es-ES_tradnl"/>
        </w:rPr>
        <w:t xml:space="preserve"> </w:t>
      </w:r>
      <w:r w:rsidR="00B6551D" w:rsidRPr="00854B85">
        <w:rPr>
          <w:rFonts w:asciiTheme="majorHAnsi" w:hAnsiTheme="majorHAnsi"/>
          <w:sz w:val="20"/>
          <w:szCs w:val="20"/>
          <w:lang w:val="es-ES_tradnl"/>
        </w:rPr>
        <w:t>una denuncia</w:t>
      </w:r>
      <w:r w:rsidR="00874B65" w:rsidRPr="00854B85">
        <w:rPr>
          <w:rFonts w:asciiTheme="majorHAnsi" w:hAnsiTheme="majorHAnsi"/>
          <w:sz w:val="20"/>
          <w:szCs w:val="20"/>
          <w:lang w:val="es-ES_tradnl"/>
        </w:rPr>
        <w:t xml:space="preserve"> en contra del Ministerio de Salud Pública</w:t>
      </w:r>
      <w:r w:rsidR="00B6551D" w:rsidRPr="00854B85">
        <w:rPr>
          <w:rFonts w:asciiTheme="majorHAnsi" w:hAnsiTheme="majorHAnsi"/>
          <w:sz w:val="20"/>
          <w:szCs w:val="20"/>
          <w:lang w:val="es-ES_tradnl"/>
        </w:rPr>
        <w:t xml:space="preserve"> ante la Unidad de Acceso a la Información Pública </w:t>
      </w:r>
      <w:r w:rsidR="003246DC" w:rsidRPr="00854B85">
        <w:rPr>
          <w:rFonts w:asciiTheme="majorHAnsi" w:hAnsiTheme="majorHAnsi"/>
          <w:sz w:val="20"/>
          <w:szCs w:val="20"/>
          <w:lang w:val="es-ES_tradnl"/>
        </w:rPr>
        <w:t xml:space="preserve">por la </w:t>
      </w:r>
      <w:r w:rsidR="00874B65" w:rsidRPr="00854B85">
        <w:rPr>
          <w:rFonts w:asciiTheme="majorHAnsi" w:hAnsiTheme="majorHAnsi"/>
          <w:sz w:val="20"/>
          <w:szCs w:val="20"/>
          <w:lang w:val="es-ES_tradnl"/>
        </w:rPr>
        <w:t>negativa</w:t>
      </w:r>
      <w:r w:rsidR="003246DC" w:rsidRPr="00854B85">
        <w:rPr>
          <w:rFonts w:asciiTheme="majorHAnsi" w:hAnsiTheme="majorHAnsi"/>
          <w:sz w:val="20"/>
          <w:szCs w:val="20"/>
          <w:lang w:val="es-ES_tradnl"/>
        </w:rPr>
        <w:t xml:space="preserve"> injustificada al acceso a la información contenida en el expediente </w:t>
      </w:r>
      <w:r w:rsidRPr="00854B85">
        <w:rPr>
          <w:rFonts w:asciiTheme="majorHAnsi" w:hAnsiTheme="majorHAnsi"/>
          <w:sz w:val="20"/>
          <w:szCs w:val="20"/>
          <w:lang w:val="es-ES_tradnl"/>
        </w:rPr>
        <w:t>de la denuncia administrativa</w:t>
      </w:r>
      <w:r w:rsidR="00B1401E" w:rsidRPr="00854B85">
        <w:rPr>
          <w:rFonts w:asciiTheme="majorHAnsi" w:hAnsiTheme="majorHAnsi"/>
          <w:sz w:val="20"/>
          <w:szCs w:val="20"/>
          <w:lang w:val="es-ES_tradnl"/>
        </w:rPr>
        <w:t xml:space="preserve">, así como </w:t>
      </w:r>
      <w:r w:rsidR="00FA605D">
        <w:rPr>
          <w:rFonts w:asciiTheme="majorHAnsi" w:hAnsiTheme="majorHAnsi"/>
          <w:sz w:val="20"/>
          <w:szCs w:val="20"/>
          <w:lang w:val="es-ES_tradnl"/>
        </w:rPr>
        <w:t xml:space="preserve">de una solicitud de información requerida al ministerio </w:t>
      </w:r>
      <w:r w:rsidR="00B1401E" w:rsidRPr="00854B85">
        <w:rPr>
          <w:rFonts w:asciiTheme="majorHAnsi" w:hAnsiTheme="majorHAnsi"/>
          <w:sz w:val="20"/>
          <w:szCs w:val="20"/>
          <w:lang w:val="es-ES_tradnl"/>
        </w:rPr>
        <w:t>respecto del número de nuevas</w:t>
      </w:r>
      <w:r w:rsidR="00C365A8">
        <w:rPr>
          <w:rFonts w:asciiTheme="majorHAnsi" w:hAnsiTheme="majorHAnsi"/>
          <w:sz w:val="20"/>
          <w:szCs w:val="20"/>
          <w:lang w:val="es-ES_tradnl"/>
        </w:rPr>
        <w:t xml:space="preserve"> aperturas de</w:t>
      </w:r>
      <w:r w:rsidR="00B1401E" w:rsidRPr="00854B85">
        <w:rPr>
          <w:rFonts w:asciiTheme="majorHAnsi" w:hAnsiTheme="majorHAnsi"/>
          <w:sz w:val="20"/>
          <w:szCs w:val="20"/>
          <w:lang w:val="es-ES_tradnl"/>
        </w:rPr>
        <w:t xml:space="preserve"> farmacias en Uruguay</w:t>
      </w:r>
      <w:r w:rsidR="003246DC" w:rsidRPr="00854B85">
        <w:rPr>
          <w:rFonts w:asciiTheme="majorHAnsi" w:hAnsiTheme="majorHAnsi"/>
          <w:sz w:val="20"/>
          <w:szCs w:val="20"/>
          <w:lang w:val="es-ES_tradnl"/>
        </w:rPr>
        <w:t xml:space="preserve">. Al respecto, el 9 de abril de 2012 el Consejo Ejecutivo de la Unidad de Acceso a la Información Pública </w:t>
      </w:r>
      <w:r w:rsidR="00A966A5" w:rsidRPr="00854B85">
        <w:rPr>
          <w:rFonts w:asciiTheme="majorHAnsi" w:hAnsiTheme="majorHAnsi"/>
          <w:sz w:val="20"/>
          <w:szCs w:val="20"/>
          <w:lang w:val="es-ES_tradnl"/>
        </w:rPr>
        <w:t>estableció</w:t>
      </w:r>
      <w:r w:rsidR="003246DC" w:rsidRPr="00854B85">
        <w:rPr>
          <w:rFonts w:asciiTheme="majorHAnsi" w:hAnsiTheme="majorHAnsi"/>
          <w:sz w:val="20"/>
          <w:szCs w:val="20"/>
          <w:lang w:val="es-ES_tradnl"/>
        </w:rPr>
        <w:t xml:space="preserve"> que la información solicitada por los peticionarios es de carácter pública, determinando su entrega por parte del </w:t>
      </w:r>
      <w:r w:rsidR="00BA080C" w:rsidRPr="00854B85">
        <w:rPr>
          <w:rFonts w:asciiTheme="majorHAnsi" w:hAnsiTheme="majorHAnsi"/>
          <w:sz w:val="20"/>
          <w:szCs w:val="20"/>
          <w:lang w:val="es-ES_tradnl"/>
        </w:rPr>
        <w:t xml:space="preserve">Ministerio de Salud Pública. </w:t>
      </w:r>
      <w:r w:rsidR="00874B65" w:rsidRPr="00854B85">
        <w:rPr>
          <w:rFonts w:asciiTheme="majorHAnsi" w:hAnsiTheme="majorHAnsi"/>
          <w:sz w:val="20"/>
          <w:szCs w:val="20"/>
          <w:lang w:val="es-ES_tradnl"/>
        </w:rPr>
        <w:t xml:space="preserve">No obstante, los peticionarios afirman </w:t>
      </w:r>
      <w:r w:rsidRPr="00854B85">
        <w:rPr>
          <w:rFonts w:asciiTheme="majorHAnsi" w:hAnsiTheme="majorHAnsi"/>
          <w:sz w:val="20"/>
          <w:szCs w:val="20"/>
          <w:lang w:val="es-ES_tradnl"/>
        </w:rPr>
        <w:t>que</w:t>
      </w:r>
      <w:r w:rsidR="00874B65" w:rsidRPr="00854B85">
        <w:rPr>
          <w:rFonts w:asciiTheme="majorHAnsi" w:hAnsiTheme="majorHAnsi"/>
          <w:sz w:val="20"/>
          <w:szCs w:val="20"/>
          <w:lang w:val="es-ES_tradnl"/>
        </w:rPr>
        <w:t xml:space="preserve"> </w:t>
      </w:r>
      <w:r w:rsidR="00B1401E" w:rsidRPr="00854B85">
        <w:rPr>
          <w:rFonts w:asciiTheme="majorHAnsi" w:hAnsiTheme="majorHAnsi"/>
          <w:sz w:val="20"/>
          <w:szCs w:val="20"/>
          <w:lang w:val="es-ES_tradnl"/>
        </w:rPr>
        <w:t xml:space="preserve">la consulta material de la información nunca se concretó a causa de distintos impedimentos propiciados por </w:t>
      </w:r>
      <w:r w:rsidR="004B4D00">
        <w:rPr>
          <w:rFonts w:asciiTheme="majorHAnsi" w:hAnsiTheme="majorHAnsi"/>
          <w:sz w:val="20"/>
          <w:szCs w:val="20"/>
          <w:lang w:val="es-ES_tradnl"/>
        </w:rPr>
        <w:t>funcionarios del</w:t>
      </w:r>
      <w:r w:rsidR="00B1401E" w:rsidRPr="00854B85">
        <w:rPr>
          <w:rFonts w:asciiTheme="majorHAnsi" w:hAnsiTheme="majorHAnsi"/>
          <w:sz w:val="20"/>
          <w:szCs w:val="20"/>
          <w:lang w:val="es-ES_tradnl"/>
        </w:rPr>
        <w:t xml:space="preserve"> Ministerio de Salud Pública.</w:t>
      </w:r>
    </w:p>
    <w:p w14:paraId="09CA0F8F" w14:textId="0B9D1EE4" w:rsidR="00355E92" w:rsidRPr="00854B85" w:rsidRDefault="00355E92"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Por otro lado, </w:t>
      </w:r>
      <w:r w:rsidR="002A51F9">
        <w:rPr>
          <w:rFonts w:asciiTheme="majorHAnsi" w:hAnsiTheme="majorHAnsi"/>
          <w:sz w:val="20"/>
          <w:szCs w:val="20"/>
          <w:lang w:val="es-ES_tradnl"/>
        </w:rPr>
        <w:t xml:space="preserve">a manera de referencia, </w:t>
      </w:r>
      <w:r w:rsidRPr="00854B85">
        <w:rPr>
          <w:rFonts w:asciiTheme="majorHAnsi" w:hAnsiTheme="majorHAnsi"/>
          <w:sz w:val="20"/>
          <w:szCs w:val="20"/>
          <w:lang w:val="es-ES_tradnl"/>
        </w:rPr>
        <w:t xml:space="preserve">señalan que </w:t>
      </w:r>
      <w:r w:rsidR="00972192" w:rsidRPr="00854B85">
        <w:rPr>
          <w:rFonts w:asciiTheme="majorHAnsi" w:hAnsiTheme="majorHAnsi"/>
          <w:sz w:val="20"/>
          <w:szCs w:val="20"/>
          <w:lang w:val="es-ES_tradnl"/>
        </w:rPr>
        <w:t xml:space="preserve">interpusieron una </w:t>
      </w:r>
      <w:r w:rsidR="00A60619" w:rsidRPr="00854B85">
        <w:rPr>
          <w:rFonts w:asciiTheme="majorHAnsi" w:hAnsiTheme="majorHAnsi"/>
          <w:sz w:val="20"/>
          <w:szCs w:val="20"/>
          <w:lang w:val="es-ES_tradnl"/>
        </w:rPr>
        <w:t>denuncia</w:t>
      </w:r>
      <w:r w:rsidR="00972192" w:rsidRPr="00854B85">
        <w:rPr>
          <w:rFonts w:asciiTheme="majorHAnsi" w:hAnsiTheme="majorHAnsi"/>
          <w:sz w:val="20"/>
          <w:szCs w:val="20"/>
          <w:lang w:val="es-ES_tradnl"/>
        </w:rPr>
        <w:t xml:space="preserve"> </w:t>
      </w:r>
      <w:r w:rsidR="00A60619" w:rsidRPr="00854B85">
        <w:rPr>
          <w:rFonts w:asciiTheme="majorHAnsi" w:hAnsiTheme="majorHAnsi"/>
          <w:sz w:val="20"/>
          <w:szCs w:val="20"/>
          <w:lang w:val="es-ES_tradnl"/>
        </w:rPr>
        <w:t xml:space="preserve">penal en contra </w:t>
      </w:r>
      <w:r w:rsidR="00294A96">
        <w:rPr>
          <w:rFonts w:asciiTheme="majorHAnsi" w:hAnsiTheme="majorHAnsi"/>
          <w:sz w:val="20"/>
          <w:szCs w:val="20"/>
          <w:lang w:val="es-ES_tradnl"/>
        </w:rPr>
        <w:t xml:space="preserve">de </w:t>
      </w:r>
      <w:r w:rsidR="00A60619" w:rsidRPr="00854B85">
        <w:rPr>
          <w:rFonts w:asciiTheme="majorHAnsi" w:hAnsiTheme="majorHAnsi"/>
          <w:sz w:val="20"/>
          <w:szCs w:val="20"/>
          <w:lang w:val="es-ES_tradnl"/>
        </w:rPr>
        <w:t xml:space="preserve">funcionarios públicos </w:t>
      </w:r>
      <w:r w:rsidR="003F1283" w:rsidRPr="00854B85">
        <w:rPr>
          <w:rFonts w:asciiTheme="majorHAnsi" w:hAnsiTheme="majorHAnsi"/>
          <w:sz w:val="20"/>
          <w:szCs w:val="20"/>
          <w:lang w:val="es-ES_tradnl"/>
        </w:rPr>
        <w:t>específicos relacionados a los mismos hechos de la</w:t>
      </w:r>
      <w:r w:rsidR="00A60619" w:rsidRPr="00854B85">
        <w:rPr>
          <w:rFonts w:asciiTheme="majorHAnsi" w:hAnsiTheme="majorHAnsi"/>
          <w:sz w:val="20"/>
          <w:szCs w:val="20"/>
          <w:lang w:val="es-ES_tradnl"/>
        </w:rPr>
        <w:t xml:space="preserve"> denuncia administrativa. No obstante, expresan que el 9 de septiembre de 2011 el Juzgado Letrado en Crimen Organizado de Segundo Turno notificó </w:t>
      </w:r>
      <w:r w:rsidR="00AB21BD" w:rsidRPr="00854B85">
        <w:rPr>
          <w:rFonts w:asciiTheme="majorHAnsi" w:hAnsiTheme="majorHAnsi"/>
          <w:sz w:val="20"/>
          <w:szCs w:val="20"/>
          <w:lang w:val="es-ES_tradnl"/>
        </w:rPr>
        <w:t>el archivo del expediente</w:t>
      </w:r>
      <w:r w:rsidR="00130B74">
        <w:rPr>
          <w:rFonts w:asciiTheme="majorHAnsi" w:hAnsiTheme="majorHAnsi"/>
          <w:sz w:val="20"/>
          <w:szCs w:val="20"/>
          <w:lang w:val="es-ES_tradnl"/>
        </w:rPr>
        <w:t>,</w:t>
      </w:r>
      <w:r w:rsidR="00AB21BD" w:rsidRPr="00854B85">
        <w:rPr>
          <w:rFonts w:asciiTheme="majorHAnsi" w:hAnsiTheme="majorHAnsi"/>
          <w:sz w:val="20"/>
          <w:szCs w:val="20"/>
          <w:lang w:val="es-ES_tradnl"/>
        </w:rPr>
        <w:t xml:space="preserve"> debido a que las personas denunciadas no fueron localizadas y; por lo tanto, no se pudieron obtener sus declaraciones</w:t>
      </w:r>
      <w:r w:rsidR="00130B74">
        <w:rPr>
          <w:rFonts w:asciiTheme="majorHAnsi" w:hAnsiTheme="majorHAnsi"/>
          <w:sz w:val="20"/>
          <w:szCs w:val="20"/>
          <w:lang w:val="es-ES_tradnl"/>
        </w:rPr>
        <w:t>.</w:t>
      </w:r>
    </w:p>
    <w:p w14:paraId="3EA75693" w14:textId="39CB6D45" w:rsidR="00311255" w:rsidRPr="00854B85" w:rsidRDefault="009F5A45"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Por </w:t>
      </w:r>
      <w:r w:rsidR="00A94956" w:rsidRPr="00854B85">
        <w:rPr>
          <w:rFonts w:asciiTheme="majorHAnsi" w:hAnsiTheme="majorHAnsi"/>
          <w:sz w:val="20"/>
          <w:szCs w:val="20"/>
          <w:lang w:val="es-ES_tradnl"/>
        </w:rPr>
        <w:t>último</w:t>
      </w:r>
      <w:r w:rsidRPr="00854B85">
        <w:rPr>
          <w:rFonts w:asciiTheme="majorHAnsi" w:hAnsiTheme="majorHAnsi"/>
          <w:sz w:val="20"/>
          <w:szCs w:val="20"/>
          <w:lang w:val="es-ES_tradnl"/>
        </w:rPr>
        <w:t xml:space="preserve">, el peticionario Alberto Pérez </w:t>
      </w:r>
      <w:r w:rsidR="00311255" w:rsidRPr="00854B85">
        <w:rPr>
          <w:rFonts w:asciiTheme="majorHAnsi" w:hAnsiTheme="majorHAnsi"/>
          <w:sz w:val="20"/>
          <w:szCs w:val="20"/>
          <w:lang w:val="es-ES_tradnl"/>
        </w:rPr>
        <w:t xml:space="preserve">manifiesta que interpuso </w:t>
      </w:r>
      <w:r w:rsidR="006B1E02" w:rsidRPr="00854B85">
        <w:rPr>
          <w:rFonts w:asciiTheme="majorHAnsi" w:hAnsiTheme="majorHAnsi"/>
          <w:sz w:val="20"/>
          <w:szCs w:val="20"/>
          <w:lang w:val="es-ES_tradnl"/>
        </w:rPr>
        <w:t xml:space="preserve">un proceso anulatorio </w:t>
      </w:r>
      <w:r w:rsidR="00311255" w:rsidRPr="00854B85">
        <w:rPr>
          <w:rFonts w:asciiTheme="majorHAnsi" w:hAnsiTheme="majorHAnsi"/>
          <w:sz w:val="20"/>
          <w:szCs w:val="20"/>
          <w:lang w:val="es-ES_tradnl"/>
        </w:rPr>
        <w:t>en contra de la Caja de Jubilaciones y Pensiones de Profesionales Universitarios</w:t>
      </w:r>
      <w:r w:rsidR="006B1E02" w:rsidRPr="00854B85">
        <w:rPr>
          <w:rFonts w:asciiTheme="majorHAnsi" w:hAnsiTheme="majorHAnsi"/>
          <w:sz w:val="20"/>
          <w:szCs w:val="20"/>
          <w:lang w:val="es-ES_tradnl"/>
        </w:rPr>
        <w:t xml:space="preserve">. Al respecto, indica que </w:t>
      </w:r>
      <w:r w:rsidR="00311255" w:rsidRPr="00854B85">
        <w:rPr>
          <w:rFonts w:asciiTheme="majorHAnsi" w:hAnsiTheme="majorHAnsi"/>
          <w:sz w:val="20"/>
          <w:szCs w:val="20"/>
          <w:lang w:val="es-ES_tradnl"/>
        </w:rPr>
        <w:t xml:space="preserve">el 19 de septiembre de 2018 </w:t>
      </w:r>
      <w:r w:rsidR="00B370F8" w:rsidRPr="00854B85">
        <w:rPr>
          <w:rFonts w:asciiTheme="majorHAnsi" w:hAnsiTheme="majorHAnsi"/>
          <w:sz w:val="20"/>
          <w:szCs w:val="20"/>
          <w:lang w:val="es-ES_tradnl"/>
        </w:rPr>
        <w:t>el</w:t>
      </w:r>
      <w:r w:rsidR="00311255" w:rsidRPr="00854B85">
        <w:rPr>
          <w:rFonts w:asciiTheme="majorHAnsi" w:hAnsiTheme="majorHAnsi"/>
          <w:sz w:val="20"/>
          <w:szCs w:val="20"/>
          <w:lang w:val="es-ES_tradnl"/>
        </w:rPr>
        <w:t xml:space="preserve"> Tribunal de Apelaciones en lo Civil de 5 Turno, </w:t>
      </w:r>
      <w:r w:rsidR="00CF1E7E" w:rsidRPr="00854B85">
        <w:rPr>
          <w:rFonts w:asciiTheme="majorHAnsi" w:hAnsiTheme="majorHAnsi"/>
          <w:sz w:val="20"/>
          <w:szCs w:val="20"/>
          <w:lang w:val="es-ES_tradnl"/>
        </w:rPr>
        <w:t xml:space="preserve">desestimó la demanda al ser presentada de manera extemporánea. </w:t>
      </w:r>
      <w:r w:rsidR="006B1E02" w:rsidRPr="00854B85">
        <w:rPr>
          <w:rFonts w:asciiTheme="majorHAnsi" w:hAnsiTheme="majorHAnsi"/>
          <w:sz w:val="20"/>
          <w:szCs w:val="20"/>
          <w:lang w:val="es-ES_tradnl"/>
        </w:rPr>
        <w:t>A este respecto</w:t>
      </w:r>
      <w:r w:rsidR="00645361">
        <w:rPr>
          <w:rFonts w:asciiTheme="majorHAnsi" w:hAnsiTheme="majorHAnsi"/>
          <w:sz w:val="20"/>
          <w:szCs w:val="20"/>
          <w:lang w:val="es-ES_tradnl"/>
        </w:rPr>
        <w:t>,</w:t>
      </w:r>
      <w:r w:rsidR="003D050C" w:rsidRPr="00854B85">
        <w:rPr>
          <w:rFonts w:asciiTheme="majorHAnsi" w:hAnsiTheme="majorHAnsi"/>
          <w:sz w:val="20"/>
          <w:szCs w:val="20"/>
          <w:lang w:val="es-ES_tradnl"/>
        </w:rPr>
        <w:t xml:space="preserve"> y en conexidad con los hechos relatados anteriormente, de nueva cuenta</w:t>
      </w:r>
      <w:r w:rsidR="006B1E02" w:rsidRPr="00854B85">
        <w:rPr>
          <w:rFonts w:asciiTheme="majorHAnsi" w:hAnsiTheme="majorHAnsi"/>
          <w:sz w:val="20"/>
          <w:szCs w:val="20"/>
          <w:lang w:val="es-ES_tradnl"/>
        </w:rPr>
        <w:t xml:space="preserve"> alega</w:t>
      </w:r>
      <w:r w:rsidR="00645361">
        <w:rPr>
          <w:rFonts w:asciiTheme="majorHAnsi" w:hAnsiTheme="majorHAnsi"/>
          <w:sz w:val="20"/>
          <w:szCs w:val="20"/>
          <w:lang w:val="es-ES_tradnl"/>
        </w:rPr>
        <w:t>n</w:t>
      </w:r>
      <w:r w:rsidR="006B1E02" w:rsidRPr="00854B85">
        <w:rPr>
          <w:rFonts w:asciiTheme="majorHAnsi" w:hAnsiTheme="majorHAnsi"/>
          <w:sz w:val="20"/>
          <w:szCs w:val="20"/>
          <w:lang w:val="es-ES_tradnl"/>
        </w:rPr>
        <w:t xml:space="preserve"> la falta de aplicación del control de convencionalidad por parte de dicho tribunal. </w:t>
      </w:r>
    </w:p>
    <w:p w14:paraId="4634EE8A" w14:textId="2B627310" w:rsidR="00D0412F" w:rsidRPr="00854B85" w:rsidRDefault="00355E92"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En suma, </w:t>
      </w:r>
      <w:r w:rsidR="00C23E83" w:rsidRPr="00854B85">
        <w:rPr>
          <w:rFonts w:asciiTheme="majorHAnsi" w:hAnsiTheme="majorHAnsi"/>
          <w:sz w:val="20"/>
          <w:szCs w:val="20"/>
          <w:lang w:val="es-ES_tradnl"/>
        </w:rPr>
        <w:t xml:space="preserve">se puede desprender que los alegatos de los peticionarios consisten en lo siguiente: i) </w:t>
      </w:r>
      <w:r w:rsidR="00D0412F" w:rsidRPr="00854B85">
        <w:rPr>
          <w:rFonts w:asciiTheme="majorHAnsi" w:hAnsiTheme="majorHAnsi"/>
          <w:sz w:val="20"/>
          <w:szCs w:val="20"/>
          <w:lang w:val="es-ES_tradnl"/>
        </w:rPr>
        <w:t xml:space="preserve">falta de aplicación del control de </w:t>
      </w:r>
      <w:r w:rsidR="00C23E83" w:rsidRPr="00854B85">
        <w:rPr>
          <w:rFonts w:asciiTheme="majorHAnsi" w:hAnsiTheme="majorHAnsi"/>
          <w:sz w:val="20"/>
          <w:szCs w:val="20"/>
          <w:lang w:val="es-ES_tradnl"/>
        </w:rPr>
        <w:t>convencionalidad</w:t>
      </w:r>
      <w:r w:rsidR="00D0412F" w:rsidRPr="00854B85">
        <w:rPr>
          <w:rFonts w:asciiTheme="majorHAnsi" w:hAnsiTheme="majorHAnsi"/>
          <w:sz w:val="20"/>
          <w:szCs w:val="20"/>
          <w:lang w:val="es-ES_tradnl"/>
        </w:rPr>
        <w:t xml:space="preserve"> por parte de los tribunales de </w:t>
      </w:r>
      <w:r w:rsidR="00C23E83" w:rsidRPr="00854B85">
        <w:rPr>
          <w:rFonts w:asciiTheme="majorHAnsi" w:hAnsiTheme="majorHAnsi"/>
          <w:sz w:val="20"/>
          <w:szCs w:val="20"/>
          <w:lang w:val="es-ES_tradnl"/>
        </w:rPr>
        <w:t>U</w:t>
      </w:r>
      <w:r w:rsidR="00D0412F" w:rsidRPr="00854B85">
        <w:rPr>
          <w:rFonts w:asciiTheme="majorHAnsi" w:hAnsiTheme="majorHAnsi"/>
          <w:sz w:val="20"/>
          <w:szCs w:val="20"/>
          <w:lang w:val="es-ES_tradnl"/>
        </w:rPr>
        <w:t>ruguay</w:t>
      </w:r>
      <w:r w:rsidR="00C23E83" w:rsidRPr="00854B85">
        <w:rPr>
          <w:rFonts w:asciiTheme="majorHAnsi" w:hAnsiTheme="majorHAnsi"/>
          <w:sz w:val="20"/>
          <w:szCs w:val="20"/>
          <w:lang w:val="es-ES_tradnl"/>
        </w:rPr>
        <w:t xml:space="preserve">, específicamente, por parte del Tribunal de lo </w:t>
      </w:r>
      <w:r w:rsidR="00E165FE" w:rsidRPr="00854B85">
        <w:rPr>
          <w:rFonts w:asciiTheme="majorHAnsi" w:hAnsiTheme="majorHAnsi"/>
          <w:sz w:val="20"/>
          <w:szCs w:val="20"/>
          <w:lang w:val="es-ES_tradnl"/>
        </w:rPr>
        <w:t>Contencioso Administrativo</w:t>
      </w:r>
      <w:r w:rsidR="002F2622" w:rsidRPr="00854B85">
        <w:rPr>
          <w:rFonts w:asciiTheme="majorHAnsi" w:hAnsiTheme="majorHAnsi"/>
          <w:sz w:val="20"/>
          <w:szCs w:val="20"/>
          <w:lang w:val="es-ES_tradnl"/>
        </w:rPr>
        <w:t xml:space="preserve"> y el Tribunal de Apelaciones en lo Civil de 5 Turno al no ejercer dicho control en sentencias de </w:t>
      </w:r>
      <w:r w:rsidR="00645361">
        <w:rPr>
          <w:rFonts w:asciiTheme="majorHAnsi" w:hAnsiTheme="majorHAnsi"/>
          <w:sz w:val="20"/>
          <w:szCs w:val="20"/>
          <w:lang w:val="es-ES_tradnl"/>
        </w:rPr>
        <w:t xml:space="preserve">14 de abril de 2009, </w:t>
      </w:r>
      <w:r w:rsidR="002F2622" w:rsidRPr="00854B85">
        <w:rPr>
          <w:rFonts w:asciiTheme="majorHAnsi" w:hAnsiTheme="majorHAnsi"/>
          <w:sz w:val="20"/>
          <w:szCs w:val="20"/>
          <w:lang w:val="es-ES_tradnl"/>
        </w:rPr>
        <w:t>25 de febrero de 2010 y 19 de septiembre de 2018, respectivamente</w:t>
      </w:r>
      <w:r w:rsidR="00D0412F" w:rsidRPr="00854B85">
        <w:rPr>
          <w:rFonts w:asciiTheme="majorHAnsi" w:hAnsiTheme="majorHAnsi"/>
          <w:sz w:val="20"/>
          <w:szCs w:val="20"/>
          <w:lang w:val="es-ES_tradnl"/>
        </w:rPr>
        <w:t xml:space="preserve">; ii) la </w:t>
      </w:r>
      <w:r w:rsidR="002F2622" w:rsidRPr="00854B85">
        <w:rPr>
          <w:rFonts w:asciiTheme="majorHAnsi" w:hAnsiTheme="majorHAnsi"/>
          <w:sz w:val="20"/>
          <w:szCs w:val="20"/>
          <w:lang w:val="es-ES_tradnl"/>
        </w:rPr>
        <w:t xml:space="preserve">falta de </w:t>
      </w:r>
      <w:r w:rsidR="00C23E83" w:rsidRPr="00854B85">
        <w:rPr>
          <w:rFonts w:asciiTheme="majorHAnsi" w:hAnsiTheme="majorHAnsi"/>
          <w:sz w:val="20"/>
          <w:szCs w:val="20"/>
          <w:lang w:val="es-ES_tradnl"/>
        </w:rPr>
        <w:t>acceso a un recurso efectivo</w:t>
      </w:r>
      <w:r w:rsidR="00D0412F" w:rsidRPr="00854B85">
        <w:rPr>
          <w:rFonts w:asciiTheme="majorHAnsi" w:hAnsiTheme="majorHAnsi"/>
          <w:sz w:val="20"/>
          <w:szCs w:val="20"/>
          <w:lang w:val="es-ES_tradnl"/>
        </w:rPr>
        <w:t xml:space="preserve">, debido a que el </w:t>
      </w:r>
      <w:r w:rsidR="002F2622" w:rsidRPr="00854B85">
        <w:rPr>
          <w:rFonts w:asciiTheme="majorHAnsi" w:hAnsiTheme="majorHAnsi"/>
          <w:sz w:val="20"/>
          <w:szCs w:val="20"/>
          <w:lang w:val="es-ES_tradnl"/>
        </w:rPr>
        <w:t>Tribunal de lo Contencioso Administrativo</w:t>
      </w:r>
      <w:r w:rsidR="00D0412F" w:rsidRPr="00854B85">
        <w:rPr>
          <w:rFonts w:asciiTheme="majorHAnsi" w:hAnsiTheme="majorHAnsi"/>
          <w:sz w:val="20"/>
          <w:szCs w:val="20"/>
          <w:lang w:val="es-ES_tradnl"/>
        </w:rPr>
        <w:t xml:space="preserve"> conoció tanto del recurso de </w:t>
      </w:r>
      <w:r w:rsidR="002A51F9">
        <w:rPr>
          <w:rFonts w:asciiTheme="majorHAnsi" w:hAnsiTheme="majorHAnsi"/>
          <w:sz w:val="20"/>
          <w:szCs w:val="20"/>
          <w:lang w:val="es-ES_tradnl"/>
        </w:rPr>
        <w:t>nulidad</w:t>
      </w:r>
      <w:r w:rsidR="00D0412F" w:rsidRPr="00854B85">
        <w:rPr>
          <w:rFonts w:asciiTheme="majorHAnsi" w:hAnsiTheme="majorHAnsi"/>
          <w:sz w:val="20"/>
          <w:szCs w:val="20"/>
          <w:lang w:val="es-ES_tradnl"/>
        </w:rPr>
        <w:t xml:space="preserve"> como el de revocación</w:t>
      </w:r>
      <w:r w:rsidR="002F2622" w:rsidRPr="00854B85">
        <w:rPr>
          <w:rFonts w:asciiTheme="majorHAnsi" w:hAnsiTheme="majorHAnsi"/>
          <w:sz w:val="20"/>
          <w:szCs w:val="20"/>
          <w:lang w:val="es-ES_tradnl"/>
        </w:rPr>
        <w:t>, por lo que la sentencia emitida no pudo ser</w:t>
      </w:r>
      <w:r w:rsidR="00C23E83" w:rsidRPr="00854B85">
        <w:rPr>
          <w:rFonts w:asciiTheme="majorHAnsi" w:hAnsiTheme="majorHAnsi"/>
          <w:sz w:val="20"/>
          <w:szCs w:val="20"/>
          <w:lang w:val="es-ES_tradnl"/>
        </w:rPr>
        <w:t xml:space="preserve"> revisada por un tribunal imparcial y autónomo</w:t>
      </w:r>
      <w:r w:rsidR="00D0412F" w:rsidRPr="00854B85">
        <w:rPr>
          <w:rFonts w:asciiTheme="majorHAnsi" w:hAnsiTheme="majorHAnsi"/>
          <w:sz w:val="20"/>
          <w:szCs w:val="20"/>
          <w:lang w:val="es-ES_tradnl"/>
        </w:rPr>
        <w:t>; i</w:t>
      </w:r>
      <w:r w:rsidR="00682C5A" w:rsidRPr="00854B85">
        <w:rPr>
          <w:rFonts w:asciiTheme="majorHAnsi" w:hAnsiTheme="majorHAnsi"/>
          <w:sz w:val="20"/>
          <w:szCs w:val="20"/>
          <w:lang w:val="es-ES_tradnl"/>
        </w:rPr>
        <w:t>i</w:t>
      </w:r>
      <w:r w:rsidR="00D0412F" w:rsidRPr="00854B85">
        <w:rPr>
          <w:rFonts w:asciiTheme="majorHAnsi" w:hAnsiTheme="majorHAnsi"/>
          <w:sz w:val="20"/>
          <w:szCs w:val="20"/>
          <w:lang w:val="es-ES_tradnl"/>
        </w:rPr>
        <w:t>i) la falta de una investigación seria, efectiva</w:t>
      </w:r>
      <w:r w:rsidR="00130B74">
        <w:rPr>
          <w:rFonts w:asciiTheme="majorHAnsi" w:hAnsiTheme="majorHAnsi"/>
          <w:sz w:val="20"/>
          <w:szCs w:val="20"/>
          <w:lang w:val="es-ES_tradnl"/>
        </w:rPr>
        <w:t xml:space="preserve"> y </w:t>
      </w:r>
      <w:r w:rsidR="00D0412F" w:rsidRPr="00854B85">
        <w:rPr>
          <w:rFonts w:asciiTheme="majorHAnsi" w:hAnsiTheme="majorHAnsi"/>
          <w:sz w:val="20"/>
          <w:szCs w:val="20"/>
          <w:lang w:val="es-ES_tradnl"/>
        </w:rPr>
        <w:t>adecuada</w:t>
      </w:r>
      <w:r w:rsidR="002A51F9">
        <w:rPr>
          <w:rFonts w:asciiTheme="majorHAnsi" w:hAnsiTheme="majorHAnsi"/>
          <w:sz w:val="20"/>
          <w:szCs w:val="20"/>
          <w:lang w:val="es-ES_tradnl"/>
        </w:rPr>
        <w:t xml:space="preserve"> en el ámbito administrativo</w:t>
      </w:r>
      <w:r w:rsidR="00822CDF" w:rsidRPr="00854B85">
        <w:rPr>
          <w:rFonts w:asciiTheme="majorHAnsi" w:hAnsiTheme="majorHAnsi"/>
          <w:sz w:val="20"/>
          <w:szCs w:val="20"/>
          <w:lang w:val="es-ES_tradnl"/>
        </w:rPr>
        <w:t xml:space="preserve"> relacionada con la </w:t>
      </w:r>
      <w:r w:rsidR="0070395D" w:rsidRPr="00854B85">
        <w:rPr>
          <w:rFonts w:asciiTheme="majorHAnsi" w:hAnsiTheme="majorHAnsi"/>
          <w:sz w:val="20"/>
          <w:szCs w:val="20"/>
          <w:lang w:val="es-ES_tradnl"/>
        </w:rPr>
        <w:t>omisión de funcionarios públicos adscritos al Ministerio de Salud, específicamente, respecto al control y resguardo de medicamentos</w:t>
      </w:r>
      <w:r w:rsidR="00D0412F" w:rsidRPr="00854B85">
        <w:rPr>
          <w:rFonts w:asciiTheme="majorHAnsi" w:hAnsiTheme="majorHAnsi"/>
          <w:sz w:val="20"/>
          <w:szCs w:val="20"/>
          <w:lang w:val="es-ES_tradnl"/>
        </w:rPr>
        <w:t xml:space="preserve">; y </w:t>
      </w:r>
      <w:r w:rsidR="00C23E83" w:rsidRPr="00854B85">
        <w:rPr>
          <w:rFonts w:asciiTheme="majorHAnsi" w:hAnsiTheme="majorHAnsi"/>
          <w:sz w:val="20"/>
          <w:szCs w:val="20"/>
          <w:lang w:val="es-ES_tradnl"/>
        </w:rPr>
        <w:t xml:space="preserve">iv) la </w:t>
      </w:r>
      <w:r w:rsidR="007F5AE2">
        <w:rPr>
          <w:rFonts w:asciiTheme="majorHAnsi" w:hAnsiTheme="majorHAnsi"/>
          <w:sz w:val="20"/>
          <w:szCs w:val="20"/>
          <w:lang w:val="es-ES_tradnl"/>
        </w:rPr>
        <w:t>imposibilidad</w:t>
      </w:r>
      <w:r w:rsidR="00C23E83" w:rsidRPr="00854B85">
        <w:rPr>
          <w:rFonts w:asciiTheme="majorHAnsi" w:hAnsiTheme="majorHAnsi"/>
          <w:sz w:val="20"/>
          <w:szCs w:val="20"/>
          <w:lang w:val="es-ES_tradnl"/>
        </w:rPr>
        <w:t xml:space="preserve"> de acceso a la información pública</w:t>
      </w:r>
      <w:r w:rsidR="00682C5A" w:rsidRPr="00854B85">
        <w:rPr>
          <w:rFonts w:asciiTheme="majorHAnsi" w:hAnsiTheme="majorHAnsi"/>
          <w:sz w:val="20"/>
          <w:szCs w:val="20"/>
          <w:lang w:val="es-ES_tradnl"/>
        </w:rPr>
        <w:t xml:space="preserve">. </w:t>
      </w:r>
    </w:p>
    <w:p w14:paraId="28AAE3CC" w14:textId="78B224B5" w:rsidR="009006AD" w:rsidRPr="00854B85" w:rsidRDefault="009006AD"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El Estado, por su parte, considera que la petición debe ser inadmitida </w:t>
      </w:r>
      <w:r w:rsidR="00274C8C" w:rsidRPr="00854B85">
        <w:rPr>
          <w:rFonts w:asciiTheme="majorHAnsi" w:hAnsiTheme="majorHAnsi"/>
          <w:sz w:val="20"/>
          <w:szCs w:val="20"/>
          <w:lang w:val="es-ES_tradnl"/>
        </w:rPr>
        <w:t>con</w:t>
      </w:r>
      <w:r w:rsidRPr="00854B85">
        <w:rPr>
          <w:rFonts w:asciiTheme="majorHAnsi" w:hAnsiTheme="majorHAnsi"/>
          <w:sz w:val="20"/>
          <w:szCs w:val="20"/>
          <w:lang w:val="es-ES_tradnl"/>
        </w:rPr>
        <w:t xml:space="preserve"> base al artículo 46.1</w:t>
      </w:r>
      <w:r w:rsidR="00274C8C" w:rsidRPr="00854B85">
        <w:rPr>
          <w:rFonts w:asciiTheme="majorHAnsi" w:hAnsiTheme="majorHAnsi"/>
          <w:sz w:val="20"/>
          <w:szCs w:val="20"/>
          <w:lang w:val="es-ES_tradnl"/>
        </w:rPr>
        <w:t>.</w:t>
      </w:r>
      <w:r w:rsidRPr="00854B85">
        <w:rPr>
          <w:rFonts w:asciiTheme="majorHAnsi" w:hAnsiTheme="majorHAnsi"/>
          <w:sz w:val="20"/>
          <w:szCs w:val="20"/>
          <w:lang w:val="es-ES_tradnl"/>
        </w:rPr>
        <w:t xml:space="preserve">a) de la Convención Americana porque al momento en que fue presentada no se encontraban agotados los recursos internos, </w:t>
      </w:r>
      <w:r w:rsidR="003D34B8" w:rsidRPr="00854B85">
        <w:rPr>
          <w:rFonts w:asciiTheme="majorHAnsi" w:hAnsiTheme="majorHAnsi"/>
          <w:sz w:val="20"/>
          <w:szCs w:val="20"/>
          <w:lang w:val="es-ES_tradnl"/>
        </w:rPr>
        <w:t>siendo que la resolución del recurso de revisión emitida por el Tribunal de lo Contencioso Administrativo fue hasta el 25 de febrero de 2010 y la petición fue presentada en 2009</w:t>
      </w:r>
      <w:r w:rsidRPr="00854B85">
        <w:rPr>
          <w:rFonts w:asciiTheme="majorHAnsi" w:hAnsiTheme="majorHAnsi"/>
          <w:sz w:val="20"/>
          <w:szCs w:val="20"/>
          <w:lang w:val="es-ES_tradnl"/>
        </w:rPr>
        <w:t xml:space="preserve">. Alega que el análisis sobre el cumplimiento del requisito de agotamiento de los recursos internos debe efectuarse en relación con el momento en que la petición fue presentada y no con el momento en que la Comisión adopta su informe de admisibilidad; porque afirmar lo contrario sería dejar sin efecto el carácter complementario y coadyuvante del Sistema Interamericano al permitir </w:t>
      </w:r>
      <w:r w:rsidR="001C0C88">
        <w:rPr>
          <w:rFonts w:asciiTheme="majorHAnsi" w:hAnsiTheme="majorHAnsi"/>
          <w:sz w:val="20"/>
          <w:szCs w:val="20"/>
          <w:lang w:val="es-ES_tradnl"/>
        </w:rPr>
        <w:t xml:space="preserve">que </w:t>
      </w:r>
      <w:r w:rsidRPr="00854B85">
        <w:rPr>
          <w:rFonts w:asciiTheme="majorHAnsi" w:hAnsiTheme="majorHAnsi"/>
          <w:sz w:val="20"/>
          <w:szCs w:val="20"/>
          <w:lang w:val="es-ES_tradnl"/>
        </w:rPr>
        <w:t>un asunto sea conocido y tramitado simultáneamente por el derecho interno y el derecho internacional</w:t>
      </w:r>
      <w:r w:rsidR="0070395D" w:rsidRPr="00854B85">
        <w:rPr>
          <w:rFonts w:asciiTheme="majorHAnsi" w:hAnsiTheme="majorHAnsi"/>
          <w:sz w:val="20"/>
          <w:szCs w:val="20"/>
          <w:lang w:val="es-ES_tradnl"/>
        </w:rPr>
        <w:t>.</w:t>
      </w:r>
    </w:p>
    <w:p w14:paraId="6797C0FF" w14:textId="78C470FD" w:rsidR="009006AD" w:rsidRPr="00854B85" w:rsidRDefault="009006AD"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lastRenderedPageBreak/>
        <w:t>También alega que la petición debe ser inadmitida en conformidad con el artículo 34</w:t>
      </w:r>
      <w:r w:rsidR="003D34B8" w:rsidRPr="00854B85">
        <w:rPr>
          <w:rFonts w:asciiTheme="majorHAnsi" w:hAnsiTheme="majorHAnsi"/>
          <w:sz w:val="20"/>
          <w:szCs w:val="20"/>
          <w:lang w:val="es-ES_tradnl"/>
        </w:rPr>
        <w:t>.</w:t>
      </w:r>
      <w:r w:rsidRPr="00854B85">
        <w:rPr>
          <w:rFonts w:asciiTheme="majorHAnsi" w:hAnsiTheme="majorHAnsi"/>
          <w:sz w:val="20"/>
          <w:szCs w:val="20"/>
          <w:lang w:val="es-ES_tradnl"/>
        </w:rPr>
        <w:t>a) y b) del Reglamento de la Comisión</w:t>
      </w:r>
      <w:r w:rsidR="008F4721">
        <w:rPr>
          <w:rFonts w:asciiTheme="majorHAnsi" w:hAnsiTheme="majorHAnsi"/>
          <w:sz w:val="20"/>
          <w:szCs w:val="20"/>
          <w:lang w:val="es-ES_tradnl"/>
        </w:rPr>
        <w:t>,</w:t>
      </w:r>
      <w:r w:rsidRPr="00854B85">
        <w:rPr>
          <w:rFonts w:asciiTheme="majorHAnsi" w:hAnsiTheme="majorHAnsi"/>
          <w:sz w:val="20"/>
          <w:szCs w:val="20"/>
          <w:lang w:val="es-ES_tradnl"/>
        </w:rPr>
        <w:t xml:space="preserve"> </w:t>
      </w:r>
      <w:r w:rsidR="0070395D" w:rsidRPr="00854B85">
        <w:rPr>
          <w:rFonts w:asciiTheme="majorHAnsi" w:hAnsiTheme="majorHAnsi"/>
          <w:sz w:val="20"/>
          <w:szCs w:val="20"/>
          <w:lang w:val="es-ES_tradnl"/>
        </w:rPr>
        <w:t>debido a que en la petición no se</w:t>
      </w:r>
      <w:r w:rsidRPr="00854B85">
        <w:rPr>
          <w:rFonts w:asciiTheme="majorHAnsi" w:hAnsiTheme="majorHAnsi"/>
          <w:sz w:val="20"/>
          <w:szCs w:val="20"/>
          <w:lang w:val="es-ES_tradnl"/>
        </w:rPr>
        <w:t xml:space="preserve"> </w:t>
      </w:r>
      <w:r w:rsidR="0070395D" w:rsidRPr="00854B85">
        <w:rPr>
          <w:rFonts w:asciiTheme="majorHAnsi" w:hAnsiTheme="majorHAnsi"/>
          <w:sz w:val="20"/>
          <w:szCs w:val="20"/>
          <w:lang w:val="es-ES_tradnl"/>
        </w:rPr>
        <w:t>detallan</w:t>
      </w:r>
      <w:r w:rsidRPr="00854B85">
        <w:rPr>
          <w:rFonts w:asciiTheme="majorHAnsi" w:hAnsiTheme="majorHAnsi"/>
          <w:sz w:val="20"/>
          <w:szCs w:val="20"/>
          <w:lang w:val="es-ES_tradnl"/>
        </w:rPr>
        <w:t xml:space="preserve"> hechos que caractericen violaciones a los derechos humanos y</w:t>
      </w:r>
      <w:r w:rsidR="00B308C4">
        <w:rPr>
          <w:rFonts w:asciiTheme="majorHAnsi" w:hAnsiTheme="majorHAnsi"/>
          <w:sz w:val="20"/>
          <w:szCs w:val="20"/>
          <w:lang w:val="es-ES_tradnl"/>
        </w:rPr>
        <w:t>,</w:t>
      </w:r>
      <w:r w:rsidRPr="00854B85">
        <w:rPr>
          <w:rFonts w:asciiTheme="majorHAnsi" w:hAnsiTheme="majorHAnsi"/>
          <w:sz w:val="20"/>
          <w:szCs w:val="20"/>
          <w:lang w:val="es-ES_tradnl"/>
        </w:rPr>
        <w:t xml:space="preserve"> </w:t>
      </w:r>
      <w:r w:rsidR="00B209F8" w:rsidRPr="00854B85">
        <w:rPr>
          <w:rFonts w:asciiTheme="majorHAnsi" w:hAnsiTheme="majorHAnsi"/>
          <w:sz w:val="20"/>
          <w:szCs w:val="20"/>
          <w:lang w:val="es-ES_tradnl"/>
        </w:rPr>
        <w:t>por ende</w:t>
      </w:r>
      <w:r w:rsidR="00B308C4">
        <w:rPr>
          <w:rFonts w:asciiTheme="majorHAnsi" w:hAnsiTheme="majorHAnsi"/>
          <w:sz w:val="20"/>
          <w:szCs w:val="20"/>
          <w:lang w:val="es-ES_tradnl"/>
        </w:rPr>
        <w:t>,</w:t>
      </w:r>
      <w:r w:rsidR="00B209F8" w:rsidRPr="00854B85">
        <w:rPr>
          <w:rFonts w:asciiTheme="majorHAnsi" w:hAnsiTheme="majorHAnsi"/>
          <w:sz w:val="20"/>
          <w:szCs w:val="20"/>
          <w:lang w:val="es-ES_tradnl"/>
        </w:rPr>
        <w:t xml:space="preserve"> la misma </w:t>
      </w:r>
      <w:r w:rsidRPr="00854B85">
        <w:rPr>
          <w:rFonts w:asciiTheme="majorHAnsi" w:hAnsiTheme="majorHAnsi"/>
          <w:sz w:val="20"/>
          <w:szCs w:val="20"/>
          <w:lang w:val="es-ES_tradnl"/>
        </w:rPr>
        <w:t>resulta manifiestamente infundada. Considera que el</w:t>
      </w:r>
      <w:r w:rsidR="00B209F8" w:rsidRPr="00854B85">
        <w:rPr>
          <w:rFonts w:asciiTheme="majorHAnsi" w:hAnsiTheme="majorHAnsi"/>
          <w:sz w:val="20"/>
          <w:szCs w:val="20"/>
          <w:lang w:val="es-ES_tradnl"/>
        </w:rPr>
        <w:t xml:space="preserve"> extenso y diverso</w:t>
      </w:r>
      <w:r w:rsidRPr="00854B85">
        <w:rPr>
          <w:rFonts w:asciiTheme="majorHAnsi" w:hAnsiTheme="majorHAnsi"/>
          <w:sz w:val="20"/>
          <w:szCs w:val="20"/>
          <w:lang w:val="es-ES_tradnl"/>
        </w:rPr>
        <w:t xml:space="preserve"> relato de</w:t>
      </w:r>
      <w:r w:rsidR="00B209F8" w:rsidRPr="00854B85">
        <w:rPr>
          <w:rFonts w:asciiTheme="majorHAnsi" w:hAnsiTheme="majorHAnsi"/>
          <w:sz w:val="20"/>
          <w:szCs w:val="20"/>
          <w:lang w:val="es-ES_tradnl"/>
        </w:rPr>
        <w:t xml:space="preserve"> </w:t>
      </w:r>
      <w:r w:rsidRPr="00854B85">
        <w:rPr>
          <w:rFonts w:asciiTheme="majorHAnsi" w:hAnsiTheme="majorHAnsi"/>
          <w:sz w:val="20"/>
          <w:szCs w:val="20"/>
          <w:lang w:val="es-ES_tradnl"/>
        </w:rPr>
        <w:t>l</w:t>
      </w:r>
      <w:r w:rsidR="00B209F8" w:rsidRPr="00854B85">
        <w:rPr>
          <w:rFonts w:asciiTheme="majorHAnsi" w:hAnsiTheme="majorHAnsi"/>
          <w:sz w:val="20"/>
          <w:szCs w:val="20"/>
          <w:lang w:val="es-ES_tradnl"/>
        </w:rPr>
        <w:t>os</w:t>
      </w:r>
      <w:r w:rsidRPr="00854B85">
        <w:rPr>
          <w:rFonts w:asciiTheme="majorHAnsi" w:hAnsiTheme="majorHAnsi"/>
          <w:sz w:val="20"/>
          <w:szCs w:val="20"/>
          <w:lang w:val="es-ES_tradnl"/>
        </w:rPr>
        <w:t xml:space="preserve"> peticionario</w:t>
      </w:r>
      <w:r w:rsidR="00B209F8" w:rsidRPr="00854B85">
        <w:rPr>
          <w:rFonts w:asciiTheme="majorHAnsi" w:hAnsiTheme="majorHAnsi"/>
          <w:sz w:val="20"/>
          <w:szCs w:val="20"/>
          <w:lang w:val="es-ES_tradnl"/>
        </w:rPr>
        <w:t>s</w:t>
      </w:r>
      <w:r w:rsidRPr="00854B85">
        <w:rPr>
          <w:rFonts w:asciiTheme="majorHAnsi" w:hAnsiTheme="majorHAnsi"/>
          <w:sz w:val="20"/>
          <w:szCs w:val="20"/>
          <w:lang w:val="es-ES_tradnl"/>
        </w:rPr>
        <w:t xml:space="preserve"> es entramado y confuso al punto que hace prácticamente inentendible la petición. Destaca que </w:t>
      </w:r>
      <w:r w:rsidR="003D34B8" w:rsidRPr="00854B85">
        <w:rPr>
          <w:rFonts w:asciiTheme="majorHAnsi" w:hAnsiTheme="majorHAnsi"/>
          <w:sz w:val="20"/>
          <w:szCs w:val="20"/>
          <w:lang w:val="es-ES_tradnl"/>
        </w:rPr>
        <w:t>los</w:t>
      </w:r>
      <w:r w:rsidRPr="00854B85">
        <w:rPr>
          <w:rFonts w:asciiTheme="majorHAnsi" w:hAnsiTheme="majorHAnsi"/>
          <w:sz w:val="20"/>
          <w:szCs w:val="20"/>
          <w:lang w:val="es-ES_tradnl"/>
        </w:rPr>
        <w:t xml:space="preserve"> </w:t>
      </w:r>
      <w:r w:rsidR="003D34B8" w:rsidRPr="00854B85">
        <w:rPr>
          <w:rFonts w:asciiTheme="majorHAnsi" w:hAnsiTheme="majorHAnsi"/>
          <w:sz w:val="20"/>
          <w:szCs w:val="20"/>
          <w:lang w:val="es-ES_tradnl"/>
        </w:rPr>
        <w:t xml:space="preserve">peticionarios han alegado distintas violaciones a sus derechos humanos con base a hechos que no tienen conexidad entre sí, cambiando sus planteamientos y narrativas en sus distintas comunicaciones presentadas ante la Comisión. </w:t>
      </w:r>
    </w:p>
    <w:p w14:paraId="52087EDE" w14:textId="7D3458C2" w:rsidR="009006AD" w:rsidRPr="007C2647" w:rsidRDefault="00CC18DF"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Por último, establece que los peticionarios tuvieron acceso a los recursos disponibles en la jurisdicción interna, tanto de carácter judicial como administrativo, mismos que accionaron reiteradamente, por lo que tuvieron un pleno acceso a la justicia y sus recursos y peticiones fueron debidamente atendidos conforme al debido proceso. </w:t>
      </w:r>
      <w:r w:rsidR="00E165FE" w:rsidRPr="00854B85">
        <w:rPr>
          <w:rFonts w:asciiTheme="majorHAnsi" w:hAnsiTheme="majorHAnsi"/>
          <w:sz w:val="20"/>
          <w:szCs w:val="20"/>
          <w:lang w:val="es-ES_tradnl"/>
        </w:rPr>
        <w:t>Además, afirma que la solicitudes de acceso a la información pública por parte de los peticionarios</w:t>
      </w:r>
      <w:r w:rsidR="00B308C4">
        <w:rPr>
          <w:rFonts w:asciiTheme="majorHAnsi" w:hAnsiTheme="majorHAnsi"/>
          <w:sz w:val="20"/>
          <w:szCs w:val="20"/>
          <w:lang w:val="es-ES_tradnl"/>
        </w:rPr>
        <w:t>,</w:t>
      </w:r>
      <w:r w:rsidR="00E165FE" w:rsidRPr="00854B85">
        <w:rPr>
          <w:rFonts w:asciiTheme="majorHAnsi" w:hAnsiTheme="majorHAnsi"/>
          <w:sz w:val="20"/>
          <w:szCs w:val="20"/>
          <w:lang w:val="es-ES_tradnl"/>
        </w:rPr>
        <w:t xml:space="preserve"> respecto al acceso al expediente de la denuncia administrativa interpuesta así como de la consulta del número de farmacias en operación</w:t>
      </w:r>
      <w:r w:rsidR="00E165FE" w:rsidRPr="007C2647">
        <w:rPr>
          <w:rFonts w:asciiTheme="majorHAnsi" w:hAnsiTheme="majorHAnsi"/>
          <w:sz w:val="20"/>
          <w:szCs w:val="20"/>
          <w:lang w:val="es-ES_tradnl"/>
        </w:rPr>
        <w:t xml:space="preserve"> fueron atendidas puntualmente en dos ocasiones; la primera, en resolución de 14 de mayo de 2009 emitida por el Ministerio de Salud, a través de la Dirección General de Secretaría</w:t>
      </w:r>
      <w:r w:rsidR="00744D5C">
        <w:rPr>
          <w:rFonts w:asciiTheme="majorHAnsi" w:hAnsiTheme="majorHAnsi"/>
          <w:sz w:val="20"/>
          <w:szCs w:val="20"/>
          <w:lang w:val="es-ES_tradnl"/>
        </w:rPr>
        <w:t xml:space="preserve"> y</w:t>
      </w:r>
      <w:r w:rsidR="00E165FE" w:rsidRPr="007C2647">
        <w:rPr>
          <w:rFonts w:asciiTheme="majorHAnsi" w:hAnsiTheme="majorHAnsi"/>
          <w:sz w:val="20"/>
          <w:szCs w:val="20"/>
          <w:lang w:val="es-ES_tradnl"/>
        </w:rPr>
        <w:t xml:space="preserve">; la segunda, el 9 de abril de 2012 en resolución emitida por la Unidad de Acceso a la Información Pública. </w:t>
      </w:r>
    </w:p>
    <w:p w14:paraId="33C9F862" w14:textId="340B9F06" w:rsidR="003A4150" w:rsidRPr="00854B85" w:rsidRDefault="00D745EB"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En respuesta, los peticionarios </w:t>
      </w:r>
      <w:r w:rsidR="00B308C4">
        <w:rPr>
          <w:rFonts w:asciiTheme="majorHAnsi" w:hAnsiTheme="majorHAnsi"/>
          <w:sz w:val="20"/>
          <w:szCs w:val="20"/>
          <w:lang w:val="es-ES_tradnl"/>
        </w:rPr>
        <w:t>sostienen</w:t>
      </w:r>
      <w:r w:rsidR="003D050C" w:rsidRPr="00854B85">
        <w:rPr>
          <w:rFonts w:asciiTheme="majorHAnsi" w:hAnsiTheme="majorHAnsi"/>
          <w:sz w:val="20"/>
          <w:szCs w:val="20"/>
          <w:lang w:val="es-ES_tradnl"/>
        </w:rPr>
        <w:t xml:space="preserve"> que </w:t>
      </w:r>
      <w:r w:rsidR="00DB48F1" w:rsidRPr="00854B85">
        <w:rPr>
          <w:rFonts w:asciiTheme="majorHAnsi" w:hAnsiTheme="majorHAnsi"/>
          <w:sz w:val="20"/>
          <w:szCs w:val="20"/>
          <w:lang w:val="es-ES_tradnl"/>
        </w:rPr>
        <w:t>no han tenido acceso a la información contenida en el expediente de la denuncia administrativa solicitada desde 2009</w:t>
      </w:r>
      <w:r w:rsidR="003D050C" w:rsidRPr="00854B85">
        <w:rPr>
          <w:rFonts w:asciiTheme="majorHAnsi" w:hAnsiTheme="majorHAnsi"/>
          <w:sz w:val="20"/>
          <w:szCs w:val="20"/>
          <w:lang w:val="es-ES_tradnl"/>
        </w:rPr>
        <w:t xml:space="preserve"> y </w:t>
      </w:r>
      <w:r w:rsidR="00DB48F1" w:rsidRPr="00854B85">
        <w:rPr>
          <w:rFonts w:asciiTheme="majorHAnsi" w:hAnsiTheme="majorHAnsi"/>
          <w:sz w:val="20"/>
          <w:szCs w:val="20"/>
          <w:lang w:val="es-ES_tradnl"/>
        </w:rPr>
        <w:t>que</w:t>
      </w:r>
      <w:r w:rsidR="003A5966">
        <w:rPr>
          <w:rFonts w:asciiTheme="majorHAnsi" w:hAnsiTheme="majorHAnsi"/>
          <w:sz w:val="20"/>
          <w:szCs w:val="20"/>
          <w:lang w:val="es-ES_tradnl"/>
        </w:rPr>
        <w:t xml:space="preserve"> </w:t>
      </w:r>
      <w:r w:rsidR="00DB48F1" w:rsidRPr="00854B85">
        <w:rPr>
          <w:rFonts w:asciiTheme="majorHAnsi" w:hAnsiTheme="majorHAnsi"/>
          <w:sz w:val="20"/>
          <w:szCs w:val="20"/>
          <w:lang w:val="es-ES_tradnl"/>
        </w:rPr>
        <w:t xml:space="preserve">este se extravió por lo que no pudieron tener una copia </w:t>
      </w:r>
      <w:proofErr w:type="gramStart"/>
      <w:r w:rsidR="00DB48F1" w:rsidRPr="00854B85">
        <w:rPr>
          <w:rFonts w:asciiTheme="majorHAnsi" w:hAnsiTheme="majorHAnsi"/>
          <w:sz w:val="20"/>
          <w:szCs w:val="20"/>
          <w:lang w:val="es-ES_tradnl"/>
        </w:rPr>
        <w:t>del mismo</w:t>
      </w:r>
      <w:proofErr w:type="gramEnd"/>
      <w:r w:rsidR="00DB48F1" w:rsidRPr="00854B85">
        <w:rPr>
          <w:rFonts w:asciiTheme="majorHAnsi" w:hAnsiTheme="majorHAnsi"/>
          <w:sz w:val="20"/>
          <w:szCs w:val="20"/>
          <w:lang w:val="es-ES_tradnl"/>
        </w:rPr>
        <w:t xml:space="preserve">. Además, que no se </w:t>
      </w:r>
      <w:proofErr w:type="gramStart"/>
      <w:r w:rsidR="00DB48F1" w:rsidRPr="00854B85">
        <w:rPr>
          <w:rFonts w:asciiTheme="majorHAnsi" w:hAnsiTheme="majorHAnsi"/>
          <w:sz w:val="20"/>
          <w:szCs w:val="20"/>
          <w:lang w:val="es-ES_tradnl"/>
        </w:rPr>
        <w:t>les</w:t>
      </w:r>
      <w:proofErr w:type="gramEnd"/>
      <w:r w:rsidR="00DB48F1" w:rsidRPr="00854B85">
        <w:rPr>
          <w:rFonts w:asciiTheme="majorHAnsi" w:hAnsiTheme="majorHAnsi"/>
          <w:sz w:val="20"/>
          <w:szCs w:val="20"/>
          <w:lang w:val="es-ES_tradnl"/>
        </w:rPr>
        <w:t xml:space="preserve"> ha proporcionado la información solicitada relativa al </w:t>
      </w:r>
      <w:r w:rsidR="00690416" w:rsidRPr="00854B85">
        <w:rPr>
          <w:rFonts w:asciiTheme="majorHAnsi" w:hAnsiTheme="majorHAnsi"/>
          <w:sz w:val="20"/>
          <w:szCs w:val="20"/>
          <w:lang w:val="es-ES_tradnl"/>
        </w:rPr>
        <w:t>número</w:t>
      </w:r>
      <w:r w:rsidR="00DB48F1" w:rsidRPr="00854B85">
        <w:rPr>
          <w:rFonts w:asciiTheme="majorHAnsi" w:hAnsiTheme="majorHAnsi"/>
          <w:sz w:val="20"/>
          <w:szCs w:val="20"/>
          <w:lang w:val="es-ES_tradnl"/>
        </w:rPr>
        <w:t xml:space="preserve"> de farmacias habilitadas</w:t>
      </w:r>
      <w:r w:rsidR="00B308C4">
        <w:rPr>
          <w:rFonts w:asciiTheme="majorHAnsi" w:hAnsiTheme="majorHAnsi"/>
          <w:sz w:val="20"/>
          <w:szCs w:val="20"/>
          <w:lang w:val="es-ES_tradnl"/>
        </w:rPr>
        <w:t>.</w:t>
      </w:r>
    </w:p>
    <w:p w14:paraId="70BBB9B0" w14:textId="6CCF8F71" w:rsidR="00543916" w:rsidRPr="00854B85" w:rsidRDefault="006051FA" w:rsidP="00543916">
      <w:pPr>
        <w:ind w:firstLine="720"/>
        <w:jc w:val="both"/>
        <w:rPr>
          <w:rFonts w:asciiTheme="majorHAnsi" w:eastAsia="Cambria" w:hAnsiTheme="majorHAnsi" w:cs="Cambria"/>
          <w:b/>
          <w:bCs/>
          <w:color w:val="000000"/>
          <w:sz w:val="20"/>
          <w:szCs w:val="20"/>
          <w:u w:color="000000"/>
          <w:lang w:val="es-ES_tradnl" w:eastAsia="es-ES"/>
        </w:rPr>
      </w:pPr>
      <w:r w:rsidRPr="00854B85">
        <w:rPr>
          <w:rFonts w:asciiTheme="majorHAnsi" w:eastAsia="Cambria" w:hAnsiTheme="majorHAnsi" w:cs="Cambria"/>
          <w:b/>
          <w:bCs/>
          <w:color w:val="000000"/>
          <w:sz w:val="20"/>
          <w:szCs w:val="20"/>
          <w:u w:color="000000"/>
          <w:lang w:val="es-ES_tradnl" w:eastAsia="es-ES"/>
        </w:rPr>
        <w:t>VI.</w:t>
      </w:r>
      <w:r w:rsidRPr="00854B85">
        <w:rPr>
          <w:rFonts w:asciiTheme="majorHAnsi" w:eastAsia="Cambria" w:hAnsiTheme="majorHAnsi" w:cs="Cambria"/>
          <w:b/>
          <w:bCs/>
          <w:color w:val="000000"/>
          <w:sz w:val="20"/>
          <w:szCs w:val="20"/>
          <w:u w:color="000000"/>
          <w:lang w:val="es-ES_tradnl" w:eastAsia="es-ES"/>
        </w:rPr>
        <w:tab/>
      </w:r>
      <w:r w:rsidRPr="00854B85">
        <w:rPr>
          <w:rFonts w:asciiTheme="majorHAnsi" w:hAnsiTheme="majorHAnsi"/>
          <w:b/>
          <w:bCs/>
          <w:sz w:val="20"/>
          <w:szCs w:val="20"/>
          <w:lang w:val="es-ES_tradnl"/>
        </w:rPr>
        <w:t xml:space="preserve">ANÁLISIS DE </w:t>
      </w:r>
      <w:r w:rsidRPr="00854B85">
        <w:rPr>
          <w:rFonts w:asciiTheme="majorHAnsi" w:hAnsiTheme="majorHAnsi"/>
          <w:b/>
          <w:sz w:val="20"/>
          <w:szCs w:val="20"/>
          <w:lang w:val="es-ES_tradnl"/>
        </w:rPr>
        <w:t>AGOTAMIENTO DE LOS RECURSOS INTERNOS Y PLAZO DE PRESENTACIÓN</w:t>
      </w:r>
      <w:r w:rsidRPr="00854B85">
        <w:rPr>
          <w:rFonts w:asciiTheme="majorHAnsi" w:eastAsia="Cambria" w:hAnsiTheme="majorHAnsi" w:cs="Cambria"/>
          <w:b/>
          <w:bCs/>
          <w:color w:val="000000"/>
          <w:sz w:val="20"/>
          <w:szCs w:val="20"/>
          <w:u w:color="000000"/>
          <w:lang w:val="es-ES_tradnl" w:eastAsia="es-ES"/>
        </w:rPr>
        <w:t xml:space="preserve"> </w:t>
      </w:r>
    </w:p>
    <w:p w14:paraId="4773531B" w14:textId="7896812B" w:rsidR="00452049" w:rsidRPr="00854B85" w:rsidRDefault="00452049"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De la intrincada y desorganizada información enviada por la parte peticionaria, la CIDH interpreta los siguientes planteamientos: </w:t>
      </w:r>
      <w:r w:rsidR="00682C5A" w:rsidRPr="00854B85">
        <w:rPr>
          <w:rFonts w:asciiTheme="majorHAnsi" w:hAnsiTheme="majorHAnsi"/>
          <w:sz w:val="20"/>
          <w:szCs w:val="20"/>
          <w:lang w:val="es-ES_tradnl"/>
        </w:rPr>
        <w:t>i)</w:t>
      </w:r>
      <w:r w:rsidRPr="00854B85">
        <w:rPr>
          <w:rFonts w:asciiTheme="majorHAnsi" w:hAnsiTheme="majorHAnsi"/>
          <w:sz w:val="20"/>
          <w:szCs w:val="20"/>
          <w:lang w:val="es-ES_tradnl"/>
        </w:rPr>
        <w:t xml:space="preserve"> que se declare que las resoluciones emitidas por el Tribunal </w:t>
      </w:r>
      <w:r w:rsidR="00BF38AE" w:rsidRPr="00854B85">
        <w:rPr>
          <w:rFonts w:asciiTheme="majorHAnsi" w:hAnsiTheme="majorHAnsi"/>
          <w:sz w:val="20"/>
          <w:szCs w:val="20"/>
          <w:lang w:val="es-ES_tradnl"/>
        </w:rPr>
        <w:t xml:space="preserve">de lo </w:t>
      </w:r>
      <w:r w:rsidRPr="00854B85">
        <w:rPr>
          <w:rFonts w:asciiTheme="majorHAnsi" w:hAnsiTheme="majorHAnsi"/>
          <w:sz w:val="20"/>
          <w:szCs w:val="20"/>
          <w:lang w:val="es-ES_tradnl"/>
        </w:rPr>
        <w:t>Contencioso fueron lesivas de sus garantías procesales y otros derechos humanos, entre otras razones, por la falta de aplicación del control de convencionalidad</w:t>
      </w:r>
      <w:r w:rsidR="00682C5A" w:rsidRPr="00854B85">
        <w:rPr>
          <w:rFonts w:asciiTheme="majorHAnsi" w:hAnsiTheme="majorHAnsi"/>
          <w:sz w:val="20"/>
          <w:szCs w:val="20"/>
          <w:lang w:val="es-ES_tradnl"/>
        </w:rPr>
        <w:t xml:space="preserve">, aduciendo que dicha facultad corresponde únicamente </w:t>
      </w:r>
      <w:r w:rsidR="00E63EDD">
        <w:rPr>
          <w:rFonts w:asciiTheme="majorHAnsi" w:hAnsiTheme="majorHAnsi"/>
          <w:sz w:val="20"/>
          <w:szCs w:val="20"/>
          <w:lang w:val="es-ES_tradnl"/>
        </w:rPr>
        <w:t>a</w:t>
      </w:r>
      <w:r w:rsidR="00682C5A" w:rsidRPr="00854B85">
        <w:rPr>
          <w:rFonts w:asciiTheme="majorHAnsi" w:hAnsiTheme="majorHAnsi"/>
          <w:sz w:val="20"/>
          <w:szCs w:val="20"/>
          <w:lang w:val="es-ES_tradnl"/>
        </w:rPr>
        <w:t xml:space="preserve"> la Suprema </w:t>
      </w:r>
      <w:r w:rsidR="00E63EDD" w:rsidRPr="00854B85">
        <w:rPr>
          <w:rFonts w:asciiTheme="majorHAnsi" w:hAnsiTheme="majorHAnsi"/>
          <w:sz w:val="20"/>
          <w:szCs w:val="20"/>
          <w:lang w:val="es-ES_tradnl"/>
        </w:rPr>
        <w:t xml:space="preserve">Corte </w:t>
      </w:r>
      <w:r w:rsidR="00682C5A" w:rsidRPr="00854B85">
        <w:rPr>
          <w:rFonts w:asciiTheme="majorHAnsi" w:hAnsiTheme="majorHAnsi"/>
          <w:sz w:val="20"/>
          <w:szCs w:val="20"/>
          <w:lang w:val="es-ES_tradnl"/>
        </w:rPr>
        <w:t>de Justicia</w:t>
      </w:r>
      <w:r w:rsidR="00E63EDD">
        <w:rPr>
          <w:rFonts w:asciiTheme="majorHAnsi" w:hAnsiTheme="majorHAnsi"/>
          <w:sz w:val="20"/>
          <w:szCs w:val="20"/>
          <w:lang w:val="es-ES_tradnl"/>
        </w:rPr>
        <w:t xml:space="preserve"> de Uruguay</w:t>
      </w:r>
      <w:r w:rsidR="00682C5A" w:rsidRPr="00854B85">
        <w:rPr>
          <w:rFonts w:asciiTheme="majorHAnsi" w:hAnsiTheme="majorHAnsi"/>
          <w:sz w:val="20"/>
          <w:szCs w:val="20"/>
          <w:lang w:val="es-ES_tradnl"/>
        </w:rPr>
        <w:t>; ii) la vulneración a su</w:t>
      </w:r>
      <w:r w:rsidR="00BF38AE" w:rsidRPr="00854B85">
        <w:rPr>
          <w:rFonts w:asciiTheme="majorHAnsi" w:hAnsiTheme="majorHAnsi"/>
          <w:sz w:val="20"/>
          <w:szCs w:val="20"/>
          <w:lang w:val="es-ES_tradnl"/>
        </w:rPr>
        <w:t>s</w:t>
      </w:r>
      <w:r w:rsidR="00682C5A" w:rsidRPr="00854B85">
        <w:rPr>
          <w:rFonts w:asciiTheme="majorHAnsi" w:hAnsiTheme="majorHAnsi"/>
          <w:sz w:val="20"/>
          <w:szCs w:val="20"/>
          <w:lang w:val="es-ES_tradnl"/>
        </w:rPr>
        <w:t xml:space="preserve"> derecho</w:t>
      </w:r>
      <w:r w:rsidR="00BF38AE" w:rsidRPr="00854B85">
        <w:rPr>
          <w:rFonts w:asciiTheme="majorHAnsi" w:hAnsiTheme="majorHAnsi"/>
          <w:sz w:val="20"/>
          <w:szCs w:val="20"/>
          <w:lang w:val="es-ES_tradnl"/>
        </w:rPr>
        <w:t>s</w:t>
      </w:r>
      <w:r w:rsidR="00682C5A" w:rsidRPr="00854B85">
        <w:rPr>
          <w:rFonts w:asciiTheme="majorHAnsi" w:hAnsiTheme="majorHAnsi"/>
          <w:sz w:val="20"/>
          <w:szCs w:val="20"/>
          <w:lang w:val="es-ES_tradnl"/>
        </w:rPr>
        <w:t xml:space="preserve"> a las garantías judiciales y a la protección judicial</w:t>
      </w:r>
      <w:r w:rsidR="00733A63" w:rsidRPr="00854B85">
        <w:rPr>
          <w:rFonts w:asciiTheme="majorHAnsi" w:hAnsiTheme="majorHAnsi"/>
          <w:sz w:val="20"/>
          <w:szCs w:val="20"/>
          <w:lang w:val="es-ES_tradnl"/>
        </w:rPr>
        <w:t xml:space="preserve"> en razón de que no pudieron recurrir el fallo emitido por el Tribunal de lo Contencioso Administrativo al resolver el recurso de </w:t>
      </w:r>
      <w:r w:rsidR="004732FF">
        <w:rPr>
          <w:rFonts w:asciiTheme="majorHAnsi" w:hAnsiTheme="majorHAnsi"/>
          <w:sz w:val="20"/>
          <w:szCs w:val="20"/>
          <w:lang w:val="es-ES_tradnl"/>
        </w:rPr>
        <w:t>nulidad</w:t>
      </w:r>
      <w:r w:rsidR="00733A63" w:rsidRPr="00854B85">
        <w:rPr>
          <w:rFonts w:asciiTheme="majorHAnsi" w:hAnsiTheme="majorHAnsi"/>
          <w:sz w:val="20"/>
          <w:szCs w:val="20"/>
          <w:lang w:val="es-ES_tradnl"/>
        </w:rPr>
        <w:t>, debido a que fue este mismo tribunal quien conoció del recurso de revisión</w:t>
      </w:r>
      <w:r w:rsidR="00CF175F" w:rsidRPr="00854B85">
        <w:rPr>
          <w:rFonts w:asciiTheme="majorHAnsi" w:hAnsiTheme="majorHAnsi"/>
          <w:sz w:val="20"/>
          <w:szCs w:val="20"/>
          <w:lang w:val="es-ES_tradnl"/>
        </w:rPr>
        <w:t xml:space="preserve">, </w:t>
      </w:r>
      <w:r w:rsidR="004B7B32">
        <w:rPr>
          <w:rFonts w:asciiTheme="majorHAnsi" w:hAnsiTheme="majorHAnsi"/>
          <w:sz w:val="20"/>
          <w:szCs w:val="20"/>
          <w:lang w:val="es-ES_tradnl"/>
        </w:rPr>
        <w:t>conllevando a</w:t>
      </w:r>
      <w:r w:rsidR="00CF175F" w:rsidRPr="00854B85">
        <w:rPr>
          <w:rFonts w:asciiTheme="majorHAnsi" w:hAnsiTheme="majorHAnsi"/>
          <w:sz w:val="20"/>
          <w:szCs w:val="20"/>
          <w:lang w:val="es-ES_tradnl"/>
        </w:rPr>
        <w:t xml:space="preserve"> la falta de acceso a</w:t>
      </w:r>
      <w:r w:rsidR="004B7B32">
        <w:rPr>
          <w:rFonts w:asciiTheme="majorHAnsi" w:hAnsiTheme="majorHAnsi"/>
          <w:sz w:val="20"/>
          <w:szCs w:val="20"/>
          <w:lang w:val="es-ES_tradnl"/>
        </w:rPr>
        <w:t xml:space="preserve"> </w:t>
      </w:r>
      <w:r w:rsidR="00CF175F" w:rsidRPr="00854B85">
        <w:rPr>
          <w:rFonts w:asciiTheme="majorHAnsi" w:hAnsiTheme="majorHAnsi"/>
          <w:sz w:val="20"/>
          <w:szCs w:val="20"/>
          <w:lang w:val="es-ES_tradnl"/>
        </w:rPr>
        <w:t>un recurso efectivo</w:t>
      </w:r>
      <w:r w:rsidR="00E37E96" w:rsidRPr="00854B85">
        <w:rPr>
          <w:rFonts w:asciiTheme="majorHAnsi" w:hAnsiTheme="majorHAnsi"/>
          <w:sz w:val="20"/>
          <w:szCs w:val="20"/>
          <w:lang w:val="es-ES_tradnl"/>
        </w:rPr>
        <w:t xml:space="preserve"> susceptible de ser revisado por autoridad superior</w:t>
      </w:r>
      <w:r w:rsidR="00733A63" w:rsidRPr="00854B85">
        <w:rPr>
          <w:rFonts w:asciiTheme="majorHAnsi" w:hAnsiTheme="majorHAnsi"/>
          <w:sz w:val="20"/>
          <w:szCs w:val="20"/>
          <w:lang w:val="es-ES_tradnl"/>
        </w:rPr>
        <w:t>; i</w:t>
      </w:r>
      <w:r w:rsidR="00682C5A" w:rsidRPr="00854B85">
        <w:rPr>
          <w:rFonts w:asciiTheme="majorHAnsi" w:hAnsiTheme="majorHAnsi"/>
          <w:sz w:val="20"/>
          <w:szCs w:val="20"/>
          <w:lang w:val="es-ES_tradnl"/>
        </w:rPr>
        <w:t>ii) la falta de investigación y dilación de la denuncia administrativa interpuesta en 2006 en contra de funcionarios del Ministerio de Salud Pública;</w:t>
      </w:r>
      <w:r w:rsidR="00733A63" w:rsidRPr="00854B85">
        <w:rPr>
          <w:rFonts w:asciiTheme="majorHAnsi" w:hAnsiTheme="majorHAnsi"/>
          <w:sz w:val="20"/>
          <w:szCs w:val="20"/>
          <w:lang w:val="es-ES_tradnl"/>
        </w:rPr>
        <w:t xml:space="preserve"> iv</w:t>
      </w:r>
      <w:r w:rsidR="00682C5A" w:rsidRPr="00854B85">
        <w:rPr>
          <w:rFonts w:asciiTheme="majorHAnsi" w:hAnsiTheme="majorHAnsi"/>
          <w:sz w:val="20"/>
          <w:szCs w:val="20"/>
          <w:lang w:val="es-ES_tradnl"/>
        </w:rPr>
        <w:t xml:space="preserve">) </w:t>
      </w:r>
      <w:r w:rsidR="00733A63" w:rsidRPr="00854B85">
        <w:rPr>
          <w:rFonts w:asciiTheme="majorHAnsi" w:hAnsiTheme="majorHAnsi"/>
          <w:sz w:val="20"/>
          <w:szCs w:val="20"/>
          <w:lang w:val="es-ES_tradnl"/>
        </w:rPr>
        <w:t xml:space="preserve">por la imposibilidad de acceder </w:t>
      </w:r>
      <w:r w:rsidR="00785DBA" w:rsidRPr="00854B85">
        <w:rPr>
          <w:rFonts w:asciiTheme="majorHAnsi" w:hAnsiTheme="majorHAnsi"/>
          <w:sz w:val="20"/>
          <w:szCs w:val="20"/>
          <w:lang w:val="es-ES_tradnl"/>
        </w:rPr>
        <w:t>a la información pública</w:t>
      </w:r>
      <w:r w:rsidR="00E37E96" w:rsidRPr="00854B85">
        <w:rPr>
          <w:rFonts w:asciiTheme="majorHAnsi" w:hAnsiTheme="majorHAnsi"/>
          <w:sz w:val="20"/>
          <w:szCs w:val="20"/>
          <w:lang w:val="es-ES_tradnl"/>
        </w:rPr>
        <w:t xml:space="preserve"> y</w:t>
      </w:r>
      <w:r w:rsidR="004B7B32">
        <w:rPr>
          <w:rFonts w:asciiTheme="majorHAnsi" w:hAnsiTheme="majorHAnsi"/>
          <w:sz w:val="20"/>
          <w:szCs w:val="20"/>
          <w:lang w:val="es-ES_tradnl"/>
        </w:rPr>
        <w:t>;</w:t>
      </w:r>
      <w:r w:rsidR="00E37E96" w:rsidRPr="00854B85">
        <w:rPr>
          <w:rFonts w:asciiTheme="majorHAnsi" w:hAnsiTheme="majorHAnsi"/>
          <w:sz w:val="20"/>
          <w:szCs w:val="20"/>
          <w:lang w:val="es-ES_tradnl"/>
        </w:rPr>
        <w:t xml:space="preserve"> v) por la falta de aplicación del control de convencionalidad por parte del Tribunal de Apelaciones en lo Civil de 5 Turno al resolver el recurso de revisión. </w:t>
      </w:r>
    </w:p>
    <w:p w14:paraId="59F1C9AC" w14:textId="4E1D5BB1" w:rsidR="00655D04" w:rsidRPr="00854B85" w:rsidRDefault="00452049"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El Estado ha argumentado con respecto al agotamiento de los recursos internos</w:t>
      </w:r>
      <w:r w:rsidR="00785DBA" w:rsidRPr="00854B85">
        <w:rPr>
          <w:rFonts w:asciiTheme="majorHAnsi" w:hAnsiTheme="majorHAnsi"/>
          <w:sz w:val="20"/>
          <w:szCs w:val="20"/>
          <w:lang w:val="es-ES_tradnl"/>
        </w:rPr>
        <w:t xml:space="preserve">; </w:t>
      </w:r>
      <w:r w:rsidRPr="00854B85">
        <w:rPr>
          <w:rFonts w:asciiTheme="majorHAnsi" w:hAnsiTheme="majorHAnsi"/>
          <w:sz w:val="20"/>
          <w:szCs w:val="20"/>
          <w:lang w:val="es-ES_tradnl"/>
        </w:rPr>
        <w:t xml:space="preserve">en primer lugar, que </w:t>
      </w:r>
      <w:r w:rsidR="00785DBA" w:rsidRPr="00854B85">
        <w:rPr>
          <w:rFonts w:asciiTheme="majorHAnsi" w:hAnsiTheme="majorHAnsi"/>
          <w:sz w:val="20"/>
          <w:szCs w:val="20"/>
          <w:lang w:val="es-ES_tradnl"/>
        </w:rPr>
        <w:t xml:space="preserve">el recurso de revisión interpuesto ante el Tribunal de lo Contencioso Administrativo no había sido resuelto </w:t>
      </w:r>
      <w:r w:rsidRPr="00854B85">
        <w:rPr>
          <w:rFonts w:asciiTheme="majorHAnsi" w:hAnsiTheme="majorHAnsi"/>
          <w:sz w:val="20"/>
          <w:szCs w:val="20"/>
          <w:lang w:val="es-ES_tradnl"/>
        </w:rPr>
        <w:t>con anterioridad a la presentación de la petición ante la CIDH, sino después de tal fecha, de lo cual deduce que al momento de interponer la denuncia bajo estudio no había agotado aún todos los recursos domésticos que estaban a su disposición. La Comisión Interamericana disiente de esta postura, puesto que según se ha reiterado en decisiones pasadas, el cumplimiento del requisito del Artículo 46.1.a) de la Convención Americana se evalúa teniendo en cuenta la situación fáctica presente al momento de adoptar el informe de admisibilidad y no aquella que existía cuando se recibió la petición inicial</w:t>
      </w:r>
      <w:r w:rsidR="0004274F">
        <w:rPr>
          <w:rFonts w:asciiTheme="majorHAnsi" w:hAnsiTheme="majorHAnsi"/>
          <w:sz w:val="20"/>
          <w:szCs w:val="20"/>
          <w:lang w:val="es-ES_tradnl"/>
        </w:rPr>
        <w:t>;</w:t>
      </w:r>
      <w:r w:rsidR="00785DBA" w:rsidRPr="00854B85">
        <w:rPr>
          <w:rStyle w:val="FootnoteReference"/>
          <w:rFonts w:asciiTheme="majorHAnsi" w:hAnsiTheme="majorHAnsi"/>
          <w:sz w:val="20"/>
          <w:szCs w:val="20"/>
          <w:lang w:val="es-ES_tradnl"/>
        </w:rPr>
        <w:footnoteReference w:id="4"/>
      </w:r>
      <w:r w:rsidRPr="00854B85">
        <w:rPr>
          <w:rFonts w:asciiTheme="majorHAnsi" w:hAnsiTheme="majorHAnsi"/>
          <w:sz w:val="20"/>
          <w:szCs w:val="20"/>
          <w:lang w:val="es-ES_tradnl"/>
        </w:rPr>
        <w:t xml:space="preserve"> es muy frecuente que, durante la tramitación de una petición, haya cambios en el estado de agotamiento de los recursos internos, como ocurrió en el caso bajo estudio. En cualquier caso, </w:t>
      </w:r>
      <w:r w:rsidR="00785DBA" w:rsidRPr="00854B85">
        <w:rPr>
          <w:rFonts w:asciiTheme="majorHAnsi" w:hAnsiTheme="majorHAnsi"/>
          <w:sz w:val="20"/>
          <w:szCs w:val="20"/>
          <w:lang w:val="es-ES_tradnl"/>
        </w:rPr>
        <w:t>los peticionari</w:t>
      </w:r>
      <w:r w:rsidRPr="00854B85">
        <w:rPr>
          <w:rFonts w:asciiTheme="majorHAnsi" w:hAnsiTheme="majorHAnsi"/>
          <w:sz w:val="20"/>
          <w:szCs w:val="20"/>
          <w:lang w:val="es-ES_tradnl"/>
        </w:rPr>
        <w:t>o</w:t>
      </w:r>
      <w:r w:rsidR="00785DBA" w:rsidRPr="00854B85">
        <w:rPr>
          <w:rFonts w:asciiTheme="majorHAnsi" w:hAnsiTheme="majorHAnsi"/>
          <w:sz w:val="20"/>
          <w:szCs w:val="20"/>
          <w:lang w:val="es-ES_tradnl"/>
        </w:rPr>
        <w:t>s hicieron uso</w:t>
      </w:r>
      <w:r w:rsidRPr="00854B85">
        <w:rPr>
          <w:rFonts w:asciiTheme="majorHAnsi" w:hAnsiTheme="majorHAnsi"/>
          <w:sz w:val="20"/>
          <w:szCs w:val="20"/>
          <w:lang w:val="es-ES_tradnl"/>
        </w:rPr>
        <w:t xml:space="preserve"> de</w:t>
      </w:r>
      <w:r w:rsidR="0021449E">
        <w:rPr>
          <w:rFonts w:asciiTheme="majorHAnsi" w:hAnsiTheme="majorHAnsi"/>
          <w:sz w:val="20"/>
          <w:szCs w:val="20"/>
          <w:lang w:val="es-ES_tradnl"/>
        </w:rPr>
        <w:t xml:space="preserve">l </w:t>
      </w:r>
      <w:r w:rsidRPr="00854B85">
        <w:rPr>
          <w:rFonts w:asciiTheme="majorHAnsi" w:hAnsiTheme="majorHAnsi"/>
          <w:sz w:val="20"/>
          <w:szCs w:val="20"/>
          <w:lang w:val="es-ES_tradnl"/>
        </w:rPr>
        <w:t xml:space="preserve">recurso de </w:t>
      </w:r>
      <w:r w:rsidR="00785DBA" w:rsidRPr="00854B85">
        <w:rPr>
          <w:rFonts w:asciiTheme="majorHAnsi" w:hAnsiTheme="majorHAnsi"/>
          <w:sz w:val="20"/>
          <w:szCs w:val="20"/>
          <w:lang w:val="es-ES_tradnl"/>
        </w:rPr>
        <w:t>revisión</w:t>
      </w:r>
      <w:r w:rsidRPr="00854B85">
        <w:rPr>
          <w:rFonts w:asciiTheme="majorHAnsi" w:hAnsiTheme="majorHAnsi"/>
          <w:sz w:val="20"/>
          <w:szCs w:val="20"/>
          <w:lang w:val="es-ES_tradnl"/>
        </w:rPr>
        <w:t>, aunque dicho recurso fue resuelto desfavorablemente para sus pretensiones.</w:t>
      </w:r>
      <w:r w:rsidR="003636F1" w:rsidRPr="00854B85">
        <w:rPr>
          <w:rFonts w:asciiTheme="majorHAnsi" w:hAnsiTheme="majorHAnsi"/>
          <w:sz w:val="20"/>
          <w:szCs w:val="20"/>
          <w:lang w:val="es-ES_tradnl"/>
        </w:rPr>
        <w:t xml:space="preserve"> </w:t>
      </w:r>
      <w:r w:rsidR="00655D04" w:rsidRPr="00854B85">
        <w:rPr>
          <w:rFonts w:asciiTheme="majorHAnsi" w:hAnsiTheme="majorHAnsi"/>
          <w:sz w:val="20"/>
          <w:szCs w:val="20"/>
          <w:lang w:val="es-ES_tradnl"/>
        </w:rPr>
        <w:t>Así, ante los puntos i) y ii) la CIDH considera que la petición cumple con el requisito del artículo 46.1.a de la Convención en relación con las supuestas violaciones supra mencionadas</w:t>
      </w:r>
      <w:r w:rsidR="00D213F1" w:rsidRPr="00854B85">
        <w:rPr>
          <w:rFonts w:asciiTheme="majorHAnsi" w:hAnsiTheme="majorHAnsi"/>
          <w:sz w:val="20"/>
          <w:szCs w:val="20"/>
          <w:lang w:val="es-ES_tradnl"/>
        </w:rPr>
        <w:t>.</w:t>
      </w:r>
      <w:r w:rsidR="00655D04" w:rsidRPr="00854B85">
        <w:rPr>
          <w:rFonts w:asciiTheme="majorHAnsi" w:hAnsiTheme="majorHAnsi"/>
          <w:sz w:val="20"/>
          <w:szCs w:val="20"/>
          <w:lang w:val="es-ES_tradnl"/>
        </w:rPr>
        <w:t xml:space="preserve"> Además, dado que los recursos fueron agotados mientras que la </w:t>
      </w:r>
      <w:r w:rsidR="00655D04" w:rsidRPr="00854B85">
        <w:rPr>
          <w:rFonts w:asciiTheme="majorHAnsi" w:hAnsiTheme="majorHAnsi"/>
          <w:sz w:val="20"/>
          <w:szCs w:val="20"/>
          <w:lang w:val="es-ES_tradnl"/>
        </w:rPr>
        <w:lastRenderedPageBreak/>
        <w:t>petición ya se encontraba bajo el análisis de la CIDH, la petición también cumple con el requisito del artículo 46.1.b de la Convención.</w:t>
      </w:r>
    </w:p>
    <w:p w14:paraId="20C9C8C5" w14:textId="74952D82" w:rsidR="000109B8" w:rsidRPr="00854B85" w:rsidRDefault="00265292"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Por otro lado, respecto </w:t>
      </w:r>
      <w:r w:rsidR="000109B8" w:rsidRPr="00854B85">
        <w:rPr>
          <w:rFonts w:asciiTheme="majorHAnsi" w:hAnsiTheme="majorHAnsi"/>
          <w:sz w:val="20"/>
          <w:szCs w:val="20"/>
          <w:lang w:val="es-ES_tradnl"/>
        </w:rPr>
        <w:t>al</w:t>
      </w:r>
      <w:r w:rsidRPr="00854B85">
        <w:rPr>
          <w:rFonts w:asciiTheme="majorHAnsi" w:hAnsiTheme="majorHAnsi"/>
          <w:sz w:val="20"/>
          <w:szCs w:val="20"/>
          <w:lang w:val="es-ES_tradnl"/>
        </w:rPr>
        <w:t xml:space="preserve"> punto iii) relativo a la falta de investigación </w:t>
      </w:r>
      <w:r w:rsidR="003E69E5" w:rsidRPr="00854B85">
        <w:rPr>
          <w:rFonts w:asciiTheme="majorHAnsi" w:hAnsiTheme="majorHAnsi"/>
          <w:sz w:val="20"/>
          <w:szCs w:val="20"/>
          <w:lang w:val="es-ES_tradnl"/>
        </w:rPr>
        <w:t xml:space="preserve">administrativa, la parte peticionaria sostiene en </w:t>
      </w:r>
      <w:r w:rsidR="0021449E">
        <w:rPr>
          <w:rFonts w:asciiTheme="majorHAnsi" w:hAnsiTheme="majorHAnsi"/>
          <w:sz w:val="20"/>
          <w:szCs w:val="20"/>
          <w:lang w:val="es-ES_tradnl"/>
        </w:rPr>
        <w:t xml:space="preserve">su </w:t>
      </w:r>
      <w:r w:rsidR="003E69E5" w:rsidRPr="00854B85">
        <w:rPr>
          <w:rFonts w:asciiTheme="majorHAnsi" w:hAnsiTheme="majorHAnsi"/>
          <w:sz w:val="20"/>
          <w:szCs w:val="20"/>
          <w:lang w:val="es-ES_tradnl"/>
        </w:rPr>
        <w:t xml:space="preserve">comunicación de 2 de noviembre de 2018 que la denuncia administrativa aún no ha </w:t>
      </w:r>
      <w:r w:rsidR="008A5651">
        <w:rPr>
          <w:rFonts w:asciiTheme="majorHAnsi" w:hAnsiTheme="majorHAnsi"/>
          <w:sz w:val="20"/>
          <w:szCs w:val="20"/>
          <w:lang w:val="es-ES_tradnl"/>
        </w:rPr>
        <w:t>concluido</w:t>
      </w:r>
      <w:r w:rsidR="003E69E5" w:rsidRPr="00854B85">
        <w:rPr>
          <w:rFonts w:asciiTheme="majorHAnsi" w:hAnsiTheme="majorHAnsi"/>
          <w:sz w:val="20"/>
          <w:szCs w:val="20"/>
          <w:lang w:val="es-ES_tradnl"/>
        </w:rPr>
        <w:t>. El Estado no presenta alegatos respecto</w:t>
      </w:r>
      <w:r w:rsidR="00B80BE5" w:rsidRPr="00854B85">
        <w:rPr>
          <w:rFonts w:asciiTheme="majorHAnsi" w:hAnsiTheme="majorHAnsi"/>
          <w:sz w:val="20"/>
          <w:szCs w:val="20"/>
          <w:lang w:val="es-ES_tradnl"/>
        </w:rPr>
        <w:t xml:space="preserve"> de estos hechos ni respecto</w:t>
      </w:r>
      <w:r w:rsidR="003E69E5" w:rsidRPr="00854B85">
        <w:rPr>
          <w:rFonts w:asciiTheme="majorHAnsi" w:hAnsiTheme="majorHAnsi"/>
          <w:sz w:val="20"/>
          <w:szCs w:val="20"/>
          <w:lang w:val="es-ES_tradnl"/>
        </w:rPr>
        <w:t xml:space="preserve"> al agotamiento de los recursos relativos a </w:t>
      </w:r>
      <w:r w:rsidR="00BA0A2A" w:rsidRPr="00854B85">
        <w:rPr>
          <w:rFonts w:asciiTheme="majorHAnsi" w:hAnsiTheme="majorHAnsi"/>
          <w:sz w:val="20"/>
          <w:szCs w:val="20"/>
          <w:lang w:val="es-ES_tradnl"/>
        </w:rPr>
        <w:t>impulsar el proceso administrativo iniciado por los peticionarios. Dadas las características de este extremo de la petición, la Comisión considera que es aplicable la excepción establecida en el artículo 46.2.c) de la Convención Americana.</w:t>
      </w:r>
      <w:r w:rsidR="000109B8" w:rsidRPr="00854B85">
        <w:rPr>
          <w:rFonts w:asciiTheme="majorHAnsi" w:hAnsiTheme="majorHAnsi"/>
          <w:sz w:val="20"/>
          <w:szCs w:val="20"/>
          <w:lang w:val="es-ES_tradnl"/>
        </w:rPr>
        <w:t xml:space="preserve"> Asimismo, la Comisión considera que los hechos denunciados comenzaron en 2006 con la interposición de la denuncia administrativa y sus efectos se mantienen hasta hoy en razón de la alegada falta de investigación efectiva de la misma. Por lo tanto, la Comisión considera que la petición fue presentada dentro de un plazo razonable en los términos del artículo 32.2 del Reglamento de la Comisión Interamericana de Derechos Humanos.</w:t>
      </w:r>
    </w:p>
    <w:p w14:paraId="1968859E" w14:textId="11310CD7" w:rsidR="00D213F1" w:rsidRPr="00DF5612" w:rsidRDefault="000109B8"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En cuanto al punto </w:t>
      </w:r>
      <w:r w:rsidR="00D213F1" w:rsidRPr="00854B85">
        <w:rPr>
          <w:rFonts w:asciiTheme="majorHAnsi" w:hAnsiTheme="majorHAnsi"/>
          <w:sz w:val="20"/>
          <w:szCs w:val="20"/>
          <w:lang w:val="es-ES_tradnl"/>
        </w:rPr>
        <w:t>i</w:t>
      </w:r>
      <w:r w:rsidRPr="00854B85">
        <w:rPr>
          <w:rFonts w:asciiTheme="majorHAnsi" w:hAnsiTheme="majorHAnsi"/>
          <w:sz w:val="20"/>
          <w:szCs w:val="20"/>
          <w:lang w:val="es-ES_tradnl"/>
        </w:rPr>
        <w:t xml:space="preserve">v) referente a la falta de acceso a la información pública, </w:t>
      </w:r>
      <w:r w:rsidR="00A963D0" w:rsidRPr="00854B85">
        <w:rPr>
          <w:rFonts w:asciiTheme="majorHAnsi" w:hAnsiTheme="majorHAnsi"/>
          <w:sz w:val="20"/>
          <w:szCs w:val="20"/>
          <w:lang w:val="es-ES_tradnl"/>
        </w:rPr>
        <w:t>la Comisión</w:t>
      </w:r>
      <w:r w:rsidR="003D050C" w:rsidRPr="00854B85">
        <w:rPr>
          <w:rFonts w:asciiTheme="majorHAnsi" w:hAnsiTheme="majorHAnsi"/>
          <w:sz w:val="20"/>
          <w:szCs w:val="20"/>
          <w:lang w:val="es-ES_tradnl"/>
        </w:rPr>
        <w:t xml:space="preserve"> observa que los peticionaros realizaron diversas gestiones ante el Ministerio de Salud Pública y ante la Unidad de Acceso a la Información Pública, con la finalidad de poder consultar el expediente de la denuncia administrativ</w:t>
      </w:r>
      <w:r w:rsidR="008B5C31">
        <w:rPr>
          <w:rFonts w:asciiTheme="majorHAnsi" w:hAnsiTheme="majorHAnsi"/>
          <w:sz w:val="20"/>
          <w:szCs w:val="20"/>
          <w:lang w:val="es-ES_tradnl"/>
        </w:rPr>
        <w:t>a</w:t>
      </w:r>
      <w:r w:rsidR="003D050C" w:rsidRPr="00854B85">
        <w:rPr>
          <w:rFonts w:asciiTheme="majorHAnsi" w:hAnsiTheme="majorHAnsi"/>
          <w:sz w:val="20"/>
          <w:szCs w:val="20"/>
          <w:lang w:val="es-ES_tradnl"/>
        </w:rPr>
        <w:t xml:space="preserve">, así como de la solicitud referente al número de farmacias que operan en Uruguay. Dicha información fue considerada de carácter público por la Unidad de Acceso a la Información Pública mediante </w:t>
      </w:r>
      <w:r w:rsidR="00D213F1" w:rsidRPr="00854B85">
        <w:rPr>
          <w:rFonts w:asciiTheme="majorHAnsi" w:hAnsiTheme="majorHAnsi"/>
          <w:sz w:val="20"/>
          <w:szCs w:val="20"/>
          <w:lang w:val="es-ES_tradnl"/>
        </w:rPr>
        <w:t>resolución de</w:t>
      </w:r>
      <w:r w:rsidR="003D050C" w:rsidRPr="00854B85">
        <w:rPr>
          <w:rFonts w:asciiTheme="majorHAnsi" w:hAnsiTheme="majorHAnsi"/>
          <w:sz w:val="20"/>
          <w:szCs w:val="20"/>
          <w:lang w:val="es-ES_tradnl"/>
        </w:rPr>
        <w:t xml:space="preserve"> </w:t>
      </w:r>
      <w:r w:rsidR="00D213F1" w:rsidRPr="00854B85">
        <w:rPr>
          <w:rFonts w:asciiTheme="majorHAnsi" w:hAnsiTheme="majorHAnsi"/>
          <w:sz w:val="20"/>
          <w:szCs w:val="20"/>
          <w:lang w:val="es-ES_tradnl"/>
        </w:rPr>
        <w:t xml:space="preserve">9 de abril de 2012, a través de la cual ordenó al </w:t>
      </w:r>
      <w:r w:rsidR="00CB51D5" w:rsidRPr="00854B85">
        <w:rPr>
          <w:rFonts w:asciiTheme="majorHAnsi" w:hAnsiTheme="majorHAnsi"/>
          <w:sz w:val="20"/>
          <w:szCs w:val="20"/>
          <w:lang w:val="es-ES_tradnl"/>
        </w:rPr>
        <w:t>Ministerio</w:t>
      </w:r>
      <w:r w:rsidR="00D213F1" w:rsidRPr="00854B85">
        <w:rPr>
          <w:rFonts w:asciiTheme="majorHAnsi" w:hAnsiTheme="majorHAnsi"/>
          <w:sz w:val="20"/>
          <w:szCs w:val="20"/>
          <w:lang w:val="es-ES_tradnl"/>
        </w:rPr>
        <w:t xml:space="preserve"> de Salud Pública otorgar dicha información a los peticionarios. Por su parte, el Estado </w:t>
      </w:r>
      <w:r w:rsidR="00DF5612">
        <w:rPr>
          <w:rFonts w:asciiTheme="majorHAnsi" w:hAnsiTheme="majorHAnsi"/>
          <w:sz w:val="20"/>
          <w:szCs w:val="20"/>
          <w:lang w:val="es-ES_tradnl"/>
        </w:rPr>
        <w:t xml:space="preserve">sostiene que los peticionarios sí tuvieron acceso a la información solicitada; en un primer lugar, por determinación del Ministerio de Salud Pública y; en segundo, por parte de la </w:t>
      </w:r>
      <w:r w:rsidR="00DF5612" w:rsidRPr="007C2647">
        <w:rPr>
          <w:rFonts w:asciiTheme="majorHAnsi" w:hAnsiTheme="majorHAnsi"/>
          <w:sz w:val="20"/>
          <w:szCs w:val="20"/>
          <w:lang w:val="es-ES_tradnl"/>
        </w:rPr>
        <w:t>Unidad de Acceso a la Información Pública</w:t>
      </w:r>
      <w:r w:rsidR="00DF5612">
        <w:rPr>
          <w:rFonts w:asciiTheme="majorHAnsi" w:hAnsiTheme="majorHAnsi"/>
          <w:sz w:val="20"/>
          <w:szCs w:val="20"/>
          <w:lang w:val="es-ES_tradnl"/>
        </w:rPr>
        <w:t xml:space="preserve">. No obstante, los peticionarios afirman que a pesar de ello, no pudieron concretar de manera material la consulta de la información. </w:t>
      </w:r>
      <w:r w:rsidR="00D213F1" w:rsidRPr="00DF5612">
        <w:rPr>
          <w:rFonts w:asciiTheme="majorHAnsi" w:hAnsiTheme="majorHAnsi"/>
          <w:sz w:val="20"/>
          <w:szCs w:val="20"/>
          <w:lang w:val="es-ES_tradnl"/>
        </w:rPr>
        <w:t xml:space="preserve">Al respecto, la CIDH considera que la petición cumple con el requisito del artículo 46.1.a de la Convención en relación con las supuestas violaciones mencionadas. Además, dado que los recursos fueron agotados mientras que la petición ya se encontraba bajo el análisis de la CIDH, la petición también cumple con el requisito del artículo 46.1.b de la Convención. </w:t>
      </w:r>
    </w:p>
    <w:p w14:paraId="4F59E8F9" w14:textId="7F90A5D5" w:rsidR="00B80BE5" w:rsidRPr="00854B85" w:rsidRDefault="00D213F1"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Por último, respecto al punto v) </w:t>
      </w:r>
      <w:r w:rsidR="00544634" w:rsidRPr="00854B85">
        <w:rPr>
          <w:rFonts w:asciiTheme="majorHAnsi" w:hAnsiTheme="majorHAnsi"/>
          <w:sz w:val="20"/>
          <w:szCs w:val="20"/>
          <w:lang w:val="es-ES_tradnl"/>
        </w:rPr>
        <w:t xml:space="preserve">la CIDH considera que la petición cumple con el requisito del artículo 46.1.a de la Convención </w:t>
      </w:r>
      <w:r w:rsidR="00CB51D5" w:rsidRPr="00854B85">
        <w:rPr>
          <w:rFonts w:asciiTheme="majorHAnsi" w:hAnsiTheme="majorHAnsi"/>
          <w:sz w:val="20"/>
          <w:szCs w:val="20"/>
          <w:lang w:val="es-ES_tradnl"/>
        </w:rPr>
        <w:t>en razón de que la resolución que puso fin al proceso civil fue dictada el19 de septiembre de 2018</w:t>
      </w:r>
      <w:r w:rsidR="00544634" w:rsidRPr="00854B85">
        <w:rPr>
          <w:rFonts w:asciiTheme="majorHAnsi" w:hAnsiTheme="majorHAnsi"/>
          <w:sz w:val="20"/>
          <w:szCs w:val="20"/>
          <w:lang w:val="es-ES_tradnl"/>
        </w:rPr>
        <w:t xml:space="preserve">. </w:t>
      </w:r>
      <w:r w:rsidR="00CB51D5" w:rsidRPr="00854B85">
        <w:rPr>
          <w:rFonts w:asciiTheme="majorHAnsi" w:hAnsiTheme="majorHAnsi"/>
          <w:sz w:val="20"/>
          <w:szCs w:val="20"/>
          <w:lang w:val="es-ES_tradnl"/>
        </w:rPr>
        <w:t>Así</w:t>
      </w:r>
      <w:r w:rsidR="00544634" w:rsidRPr="00854B85">
        <w:rPr>
          <w:rFonts w:asciiTheme="majorHAnsi" w:hAnsiTheme="majorHAnsi"/>
          <w:sz w:val="20"/>
          <w:szCs w:val="20"/>
          <w:lang w:val="es-ES_tradnl"/>
        </w:rPr>
        <w:t>, dado que los recursos fueron agotados mientras que la petición ya se encontraba bajo el análisis de la CIDH, la petición también cumple con el requisito del artículo 46.1.b de la Convención.</w:t>
      </w:r>
    </w:p>
    <w:p w14:paraId="349B8532" w14:textId="7C84104A" w:rsidR="00CE1183" w:rsidRPr="00854B85" w:rsidRDefault="006051FA" w:rsidP="00544634">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b/>
          <w:bCs/>
          <w:sz w:val="20"/>
          <w:szCs w:val="20"/>
          <w:lang w:val="es-ES_tradnl"/>
        </w:rPr>
      </w:pPr>
      <w:r w:rsidRPr="00854B85">
        <w:rPr>
          <w:rFonts w:asciiTheme="majorHAnsi" w:hAnsiTheme="majorHAnsi"/>
          <w:b/>
          <w:bCs/>
          <w:sz w:val="20"/>
          <w:szCs w:val="20"/>
          <w:lang w:val="es-ES_tradnl"/>
        </w:rPr>
        <w:t>VII.</w:t>
      </w:r>
      <w:r w:rsidRPr="00854B85">
        <w:rPr>
          <w:rFonts w:asciiTheme="majorHAnsi" w:hAnsiTheme="majorHAnsi"/>
          <w:b/>
          <w:bCs/>
          <w:sz w:val="20"/>
          <w:szCs w:val="20"/>
          <w:lang w:val="es-ES_tradnl"/>
        </w:rPr>
        <w:tab/>
        <w:t>ANÁLISIS DE CARACTERIZACIÓN DE LOS HECHOS ALEGADOS</w:t>
      </w:r>
    </w:p>
    <w:p w14:paraId="20003ABF" w14:textId="5B2F93A5" w:rsidR="005C2CBA" w:rsidRPr="00854B85" w:rsidRDefault="005C2CBA"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La Comisión reitera que, a los efectos de la admisibilidad, esta debe decidir si los hechos alegados pueden caracterizar una violación de derechos, según lo estipulado en el artículo 47</w:t>
      </w:r>
      <w:r w:rsidR="000C4C0E">
        <w:rPr>
          <w:rFonts w:asciiTheme="majorHAnsi" w:hAnsiTheme="majorHAnsi"/>
          <w:sz w:val="20"/>
          <w:szCs w:val="20"/>
          <w:lang w:val="es-ES_tradnl"/>
        </w:rPr>
        <w:t>.</w:t>
      </w:r>
      <w:r w:rsidRPr="00854B85">
        <w:rPr>
          <w:rFonts w:asciiTheme="majorHAnsi" w:hAnsiTheme="majorHAnsi"/>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w:t>
      </w:r>
      <w:r w:rsidR="00EA7A6D">
        <w:rPr>
          <w:rFonts w:asciiTheme="majorHAnsi" w:hAnsiTheme="majorHAnsi"/>
          <w:sz w:val="20"/>
          <w:szCs w:val="20"/>
          <w:lang w:val="es-ES_tradnl"/>
        </w:rPr>
        <w:t>e</w:t>
      </w:r>
      <w:r w:rsidRPr="00854B85">
        <w:rPr>
          <w:rFonts w:asciiTheme="majorHAnsi" w:hAnsiTheme="majorHAnsi"/>
          <w:sz w:val="20"/>
          <w:szCs w:val="20"/>
          <w:lang w:val="es-ES_tradnl"/>
        </w:rPr>
        <w:t>sta se refiere a procesos internos que podrían ser violatorios de derechos garantizados por la Convención Americana. Es decir</w:t>
      </w:r>
      <w:r w:rsidR="00EA7A6D">
        <w:rPr>
          <w:rFonts w:asciiTheme="majorHAnsi" w:hAnsiTheme="majorHAnsi"/>
          <w:sz w:val="20"/>
          <w:szCs w:val="20"/>
          <w:lang w:val="es-ES_tradnl"/>
        </w:rPr>
        <w:t>,</w:t>
      </w:r>
      <w:r w:rsidRPr="00854B85">
        <w:rPr>
          <w:rFonts w:asciiTheme="majorHAnsi" w:hAnsiTheme="majorHAnsi"/>
          <w:sz w:val="20"/>
          <w:szCs w:val="20"/>
          <w:lang w:val="es-ES_tradnl"/>
        </w:rPr>
        <w:t xml:space="preserve"> </w:t>
      </w:r>
      <w:proofErr w:type="gramStart"/>
      <w:r w:rsidRPr="00854B85">
        <w:rPr>
          <w:rFonts w:asciiTheme="majorHAnsi" w:hAnsiTheme="majorHAnsi"/>
          <w:sz w:val="20"/>
          <w:szCs w:val="20"/>
          <w:lang w:val="es-ES_tradnl"/>
        </w:rPr>
        <w:t>que</w:t>
      </w:r>
      <w:proofErr w:type="gramEnd"/>
      <w:r w:rsidRPr="00854B85">
        <w:rPr>
          <w:rFonts w:asciiTheme="majorHAnsi" w:hAnsiTheme="majorHAnsi"/>
          <w:sz w:val="20"/>
          <w:szCs w:val="20"/>
          <w:lang w:val="es-ES_tradnl"/>
        </w:rPr>
        <w:t xml:space="preserv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EA7A6D">
        <w:rPr>
          <w:rFonts w:asciiTheme="majorHAnsi" w:hAnsiTheme="majorHAnsi"/>
          <w:i/>
          <w:iCs/>
          <w:sz w:val="20"/>
          <w:szCs w:val="20"/>
          <w:lang w:val="es-ES_tradnl"/>
        </w:rPr>
        <w:t>prima facie</w:t>
      </w:r>
      <w:r w:rsidRPr="00854B85">
        <w:rPr>
          <w:rFonts w:asciiTheme="majorHAnsi" w:hAnsiTheme="majorHAnsi"/>
          <w:sz w:val="20"/>
          <w:szCs w:val="20"/>
          <w:lang w:val="es-ES_tradnl"/>
        </w:rPr>
        <w:t xml:space="preserve"> violaciones a la Convención Americana”</w:t>
      </w:r>
      <w:r w:rsidRPr="00854B85">
        <w:rPr>
          <w:rFonts w:asciiTheme="majorHAnsi" w:hAnsiTheme="majorHAnsi"/>
          <w:vertAlign w:val="superscript"/>
          <w:lang w:val="es-ES_tradnl"/>
        </w:rPr>
        <w:footnoteReference w:id="5"/>
      </w:r>
      <w:r w:rsidR="008A5651">
        <w:rPr>
          <w:rFonts w:asciiTheme="majorHAnsi" w:hAnsiTheme="majorHAnsi"/>
          <w:sz w:val="20"/>
          <w:szCs w:val="20"/>
          <w:lang w:val="es-ES_tradnl"/>
        </w:rPr>
        <w:t>.</w:t>
      </w:r>
    </w:p>
    <w:p w14:paraId="110BD369" w14:textId="072C27CA" w:rsidR="00D531F6" w:rsidRPr="00854B85" w:rsidRDefault="000C4C0E"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Pr>
          <w:rFonts w:asciiTheme="majorHAnsi" w:hAnsiTheme="majorHAnsi"/>
          <w:sz w:val="20"/>
          <w:szCs w:val="20"/>
          <w:lang w:val="es-ES_tradnl"/>
        </w:rPr>
        <w:t xml:space="preserve">De </w:t>
      </w:r>
      <w:r w:rsidR="00854B85" w:rsidRPr="00854B85">
        <w:rPr>
          <w:rFonts w:asciiTheme="majorHAnsi" w:hAnsiTheme="majorHAnsi"/>
          <w:sz w:val="20"/>
          <w:szCs w:val="20"/>
          <w:lang w:val="es-ES_tradnl"/>
        </w:rPr>
        <w:t>un análisis de la información presentada por las partes, la Comisión observa que respecto</w:t>
      </w:r>
      <w:r w:rsidR="00D531F6" w:rsidRPr="00854B85">
        <w:rPr>
          <w:rFonts w:asciiTheme="majorHAnsi" w:hAnsiTheme="majorHAnsi"/>
          <w:sz w:val="20"/>
          <w:szCs w:val="20"/>
          <w:lang w:val="es-ES_tradnl"/>
        </w:rPr>
        <w:t xml:space="preserve"> a los hechos denunciados por los peticionarios relativos a la falta de acceso a la solicitud de acceso a información pública, así como a la ausencia de recursos adecuados para la protección de este derecho, </w:t>
      </w:r>
      <w:r w:rsidR="0036357B">
        <w:rPr>
          <w:rFonts w:asciiTheme="majorHAnsi" w:hAnsiTheme="majorHAnsi"/>
          <w:sz w:val="20"/>
          <w:szCs w:val="20"/>
          <w:lang w:val="es-ES_tradnl"/>
        </w:rPr>
        <w:t>a</w:t>
      </w:r>
      <w:r w:rsidR="00033BFD" w:rsidRPr="00854B85">
        <w:rPr>
          <w:rFonts w:asciiTheme="majorHAnsi" w:hAnsiTheme="majorHAnsi"/>
          <w:sz w:val="20"/>
          <w:szCs w:val="20"/>
          <w:lang w:val="es-ES_tradnl"/>
        </w:rPr>
        <w:t xml:space="preserve"> la falta de investigación de la denuncia administrativa iniciada en 2006</w:t>
      </w:r>
      <w:r w:rsidR="00D53894">
        <w:rPr>
          <w:rFonts w:asciiTheme="majorHAnsi" w:hAnsiTheme="majorHAnsi"/>
          <w:sz w:val="20"/>
          <w:szCs w:val="20"/>
          <w:lang w:val="es-ES_tradnl"/>
        </w:rPr>
        <w:t xml:space="preserve">, </w:t>
      </w:r>
      <w:r w:rsidR="00D531F6" w:rsidRPr="00854B85">
        <w:rPr>
          <w:rFonts w:asciiTheme="majorHAnsi" w:hAnsiTheme="majorHAnsi"/>
          <w:sz w:val="20"/>
          <w:szCs w:val="20"/>
          <w:lang w:val="es-ES_tradnl"/>
        </w:rPr>
        <w:t>podrían caracterizar una violación de los artículos 8 (garantías judiciales), 13 (libertad de pensamiento y expresión)</w:t>
      </w:r>
      <w:r w:rsidR="00854B85" w:rsidRPr="00854B85">
        <w:rPr>
          <w:rFonts w:asciiTheme="majorHAnsi" w:hAnsiTheme="majorHAnsi"/>
          <w:sz w:val="20"/>
          <w:szCs w:val="20"/>
          <w:lang w:val="es-ES_tradnl"/>
        </w:rPr>
        <w:t xml:space="preserve"> y</w:t>
      </w:r>
      <w:r w:rsidR="00D531F6" w:rsidRPr="00854B85">
        <w:rPr>
          <w:rFonts w:asciiTheme="majorHAnsi" w:hAnsiTheme="majorHAnsi"/>
          <w:sz w:val="20"/>
          <w:szCs w:val="20"/>
          <w:lang w:val="es-ES_tradnl"/>
        </w:rPr>
        <w:t xml:space="preserve"> 25 (protección judicial) de la </w:t>
      </w:r>
      <w:r w:rsidR="00D531F6" w:rsidRPr="00854B85">
        <w:rPr>
          <w:rFonts w:asciiTheme="majorHAnsi" w:hAnsiTheme="majorHAnsi"/>
          <w:sz w:val="20"/>
          <w:szCs w:val="20"/>
          <w:lang w:val="es-ES_tradnl"/>
        </w:rPr>
        <w:lastRenderedPageBreak/>
        <w:t xml:space="preserve">Convención, en relación con las </w:t>
      </w:r>
      <w:r w:rsidR="00033BFD" w:rsidRPr="00854B85">
        <w:rPr>
          <w:rFonts w:asciiTheme="majorHAnsi" w:hAnsiTheme="majorHAnsi"/>
          <w:sz w:val="20"/>
          <w:szCs w:val="20"/>
          <w:lang w:val="es-ES_tradnl"/>
        </w:rPr>
        <w:t>obligación</w:t>
      </w:r>
      <w:r w:rsidR="00D531F6" w:rsidRPr="00854B85">
        <w:rPr>
          <w:rFonts w:asciiTheme="majorHAnsi" w:hAnsiTheme="majorHAnsi"/>
          <w:sz w:val="20"/>
          <w:szCs w:val="20"/>
          <w:lang w:val="es-ES_tradnl"/>
        </w:rPr>
        <w:t xml:space="preserve"> </w:t>
      </w:r>
      <w:r w:rsidR="00033BFD" w:rsidRPr="00854B85">
        <w:rPr>
          <w:rFonts w:asciiTheme="majorHAnsi" w:hAnsiTheme="majorHAnsi"/>
          <w:sz w:val="20"/>
          <w:szCs w:val="20"/>
          <w:lang w:val="es-ES_tradnl"/>
        </w:rPr>
        <w:t>consagrada en</w:t>
      </w:r>
      <w:r w:rsidR="00D531F6" w:rsidRPr="00854B85">
        <w:rPr>
          <w:rFonts w:asciiTheme="majorHAnsi" w:hAnsiTheme="majorHAnsi"/>
          <w:sz w:val="20"/>
          <w:szCs w:val="20"/>
          <w:lang w:val="es-ES_tradnl"/>
        </w:rPr>
        <w:t xml:space="preserve"> su artículos 1.1 </w:t>
      </w:r>
      <w:r w:rsidR="00033BFD" w:rsidRPr="00854B85">
        <w:rPr>
          <w:rFonts w:asciiTheme="majorHAnsi" w:hAnsiTheme="majorHAnsi"/>
          <w:sz w:val="20"/>
          <w:szCs w:val="20"/>
          <w:lang w:val="es-ES_tradnl"/>
        </w:rPr>
        <w:t>(obligación de respetar los derechos)</w:t>
      </w:r>
      <w:r w:rsidR="00D531F6" w:rsidRPr="00854B85">
        <w:rPr>
          <w:rFonts w:asciiTheme="majorHAnsi" w:hAnsiTheme="majorHAnsi"/>
          <w:sz w:val="20"/>
          <w:szCs w:val="20"/>
          <w:lang w:val="es-ES_tradnl"/>
        </w:rPr>
        <w:t>.</w:t>
      </w:r>
    </w:p>
    <w:p w14:paraId="38C0354C" w14:textId="49B197F7" w:rsidR="00CE1183" w:rsidRPr="00854B85" w:rsidRDefault="005C2CBA"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Por otro lado, la</w:t>
      </w:r>
      <w:r w:rsidR="00CE1183" w:rsidRPr="00854B85">
        <w:rPr>
          <w:rFonts w:asciiTheme="majorHAnsi" w:hAnsiTheme="majorHAnsi"/>
          <w:sz w:val="20"/>
          <w:szCs w:val="20"/>
          <w:lang w:val="es-ES_tradnl"/>
        </w:rPr>
        <w:t xml:space="preserve"> Comisión recuerda que no es competente para revisar las sentencias dictadas por tribunales nacionales que actúen en la esfera de su competencia y apliquen el debido proceso y las garantías judiciales. En el presente caso, </w:t>
      </w:r>
      <w:r w:rsidR="00544634" w:rsidRPr="00854B85">
        <w:rPr>
          <w:rFonts w:asciiTheme="majorHAnsi" w:hAnsiTheme="majorHAnsi"/>
          <w:sz w:val="20"/>
          <w:szCs w:val="20"/>
          <w:lang w:val="es-ES_tradnl"/>
        </w:rPr>
        <w:t>los</w:t>
      </w:r>
      <w:r w:rsidR="00CE1183" w:rsidRPr="00854B85">
        <w:rPr>
          <w:rFonts w:asciiTheme="majorHAnsi" w:hAnsiTheme="majorHAnsi"/>
          <w:sz w:val="20"/>
          <w:szCs w:val="20"/>
          <w:lang w:val="es-ES_tradnl"/>
        </w:rPr>
        <w:t xml:space="preserve"> </w:t>
      </w:r>
      <w:r w:rsidR="00544634" w:rsidRPr="00854B85">
        <w:rPr>
          <w:rFonts w:asciiTheme="majorHAnsi" w:hAnsiTheme="majorHAnsi"/>
          <w:sz w:val="20"/>
          <w:szCs w:val="20"/>
          <w:lang w:val="es-ES_tradnl"/>
        </w:rPr>
        <w:t>peticionarios</w:t>
      </w:r>
      <w:r w:rsidR="00CE1183" w:rsidRPr="00854B85">
        <w:rPr>
          <w:rFonts w:asciiTheme="majorHAnsi" w:hAnsiTheme="majorHAnsi"/>
          <w:sz w:val="20"/>
          <w:szCs w:val="20"/>
          <w:lang w:val="es-ES_tradnl"/>
        </w:rPr>
        <w:t xml:space="preserve"> ha</w:t>
      </w:r>
      <w:r w:rsidR="00544634" w:rsidRPr="00854B85">
        <w:rPr>
          <w:rFonts w:asciiTheme="majorHAnsi" w:hAnsiTheme="majorHAnsi"/>
          <w:sz w:val="20"/>
          <w:szCs w:val="20"/>
          <w:lang w:val="es-ES_tradnl"/>
        </w:rPr>
        <w:t>n</w:t>
      </w:r>
      <w:r w:rsidR="00CE1183" w:rsidRPr="00854B85">
        <w:rPr>
          <w:rFonts w:asciiTheme="majorHAnsi" w:hAnsiTheme="majorHAnsi"/>
          <w:sz w:val="20"/>
          <w:szCs w:val="20"/>
          <w:lang w:val="es-ES_tradnl"/>
        </w:rPr>
        <w:t xml:space="preserve"> hecho referencia a una serie de supuestas irregularidades que habrían ocurrido en el contexto del proceso </w:t>
      </w:r>
      <w:r w:rsidR="00544634" w:rsidRPr="00854B85">
        <w:rPr>
          <w:rFonts w:asciiTheme="majorHAnsi" w:hAnsiTheme="majorHAnsi"/>
          <w:sz w:val="20"/>
          <w:szCs w:val="20"/>
          <w:lang w:val="es-ES_tradnl"/>
        </w:rPr>
        <w:t>contencioso-</w:t>
      </w:r>
      <w:r w:rsidR="00CE1183" w:rsidRPr="00854B85">
        <w:rPr>
          <w:rFonts w:asciiTheme="majorHAnsi" w:hAnsiTheme="majorHAnsi"/>
          <w:sz w:val="20"/>
          <w:szCs w:val="20"/>
          <w:lang w:val="es-ES_tradnl"/>
        </w:rPr>
        <w:t xml:space="preserve">administrativo </w:t>
      </w:r>
      <w:r w:rsidR="00544634" w:rsidRPr="00854B85">
        <w:rPr>
          <w:rFonts w:asciiTheme="majorHAnsi" w:hAnsiTheme="majorHAnsi"/>
          <w:sz w:val="20"/>
          <w:szCs w:val="20"/>
          <w:lang w:val="es-ES_tradnl"/>
        </w:rPr>
        <w:t>iniciado en contra del Ministerio de Salud Pública</w:t>
      </w:r>
      <w:r w:rsidR="00CE1183" w:rsidRPr="00854B85">
        <w:rPr>
          <w:rFonts w:asciiTheme="majorHAnsi" w:hAnsiTheme="majorHAnsi"/>
          <w:sz w:val="20"/>
          <w:szCs w:val="20"/>
          <w:lang w:val="es-ES_tradnl"/>
        </w:rPr>
        <w:t>. El Estado ha indicado que la situación fue debidamente examinada por las autoridades judiciales domésticas</w:t>
      </w:r>
      <w:r w:rsidR="0019754D" w:rsidRPr="00854B85">
        <w:rPr>
          <w:rFonts w:asciiTheme="majorHAnsi" w:hAnsiTheme="majorHAnsi"/>
          <w:sz w:val="20"/>
          <w:szCs w:val="20"/>
          <w:lang w:val="es-ES_tradnl"/>
        </w:rPr>
        <w:t xml:space="preserve"> conforme a lo establecido en la normativa interna y que </w:t>
      </w:r>
      <w:r w:rsidR="00CE1183" w:rsidRPr="00854B85">
        <w:rPr>
          <w:rFonts w:asciiTheme="majorHAnsi" w:hAnsiTheme="majorHAnsi"/>
          <w:sz w:val="20"/>
          <w:szCs w:val="20"/>
          <w:lang w:val="es-ES_tradnl"/>
        </w:rPr>
        <w:t>no afectaron el derecho</w:t>
      </w:r>
      <w:r w:rsidR="0019754D" w:rsidRPr="00854B85">
        <w:rPr>
          <w:rFonts w:asciiTheme="majorHAnsi" w:hAnsiTheme="majorHAnsi"/>
          <w:sz w:val="20"/>
          <w:szCs w:val="20"/>
          <w:lang w:val="es-ES_tradnl"/>
        </w:rPr>
        <w:t xml:space="preserve"> </w:t>
      </w:r>
      <w:r w:rsidR="00CE1183" w:rsidRPr="00854B85">
        <w:rPr>
          <w:rFonts w:asciiTheme="majorHAnsi" w:hAnsiTheme="majorHAnsi"/>
          <w:sz w:val="20"/>
          <w:szCs w:val="20"/>
          <w:lang w:val="es-ES_tradnl"/>
        </w:rPr>
        <w:t>a la defensa</w:t>
      </w:r>
      <w:r w:rsidR="0019754D" w:rsidRPr="00854B85">
        <w:rPr>
          <w:rFonts w:asciiTheme="majorHAnsi" w:hAnsiTheme="majorHAnsi"/>
          <w:sz w:val="20"/>
          <w:szCs w:val="20"/>
          <w:lang w:val="es-ES_tradnl"/>
        </w:rPr>
        <w:t xml:space="preserve"> de los peticionarios</w:t>
      </w:r>
      <w:r w:rsidR="00CE1183" w:rsidRPr="00854B85">
        <w:rPr>
          <w:rFonts w:asciiTheme="majorHAnsi" w:hAnsiTheme="majorHAnsi"/>
          <w:sz w:val="20"/>
          <w:szCs w:val="20"/>
          <w:lang w:val="es-ES_tradnl"/>
        </w:rPr>
        <w:t xml:space="preserve">. </w:t>
      </w:r>
      <w:r w:rsidR="0019754D" w:rsidRPr="00854B85">
        <w:rPr>
          <w:rFonts w:asciiTheme="majorHAnsi" w:hAnsiTheme="majorHAnsi"/>
          <w:sz w:val="20"/>
          <w:szCs w:val="20"/>
          <w:lang w:val="es-ES_tradnl"/>
        </w:rPr>
        <w:t>Así, respecto a los puntos i), ii) y v) descritos en la sección anterior</w:t>
      </w:r>
      <w:r w:rsidR="00CE1183" w:rsidRPr="00854B85">
        <w:rPr>
          <w:rFonts w:asciiTheme="majorHAnsi" w:hAnsiTheme="majorHAnsi"/>
          <w:sz w:val="20"/>
          <w:szCs w:val="20"/>
          <w:lang w:val="es-ES_tradnl"/>
        </w:rPr>
        <w:t xml:space="preserve"> </w:t>
      </w:r>
      <w:r w:rsidR="0019754D" w:rsidRPr="00854B85">
        <w:rPr>
          <w:rFonts w:asciiTheme="majorHAnsi" w:hAnsiTheme="majorHAnsi"/>
          <w:sz w:val="20"/>
          <w:szCs w:val="20"/>
          <w:lang w:val="es-ES_tradnl"/>
        </w:rPr>
        <w:t xml:space="preserve">la Comisión observa que los </w:t>
      </w:r>
      <w:r w:rsidR="00CE1183" w:rsidRPr="00854B85">
        <w:rPr>
          <w:rFonts w:asciiTheme="majorHAnsi" w:hAnsiTheme="majorHAnsi"/>
          <w:sz w:val="20"/>
          <w:szCs w:val="20"/>
          <w:lang w:val="es-ES_tradnl"/>
        </w:rPr>
        <w:t>peticionari</w:t>
      </w:r>
      <w:r w:rsidR="0019754D" w:rsidRPr="00854B85">
        <w:rPr>
          <w:rFonts w:asciiTheme="majorHAnsi" w:hAnsiTheme="majorHAnsi"/>
          <w:sz w:val="20"/>
          <w:szCs w:val="20"/>
          <w:lang w:val="es-ES_tradnl"/>
        </w:rPr>
        <w:t xml:space="preserve">os </w:t>
      </w:r>
      <w:r w:rsidR="00CE1183" w:rsidRPr="00854B85">
        <w:rPr>
          <w:rFonts w:asciiTheme="majorHAnsi" w:hAnsiTheme="majorHAnsi"/>
          <w:sz w:val="20"/>
          <w:szCs w:val="20"/>
          <w:lang w:val="es-ES_tradnl"/>
        </w:rPr>
        <w:t>no ha</w:t>
      </w:r>
      <w:r w:rsidR="0019754D" w:rsidRPr="00854B85">
        <w:rPr>
          <w:rFonts w:asciiTheme="majorHAnsi" w:hAnsiTheme="majorHAnsi"/>
          <w:sz w:val="20"/>
          <w:szCs w:val="20"/>
          <w:lang w:val="es-ES_tradnl"/>
        </w:rPr>
        <w:t>n</w:t>
      </w:r>
      <w:r w:rsidR="00CE1183" w:rsidRPr="00854B85">
        <w:rPr>
          <w:rFonts w:asciiTheme="majorHAnsi" w:hAnsiTheme="majorHAnsi"/>
          <w:sz w:val="20"/>
          <w:szCs w:val="20"/>
          <w:lang w:val="es-ES_tradnl"/>
        </w:rPr>
        <w:t xml:space="preserve"> presentado elementos de hecho o de derecho que indicien que los procesos ante o la decisión de las autoridades judiciales doméstica</w:t>
      </w:r>
      <w:r w:rsidR="00E62D76" w:rsidRPr="00854B85">
        <w:rPr>
          <w:rFonts w:asciiTheme="majorHAnsi" w:hAnsiTheme="majorHAnsi"/>
          <w:sz w:val="20"/>
          <w:szCs w:val="20"/>
          <w:lang w:val="es-ES_tradnl"/>
        </w:rPr>
        <w:t>s</w:t>
      </w:r>
      <w:r w:rsidR="00CE1183" w:rsidRPr="00854B85">
        <w:rPr>
          <w:rFonts w:asciiTheme="majorHAnsi" w:hAnsiTheme="majorHAnsi"/>
          <w:sz w:val="20"/>
          <w:szCs w:val="20"/>
          <w:lang w:val="es-ES_tradnl"/>
        </w:rPr>
        <w:t xml:space="preserve"> adolezca</w:t>
      </w:r>
      <w:r w:rsidR="00E62D76" w:rsidRPr="00854B85">
        <w:rPr>
          <w:rFonts w:asciiTheme="majorHAnsi" w:hAnsiTheme="majorHAnsi"/>
          <w:sz w:val="20"/>
          <w:szCs w:val="20"/>
          <w:lang w:val="es-ES_tradnl"/>
        </w:rPr>
        <w:t>n</w:t>
      </w:r>
      <w:r w:rsidR="00CE1183" w:rsidRPr="00854B85">
        <w:rPr>
          <w:rFonts w:asciiTheme="majorHAnsi" w:hAnsiTheme="majorHAnsi"/>
          <w:sz w:val="20"/>
          <w:szCs w:val="20"/>
          <w:lang w:val="es-ES_tradnl"/>
        </w:rPr>
        <w:t xml:space="preserve"> de algún vicio que implique violación a la Convención Americana. </w:t>
      </w:r>
      <w:r w:rsidR="0099561F">
        <w:rPr>
          <w:rFonts w:asciiTheme="majorHAnsi" w:hAnsiTheme="majorHAnsi"/>
          <w:sz w:val="20"/>
          <w:szCs w:val="20"/>
          <w:lang w:val="es-ES_tradnl"/>
        </w:rPr>
        <w:t xml:space="preserve">En ese mismo sentido, respecto al alegato planteado por los peticionarios relativo a la falta de acceso a un recurso efectivo en razón de que el mismo Tribunal de lo Contencioso Administrativo haya conocido en una misma instancia el recurso de nulidad y el de revocación, la Comisión observa que este último recurso fue admitido a trámite, pero declarado sin lugar debido a que dicho tribunal no encontró elementos nuevos para determinar su estudio; sin embargo, la parte peticionaria tuvo la oportunidad en la vía interna de reclamar la negativa al recurso de </w:t>
      </w:r>
      <w:r w:rsidR="001D0955">
        <w:rPr>
          <w:rFonts w:asciiTheme="majorHAnsi" w:hAnsiTheme="majorHAnsi"/>
          <w:sz w:val="20"/>
          <w:szCs w:val="20"/>
          <w:lang w:val="es-ES_tradnl"/>
        </w:rPr>
        <w:t>nulidad</w:t>
      </w:r>
      <w:r w:rsidR="00D87D62">
        <w:rPr>
          <w:rFonts w:asciiTheme="majorHAnsi" w:hAnsiTheme="majorHAnsi"/>
          <w:sz w:val="20"/>
          <w:szCs w:val="20"/>
          <w:lang w:val="es-ES_tradnl"/>
        </w:rPr>
        <w:t>.</w:t>
      </w:r>
      <w:r w:rsidR="00E34F0A">
        <w:rPr>
          <w:rFonts w:asciiTheme="majorHAnsi" w:hAnsiTheme="majorHAnsi"/>
          <w:sz w:val="20"/>
          <w:szCs w:val="20"/>
          <w:lang w:val="es-ES_tradnl"/>
        </w:rPr>
        <w:t xml:space="preserve">      </w:t>
      </w:r>
    </w:p>
    <w:p w14:paraId="500CD416" w14:textId="0DC14DF2" w:rsidR="00CE1183" w:rsidRDefault="00E62D76"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Es por ello </w:t>
      </w:r>
      <w:proofErr w:type="gramStart"/>
      <w:r w:rsidR="00D531F6" w:rsidRPr="00854B85">
        <w:rPr>
          <w:rFonts w:asciiTheme="majorHAnsi" w:hAnsiTheme="majorHAnsi"/>
          <w:sz w:val="20"/>
          <w:szCs w:val="20"/>
          <w:lang w:val="es-ES_tradnl"/>
        </w:rPr>
        <w:t>que</w:t>
      </w:r>
      <w:proofErr w:type="gramEnd"/>
      <w:r w:rsidRPr="00854B85">
        <w:rPr>
          <w:rFonts w:asciiTheme="majorHAnsi" w:hAnsiTheme="majorHAnsi"/>
          <w:sz w:val="20"/>
          <w:szCs w:val="20"/>
          <w:lang w:val="es-ES_tradnl"/>
        </w:rPr>
        <w:t xml:space="preserve">, con fundamento en las consideraciones expuestas en la sección anterior referente a los puntos i), ii) y v), esta Comisión concluye que la petición no cumple con el requisito establecido en el artículo 47.b de la Convención Americana, puesto que no se advierten </w:t>
      </w:r>
      <w:r w:rsidRPr="00854B85">
        <w:rPr>
          <w:rFonts w:asciiTheme="majorHAnsi" w:hAnsiTheme="majorHAnsi"/>
          <w:i/>
          <w:iCs/>
          <w:sz w:val="20"/>
          <w:szCs w:val="20"/>
          <w:lang w:val="es-ES_tradnl"/>
        </w:rPr>
        <w:t>prima facie</w:t>
      </w:r>
      <w:r w:rsidRPr="00854B85">
        <w:rPr>
          <w:rFonts w:asciiTheme="majorHAnsi" w:hAnsiTheme="majorHAnsi"/>
          <w:sz w:val="20"/>
          <w:szCs w:val="20"/>
          <w:lang w:val="es-ES_tradnl"/>
        </w:rPr>
        <w:t xml:space="preserve"> hechos que pudiesen caracterizar violaciones a los derechos invocados por el peticionario.</w:t>
      </w:r>
    </w:p>
    <w:p w14:paraId="4BD80538" w14:textId="696DCE43" w:rsidR="00D53894" w:rsidRPr="00771DD1" w:rsidRDefault="00D53894" w:rsidP="00690416">
      <w:pPr>
        <w:pStyle w:val="ListParagraph"/>
        <w:numPr>
          <w:ilvl w:val="0"/>
          <w:numId w:val="55"/>
        </w:numPr>
        <w:tabs>
          <w:tab w:val="clear" w:pos="810"/>
        </w:tabs>
        <w:suppressAutoHyphens/>
        <w:spacing w:before="240" w:after="240"/>
        <w:ind w:firstLine="630"/>
        <w:jc w:val="both"/>
        <w:rPr>
          <w:rFonts w:asciiTheme="majorHAnsi" w:hAnsiTheme="majorHAnsi"/>
          <w:sz w:val="20"/>
          <w:szCs w:val="20"/>
          <w:lang w:val="es-ES_tradnl"/>
        </w:rPr>
      </w:pPr>
      <w:r>
        <w:rPr>
          <w:rFonts w:asciiTheme="majorHAnsi" w:hAnsiTheme="majorHAnsi"/>
          <w:sz w:val="20"/>
          <w:szCs w:val="20"/>
          <w:lang w:val="es-ES_tradnl"/>
        </w:rPr>
        <w:t>Por último, en</w:t>
      </w:r>
      <w:r w:rsidRPr="00854B85">
        <w:rPr>
          <w:rFonts w:asciiTheme="majorHAnsi" w:hAnsiTheme="majorHAnsi"/>
          <w:sz w:val="20"/>
          <w:szCs w:val="20"/>
          <w:lang w:val="es-ES_tradnl"/>
        </w:rPr>
        <w:t xml:space="preserve"> cuanto </w:t>
      </w:r>
      <w:r>
        <w:rPr>
          <w:rFonts w:asciiTheme="majorHAnsi" w:hAnsiTheme="majorHAnsi"/>
          <w:sz w:val="20"/>
          <w:szCs w:val="20"/>
          <w:lang w:val="es-ES_tradnl"/>
        </w:rPr>
        <w:t>a los</w:t>
      </w:r>
      <w:r w:rsidRPr="00854B85">
        <w:rPr>
          <w:rFonts w:asciiTheme="majorHAnsi" w:hAnsiTheme="majorHAnsi"/>
          <w:sz w:val="20"/>
          <w:szCs w:val="20"/>
          <w:lang w:val="es-ES_tradnl"/>
        </w:rPr>
        <w:t xml:space="preserve"> reclamo</w:t>
      </w:r>
      <w:r>
        <w:rPr>
          <w:rFonts w:asciiTheme="majorHAnsi" w:hAnsiTheme="majorHAnsi"/>
          <w:sz w:val="20"/>
          <w:szCs w:val="20"/>
          <w:lang w:val="es-ES_tradnl"/>
        </w:rPr>
        <w:t>s</w:t>
      </w:r>
      <w:r w:rsidRPr="00854B85">
        <w:rPr>
          <w:rFonts w:asciiTheme="majorHAnsi" w:hAnsiTheme="majorHAnsi"/>
          <w:sz w:val="20"/>
          <w:szCs w:val="20"/>
          <w:lang w:val="es-ES_tradnl"/>
        </w:rPr>
        <w:t xml:space="preserve"> sobre la presunta violación de los artículos 2 (deber de adoptar decisiones de derecho interno), </w:t>
      </w:r>
      <w:r w:rsidRPr="00854B85">
        <w:rPr>
          <w:bCs/>
          <w:sz w:val="20"/>
          <w:szCs w:val="20"/>
          <w:lang w:val="es-ES_tradnl"/>
        </w:rPr>
        <w:t>4 (vida), 5 (integridad personal), 7 (libertad personal), 9 (legalidad y retroactividad), 21 (propiedad privada), 24 (igualdad ante la ley), 26 (desarrollo progresivo), 29 (normas de interpretación), 30 (alcance de las restricciones) y 32 (deberes y derechos)</w:t>
      </w:r>
      <w:r w:rsidRPr="00854B85">
        <w:rPr>
          <w:rFonts w:asciiTheme="majorHAnsi" w:hAnsiTheme="majorHAnsi"/>
          <w:sz w:val="20"/>
          <w:szCs w:val="20"/>
          <w:lang w:val="es-ES_tradnl"/>
        </w:rPr>
        <w:t xml:space="preserve"> de la Convención Americana, la Comisión observa que </w:t>
      </w:r>
      <w:r>
        <w:rPr>
          <w:rFonts w:asciiTheme="majorHAnsi" w:hAnsiTheme="majorHAnsi"/>
          <w:sz w:val="20"/>
          <w:szCs w:val="20"/>
          <w:lang w:val="es-ES_tradnl"/>
        </w:rPr>
        <w:t>los</w:t>
      </w:r>
      <w:r w:rsidRPr="00854B85">
        <w:rPr>
          <w:rFonts w:asciiTheme="majorHAnsi" w:hAnsiTheme="majorHAnsi"/>
          <w:sz w:val="20"/>
          <w:szCs w:val="20"/>
          <w:lang w:val="es-ES_tradnl"/>
        </w:rPr>
        <w:t xml:space="preserve"> peticionario</w:t>
      </w:r>
      <w:r>
        <w:rPr>
          <w:rFonts w:asciiTheme="majorHAnsi" w:hAnsiTheme="majorHAnsi"/>
          <w:sz w:val="20"/>
          <w:szCs w:val="20"/>
          <w:lang w:val="es-ES_tradnl"/>
        </w:rPr>
        <w:t>s</w:t>
      </w:r>
      <w:r w:rsidRPr="00854B85">
        <w:rPr>
          <w:rFonts w:asciiTheme="majorHAnsi" w:hAnsiTheme="majorHAnsi"/>
          <w:sz w:val="20"/>
          <w:szCs w:val="20"/>
          <w:lang w:val="es-ES_tradnl"/>
        </w:rPr>
        <w:t xml:space="preserve"> no ha</w:t>
      </w:r>
      <w:r>
        <w:rPr>
          <w:rFonts w:asciiTheme="majorHAnsi" w:hAnsiTheme="majorHAnsi"/>
          <w:sz w:val="20"/>
          <w:szCs w:val="20"/>
          <w:lang w:val="es-ES_tradnl"/>
        </w:rPr>
        <w:t>n</w:t>
      </w:r>
      <w:r w:rsidRPr="00854B85">
        <w:rPr>
          <w:rFonts w:asciiTheme="majorHAnsi" w:hAnsiTheme="majorHAnsi"/>
          <w:sz w:val="20"/>
          <w:szCs w:val="20"/>
          <w:lang w:val="es-ES_tradnl"/>
        </w:rPr>
        <w:t xml:space="preserve"> ofrecido alegatos o sustento suficiente que permita considerar </w:t>
      </w:r>
      <w:r w:rsidRPr="00854B85">
        <w:rPr>
          <w:rFonts w:asciiTheme="majorHAnsi" w:hAnsiTheme="majorHAnsi"/>
          <w:i/>
          <w:iCs/>
          <w:sz w:val="20"/>
          <w:szCs w:val="20"/>
          <w:lang w:val="es-ES_tradnl"/>
        </w:rPr>
        <w:t>prima facie</w:t>
      </w:r>
      <w:r w:rsidRPr="00854B85">
        <w:rPr>
          <w:rFonts w:asciiTheme="majorHAnsi" w:hAnsiTheme="majorHAnsi"/>
          <w:sz w:val="20"/>
          <w:szCs w:val="20"/>
          <w:lang w:val="es-ES_tradnl"/>
        </w:rPr>
        <w:t xml:space="preserve"> su posible violación. </w:t>
      </w:r>
    </w:p>
    <w:p w14:paraId="495079CB" w14:textId="03F8FA43" w:rsidR="002274FD" w:rsidRPr="00854B85" w:rsidRDefault="006051FA" w:rsidP="00B7664A">
      <w:pPr>
        <w:tabs>
          <w:tab w:val="left" w:pos="1770"/>
        </w:tabs>
        <w:ind w:firstLine="720"/>
        <w:rPr>
          <w:rFonts w:asciiTheme="majorHAnsi" w:hAnsiTheme="majorHAnsi"/>
          <w:b/>
          <w:bCs/>
          <w:sz w:val="20"/>
          <w:szCs w:val="20"/>
          <w:lang w:val="es-ES_tradnl"/>
        </w:rPr>
      </w:pPr>
      <w:r w:rsidRPr="00854B85">
        <w:rPr>
          <w:rFonts w:asciiTheme="majorHAnsi" w:hAnsiTheme="majorHAnsi"/>
          <w:b/>
          <w:bCs/>
          <w:sz w:val="20"/>
          <w:szCs w:val="20"/>
          <w:lang w:val="es-ES_tradnl"/>
        </w:rPr>
        <w:t xml:space="preserve">VIII. </w:t>
      </w:r>
      <w:r w:rsidRPr="00854B85">
        <w:rPr>
          <w:rFonts w:asciiTheme="majorHAnsi" w:hAnsiTheme="majorHAnsi"/>
          <w:b/>
          <w:bCs/>
          <w:sz w:val="20"/>
          <w:szCs w:val="20"/>
          <w:lang w:val="es-ES_tradnl"/>
        </w:rPr>
        <w:tab/>
        <w:t>DECISIÓN</w:t>
      </w:r>
    </w:p>
    <w:p w14:paraId="31DC9E2A" w14:textId="39A98582" w:rsidR="003A4150" w:rsidRPr="00854B85" w:rsidRDefault="006051FA" w:rsidP="001D0955">
      <w:pPr>
        <w:pStyle w:val="ListParagraph"/>
        <w:numPr>
          <w:ilvl w:val="0"/>
          <w:numId w:val="62"/>
        </w:numPr>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Declarar admisible la presente petición en relación con los artí</w:t>
      </w:r>
      <w:r w:rsidR="00147F0C" w:rsidRPr="00854B85">
        <w:rPr>
          <w:rFonts w:asciiTheme="majorHAnsi" w:hAnsiTheme="majorHAnsi"/>
          <w:sz w:val="20"/>
          <w:szCs w:val="20"/>
          <w:lang w:val="es-ES_tradnl"/>
        </w:rPr>
        <w:t>culos 8,</w:t>
      </w:r>
      <w:r w:rsidR="005F4BA7" w:rsidRPr="00854B85">
        <w:rPr>
          <w:rFonts w:asciiTheme="majorHAnsi" w:hAnsiTheme="majorHAnsi"/>
          <w:sz w:val="20"/>
          <w:szCs w:val="20"/>
          <w:lang w:val="es-ES_tradnl"/>
        </w:rPr>
        <w:t xml:space="preserve"> 1</w:t>
      </w:r>
      <w:r w:rsidR="00854B85" w:rsidRPr="00854B85">
        <w:rPr>
          <w:rFonts w:asciiTheme="majorHAnsi" w:hAnsiTheme="majorHAnsi"/>
          <w:sz w:val="20"/>
          <w:szCs w:val="20"/>
          <w:lang w:val="es-ES_tradnl"/>
        </w:rPr>
        <w:t xml:space="preserve">3 </w:t>
      </w:r>
      <w:r w:rsidR="005F4BA7" w:rsidRPr="00854B85">
        <w:rPr>
          <w:rFonts w:asciiTheme="majorHAnsi" w:hAnsiTheme="majorHAnsi"/>
          <w:sz w:val="20"/>
          <w:szCs w:val="20"/>
          <w:lang w:val="es-ES_tradnl"/>
        </w:rPr>
        <w:t>y 2</w:t>
      </w:r>
      <w:r w:rsidR="00854B85" w:rsidRPr="00854B85">
        <w:rPr>
          <w:rFonts w:asciiTheme="majorHAnsi" w:hAnsiTheme="majorHAnsi"/>
          <w:sz w:val="20"/>
          <w:szCs w:val="20"/>
          <w:lang w:val="es-ES_tradnl"/>
        </w:rPr>
        <w:t>5</w:t>
      </w:r>
      <w:r w:rsidR="002266E9" w:rsidRPr="00854B85">
        <w:rPr>
          <w:rFonts w:asciiTheme="majorHAnsi" w:hAnsiTheme="majorHAnsi"/>
          <w:sz w:val="20"/>
          <w:szCs w:val="20"/>
          <w:lang w:val="es-ES_tradnl"/>
        </w:rPr>
        <w:t xml:space="preserve"> </w:t>
      </w:r>
      <w:r w:rsidRPr="00854B85">
        <w:rPr>
          <w:rFonts w:asciiTheme="majorHAnsi" w:hAnsiTheme="majorHAnsi"/>
          <w:sz w:val="20"/>
          <w:szCs w:val="20"/>
          <w:lang w:val="es-ES_tradnl"/>
        </w:rPr>
        <w:t>de la Convención Americana</w:t>
      </w:r>
      <w:r w:rsidR="005F4BA7" w:rsidRPr="00854B85">
        <w:rPr>
          <w:rFonts w:asciiTheme="majorHAnsi" w:hAnsiTheme="majorHAnsi"/>
          <w:sz w:val="20"/>
          <w:szCs w:val="20"/>
          <w:lang w:val="es-ES_tradnl"/>
        </w:rPr>
        <w:t xml:space="preserve"> en </w:t>
      </w:r>
      <w:r w:rsidR="00127A49" w:rsidRPr="00854B85">
        <w:rPr>
          <w:rFonts w:asciiTheme="majorHAnsi" w:hAnsiTheme="majorHAnsi"/>
          <w:sz w:val="20"/>
          <w:szCs w:val="20"/>
          <w:lang w:val="es-ES_tradnl"/>
        </w:rPr>
        <w:t>concordancia</w:t>
      </w:r>
      <w:r w:rsidR="005F4BA7" w:rsidRPr="00854B85">
        <w:rPr>
          <w:rFonts w:asciiTheme="majorHAnsi" w:hAnsiTheme="majorHAnsi"/>
          <w:sz w:val="20"/>
          <w:szCs w:val="20"/>
          <w:lang w:val="es-ES_tradnl"/>
        </w:rPr>
        <w:t xml:space="preserve"> con su artículo 1.1</w:t>
      </w:r>
      <w:r w:rsidR="00854B85" w:rsidRPr="00854B85">
        <w:rPr>
          <w:rFonts w:asciiTheme="majorHAnsi" w:hAnsiTheme="majorHAnsi"/>
          <w:sz w:val="20"/>
          <w:szCs w:val="20"/>
          <w:lang w:val="es-ES_tradnl"/>
        </w:rPr>
        <w:t>;</w:t>
      </w:r>
    </w:p>
    <w:p w14:paraId="1DF0BF37" w14:textId="6D4952A0" w:rsidR="003A4150" w:rsidRPr="00854B85" w:rsidRDefault="005F4BA7" w:rsidP="001D0955">
      <w:pPr>
        <w:pStyle w:val="ListParagraph"/>
        <w:numPr>
          <w:ilvl w:val="0"/>
          <w:numId w:val="62"/>
        </w:numPr>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Declarar inadmisible la presente petición en relación con los artículos </w:t>
      </w:r>
      <w:r w:rsidR="00854B85" w:rsidRPr="00854B85">
        <w:rPr>
          <w:rFonts w:asciiTheme="majorHAnsi" w:hAnsiTheme="majorHAnsi"/>
          <w:sz w:val="20"/>
          <w:szCs w:val="20"/>
          <w:lang w:val="es-ES_tradnl"/>
        </w:rPr>
        <w:t>2, 4, 5, 7, 9, 21, 24, 26, 29, 30 y 32 de la Convención Americana</w:t>
      </w:r>
      <w:r w:rsidR="001D0955">
        <w:rPr>
          <w:rFonts w:asciiTheme="majorHAnsi" w:hAnsiTheme="majorHAnsi"/>
          <w:sz w:val="20"/>
          <w:szCs w:val="20"/>
          <w:lang w:val="es-ES_tradnl"/>
        </w:rPr>
        <w:t>, y;</w:t>
      </w:r>
    </w:p>
    <w:p w14:paraId="110C1973" w14:textId="13EDF61F" w:rsidR="002434FD" w:rsidRDefault="006051FA" w:rsidP="001D0955">
      <w:pPr>
        <w:pStyle w:val="ListParagraph"/>
        <w:numPr>
          <w:ilvl w:val="0"/>
          <w:numId w:val="62"/>
        </w:numPr>
        <w:suppressAutoHyphens/>
        <w:spacing w:before="240" w:after="240"/>
        <w:ind w:firstLine="630"/>
        <w:jc w:val="both"/>
        <w:rPr>
          <w:rFonts w:asciiTheme="majorHAnsi" w:hAnsiTheme="majorHAnsi"/>
          <w:sz w:val="20"/>
          <w:szCs w:val="20"/>
          <w:lang w:val="es-ES_tradnl"/>
        </w:rPr>
      </w:pPr>
      <w:r w:rsidRPr="00854B85">
        <w:rPr>
          <w:rFonts w:asciiTheme="majorHAnsi" w:hAnsiTheme="majorHAnsi"/>
          <w:sz w:val="20"/>
          <w:szCs w:val="20"/>
          <w:lang w:val="es-ES_tradnl"/>
        </w:rPr>
        <w:t xml:space="preserve">Notificar a las partes la presente decisión; </w:t>
      </w:r>
      <w:r w:rsidR="0072315C" w:rsidRPr="00854B85">
        <w:rPr>
          <w:rFonts w:asciiTheme="majorHAnsi" w:hAnsiTheme="majorHAnsi"/>
          <w:sz w:val="20"/>
          <w:szCs w:val="20"/>
          <w:lang w:val="es-ES_tradnl"/>
        </w:rPr>
        <w:t>proceder</w:t>
      </w:r>
      <w:r w:rsidRPr="00854B85">
        <w:rPr>
          <w:rFonts w:asciiTheme="majorHAnsi" w:hAnsiTheme="majorHAnsi"/>
          <w:sz w:val="20"/>
          <w:szCs w:val="20"/>
          <w:lang w:val="es-ES_tradnl"/>
        </w:rPr>
        <w:t xml:space="preserve"> con el análisis del fondo de la cuestión; y publicar esta decisión e incluirla en su Informe Anual a la Asamblea General de la Organización de los Estados Americanos. </w:t>
      </w:r>
    </w:p>
    <w:p w14:paraId="528AE35F" w14:textId="122C3EF1" w:rsidR="001D0955" w:rsidRPr="00A37B82" w:rsidRDefault="001D0955" w:rsidP="001D0955">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(en disidencia)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sectPr w:rsidR="001D0955" w:rsidRPr="00A37B82" w:rsidSect="002E5E0C">
      <w:type w:val="oddPage"/>
      <w:pgSz w:w="12240" w:h="15840"/>
      <w:pgMar w:top="1440" w:right="1440" w:bottom="1053"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3524" w14:textId="77777777" w:rsidR="00E20CAD" w:rsidRDefault="00E20CAD">
      <w:r>
        <w:separator/>
      </w:r>
    </w:p>
  </w:endnote>
  <w:endnote w:type="continuationSeparator" w:id="0">
    <w:p w14:paraId="663762EE" w14:textId="77777777" w:rsidR="00E20CAD" w:rsidRDefault="00E2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A4F39D0" w14:textId="292FC006" w:rsidR="007B432F" w:rsidRPr="00D83678" w:rsidRDefault="007B432F" w:rsidP="00D8367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60224">
          <w:rPr>
            <w:noProof/>
            <w:sz w:val="16"/>
            <w:szCs w:val="22"/>
          </w:rPr>
          <w:t>8</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24E2" w14:textId="77777777" w:rsidR="007B432F" w:rsidRPr="00934A2C" w:rsidRDefault="007B432F">
    <w:pPr>
      <w:pStyle w:val="Footer"/>
      <w:jc w:val="center"/>
      <w:rPr>
        <w:sz w:val="16"/>
        <w:szCs w:val="22"/>
      </w:rPr>
    </w:pPr>
  </w:p>
  <w:p w14:paraId="4169B2EA" w14:textId="77777777" w:rsidR="007B432F" w:rsidRDefault="007B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EB61" w14:textId="77777777" w:rsidR="00E20CAD" w:rsidRPr="000F35ED" w:rsidRDefault="00E20CA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A89A9B" w14:textId="77777777" w:rsidR="00E20CAD" w:rsidRPr="000F35ED" w:rsidRDefault="00E20CAD" w:rsidP="000F35ED">
      <w:pPr>
        <w:rPr>
          <w:rFonts w:asciiTheme="majorHAnsi" w:hAnsiTheme="majorHAnsi"/>
          <w:sz w:val="16"/>
          <w:szCs w:val="16"/>
        </w:rPr>
      </w:pPr>
      <w:r w:rsidRPr="000F35ED">
        <w:rPr>
          <w:rFonts w:asciiTheme="majorHAnsi" w:hAnsiTheme="majorHAnsi"/>
          <w:sz w:val="16"/>
          <w:szCs w:val="16"/>
        </w:rPr>
        <w:separator/>
      </w:r>
    </w:p>
    <w:p w14:paraId="723FF16D" w14:textId="77777777" w:rsidR="00E20CAD" w:rsidRPr="000F35ED" w:rsidRDefault="00E20CAD"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7F00FFC" w14:textId="77777777" w:rsidR="00E20CAD" w:rsidRPr="000F35ED" w:rsidRDefault="00E20CAD"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6FFE0F31" w14:textId="52ADDBF0" w:rsidR="007B432F" w:rsidRPr="00F46E7D" w:rsidRDefault="007B432F" w:rsidP="002434FD">
      <w:pPr>
        <w:pStyle w:val="FootnoteText"/>
        <w:ind w:firstLine="720"/>
        <w:jc w:val="both"/>
        <w:rPr>
          <w:rFonts w:asciiTheme="majorHAnsi" w:hAnsiTheme="majorHAnsi"/>
          <w:sz w:val="16"/>
          <w:szCs w:val="16"/>
          <w:lang w:val="es-ES"/>
        </w:rPr>
      </w:pPr>
      <w:r w:rsidRPr="00F46E7D">
        <w:rPr>
          <w:rStyle w:val="FootnoteReference"/>
          <w:rFonts w:asciiTheme="majorHAnsi" w:hAnsiTheme="majorHAnsi"/>
          <w:sz w:val="16"/>
          <w:szCs w:val="16"/>
          <w:lang w:val="es-ES"/>
        </w:rPr>
        <w:footnoteRef/>
      </w:r>
      <w:r w:rsidRPr="00F46E7D">
        <w:rPr>
          <w:rFonts w:asciiTheme="majorHAnsi" w:hAnsiTheme="majorHAnsi"/>
          <w:sz w:val="16"/>
          <w:szCs w:val="16"/>
          <w:lang w:val="es-ES"/>
        </w:rPr>
        <w:t xml:space="preserve"> E</w:t>
      </w:r>
      <w:r w:rsidR="0072315C">
        <w:rPr>
          <w:rFonts w:asciiTheme="majorHAnsi" w:hAnsiTheme="majorHAnsi"/>
          <w:sz w:val="16"/>
          <w:szCs w:val="16"/>
          <w:lang w:val="es-ES"/>
        </w:rPr>
        <w:t>n</w:t>
      </w:r>
      <w:r w:rsidRPr="00F46E7D">
        <w:rPr>
          <w:rFonts w:asciiTheme="majorHAnsi" w:hAnsiTheme="majorHAnsi"/>
          <w:sz w:val="16"/>
          <w:szCs w:val="16"/>
          <w:lang w:val="es-ES"/>
        </w:rPr>
        <w:t xml:space="preserve"> adelante “la Convención Americana” o “la Convención”.</w:t>
      </w:r>
    </w:p>
  </w:footnote>
  <w:footnote w:id="3">
    <w:p w14:paraId="0099B67A" w14:textId="48D068FD" w:rsidR="007B432F" w:rsidRPr="00F46E7D" w:rsidRDefault="007B432F" w:rsidP="002434FD">
      <w:pPr>
        <w:pStyle w:val="FootnoteText"/>
        <w:ind w:firstLine="720"/>
        <w:jc w:val="both"/>
        <w:rPr>
          <w:rFonts w:asciiTheme="majorHAnsi" w:hAnsiTheme="majorHAnsi"/>
          <w:sz w:val="16"/>
          <w:szCs w:val="16"/>
          <w:lang w:val="es-ES"/>
        </w:rPr>
      </w:pPr>
      <w:r w:rsidRPr="00F46E7D">
        <w:rPr>
          <w:rStyle w:val="FootnoteReference"/>
          <w:rFonts w:asciiTheme="majorHAnsi" w:hAnsiTheme="majorHAnsi"/>
          <w:sz w:val="16"/>
          <w:szCs w:val="16"/>
          <w:lang w:val="es-ES"/>
        </w:rPr>
        <w:footnoteRef/>
      </w:r>
      <w:r w:rsidRPr="00F46E7D">
        <w:rPr>
          <w:rFonts w:asciiTheme="majorHAnsi" w:hAnsiTheme="majorHAnsi"/>
          <w:sz w:val="16"/>
          <w:szCs w:val="16"/>
          <w:lang w:val="es-ES"/>
        </w:rPr>
        <w:t xml:space="preserve"> Las observaciones de cada parte fueron debidamente trasladadas a la parte contraria.</w:t>
      </w:r>
      <w:r w:rsidR="002E5E0C">
        <w:rPr>
          <w:rFonts w:asciiTheme="majorHAnsi" w:hAnsiTheme="majorHAnsi"/>
          <w:sz w:val="16"/>
          <w:szCs w:val="16"/>
          <w:lang w:val="es-ES"/>
        </w:rPr>
        <w:t xml:space="preserve"> El 2 de noviembre de 2016, los peticionarios manifestaron su interés en </w:t>
      </w:r>
      <w:r w:rsidR="00F20F9E">
        <w:rPr>
          <w:rFonts w:asciiTheme="majorHAnsi" w:hAnsiTheme="majorHAnsi"/>
          <w:sz w:val="16"/>
          <w:szCs w:val="16"/>
          <w:lang w:val="es-ES"/>
        </w:rPr>
        <w:t xml:space="preserve">el trámite de </w:t>
      </w:r>
      <w:r w:rsidR="002E5E0C">
        <w:rPr>
          <w:rFonts w:asciiTheme="majorHAnsi" w:hAnsiTheme="majorHAnsi"/>
          <w:sz w:val="16"/>
          <w:szCs w:val="16"/>
          <w:lang w:val="es-ES"/>
        </w:rPr>
        <w:t>la petición</w:t>
      </w:r>
      <w:r w:rsidR="00F20F9E">
        <w:rPr>
          <w:rFonts w:asciiTheme="majorHAnsi" w:hAnsiTheme="majorHAnsi"/>
          <w:sz w:val="16"/>
          <w:szCs w:val="16"/>
          <w:lang w:val="es-ES"/>
        </w:rPr>
        <w:t>.</w:t>
      </w:r>
    </w:p>
  </w:footnote>
  <w:footnote w:id="4">
    <w:p w14:paraId="452CF491" w14:textId="777B8E12" w:rsidR="00785DBA" w:rsidRPr="00785DBA" w:rsidRDefault="00785DBA" w:rsidP="00785DBA">
      <w:pPr>
        <w:pStyle w:val="FootnoteText"/>
        <w:ind w:firstLine="720"/>
        <w:jc w:val="both"/>
        <w:rPr>
          <w:rFonts w:asciiTheme="majorHAnsi" w:hAnsiTheme="majorHAnsi"/>
          <w:sz w:val="16"/>
          <w:szCs w:val="16"/>
          <w:lang w:val="es-CO"/>
        </w:rPr>
      </w:pPr>
      <w:r w:rsidRPr="00785DBA">
        <w:rPr>
          <w:rFonts w:asciiTheme="majorHAnsi" w:hAnsiTheme="majorHAnsi"/>
          <w:sz w:val="16"/>
          <w:szCs w:val="16"/>
          <w:vertAlign w:val="superscript"/>
          <w:lang w:val="es-CO"/>
        </w:rPr>
        <w:footnoteRef/>
      </w:r>
      <w:r w:rsidRPr="00785DBA">
        <w:rPr>
          <w:rFonts w:asciiTheme="majorHAnsi" w:hAnsiTheme="majorHAnsi"/>
          <w:sz w:val="16"/>
          <w:szCs w:val="16"/>
          <w:lang w:val="es-CO"/>
        </w:rPr>
        <w:t xml:space="preserve"> CIDH, Informe No. 35/16, Petición 4480-02. Admisibilidad. Carlos Manuel Veraza Urtusuástegui. México. 29 de julio de 2016, párr. 33; Informe No. 4/15, Petición582-01. Admisibilidad. Raúl Rolando Romero Feris. Argentina. 29 de enero de 2015, párr. 40; Informe No. 15/15, Petición 374-05. Admisibilidad. Trabajadores del Sindicato de Trabajadores de la Federación Nacional de Cafeteros de Colombia. Colombia. 24 de marzo de 2015, párr. 39; Informe No. 4/19. Petición 673-11. Admisibilidad. Fernando Alcântara de Figueiredo y Laci Marinho de Araújo. Brasil. 3 de enero de 2019, párr. 2</w:t>
      </w:r>
      <w:r>
        <w:rPr>
          <w:rFonts w:asciiTheme="majorHAnsi" w:hAnsiTheme="majorHAnsi"/>
          <w:sz w:val="16"/>
          <w:szCs w:val="16"/>
          <w:lang w:val="es-CO"/>
        </w:rPr>
        <w:t>1</w:t>
      </w:r>
    </w:p>
  </w:footnote>
  <w:footnote w:id="5">
    <w:p w14:paraId="30D1709E" w14:textId="77777777" w:rsidR="005C2CBA" w:rsidRPr="00FF2352" w:rsidRDefault="005C2CBA" w:rsidP="005C2CBA">
      <w:pPr>
        <w:pStyle w:val="FootnoteText"/>
        <w:ind w:firstLine="720"/>
        <w:jc w:val="both"/>
        <w:rPr>
          <w:rFonts w:asciiTheme="majorHAnsi" w:hAnsiTheme="majorHAnsi"/>
          <w:sz w:val="16"/>
          <w:szCs w:val="16"/>
          <w:lang w:val="es-ES"/>
        </w:rPr>
      </w:pPr>
      <w:r w:rsidRPr="00FF2352">
        <w:rPr>
          <w:rStyle w:val="FootnoteReference"/>
          <w:rFonts w:asciiTheme="majorHAnsi" w:hAnsiTheme="majorHAnsi"/>
          <w:sz w:val="16"/>
          <w:szCs w:val="16"/>
        </w:rPr>
        <w:footnoteRef/>
      </w:r>
      <w:r w:rsidRPr="00FF2352">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F43D" w14:textId="77777777" w:rsidR="007B432F" w:rsidRDefault="007B432F" w:rsidP="007B432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8A29244" w14:textId="77777777" w:rsidR="007B432F" w:rsidRDefault="007B4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E1D5" w14:textId="77777777" w:rsidR="007B432F" w:rsidRDefault="007B432F" w:rsidP="00A50FCF">
    <w:pPr>
      <w:pStyle w:val="Header"/>
      <w:tabs>
        <w:tab w:val="clear" w:pos="4320"/>
        <w:tab w:val="clear" w:pos="8640"/>
      </w:tabs>
      <w:jc w:val="center"/>
      <w:rPr>
        <w:sz w:val="22"/>
        <w:szCs w:val="22"/>
      </w:rPr>
    </w:pPr>
    <w:r>
      <w:rPr>
        <w:noProof/>
        <w:sz w:val="22"/>
        <w:szCs w:val="22"/>
      </w:rPr>
      <w:drawing>
        <wp:inline distT="0" distB="0" distL="0" distR="0" wp14:anchorId="5AA4DB95" wp14:editId="0188C83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1509B05" w14:textId="77777777" w:rsidR="007B432F" w:rsidRPr="00EC7D62" w:rsidRDefault="00E20CAD" w:rsidP="00A50FCF">
    <w:pPr>
      <w:pStyle w:val="Header"/>
      <w:tabs>
        <w:tab w:val="clear" w:pos="4320"/>
        <w:tab w:val="clear" w:pos="8640"/>
      </w:tabs>
      <w:jc w:val="center"/>
      <w:rPr>
        <w:sz w:val="22"/>
        <w:szCs w:val="22"/>
      </w:rPr>
    </w:pPr>
    <w:r>
      <w:rPr>
        <w:noProof/>
        <w:sz w:val="22"/>
        <w:szCs w:val="22"/>
        <w:bdr w:val="nil"/>
      </w:rPr>
      <w:pict w14:anchorId="7611BCA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5A283F"/>
    <w:multiLevelType w:val="hybridMultilevel"/>
    <w:tmpl w:val="C34CE760"/>
    <w:lvl w:ilvl="0" w:tplc="E7868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D7427EEA"/>
    <w:lvl w:ilvl="0" w:tplc="70FE5858">
      <w:start w:val="1"/>
      <w:numFmt w:val="decimal"/>
      <w:lvlText w:val="%1."/>
      <w:lvlJc w:val="left"/>
      <w:pPr>
        <w:tabs>
          <w:tab w:val="num" w:pos="810"/>
        </w:tabs>
        <w:ind w:left="9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515465"/>
    <w:multiLevelType w:val="hybridMultilevel"/>
    <w:tmpl w:val="D7427EEA"/>
    <w:lvl w:ilvl="0" w:tplc="FFFFFFFF">
      <w:start w:val="1"/>
      <w:numFmt w:val="decimal"/>
      <w:lvlText w:val="%1."/>
      <w:lvlJc w:val="left"/>
      <w:pPr>
        <w:tabs>
          <w:tab w:val="num" w:pos="810"/>
        </w:tabs>
        <w:ind w:left="90" w:firstLine="72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D87C8B"/>
    <w:multiLevelType w:val="hybridMultilevel"/>
    <w:tmpl w:val="C3D65CA4"/>
    <w:lvl w:ilvl="0" w:tplc="D474ED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F033F96"/>
    <w:multiLevelType w:val="hybridMultilevel"/>
    <w:tmpl w:val="309886BC"/>
    <w:lvl w:ilvl="0" w:tplc="FFFFFFFF">
      <w:start w:val="1"/>
      <w:numFmt w:val="decimal"/>
      <w:lvlText w:val="%1."/>
      <w:lvlJc w:val="left"/>
      <w:pPr>
        <w:tabs>
          <w:tab w:val="num" w:pos="810"/>
        </w:tabs>
        <w:ind w:left="90" w:firstLine="72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DD963BC"/>
    <w:multiLevelType w:val="hybridMultilevel"/>
    <w:tmpl w:val="309886BC"/>
    <w:lvl w:ilvl="0" w:tplc="FFFFFFFF">
      <w:start w:val="1"/>
      <w:numFmt w:val="decimal"/>
      <w:lvlText w:val="%1."/>
      <w:lvlJc w:val="left"/>
      <w:pPr>
        <w:tabs>
          <w:tab w:val="num" w:pos="810"/>
        </w:tabs>
        <w:ind w:left="90" w:firstLine="72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456901"/>
    <w:multiLevelType w:val="hybridMultilevel"/>
    <w:tmpl w:val="309886BC"/>
    <w:lvl w:ilvl="0" w:tplc="FFFFFFFF">
      <w:start w:val="1"/>
      <w:numFmt w:val="decimal"/>
      <w:lvlText w:val="%1."/>
      <w:lvlJc w:val="left"/>
      <w:pPr>
        <w:tabs>
          <w:tab w:val="num" w:pos="810"/>
        </w:tabs>
        <w:ind w:left="90" w:firstLine="72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6"/>
  </w:num>
  <w:num w:numId="4">
    <w:abstractNumId w:val="24"/>
  </w:num>
  <w:num w:numId="5">
    <w:abstractNumId w:val="48"/>
  </w:num>
  <w:num w:numId="6">
    <w:abstractNumId w:val="29"/>
  </w:num>
  <w:num w:numId="7">
    <w:abstractNumId w:val="7"/>
  </w:num>
  <w:num w:numId="8">
    <w:abstractNumId w:val="19"/>
  </w:num>
  <w:num w:numId="9">
    <w:abstractNumId w:val="39"/>
  </w:num>
  <w:num w:numId="10">
    <w:abstractNumId w:val="43"/>
  </w:num>
  <w:num w:numId="11">
    <w:abstractNumId w:val="0"/>
  </w:num>
  <w:num w:numId="12">
    <w:abstractNumId w:val="38"/>
  </w:num>
  <w:num w:numId="13">
    <w:abstractNumId w:val="44"/>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20"/>
  </w:num>
  <w:num w:numId="26">
    <w:abstractNumId w:val="21"/>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6"/>
  </w:num>
  <w:num w:numId="42">
    <w:abstractNumId w:val="49"/>
  </w:num>
  <w:num w:numId="43">
    <w:abstractNumId w:val="51"/>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3"/>
  </w:num>
  <w:num w:numId="52">
    <w:abstractNumId w:val="42"/>
  </w:num>
  <w:num w:numId="53">
    <w:abstractNumId w:val="52"/>
  </w:num>
  <w:num w:numId="54">
    <w:abstractNumId w:val="45"/>
  </w:num>
  <w:num w:numId="55">
    <w:abstractNumId w:val="5"/>
  </w:num>
  <w:num w:numId="56">
    <w:abstractNumId w:val="53"/>
  </w:num>
  <w:num w:numId="57">
    <w:abstractNumId w:val="47"/>
  </w:num>
  <w:num w:numId="58">
    <w:abstractNumId w:val="2"/>
  </w:num>
  <w:num w:numId="59">
    <w:abstractNumId w:val="18"/>
  </w:num>
  <w:num w:numId="60">
    <w:abstractNumId w:val="22"/>
  </w:num>
  <w:num w:numId="61">
    <w:abstractNumId w:val="50"/>
  </w:num>
  <w:num w:numId="62">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A2MrW0sDA2MDUxtDRU0lEKTi0uzszPAykwqgUAnA9ZqCwAAAA="/>
  </w:docVars>
  <w:rsids>
    <w:rsidRoot w:val="006B2D5C"/>
    <w:rsid w:val="0000036F"/>
    <w:rsid w:val="00000CDA"/>
    <w:rsid w:val="00005B83"/>
    <w:rsid w:val="00006E1F"/>
    <w:rsid w:val="000070D7"/>
    <w:rsid w:val="000109B8"/>
    <w:rsid w:val="00010CBA"/>
    <w:rsid w:val="00015AA2"/>
    <w:rsid w:val="0001788C"/>
    <w:rsid w:val="00020D2E"/>
    <w:rsid w:val="000217D0"/>
    <w:rsid w:val="000242EB"/>
    <w:rsid w:val="00024EB6"/>
    <w:rsid w:val="000252A6"/>
    <w:rsid w:val="00025880"/>
    <w:rsid w:val="0002692C"/>
    <w:rsid w:val="00026F52"/>
    <w:rsid w:val="00033703"/>
    <w:rsid w:val="000337EF"/>
    <w:rsid w:val="00033BFD"/>
    <w:rsid w:val="00037601"/>
    <w:rsid w:val="00040C3A"/>
    <w:rsid w:val="00040D5B"/>
    <w:rsid w:val="000419AD"/>
    <w:rsid w:val="0004274F"/>
    <w:rsid w:val="000430E9"/>
    <w:rsid w:val="000433C9"/>
    <w:rsid w:val="000507A5"/>
    <w:rsid w:val="00062DC3"/>
    <w:rsid w:val="000656AB"/>
    <w:rsid w:val="000668A3"/>
    <w:rsid w:val="00067448"/>
    <w:rsid w:val="00067D40"/>
    <w:rsid w:val="000702B8"/>
    <w:rsid w:val="000716C5"/>
    <w:rsid w:val="000726C0"/>
    <w:rsid w:val="00072B18"/>
    <w:rsid w:val="00074640"/>
    <w:rsid w:val="00075E23"/>
    <w:rsid w:val="00077DD7"/>
    <w:rsid w:val="00080029"/>
    <w:rsid w:val="000817A7"/>
    <w:rsid w:val="000822BC"/>
    <w:rsid w:val="0009344A"/>
    <w:rsid w:val="000945B4"/>
    <w:rsid w:val="00094F2C"/>
    <w:rsid w:val="00096C18"/>
    <w:rsid w:val="000A392E"/>
    <w:rsid w:val="000A575F"/>
    <w:rsid w:val="000A7EB0"/>
    <w:rsid w:val="000B3B14"/>
    <w:rsid w:val="000C1018"/>
    <w:rsid w:val="000C3683"/>
    <w:rsid w:val="000C3823"/>
    <w:rsid w:val="000C3B4B"/>
    <w:rsid w:val="000C4C0E"/>
    <w:rsid w:val="000D10DB"/>
    <w:rsid w:val="000D4A50"/>
    <w:rsid w:val="000D4D9E"/>
    <w:rsid w:val="000D5FC8"/>
    <w:rsid w:val="000D7384"/>
    <w:rsid w:val="000E290C"/>
    <w:rsid w:val="000E41D0"/>
    <w:rsid w:val="000E5EB5"/>
    <w:rsid w:val="000E6070"/>
    <w:rsid w:val="000F35ED"/>
    <w:rsid w:val="000F4208"/>
    <w:rsid w:val="000F4F1D"/>
    <w:rsid w:val="000F5700"/>
    <w:rsid w:val="001016E2"/>
    <w:rsid w:val="001035DC"/>
    <w:rsid w:val="00104EE5"/>
    <w:rsid w:val="00106F5E"/>
    <w:rsid w:val="00107131"/>
    <w:rsid w:val="0010736F"/>
    <w:rsid w:val="0011089C"/>
    <w:rsid w:val="00113F73"/>
    <w:rsid w:val="00115429"/>
    <w:rsid w:val="00121CC2"/>
    <w:rsid w:val="00127A49"/>
    <w:rsid w:val="00130B74"/>
    <w:rsid w:val="00132227"/>
    <w:rsid w:val="00133EE5"/>
    <w:rsid w:val="00134C8F"/>
    <w:rsid w:val="001353D0"/>
    <w:rsid w:val="0014307E"/>
    <w:rsid w:val="0014375C"/>
    <w:rsid w:val="00143A9E"/>
    <w:rsid w:val="001448B2"/>
    <w:rsid w:val="00147F0C"/>
    <w:rsid w:val="00152D17"/>
    <w:rsid w:val="0015374A"/>
    <w:rsid w:val="00165311"/>
    <w:rsid w:val="00165AA7"/>
    <w:rsid w:val="00167A34"/>
    <w:rsid w:val="00174EAD"/>
    <w:rsid w:val="00177551"/>
    <w:rsid w:val="001811C0"/>
    <w:rsid w:val="001813BD"/>
    <w:rsid w:val="00183321"/>
    <w:rsid w:val="00186CC5"/>
    <w:rsid w:val="001874F6"/>
    <w:rsid w:val="0019754D"/>
    <w:rsid w:val="001A07F4"/>
    <w:rsid w:val="001A4F9D"/>
    <w:rsid w:val="001A7194"/>
    <w:rsid w:val="001A7870"/>
    <w:rsid w:val="001B3A00"/>
    <w:rsid w:val="001B6187"/>
    <w:rsid w:val="001C012A"/>
    <w:rsid w:val="001C0C88"/>
    <w:rsid w:val="001C15BF"/>
    <w:rsid w:val="001C1B41"/>
    <w:rsid w:val="001C3BDF"/>
    <w:rsid w:val="001C5327"/>
    <w:rsid w:val="001D0955"/>
    <w:rsid w:val="001D14C6"/>
    <w:rsid w:val="001D389B"/>
    <w:rsid w:val="001D5096"/>
    <w:rsid w:val="001D65EF"/>
    <w:rsid w:val="001D7D40"/>
    <w:rsid w:val="001D7F08"/>
    <w:rsid w:val="001E32CC"/>
    <w:rsid w:val="001E49E7"/>
    <w:rsid w:val="001E716F"/>
    <w:rsid w:val="001F3F5E"/>
    <w:rsid w:val="001F7201"/>
    <w:rsid w:val="00201903"/>
    <w:rsid w:val="00205BBD"/>
    <w:rsid w:val="00205E91"/>
    <w:rsid w:val="002069E9"/>
    <w:rsid w:val="00210596"/>
    <w:rsid w:val="0021302F"/>
    <w:rsid w:val="00213BA1"/>
    <w:rsid w:val="0021449E"/>
    <w:rsid w:val="00215FA8"/>
    <w:rsid w:val="00217F25"/>
    <w:rsid w:val="0022254D"/>
    <w:rsid w:val="00222DDF"/>
    <w:rsid w:val="00223329"/>
    <w:rsid w:val="00223A29"/>
    <w:rsid w:val="00223EAA"/>
    <w:rsid w:val="00224B57"/>
    <w:rsid w:val="002250A3"/>
    <w:rsid w:val="002266E9"/>
    <w:rsid w:val="002274FD"/>
    <w:rsid w:val="002318F3"/>
    <w:rsid w:val="002347D1"/>
    <w:rsid w:val="00235217"/>
    <w:rsid w:val="00240100"/>
    <w:rsid w:val="0024226A"/>
    <w:rsid w:val="002434FD"/>
    <w:rsid w:val="00244ED0"/>
    <w:rsid w:val="00246D1F"/>
    <w:rsid w:val="00247403"/>
    <w:rsid w:val="00247542"/>
    <w:rsid w:val="00263F39"/>
    <w:rsid w:val="00265292"/>
    <w:rsid w:val="002654E4"/>
    <w:rsid w:val="00265E13"/>
    <w:rsid w:val="00266B61"/>
    <w:rsid w:val="0026712A"/>
    <w:rsid w:val="002704DB"/>
    <w:rsid w:val="00272E46"/>
    <w:rsid w:val="002730E8"/>
    <w:rsid w:val="002733E6"/>
    <w:rsid w:val="00274908"/>
    <w:rsid w:val="00274C8C"/>
    <w:rsid w:val="002813C3"/>
    <w:rsid w:val="0028172E"/>
    <w:rsid w:val="00281AE4"/>
    <w:rsid w:val="00283D09"/>
    <w:rsid w:val="00284FD9"/>
    <w:rsid w:val="002902E3"/>
    <w:rsid w:val="0029078D"/>
    <w:rsid w:val="00290F24"/>
    <w:rsid w:val="00294A96"/>
    <w:rsid w:val="002A05F6"/>
    <w:rsid w:val="002A0AAE"/>
    <w:rsid w:val="002A51F9"/>
    <w:rsid w:val="002A5820"/>
    <w:rsid w:val="002A6DEA"/>
    <w:rsid w:val="002A70CC"/>
    <w:rsid w:val="002B1765"/>
    <w:rsid w:val="002B4EA6"/>
    <w:rsid w:val="002C0855"/>
    <w:rsid w:val="002C124E"/>
    <w:rsid w:val="002C14BB"/>
    <w:rsid w:val="002D2B26"/>
    <w:rsid w:val="002D5195"/>
    <w:rsid w:val="002D5405"/>
    <w:rsid w:val="002D7EA2"/>
    <w:rsid w:val="002E187C"/>
    <w:rsid w:val="002E2434"/>
    <w:rsid w:val="002E5E0C"/>
    <w:rsid w:val="002E659C"/>
    <w:rsid w:val="002E7570"/>
    <w:rsid w:val="002E79E1"/>
    <w:rsid w:val="002F0DB1"/>
    <w:rsid w:val="002F1A39"/>
    <w:rsid w:val="002F2185"/>
    <w:rsid w:val="002F2622"/>
    <w:rsid w:val="002F2912"/>
    <w:rsid w:val="002F3B80"/>
    <w:rsid w:val="00302733"/>
    <w:rsid w:val="00302C95"/>
    <w:rsid w:val="00304AE9"/>
    <w:rsid w:val="00310CED"/>
    <w:rsid w:val="00311255"/>
    <w:rsid w:val="00314078"/>
    <w:rsid w:val="0031535D"/>
    <w:rsid w:val="00317150"/>
    <w:rsid w:val="0032298C"/>
    <w:rsid w:val="003239B8"/>
    <w:rsid w:val="00323B00"/>
    <w:rsid w:val="003246DC"/>
    <w:rsid w:val="003256C1"/>
    <w:rsid w:val="00326A1A"/>
    <w:rsid w:val="00326CA0"/>
    <w:rsid w:val="0033169F"/>
    <w:rsid w:val="00332AAC"/>
    <w:rsid w:val="00332C64"/>
    <w:rsid w:val="00332FA9"/>
    <w:rsid w:val="00337D8D"/>
    <w:rsid w:val="00344977"/>
    <w:rsid w:val="00346C95"/>
    <w:rsid w:val="00347757"/>
    <w:rsid w:val="003511CC"/>
    <w:rsid w:val="00355E92"/>
    <w:rsid w:val="00356185"/>
    <w:rsid w:val="00360380"/>
    <w:rsid w:val="0036357B"/>
    <w:rsid w:val="003636F1"/>
    <w:rsid w:val="003732D5"/>
    <w:rsid w:val="0037519E"/>
    <w:rsid w:val="003808DC"/>
    <w:rsid w:val="003838A7"/>
    <w:rsid w:val="00383CD2"/>
    <w:rsid w:val="003845DE"/>
    <w:rsid w:val="00386CF0"/>
    <w:rsid w:val="00387B9F"/>
    <w:rsid w:val="003919D8"/>
    <w:rsid w:val="00397262"/>
    <w:rsid w:val="003A35EB"/>
    <w:rsid w:val="003A4150"/>
    <w:rsid w:val="003A4A76"/>
    <w:rsid w:val="003A5966"/>
    <w:rsid w:val="003A6905"/>
    <w:rsid w:val="003A7C2C"/>
    <w:rsid w:val="003B2D82"/>
    <w:rsid w:val="003B70FB"/>
    <w:rsid w:val="003B7209"/>
    <w:rsid w:val="003C2998"/>
    <w:rsid w:val="003C49FC"/>
    <w:rsid w:val="003C676B"/>
    <w:rsid w:val="003C771E"/>
    <w:rsid w:val="003D050C"/>
    <w:rsid w:val="003D0E13"/>
    <w:rsid w:val="003D34B8"/>
    <w:rsid w:val="003D3BC2"/>
    <w:rsid w:val="003D3D37"/>
    <w:rsid w:val="003D5C30"/>
    <w:rsid w:val="003D606F"/>
    <w:rsid w:val="003E3296"/>
    <w:rsid w:val="003E3F6E"/>
    <w:rsid w:val="003E667E"/>
    <w:rsid w:val="003E69E5"/>
    <w:rsid w:val="003E6CA1"/>
    <w:rsid w:val="003F1283"/>
    <w:rsid w:val="003F44D4"/>
    <w:rsid w:val="003F5952"/>
    <w:rsid w:val="0040077C"/>
    <w:rsid w:val="00404241"/>
    <w:rsid w:val="004065A8"/>
    <w:rsid w:val="00413B6B"/>
    <w:rsid w:val="0041460E"/>
    <w:rsid w:val="00415A1B"/>
    <w:rsid w:val="004165C2"/>
    <w:rsid w:val="004209D9"/>
    <w:rsid w:val="00420A41"/>
    <w:rsid w:val="00422A5C"/>
    <w:rsid w:val="004272CE"/>
    <w:rsid w:val="00441ECB"/>
    <w:rsid w:val="00444B58"/>
    <w:rsid w:val="00445193"/>
    <w:rsid w:val="0044628A"/>
    <w:rsid w:val="0044792B"/>
    <w:rsid w:val="0045162A"/>
    <w:rsid w:val="00452049"/>
    <w:rsid w:val="004577AB"/>
    <w:rsid w:val="00460622"/>
    <w:rsid w:val="00461B24"/>
    <w:rsid w:val="00462241"/>
    <w:rsid w:val="0046259C"/>
    <w:rsid w:val="00462981"/>
    <w:rsid w:val="00462C1B"/>
    <w:rsid w:val="004632CD"/>
    <w:rsid w:val="00467B7E"/>
    <w:rsid w:val="00472D14"/>
    <w:rsid w:val="004732FF"/>
    <w:rsid w:val="00473BB4"/>
    <w:rsid w:val="00475223"/>
    <w:rsid w:val="0047596C"/>
    <w:rsid w:val="00477592"/>
    <w:rsid w:val="00485617"/>
    <w:rsid w:val="004857A7"/>
    <w:rsid w:val="00486F1C"/>
    <w:rsid w:val="0049419D"/>
    <w:rsid w:val="004A00B6"/>
    <w:rsid w:val="004A16F7"/>
    <w:rsid w:val="004A199E"/>
    <w:rsid w:val="004A61F4"/>
    <w:rsid w:val="004A6A54"/>
    <w:rsid w:val="004B4C99"/>
    <w:rsid w:val="004B4D00"/>
    <w:rsid w:val="004B5128"/>
    <w:rsid w:val="004B7B32"/>
    <w:rsid w:val="004C0967"/>
    <w:rsid w:val="004C123C"/>
    <w:rsid w:val="004C1F85"/>
    <w:rsid w:val="004C20D2"/>
    <w:rsid w:val="004C2312"/>
    <w:rsid w:val="004C4B62"/>
    <w:rsid w:val="004C54C9"/>
    <w:rsid w:val="004D3B04"/>
    <w:rsid w:val="004D4ABA"/>
    <w:rsid w:val="004D58A1"/>
    <w:rsid w:val="004D6025"/>
    <w:rsid w:val="004D7042"/>
    <w:rsid w:val="004E1931"/>
    <w:rsid w:val="004E2649"/>
    <w:rsid w:val="004E3158"/>
    <w:rsid w:val="004E35B1"/>
    <w:rsid w:val="004E3780"/>
    <w:rsid w:val="004E4124"/>
    <w:rsid w:val="00501103"/>
    <w:rsid w:val="00501399"/>
    <w:rsid w:val="005019FA"/>
    <w:rsid w:val="00501E31"/>
    <w:rsid w:val="0050633D"/>
    <w:rsid w:val="00506FE1"/>
    <w:rsid w:val="00507BC4"/>
    <w:rsid w:val="005128E4"/>
    <w:rsid w:val="005133DB"/>
    <w:rsid w:val="005213F7"/>
    <w:rsid w:val="00521D90"/>
    <w:rsid w:val="00525560"/>
    <w:rsid w:val="00525ADC"/>
    <w:rsid w:val="00525C7E"/>
    <w:rsid w:val="005261FD"/>
    <w:rsid w:val="005271E3"/>
    <w:rsid w:val="00533F4E"/>
    <w:rsid w:val="00536BE5"/>
    <w:rsid w:val="00542777"/>
    <w:rsid w:val="0054288A"/>
    <w:rsid w:val="00543916"/>
    <w:rsid w:val="00544634"/>
    <w:rsid w:val="00544C49"/>
    <w:rsid w:val="00544D35"/>
    <w:rsid w:val="005516A1"/>
    <w:rsid w:val="00553D15"/>
    <w:rsid w:val="00555D7C"/>
    <w:rsid w:val="0055668D"/>
    <w:rsid w:val="00560224"/>
    <w:rsid w:val="00560D72"/>
    <w:rsid w:val="00562519"/>
    <w:rsid w:val="00563207"/>
    <w:rsid w:val="00563557"/>
    <w:rsid w:val="00566277"/>
    <w:rsid w:val="005679A2"/>
    <w:rsid w:val="0057069B"/>
    <w:rsid w:val="00572011"/>
    <w:rsid w:val="0057402A"/>
    <w:rsid w:val="00576E28"/>
    <w:rsid w:val="005771D0"/>
    <w:rsid w:val="00587759"/>
    <w:rsid w:val="0059191A"/>
    <w:rsid w:val="005921FF"/>
    <w:rsid w:val="00593FBA"/>
    <w:rsid w:val="005A1426"/>
    <w:rsid w:val="005A21B8"/>
    <w:rsid w:val="005A24ED"/>
    <w:rsid w:val="005A45F6"/>
    <w:rsid w:val="005A6D0E"/>
    <w:rsid w:val="005B4586"/>
    <w:rsid w:val="005B474D"/>
    <w:rsid w:val="005B52B0"/>
    <w:rsid w:val="005B6806"/>
    <w:rsid w:val="005C17F7"/>
    <w:rsid w:val="005C2B5C"/>
    <w:rsid w:val="005C2CBA"/>
    <w:rsid w:val="005C4225"/>
    <w:rsid w:val="005C452A"/>
    <w:rsid w:val="005C453F"/>
    <w:rsid w:val="005C584D"/>
    <w:rsid w:val="005C6CE1"/>
    <w:rsid w:val="005D1B91"/>
    <w:rsid w:val="005E5A30"/>
    <w:rsid w:val="005F0DAD"/>
    <w:rsid w:val="005F0F33"/>
    <w:rsid w:val="005F17BD"/>
    <w:rsid w:val="005F4BA7"/>
    <w:rsid w:val="005F56A5"/>
    <w:rsid w:val="005F7E27"/>
    <w:rsid w:val="00600DEB"/>
    <w:rsid w:val="00601E66"/>
    <w:rsid w:val="006051FA"/>
    <w:rsid w:val="00607C65"/>
    <w:rsid w:val="00607FBC"/>
    <w:rsid w:val="00627C9F"/>
    <w:rsid w:val="006303E5"/>
    <w:rsid w:val="006311E9"/>
    <w:rsid w:val="00632354"/>
    <w:rsid w:val="00636973"/>
    <w:rsid w:val="0063747F"/>
    <w:rsid w:val="00637BA7"/>
    <w:rsid w:val="00642810"/>
    <w:rsid w:val="00645361"/>
    <w:rsid w:val="00650AE7"/>
    <w:rsid w:val="00651F93"/>
    <w:rsid w:val="00652333"/>
    <w:rsid w:val="006529B1"/>
    <w:rsid w:val="00655D04"/>
    <w:rsid w:val="00660A6F"/>
    <w:rsid w:val="006633EB"/>
    <w:rsid w:val="00663ACF"/>
    <w:rsid w:val="006714A1"/>
    <w:rsid w:val="00671AA7"/>
    <w:rsid w:val="006776B3"/>
    <w:rsid w:val="0068009E"/>
    <w:rsid w:val="00682351"/>
    <w:rsid w:val="00682C5A"/>
    <w:rsid w:val="0068341E"/>
    <w:rsid w:val="00690416"/>
    <w:rsid w:val="00692219"/>
    <w:rsid w:val="0069280E"/>
    <w:rsid w:val="006936BE"/>
    <w:rsid w:val="00693AD3"/>
    <w:rsid w:val="00693B2F"/>
    <w:rsid w:val="00695A73"/>
    <w:rsid w:val="006A17D2"/>
    <w:rsid w:val="006A208B"/>
    <w:rsid w:val="006A2D67"/>
    <w:rsid w:val="006A4149"/>
    <w:rsid w:val="006A73E6"/>
    <w:rsid w:val="006A78A1"/>
    <w:rsid w:val="006B1E02"/>
    <w:rsid w:val="006B2D5C"/>
    <w:rsid w:val="006B5A65"/>
    <w:rsid w:val="006C4A00"/>
    <w:rsid w:val="006C4EB1"/>
    <w:rsid w:val="006C53FB"/>
    <w:rsid w:val="006C718C"/>
    <w:rsid w:val="006D0BD9"/>
    <w:rsid w:val="006D0E64"/>
    <w:rsid w:val="006D0E92"/>
    <w:rsid w:val="006D4A18"/>
    <w:rsid w:val="006E0166"/>
    <w:rsid w:val="006E38C3"/>
    <w:rsid w:val="006E682D"/>
    <w:rsid w:val="006E6CB2"/>
    <w:rsid w:val="006E716E"/>
    <w:rsid w:val="006E7B34"/>
    <w:rsid w:val="006E7CDF"/>
    <w:rsid w:val="006F1BA9"/>
    <w:rsid w:val="006F289D"/>
    <w:rsid w:val="006F43BD"/>
    <w:rsid w:val="006F45AF"/>
    <w:rsid w:val="006F52FE"/>
    <w:rsid w:val="007004E3"/>
    <w:rsid w:val="00700A97"/>
    <w:rsid w:val="007027FA"/>
    <w:rsid w:val="0070395D"/>
    <w:rsid w:val="007043D2"/>
    <w:rsid w:val="0070697F"/>
    <w:rsid w:val="00710E70"/>
    <w:rsid w:val="00713E35"/>
    <w:rsid w:val="0072199C"/>
    <w:rsid w:val="00722C9F"/>
    <w:rsid w:val="0072315C"/>
    <w:rsid w:val="00723684"/>
    <w:rsid w:val="00723691"/>
    <w:rsid w:val="007242E1"/>
    <w:rsid w:val="007253B8"/>
    <w:rsid w:val="00726274"/>
    <w:rsid w:val="00726CB3"/>
    <w:rsid w:val="00730D1F"/>
    <w:rsid w:val="00733A63"/>
    <w:rsid w:val="00735536"/>
    <w:rsid w:val="0073741F"/>
    <w:rsid w:val="00743CB3"/>
    <w:rsid w:val="00744C50"/>
    <w:rsid w:val="00744D5C"/>
    <w:rsid w:val="00746AF6"/>
    <w:rsid w:val="00746B6A"/>
    <w:rsid w:val="00752B78"/>
    <w:rsid w:val="00755EC3"/>
    <w:rsid w:val="00760DD9"/>
    <w:rsid w:val="007617FC"/>
    <w:rsid w:val="00761BDF"/>
    <w:rsid w:val="0076643F"/>
    <w:rsid w:val="007678E0"/>
    <w:rsid w:val="00771AAF"/>
    <w:rsid w:val="00771DD1"/>
    <w:rsid w:val="007728C1"/>
    <w:rsid w:val="00772A77"/>
    <w:rsid w:val="0077632B"/>
    <w:rsid w:val="00777F63"/>
    <w:rsid w:val="00781E9D"/>
    <w:rsid w:val="0078520A"/>
    <w:rsid w:val="00785DBA"/>
    <w:rsid w:val="00797631"/>
    <w:rsid w:val="00797793"/>
    <w:rsid w:val="007A5817"/>
    <w:rsid w:val="007A73B1"/>
    <w:rsid w:val="007A7B1F"/>
    <w:rsid w:val="007B05C4"/>
    <w:rsid w:val="007B38BB"/>
    <w:rsid w:val="007B432F"/>
    <w:rsid w:val="007B60E9"/>
    <w:rsid w:val="007B6CC3"/>
    <w:rsid w:val="007B76D3"/>
    <w:rsid w:val="007C2647"/>
    <w:rsid w:val="007C3334"/>
    <w:rsid w:val="007D163A"/>
    <w:rsid w:val="007D2B98"/>
    <w:rsid w:val="007D6F77"/>
    <w:rsid w:val="007D7671"/>
    <w:rsid w:val="007E092A"/>
    <w:rsid w:val="007E1717"/>
    <w:rsid w:val="007E21BC"/>
    <w:rsid w:val="007E5F92"/>
    <w:rsid w:val="007E6ACF"/>
    <w:rsid w:val="007E7C82"/>
    <w:rsid w:val="007F0BBB"/>
    <w:rsid w:val="007F2555"/>
    <w:rsid w:val="007F310F"/>
    <w:rsid w:val="007F3665"/>
    <w:rsid w:val="007F588D"/>
    <w:rsid w:val="007F5AE2"/>
    <w:rsid w:val="0080124B"/>
    <w:rsid w:val="008022CC"/>
    <w:rsid w:val="0080355B"/>
    <w:rsid w:val="00803F1C"/>
    <w:rsid w:val="00805CE3"/>
    <w:rsid w:val="0080600E"/>
    <w:rsid w:val="00806058"/>
    <w:rsid w:val="00806321"/>
    <w:rsid w:val="00813ADC"/>
    <w:rsid w:val="00813EC3"/>
    <w:rsid w:val="00814A2D"/>
    <w:rsid w:val="0081723E"/>
    <w:rsid w:val="00817612"/>
    <w:rsid w:val="00822CDF"/>
    <w:rsid w:val="008254E4"/>
    <w:rsid w:val="00825A2F"/>
    <w:rsid w:val="008338A4"/>
    <w:rsid w:val="00834D49"/>
    <w:rsid w:val="00837C45"/>
    <w:rsid w:val="00841063"/>
    <w:rsid w:val="00843EB7"/>
    <w:rsid w:val="008441BD"/>
    <w:rsid w:val="00844730"/>
    <w:rsid w:val="008457C2"/>
    <w:rsid w:val="0084703A"/>
    <w:rsid w:val="00851B41"/>
    <w:rsid w:val="00851F7F"/>
    <w:rsid w:val="00854970"/>
    <w:rsid w:val="00854B85"/>
    <w:rsid w:val="008567BE"/>
    <w:rsid w:val="00857A82"/>
    <w:rsid w:val="008613C7"/>
    <w:rsid w:val="00873836"/>
    <w:rsid w:val="00874B65"/>
    <w:rsid w:val="0088197D"/>
    <w:rsid w:val="00882F28"/>
    <w:rsid w:val="008831C8"/>
    <w:rsid w:val="0088481B"/>
    <w:rsid w:val="00885737"/>
    <w:rsid w:val="00890650"/>
    <w:rsid w:val="008911F7"/>
    <w:rsid w:val="00892758"/>
    <w:rsid w:val="00893D97"/>
    <w:rsid w:val="00895D7C"/>
    <w:rsid w:val="00897E12"/>
    <w:rsid w:val="008A08BA"/>
    <w:rsid w:val="008A368C"/>
    <w:rsid w:val="008A3F7C"/>
    <w:rsid w:val="008A5316"/>
    <w:rsid w:val="008A5651"/>
    <w:rsid w:val="008A7E0F"/>
    <w:rsid w:val="008B0087"/>
    <w:rsid w:val="008B12F5"/>
    <w:rsid w:val="008B1A35"/>
    <w:rsid w:val="008B5C31"/>
    <w:rsid w:val="008C1F43"/>
    <w:rsid w:val="008C54BF"/>
    <w:rsid w:val="008C63AD"/>
    <w:rsid w:val="008C765A"/>
    <w:rsid w:val="008D16C6"/>
    <w:rsid w:val="008D18FA"/>
    <w:rsid w:val="008D624F"/>
    <w:rsid w:val="008D68A4"/>
    <w:rsid w:val="008D768D"/>
    <w:rsid w:val="008E250D"/>
    <w:rsid w:val="008E3759"/>
    <w:rsid w:val="008E3BFE"/>
    <w:rsid w:val="008F1912"/>
    <w:rsid w:val="008F236F"/>
    <w:rsid w:val="008F4721"/>
    <w:rsid w:val="008F5FFD"/>
    <w:rsid w:val="009006AD"/>
    <w:rsid w:val="00900E37"/>
    <w:rsid w:val="0090270B"/>
    <w:rsid w:val="00903D34"/>
    <w:rsid w:val="009041DC"/>
    <w:rsid w:val="0090558F"/>
    <w:rsid w:val="00911CBF"/>
    <w:rsid w:val="0091654D"/>
    <w:rsid w:val="00917B5A"/>
    <w:rsid w:val="00920A58"/>
    <w:rsid w:val="00920A8C"/>
    <w:rsid w:val="00931A73"/>
    <w:rsid w:val="0093268A"/>
    <w:rsid w:val="009328FF"/>
    <w:rsid w:val="00934A2C"/>
    <w:rsid w:val="00935881"/>
    <w:rsid w:val="00935DC2"/>
    <w:rsid w:val="00936CE6"/>
    <w:rsid w:val="009410CE"/>
    <w:rsid w:val="009428CE"/>
    <w:rsid w:val="00943AF0"/>
    <w:rsid w:val="00943BB6"/>
    <w:rsid w:val="00946779"/>
    <w:rsid w:val="00952BB1"/>
    <w:rsid w:val="00953A14"/>
    <w:rsid w:val="0095461E"/>
    <w:rsid w:val="009562EA"/>
    <w:rsid w:val="00956D38"/>
    <w:rsid w:val="009614EC"/>
    <w:rsid w:val="0096580D"/>
    <w:rsid w:val="00966250"/>
    <w:rsid w:val="00966D3A"/>
    <w:rsid w:val="0096706E"/>
    <w:rsid w:val="00970131"/>
    <w:rsid w:val="00971FCD"/>
    <w:rsid w:val="00972192"/>
    <w:rsid w:val="009721C1"/>
    <w:rsid w:val="00972D2F"/>
    <w:rsid w:val="00974491"/>
    <w:rsid w:val="009758CC"/>
    <w:rsid w:val="00975C4E"/>
    <w:rsid w:val="00976803"/>
    <w:rsid w:val="00977219"/>
    <w:rsid w:val="00981FBA"/>
    <w:rsid w:val="00985691"/>
    <w:rsid w:val="00991781"/>
    <w:rsid w:val="00992A16"/>
    <w:rsid w:val="0099561F"/>
    <w:rsid w:val="00997BC5"/>
    <w:rsid w:val="009A1792"/>
    <w:rsid w:val="009A4F41"/>
    <w:rsid w:val="009A570C"/>
    <w:rsid w:val="009A70C8"/>
    <w:rsid w:val="009B381B"/>
    <w:rsid w:val="009B3CA2"/>
    <w:rsid w:val="009B726B"/>
    <w:rsid w:val="009C02AA"/>
    <w:rsid w:val="009C0936"/>
    <w:rsid w:val="009C0AE7"/>
    <w:rsid w:val="009C337F"/>
    <w:rsid w:val="009C4037"/>
    <w:rsid w:val="009C5C29"/>
    <w:rsid w:val="009C6323"/>
    <w:rsid w:val="009D1753"/>
    <w:rsid w:val="009D2BC7"/>
    <w:rsid w:val="009D3E03"/>
    <w:rsid w:val="009D3E72"/>
    <w:rsid w:val="009D4486"/>
    <w:rsid w:val="009D4942"/>
    <w:rsid w:val="009D6E48"/>
    <w:rsid w:val="009D7611"/>
    <w:rsid w:val="009D7EEE"/>
    <w:rsid w:val="009E0B61"/>
    <w:rsid w:val="009E53DE"/>
    <w:rsid w:val="009F0A6F"/>
    <w:rsid w:val="009F0FD5"/>
    <w:rsid w:val="009F19BB"/>
    <w:rsid w:val="009F1A69"/>
    <w:rsid w:val="009F221C"/>
    <w:rsid w:val="009F4FAC"/>
    <w:rsid w:val="009F5A45"/>
    <w:rsid w:val="009F5E1C"/>
    <w:rsid w:val="009F7830"/>
    <w:rsid w:val="00A00523"/>
    <w:rsid w:val="00A00E47"/>
    <w:rsid w:val="00A00ED0"/>
    <w:rsid w:val="00A01704"/>
    <w:rsid w:val="00A032EB"/>
    <w:rsid w:val="00A0696A"/>
    <w:rsid w:val="00A11212"/>
    <w:rsid w:val="00A11E44"/>
    <w:rsid w:val="00A14803"/>
    <w:rsid w:val="00A1615F"/>
    <w:rsid w:val="00A16552"/>
    <w:rsid w:val="00A2362A"/>
    <w:rsid w:val="00A24FD3"/>
    <w:rsid w:val="00A30762"/>
    <w:rsid w:val="00A328B3"/>
    <w:rsid w:val="00A40029"/>
    <w:rsid w:val="00A4095B"/>
    <w:rsid w:val="00A43091"/>
    <w:rsid w:val="00A44878"/>
    <w:rsid w:val="00A506DA"/>
    <w:rsid w:val="00A50825"/>
    <w:rsid w:val="00A50FCF"/>
    <w:rsid w:val="00A528D1"/>
    <w:rsid w:val="00A54205"/>
    <w:rsid w:val="00A603E4"/>
    <w:rsid w:val="00A60619"/>
    <w:rsid w:val="00A610CD"/>
    <w:rsid w:val="00A61158"/>
    <w:rsid w:val="00A637C2"/>
    <w:rsid w:val="00A65A69"/>
    <w:rsid w:val="00A663A5"/>
    <w:rsid w:val="00A758AA"/>
    <w:rsid w:val="00A75FF5"/>
    <w:rsid w:val="00A76C2A"/>
    <w:rsid w:val="00A84E98"/>
    <w:rsid w:val="00A86F50"/>
    <w:rsid w:val="00A878D8"/>
    <w:rsid w:val="00A94956"/>
    <w:rsid w:val="00A963D0"/>
    <w:rsid w:val="00A966A5"/>
    <w:rsid w:val="00A97DD2"/>
    <w:rsid w:val="00AA09A2"/>
    <w:rsid w:val="00AA5D41"/>
    <w:rsid w:val="00AA710A"/>
    <w:rsid w:val="00AA7996"/>
    <w:rsid w:val="00AB21BD"/>
    <w:rsid w:val="00AB4358"/>
    <w:rsid w:val="00AB46D2"/>
    <w:rsid w:val="00AB5A06"/>
    <w:rsid w:val="00AC1371"/>
    <w:rsid w:val="00AC19CB"/>
    <w:rsid w:val="00AC2206"/>
    <w:rsid w:val="00AC3D59"/>
    <w:rsid w:val="00AC48E6"/>
    <w:rsid w:val="00AD2B4B"/>
    <w:rsid w:val="00AD2FC0"/>
    <w:rsid w:val="00AD3A1B"/>
    <w:rsid w:val="00AD4BA6"/>
    <w:rsid w:val="00AD6BBD"/>
    <w:rsid w:val="00AE19AB"/>
    <w:rsid w:val="00AE4EBC"/>
    <w:rsid w:val="00AE5488"/>
    <w:rsid w:val="00AE6F91"/>
    <w:rsid w:val="00AF18C8"/>
    <w:rsid w:val="00AF5571"/>
    <w:rsid w:val="00B0079C"/>
    <w:rsid w:val="00B01817"/>
    <w:rsid w:val="00B01C3D"/>
    <w:rsid w:val="00B026FA"/>
    <w:rsid w:val="00B07341"/>
    <w:rsid w:val="00B10E3D"/>
    <w:rsid w:val="00B1401E"/>
    <w:rsid w:val="00B15132"/>
    <w:rsid w:val="00B16E84"/>
    <w:rsid w:val="00B209F8"/>
    <w:rsid w:val="00B21849"/>
    <w:rsid w:val="00B25E8F"/>
    <w:rsid w:val="00B30539"/>
    <w:rsid w:val="00B308C4"/>
    <w:rsid w:val="00B312E4"/>
    <w:rsid w:val="00B314DB"/>
    <w:rsid w:val="00B334AD"/>
    <w:rsid w:val="00B361F2"/>
    <w:rsid w:val="00B36213"/>
    <w:rsid w:val="00B370F8"/>
    <w:rsid w:val="00B3718B"/>
    <w:rsid w:val="00B40BC6"/>
    <w:rsid w:val="00B4632A"/>
    <w:rsid w:val="00B466F3"/>
    <w:rsid w:val="00B46E4C"/>
    <w:rsid w:val="00B46EED"/>
    <w:rsid w:val="00B4757B"/>
    <w:rsid w:val="00B47F16"/>
    <w:rsid w:val="00B50027"/>
    <w:rsid w:val="00B530F1"/>
    <w:rsid w:val="00B55F2D"/>
    <w:rsid w:val="00B57599"/>
    <w:rsid w:val="00B620DC"/>
    <w:rsid w:val="00B6300E"/>
    <w:rsid w:val="00B6551D"/>
    <w:rsid w:val="00B7224D"/>
    <w:rsid w:val="00B7664A"/>
    <w:rsid w:val="00B80BE5"/>
    <w:rsid w:val="00B97870"/>
    <w:rsid w:val="00BA080C"/>
    <w:rsid w:val="00BA0A2A"/>
    <w:rsid w:val="00BA15D7"/>
    <w:rsid w:val="00BA276C"/>
    <w:rsid w:val="00BA305C"/>
    <w:rsid w:val="00BA6B66"/>
    <w:rsid w:val="00BB0041"/>
    <w:rsid w:val="00BB306F"/>
    <w:rsid w:val="00BB61D0"/>
    <w:rsid w:val="00BC353D"/>
    <w:rsid w:val="00BC366C"/>
    <w:rsid w:val="00BC7D91"/>
    <w:rsid w:val="00BD4B89"/>
    <w:rsid w:val="00BD5922"/>
    <w:rsid w:val="00BD5C5C"/>
    <w:rsid w:val="00BD70DF"/>
    <w:rsid w:val="00BE4E90"/>
    <w:rsid w:val="00BF02CB"/>
    <w:rsid w:val="00BF147F"/>
    <w:rsid w:val="00BF2659"/>
    <w:rsid w:val="00BF31E1"/>
    <w:rsid w:val="00BF38AE"/>
    <w:rsid w:val="00BF5406"/>
    <w:rsid w:val="00BF6FD8"/>
    <w:rsid w:val="00BF7558"/>
    <w:rsid w:val="00C02314"/>
    <w:rsid w:val="00C03680"/>
    <w:rsid w:val="00C054DF"/>
    <w:rsid w:val="00C05E0E"/>
    <w:rsid w:val="00C15B4B"/>
    <w:rsid w:val="00C213A9"/>
    <w:rsid w:val="00C21762"/>
    <w:rsid w:val="00C21FEF"/>
    <w:rsid w:val="00C2394C"/>
    <w:rsid w:val="00C23E83"/>
    <w:rsid w:val="00C2407B"/>
    <w:rsid w:val="00C242B4"/>
    <w:rsid w:val="00C24543"/>
    <w:rsid w:val="00C24909"/>
    <w:rsid w:val="00C256A2"/>
    <w:rsid w:val="00C26F4F"/>
    <w:rsid w:val="00C334F3"/>
    <w:rsid w:val="00C365A8"/>
    <w:rsid w:val="00C40E7B"/>
    <w:rsid w:val="00C43F55"/>
    <w:rsid w:val="00C44893"/>
    <w:rsid w:val="00C50CEA"/>
    <w:rsid w:val="00C51515"/>
    <w:rsid w:val="00C51F45"/>
    <w:rsid w:val="00C51F4F"/>
    <w:rsid w:val="00C524AB"/>
    <w:rsid w:val="00C547CF"/>
    <w:rsid w:val="00C5660B"/>
    <w:rsid w:val="00C57114"/>
    <w:rsid w:val="00C66B72"/>
    <w:rsid w:val="00C67FCC"/>
    <w:rsid w:val="00C726D8"/>
    <w:rsid w:val="00C779C4"/>
    <w:rsid w:val="00C77B9A"/>
    <w:rsid w:val="00C87281"/>
    <w:rsid w:val="00C87AC4"/>
    <w:rsid w:val="00C92E0A"/>
    <w:rsid w:val="00C948DE"/>
    <w:rsid w:val="00C9567A"/>
    <w:rsid w:val="00CA1C2D"/>
    <w:rsid w:val="00CA3704"/>
    <w:rsid w:val="00CA5A71"/>
    <w:rsid w:val="00CA71FF"/>
    <w:rsid w:val="00CB212D"/>
    <w:rsid w:val="00CB2660"/>
    <w:rsid w:val="00CB36CA"/>
    <w:rsid w:val="00CB3E8D"/>
    <w:rsid w:val="00CB51D5"/>
    <w:rsid w:val="00CB71AF"/>
    <w:rsid w:val="00CC18DF"/>
    <w:rsid w:val="00CC236B"/>
    <w:rsid w:val="00CC49C5"/>
    <w:rsid w:val="00CC5E90"/>
    <w:rsid w:val="00CC65BC"/>
    <w:rsid w:val="00CD046C"/>
    <w:rsid w:val="00CD1E3C"/>
    <w:rsid w:val="00CD4204"/>
    <w:rsid w:val="00CD5784"/>
    <w:rsid w:val="00CE01E2"/>
    <w:rsid w:val="00CE076C"/>
    <w:rsid w:val="00CE1183"/>
    <w:rsid w:val="00CE13F6"/>
    <w:rsid w:val="00CE23B5"/>
    <w:rsid w:val="00CE286D"/>
    <w:rsid w:val="00CE30BC"/>
    <w:rsid w:val="00CE5199"/>
    <w:rsid w:val="00CE66D5"/>
    <w:rsid w:val="00CF09DF"/>
    <w:rsid w:val="00CF175F"/>
    <w:rsid w:val="00CF1B29"/>
    <w:rsid w:val="00CF1E7E"/>
    <w:rsid w:val="00CF231B"/>
    <w:rsid w:val="00CF4005"/>
    <w:rsid w:val="00CF58C8"/>
    <w:rsid w:val="00CF637A"/>
    <w:rsid w:val="00CF71C5"/>
    <w:rsid w:val="00CF7F43"/>
    <w:rsid w:val="00D011F2"/>
    <w:rsid w:val="00D02B04"/>
    <w:rsid w:val="00D03592"/>
    <w:rsid w:val="00D0412F"/>
    <w:rsid w:val="00D059DE"/>
    <w:rsid w:val="00D05ABD"/>
    <w:rsid w:val="00D10F2C"/>
    <w:rsid w:val="00D13FCE"/>
    <w:rsid w:val="00D141E1"/>
    <w:rsid w:val="00D14E21"/>
    <w:rsid w:val="00D21358"/>
    <w:rsid w:val="00D213F1"/>
    <w:rsid w:val="00D25609"/>
    <w:rsid w:val="00D2589D"/>
    <w:rsid w:val="00D260FC"/>
    <w:rsid w:val="00D3029E"/>
    <w:rsid w:val="00D306D1"/>
    <w:rsid w:val="00D30800"/>
    <w:rsid w:val="00D32062"/>
    <w:rsid w:val="00D32573"/>
    <w:rsid w:val="00D32D73"/>
    <w:rsid w:val="00D34786"/>
    <w:rsid w:val="00D35132"/>
    <w:rsid w:val="00D37BFC"/>
    <w:rsid w:val="00D47A8E"/>
    <w:rsid w:val="00D52B0D"/>
    <w:rsid w:val="00D52D14"/>
    <w:rsid w:val="00D531F6"/>
    <w:rsid w:val="00D53894"/>
    <w:rsid w:val="00D55731"/>
    <w:rsid w:val="00D60E92"/>
    <w:rsid w:val="00D660EB"/>
    <w:rsid w:val="00D66D60"/>
    <w:rsid w:val="00D67170"/>
    <w:rsid w:val="00D712D3"/>
    <w:rsid w:val="00D71422"/>
    <w:rsid w:val="00D72DC6"/>
    <w:rsid w:val="00D73635"/>
    <w:rsid w:val="00D745EB"/>
    <w:rsid w:val="00D74CF6"/>
    <w:rsid w:val="00D751D8"/>
    <w:rsid w:val="00D7558D"/>
    <w:rsid w:val="00D75C98"/>
    <w:rsid w:val="00D81D92"/>
    <w:rsid w:val="00D83678"/>
    <w:rsid w:val="00D83FBF"/>
    <w:rsid w:val="00D8464D"/>
    <w:rsid w:val="00D876F9"/>
    <w:rsid w:val="00D87D62"/>
    <w:rsid w:val="00D911E6"/>
    <w:rsid w:val="00D934D0"/>
    <w:rsid w:val="00D94F69"/>
    <w:rsid w:val="00D96DD3"/>
    <w:rsid w:val="00DA01AE"/>
    <w:rsid w:val="00DA1E2F"/>
    <w:rsid w:val="00DA2637"/>
    <w:rsid w:val="00DA3687"/>
    <w:rsid w:val="00DA3C2B"/>
    <w:rsid w:val="00DA7B5F"/>
    <w:rsid w:val="00DB2575"/>
    <w:rsid w:val="00DB3A4F"/>
    <w:rsid w:val="00DB4648"/>
    <w:rsid w:val="00DB48F1"/>
    <w:rsid w:val="00DB5A51"/>
    <w:rsid w:val="00DB5BE2"/>
    <w:rsid w:val="00DB5D05"/>
    <w:rsid w:val="00DB77B6"/>
    <w:rsid w:val="00DC11E7"/>
    <w:rsid w:val="00DC3D6C"/>
    <w:rsid w:val="00DC668A"/>
    <w:rsid w:val="00DC7023"/>
    <w:rsid w:val="00DC769A"/>
    <w:rsid w:val="00DD125E"/>
    <w:rsid w:val="00DD2425"/>
    <w:rsid w:val="00DD3D86"/>
    <w:rsid w:val="00DD432C"/>
    <w:rsid w:val="00DD4AD2"/>
    <w:rsid w:val="00DE2EB6"/>
    <w:rsid w:val="00DE6CF6"/>
    <w:rsid w:val="00DE79DE"/>
    <w:rsid w:val="00DF01AD"/>
    <w:rsid w:val="00DF1521"/>
    <w:rsid w:val="00DF1EC4"/>
    <w:rsid w:val="00DF284C"/>
    <w:rsid w:val="00DF5612"/>
    <w:rsid w:val="00DF69A8"/>
    <w:rsid w:val="00DF7E9A"/>
    <w:rsid w:val="00E02C9E"/>
    <w:rsid w:val="00E0340B"/>
    <w:rsid w:val="00E043B8"/>
    <w:rsid w:val="00E04A90"/>
    <w:rsid w:val="00E04B55"/>
    <w:rsid w:val="00E052B6"/>
    <w:rsid w:val="00E0551F"/>
    <w:rsid w:val="00E137E6"/>
    <w:rsid w:val="00E13A53"/>
    <w:rsid w:val="00E165FE"/>
    <w:rsid w:val="00E168A7"/>
    <w:rsid w:val="00E20CAD"/>
    <w:rsid w:val="00E219C7"/>
    <w:rsid w:val="00E232DC"/>
    <w:rsid w:val="00E236F2"/>
    <w:rsid w:val="00E243F9"/>
    <w:rsid w:val="00E24F76"/>
    <w:rsid w:val="00E2543C"/>
    <w:rsid w:val="00E27D4E"/>
    <w:rsid w:val="00E34F0A"/>
    <w:rsid w:val="00E36074"/>
    <w:rsid w:val="00E37E96"/>
    <w:rsid w:val="00E4097E"/>
    <w:rsid w:val="00E4118C"/>
    <w:rsid w:val="00E4273D"/>
    <w:rsid w:val="00E43157"/>
    <w:rsid w:val="00E43B59"/>
    <w:rsid w:val="00E46094"/>
    <w:rsid w:val="00E460E1"/>
    <w:rsid w:val="00E461CE"/>
    <w:rsid w:val="00E506BF"/>
    <w:rsid w:val="00E5081F"/>
    <w:rsid w:val="00E50E92"/>
    <w:rsid w:val="00E515BF"/>
    <w:rsid w:val="00E52B50"/>
    <w:rsid w:val="00E62D76"/>
    <w:rsid w:val="00E63EDD"/>
    <w:rsid w:val="00E66F82"/>
    <w:rsid w:val="00E71186"/>
    <w:rsid w:val="00E720CA"/>
    <w:rsid w:val="00E75DBC"/>
    <w:rsid w:val="00E77FD1"/>
    <w:rsid w:val="00E80343"/>
    <w:rsid w:val="00E80514"/>
    <w:rsid w:val="00E81C40"/>
    <w:rsid w:val="00E84EB5"/>
    <w:rsid w:val="00E85662"/>
    <w:rsid w:val="00E8690B"/>
    <w:rsid w:val="00E8789F"/>
    <w:rsid w:val="00E97B71"/>
    <w:rsid w:val="00EA3D34"/>
    <w:rsid w:val="00EA7A6D"/>
    <w:rsid w:val="00EB454D"/>
    <w:rsid w:val="00EB4F94"/>
    <w:rsid w:val="00EB65BC"/>
    <w:rsid w:val="00EB7C85"/>
    <w:rsid w:val="00EC05AA"/>
    <w:rsid w:val="00EC5E14"/>
    <w:rsid w:val="00EC6689"/>
    <w:rsid w:val="00EC77BB"/>
    <w:rsid w:val="00ED549D"/>
    <w:rsid w:val="00ED5E50"/>
    <w:rsid w:val="00ED6775"/>
    <w:rsid w:val="00ED6807"/>
    <w:rsid w:val="00ED76BE"/>
    <w:rsid w:val="00EE00E9"/>
    <w:rsid w:val="00EE01E6"/>
    <w:rsid w:val="00EE04DC"/>
    <w:rsid w:val="00EE14A1"/>
    <w:rsid w:val="00EE2912"/>
    <w:rsid w:val="00EE5390"/>
    <w:rsid w:val="00EE6C60"/>
    <w:rsid w:val="00EF5C06"/>
    <w:rsid w:val="00EF6159"/>
    <w:rsid w:val="00EF619B"/>
    <w:rsid w:val="00F00B55"/>
    <w:rsid w:val="00F01A44"/>
    <w:rsid w:val="00F026FB"/>
    <w:rsid w:val="00F02AD1"/>
    <w:rsid w:val="00F02D3D"/>
    <w:rsid w:val="00F05490"/>
    <w:rsid w:val="00F1003A"/>
    <w:rsid w:val="00F142CC"/>
    <w:rsid w:val="00F16578"/>
    <w:rsid w:val="00F20F9E"/>
    <w:rsid w:val="00F21A33"/>
    <w:rsid w:val="00F253CC"/>
    <w:rsid w:val="00F330FC"/>
    <w:rsid w:val="00F37106"/>
    <w:rsid w:val="00F40DB9"/>
    <w:rsid w:val="00F40EED"/>
    <w:rsid w:val="00F42259"/>
    <w:rsid w:val="00F46E7D"/>
    <w:rsid w:val="00F478F4"/>
    <w:rsid w:val="00F519CF"/>
    <w:rsid w:val="00F528BB"/>
    <w:rsid w:val="00F558B0"/>
    <w:rsid w:val="00F56BA5"/>
    <w:rsid w:val="00F60E22"/>
    <w:rsid w:val="00F662B7"/>
    <w:rsid w:val="00F66BFB"/>
    <w:rsid w:val="00F711D8"/>
    <w:rsid w:val="00F712E4"/>
    <w:rsid w:val="00F7338B"/>
    <w:rsid w:val="00F81395"/>
    <w:rsid w:val="00F81BB8"/>
    <w:rsid w:val="00F868D1"/>
    <w:rsid w:val="00F87647"/>
    <w:rsid w:val="00F917D1"/>
    <w:rsid w:val="00F925A5"/>
    <w:rsid w:val="00F9653B"/>
    <w:rsid w:val="00FA10BE"/>
    <w:rsid w:val="00FA41D4"/>
    <w:rsid w:val="00FA605D"/>
    <w:rsid w:val="00FB62CF"/>
    <w:rsid w:val="00FB69E4"/>
    <w:rsid w:val="00FC1410"/>
    <w:rsid w:val="00FC18B2"/>
    <w:rsid w:val="00FC2852"/>
    <w:rsid w:val="00FD16CE"/>
    <w:rsid w:val="00FD3C3B"/>
    <w:rsid w:val="00FD6129"/>
    <w:rsid w:val="00FE07DD"/>
    <w:rsid w:val="00FE1774"/>
    <w:rsid w:val="00FE35E2"/>
    <w:rsid w:val="00FE3BAD"/>
    <w:rsid w:val="00FE43BE"/>
    <w:rsid w:val="00FE5D06"/>
    <w:rsid w:val="00FE6B45"/>
    <w:rsid w:val="00FF0197"/>
    <w:rsid w:val="00FF2A16"/>
    <w:rsid w:val="00FF55F3"/>
    <w:rsid w:val="00FF5851"/>
    <w:rsid w:val="00FF59B1"/>
    <w:rsid w:val="00FF666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BA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D7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44D4"/>
    <w:rPr>
      <w:sz w:val="16"/>
      <w:szCs w:val="16"/>
    </w:rPr>
  </w:style>
  <w:style w:type="paragraph" w:styleId="CommentText">
    <w:name w:val="annotation text"/>
    <w:basedOn w:val="Normal"/>
    <w:link w:val="CommentTextChar"/>
    <w:uiPriority w:val="99"/>
    <w:semiHidden/>
    <w:unhideWhenUsed/>
    <w:rsid w:val="003F44D4"/>
    <w:rPr>
      <w:sz w:val="20"/>
      <w:szCs w:val="20"/>
    </w:rPr>
  </w:style>
  <w:style w:type="character" w:customStyle="1" w:styleId="CommentTextChar">
    <w:name w:val="Comment Text Char"/>
    <w:basedOn w:val="DefaultParagraphFont"/>
    <w:link w:val="CommentText"/>
    <w:uiPriority w:val="99"/>
    <w:semiHidden/>
    <w:rsid w:val="003F44D4"/>
    <w:rPr>
      <w:lang w:val="en-US" w:eastAsia="en-US"/>
    </w:rPr>
  </w:style>
  <w:style w:type="paragraph" w:styleId="CommentSubject">
    <w:name w:val="annotation subject"/>
    <w:basedOn w:val="CommentText"/>
    <w:next w:val="CommentText"/>
    <w:link w:val="CommentSubjectChar"/>
    <w:uiPriority w:val="99"/>
    <w:semiHidden/>
    <w:unhideWhenUsed/>
    <w:rsid w:val="003F44D4"/>
    <w:rPr>
      <w:b/>
      <w:bCs/>
    </w:rPr>
  </w:style>
  <w:style w:type="character" w:customStyle="1" w:styleId="CommentSubjectChar">
    <w:name w:val="Comment Subject Char"/>
    <w:basedOn w:val="CommentTextChar"/>
    <w:link w:val="CommentSubject"/>
    <w:uiPriority w:val="99"/>
    <w:semiHidden/>
    <w:rsid w:val="003F44D4"/>
    <w:rPr>
      <w:b/>
      <w:bCs/>
      <w:lang w:val="en-US" w:eastAsia="en-US"/>
    </w:rPr>
  </w:style>
  <w:style w:type="paragraph" w:customStyle="1" w:styleId="Char2">
    <w:name w:val="Char2"/>
    <w:basedOn w:val="Normal"/>
    <w:link w:val="FootnoteReference"/>
    <w:rsid w:val="004C1F85"/>
    <w:pPr>
      <w:spacing w:after="160" w:line="240" w:lineRule="exact"/>
    </w:pPr>
    <w:rPr>
      <w:sz w:val="20"/>
      <w:szCs w:val="20"/>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040D5B"/>
    <w:pPr>
      <w:widowControl w:val="0"/>
      <w:adjustRightInd w:val="0"/>
      <w:jc w:val="both"/>
      <w:textAlignment w:val="baseline"/>
    </w:pPr>
    <w:rPr>
      <w:sz w:val="20"/>
      <w:szCs w:val="20"/>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2262">
      <w:bodyDiv w:val="1"/>
      <w:marLeft w:val="0"/>
      <w:marRight w:val="0"/>
      <w:marTop w:val="0"/>
      <w:marBottom w:val="0"/>
      <w:divBdr>
        <w:top w:val="none" w:sz="0" w:space="0" w:color="auto"/>
        <w:left w:val="none" w:sz="0" w:space="0" w:color="auto"/>
        <w:bottom w:val="none" w:sz="0" w:space="0" w:color="auto"/>
        <w:right w:val="none" w:sz="0" w:space="0" w:color="auto"/>
      </w:divBdr>
    </w:div>
    <w:div w:id="59132880">
      <w:bodyDiv w:val="1"/>
      <w:marLeft w:val="0"/>
      <w:marRight w:val="0"/>
      <w:marTop w:val="0"/>
      <w:marBottom w:val="0"/>
      <w:divBdr>
        <w:top w:val="none" w:sz="0" w:space="0" w:color="auto"/>
        <w:left w:val="none" w:sz="0" w:space="0" w:color="auto"/>
        <w:bottom w:val="none" w:sz="0" w:space="0" w:color="auto"/>
        <w:right w:val="none" w:sz="0" w:space="0" w:color="auto"/>
      </w:divBdr>
    </w:div>
    <w:div w:id="73363118">
      <w:bodyDiv w:val="1"/>
      <w:marLeft w:val="0"/>
      <w:marRight w:val="0"/>
      <w:marTop w:val="0"/>
      <w:marBottom w:val="0"/>
      <w:divBdr>
        <w:top w:val="none" w:sz="0" w:space="0" w:color="auto"/>
        <w:left w:val="none" w:sz="0" w:space="0" w:color="auto"/>
        <w:bottom w:val="none" w:sz="0" w:space="0" w:color="auto"/>
        <w:right w:val="none" w:sz="0" w:space="0" w:color="auto"/>
      </w:divBdr>
    </w:div>
    <w:div w:id="176775219">
      <w:bodyDiv w:val="1"/>
      <w:marLeft w:val="0"/>
      <w:marRight w:val="0"/>
      <w:marTop w:val="0"/>
      <w:marBottom w:val="0"/>
      <w:divBdr>
        <w:top w:val="none" w:sz="0" w:space="0" w:color="auto"/>
        <w:left w:val="none" w:sz="0" w:space="0" w:color="auto"/>
        <w:bottom w:val="none" w:sz="0" w:space="0" w:color="auto"/>
        <w:right w:val="none" w:sz="0" w:space="0" w:color="auto"/>
      </w:divBdr>
    </w:div>
    <w:div w:id="237835639">
      <w:bodyDiv w:val="1"/>
      <w:marLeft w:val="0"/>
      <w:marRight w:val="0"/>
      <w:marTop w:val="0"/>
      <w:marBottom w:val="0"/>
      <w:divBdr>
        <w:top w:val="none" w:sz="0" w:space="0" w:color="auto"/>
        <w:left w:val="none" w:sz="0" w:space="0" w:color="auto"/>
        <w:bottom w:val="none" w:sz="0" w:space="0" w:color="auto"/>
        <w:right w:val="none" w:sz="0" w:space="0" w:color="auto"/>
      </w:divBdr>
    </w:div>
    <w:div w:id="254829099">
      <w:bodyDiv w:val="1"/>
      <w:marLeft w:val="0"/>
      <w:marRight w:val="0"/>
      <w:marTop w:val="0"/>
      <w:marBottom w:val="0"/>
      <w:divBdr>
        <w:top w:val="none" w:sz="0" w:space="0" w:color="auto"/>
        <w:left w:val="none" w:sz="0" w:space="0" w:color="auto"/>
        <w:bottom w:val="none" w:sz="0" w:space="0" w:color="auto"/>
        <w:right w:val="none" w:sz="0" w:space="0" w:color="auto"/>
      </w:divBdr>
    </w:div>
    <w:div w:id="281153439">
      <w:bodyDiv w:val="1"/>
      <w:marLeft w:val="0"/>
      <w:marRight w:val="0"/>
      <w:marTop w:val="0"/>
      <w:marBottom w:val="0"/>
      <w:divBdr>
        <w:top w:val="none" w:sz="0" w:space="0" w:color="auto"/>
        <w:left w:val="none" w:sz="0" w:space="0" w:color="auto"/>
        <w:bottom w:val="none" w:sz="0" w:space="0" w:color="auto"/>
        <w:right w:val="none" w:sz="0" w:space="0" w:color="auto"/>
      </w:divBdr>
    </w:div>
    <w:div w:id="293945384">
      <w:bodyDiv w:val="1"/>
      <w:marLeft w:val="0"/>
      <w:marRight w:val="0"/>
      <w:marTop w:val="0"/>
      <w:marBottom w:val="0"/>
      <w:divBdr>
        <w:top w:val="none" w:sz="0" w:space="0" w:color="auto"/>
        <w:left w:val="none" w:sz="0" w:space="0" w:color="auto"/>
        <w:bottom w:val="none" w:sz="0" w:space="0" w:color="auto"/>
        <w:right w:val="none" w:sz="0" w:space="0" w:color="auto"/>
      </w:divBdr>
    </w:div>
    <w:div w:id="401216983">
      <w:bodyDiv w:val="1"/>
      <w:marLeft w:val="0"/>
      <w:marRight w:val="0"/>
      <w:marTop w:val="0"/>
      <w:marBottom w:val="0"/>
      <w:divBdr>
        <w:top w:val="none" w:sz="0" w:space="0" w:color="auto"/>
        <w:left w:val="none" w:sz="0" w:space="0" w:color="auto"/>
        <w:bottom w:val="none" w:sz="0" w:space="0" w:color="auto"/>
        <w:right w:val="none" w:sz="0" w:space="0" w:color="auto"/>
      </w:divBdr>
    </w:div>
    <w:div w:id="459735467">
      <w:bodyDiv w:val="1"/>
      <w:marLeft w:val="0"/>
      <w:marRight w:val="0"/>
      <w:marTop w:val="0"/>
      <w:marBottom w:val="0"/>
      <w:divBdr>
        <w:top w:val="none" w:sz="0" w:space="0" w:color="auto"/>
        <w:left w:val="none" w:sz="0" w:space="0" w:color="auto"/>
        <w:bottom w:val="none" w:sz="0" w:space="0" w:color="auto"/>
        <w:right w:val="none" w:sz="0" w:space="0" w:color="auto"/>
      </w:divBdr>
    </w:div>
    <w:div w:id="695423475">
      <w:bodyDiv w:val="1"/>
      <w:marLeft w:val="0"/>
      <w:marRight w:val="0"/>
      <w:marTop w:val="0"/>
      <w:marBottom w:val="0"/>
      <w:divBdr>
        <w:top w:val="none" w:sz="0" w:space="0" w:color="auto"/>
        <w:left w:val="none" w:sz="0" w:space="0" w:color="auto"/>
        <w:bottom w:val="none" w:sz="0" w:space="0" w:color="auto"/>
        <w:right w:val="none" w:sz="0" w:space="0" w:color="auto"/>
      </w:divBdr>
    </w:div>
    <w:div w:id="705370585">
      <w:bodyDiv w:val="1"/>
      <w:marLeft w:val="0"/>
      <w:marRight w:val="0"/>
      <w:marTop w:val="0"/>
      <w:marBottom w:val="0"/>
      <w:divBdr>
        <w:top w:val="none" w:sz="0" w:space="0" w:color="auto"/>
        <w:left w:val="none" w:sz="0" w:space="0" w:color="auto"/>
        <w:bottom w:val="none" w:sz="0" w:space="0" w:color="auto"/>
        <w:right w:val="none" w:sz="0" w:space="0" w:color="auto"/>
      </w:divBdr>
    </w:div>
    <w:div w:id="768158752">
      <w:bodyDiv w:val="1"/>
      <w:marLeft w:val="0"/>
      <w:marRight w:val="0"/>
      <w:marTop w:val="0"/>
      <w:marBottom w:val="0"/>
      <w:divBdr>
        <w:top w:val="none" w:sz="0" w:space="0" w:color="auto"/>
        <w:left w:val="none" w:sz="0" w:space="0" w:color="auto"/>
        <w:bottom w:val="none" w:sz="0" w:space="0" w:color="auto"/>
        <w:right w:val="none" w:sz="0" w:space="0" w:color="auto"/>
      </w:divBdr>
    </w:div>
    <w:div w:id="873539070">
      <w:bodyDiv w:val="1"/>
      <w:marLeft w:val="0"/>
      <w:marRight w:val="0"/>
      <w:marTop w:val="0"/>
      <w:marBottom w:val="0"/>
      <w:divBdr>
        <w:top w:val="none" w:sz="0" w:space="0" w:color="auto"/>
        <w:left w:val="none" w:sz="0" w:space="0" w:color="auto"/>
        <w:bottom w:val="none" w:sz="0" w:space="0" w:color="auto"/>
        <w:right w:val="none" w:sz="0" w:space="0" w:color="auto"/>
      </w:divBdr>
    </w:div>
    <w:div w:id="1043989905">
      <w:bodyDiv w:val="1"/>
      <w:marLeft w:val="0"/>
      <w:marRight w:val="0"/>
      <w:marTop w:val="0"/>
      <w:marBottom w:val="0"/>
      <w:divBdr>
        <w:top w:val="none" w:sz="0" w:space="0" w:color="auto"/>
        <w:left w:val="none" w:sz="0" w:space="0" w:color="auto"/>
        <w:bottom w:val="none" w:sz="0" w:space="0" w:color="auto"/>
        <w:right w:val="none" w:sz="0" w:space="0" w:color="auto"/>
      </w:divBdr>
    </w:div>
    <w:div w:id="1073355372">
      <w:bodyDiv w:val="1"/>
      <w:marLeft w:val="0"/>
      <w:marRight w:val="0"/>
      <w:marTop w:val="0"/>
      <w:marBottom w:val="0"/>
      <w:divBdr>
        <w:top w:val="none" w:sz="0" w:space="0" w:color="auto"/>
        <w:left w:val="none" w:sz="0" w:space="0" w:color="auto"/>
        <w:bottom w:val="none" w:sz="0" w:space="0" w:color="auto"/>
        <w:right w:val="none" w:sz="0" w:space="0" w:color="auto"/>
      </w:divBdr>
    </w:div>
    <w:div w:id="1239630130">
      <w:bodyDiv w:val="1"/>
      <w:marLeft w:val="0"/>
      <w:marRight w:val="0"/>
      <w:marTop w:val="0"/>
      <w:marBottom w:val="0"/>
      <w:divBdr>
        <w:top w:val="none" w:sz="0" w:space="0" w:color="auto"/>
        <w:left w:val="none" w:sz="0" w:space="0" w:color="auto"/>
        <w:bottom w:val="none" w:sz="0" w:space="0" w:color="auto"/>
        <w:right w:val="none" w:sz="0" w:space="0" w:color="auto"/>
      </w:divBdr>
    </w:div>
    <w:div w:id="1329552126">
      <w:bodyDiv w:val="1"/>
      <w:marLeft w:val="0"/>
      <w:marRight w:val="0"/>
      <w:marTop w:val="0"/>
      <w:marBottom w:val="0"/>
      <w:divBdr>
        <w:top w:val="none" w:sz="0" w:space="0" w:color="auto"/>
        <w:left w:val="none" w:sz="0" w:space="0" w:color="auto"/>
        <w:bottom w:val="none" w:sz="0" w:space="0" w:color="auto"/>
        <w:right w:val="none" w:sz="0" w:space="0" w:color="auto"/>
      </w:divBdr>
    </w:div>
    <w:div w:id="1363439197">
      <w:bodyDiv w:val="1"/>
      <w:marLeft w:val="0"/>
      <w:marRight w:val="0"/>
      <w:marTop w:val="0"/>
      <w:marBottom w:val="0"/>
      <w:divBdr>
        <w:top w:val="none" w:sz="0" w:space="0" w:color="auto"/>
        <w:left w:val="none" w:sz="0" w:space="0" w:color="auto"/>
        <w:bottom w:val="none" w:sz="0" w:space="0" w:color="auto"/>
        <w:right w:val="none" w:sz="0" w:space="0" w:color="auto"/>
      </w:divBdr>
    </w:div>
    <w:div w:id="1437671814">
      <w:bodyDiv w:val="1"/>
      <w:marLeft w:val="0"/>
      <w:marRight w:val="0"/>
      <w:marTop w:val="0"/>
      <w:marBottom w:val="0"/>
      <w:divBdr>
        <w:top w:val="none" w:sz="0" w:space="0" w:color="auto"/>
        <w:left w:val="none" w:sz="0" w:space="0" w:color="auto"/>
        <w:bottom w:val="none" w:sz="0" w:space="0" w:color="auto"/>
        <w:right w:val="none" w:sz="0" w:space="0" w:color="auto"/>
      </w:divBdr>
    </w:div>
    <w:div w:id="1445029899">
      <w:bodyDiv w:val="1"/>
      <w:marLeft w:val="0"/>
      <w:marRight w:val="0"/>
      <w:marTop w:val="0"/>
      <w:marBottom w:val="0"/>
      <w:divBdr>
        <w:top w:val="none" w:sz="0" w:space="0" w:color="auto"/>
        <w:left w:val="none" w:sz="0" w:space="0" w:color="auto"/>
        <w:bottom w:val="none" w:sz="0" w:space="0" w:color="auto"/>
        <w:right w:val="none" w:sz="0" w:space="0" w:color="auto"/>
      </w:divBdr>
    </w:div>
    <w:div w:id="1452823116">
      <w:bodyDiv w:val="1"/>
      <w:marLeft w:val="0"/>
      <w:marRight w:val="0"/>
      <w:marTop w:val="0"/>
      <w:marBottom w:val="0"/>
      <w:divBdr>
        <w:top w:val="none" w:sz="0" w:space="0" w:color="auto"/>
        <w:left w:val="none" w:sz="0" w:space="0" w:color="auto"/>
        <w:bottom w:val="none" w:sz="0" w:space="0" w:color="auto"/>
        <w:right w:val="none" w:sz="0" w:space="0" w:color="auto"/>
      </w:divBdr>
    </w:div>
    <w:div w:id="1634672801">
      <w:bodyDiv w:val="1"/>
      <w:marLeft w:val="0"/>
      <w:marRight w:val="0"/>
      <w:marTop w:val="0"/>
      <w:marBottom w:val="0"/>
      <w:divBdr>
        <w:top w:val="none" w:sz="0" w:space="0" w:color="auto"/>
        <w:left w:val="none" w:sz="0" w:space="0" w:color="auto"/>
        <w:bottom w:val="none" w:sz="0" w:space="0" w:color="auto"/>
        <w:right w:val="none" w:sz="0" w:space="0" w:color="auto"/>
      </w:divBdr>
    </w:div>
    <w:div w:id="1717925091">
      <w:bodyDiv w:val="1"/>
      <w:marLeft w:val="0"/>
      <w:marRight w:val="0"/>
      <w:marTop w:val="0"/>
      <w:marBottom w:val="0"/>
      <w:divBdr>
        <w:top w:val="none" w:sz="0" w:space="0" w:color="auto"/>
        <w:left w:val="none" w:sz="0" w:space="0" w:color="auto"/>
        <w:bottom w:val="none" w:sz="0" w:space="0" w:color="auto"/>
        <w:right w:val="none" w:sz="0" w:space="0" w:color="auto"/>
      </w:divBdr>
    </w:div>
    <w:div w:id="177540146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7183852">
      <w:bodyDiv w:val="1"/>
      <w:marLeft w:val="0"/>
      <w:marRight w:val="0"/>
      <w:marTop w:val="0"/>
      <w:marBottom w:val="0"/>
      <w:divBdr>
        <w:top w:val="none" w:sz="0" w:space="0" w:color="auto"/>
        <w:left w:val="none" w:sz="0" w:space="0" w:color="auto"/>
        <w:bottom w:val="none" w:sz="0" w:space="0" w:color="auto"/>
        <w:right w:val="none" w:sz="0" w:space="0" w:color="auto"/>
      </w:divBdr>
    </w:div>
    <w:div w:id="1909803358">
      <w:bodyDiv w:val="1"/>
      <w:marLeft w:val="0"/>
      <w:marRight w:val="0"/>
      <w:marTop w:val="0"/>
      <w:marBottom w:val="0"/>
      <w:divBdr>
        <w:top w:val="none" w:sz="0" w:space="0" w:color="auto"/>
        <w:left w:val="none" w:sz="0" w:space="0" w:color="auto"/>
        <w:bottom w:val="none" w:sz="0" w:space="0" w:color="auto"/>
        <w:right w:val="none" w:sz="0" w:space="0" w:color="auto"/>
      </w:divBdr>
    </w:div>
    <w:div w:id="1973099888">
      <w:bodyDiv w:val="1"/>
      <w:marLeft w:val="0"/>
      <w:marRight w:val="0"/>
      <w:marTop w:val="0"/>
      <w:marBottom w:val="0"/>
      <w:divBdr>
        <w:top w:val="none" w:sz="0" w:space="0" w:color="auto"/>
        <w:left w:val="none" w:sz="0" w:space="0" w:color="auto"/>
        <w:bottom w:val="none" w:sz="0" w:space="0" w:color="auto"/>
        <w:right w:val="none" w:sz="0" w:space="0" w:color="auto"/>
      </w:divBdr>
    </w:div>
    <w:div w:id="2089421204">
      <w:bodyDiv w:val="1"/>
      <w:marLeft w:val="0"/>
      <w:marRight w:val="0"/>
      <w:marTop w:val="0"/>
      <w:marBottom w:val="0"/>
      <w:divBdr>
        <w:top w:val="none" w:sz="0" w:space="0" w:color="auto"/>
        <w:left w:val="none" w:sz="0" w:space="0" w:color="auto"/>
        <w:bottom w:val="none" w:sz="0" w:space="0" w:color="auto"/>
        <w:right w:val="none" w:sz="0" w:space="0" w:color="auto"/>
      </w:divBdr>
    </w:div>
    <w:div w:id="209342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0B5B"/>
    <w:rsid w:val="000823A9"/>
    <w:rsid w:val="000C1F9D"/>
    <w:rsid w:val="001104B7"/>
    <w:rsid w:val="00156D13"/>
    <w:rsid w:val="001C3A36"/>
    <w:rsid w:val="00200821"/>
    <w:rsid w:val="00246796"/>
    <w:rsid w:val="00246E7B"/>
    <w:rsid w:val="00262CE0"/>
    <w:rsid w:val="00263098"/>
    <w:rsid w:val="00296B1F"/>
    <w:rsid w:val="00394049"/>
    <w:rsid w:val="003A140B"/>
    <w:rsid w:val="004615B7"/>
    <w:rsid w:val="004D1079"/>
    <w:rsid w:val="004D38E1"/>
    <w:rsid w:val="004D7B6B"/>
    <w:rsid w:val="004F2DF8"/>
    <w:rsid w:val="005A01E6"/>
    <w:rsid w:val="005B152A"/>
    <w:rsid w:val="005B601B"/>
    <w:rsid w:val="006C5513"/>
    <w:rsid w:val="007C4F7B"/>
    <w:rsid w:val="007D6D51"/>
    <w:rsid w:val="00863178"/>
    <w:rsid w:val="008927E4"/>
    <w:rsid w:val="009172CC"/>
    <w:rsid w:val="009A261B"/>
    <w:rsid w:val="009E036A"/>
    <w:rsid w:val="009F5EF7"/>
    <w:rsid w:val="00AC15A4"/>
    <w:rsid w:val="00B0336C"/>
    <w:rsid w:val="00B52830"/>
    <w:rsid w:val="00CA0487"/>
    <w:rsid w:val="00E63DBA"/>
    <w:rsid w:val="00F00D2F"/>
    <w:rsid w:val="00F128DF"/>
    <w:rsid w:val="00F554D0"/>
    <w:rsid w:val="00F71409"/>
    <w:rsid w:val="00FD0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897D-B2BC-4513-B5AF-95457C36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3824</Words>
  <Characters>20692</Characters>
  <Application>Microsoft Office Word</Application>
  <DocSecurity>0</DocSecurity>
  <Lines>390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392/21</dc:title>
  <dc:subject/>
  <dc:creator/>
  <cp:keywords/>
  <dc:description/>
  <cp:lastModifiedBy/>
  <cp:revision>1</cp:revision>
  <dcterms:created xsi:type="dcterms:W3CDTF">2022-02-16T19:22:00Z</dcterms:created>
  <dcterms:modified xsi:type="dcterms:W3CDTF">2022-02-16T19:23:00Z</dcterms:modified>
</cp:coreProperties>
</file>