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C57" w14:textId="77777777" w:rsidR="00040C3A" w:rsidRPr="00671AA7" w:rsidRDefault="00D306D1" w:rsidP="0044628A">
      <w:pPr>
        <w:jc w:val="both"/>
        <w:rPr>
          <w:rFonts w:asciiTheme="majorHAnsi" w:hAnsiTheme="majorHAnsi" w:cs="Univers"/>
          <w:b/>
          <w:bCs/>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ABEECE2" wp14:editId="799265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5DE8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71A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3D8FD5" wp14:editId="54C39B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9377D" w14:textId="77777777" w:rsidR="007B432F" w:rsidRDefault="007B432F" w:rsidP="00AE5488">
                            <w:r>
                              <w:rPr>
                                <w:noProof/>
                              </w:rPr>
                              <w:drawing>
                                <wp:inline distT="0" distB="0" distL="0" distR="0" wp14:anchorId="382041C6" wp14:editId="48881CA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8FD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CD9377D" w14:textId="77777777" w:rsidR="007B432F" w:rsidRDefault="007B432F" w:rsidP="00AE5488">
                      <w:r>
                        <w:rPr>
                          <w:noProof/>
                        </w:rPr>
                        <w:drawing>
                          <wp:inline distT="0" distB="0" distL="0" distR="0" wp14:anchorId="382041C6" wp14:editId="48881CA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3ECB9FA" w14:textId="77777777" w:rsidR="00040C3A" w:rsidRPr="00671AA7" w:rsidRDefault="00040C3A" w:rsidP="0044628A">
      <w:pPr>
        <w:suppressAutoHyphens/>
        <w:jc w:val="both"/>
        <w:rPr>
          <w:rFonts w:asciiTheme="majorHAnsi" w:hAnsiTheme="majorHAnsi"/>
          <w:sz w:val="22"/>
          <w:szCs w:val="22"/>
          <w:lang w:val="es-ES"/>
        </w:rPr>
      </w:pPr>
    </w:p>
    <w:p w14:paraId="4BA77387" w14:textId="77777777" w:rsidR="00040C3A" w:rsidRPr="00671AA7" w:rsidRDefault="00040C3A" w:rsidP="0044628A">
      <w:pPr>
        <w:suppressAutoHyphens/>
        <w:jc w:val="both"/>
        <w:rPr>
          <w:rFonts w:asciiTheme="majorHAnsi" w:hAnsiTheme="majorHAnsi"/>
          <w:sz w:val="22"/>
          <w:szCs w:val="22"/>
          <w:lang w:val="es-ES"/>
        </w:rPr>
      </w:pPr>
    </w:p>
    <w:p w14:paraId="7207D55C" w14:textId="77777777" w:rsidR="005128E4" w:rsidRPr="00671AA7" w:rsidRDefault="005128E4" w:rsidP="0044628A">
      <w:pPr>
        <w:suppressAutoHyphens/>
        <w:rPr>
          <w:rFonts w:asciiTheme="majorHAnsi" w:hAnsiTheme="majorHAnsi"/>
          <w:sz w:val="22"/>
          <w:szCs w:val="22"/>
          <w:lang w:val="es-ES"/>
        </w:rPr>
      </w:pPr>
    </w:p>
    <w:p w14:paraId="31912A07" w14:textId="77777777" w:rsidR="005128E4" w:rsidRPr="00671AA7" w:rsidRDefault="005128E4" w:rsidP="0044628A">
      <w:pPr>
        <w:suppressAutoHyphens/>
        <w:rPr>
          <w:rFonts w:asciiTheme="majorHAnsi" w:hAnsiTheme="majorHAnsi"/>
          <w:sz w:val="22"/>
          <w:szCs w:val="22"/>
          <w:lang w:val="es-ES"/>
        </w:rPr>
      </w:pPr>
    </w:p>
    <w:p w14:paraId="29060EE8" w14:textId="77777777" w:rsidR="005128E4" w:rsidRPr="00671AA7" w:rsidRDefault="005128E4" w:rsidP="0044628A">
      <w:pPr>
        <w:suppressAutoHyphens/>
        <w:rPr>
          <w:rFonts w:asciiTheme="majorHAnsi" w:hAnsiTheme="majorHAnsi"/>
          <w:sz w:val="22"/>
          <w:szCs w:val="22"/>
          <w:lang w:val="es-ES"/>
        </w:rPr>
      </w:pPr>
    </w:p>
    <w:p w14:paraId="6876B53E" w14:textId="77777777" w:rsidR="00040C3A" w:rsidRPr="00671AA7" w:rsidRDefault="00040C3A" w:rsidP="0044628A">
      <w:pPr>
        <w:suppressAutoHyphens/>
        <w:jc w:val="center"/>
        <w:rPr>
          <w:rFonts w:asciiTheme="majorHAnsi" w:hAnsiTheme="majorHAnsi"/>
          <w:sz w:val="22"/>
          <w:szCs w:val="22"/>
          <w:lang w:val="es-ES"/>
        </w:rPr>
      </w:pPr>
    </w:p>
    <w:p w14:paraId="2D13F8FF" w14:textId="77777777" w:rsidR="00040C3A" w:rsidRPr="00671AA7" w:rsidRDefault="00040C3A" w:rsidP="0044628A">
      <w:pPr>
        <w:suppressAutoHyphens/>
        <w:jc w:val="center"/>
        <w:rPr>
          <w:rFonts w:asciiTheme="majorHAnsi" w:hAnsiTheme="majorHAnsi"/>
          <w:sz w:val="22"/>
          <w:szCs w:val="22"/>
          <w:lang w:val="es-ES"/>
        </w:rPr>
      </w:pPr>
    </w:p>
    <w:p w14:paraId="72441092" w14:textId="77777777" w:rsidR="005B52B0" w:rsidRPr="00671AA7" w:rsidRDefault="005B52B0" w:rsidP="0044628A">
      <w:pPr>
        <w:suppressAutoHyphens/>
        <w:jc w:val="center"/>
        <w:rPr>
          <w:rFonts w:asciiTheme="majorHAnsi" w:hAnsiTheme="majorHAnsi"/>
          <w:sz w:val="22"/>
          <w:szCs w:val="22"/>
          <w:lang w:val="es-ES"/>
        </w:rPr>
      </w:pPr>
    </w:p>
    <w:p w14:paraId="383CAB3F" w14:textId="77777777" w:rsidR="005B52B0" w:rsidRPr="00671AA7" w:rsidRDefault="005B52B0" w:rsidP="0044628A">
      <w:pPr>
        <w:suppressAutoHyphens/>
        <w:jc w:val="center"/>
        <w:rPr>
          <w:rFonts w:asciiTheme="majorHAnsi" w:hAnsiTheme="majorHAnsi"/>
          <w:sz w:val="22"/>
          <w:szCs w:val="22"/>
          <w:lang w:val="es-ES"/>
        </w:rPr>
      </w:pPr>
    </w:p>
    <w:p w14:paraId="0A82739F" w14:textId="77777777" w:rsidR="005B52B0" w:rsidRPr="00671AA7" w:rsidRDefault="005B52B0" w:rsidP="0044628A">
      <w:pPr>
        <w:suppressAutoHyphens/>
        <w:jc w:val="center"/>
        <w:rPr>
          <w:rFonts w:asciiTheme="majorHAnsi" w:hAnsiTheme="majorHAnsi"/>
          <w:sz w:val="22"/>
          <w:szCs w:val="22"/>
          <w:lang w:val="es-ES"/>
        </w:rPr>
      </w:pPr>
    </w:p>
    <w:p w14:paraId="499A452C" w14:textId="77777777" w:rsidR="00040C3A" w:rsidRPr="00671AA7" w:rsidRDefault="00040C3A" w:rsidP="0044628A">
      <w:pPr>
        <w:suppressAutoHyphens/>
        <w:jc w:val="center"/>
        <w:rPr>
          <w:rFonts w:asciiTheme="majorHAnsi" w:hAnsiTheme="majorHAnsi"/>
          <w:sz w:val="22"/>
          <w:szCs w:val="22"/>
          <w:lang w:val="es-ES"/>
        </w:rPr>
      </w:pPr>
    </w:p>
    <w:p w14:paraId="3E5C7B7B" w14:textId="77777777" w:rsidR="00040C3A" w:rsidRPr="00671AA7" w:rsidRDefault="00040C3A" w:rsidP="0044628A">
      <w:pPr>
        <w:suppressAutoHyphens/>
        <w:jc w:val="center"/>
        <w:rPr>
          <w:rFonts w:asciiTheme="majorHAnsi" w:hAnsiTheme="majorHAnsi"/>
          <w:sz w:val="22"/>
          <w:szCs w:val="22"/>
          <w:lang w:val="es-ES"/>
        </w:rPr>
      </w:pPr>
    </w:p>
    <w:p w14:paraId="7CF9F6FF" w14:textId="77777777" w:rsidR="00040C3A" w:rsidRPr="00671AA7" w:rsidRDefault="003D3BC2" w:rsidP="0044628A">
      <w:pPr>
        <w:suppressAutoHyphens/>
        <w:jc w:val="center"/>
        <w:rPr>
          <w:rFonts w:asciiTheme="majorHAnsi" w:hAnsiTheme="majorHAnsi"/>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3ABF29" wp14:editId="3BC468C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F7ACC" w14:textId="50542C27" w:rsidR="007B432F" w:rsidRPr="004E2649" w:rsidRDefault="007B432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434FD">
                              <w:rPr>
                                <w:rFonts w:asciiTheme="majorHAnsi" w:hAnsiTheme="majorHAnsi" w:cs="Arial"/>
                                <w:b/>
                                <w:bCs/>
                                <w:color w:val="0D0D0D" w:themeColor="text1" w:themeTint="F2"/>
                                <w:sz w:val="36"/>
                                <w:szCs w:val="22"/>
                                <w:lang w:val="es-ES_tradnl"/>
                              </w:rPr>
                              <w:t>231</w:t>
                            </w:r>
                            <w:r>
                              <w:rPr>
                                <w:rFonts w:asciiTheme="majorHAnsi" w:hAnsiTheme="majorHAnsi" w:cs="Arial"/>
                                <w:b/>
                                <w:bCs/>
                                <w:color w:val="0D0D0D" w:themeColor="text1" w:themeTint="F2"/>
                                <w:sz w:val="36"/>
                                <w:szCs w:val="22"/>
                                <w:lang w:val="es-ES_tradnl"/>
                              </w:rPr>
                              <w:t>/</w:t>
                            </w:r>
                            <w:r w:rsidR="009F0A6F">
                              <w:rPr>
                                <w:rFonts w:asciiTheme="majorHAnsi" w:hAnsiTheme="majorHAnsi" w:cs="Arial"/>
                                <w:b/>
                                <w:bCs/>
                                <w:color w:val="0D0D0D" w:themeColor="text1" w:themeTint="F2"/>
                                <w:sz w:val="36"/>
                                <w:szCs w:val="22"/>
                                <w:lang w:val="es-ES_tradnl"/>
                              </w:rPr>
                              <w:t>21</w:t>
                            </w:r>
                          </w:p>
                          <w:p w14:paraId="40E6CA16" w14:textId="77777777" w:rsidR="007B432F" w:rsidRDefault="007B432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245-10</w:t>
                            </w:r>
                            <w:r w:rsidRPr="004E2649">
                              <w:rPr>
                                <w:rFonts w:asciiTheme="majorHAnsi" w:hAnsiTheme="majorHAnsi" w:cs="Arial"/>
                                <w:b/>
                                <w:color w:val="0D0D0D" w:themeColor="text1" w:themeTint="F2"/>
                                <w:sz w:val="36"/>
                                <w:szCs w:val="22"/>
                                <w:lang w:val="es-ES_tradnl"/>
                              </w:rPr>
                              <w:t xml:space="preserve"> </w:t>
                            </w:r>
                          </w:p>
                          <w:p w14:paraId="70E38FFF"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35881">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651819F4"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8A88A44" w14:textId="77777777" w:rsidR="007B432F" w:rsidRPr="001D7D40" w:rsidRDefault="007B432F" w:rsidP="00B466F3">
                            <w:pPr>
                              <w:spacing w:line="276" w:lineRule="auto"/>
                              <w:rPr>
                                <w:rFonts w:asciiTheme="majorHAnsi" w:hAnsiTheme="majorHAnsi" w:cs="Arial"/>
                                <w:color w:val="0D0D0D" w:themeColor="text1" w:themeTint="F2"/>
                                <w:szCs w:val="22"/>
                                <w:lang w:val="es-PA"/>
                              </w:rPr>
                            </w:pPr>
                            <w:r w:rsidRPr="001D7D40">
                              <w:rPr>
                                <w:rFonts w:asciiTheme="majorHAnsi" w:hAnsiTheme="majorHAnsi" w:cs="Arial"/>
                                <w:color w:val="0D0D0D" w:themeColor="text1" w:themeTint="F2"/>
                                <w:szCs w:val="22"/>
                                <w:lang w:val="es-PA"/>
                              </w:rPr>
                              <w:t>GASTÓN RAMÓN PESCE ECHEVERZ</w:t>
                            </w:r>
                          </w:p>
                          <w:p w14:paraId="24CD50BC" w14:textId="77777777" w:rsidR="007B432F" w:rsidRPr="00CE1761" w:rsidRDefault="007B432F"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URUGUAY</w:t>
                            </w:r>
                          </w:p>
                          <w:p w14:paraId="739F03B3" w14:textId="77777777" w:rsidR="007B432F" w:rsidRPr="00AE5488" w:rsidRDefault="007B432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ABF2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0F7ACC" w14:textId="50542C27" w:rsidR="007B432F" w:rsidRPr="004E2649" w:rsidRDefault="007B432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434FD">
                        <w:rPr>
                          <w:rFonts w:asciiTheme="majorHAnsi" w:hAnsiTheme="majorHAnsi" w:cs="Arial"/>
                          <w:b/>
                          <w:bCs/>
                          <w:color w:val="0D0D0D" w:themeColor="text1" w:themeTint="F2"/>
                          <w:sz w:val="36"/>
                          <w:szCs w:val="22"/>
                          <w:lang w:val="es-ES_tradnl"/>
                        </w:rPr>
                        <w:t>231</w:t>
                      </w:r>
                      <w:r>
                        <w:rPr>
                          <w:rFonts w:asciiTheme="majorHAnsi" w:hAnsiTheme="majorHAnsi" w:cs="Arial"/>
                          <w:b/>
                          <w:bCs/>
                          <w:color w:val="0D0D0D" w:themeColor="text1" w:themeTint="F2"/>
                          <w:sz w:val="36"/>
                          <w:szCs w:val="22"/>
                          <w:lang w:val="es-ES_tradnl"/>
                        </w:rPr>
                        <w:t>/</w:t>
                      </w:r>
                      <w:r w:rsidR="009F0A6F">
                        <w:rPr>
                          <w:rFonts w:asciiTheme="majorHAnsi" w:hAnsiTheme="majorHAnsi" w:cs="Arial"/>
                          <w:b/>
                          <w:bCs/>
                          <w:color w:val="0D0D0D" w:themeColor="text1" w:themeTint="F2"/>
                          <w:sz w:val="36"/>
                          <w:szCs w:val="22"/>
                          <w:lang w:val="es-ES_tradnl"/>
                        </w:rPr>
                        <w:t>21</w:t>
                      </w:r>
                    </w:p>
                    <w:p w14:paraId="40E6CA16" w14:textId="77777777" w:rsidR="007B432F" w:rsidRDefault="007B432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245-10</w:t>
                      </w:r>
                      <w:r w:rsidRPr="004E2649">
                        <w:rPr>
                          <w:rFonts w:asciiTheme="majorHAnsi" w:hAnsiTheme="majorHAnsi" w:cs="Arial"/>
                          <w:b/>
                          <w:color w:val="0D0D0D" w:themeColor="text1" w:themeTint="F2"/>
                          <w:sz w:val="36"/>
                          <w:szCs w:val="22"/>
                          <w:lang w:val="es-ES_tradnl"/>
                        </w:rPr>
                        <w:t xml:space="preserve"> </w:t>
                      </w:r>
                    </w:p>
                    <w:p w14:paraId="70E38FFF"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35881">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651819F4" w14:textId="77777777" w:rsidR="007B432F" w:rsidRPr="0010736F" w:rsidRDefault="007B432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8A88A44" w14:textId="77777777" w:rsidR="007B432F" w:rsidRPr="001D7D40" w:rsidRDefault="007B432F" w:rsidP="00B466F3">
                      <w:pPr>
                        <w:spacing w:line="276" w:lineRule="auto"/>
                        <w:rPr>
                          <w:rFonts w:asciiTheme="majorHAnsi" w:hAnsiTheme="majorHAnsi" w:cs="Arial"/>
                          <w:color w:val="0D0D0D" w:themeColor="text1" w:themeTint="F2"/>
                          <w:szCs w:val="22"/>
                          <w:lang w:val="es-PA"/>
                        </w:rPr>
                      </w:pPr>
                      <w:r w:rsidRPr="001D7D40">
                        <w:rPr>
                          <w:rFonts w:asciiTheme="majorHAnsi" w:hAnsiTheme="majorHAnsi" w:cs="Arial"/>
                          <w:color w:val="0D0D0D" w:themeColor="text1" w:themeTint="F2"/>
                          <w:szCs w:val="22"/>
                          <w:lang w:val="es-PA"/>
                        </w:rPr>
                        <w:t>GASTÓN RAMÓN PESCE ECHEVERZ</w:t>
                      </w:r>
                    </w:p>
                    <w:p w14:paraId="24CD50BC" w14:textId="77777777" w:rsidR="007B432F" w:rsidRPr="00CE1761" w:rsidRDefault="007B432F"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URUGUAY</w:t>
                      </w:r>
                    </w:p>
                    <w:p w14:paraId="739F03B3" w14:textId="77777777" w:rsidR="007B432F" w:rsidRPr="00AE5488" w:rsidRDefault="007B432F" w:rsidP="007A5817">
                      <w:pPr>
                        <w:rPr>
                          <w:color w:val="0D0D0D" w:themeColor="text1" w:themeTint="F2"/>
                          <w:lang w:val="es-ES_tradnl"/>
                        </w:rPr>
                      </w:pPr>
                    </w:p>
                  </w:txbxContent>
                </v:textbox>
              </v:shape>
            </w:pict>
          </mc:Fallback>
        </mc:AlternateContent>
      </w:r>
      <w:r w:rsidR="004E2649" w:rsidRPr="00671A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F46EE2" wp14:editId="544ED71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0440" w14:textId="42E7681D" w:rsidR="007B432F" w:rsidRPr="004E2649" w:rsidRDefault="007B432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17F068" w14:textId="5186B4DB" w:rsidR="007B432F" w:rsidRPr="004E2649" w:rsidRDefault="007B432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434FD">
                              <w:rPr>
                                <w:rFonts w:asciiTheme="minorHAnsi" w:hAnsiTheme="minorHAnsi"/>
                                <w:color w:val="FFFFFF" w:themeColor="background1"/>
                                <w:sz w:val="22"/>
                                <w:lang w:val="pt-BR"/>
                              </w:rPr>
                              <w:t>239</w:t>
                            </w:r>
                          </w:p>
                          <w:p w14:paraId="466E8180" w14:textId="00FCD0B7" w:rsidR="007B432F" w:rsidRPr="004577AB" w:rsidRDefault="002434F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9 septiembre</w:t>
                            </w:r>
                            <w:r w:rsidR="007B432F" w:rsidRPr="004577AB">
                              <w:rPr>
                                <w:rFonts w:asciiTheme="minorHAnsi" w:hAnsiTheme="minorHAnsi"/>
                                <w:color w:val="FFFFFF" w:themeColor="background1"/>
                                <w:sz w:val="22"/>
                                <w:lang w:val="es-CO"/>
                              </w:rPr>
                              <w:t xml:space="preserve"> 20</w:t>
                            </w:r>
                            <w:r>
                              <w:rPr>
                                <w:rFonts w:asciiTheme="minorHAnsi" w:hAnsiTheme="minorHAnsi"/>
                                <w:color w:val="FFFFFF" w:themeColor="background1"/>
                                <w:sz w:val="22"/>
                                <w:lang w:val="es-CO"/>
                              </w:rPr>
                              <w:t>2</w:t>
                            </w:r>
                            <w:r w:rsidR="007B432F" w:rsidRPr="004577AB">
                              <w:rPr>
                                <w:rFonts w:asciiTheme="minorHAnsi" w:hAnsiTheme="minorHAnsi"/>
                                <w:color w:val="FFFFFF" w:themeColor="background1"/>
                                <w:sz w:val="22"/>
                                <w:lang w:val="es-CO"/>
                              </w:rPr>
                              <w:t>1</w:t>
                            </w:r>
                          </w:p>
                          <w:p w14:paraId="186ADC6D" w14:textId="77777777" w:rsidR="007B432F" w:rsidRPr="00B466F3" w:rsidRDefault="007B432F"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6EE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C880440" w14:textId="42E7681D" w:rsidR="007B432F" w:rsidRPr="004E2649" w:rsidRDefault="007B432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17F068" w14:textId="5186B4DB" w:rsidR="007B432F" w:rsidRPr="004E2649" w:rsidRDefault="007B432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434FD">
                        <w:rPr>
                          <w:rFonts w:asciiTheme="minorHAnsi" w:hAnsiTheme="minorHAnsi"/>
                          <w:color w:val="FFFFFF" w:themeColor="background1"/>
                          <w:sz w:val="22"/>
                          <w:lang w:val="pt-BR"/>
                        </w:rPr>
                        <w:t>239</w:t>
                      </w:r>
                    </w:p>
                    <w:p w14:paraId="466E8180" w14:textId="00FCD0B7" w:rsidR="007B432F" w:rsidRPr="004577AB" w:rsidRDefault="002434F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9 septiembre</w:t>
                      </w:r>
                      <w:r w:rsidR="007B432F" w:rsidRPr="004577AB">
                        <w:rPr>
                          <w:rFonts w:asciiTheme="minorHAnsi" w:hAnsiTheme="minorHAnsi"/>
                          <w:color w:val="FFFFFF" w:themeColor="background1"/>
                          <w:sz w:val="22"/>
                          <w:lang w:val="es-CO"/>
                        </w:rPr>
                        <w:t xml:space="preserve"> 20</w:t>
                      </w:r>
                      <w:r>
                        <w:rPr>
                          <w:rFonts w:asciiTheme="minorHAnsi" w:hAnsiTheme="minorHAnsi"/>
                          <w:color w:val="FFFFFF" w:themeColor="background1"/>
                          <w:sz w:val="22"/>
                          <w:lang w:val="es-CO"/>
                        </w:rPr>
                        <w:t>2</w:t>
                      </w:r>
                      <w:r w:rsidR="007B432F" w:rsidRPr="004577AB">
                        <w:rPr>
                          <w:rFonts w:asciiTheme="minorHAnsi" w:hAnsiTheme="minorHAnsi"/>
                          <w:color w:val="FFFFFF" w:themeColor="background1"/>
                          <w:sz w:val="22"/>
                          <w:lang w:val="es-CO"/>
                        </w:rPr>
                        <w:t>1</w:t>
                      </w:r>
                    </w:p>
                    <w:p w14:paraId="186ADC6D" w14:textId="77777777" w:rsidR="007B432F" w:rsidRPr="00B466F3" w:rsidRDefault="007B432F"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v:textbox>
              </v:shape>
            </w:pict>
          </mc:Fallback>
        </mc:AlternateContent>
      </w:r>
    </w:p>
    <w:p w14:paraId="1C858242" w14:textId="77777777" w:rsidR="00040C3A" w:rsidRPr="00671AA7" w:rsidRDefault="00040C3A" w:rsidP="0044628A">
      <w:pPr>
        <w:suppressAutoHyphens/>
        <w:jc w:val="center"/>
        <w:rPr>
          <w:rFonts w:asciiTheme="majorHAnsi" w:hAnsiTheme="majorHAnsi"/>
          <w:sz w:val="22"/>
          <w:szCs w:val="22"/>
          <w:lang w:val="es-ES"/>
        </w:rPr>
      </w:pPr>
    </w:p>
    <w:p w14:paraId="48E2EDED" w14:textId="77777777" w:rsidR="00040C3A" w:rsidRPr="00671AA7" w:rsidRDefault="00040C3A" w:rsidP="0044628A">
      <w:pPr>
        <w:suppressAutoHyphens/>
        <w:jc w:val="center"/>
        <w:rPr>
          <w:rFonts w:asciiTheme="majorHAnsi" w:hAnsiTheme="majorHAnsi"/>
          <w:sz w:val="22"/>
          <w:szCs w:val="22"/>
          <w:lang w:val="es-ES"/>
        </w:rPr>
      </w:pPr>
    </w:p>
    <w:p w14:paraId="44CE6FAB" w14:textId="77777777" w:rsidR="00040C3A" w:rsidRPr="00671AA7" w:rsidRDefault="00040C3A" w:rsidP="0044628A">
      <w:pPr>
        <w:suppressAutoHyphens/>
        <w:jc w:val="center"/>
        <w:rPr>
          <w:rFonts w:asciiTheme="majorHAnsi" w:hAnsiTheme="majorHAnsi" w:cs="Arial"/>
          <w:sz w:val="22"/>
          <w:szCs w:val="22"/>
          <w:lang w:val="es-ES"/>
        </w:rPr>
      </w:pPr>
    </w:p>
    <w:p w14:paraId="3E9ED368" w14:textId="77777777" w:rsidR="00040C3A" w:rsidRPr="00671AA7" w:rsidRDefault="00040C3A" w:rsidP="0044628A">
      <w:pPr>
        <w:suppressAutoHyphens/>
        <w:jc w:val="center"/>
        <w:rPr>
          <w:rFonts w:asciiTheme="majorHAnsi" w:hAnsiTheme="majorHAnsi"/>
          <w:sz w:val="22"/>
          <w:szCs w:val="22"/>
          <w:lang w:val="es-ES"/>
        </w:rPr>
      </w:pPr>
    </w:p>
    <w:p w14:paraId="6E20FFEA" w14:textId="77777777" w:rsidR="00040C3A" w:rsidRPr="00671AA7" w:rsidRDefault="00040C3A" w:rsidP="0044628A">
      <w:pPr>
        <w:suppressAutoHyphens/>
        <w:jc w:val="center"/>
        <w:rPr>
          <w:rFonts w:asciiTheme="majorHAnsi" w:hAnsiTheme="majorHAnsi"/>
          <w:sz w:val="22"/>
          <w:szCs w:val="22"/>
          <w:lang w:val="es-ES"/>
        </w:rPr>
      </w:pPr>
    </w:p>
    <w:p w14:paraId="0306AAA0" w14:textId="77777777" w:rsidR="00040C3A" w:rsidRPr="00671AA7" w:rsidRDefault="00040C3A" w:rsidP="0044628A">
      <w:pPr>
        <w:suppressAutoHyphens/>
        <w:jc w:val="center"/>
        <w:rPr>
          <w:rFonts w:asciiTheme="majorHAnsi" w:hAnsiTheme="majorHAnsi"/>
          <w:sz w:val="22"/>
          <w:szCs w:val="22"/>
          <w:lang w:val="es-ES"/>
        </w:rPr>
      </w:pPr>
    </w:p>
    <w:p w14:paraId="31CC5DEB" w14:textId="77777777" w:rsidR="00040C3A" w:rsidRPr="00671AA7" w:rsidRDefault="00040C3A" w:rsidP="0044628A">
      <w:pPr>
        <w:suppressAutoHyphens/>
        <w:jc w:val="center"/>
        <w:rPr>
          <w:rFonts w:asciiTheme="majorHAnsi" w:hAnsiTheme="majorHAnsi"/>
          <w:sz w:val="22"/>
          <w:szCs w:val="22"/>
          <w:lang w:val="es-ES"/>
        </w:rPr>
      </w:pPr>
    </w:p>
    <w:p w14:paraId="083BD725" w14:textId="77777777" w:rsidR="005128E4" w:rsidRPr="00671AA7" w:rsidRDefault="005128E4" w:rsidP="0044628A">
      <w:pPr>
        <w:suppressAutoHyphens/>
        <w:jc w:val="center"/>
        <w:rPr>
          <w:rFonts w:asciiTheme="majorHAnsi" w:hAnsiTheme="majorHAnsi"/>
          <w:sz w:val="22"/>
          <w:szCs w:val="22"/>
          <w:lang w:val="es-ES"/>
        </w:rPr>
      </w:pPr>
    </w:p>
    <w:p w14:paraId="7AB95797" w14:textId="77777777" w:rsidR="00040C3A" w:rsidRPr="00671AA7" w:rsidRDefault="00040C3A" w:rsidP="0044628A">
      <w:pPr>
        <w:suppressAutoHyphens/>
        <w:jc w:val="center"/>
        <w:rPr>
          <w:rFonts w:asciiTheme="majorHAnsi" w:hAnsiTheme="majorHAnsi"/>
          <w:sz w:val="22"/>
          <w:szCs w:val="22"/>
          <w:lang w:val="es-ES"/>
        </w:rPr>
      </w:pPr>
    </w:p>
    <w:p w14:paraId="3362420E" w14:textId="77777777" w:rsidR="005128E4" w:rsidRPr="00671AA7" w:rsidRDefault="005128E4" w:rsidP="0044628A">
      <w:pPr>
        <w:suppressAutoHyphens/>
        <w:jc w:val="center"/>
        <w:rPr>
          <w:rFonts w:asciiTheme="majorHAnsi" w:hAnsiTheme="majorHAnsi"/>
          <w:sz w:val="22"/>
          <w:szCs w:val="22"/>
          <w:lang w:val="es-ES"/>
        </w:rPr>
      </w:pPr>
    </w:p>
    <w:p w14:paraId="5B8CD2D9" w14:textId="77777777" w:rsidR="005128E4" w:rsidRPr="00671AA7" w:rsidRDefault="005128E4" w:rsidP="0044628A">
      <w:pPr>
        <w:suppressAutoHyphens/>
        <w:jc w:val="center"/>
        <w:rPr>
          <w:rFonts w:asciiTheme="majorHAnsi" w:hAnsiTheme="majorHAnsi"/>
          <w:sz w:val="22"/>
          <w:szCs w:val="22"/>
          <w:lang w:val="es-ES"/>
        </w:rPr>
      </w:pPr>
    </w:p>
    <w:p w14:paraId="4481BEC6" w14:textId="77777777" w:rsidR="005128E4" w:rsidRPr="00671AA7" w:rsidRDefault="005128E4" w:rsidP="0044628A">
      <w:pPr>
        <w:suppressAutoHyphens/>
        <w:jc w:val="center"/>
        <w:rPr>
          <w:rFonts w:asciiTheme="majorHAnsi" w:hAnsiTheme="majorHAnsi"/>
          <w:sz w:val="22"/>
          <w:szCs w:val="22"/>
          <w:lang w:val="es-ES"/>
        </w:rPr>
      </w:pPr>
    </w:p>
    <w:p w14:paraId="40809A01" w14:textId="77777777" w:rsidR="00040C3A" w:rsidRPr="00671AA7" w:rsidRDefault="00040C3A" w:rsidP="0044628A">
      <w:pPr>
        <w:suppressAutoHyphens/>
        <w:jc w:val="center"/>
        <w:rPr>
          <w:rFonts w:asciiTheme="majorHAnsi" w:hAnsiTheme="majorHAnsi"/>
          <w:sz w:val="22"/>
          <w:szCs w:val="22"/>
          <w:lang w:val="es-ES"/>
        </w:rPr>
      </w:pPr>
    </w:p>
    <w:p w14:paraId="20A0FDAB" w14:textId="77777777" w:rsidR="00040C3A" w:rsidRPr="00671AA7" w:rsidRDefault="00040C3A" w:rsidP="0044628A">
      <w:pPr>
        <w:suppressAutoHyphens/>
        <w:jc w:val="center"/>
        <w:rPr>
          <w:rFonts w:asciiTheme="majorHAnsi" w:hAnsiTheme="majorHAnsi"/>
          <w:sz w:val="22"/>
          <w:szCs w:val="22"/>
          <w:lang w:val="es-ES"/>
        </w:rPr>
      </w:pPr>
    </w:p>
    <w:p w14:paraId="5B3052C6" w14:textId="77777777" w:rsidR="00A50FCF" w:rsidRPr="00671AA7" w:rsidRDefault="00A50FCF" w:rsidP="0044628A">
      <w:pPr>
        <w:suppressAutoHyphens/>
        <w:jc w:val="center"/>
        <w:rPr>
          <w:rFonts w:asciiTheme="majorHAnsi" w:hAnsiTheme="majorHAnsi"/>
          <w:sz w:val="18"/>
          <w:szCs w:val="22"/>
          <w:lang w:val="es-ES"/>
        </w:rPr>
      </w:pPr>
    </w:p>
    <w:p w14:paraId="67E464F9" w14:textId="77777777" w:rsidR="00A50FCF" w:rsidRPr="00671AA7" w:rsidRDefault="00A50FCF" w:rsidP="0044628A">
      <w:pPr>
        <w:suppressAutoHyphens/>
        <w:jc w:val="center"/>
        <w:rPr>
          <w:rFonts w:asciiTheme="majorHAnsi" w:hAnsiTheme="majorHAnsi"/>
          <w:sz w:val="18"/>
          <w:szCs w:val="22"/>
          <w:lang w:val="es-ES"/>
        </w:rPr>
      </w:pPr>
    </w:p>
    <w:p w14:paraId="400285A4" w14:textId="77777777" w:rsidR="00A50FCF" w:rsidRPr="00671AA7" w:rsidRDefault="00A50FCF" w:rsidP="0044628A">
      <w:pPr>
        <w:suppressAutoHyphens/>
        <w:jc w:val="center"/>
        <w:rPr>
          <w:rFonts w:asciiTheme="majorHAnsi" w:hAnsiTheme="majorHAnsi"/>
          <w:sz w:val="18"/>
          <w:szCs w:val="22"/>
          <w:lang w:val="es-ES"/>
        </w:rPr>
      </w:pPr>
    </w:p>
    <w:p w14:paraId="3BCDAE9C" w14:textId="77777777" w:rsidR="00A50FCF" w:rsidRPr="00671AA7" w:rsidRDefault="00A50FCF" w:rsidP="0044628A">
      <w:pPr>
        <w:suppressAutoHyphens/>
        <w:jc w:val="center"/>
        <w:rPr>
          <w:rFonts w:asciiTheme="majorHAnsi" w:hAnsiTheme="majorHAnsi"/>
          <w:sz w:val="18"/>
          <w:szCs w:val="22"/>
          <w:lang w:val="es-ES"/>
        </w:rPr>
      </w:pPr>
    </w:p>
    <w:p w14:paraId="5CB05BD4" w14:textId="77777777" w:rsidR="00A50FCF" w:rsidRPr="00671AA7" w:rsidRDefault="00A50FCF" w:rsidP="0044628A">
      <w:pPr>
        <w:suppressAutoHyphens/>
        <w:jc w:val="center"/>
        <w:rPr>
          <w:rFonts w:asciiTheme="majorHAnsi" w:hAnsiTheme="majorHAnsi"/>
          <w:sz w:val="18"/>
          <w:szCs w:val="22"/>
          <w:lang w:val="es-ES"/>
        </w:rPr>
      </w:pPr>
    </w:p>
    <w:p w14:paraId="74BFC6F4" w14:textId="77777777" w:rsidR="00A50FCF" w:rsidRPr="00671AA7" w:rsidRDefault="00A50FCF" w:rsidP="0044628A">
      <w:pPr>
        <w:suppressAutoHyphens/>
        <w:jc w:val="center"/>
        <w:rPr>
          <w:rFonts w:asciiTheme="majorHAnsi" w:hAnsiTheme="majorHAnsi"/>
          <w:sz w:val="18"/>
          <w:szCs w:val="22"/>
          <w:lang w:val="es-ES"/>
        </w:rPr>
      </w:pPr>
    </w:p>
    <w:p w14:paraId="7C4070E7" w14:textId="77777777" w:rsidR="00A50FCF" w:rsidRPr="00671AA7" w:rsidRDefault="00A50FCF" w:rsidP="0044628A">
      <w:pPr>
        <w:suppressAutoHyphens/>
        <w:jc w:val="center"/>
        <w:rPr>
          <w:rFonts w:asciiTheme="majorHAnsi" w:hAnsiTheme="majorHAnsi"/>
          <w:sz w:val="18"/>
          <w:szCs w:val="22"/>
          <w:lang w:val="es-ES"/>
        </w:rPr>
      </w:pPr>
    </w:p>
    <w:p w14:paraId="4F384E45" w14:textId="77777777" w:rsidR="00A50FCF" w:rsidRPr="00671AA7" w:rsidRDefault="00A50FCF" w:rsidP="0044628A">
      <w:pPr>
        <w:suppressAutoHyphens/>
        <w:jc w:val="center"/>
        <w:rPr>
          <w:rFonts w:asciiTheme="majorHAnsi" w:hAnsiTheme="majorHAnsi"/>
          <w:sz w:val="18"/>
          <w:szCs w:val="22"/>
          <w:lang w:val="es-ES"/>
        </w:rPr>
      </w:pPr>
    </w:p>
    <w:p w14:paraId="3E1F8CC0" w14:textId="77777777" w:rsidR="00A50FCF" w:rsidRPr="00671AA7" w:rsidRDefault="00A50FCF" w:rsidP="0044628A">
      <w:pPr>
        <w:suppressAutoHyphens/>
        <w:jc w:val="center"/>
        <w:rPr>
          <w:rFonts w:asciiTheme="majorHAnsi" w:hAnsiTheme="majorHAnsi"/>
          <w:sz w:val="18"/>
          <w:szCs w:val="22"/>
          <w:lang w:val="es-ES"/>
        </w:rPr>
      </w:pPr>
    </w:p>
    <w:p w14:paraId="5B6779DD" w14:textId="77777777" w:rsidR="00A50FCF" w:rsidRPr="00671AA7" w:rsidRDefault="00A50FCF" w:rsidP="0044628A">
      <w:pPr>
        <w:suppressAutoHyphens/>
        <w:jc w:val="center"/>
        <w:rPr>
          <w:rFonts w:asciiTheme="majorHAnsi" w:hAnsiTheme="majorHAnsi"/>
          <w:sz w:val="18"/>
          <w:szCs w:val="22"/>
          <w:lang w:val="es-ES"/>
        </w:rPr>
      </w:pPr>
    </w:p>
    <w:p w14:paraId="2BBB0481" w14:textId="77777777" w:rsidR="00A50FCF" w:rsidRPr="00671AA7" w:rsidRDefault="00A50FCF" w:rsidP="0044628A">
      <w:pPr>
        <w:suppressAutoHyphens/>
        <w:jc w:val="center"/>
        <w:rPr>
          <w:rFonts w:asciiTheme="majorHAnsi" w:hAnsiTheme="majorHAnsi"/>
          <w:sz w:val="18"/>
          <w:szCs w:val="22"/>
          <w:lang w:val="es-ES"/>
        </w:rPr>
      </w:pPr>
    </w:p>
    <w:p w14:paraId="40A88DF3" w14:textId="77777777" w:rsidR="00A50FCF" w:rsidRPr="00671AA7" w:rsidRDefault="00A50FCF" w:rsidP="0044628A">
      <w:pPr>
        <w:suppressAutoHyphens/>
        <w:jc w:val="center"/>
        <w:rPr>
          <w:rFonts w:asciiTheme="majorHAnsi" w:hAnsiTheme="majorHAnsi"/>
          <w:sz w:val="18"/>
          <w:szCs w:val="22"/>
          <w:lang w:val="es-ES"/>
        </w:rPr>
      </w:pPr>
    </w:p>
    <w:p w14:paraId="1D5A68E3" w14:textId="77777777" w:rsidR="00A50FCF" w:rsidRPr="00671AA7" w:rsidRDefault="00A50FCF" w:rsidP="0044628A">
      <w:pPr>
        <w:suppressAutoHyphens/>
        <w:jc w:val="center"/>
        <w:rPr>
          <w:rFonts w:asciiTheme="majorHAnsi" w:hAnsiTheme="majorHAnsi"/>
          <w:sz w:val="18"/>
          <w:szCs w:val="22"/>
          <w:lang w:val="es-ES"/>
        </w:rPr>
      </w:pPr>
    </w:p>
    <w:p w14:paraId="30769C7D" w14:textId="77777777" w:rsidR="00A50FCF" w:rsidRPr="00671AA7" w:rsidRDefault="00A50FCF" w:rsidP="0044628A">
      <w:pPr>
        <w:suppressAutoHyphens/>
        <w:jc w:val="center"/>
        <w:rPr>
          <w:rFonts w:asciiTheme="majorHAnsi" w:hAnsiTheme="majorHAnsi"/>
          <w:sz w:val="18"/>
          <w:szCs w:val="22"/>
          <w:lang w:val="es-ES"/>
        </w:rPr>
      </w:pPr>
    </w:p>
    <w:p w14:paraId="515E40F3" w14:textId="77777777" w:rsidR="00A50FCF" w:rsidRPr="00671AA7" w:rsidRDefault="0090270B" w:rsidP="0044628A">
      <w:pPr>
        <w:suppressAutoHyphens/>
        <w:jc w:val="center"/>
        <w:rPr>
          <w:rFonts w:asciiTheme="majorHAnsi" w:hAnsiTheme="majorHAnsi"/>
          <w:sz w:val="18"/>
          <w:szCs w:val="22"/>
          <w:lang w:val="es-ES"/>
        </w:rPr>
      </w:pPr>
      <w:r w:rsidRPr="00671A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9DE138" wp14:editId="16D622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662B" w14:textId="5D6DF348" w:rsidR="007B432F" w:rsidRPr="00890650" w:rsidRDefault="007B432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434F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434F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F0A6F">
                              <w:rPr>
                                <w:rFonts w:asciiTheme="majorHAnsi" w:hAnsiTheme="majorHAnsi"/>
                                <w:color w:val="0D0D0D" w:themeColor="text1" w:themeTint="F2"/>
                                <w:sz w:val="18"/>
                                <w:szCs w:val="22"/>
                                <w:lang w:val="es-ES"/>
                              </w:rPr>
                              <w:t>21</w:t>
                            </w:r>
                            <w:r w:rsidR="00127A49">
                              <w:rPr>
                                <w:rFonts w:asciiTheme="majorHAnsi" w:hAnsiTheme="majorHAnsi"/>
                                <w:color w:val="0D0D0D" w:themeColor="text1" w:themeTint="F2"/>
                                <w:sz w:val="18"/>
                                <w:szCs w:val="22"/>
                                <w:lang w:val="es-ES"/>
                              </w:rPr>
                              <w:t>.</w:t>
                            </w:r>
                          </w:p>
                          <w:p w14:paraId="7B7B6EE3" w14:textId="77777777" w:rsidR="007B432F" w:rsidRPr="007A5817" w:rsidRDefault="007B432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59F08D" w14:textId="77777777" w:rsidR="007B432F" w:rsidRPr="00167A34" w:rsidRDefault="007B432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DE13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5AB662B" w14:textId="5D6DF348" w:rsidR="007B432F" w:rsidRPr="00890650" w:rsidRDefault="007B432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434FD">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434F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F0A6F">
                        <w:rPr>
                          <w:rFonts w:asciiTheme="majorHAnsi" w:hAnsiTheme="majorHAnsi"/>
                          <w:color w:val="0D0D0D" w:themeColor="text1" w:themeTint="F2"/>
                          <w:sz w:val="18"/>
                          <w:szCs w:val="22"/>
                          <w:lang w:val="es-ES"/>
                        </w:rPr>
                        <w:t>21</w:t>
                      </w:r>
                      <w:r w:rsidR="00127A49">
                        <w:rPr>
                          <w:rFonts w:asciiTheme="majorHAnsi" w:hAnsiTheme="majorHAnsi"/>
                          <w:color w:val="0D0D0D" w:themeColor="text1" w:themeTint="F2"/>
                          <w:sz w:val="18"/>
                          <w:szCs w:val="22"/>
                          <w:lang w:val="es-ES"/>
                        </w:rPr>
                        <w:t>.</w:t>
                      </w:r>
                    </w:p>
                    <w:p w14:paraId="7B7B6EE3" w14:textId="77777777" w:rsidR="007B432F" w:rsidRPr="007A5817" w:rsidRDefault="007B432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59F08D" w14:textId="77777777" w:rsidR="007B432F" w:rsidRPr="00167A34" w:rsidRDefault="007B432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7EE8671" w14:textId="77777777" w:rsidR="00A50FCF" w:rsidRPr="00671AA7" w:rsidRDefault="00A50FCF" w:rsidP="0044628A">
      <w:pPr>
        <w:suppressAutoHyphens/>
        <w:jc w:val="center"/>
        <w:rPr>
          <w:rFonts w:asciiTheme="majorHAnsi" w:hAnsiTheme="majorHAnsi"/>
          <w:sz w:val="18"/>
          <w:szCs w:val="22"/>
          <w:lang w:val="es-ES"/>
        </w:rPr>
      </w:pPr>
    </w:p>
    <w:p w14:paraId="04A86091" w14:textId="77777777" w:rsidR="00A50FCF" w:rsidRPr="00671AA7" w:rsidRDefault="00A50FCF" w:rsidP="0044628A">
      <w:pPr>
        <w:suppressAutoHyphens/>
        <w:jc w:val="center"/>
        <w:rPr>
          <w:rFonts w:asciiTheme="majorHAnsi" w:hAnsiTheme="majorHAnsi"/>
          <w:sz w:val="18"/>
          <w:szCs w:val="22"/>
          <w:lang w:val="es-ES"/>
        </w:rPr>
      </w:pPr>
    </w:p>
    <w:p w14:paraId="4A8D410A" w14:textId="77777777" w:rsidR="00A50FCF" w:rsidRPr="00671AA7" w:rsidRDefault="00A50FCF" w:rsidP="0044628A">
      <w:pPr>
        <w:suppressAutoHyphens/>
        <w:jc w:val="center"/>
        <w:rPr>
          <w:rFonts w:asciiTheme="majorHAnsi" w:hAnsiTheme="majorHAnsi"/>
          <w:sz w:val="18"/>
          <w:szCs w:val="22"/>
          <w:lang w:val="es-ES"/>
        </w:rPr>
      </w:pPr>
    </w:p>
    <w:p w14:paraId="2804F679" w14:textId="77777777" w:rsidR="00A50FCF" w:rsidRPr="00671AA7" w:rsidRDefault="00A50FCF" w:rsidP="0044628A">
      <w:pPr>
        <w:suppressAutoHyphens/>
        <w:jc w:val="center"/>
        <w:rPr>
          <w:rFonts w:asciiTheme="majorHAnsi" w:hAnsiTheme="majorHAnsi"/>
          <w:sz w:val="18"/>
          <w:szCs w:val="22"/>
          <w:lang w:val="es-ES"/>
        </w:rPr>
      </w:pPr>
    </w:p>
    <w:p w14:paraId="617051A1" w14:textId="77777777" w:rsidR="00A50FCF" w:rsidRPr="00671AA7" w:rsidRDefault="0090270B" w:rsidP="0044628A">
      <w:pPr>
        <w:suppressAutoHyphens/>
        <w:jc w:val="center"/>
        <w:rPr>
          <w:rFonts w:asciiTheme="majorHAnsi" w:hAnsiTheme="majorHAnsi"/>
          <w:sz w:val="18"/>
          <w:szCs w:val="22"/>
          <w:lang w:val="es-ES"/>
        </w:rPr>
      </w:pPr>
      <w:r w:rsidRPr="00671A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E5E8C7" wp14:editId="221FE4C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C4E6" w14:textId="5E1B0B23" w:rsidR="007B432F" w:rsidRPr="007B05C4" w:rsidRDefault="007B432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434FD" w:rsidRPr="002434FD">
                              <w:rPr>
                                <w:rFonts w:asciiTheme="majorHAnsi" w:hAnsiTheme="majorHAnsi"/>
                                <w:color w:val="595959" w:themeColor="text1" w:themeTint="A6"/>
                                <w:sz w:val="18"/>
                                <w:szCs w:val="18"/>
                                <w:lang w:val="pt-BR"/>
                              </w:rPr>
                              <w:t>231</w:t>
                            </w:r>
                            <w:r w:rsidRPr="002434FD">
                              <w:rPr>
                                <w:rFonts w:asciiTheme="majorHAnsi" w:hAnsiTheme="majorHAnsi"/>
                                <w:color w:val="595959" w:themeColor="text1" w:themeTint="A6"/>
                                <w:sz w:val="18"/>
                                <w:szCs w:val="18"/>
                                <w:lang w:val="pt-BR"/>
                              </w:rPr>
                              <w:t>/</w:t>
                            </w:r>
                            <w:r w:rsidR="002434FD" w:rsidRPr="002434FD">
                              <w:rPr>
                                <w:rFonts w:asciiTheme="majorHAnsi" w:hAnsiTheme="majorHAnsi"/>
                                <w:color w:val="595959" w:themeColor="text1" w:themeTint="A6"/>
                                <w:sz w:val="18"/>
                                <w:szCs w:val="18"/>
                                <w:lang w:val="pt-BR"/>
                              </w:rPr>
                              <w:t>2</w:t>
                            </w:r>
                            <w:r w:rsidRPr="002434FD">
                              <w:rPr>
                                <w:rFonts w:asciiTheme="majorHAnsi" w:hAnsiTheme="majorHAnsi"/>
                                <w:color w:val="595959" w:themeColor="text1" w:themeTint="A6"/>
                                <w:sz w:val="18"/>
                                <w:szCs w:val="18"/>
                                <w:lang w:val="pt-BR"/>
                              </w:rPr>
                              <w:t xml:space="preserve">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245-10. </w:t>
                            </w:r>
                            <w:r w:rsidRPr="0093588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Pr="00C524AB">
                              <w:rPr>
                                <w:rFonts w:asciiTheme="majorHAnsi" w:hAnsiTheme="majorHAnsi"/>
                                <w:color w:val="595959" w:themeColor="text1" w:themeTint="A6"/>
                                <w:sz w:val="18"/>
                                <w:szCs w:val="18"/>
                                <w:lang w:val="es-PA"/>
                              </w:rPr>
                              <w:t>Gast</w:t>
                            </w:r>
                            <w:proofErr w:type="spellEnd"/>
                            <w:r>
                              <w:rPr>
                                <w:rFonts w:asciiTheme="majorHAnsi" w:hAnsiTheme="majorHAnsi"/>
                                <w:color w:val="595959" w:themeColor="text1" w:themeTint="A6"/>
                                <w:sz w:val="18"/>
                                <w:szCs w:val="18"/>
                                <w:lang w:val="pt-BR"/>
                              </w:rPr>
                              <w:t>ό</w:t>
                            </w:r>
                            <w:r w:rsidRPr="00C524AB">
                              <w:rPr>
                                <w:rFonts w:asciiTheme="majorHAnsi" w:hAnsiTheme="majorHAnsi"/>
                                <w:color w:val="595959" w:themeColor="text1" w:themeTint="A6"/>
                                <w:sz w:val="18"/>
                                <w:szCs w:val="18"/>
                                <w:lang w:val="es-PA"/>
                              </w:rPr>
                              <w:t xml:space="preserve">n </w:t>
                            </w:r>
                            <w:proofErr w:type="spellStart"/>
                            <w:r w:rsidRPr="00C524AB">
                              <w:rPr>
                                <w:rFonts w:asciiTheme="majorHAnsi" w:hAnsiTheme="majorHAnsi"/>
                                <w:color w:val="595959" w:themeColor="text1" w:themeTint="A6"/>
                                <w:sz w:val="18"/>
                                <w:szCs w:val="18"/>
                                <w:lang w:val="es-PA"/>
                              </w:rPr>
                              <w:t>Ram</w:t>
                            </w:r>
                            <w:proofErr w:type="spellEnd"/>
                            <w:r>
                              <w:rPr>
                                <w:rFonts w:asciiTheme="majorHAnsi" w:hAnsiTheme="majorHAnsi"/>
                                <w:color w:val="595959" w:themeColor="text1" w:themeTint="A6"/>
                                <w:sz w:val="18"/>
                                <w:szCs w:val="18"/>
                                <w:lang w:val="pt-BR"/>
                              </w:rPr>
                              <w:t>ό</w:t>
                            </w:r>
                            <w:r w:rsidRPr="00C524AB">
                              <w:rPr>
                                <w:rFonts w:asciiTheme="majorHAnsi" w:hAnsiTheme="majorHAnsi"/>
                                <w:color w:val="595959" w:themeColor="text1" w:themeTint="A6"/>
                                <w:sz w:val="18"/>
                                <w:szCs w:val="18"/>
                                <w:lang w:val="es-PA"/>
                              </w:rPr>
                              <w:t xml:space="preserve">n Pesce Echeverz. </w:t>
                            </w:r>
                            <w:r w:rsidRPr="002434FD">
                              <w:rPr>
                                <w:rFonts w:asciiTheme="majorHAnsi" w:hAnsiTheme="majorHAnsi"/>
                                <w:color w:val="595959" w:themeColor="text1" w:themeTint="A6"/>
                                <w:sz w:val="18"/>
                                <w:szCs w:val="18"/>
                                <w:lang w:val="es-419"/>
                              </w:rPr>
                              <w:t>Uruguay</w:t>
                            </w:r>
                            <w:r w:rsidRPr="00890650">
                              <w:rPr>
                                <w:rFonts w:asciiTheme="majorHAnsi" w:hAnsiTheme="majorHAnsi"/>
                                <w:color w:val="595959" w:themeColor="text1" w:themeTint="A6"/>
                                <w:sz w:val="18"/>
                                <w:szCs w:val="18"/>
                                <w:lang w:val="es-ES_tradnl"/>
                              </w:rPr>
                              <w:t xml:space="preserve">. </w:t>
                            </w:r>
                            <w:r w:rsidR="002434FD">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E8C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0FDC4E6" w14:textId="5E1B0B23" w:rsidR="007B432F" w:rsidRPr="007B05C4" w:rsidRDefault="007B432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434FD" w:rsidRPr="002434FD">
                        <w:rPr>
                          <w:rFonts w:asciiTheme="majorHAnsi" w:hAnsiTheme="majorHAnsi"/>
                          <w:color w:val="595959" w:themeColor="text1" w:themeTint="A6"/>
                          <w:sz w:val="18"/>
                          <w:szCs w:val="18"/>
                          <w:lang w:val="pt-BR"/>
                        </w:rPr>
                        <w:t>231</w:t>
                      </w:r>
                      <w:r w:rsidRPr="002434FD">
                        <w:rPr>
                          <w:rFonts w:asciiTheme="majorHAnsi" w:hAnsiTheme="majorHAnsi"/>
                          <w:color w:val="595959" w:themeColor="text1" w:themeTint="A6"/>
                          <w:sz w:val="18"/>
                          <w:szCs w:val="18"/>
                          <w:lang w:val="pt-BR"/>
                        </w:rPr>
                        <w:t>/</w:t>
                      </w:r>
                      <w:r w:rsidR="002434FD" w:rsidRPr="002434FD">
                        <w:rPr>
                          <w:rFonts w:asciiTheme="majorHAnsi" w:hAnsiTheme="majorHAnsi"/>
                          <w:color w:val="595959" w:themeColor="text1" w:themeTint="A6"/>
                          <w:sz w:val="18"/>
                          <w:szCs w:val="18"/>
                          <w:lang w:val="pt-BR"/>
                        </w:rPr>
                        <w:t>2</w:t>
                      </w:r>
                      <w:r w:rsidRPr="002434FD">
                        <w:rPr>
                          <w:rFonts w:asciiTheme="majorHAnsi" w:hAnsiTheme="majorHAnsi"/>
                          <w:color w:val="595959" w:themeColor="text1" w:themeTint="A6"/>
                          <w:sz w:val="18"/>
                          <w:szCs w:val="18"/>
                          <w:lang w:val="pt-BR"/>
                        </w:rPr>
                        <w:t xml:space="preserve">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245-10. </w:t>
                      </w:r>
                      <w:r w:rsidRPr="0093588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Pr="00C524AB">
                        <w:rPr>
                          <w:rFonts w:asciiTheme="majorHAnsi" w:hAnsiTheme="majorHAnsi"/>
                          <w:color w:val="595959" w:themeColor="text1" w:themeTint="A6"/>
                          <w:sz w:val="18"/>
                          <w:szCs w:val="18"/>
                          <w:lang w:val="es-PA"/>
                        </w:rPr>
                        <w:t>Gast</w:t>
                      </w:r>
                      <w:proofErr w:type="spellEnd"/>
                      <w:r>
                        <w:rPr>
                          <w:rFonts w:asciiTheme="majorHAnsi" w:hAnsiTheme="majorHAnsi"/>
                          <w:color w:val="595959" w:themeColor="text1" w:themeTint="A6"/>
                          <w:sz w:val="18"/>
                          <w:szCs w:val="18"/>
                          <w:lang w:val="pt-BR"/>
                        </w:rPr>
                        <w:t>ό</w:t>
                      </w:r>
                      <w:r w:rsidRPr="00C524AB">
                        <w:rPr>
                          <w:rFonts w:asciiTheme="majorHAnsi" w:hAnsiTheme="majorHAnsi"/>
                          <w:color w:val="595959" w:themeColor="text1" w:themeTint="A6"/>
                          <w:sz w:val="18"/>
                          <w:szCs w:val="18"/>
                          <w:lang w:val="es-PA"/>
                        </w:rPr>
                        <w:t xml:space="preserve">n </w:t>
                      </w:r>
                      <w:proofErr w:type="spellStart"/>
                      <w:r w:rsidRPr="00C524AB">
                        <w:rPr>
                          <w:rFonts w:asciiTheme="majorHAnsi" w:hAnsiTheme="majorHAnsi"/>
                          <w:color w:val="595959" w:themeColor="text1" w:themeTint="A6"/>
                          <w:sz w:val="18"/>
                          <w:szCs w:val="18"/>
                          <w:lang w:val="es-PA"/>
                        </w:rPr>
                        <w:t>Ram</w:t>
                      </w:r>
                      <w:proofErr w:type="spellEnd"/>
                      <w:r>
                        <w:rPr>
                          <w:rFonts w:asciiTheme="majorHAnsi" w:hAnsiTheme="majorHAnsi"/>
                          <w:color w:val="595959" w:themeColor="text1" w:themeTint="A6"/>
                          <w:sz w:val="18"/>
                          <w:szCs w:val="18"/>
                          <w:lang w:val="pt-BR"/>
                        </w:rPr>
                        <w:t>ό</w:t>
                      </w:r>
                      <w:r w:rsidRPr="00C524AB">
                        <w:rPr>
                          <w:rFonts w:asciiTheme="majorHAnsi" w:hAnsiTheme="majorHAnsi"/>
                          <w:color w:val="595959" w:themeColor="text1" w:themeTint="A6"/>
                          <w:sz w:val="18"/>
                          <w:szCs w:val="18"/>
                          <w:lang w:val="es-PA"/>
                        </w:rPr>
                        <w:t xml:space="preserve">n Pesce Echeverz. </w:t>
                      </w:r>
                      <w:r w:rsidRPr="002434FD">
                        <w:rPr>
                          <w:rFonts w:asciiTheme="majorHAnsi" w:hAnsiTheme="majorHAnsi"/>
                          <w:color w:val="595959" w:themeColor="text1" w:themeTint="A6"/>
                          <w:sz w:val="18"/>
                          <w:szCs w:val="18"/>
                          <w:lang w:val="es-419"/>
                        </w:rPr>
                        <w:t>Uruguay</w:t>
                      </w:r>
                      <w:r w:rsidRPr="00890650">
                        <w:rPr>
                          <w:rFonts w:asciiTheme="majorHAnsi" w:hAnsiTheme="majorHAnsi"/>
                          <w:color w:val="595959" w:themeColor="text1" w:themeTint="A6"/>
                          <w:sz w:val="18"/>
                          <w:szCs w:val="18"/>
                          <w:lang w:val="es-ES_tradnl"/>
                        </w:rPr>
                        <w:t xml:space="preserve">. </w:t>
                      </w:r>
                      <w:r w:rsidR="002434FD">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CF866E1" w14:textId="77777777" w:rsidR="00A50FCF" w:rsidRPr="00671AA7" w:rsidRDefault="00A50FCF" w:rsidP="0044628A">
      <w:pPr>
        <w:suppressAutoHyphens/>
        <w:jc w:val="center"/>
        <w:rPr>
          <w:rFonts w:asciiTheme="majorHAnsi" w:hAnsiTheme="majorHAnsi"/>
          <w:sz w:val="18"/>
          <w:szCs w:val="22"/>
          <w:lang w:val="es-ES"/>
        </w:rPr>
      </w:pPr>
    </w:p>
    <w:p w14:paraId="508F93F6" w14:textId="2D9EBCF2" w:rsidR="0090270B" w:rsidRPr="00671AA7" w:rsidRDefault="00D306D1" w:rsidP="0044628A">
      <w:pPr>
        <w:suppressAutoHyphens/>
        <w:jc w:val="center"/>
        <w:rPr>
          <w:rFonts w:asciiTheme="majorHAnsi" w:hAnsiTheme="majorHAnsi"/>
          <w:b/>
          <w:sz w:val="20"/>
          <w:lang w:val="es-ES"/>
        </w:rPr>
      </w:pPr>
      <w:r w:rsidRPr="00671A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37156B3" wp14:editId="0AABFA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D1E19" w14:textId="77777777" w:rsidR="007B432F" w:rsidRPr="004B7EB6" w:rsidRDefault="007B43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56B3"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82D1E19" w14:textId="77777777" w:rsidR="007B432F" w:rsidRPr="004B7EB6" w:rsidRDefault="007B43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2C367C" w14:textId="3DC35BF7" w:rsidR="0070697F" w:rsidRPr="00671AA7" w:rsidRDefault="002434FD" w:rsidP="0044628A">
      <w:pPr>
        <w:suppressAutoHyphens/>
        <w:jc w:val="center"/>
        <w:rPr>
          <w:rFonts w:asciiTheme="majorHAnsi" w:hAnsiTheme="majorHAnsi"/>
          <w:b/>
          <w:sz w:val="20"/>
          <w:lang w:val="es-ES"/>
        </w:rPr>
        <w:sectPr w:rsidR="0070697F" w:rsidRPr="00671AA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71A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984889" wp14:editId="47A42D69">
                <wp:simplePos x="0" y="0"/>
                <wp:positionH relativeFrom="column">
                  <wp:posOffset>1329690</wp:posOffset>
                </wp:positionH>
                <wp:positionV relativeFrom="paragraph">
                  <wp:posOffset>615043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32E7D" w14:textId="5F5A7191" w:rsidR="007B432F" w:rsidRPr="00D72DC6" w:rsidRDefault="00127A49" w:rsidP="00F02AD1">
                            <w:pPr>
                              <w:rPr>
                                <w:color w:val="FFFFFF" w:themeColor="background1"/>
                                <w14:textFill>
                                  <w14:noFill/>
                                </w14:textFill>
                              </w:rPr>
                            </w:pPr>
                            <w:r>
                              <w:rPr>
                                <w:noProof/>
                                <w:color w:val="FFFFFF" w:themeColor="background1"/>
                              </w:rPr>
                              <w:drawing>
                                <wp:inline distT="0" distB="0" distL="0" distR="0" wp14:anchorId="2BC3AB2F" wp14:editId="0A72188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4889" id="Text Box 9" o:spid="_x0000_s1032" type="#_x0000_t202" style="position:absolute;left:0;text-align:left;margin-left:104.7pt;margin-top:48.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356lsuEAAAAKAQAADwAAAAAAAAAAAAAAAADpBAAAZHJzL2Rvd25yZXYu&#10;eG1sUEsFBgAAAAAEAAQA8wAAAPcFAAAAAA==&#10;" fillcolor="white [3201]" stroked="f" strokeweight=".5pt">
                <v:textbox>
                  <w:txbxContent>
                    <w:p w14:paraId="6AB32E7D" w14:textId="5F5A7191" w:rsidR="007B432F" w:rsidRPr="00D72DC6" w:rsidRDefault="00127A49" w:rsidP="00F02AD1">
                      <w:pPr>
                        <w:rPr>
                          <w:color w:val="FFFFFF" w:themeColor="background1"/>
                          <w14:textFill>
                            <w14:noFill/>
                          </w14:textFill>
                        </w:rPr>
                      </w:pPr>
                      <w:r>
                        <w:rPr>
                          <w:noProof/>
                          <w:color w:val="FFFFFF" w:themeColor="background1"/>
                        </w:rPr>
                        <w:drawing>
                          <wp:inline distT="0" distB="0" distL="0" distR="0" wp14:anchorId="2BC3AB2F" wp14:editId="0A72188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71AA7">
        <w:rPr>
          <w:rFonts w:asciiTheme="majorHAnsi" w:hAnsiTheme="majorHAnsi"/>
          <w:b/>
          <w:sz w:val="20"/>
          <w:lang w:val="es-ES"/>
        </w:rPr>
        <w:tab/>
      </w:r>
    </w:p>
    <w:p w14:paraId="4E32FF06" w14:textId="77777777" w:rsidR="003239B8" w:rsidRPr="00671AA7" w:rsidRDefault="003239B8" w:rsidP="0044628A">
      <w:pPr>
        <w:spacing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lastRenderedPageBreak/>
        <w:t>I.</w:t>
      </w:r>
      <w:r w:rsidRPr="00671AA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441BD" w14:paraId="2030DE86" w14:textId="77777777" w:rsidTr="004A6A54">
        <w:tc>
          <w:tcPr>
            <w:tcW w:w="3600" w:type="dxa"/>
            <w:tcBorders>
              <w:top w:val="single" w:sz="4" w:space="0" w:color="auto"/>
              <w:bottom w:val="single" w:sz="6" w:space="0" w:color="auto"/>
            </w:tcBorders>
            <w:shd w:val="clear" w:color="auto" w:fill="386294"/>
            <w:vAlign w:val="center"/>
          </w:tcPr>
          <w:p w14:paraId="156E6A11"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Parte peticionaria:</w:t>
            </w:r>
          </w:p>
        </w:tc>
        <w:tc>
          <w:tcPr>
            <w:tcW w:w="5760" w:type="dxa"/>
            <w:vAlign w:val="center"/>
          </w:tcPr>
          <w:p w14:paraId="47E7BC55" w14:textId="77777777" w:rsidR="003239B8" w:rsidRPr="00671AA7" w:rsidRDefault="0014307E" w:rsidP="0044628A">
            <w:pPr>
              <w:jc w:val="both"/>
              <w:rPr>
                <w:rFonts w:ascii="Cambria" w:hAnsi="Cambria"/>
                <w:bCs/>
                <w:sz w:val="20"/>
                <w:szCs w:val="20"/>
                <w:lang w:val="es-ES"/>
              </w:rPr>
            </w:pPr>
            <w:r>
              <w:rPr>
                <w:rFonts w:asciiTheme="majorHAnsi" w:hAnsiTheme="majorHAnsi"/>
                <w:bCs/>
                <w:sz w:val="20"/>
                <w:szCs w:val="20"/>
                <w:lang w:val="es-ES"/>
              </w:rPr>
              <w:t>Gast</w:t>
            </w:r>
            <w:r>
              <w:rPr>
                <w:rFonts w:ascii="Cambria" w:hAnsi="Cambria"/>
                <w:bCs/>
                <w:sz w:val="20"/>
                <w:szCs w:val="20"/>
                <w:lang w:val="es-ES"/>
              </w:rPr>
              <w:t>ό</w:t>
            </w:r>
            <w:r>
              <w:rPr>
                <w:rFonts w:asciiTheme="majorHAnsi" w:hAnsiTheme="majorHAnsi"/>
                <w:bCs/>
                <w:sz w:val="20"/>
                <w:szCs w:val="20"/>
                <w:lang w:val="es-ES"/>
              </w:rPr>
              <w:t>n Ram</w:t>
            </w:r>
            <w:r>
              <w:rPr>
                <w:rFonts w:ascii="Cambria" w:hAnsi="Cambria"/>
                <w:bCs/>
                <w:sz w:val="20"/>
                <w:szCs w:val="20"/>
                <w:lang w:val="es-ES"/>
              </w:rPr>
              <w:t>ό</w:t>
            </w:r>
            <w:r>
              <w:rPr>
                <w:rFonts w:asciiTheme="majorHAnsi" w:hAnsiTheme="majorHAnsi"/>
                <w:bCs/>
                <w:sz w:val="20"/>
                <w:szCs w:val="20"/>
                <w:lang w:val="es-ES"/>
              </w:rPr>
              <w:t>n Pesce Echeverz</w:t>
            </w:r>
          </w:p>
        </w:tc>
      </w:tr>
      <w:tr w:rsidR="003239B8" w:rsidRPr="004577AB" w14:paraId="6D37DDD6" w14:textId="77777777" w:rsidTr="004A6A54">
        <w:tc>
          <w:tcPr>
            <w:tcW w:w="3600" w:type="dxa"/>
            <w:tcBorders>
              <w:top w:val="single" w:sz="6" w:space="0" w:color="auto"/>
              <w:bottom w:val="single" w:sz="6" w:space="0" w:color="auto"/>
            </w:tcBorders>
            <w:shd w:val="clear" w:color="auto" w:fill="386294"/>
            <w:vAlign w:val="center"/>
          </w:tcPr>
          <w:p w14:paraId="0DD585C3" w14:textId="77777777" w:rsidR="003239B8" w:rsidRPr="00671AA7" w:rsidRDefault="000430E9" w:rsidP="0044628A">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1AA7">
                  <w:rPr>
                    <w:rFonts w:ascii="Cambria" w:hAnsi="Cambria"/>
                    <w:b/>
                    <w:bCs/>
                    <w:color w:val="FFFFFF" w:themeColor="background1"/>
                    <w:sz w:val="20"/>
                    <w:szCs w:val="20"/>
                    <w:lang w:val="es-ES"/>
                  </w:rPr>
                  <w:t>Presunta víctima</w:t>
                </w:r>
              </w:sdtContent>
            </w:sdt>
            <w:r w:rsidR="003239B8" w:rsidRPr="00671AA7">
              <w:rPr>
                <w:rFonts w:ascii="Cambria" w:hAnsi="Cambria"/>
                <w:b/>
                <w:bCs/>
                <w:color w:val="FFFFFF" w:themeColor="background1"/>
                <w:sz w:val="20"/>
                <w:szCs w:val="20"/>
                <w:lang w:val="es-ES"/>
              </w:rPr>
              <w:t>:</w:t>
            </w:r>
          </w:p>
        </w:tc>
        <w:tc>
          <w:tcPr>
            <w:tcW w:w="5760" w:type="dxa"/>
            <w:vAlign w:val="center"/>
          </w:tcPr>
          <w:p w14:paraId="53793D77" w14:textId="77777777" w:rsidR="003239B8" w:rsidRPr="00671AA7" w:rsidRDefault="00B40BC6" w:rsidP="0044628A">
            <w:pPr>
              <w:jc w:val="both"/>
              <w:rPr>
                <w:rFonts w:ascii="Cambria" w:hAnsi="Cambria"/>
                <w:bCs/>
                <w:sz w:val="20"/>
                <w:szCs w:val="20"/>
                <w:lang w:val="es-ES"/>
              </w:rPr>
            </w:pPr>
            <w:r>
              <w:rPr>
                <w:rFonts w:asciiTheme="majorHAnsi" w:hAnsiTheme="majorHAnsi"/>
                <w:bCs/>
                <w:sz w:val="20"/>
                <w:szCs w:val="20"/>
                <w:lang w:val="es-ES"/>
              </w:rPr>
              <w:t>Gast</w:t>
            </w:r>
            <w:r>
              <w:rPr>
                <w:rFonts w:ascii="Cambria" w:hAnsi="Cambria"/>
                <w:bCs/>
                <w:sz w:val="20"/>
                <w:szCs w:val="20"/>
                <w:lang w:val="es-ES"/>
              </w:rPr>
              <w:t>ό</w:t>
            </w:r>
            <w:r>
              <w:rPr>
                <w:rFonts w:asciiTheme="majorHAnsi" w:hAnsiTheme="majorHAnsi"/>
                <w:bCs/>
                <w:sz w:val="20"/>
                <w:szCs w:val="20"/>
                <w:lang w:val="es-ES"/>
              </w:rPr>
              <w:t>n Ram</w:t>
            </w:r>
            <w:r>
              <w:rPr>
                <w:rFonts w:ascii="Cambria" w:hAnsi="Cambria"/>
                <w:bCs/>
                <w:sz w:val="20"/>
                <w:szCs w:val="20"/>
                <w:lang w:val="es-ES"/>
              </w:rPr>
              <w:t>ό</w:t>
            </w:r>
            <w:r>
              <w:rPr>
                <w:rFonts w:asciiTheme="majorHAnsi" w:hAnsiTheme="majorHAnsi"/>
                <w:bCs/>
                <w:sz w:val="20"/>
                <w:szCs w:val="20"/>
                <w:lang w:val="es-ES"/>
              </w:rPr>
              <w:t xml:space="preserve">n Pesce Echeverz </w:t>
            </w:r>
          </w:p>
        </w:tc>
      </w:tr>
      <w:tr w:rsidR="003239B8" w:rsidRPr="00671AA7" w14:paraId="05DF8370" w14:textId="77777777" w:rsidTr="004A6A54">
        <w:tc>
          <w:tcPr>
            <w:tcW w:w="3600" w:type="dxa"/>
            <w:tcBorders>
              <w:top w:val="single" w:sz="6" w:space="0" w:color="auto"/>
              <w:bottom w:val="single" w:sz="6" w:space="0" w:color="auto"/>
            </w:tcBorders>
            <w:shd w:val="clear" w:color="auto" w:fill="386294"/>
            <w:vAlign w:val="center"/>
          </w:tcPr>
          <w:p w14:paraId="13465242"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Estado denunciado:</w:t>
            </w:r>
          </w:p>
        </w:tc>
        <w:tc>
          <w:tcPr>
            <w:tcW w:w="5760" w:type="dxa"/>
            <w:vAlign w:val="center"/>
          </w:tcPr>
          <w:p w14:paraId="0BCE56AB" w14:textId="77777777" w:rsidR="003239B8" w:rsidRPr="00671AA7" w:rsidRDefault="00BE4E90" w:rsidP="0044628A">
            <w:pPr>
              <w:jc w:val="both"/>
              <w:rPr>
                <w:rFonts w:ascii="Cambria" w:hAnsi="Cambria"/>
                <w:bCs/>
                <w:sz w:val="20"/>
                <w:szCs w:val="20"/>
                <w:lang w:val="es-ES"/>
              </w:rPr>
            </w:pPr>
            <w:r>
              <w:rPr>
                <w:rFonts w:ascii="Cambria" w:hAnsi="Cambria"/>
                <w:bCs/>
                <w:sz w:val="20"/>
                <w:szCs w:val="20"/>
                <w:lang w:val="es-ES"/>
              </w:rPr>
              <w:t>Uruguay</w:t>
            </w:r>
          </w:p>
        </w:tc>
      </w:tr>
      <w:tr w:rsidR="00223A29" w:rsidRPr="00127A49" w14:paraId="5B0E6544" w14:textId="77777777" w:rsidTr="004A6A54">
        <w:tc>
          <w:tcPr>
            <w:tcW w:w="3600" w:type="dxa"/>
            <w:tcBorders>
              <w:top w:val="single" w:sz="6" w:space="0" w:color="auto"/>
              <w:bottom w:val="single" w:sz="6" w:space="0" w:color="auto"/>
            </w:tcBorders>
            <w:shd w:val="clear" w:color="auto" w:fill="386294"/>
            <w:vAlign w:val="center"/>
          </w:tcPr>
          <w:p w14:paraId="6AC224B2" w14:textId="77777777" w:rsidR="00223A29" w:rsidRPr="00671AA7" w:rsidRDefault="001B3A00"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 xml:space="preserve">Derechos </w:t>
            </w:r>
            <w:r w:rsidR="00E4118C" w:rsidRPr="00671AA7">
              <w:rPr>
                <w:rFonts w:ascii="Cambria" w:hAnsi="Cambria"/>
                <w:b/>
                <w:bCs/>
                <w:color w:val="FFFFFF" w:themeColor="background1"/>
                <w:sz w:val="20"/>
                <w:szCs w:val="20"/>
                <w:lang w:val="es-ES"/>
              </w:rPr>
              <w:t>invocados</w:t>
            </w:r>
            <w:r w:rsidRPr="00671AA7">
              <w:rPr>
                <w:rFonts w:ascii="Cambria" w:hAnsi="Cambria"/>
                <w:b/>
                <w:bCs/>
                <w:color w:val="FFFFFF" w:themeColor="background1"/>
                <w:sz w:val="20"/>
                <w:szCs w:val="20"/>
                <w:lang w:val="es-ES"/>
              </w:rPr>
              <w:t>:</w:t>
            </w:r>
          </w:p>
        </w:tc>
        <w:tc>
          <w:tcPr>
            <w:tcW w:w="5760" w:type="dxa"/>
            <w:vAlign w:val="center"/>
          </w:tcPr>
          <w:p w14:paraId="3506A5AB" w14:textId="6D4A7DFA" w:rsidR="00223A29" w:rsidRPr="00671AA7" w:rsidRDefault="00BE4E90" w:rsidP="0044628A">
            <w:pPr>
              <w:jc w:val="both"/>
              <w:rPr>
                <w:rFonts w:ascii="Cambria" w:hAnsi="Cambria"/>
                <w:bCs/>
                <w:sz w:val="20"/>
                <w:szCs w:val="20"/>
                <w:lang w:val="es-ES"/>
              </w:rPr>
            </w:pPr>
            <w:r>
              <w:rPr>
                <w:rFonts w:ascii="Cambria" w:hAnsi="Cambria"/>
                <w:bCs/>
                <w:sz w:val="20"/>
                <w:szCs w:val="20"/>
                <w:lang w:val="es-ES"/>
              </w:rPr>
              <w:t xml:space="preserve">Artículos </w:t>
            </w:r>
            <w:r w:rsidR="00671AA7" w:rsidRPr="00671AA7">
              <w:rPr>
                <w:rFonts w:ascii="Cambria" w:hAnsi="Cambria"/>
                <w:bCs/>
                <w:sz w:val="20"/>
                <w:szCs w:val="20"/>
                <w:lang w:val="es-ES"/>
              </w:rPr>
              <w:t>5 (integridad personal), 7 (libertad personal), 8 (garantías judiciales),</w:t>
            </w:r>
            <w:r w:rsidR="002F3B80">
              <w:rPr>
                <w:rFonts w:ascii="Cambria" w:hAnsi="Cambria"/>
                <w:bCs/>
                <w:sz w:val="20"/>
                <w:szCs w:val="20"/>
                <w:lang w:val="es-ES"/>
              </w:rPr>
              <w:t xml:space="preserve"> 11 (honra y dignidad),</w:t>
            </w:r>
            <w:r w:rsidR="00C524AB">
              <w:rPr>
                <w:rFonts w:ascii="Cambria" w:hAnsi="Cambria"/>
                <w:bCs/>
                <w:sz w:val="20"/>
                <w:szCs w:val="20"/>
                <w:lang w:val="es-ES"/>
              </w:rPr>
              <w:t xml:space="preserve"> 13 (libertad de expresión),</w:t>
            </w:r>
            <w:r w:rsidR="00F05490">
              <w:rPr>
                <w:rFonts w:ascii="Cambria" w:hAnsi="Cambria"/>
                <w:bCs/>
                <w:sz w:val="20"/>
                <w:szCs w:val="20"/>
                <w:lang w:val="es-ES"/>
              </w:rPr>
              <w:t xml:space="preserve"> 14 (rectificación y respuesta)</w:t>
            </w:r>
            <w:r w:rsidR="00C524AB">
              <w:rPr>
                <w:rFonts w:ascii="Cambria" w:hAnsi="Cambria"/>
                <w:bCs/>
                <w:sz w:val="20"/>
                <w:szCs w:val="20"/>
                <w:lang w:val="es-ES"/>
              </w:rPr>
              <w:t xml:space="preserve"> 17 (protección de la familia), 21 (propiedad privada), 24 (igualdad ante la ley)</w:t>
            </w:r>
            <w:r w:rsidR="00671AA7" w:rsidRPr="00671AA7">
              <w:rPr>
                <w:rFonts w:ascii="Cambria" w:hAnsi="Cambria"/>
                <w:bCs/>
                <w:sz w:val="20"/>
                <w:szCs w:val="20"/>
                <w:lang w:val="es-ES"/>
              </w:rPr>
              <w:t xml:space="preserve"> </w:t>
            </w:r>
            <w:r w:rsidR="00671AA7">
              <w:rPr>
                <w:rFonts w:ascii="Cambria" w:hAnsi="Cambria"/>
                <w:bCs/>
                <w:sz w:val="20"/>
                <w:szCs w:val="20"/>
                <w:lang w:val="es-ES"/>
              </w:rPr>
              <w:t xml:space="preserve">y 25 (protección judicial) de la Convención Americana </w:t>
            </w:r>
            <w:r w:rsidR="004577AB">
              <w:rPr>
                <w:rFonts w:ascii="Cambria" w:hAnsi="Cambria"/>
                <w:bCs/>
                <w:sz w:val="20"/>
                <w:szCs w:val="20"/>
                <w:lang w:val="es-ES"/>
              </w:rPr>
              <w:t>sobre</w:t>
            </w:r>
            <w:r w:rsidR="00671AA7">
              <w:rPr>
                <w:rFonts w:ascii="Cambria" w:hAnsi="Cambria"/>
                <w:bCs/>
                <w:sz w:val="20"/>
                <w:szCs w:val="20"/>
                <w:lang w:val="es-ES"/>
              </w:rPr>
              <w:t xml:space="preserve"> Derechos Humanos</w:t>
            </w:r>
            <w:r w:rsidR="00671AA7">
              <w:rPr>
                <w:rStyle w:val="FootnoteReference"/>
                <w:rFonts w:ascii="Cambria" w:hAnsi="Cambria"/>
                <w:bCs/>
                <w:sz w:val="20"/>
                <w:szCs w:val="20"/>
                <w:lang w:val="es-ES"/>
              </w:rPr>
              <w:footnoteReference w:id="2"/>
            </w:r>
            <w:r w:rsidR="00C524AB">
              <w:rPr>
                <w:rFonts w:ascii="Cambria" w:hAnsi="Cambria"/>
                <w:bCs/>
                <w:sz w:val="20"/>
                <w:szCs w:val="20"/>
                <w:lang w:val="es-ES"/>
              </w:rPr>
              <w:t xml:space="preserve"> en relación con su artículo 2 (deber de adoptar disposiciones de derecho interno)</w:t>
            </w:r>
            <w:r w:rsidR="00E243F9">
              <w:rPr>
                <w:rFonts w:ascii="Cambria" w:hAnsi="Cambria"/>
                <w:bCs/>
                <w:sz w:val="20"/>
                <w:szCs w:val="20"/>
                <w:lang w:val="es-ES"/>
              </w:rPr>
              <w:t>;</w:t>
            </w:r>
            <w:r w:rsidR="00DA3C2B">
              <w:rPr>
                <w:rFonts w:ascii="Cambria" w:hAnsi="Cambria"/>
                <w:bCs/>
                <w:sz w:val="20"/>
                <w:szCs w:val="20"/>
                <w:lang w:val="es-ES"/>
              </w:rPr>
              <w:t xml:space="preserve"> </w:t>
            </w:r>
            <w:r w:rsidR="0044628A">
              <w:rPr>
                <w:rFonts w:ascii="Cambria" w:hAnsi="Cambria"/>
                <w:bCs/>
                <w:sz w:val="20"/>
                <w:szCs w:val="20"/>
                <w:lang w:val="es-ES"/>
              </w:rPr>
              <w:t>t</w:t>
            </w:r>
            <w:r w:rsidR="00DA3C2B">
              <w:rPr>
                <w:rFonts w:ascii="Cambria" w:hAnsi="Cambria"/>
                <w:bCs/>
                <w:sz w:val="20"/>
                <w:szCs w:val="20"/>
                <w:lang w:val="es-ES"/>
              </w:rPr>
              <w:t xml:space="preserve">ambién </w:t>
            </w:r>
            <w:r w:rsidR="0044628A">
              <w:rPr>
                <w:rFonts w:ascii="Cambria" w:hAnsi="Cambria"/>
                <w:bCs/>
                <w:sz w:val="20"/>
                <w:szCs w:val="20"/>
                <w:lang w:val="es-ES"/>
              </w:rPr>
              <w:t xml:space="preserve">invoca la Declaración Americana de Derechos y Deberes del Hombre </w:t>
            </w:r>
            <w:r w:rsidR="00DA3C2B">
              <w:rPr>
                <w:rFonts w:ascii="Cambria" w:hAnsi="Cambria"/>
                <w:bCs/>
                <w:sz w:val="20"/>
                <w:szCs w:val="20"/>
                <w:lang w:val="es-ES"/>
              </w:rPr>
              <w:t xml:space="preserve">sin especificar artículos </w:t>
            </w:r>
          </w:p>
        </w:tc>
      </w:tr>
    </w:tbl>
    <w:p w14:paraId="524FBADE" w14:textId="77777777" w:rsidR="003239B8" w:rsidRPr="00671AA7" w:rsidRDefault="003239B8" w:rsidP="0044628A">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II.</w:t>
      </w:r>
      <w:r w:rsidRPr="00671AA7">
        <w:rPr>
          <w:rFonts w:asciiTheme="majorHAnsi" w:hAnsiTheme="majorHAnsi"/>
          <w:b/>
          <w:bCs/>
          <w:sz w:val="20"/>
          <w:szCs w:val="20"/>
          <w:lang w:val="es-ES"/>
        </w:rPr>
        <w:tab/>
        <w:t>TRÁMITE ANTE LA CIDH</w:t>
      </w:r>
      <w:r w:rsidR="008E3BFE" w:rsidRPr="00671AA7">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E4E90" w:rsidRPr="00AB5D04" w14:paraId="3622AB7E" w14:textId="77777777" w:rsidTr="007B432F">
        <w:tc>
          <w:tcPr>
            <w:tcW w:w="3600" w:type="dxa"/>
            <w:tcBorders>
              <w:top w:val="single" w:sz="6" w:space="0" w:color="auto"/>
              <w:bottom w:val="single" w:sz="6" w:space="0" w:color="auto"/>
            </w:tcBorders>
            <w:shd w:val="clear" w:color="auto" w:fill="386294"/>
            <w:vAlign w:val="center"/>
          </w:tcPr>
          <w:p w14:paraId="57C0B655" w14:textId="77777777" w:rsidR="00BE4E90" w:rsidRPr="003239B8" w:rsidRDefault="00BE4E90" w:rsidP="0044628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171FB2FF" w14:textId="77777777" w:rsidR="00BE4E90" w:rsidRPr="003239B8" w:rsidRDefault="006529B1" w:rsidP="0044628A">
            <w:pPr>
              <w:jc w:val="both"/>
              <w:rPr>
                <w:rFonts w:ascii="Cambria" w:hAnsi="Cambria"/>
                <w:bCs/>
                <w:sz w:val="20"/>
                <w:szCs w:val="20"/>
                <w:lang w:val="es-ES"/>
              </w:rPr>
            </w:pPr>
            <w:r w:rsidRPr="006529B1">
              <w:rPr>
                <w:rFonts w:ascii="Cambria" w:hAnsi="Cambria"/>
                <w:bCs/>
                <w:sz w:val="20"/>
                <w:szCs w:val="20"/>
                <w:lang w:val="es-ES"/>
              </w:rPr>
              <w:t>23</w:t>
            </w:r>
            <w:r w:rsidR="00BE4E90" w:rsidRPr="006529B1">
              <w:rPr>
                <w:rFonts w:ascii="Cambria" w:hAnsi="Cambria"/>
                <w:bCs/>
                <w:sz w:val="20"/>
                <w:szCs w:val="20"/>
                <w:lang w:val="es-ES"/>
              </w:rPr>
              <w:t xml:space="preserve"> d</w:t>
            </w:r>
            <w:r w:rsidR="00BE4E90">
              <w:rPr>
                <w:rFonts w:ascii="Cambria" w:hAnsi="Cambria"/>
                <w:bCs/>
                <w:sz w:val="20"/>
                <w:szCs w:val="20"/>
                <w:lang w:val="es-ES"/>
              </w:rPr>
              <w:t xml:space="preserve">e </w:t>
            </w:r>
            <w:r w:rsidR="00D011F2">
              <w:rPr>
                <w:rFonts w:ascii="Cambria" w:hAnsi="Cambria"/>
                <w:bCs/>
                <w:sz w:val="20"/>
                <w:szCs w:val="20"/>
                <w:lang w:val="es-ES"/>
              </w:rPr>
              <w:t>febrero de 2010</w:t>
            </w:r>
          </w:p>
        </w:tc>
      </w:tr>
      <w:tr w:rsidR="00BE4E90" w:rsidRPr="00127A49" w14:paraId="5D798781" w14:textId="77777777" w:rsidTr="007B432F">
        <w:tc>
          <w:tcPr>
            <w:tcW w:w="3600" w:type="dxa"/>
            <w:tcBorders>
              <w:top w:val="single" w:sz="6" w:space="0" w:color="auto"/>
              <w:bottom w:val="single" w:sz="6" w:space="0" w:color="auto"/>
            </w:tcBorders>
            <w:shd w:val="clear" w:color="auto" w:fill="386294"/>
            <w:vAlign w:val="center"/>
          </w:tcPr>
          <w:p w14:paraId="6B19C5DB" w14:textId="77777777" w:rsidR="00BE4E90" w:rsidRPr="001E49E7" w:rsidRDefault="00BE4E90" w:rsidP="0044628A">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56C84E87" w14:textId="18F2E7C8" w:rsidR="00BE4E90" w:rsidRPr="00872CC8" w:rsidRDefault="00323B00" w:rsidP="0044628A">
            <w:pPr>
              <w:jc w:val="both"/>
              <w:rPr>
                <w:rFonts w:ascii="Cambria" w:hAnsi="Cambria"/>
                <w:bCs/>
                <w:sz w:val="20"/>
                <w:szCs w:val="20"/>
                <w:lang w:val="es-VE"/>
              </w:rPr>
            </w:pPr>
            <w:r>
              <w:rPr>
                <w:rFonts w:ascii="Cambria" w:hAnsi="Cambria"/>
                <w:bCs/>
                <w:sz w:val="20"/>
                <w:szCs w:val="20"/>
                <w:lang w:val="es-ES"/>
              </w:rPr>
              <w:t>25 de junio</w:t>
            </w:r>
            <w:r w:rsidR="0044628A">
              <w:rPr>
                <w:rFonts w:ascii="Cambria" w:hAnsi="Cambria"/>
                <w:bCs/>
                <w:sz w:val="20"/>
                <w:szCs w:val="20"/>
                <w:lang w:val="es-ES"/>
              </w:rPr>
              <w:t>,</w:t>
            </w:r>
            <w:r>
              <w:rPr>
                <w:rFonts w:ascii="Cambria" w:hAnsi="Cambria"/>
                <w:bCs/>
                <w:sz w:val="20"/>
                <w:szCs w:val="20"/>
                <w:lang w:val="es-ES"/>
              </w:rPr>
              <w:t xml:space="preserve"> </w:t>
            </w:r>
            <w:r w:rsidR="009D4942">
              <w:rPr>
                <w:rFonts w:ascii="Cambria" w:hAnsi="Cambria"/>
                <w:bCs/>
                <w:sz w:val="20"/>
                <w:szCs w:val="20"/>
                <w:lang w:val="es-ES"/>
              </w:rPr>
              <w:t>28 de agosto</w:t>
            </w:r>
            <w:r w:rsidR="008567BE">
              <w:rPr>
                <w:rFonts w:ascii="Cambria" w:hAnsi="Cambria"/>
                <w:bCs/>
                <w:sz w:val="20"/>
                <w:szCs w:val="20"/>
                <w:lang w:val="es-ES"/>
              </w:rPr>
              <w:t>, 14 y 16 de diciembre de 2011</w:t>
            </w:r>
            <w:r w:rsidR="0044628A">
              <w:rPr>
                <w:rFonts w:ascii="Cambria" w:hAnsi="Cambria"/>
                <w:bCs/>
                <w:sz w:val="20"/>
                <w:szCs w:val="20"/>
                <w:lang w:val="es-ES"/>
              </w:rPr>
              <w:t>;</w:t>
            </w:r>
            <w:r w:rsidR="008567BE">
              <w:rPr>
                <w:rFonts w:ascii="Cambria" w:hAnsi="Cambria"/>
                <w:bCs/>
                <w:sz w:val="20"/>
                <w:szCs w:val="20"/>
                <w:lang w:val="es-ES"/>
              </w:rPr>
              <w:t xml:space="preserve"> </w:t>
            </w:r>
            <w:r w:rsidR="0011089C">
              <w:rPr>
                <w:rFonts w:ascii="Cambria" w:hAnsi="Cambria"/>
                <w:bCs/>
                <w:sz w:val="20"/>
                <w:szCs w:val="20"/>
                <w:lang w:val="es-ES"/>
              </w:rPr>
              <w:t>6 de agosto de 2012</w:t>
            </w:r>
            <w:r w:rsidR="0044628A">
              <w:rPr>
                <w:rFonts w:ascii="Cambria" w:hAnsi="Cambria"/>
                <w:bCs/>
                <w:sz w:val="20"/>
                <w:szCs w:val="20"/>
                <w:lang w:val="es-ES"/>
              </w:rPr>
              <w:t>;</w:t>
            </w:r>
            <w:r w:rsidR="00DB5A51">
              <w:rPr>
                <w:rFonts w:ascii="Cambria" w:hAnsi="Cambria"/>
                <w:bCs/>
                <w:sz w:val="20"/>
                <w:szCs w:val="20"/>
                <w:lang w:val="es-ES"/>
              </w:rPr>
              <w:t xml:space="preserve"> 29 de abril, </w:t>
            </w:r>
            <w:r w:rsidR="00F925A5">
              <w:rPr>
                <w:rFonts w:ascii="Cambria" w:hAnsi="Cambria"/>
                <w:bCs/>
                <w:sz w:val="20"/>
                <w:szCs w:val="20"/>
                <w:lang w:val="es-ES"/>
              </w:rPr>
              <w:t>1</w:t>
            </w:r>
            <w:r w:rsidR="0044628A">
              <w:rPr>
                <w:rFonts w:ascii="Cambria" w:hAnsi="Cambria"/>
                <w:bCs/>
                <w:sz w:val="20"/>
                <w:szCs w:val="20"/>
                <w:lang w:val="es-ES"/>
              </w:rPr>
              <w:t xml:space="preserve">º </w:t>
            </w:r>
            <w:r w:rsidR="00210596">
              <w:rPr>
                <w:rFonts w:ascii="Cambria" w:hAnsi="Cambria"/>
                <w:bCs/>
                <w:sz w:val="20"/>
                <w:szCs w:val="20"/>
                <w:lang w:val="es-ES"/>
              </w:rPr>
              <w:t>y 22</w:t>
            </w:r>
            <w:r w:rsidR="00F925A5">
              <w:rPr>
                <w:rFonts w:ascii="Cambria" w:hAnsi="Cambria"/>
                <w:bCs/>
                <w:sz w:val="20"/>
                <w:szCs w:val="20"/>
                <w:lang w:val="es-ES"/>
              </w:rPr>
              <w:t xml:space="preserve"> de junio de 2013</w:t>
            </w:r>
            <w:r w:rsidR="0044628A">
              <w:rPr>
                <w:rFonts w:ascii="Cambria" w:hAnsi="Cambria"/>
                <w:bCs/>
                <w:sz w:val="20"/>
                <w:szCs w:val="20"/>
                <w:lang w:val="es-ES"/>
              </w:rPr>
              <w:t>;</w:t>
            </w:r>
            <w:r w:rsidR="00F925A5">
              <w:rPr>
                <w:rFonts w:ascii="Cambria" w:hAnsi="Cambria"/>
                <w:bCs/>
                <w:sz w:val="20"/>
                <w:szCs w:val="20"/>
                <w:lang w:val="es-ES"/>
              </w:rPr>
              <w:t xml:space="preserve"> </w:t>
            </w:r>
            <w:r w:rsidR="0044628A">
              <w:rPr>
                <w:rFonts w:ascii="Cambria" w:hAnsi="Cambria"/>
                <w:bCs/>
                <w:sz w:val="20"/>
                <w:szCs w:val="20"/>
                <w:lang w:val="es-ES"/>
              </w:rPr>
              <w:t xml:space="preserve">y </w:t>
            </w:r>
            <w:r w:rsidR="00AB4358">
              <w:rPr>
                <w:rFonts w:ascii="Cambria" w:hAnsi="Cambria"/>
                <w:bCs/>
                <w:sz w:val="20"/>
                <w:szCs w:val="20"/>
                <w:lang w:val="es-ES"/>
              </w:rPr>
              <w:t>16 de agosto de 2013</w:t>
            </w:r>
          </w:p>
        </w:tc>
      </w:tr>
      <w:tr w:rsidR="00BE4E90" w:rsidRPr="00CF560A" w14:paraId="21328F79" w14:textId="77777777" w:rsidTr="007B432F">
        <w:tc>
          <w:tcPr>
            <w:tcW w:w="3600" w:type="dxa"/>
            <w:tcBorders>
              <w:top w:val="single" w:sz="6" w:space="0" w:color="auto"/>
              <w:bottom w:val="single" w:sz="6" w:space="0" w:color="auto"/>
            </w:tcBorders>
            <w:shd w:val="clear" w:color="auto" w:fill="386294"/>
            <w:vAlign w:val="center"/>
          </w:tcPr>
          <w:p w14:paraId="1A504060" w14:textId="77777777" w:rsidR="00BE4E90" w:rsidRPr="003239B8" w:rsidRDefault="00BE4E90" w:rsidP="0044628A">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13C2548E" w14:textId="77777777" w:rsidR="00BE4E90" w:rsidRPr="003239B8" w:rsidRDefault="00A65A69" w:rsidP="0044628A">
            <w:pPr>
              <w:jc w:val="both"/>
              <w:rPr>
                <w:rFonts w:ascii="Cambria" w:hAnsi="Cambria"/>
                <w:bCs/>
                <w:sz w:val="20"/>
                <w:szCs w:val="20"/>
                <w:lang w:val="es-ES"/>
              </w:rPr>
            </w:pPr>
            <w:r>
              <w:rPr>
                <w:rFonts w:ascii="Cambria" w:hAnsi="Cambria"/>
                <w:bCs/>
                <w:sz w:val="20"/>
                <w:szCs w:val="20"/>
                <w:lang w:val="es-ES"/>
              </w:rPr>
              <w:t>27</w:t>
            </w:r>
            <w:r w:rsidR="00BE4E90">
              <w:rPr>
                <w:rFonts w:ascii="Cambria" w:hAnsi="Cambria"/>
                <w:bCs/>
                <w:sz w:val="20"/>
                <w:szCs w:val="20"/>
                <w:lang w:val="es-ES"/>
              </w:rPr>
              <w:t xml:space="preserve"> de </w:t>
            </w:r>
            <w:r>
              <w:rPr>
                <w:rFonts w:ascii="Cambria" w:hAnsi="Cambria"/>
                <w:bCs/>
                <w:sz w:val="20"/>
                <w:szCs w:val="20"/>
                <w:lang w:val="es-ES"/>
              </w:rPr>
              <w:t>octubre de 2014</w:t>
            </w:r>
          </w:p>
        </w:tc>
      </w:tr>
      <w:tr w:rsidR="00BE4E90" w:rsidRPr="004A6A54" w14:paraId="3BE6D352" w14:textId="77777777" w:rsidTr="007B432F">
        <w:tc>
          <w:tcPr>
            <w:tcW w:w="3600" w:type="dxa"/>
            <w:tcBorders>
              <w:top w:val="single" w:sz="6" w:space="0" w:color="auto"/>
              <w:bottom w:val="single" w:sz="6" w:space="0" w:color="auto"/>
            </w:tcBorders>
            <w:shd w:val="clear" w:color="auto" w:fill="386294"/>
            <w:vAlign w:val="center"/>
          </w:tcPr>
          <w:p w14:paraId="2BB6DE2A" w14:textId="77777777" w:rsidR="00BE4E90" w:rsidRPr="003239B8" w:rsidRDefault="00BE4E90" w:rsidP="0044628A">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2175B67E" w14:textId="77777777" w:rsidR="00BE4E90" w:rsidRPr="00E50E92" w:rsidRDefault="00BA15D7" w:rsidP="0044628A">
            <w:pPr>
              <w:jc w:val="both"/>
              <w:rPr>
                <w:rFonts w:ascii="Cambria" w:hAnsi="Cambria"/>
                <w:bCs/>
                <w:sz w:val="20"/>
                <w:szCs w:val="20"/>
                <w:highlight w:val="lightGray"/>
                <w:lang w:val="es-ES"/>
              </w:rPr>
            </w:pPr>
            <w:r w:rsidRPr="00BA15D7">
              <w:rPr>
                <w:rFonts w:ascii="Cambria" w:hAnsi="Cambria"/>
                <w:bCs/>
                <w:sz w:val="20"/>
                <w:szCs w:val="20"/>
                <w:lang w:val="es-ES"/>
              </w:rPr>
              <w:t>9 de marzo de 2015</w:t>
            </w:r>
          </w:p>
        </w:tc>
      </w:tr>
      <w:tr w:rsidR="00BE4E90" w:rsidRPr="00127A49" w14:paraId="7F0ED2A1" w14:textId="77777777" w:rsidTr="007B432F">
        <w:tc>
          <w:tcPr>
            <w:tcW w:w="3600" w:type="dxa"/>
            <w:tcBorders>
              <w:top w:val="single" w:sz="6" w:space="0" w:color="auto"/>
              <w:bottom w:val="single" w:sz="6" w:space="0" w:color="auto"/>
            </w:tcBorders>
            <w:shd w:val="clear" w:color="auto" w:fill="386294"/>
            <w:vAlign w:val="center"/>
          </w:tcPr>
          <w:p w14:paraId="2145B893" w14:textId="77777777" w:rsidR="00BE4E90" w:rsidRPr="003239B8" w:rsidRDefault="00BE4E90" w:rsidP="0044628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0AC69355" w14:textId="1A7F09D0" w:rsidR="00BE4E90" w:rsidRPr="00E50E92" w:rsidRDefault="00BF31E1" w:rsidP="0044628A">
            <w:pPr>
              <w:jc w:val="both"/>
              <w:rPr>
                <w:rFonts w:ascii="Cambria" w:hAnsi="Cambria"/>
                <w:bCs/>
                <w:sz w:val="20"/>
                <w:szCs w:val="20"/>
                <w:highlight w:val="lightGray"/>
                <w:lang w:val="es-ES"/>
              </w:rPr>
            </w:pPr>
            <w:r>
              <w:rPr>
                <w:rFonts w:ascii="Cambria" w:hAnsi="Cambria"/>
                <w:bCs/>
                <w:sz w:val="20"/>
                <w:szCs w:val="20"/>
                <w:lang w:val="es-ES"/>
              </w:rPr>
              <w:t>23 de enero, 6 de marzo</w:t>
            </w:r>
            <w:r w:rsidR="0044628A">
              <w:rPr>
                <w:rFonts w:ascii="Cambria" w:hAnsi="Cambria"/>
                <w:bCs/>
                <w:sz w:val="20"/>
                <w:szCs w:val="20"/>
                <w:lang w:val="es-ES"/>
              </w:rPr>
              <w:t xml:space="preserve"> y</w:t>
            </w:r>
            <w:r>
              <w:rPr>
                <w:rFonts w:ascii="Cambria" w:hAnsi="Cambria"/>
                <w:bCs/>
                <w:sz w:val="20"/>
                <w:szCs w:val="20"/>
                <w:lang w:val="es-ES"/>
              </w:rPr>
              <w:t xml:space="preserve"> 29 de abril de 2013</w:t>
            </w:r>
            <w:r w:rsidR="0044628A">
              <w:rPr>
                <w:rFonts w:ascii="Cambria" w:hAnsi="Cambria"/>
                <w:bCs/>
                <w:sz w:val="20"/>
                <w:szCs w:val="20"/>
                <w:lang w:val="es-ES"/>
              </w:rPr>
              <w:t>;</w:t>
            </w:r>
            <w:r>
              <w:rPr>
                <w:rFonts w:ascii="Cambria" w:hAnsi="Cambria"/>
                <w:bCs/>
                <w:sz w:val="20"/>
                <w:szCs w:val="20"/>
                <w:lang w:val="es-ES"/>
              </w:rPr>
              <w:t xml:space="preserve"> 17 de junio de 2015</w:t>
            </w:r>
            <w:r w:rsidR="0044628A">
              <w:rPr>
                <w:rFonts w:ascii="Cambria" w:hAnsi="Cambria"/>
                <w:bCs/>
                <w:sz w:val="20"/>
                <w:szCs w:val="20"/>
                <w:lang w:val="es-ES"/>
              </w:rPr>
              <w:t>;</w:t>
            </w:r>
            <w:r>
              <w:rPr>
                <w:rFonts w:ascii="Cambria" w:hAnsi="Cambria"/>
                <w:bCs/>
                <w:sz w:val="20"/>
                <w:szCs w:val="20"/>
                <w:lang w:val="es-ES"/>
              </w:rPr>
              <w:t xml:space="preserve"> 22 de enero de 2016</w:t>
            </w:r>
            <w:r w:rsidR="0044628A">
              <w:rPr>
                <w:rFonts w:ascii="Cambria" w:hAnsi="Cambria"/>
                <w:bCs/>
                <w:sz w:val="20"/>
                <w:szCs w:val="20"/>
                <w:lang w:val="es-ES"/>
              </w:rPr>
              <w:t>;</w:t>
            </w:r>
            <w:r w:rsidR="00E71186">
              <w:rPr>
                <w:rFonts w:ascii="Cambria" w:hAnsi="Cambria"/>
                <w:bCs/>
                <w:sz w:val="20"/>
                <w:szCs w:val="20"/>
                <w:lang w:val="es-ES"/>
              </w:rPr>
              <w:t xml:space="preserve"> 31 de marzo</w:t>
            </w:r>
            <w:r w:rsidR="00CC65BC">
              <w:rPr>
                <w:rFonts w:ascii="Cambria" w:hAnsi="Cambria"/>
                <w:bCs/>
                <w:sz w:val="20"/>
                <w:szCs w:val="20"/>
                <w:lang w:val="es-ES"/>
              </w:rPr>
              <w:t>, 1</w:t>
            </w:r>
            <w:r w:rsidR="0044628A">
              <w:rPr>
                <w:rFonts w:ascii="Cambria" w:hAnsi="Cambria"/>
                <w:bCs/>
                <w:sz w:val="20"/>
                <w:szCs w:val="20"/>
                <w:lang w:val="es-ES"/>
              </w:rPr>
              <w:t xml:space="preserve">º </w:t>
            </w:r>
            <w:r w:rsidR="00CC65BC">
              <w:rPr>
                <w:rFonts w:ascii="Cambria" w:hAnsi="Cambria"/>
                <w:bCs/>
                <w:sz w:val="20"/>
                <w:szCs w:val="20"/>
                <w:lang w:val="es-ES"/>
              </w:rPr>
              <w:t>de junio y 7,</w:t>
            </w:r>
            <w:r w:rsidR="0044628A">
              <w:rPr>
                <w:rFonts w:ascii="Cambria" w:hAnsi="Cambria"/>
                <w:bCs/>
                <w:sz w:val="20"/>
                <w:szCs w:val="20"/>
                <w:lang w:val="es-ES"/>
              </w:rPr>
              <w:t xml:space="preserve"> </w:t>
            </w:r>
            <w:r w:rsidR="00CC65BC">
              <w:rPr>
                <w:rFonts w:ascii="Cambria" w:hAnsi="Cambria"/>
                <w:bCs/>
                <w:sz w:val="20"/>
                <w:szCs w:val="20"/>
                <w:lang w:val="es-ES"/>
              </w:rPr>
              <w:t>8  y 13 de septiembre</w:t>
            </w:r>
            <w:r w:rsidR="00E71186">
              <w:rPr>
                <w:rFonts w:ascii="Cambria" w:hAnsi="Cambria"/>
                <w:bCs/>
                <w:sz w:val="20"/>
                <w:szCs w:val="20"/>
                <w:lang w:val="es-ES"/>
              </w:rPr>
              <w:t xml:space="preserve"> de 2017</w:t>
            </w:r>
            <w:r w:rsidR="0044628A">
              <w:rPr>
                <w:rFonts w:ascii="Cambria" w:hAnsi="Cambria"/>
                <w:bCs/>
                <w:sz w:val="20"/>
                <w:szCs w:val="20"/>
                <w:lang w:val="es-ES"/>
              </w:rPr>
              <w:t>;</w:t>
            </w:r>
            <w:r w:rsidR="00CC65BC">
              <w:rPr>
                <w:rFonts w:ascii="Cambria" w:hAnsi="Cambria"/>
                <w:bCs/>
                <w:sz w:val="20"/>
                <w:szCs w:val="20"/>
                <w:lang w:val="es-ES"/>
              </w:rPr>
              <w:t xml:space="preserve"> 3</w:t>
            </w:r>
            <w:r w:rsidR="000D7384">
              <w:rPr>
                <w:rFonts w:ascii="Cambria" w:hAnsi="Cambria"/>
                <w:bCs/>
                <w:sz w:val="20"/>
                <w:szCs w:val="20"/>
                <w:lang w:val="es-ES"/>
              </w:rPr>
              <w:t xml:space="preserve"> y 4</w:t>
            </w:r>
            <w:r w:rsidR="00CC65BC">
              <w:rPr>
                <w:rFonts w:ascii="Cambria" w:hAnsi="Cambria"/>
                <w:bCs/>
                <w:sz w:val="20"/>
                <w:szCs w:val="20"/>
                <w:lang w:val="es-ES"/>
              </w:rPr>
              <w:t xml:space="preserve"> de mayo</w:t>
            </w:r>
            <w:r w:rsidR="0044628A">
              <w:rPr>
                <w:rFonts w:ascii="Cambria" w:hAnsi="Cambria"/>
                <w:bCs/>
                <w:sz w:val="20"/>
                <w:szCs w:val="20"/>
                <w:lang w:val="es-ES"/>
              </w:rPr>
              <w:t>,</w:t>
            </w:r>
            <w:r w:rsidR="000D7384">
              <w:rPr>
                <w:rFonts w:ascii="Cambria" w:hAnsi="Cambria"/>
                <w:bCs/>
                <w:sz w:val="20"/>
                <w:szCs w:val="20"/>
                <w:lang w:val="es-ES"/>
              </w:rPr>
              <w:t xml:space="preserve"> 9 de agosto</w:t>
            </w:r>
            <w:r w:rsidR="00CC65BC">
              <w:rPr>
                <w:rFonts w:ascii="Cambria" w:hAnsi="Cambria"/>
                <w:bCs/>
                <w:sz w:val="20"/>
                <w:szCs w:val="20"/>
                <w:lang w:val="es-ES"/>
              </w:rPr>
              <w:t xml:space="preserve"> de 2018</w:t>
            </w:r>
            <w:r w:rsidR="0044628A">
              <w:rPr>
                <w:rFonts w:ascii="Cambria" w:hAnsi="Cambria"/>
                <w:bCs/>
                <w:sz w:val="20"/>
                <w:szCs w:val="20"/>
                <w:lang w:val="es-ES"/>
              </w:rPr>
              <w:t>;</w:t>
            </w:r>
            <w:r w:rsidR="000D7384">
              <w:rPr>
                <w:rFonts w:ascii="Cambria" w:hAnsi="Cambria"/>
                <w:bCs/>
                <w:sz w:val="20"/>
                <w:szCs w:val="20"/>
                <w:lang w:val="es-ES"/>
              </w:rPr>
              <w:t xml:space="preserve"> 26 </w:t>
            </w:r>
            <w:r w:rsidR="0055668D">
              <w:rPr>
                <w:rFonts w:ascii="Cambria" w:hAnsi="Cambria"/>
                <w:bCs/>
                <w:sz w:val="20"/>
                <w:szCs w:val="20"/>
                <w:lang w:val="es-ES"/>
              </w:rPr>
              <w:t xml:space="preserve">y 28 </w:t>
            </w:r>
            <w:r w:rsidR="000D7384">
              <w:rPr>
                <w:rFonts w:ascii="Cambria" w:hAnsi="Cambria"/>
                <w:bCs/>
                <w:sz w:val="20"/>
                <w:szCs w:val="20"/>
                <w:lang w:val="es-ES"/>
              </w:rPr>
              <w:t>de febrero</w:t>
            </w:r>
            <w:r w:rsidR="0055668D">
              <w:rPr>
                <w:rFonts w:ascii="Cambria" w:hAnsi="Cambria"/>
                <w:bCs/>
                <w:sz w:val="20"/>
                <w:szCs w:val="20"/>
                <w:lang w:val="es-ES"/>
              </w:rPr>
              <w:t>, 26 de julio</w:t>
            </w:r>
            <w:r w:rsidR="002F3B80">
              <w:rPr>
                <w:rFonts w:ascii="Cambria" w:hAnsi="Cambria"/>
                <w:bCs/>
                <w:sz w:val="20"/>
                <w:szCs w:val="20"/>
                <w:lang w:val="es-ES"/>
              </w:rPr>
              <w:t>, 1</w:t>
            </w:r>
            <w:r w:rsidR="0044628A">
              <w:rPr>
                <w:rFonts w:ascii="Cambria" w:hAnsi="Cambria"/>
                <w:bCs/>
                <w:sz w:val="20"/>
                <w:szCs w:val="20"/>
                <w:lang w:val="es-ES"/>
              </w:rPr>
              <w:t xml:space="preserve">º </w:t>
            </w:r>
            <w:r w:rsidR="002F3B80">
              <w:rPr>
                <w:rFonts w:ascii="Cambria" w:hAnsi="Cambria"/>
                <w:bCs/>
                <w:sz w:val="20"/>
                <w:szCs w:val="20"/>
                <w:lang w:val="es-ES"/>
              </w:rPr>
              <w:t xml:space="preserve">de agosto y 11 de noviembre </w:t>
            </w:r>
            <w:r w:rsidR="000D7384">
              <w:rPr>
                <w:rFonts w:ascii="Cambria" w:hAnsi="Cambria"/>
                <w:bCs/>
                <w:sz w:val="20"/>
                <w:szCs w:val="20"/>
                <w:lang w:val="es-ES"/>
              </w:rPr>
              <w:t>de 2019</w:t>
            </w:r>
            <w:r w:rsidR="00FE1774">
              <w:rPr>
                <w:rFonts w:ascii="Cambria" w:hAnsi="Cambria"/>
                <w:bCs/>
                <w:sz w:val="20"/>
                <w:szCs w:val="20"/>
                <w:lang w:val="es-ES"/>
              </w:rPr>
              <w:t xml:space="preserve">; y </w:t>
            </w:r>
            <w:r w:rsidR="00FE1774" w:rsidRPr="00903D34">
              <w:rPr>
                <w:rFonts w:ascii="Cambria" w:hAnsi="Cambria"/>
                <w:bCs/>
                <w:sz w:val="20"/>
                <w:szCs w:val="20"/>
                <w:lang w:val="es-ES"/>
              </w:rPr>
              <w:t>12 de julio de 2021</w:t>
            </w:r>
          </w:p>
        </w:tc>
      </w:tr>
      <w:tr w:rsidR="00BE4E90" w:rsidRPr="00127A49" w14:paraId="5DF2AB8C" w14:textId="77777777" w:rsidTr="007B432F">
        <w:tc>
          <w:tcPr>
            <w:tcW w:w="3600" w:type="dxa"/>
            <w:tcBorders>
              <w:top w:val="single" w:sz="6" w:space="0" w:color="auto"/>
              <w:bottom w:val="single" w:sz="6" w:space="0" w:color="auto"/>
            </w:tcBorders>
            <w:shd w:val="clear" w:color="auto" w:fill="386294"/>
            <w:vAlign w:val="center"/>
          </w:tcPr>
          <w:p w14:paraId="76B377E0" w14:textId="77777777" w:rsidR="00BE4E90" w:rsidRDefault="00BE4E90" w:rsidP="0044628A">
            <w:pPr>
              <w:jc w:val="center"/>
              <w:rPr>
                <w:rFonts w:ascii="Cambria" w:hAnsi="Cambria"/>
                <w:b/>
                <w:bCs/>
                <w:color w:val="FFFFFF" w:themeColor="background1"/>
                <w:sz w:val="20"/>
                <w:szCs w:val="20"/>
                <w:lang w:val="es-ES"/>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5E0AC349" w14:textId="360C21E6" w:rsidR="00BE4E90" w:rsidRPr="00E50E92" w:rsidRDefault="000D5FC8" w:rsidP="0044628A">
            <w:pPr>
              <w:jc w:val="both"/>
              <w:rPr>
                <w:rFonts w:ascii="Cambria" w:hAnsi="Cambria"/>
                <w:bCs/>
                <w:sz w:val="20"/>
                <w:szCs w:val="20"/>
                <w:highlight w:val="lightGray"/>
                <w:lang w:val="es-ES"/>
              </w:rPr>
            </w:pPr>
            <w:r w:rsidRPr="000D5FC8">
              <w:rPr>
                <w:rFonts w:ascii="Cambria" w:hAnsi="Cambria"/>
                <w:bCs/>
                <w:sz w:val="20"/>
                <w:szCs w:val="20"/>
                <w:lang w:val="es-ES"/>
              </w:rPr>
              <w:t>26 de mayo de 2016</w:t>
            </w:r>
            <w:r w:rsidR="00AA710A">
              <w:rPr>
                <w:rFonts w:ascii="Cambria" w:hAnsi="Cambria"/>
                <w:bCs/>
                <w:sz w:val="20"/>
                <w:szCs w:val="20"/>
                <w:lang w:val="es-ES"/>
              </w:rPr>
              <w:t xml:space="preserve"> y 6 noviembre de 2019</w:t>
            </w:r>
          </w:p>
        </w:tc>
      </w:tr>
    </w:tbl>
    <w:p w14:paraId="41AC0681" w14:textId="77777777" w:rsidR="003239B8" w:rsidRPr="00671AA7" w:rsidRDefault="003239B8" w:rsidP="0044628A">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III. </w:t>
      </w:r>
      <w:r w:rsidRPr="00671AA7">
        <w:rPr>
          <w:rFonts w:asciiTheme="majorHAnsi" w:hAnsiTheme="majorHAnsi"/>
          <w:b/>
          <w:bCs/>
          <w:sz w:val="20"/>
          <w:szCs w:val="20"/>
          <w:lang w:val="es-ES"/>
        </w:rPr>
        <w:tab/>
        <w:t>COMPETENCIA</w:t>
      </w:r>
      <w:r w:rsidR="00EE00E9" w:rsidRPr="00671AA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71AA7" w14:paraId="714878FD" w14:textId="77777777" w:rsidTr="004A6A54">
        <w:trPr>
          <w:cantSplit/>
        </w:trPr>
        <w:tc>
          <w:tcPr>
            <w:tcW w:w="3600" w:type="dxa"/>
            <w:tcBorders>
              <w:top w:val="single" w:sz="4" w:space="0" w:color="auto"/>
              <w:bottom w:val="single" w:sz="6" w:space="0" w:color="auto"/>
            </w:tcBorders>
            <w:shd w:val="clear" w:color="auto" w:fill="386294"/>
            <w:vAlign w:val="center"/>
          </w:tcPr>
          <w:p w14:paraId="7F826B3C" w14:textId="77777777" w:rsidR="003239B8" w:rsidRPr="00671AA7" w:rsidRDefault="003239B8" w:rsidP="0044628A">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personae:</w:t>
            </w:r>
          </w:p>
        </w:tc>
        <w:tc>
          <w:tcPr>
            <w:tcW w:w="5760" w:type="dxa"/>
            <w:vAlign w:val="center"/>
          </w:tcPr>
          <w:p w14:paraId="4958DDF9" w14:textId="77777777" w:rsidR="003239B8" w:rsidRPr="00671AA7" w:rsidRDefault="00F87647" w:rsidP="0044628A">
            <w:pPr>
              <w:rPr>
                <w:rFonts w:ascii="Cambria" w:hAnsi="Cambria"/>
                <w:bCs/>
                <w:sz w:val="20"/>
                <w:szCs w:val="20"/>
                <w:lang w:val="es-ES"/>
              </w:rPr>
            </w:pPr>
            <w:r>
              <w:rPr>
                <w:rFonts w:ascii="Cambria" w:hAnsi="Cambria"/>
                <w:bCs/>
                <w:sz w:val="20"/>
                <w:szCs w:val="20"/>
                <w:lang w:val="es-ES"/>
              </w:rPr>
              <w:t>Sí</w:t>
            </w:r>
          </w:p>
        </w:tc>
      </w:tr>
      <w:tr w:rsidR="003239B8" w:rsidRPr="00671AA7" w14:paraId="38FC6B3D" w14:textId="77777777" w:rsidTr="004A6A54">
        <w:trPr>
          <w:cantSplit/>
        </w:trPr>
        <w:tc>
          <w:tcPr>
            <w:tcW w:w="3600" w:type="dxa"/>
            <w:tcBorders>
              <w:top w:val="single" w:sz="6" w:space="0" w:color="auto"/>
              <w:bottom w:val="single" w:sz="6" w:space="0" w:color="auto"/>
            </w:tcBorders>
            <w:shd w:val="clear" w:color="auto" w:fill="386294"/>
            <w:vAlign w:val="center"/>
          </w:tcPr>
          <w:p w14:paraId="04567275"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loci</w:t>
            </w:r>
            <w:r w:rsidRPr="00671AA7">
              <w:rPr>
                <w:rFonts w:ascii="Cambria" w:hAnsi="Cambria"/>
                <w:b/>
                <w:bCs/>
                <w:color w:val="FFFFFF" w:themeColor="background1"/>
                <w:sz w:val="20"/>
                <w:szCs w:val="20"/>
                <w:lang w:val="es-ES"/>
              </w:rPr>
              <w:t>:</w:t>
            </w:r>
          </w:p>
        </w:tc>
        <w:tc>
          <w:tcPr>
            <w:tcW w:w="5760" w:type="dxa"/>
            <w:vAlign w:val="center"/>
          </w:tcPr>
          <w:p w14:paraId="03719F64" w14:textId="77777777" w:rsidR="003239B8" w:rsidRPr="00671AA7" w:rsidRDefault="00F87647" w:rsidP="0044628A">
            <w:pPr>
              <w:rPr>
                <w:rFonts w:ascii="Cambria" w:hAnsi="Cambria"/>
                <w:bCs/>
                <w:sz w:val="20"/>
                <w:szCs w:val="20"/>
                <w:lang w:val="es-ES"/>
              </w:rPr>
            </w:pPr>
            <w:r>
              <w:rPr>
                <w:rFonts w:ascii="Cambria" w:hAnsi="Cambria"/>
                <w:bCs/>
                <w:sz w:val="20"/>
                <w:szCs w:val="20"/>
                <w:lang w:val="es-ES"/>
              </w:rPr>
              <w:t>Sí</w:t>
            </w:r>
          </w:p>
        </w:tc>
      </w:tr>
      <w:tr w:rsidR="003239B8" w:rsidRPr="00671AA7" w14:paraId="277AC525" w14:textId="77777777" w:rsidTr="004A6A54">
        <w:trPr>
          <w:cantSplit/>
        </w:trPr>
        <w:tc>
          <w:tcPr>
            <w:tcW w:w="3600" w:type="dxa"/>
            <w:tcBorders>
              <w:top w:val="single" w:sz="6" w:space="0" w:color="auto"/>
              <w:bottom w:val="single" w:sz="6" w:space="0" w:color="auto"/>
            </w:tcBorders>
            <w:shd w:val="clear" w:color="auto" w:fill="386294"/>
            <w:vAlign w:val="center"/>
          </w:tcPr>
          <w:p w14:paraId="46AAC792"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temporis</w:t>
            </w:r>
            <w:r w:rsidRPr="00671AA7">
              <w:rPr>
                <w:rFonts w:ascii="Cambria" w:hAnsi="Cambria"/>
                <w:b/>
                <w:bCs/>
                <w:color w:val="FFFFFF" w:themeColor="background1"/>
                <w:sz w:val="20"/>
                <w:szCs w:val="20"/>
                <w:lang w:val="es-ES"/>
              </w:rPr>
              <w:t>:</w:t>
            </w:r>
          </w:p>
        </w:tc>
        <w:tc>
          <w:tcPr>
            <w:tcW w:w="5760" w:type="dxa"/>
            <w:vAlign w:val="center"/>
          </w:tcPr>
          <w:p w14:paraId="20B6FFA9" w14:textId="77777777" w:rsidR="003239B8" w:rsidRPr="00671AA7" w:rsidRDefault="00F87647" w:rsidP="0044628A">
            <w:pPr>
              <w:rPr>
                <w:bCs/>
                <w:sz w:val="20"/>
                <w:szCs w:val="20"/>
                <w:lang w:val="es-ES"/>
              </w:rPr>
            </w:pPr>
            <w:r>
              <w:rPr>
                <w:bCs/>
                <w:sz w:val="20"/>
                <w:szCs w:val="20"/>
                <w:lang w:val="es-ES"/>
              </w:rPr>
              <w:t>Sí</w:t>
            </w:r>
          </w:p>
        </w:tc>
      </w:tr>
      <w:tr w:rsidR="003239B8" w:rsidRPr="00127A49" w14:paraId="1797CEC4" w14:textId="77777777" w:rsidTr="004A6A54">
        <w:trPr>
          <w:cantSplit/>
        </w:trPr>
        <w:tc>
          <w:tcPr>
            <w:tcW w:w="3600" w:type="dxa"/>
            <w:tcBorders>
              <w:top w:val="single" w:sz="6" w:space="0" w:color="auto"/>
              <w:bottom w:val="single" w:sz="6" w:space="0" w:color="auto"/>
            </w:tcBorders>
            <w:shd w:val="clear" w:color="auto" w:fill="386294"/>
            <w:vAlign w:val="center"/>
          </w:tcPr>
          <w:p w14:paraId="2BE9F29C"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Ratione materia</w:t>
            </w:r>
            <w:r w:rsidR="00EE00E9" w:rsidRPr="00671AA7">
              <w:rPr>
                <w:rFonts w:ascii="Cambria" w:hAnsi="Cambria"/>
                <w:b/>
                <w:bCs/>
                <w:i/>
                <w:color w:val="FFFFFF" w:themeColor="background1"/>
                <w:sz w:val="20"/>
                <w:szCs w:val="20"/>
                <w:lang w:val="es-ES"/>
              </w:rPr>
              <w:t>e</w:t>
            </w:r>
            <w:r w:rsidRPr="00671AA7">
              <w:rPr>
                <w:rFonts w:ascii="Cambria" w:hAnsi="Cambria"/>
                <w:b/>
                <w:bCs/>
                <w:color w:val="FFFFFF" w:themeColor="background1"/>
                <w:sz w:val="20"/>
                <w:szCs w:val="20"/>
                <w:lang w:val="es-ES"/>
              </w:rPr>
              <w:t>:</w:t>
            </w:r>
          </w:p>
        </w:tc>
        <w:tc>
          <w:tcPr>
            <w:tcW w:w="5760" w:type="dxa"/>
            <w:vAlign w:val="center"/>
          </w:tcPr>
          <w:p w14:paraId="490D202A" w14:textId="77777777" w:rsidR="003239B8" w:rsidRPr="00671AA7" w:rsidRDefault="00F87647" w:rsidP="0044628A">
            <w:pPr>
              <w:jc w:val="both"/>
              <w:rPr>
                <w:rFonts w:ascii="Cambria" w:hAnsi="Cambria"/>
                <w:bCs/>
                <w:sz w:val="20"/>
                <w:szCs w:val="20"/>
                <w:lang w:val="es-ES"/>
              </w:rPr>
            </w:pPr>
            <w:r w:rsidRPr="008441BD">
              <w:rPr>
                <w:rFonts w:ascii="Cambria" w:hAnsi="Cambria"/>
                <w:bCs/>
                <w:sz w:val="20"/>
                <w:szCs w:val="20"/>
                <w:lang w:val="es-ES"/>
              </w:rPr>
              <w:t>Sí, Convención Americana (de</w:t>
            </w:r>
            <w:r w:rsidR="00813EC3" w:rsidRPr="008441BD">
              <w:rPr>
                <w:rFonts w:ascii="Cambria" w:hAnsi="Cambria"/>
                <w:bCs/>
                <w:sz w:val="20"/>
                <w:szCs w:val="20"/>
                <w:lang w:val="es-ES"/>
              </w:rPr>
              <w:t xml:space="preserve">pósito del </w:t>
            </w:r>
            <w:r w:rsidR="008441BD" w:rsidRPr="008441BD">
              <w:rPr>
                <w:rFonts w:ascii="Cambria" w:hAnsi="Cambria"/>
                <w:bCs/>
                <w:sz w:val="20"/>
                <w:szCs w:val="20"/>
                <w:lang w:val="es-ES"/>
              </w:rPr>
              <w:t>instrumento realizado el 26</w:t>
            </w:r>
            <w:r w:rsidR="00813EC3" w:rsidRPr="008441BD">
              <w:rPr>
                <w:rFonts w:ascii="Cambria" w:hAnsi="Cambria"/>
                <w:bCs/>
                <w:sz w:val="20"/>
                <w:szCs w:val="20"/>
                <w:lang w:val="es-ES"/>
              </w:rPr>
              <w:t xml:space="preserve"> de </w:t>
            </w:r>
            <w:r w:rsidR="008441BD" w:rsidRPr="008441BD">
              <w:rPr>
                <w:rFonts w:ascii="Cambria" w:hAnsi="Cambria"/>
                <w:bCs/>
                <w:sz w:val="20"/>
                <w:szCs w:val="20"/>
                <w:lang w:val="es-ES"/>
              </w:rPr>
              <w:t>marzo de 1985</w:t>
            </w:r>
            <w:r w:rsidR="00813EC3" w:rsidRPr="008441BD">
              <w:rPr>
                <w:rFonts w:ascii="Cambria" w:hAnsi="Cambria"/>
                <w:bCs/>
                <w:sz w:val="20"/>
                <w:szCs w:val="20"/>
                <w:lang w:val="es-ES"/>
              </w:rPr>
              <w:t xml:space="preserve">) </w:t>
            </w:r>
          </w:p>
        </w:tc>
      </w:tr>
    </w:tbl>
    <w:p w14:paraId="35E3F112" w14:textId="77777777" w:rsidR="003239B8" w:rsidRPr="00671AA7" w:rsidRDefault="003239B8" w:rsidP="00A24FD3">
      <w:pPr>
        <w:spacing w:before="240" w:after="240"/>
        <w:ind w:left="1440" w:hanging="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IV. </w:t>
      </w:r>
      <w:r w:rsidRPr="00671AA7">
        <w:rPr>
          <w:rFonts w:asciiTheme="majorHAnsi" w:hAnsiTheme="majorHAnsi"/>
          <w:b/>
          <w:bCs/>
          <w:sz w:val="20"/>
          <w:szCs w:val="20"/>
          <w:lang w:val="es-ES"/>
        </w:rPr>
        <w:tab/>
      </w:r>
      <w:r w:rsidR="00EE00E9" w:rsidRPr="00671AA7">
        <w:rPr>
          <w:rFonts w:asciiTheme="majorHAnsi" w:hAnsiTheme="majorHAnsi"/>
          <w:b/>
          <w:bCs/>
          <w:sz w:val="20"/>
          <w:szCs w:val="20"/>
          <w:lang w:val="es-ES"/>
        </w:rPr>
        <w:t>DUPLICACIÓN</w:t>
      </w:r>
      <w:r w:rsidR="00EE00E9" w:rsidRPr="00671AA7">
        <w:rPr>
          <w:rFonts w:asciiTheme="majorHAnsi" w:hAnsiTheme="majorHAnsi"/>
          <w:b/>
          <w:bCs/>
          <w:color w:val="FFFFFF" w:themeColor="background1"/>
          <w:sz w:val="20"/>
          <w:szCs w:val="20"/>
          <w:lang w:val="es-ES"/>
        </w:rPr>
        <w:t xml:space="preserve"> </w:t>
      </w:r>
      <w:r w:rsidR="00EE00E9" w:rsidRPr="00671AA7">
        <w:rPr>
          <w:rFonts w:asciiTheme="majorHAnsi" w:hAnsiTheme="majorHAnsi"/>
          <w:b/>
          <w:bCs/>
          <w:sz w:val="20"/>
          <w:szCs w:val="20"/>
          <w:lang w:val="es-ES"/>
        </w:rPr>
        <w:t>DE PROCEDIMIENTOS Y COSA JUZGADA</w:t>
      </w:r>
      <w:r w:rsidR="00EE00E9" w:rsidRPr="00671AA7">
        <w:rPr>
          <w:rFonts w:asciiTheme="majorHAnsi" w:hAnsiTheme="majorHAnsi"/>
          <w:b/>
          <w:bCs/>
          <w:i/>
          <w:sz w:val="20"/>
          <w:szCs w:val="20"/>
          <w:lang w:val="es-ES"/>
        </w:rPr>
        <w:t xml:space="preserve"> </w:t>
      </w:r>
      <w:r w:rsidR="00EE00E9" w:rsidRPr="00671AA7">
        <w:rPr>
          <w:rFonts w:asciiTheme="majorHAnsi" w:hAnsiTheme="majorHAnsi"/>
          <w:b/>
          <w:bCs/>
          <w:sz w:val="20"/>
          <w:szCs w:val="20"/>
          <w:lang w:val="es-ES"/>
        </w:rPr>
        <w:t xml:space="preserve">INTERNACIONAL, </w:t>
      </w:r>
      <w:r w:rsidRPr="00671AA7">
        <w:rPr>
          <w:rFonts w:asciiTheme="majorHAnsi" w:hAnsiTheme="majorHAnsi"/>
          <w:b/>
          <w:bCs/>
          <w:sz w:val="20"/>
          <w:szCs w:val="20"/>
          <w:lang w:val="es-ES"/>
        </w:rPr>
        <w:t xml:space="preserve">CARACTERIZACIÓN, </w:t>
      </w:r>
      <w:r w:rsidRPr="00671AA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71AA7" w14:paraId="5235CDB5" w14:textId="77777777" w:rsidTr="004A6A54">
        <w:trPr>
          <w:cantSplit/>
        </w:trPr>
        <w:tc>
          <w:tcPr>
            <w:tcW w:w="3600" w:type="dxa"/>
            <w:tcBorders>
              <w:top w:val="single" w:sz="4" w:space="0" w:color="auto"/>
              <w:bottom w:val="single" w:sz="6" w:space="0" w:color="auto"/>
            </w:tcBorders>
            <w:shd w:val="clear" w:color="auto" w:fill="386294"/>
            <w:vAlign w:val="center"/>
          </w:tcPr>
          <w:p w14:paraId="04A41E67" w14:textId="77777777" w:rsidR="00EE00E9" w:rsidRPr="00671AA7" w:rsidRDefault="00EE00E9"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Duplicación de procedimientos y cosa juzgada internacional:</w:t>
            </w:r>
          </w:p>
        </w:tc>
        <w:tc>
          <w:tcPr>
            <w:tcW w:w="5760" w:type="dxa"/>
            <w:vAlign w:val="center"/>
          </w:tcPr>
          <w:p w14:paraId="272F073F" w14:textId="77777777" w:rsidR="00EE00E9" w:rsidRPr="00671AA7" w:rsidRDefault="00813EC3" w:rsidP="0044628A">
            <w:pPr>
              <w:jc w:val="both"/>
              <w:rPr>
                <w:rFonts w:ascii="Cambria" w:hAnsi="Cambria"/>
                <w:bCs/>
                <w:sz w:val="20"/>
                <w:szCs w:val="20"/>
                <w:lang w:val="es-ES"/>
              </w:rPr>
            </w:pPr>
            <w:r>
              <w:rPr>
                <w:rFonts w:ascii="Cambria" w:hAnsi="Cambria"/>
                <w:bCs/>
                <w:sz w:val="20"/>
                <w:szCs w:val="20"/>
                <w:lang w:val="es-ES"/>
              </w:rPr>
              <w:t>No</w:t>
            </w:r>
          </w:p>
        </w:tc>
      </w:tr>
      <w:tr w:rsidR="003239B8" w:rsidRPr="00127A49" w14:paraId="7F9C32AF" w14:textId="77777777" w:rsidTr="004A6A54">
        <w:trPr>
          <w:cantSplit/>
        </w:trPr>
        <w:tc>
          <w:tcPr>
            <w:tcW w:w="3600" w:type="dxa"/>
            <w:tcBorders>
              <w:top w:val="single" w:sz="4" w:space="0" w:color="auto"/>
              <w:bottom w:val="single" w:sz="6" w:space="0" w:color="auto"/>
            </w:tcBorders>
            <w:shd w:val="clear" w:color="auto" w:fill="386294"/>
            <w:vAlign w:val="center"/>
          </w:tcPr>
          <w:p w14:paraId="75218014" w14:textId="77777777" w:rsidR="003239B8" w:rsidRPr="00671AA7" w:rsidRDefault="003239B8" w:rsidP="0044628A">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Derechos declarados admisibles</w:t>
            </w:r>
            <w:r w:rsidRPr="00671AA7">
              <w:rPr>
                <w:rFonts w:ascii="Cambria" w:hAnsi="Cambria"/>
                <w:b/>
                <w:bCs/>
                <w:i/>
                <w:color w:val="FFFFFF" w:themeColor="background1"/>
                <w:sz w:val="20"/>
                <w:szCs w:val="20"/>
                <w:lang w:val="es-ES"/>
              </w:rPr>
              <w:t>:</w:t>
            </w:r>
          </w:p>
        </w:tc>
        <w:tc>
          <w:tcPr>
            <w:tcW w:w="5760" w:type="dxa"/>
            <w:vAlign w:val="center"/>
          </w:tcPr>
          <w:p w14:paraId="213B6B9D" w14:textId="59B4E20A" w:rsidR="003239B8" w:rsidRPr="00671AA7" w:rsidRDefault="00813EC3" w:rsidP="0044628A">
            <w:pPr>
              <w:jc w:val="both"/>
              <w:rPr>
                <w:rFonts w:ascii="Cambria" w:hAnsi="Cambria"/>
                <w:bCs/>
                <w:sz w:val="20"/>
                <w:szCs w:val="20"/>
                <w:lang w:val="es-ES"/>
              </w:rPr>
            </w:pPr>
            <w:r w:rsidRPr="006D4A18">
              <w:rPr>
                <w:rFonts w:ascii="Cambria" w:hAnsi="Cambria"/>
                <w:bCs/>
                <w:sz w:val="20"/>
                <w:szCs w:val="20"/>
                <w:lang w:val="es-ES"/>
              </w:rPr>
              <w:t>Artículos 5 (integridad pe</w:t>
            </w:r>
            <w:r w:rsidR="006D4A18" w:rsidRPr="006D4A18">
              <w:rPr>
                <w:rFonts w:ascii="Cambria" w:hAnsi="Cambria"/>
                <w:bCs/>
                <w:sz w:val="20"/>
                <w:szCs w:val="20"/>
                <w:lang w:val="es-ES"/>
              </w:rPr>
              <w:t>rsonal), 7 (libertad personal),</w:t>
            </w:r>
            <w:r w:rsidR="002F3B80">
              <w:rPr>
                <w:rFonts w:ascii="Cambria" w:hAnsi="Cambria"/>
                <w:bCs/>
                <w:sz w:val="20"/>
                <w:szCs w:val="20"/>
                <w:lang w:val="es-ES"/>
              </w:rPr>
              <w:t xml:space="preserve"> 8 (garantías judiciales),</w:t>
            </w:r>
            <w:r w:rsidR="00A1615F">
              <w:rPr>
                <w:rFonts w:ascii="Cambria" w:hAnsi="Cambria"/>
                <w:bCs/>
                <w:sz w:val="20"/>
                <w:szCs w:val="20"/>
                <w:lang w:val="es-ES"/>
              </w:rPr>
              <w:t xml:space="preserve"> 17 (protección de la familia), 24 (igualdad ante la ley),</w:t>
            </w:r>
            <w:r w:rsidR="0069280E">
              <w:rPr>
                <w:rFonts w:ascii="Cambria" w:hAnsi="Cambria"/>
                <w:bCs/>
                <w:sz w:val="20"/>
                <w:szCs w:val="20"/>
                <w:lang w:val="es-ES"/>
              </w:rPr>
              <w:t xml:space="preserve"> </w:t>
            </w:r>
            <w:r w:rsidRPr="006D4A18">
              <w:rPr>
                <w:rFonts w:ascii="Cambria" w:hAnsi="Cambria"/>
                <w:bCs/>
                <w:sz w:val="20"/>
                <w:szCs w:val="20"/>
                <w:lang w:val="es-ES"/>
              </w:rPr>
              <w:t xml:space="preserve">25 (protección judicial) </w:t>
            </w:r>
            <w:r w:rsidR="002F3B80">
              <w:rPr>
                <w:rFonts w:ascii="Cambria" w:hAnsi="Cambria"/>
                <w:bCs/>
                <w:sz w:val="20"/>
                <w:szCs w:val="20"/>
                <w:lang w:val="es-ES"/>
              </w:rPr>
              <w:t>y 26 (derechos económicos</w:t>
            </w:r>
            <w:r w:rsidR="0044628A">
              <w:rPr>
                <w:rFonts w:ascii="Cambria" w:hAnsi="Cambria"/>
                <w:bCs/>
                <w:sz w:val="20"/>
                <w:szCs w:val="20"/>
                <w:lang w:val="es-ES"/>
              </w:rPr>
              <w:t>,</w:t>
            </w:r>
            <w:r w:rsidR="002F3B80">
              <w:rPr>
                <w:rFonts w:ascii="Cambria" w:hAnsi="Cambria"/>
                <w:bCs/>
                <w:sz w:val="20"/>
                <w:szCs w:val="20"/>
                <w:lang w:val="es-ES"/>
              </w:rPr>
              <w:t xml:space="preserve"> sociales y culturales) de la Convención Americana en relación co</w:t>
            </w:r>
            <w:r w:rsidR="00F16578">
              <w:rPr>
                <w:rFonts w:ascii="Cambria" w:hAnsi="Cambria"/>
                <w:bCs/>
                <w:sz w:val="20"/>
                <w:szCs w:val="20"/>
                <w:lang w:val="es-ES"/>
              </w:rPr>
              <w:t>n sus artículos 1.1. (obligación de respetar los derechos) y 2 (deber de adoptar disposiciones de derecho interno).</w:t>
            </w:r>
          </w:p>
        </w:tc>
      </w:tr>
      <w:tr w:rsidR="003239B8" w:rsidRPr="00127A49" w14:paraId="47501708" w14:textId="77777777" w:rsidTr="004A6A54">
        <w:trPr>
          <w:cantSplit/>
        </w:trPr>
        <w:tc>
          <w:tcPr>
            <w:tcW w:w="3600" w:type="dxa"/>
            <w:tcBorders>
              <w:top w:val="single" w:sz="6" w:space="0" w:color="auto"/>
              <w:bottom w:val="single" w:sz="6" w:space="0" w:color="auto"/>
            </w:tcBorders>
            <w:shd w:val="clear" w:color="auto" w:fill="386294"/>
            <w:vAlign w:val="center"/>
          </w:tcPr>
          <w:p w14:paraId="26515CCF"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lastRenderedPageBreak/>
              <w:t>Agotamiento de recursos internos</w:t>
            </w:r>
            <w:r w:rsidR="00EE00E9" w:rsidRPr="00671AA7">
              <w:rPr>
                <w:rFonts w:ascii="Cambria" w:hAnsi="Cambria"/>
                <w:b/>
                <w:bCs/>
                <w:color w:val="FFFFFF" w:themeColor="background1"/>
                <w:sz w:val="20"/>
                <w:szCs w:val="20"/>
                <w:lang w:val="es-ES"/>
              </w:rPr>
              <w:t xml:space="preserve"> o procedencia de una excepción</w:t>
            </w:r>
            <w:r w:rsidRPr="00671AA7">
              <w:rPr>
                <w:rFonts w:ascii="Cambria" w:hAnsi="Cambria"/>
                <w:b/>
                <w:bCs/>
                <w:color w:val="FFFFFF" w:themeColor="background1"/>
                <w:sz w:val="20"/>
                <w:szCs w:val="20"/>
                <w:lang w:val="es-ES"/>
              </w:rPr>
              <w:t>:</w:t>
            </w:r>
          </w:p>
        </w:tc>
        <w:tc>
          <w:tcPr>
            <w:tcW w:w="5760" w:type="dxa"/>
            <w:vAlign w:val="center"/>
          </w:tcPr>
          <w:p w14:paraId="1A624725" w14:textId="19BEF8B8" w:rsidR="003239B8" w:rsidRPr="00671AA7" w:rsidRDefault="00813EC3" w:rsidP="0044628A">
            <w:pPr>
              <w:rPr>
                <w:rFonts w:ascii="Cambria" w:hAnsi="Cambria"/>
                <w:bCs/>
                <w:sz w:val="20"/>
                <w:szCs w:val="20"/>
                <w:lang w:val="es-ES"/>
              </w:rPr>
            </w:pPr>
            <w:r>
              <w:rPr>
                <w:rFonts w:ascii="Cambria" w:hAnsi="Cambria"/>
                <w:bCs/>
                <w:sz w:val="20"/>
                <w:szCs w:val="20"/>
                <w:lang w:val="es-ES"/>
              </w:rPr>
              <w:t>Sí</w:t>
            </w:r>
            <w:r w:rsidR="002F3B80">
              <w:rPr>
                <w:rFonts w:ascii="Cambria" w:hAnsi="Cambria"/>
                <w:bCs/>
                <w:sz w:val="20"/>
                <w:szCs w:val="20"/>
                <w:lang w:val="es-ES"/>
              </w:rPr>
              <w:t>, en los términos de la sección VI</w:t>
            </w:r>
          </w:p>
        </w:tc>
      </w:tr>
      <w:tr w:rsidR="003239B8" w:rsidRPr="00127A49" w14:paraId="3458D8AD" w14:textId="77777777" w:rsidTr="004A6A54">
        <w:trPr>
          <w:cantSplit/>
        </w:trPr>
        <w:tc>
          <w:tcPr>
            <w:tcW w:w="3600" w:type="dxa"/>
            <w:tcBorders>
              <w:top w:val="single" w:sz="6" w:space="0" w:color="auto"/>
              <w:bottom w:val="single" w:sz="6" w:space="0" w:color="auto"/>
            </w:tcBorders>
            <w:shd w:val="clear" w:color="auto" w:fill="386294"/>
            <w:vAlign w:val="center"/>
          </w:tcPr>
          <w:p w14:paraId="66905769" w14:textId="77777777" w:rsidR="003239B8" w:rsidRPr="00671AA7" w:rsidRDefault="003239B8" w:rsidP="0044628A">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Presentación dentro de plazo:</w:t>
            </w:r>
          </w:p>
        </w:tc>
        <w:tc>
          <w:tcPr>
            <w:tcW w:w="5760" w:type="dxa"/>
            <w:vAlign w:val="center"/>
          </w:tcPr>
          <w:p w14:paraId="4A763840" w14:textId="77777777" w:rsidR="00813EC3" w:rsidRPr="004577AB" w:rsidRDefault="00813EC3" w:rsidP="0044628A">
            <w:pPr>
              <w:rPr>
                <w:rFonts w:asciiTheme="majorHAnsi" w:hAnsiTheme="majorHAnsi"/>
                <w:bCs/>
                <w:sz w:val="20"/>
                <w:szCs w:val="20"/>
                <w:lang w:val="es-ES"/>
              </w:rPr>
            </w:pPr>
            <w:r w:rsidRPr="0002692C">
              <w:rPr>
                <w:rFonts w:asciiTheme="majorHAnsi" w:hAnsiTheme="majorHAnsi"/>
                <w:bCs/>
                <w:sz w:val="20"/>
                <w:szCs w:val="20"/>
                <w:lang w:val="es-ES"/>
              </w:rPr>
              <w:t>Sí, en los términos de la sección VI</w:t>
            </w:r>
          </w:p>
        </w:tc>
      </w:tr>
    </w:tbl>
    <w:p w14:paraId="150E8DE8" w14:textId="77777777" w:rsidR="0044628A" w:rsidRDefault="0044628A" w:rsidP="0044628A">
      <w:pPr>
        <w:ind w:firstLine="720"/>
        <w:jc w:val="both"/>
        <w:rPr>
          <w:rFonts w:asciiTheme="majorHAnsi" w:hAnsiTheme="majorHAnsi"/>
          <w:b/>
          <w:sz w:val="20"/>
          <w:szCs w:val="20"/>
          <w:lang w:val="es-ES"/>
        </w:rPr>
      </w:pPr>
    </w:p>
    <w:p w14:paraId="105F7432" w14:textId="3C0E8B9B" w:rsidR="003239B8" w:rsidRPr="00671AA7" w:rsidRDefault="00223A29" w:rsidP="003A4150">
      <w:pPr>
        <w:ind w:firstLine="720"/>
        <w:jc w:val="both"/>
        <w:rPr>
          <w:rFonts w:asciiTheme="majorHAnsi" w:hAnsiTheme="majorHAnsi"/>
          <w:b/>
          <w:sz w:val="20"/>
          <w:szCs w:val="20"/>
          <w:lang w:val="es-ES"/>
        </w:rPr>
      </w:pPr>
      <w:r w:rsidRPr="00671AA7">
        <w:rPr>
          <w:rFonts w:asciiTheme="majorHAnsi" w:hAnsiTheme="majorHAnsi"/>
          <w:b/>
          <w:sz w:val="20"/>
          <w:szCs w:val="20"/>
          <w:lang w:val="es-ES"/>
        </w:rPr>
        <w:t xml:space="preserve">V. </w:t>
      </w:r>
      <w:r w:rsidRPr="00671AA7">
        <w:rPr>
          <w:rFonts w:asciiTheme="majorHAnsi" w:hAnsiTheme="majorHAnsi"/>
          <w:b/>
          <w:sz w:val="20"/>
          <w:szCs w:val="20"/>
          <w:lang w:val="es-ES"/>
        </w:rPr>
        <w:tab/>
      </w:r>
      <w:r w:rsidR="003239B8" w:rsidRPr="00671AA7">
        <w:rPr>
          <w:rFonts w:asciiTheme="majorHAnsi" w:hAnsiTheme="majorHAnsi"/>
          <w:b/>
          <w:sz w:val="20"/>
          <w:szCs w:val="20"/>
          <w:lang w:val="es-ES"/>
        </w:rPr>
        <w:t xml:space="preserve">HECHOS ALEGADOS </w:t>
      </w:r>
    </w:p>
    <w:p w14:paraId="01022F5E" w14:textId="77777777" w:rsidR="0044628A" w:rsidRPr="0044628A" w:rsidRDefault="0044628A" w:rsidP="003A4150">
      <w:pPr>
        <w:ind w:firstLine="720"/>
        <w:jc w:val="both"/>
        <w:rPr>
          <w:rFonts w:asciiTheme="majorHAnsi" w:hAnsiTheme="majorHAnsi"/>
          <w:sz w:val="20"/>
          <w:szCs w:val="20"/>
          <w:lang w:val="es-VE"/>
        </w:rPr>
      </w:pPr>
    </w:p>
    <w:p w14:paraId="4EC7B83A" w14:textId="54ECB586" w:rsidR="00755EC3" w:rsidRDefault="00F16578"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Gastón Ramón Pesce Echever</w:t>
      </w:r>
      <w:r w:rsidR="00743CB3">
        <w:rPr>
          <w:rFonts w:asciiTheme="majorHAnsi" w:hAnsiTheme="majorHAnsi"/>
          <w:sz w:val="20"/>
          <w:szCs w:val="20"/>
          <w:lang w:val="es-VE"/>
        </w:rPr>
        <w:t xml:space="preserve">z (en adelante “el peticionario”) denuncia que ha </w:t>
      </w:r>
      <w:r w:rsidR="0044628A">
        <w:rPr>
          <w:rFonts w:asciiTheme="majorHAnsi" w:hAnsiTheme="majorHAnsi"/>
          <w:sz w:val="20"/>
          <w:szCs w:val="20"/>
          <w:lang w:val="es-VE"/>
        </w:rPr>
        <w:t>estado</w:t>
      </w:r>
      <w:r w:rsidR="00743CB3">
        <w:rPr>
          <w:rFonts w:asciiTheme="majorHAnsi" w:hAnsiTheme="majorHAnsi"/>
          <w:sz w:val="20"/>
          <w:szCs w:val="20"/>
          <w:lang w:val="es-VE"/>
        </w:rPr>
        <w:t xml:space="preserve"> más de 10 años sometido a prisión preventiva</w:t>
      </w:r>
      <w:r w:rsidR="001D5096">
        <w:rPr>
          <w:rFonts w:asciiTheme="majorHAnsi" w:hAnsiTheme="majorHAnsi"/>
          <w:sz w:val="20"/>
          <w:szCs w:val="20"/>
          <w:lang w:val="es-VE"/>
        </w:rPr>
        <w:t xml:space="preserve"> y a una suspensión preventiva de su derecho a ejercer la profesión de abogado, sin sentencia de primera instancia en el proceso penal por homicidio agravado en su contra. Aunque reconoce su responsabilidad en el hecho por el que se le acusa</w:t>
      </w:r>
      <w:r w:rsidR="0044628A">
        <w:rPr>
          <w:rFonts w:asciiTheme="majorHAnsi" w:hAnsiTheme="majorHAnsi"/>
          <w:sz w:val="20"/>
          <w:szCs w:val="20"/>
          <w:lang w:val="es-VE"/>
        </w:rPr>
        <w:t>,</w:t>
      </w:r>
      <w:r w:rsidR="001D5096">
        <w:rPr>
          <w:rFonts w:asciiTheme="majorHAnsi" w:hAnsiTheme="majorHAnsi"/>
          <w:sz w:val="20"/>
          <w:szCs w:val="20"/>
          <w:lang w:val="es-VE"/>
        </w:rPr>
        <w:t xml:space="preserve"> aduce que no se ha </w:t>
      </w:r>
      <w:r w:rsidR="004E3158">
        <w:rPr>
          <w:rFonts w:asciiTheme="majorHAnsi" w:hAnsiTheme="majorHAnsi"/>
          <w:sz w:val="20"/>
          <w:szCs w:val="20"/>
          <w:lang w:val="es-VE"/>
        </w:rPr>
        <w:t>respetado su derecho</w:t>
      </w:r>
      <w:r w:rsidR="001D5096">
        <w:rPr>
          <w:rFonts w:asciiTheme="majorHAnsi" w:hAnsiTheme="majorHAnsi"/>
          <w:sz w:val="20"/>
          <w:szCs w:val="20"/>
          <w:lang w:val="es-VE"/>
        </w:rPr>
        <w:t xml:space="preserve"> </w:t>
      </w:r>
      <w:r w:rsidR="004E3158">
        <w:rPr>
          <w:rFonts w:asciiTheme="majorHAnsi" w:hAnsiTheme="majorHAnsi"/>
          <w:sz w:val="20"/>
          <w:szCs w:val="20"/>
          <w:lang w:val="es-VE"/>
        </w:rPr>
        <w:t xml:space="preserve">a </w:t>
      </w:r>
      <w:r w:rsidR="001D5096">
        <w:rPr>
          <w:rFonts w:asciiTheme="majorHAnsi" w:hAnsiTheme="majorHAnsi"/>
          <w:sz w:val="20"/>
          <w:szCs w:val="20"/>
          <w:lang w:val="es-VE"/>
        </w:rPr>
        <w:t>de</w:t>
      </w:r>
      <w:r w:rsidR="004E3158">
        <w:rPr>
          <w:rFonts w:asciiTheme="majorHAnsi" w:hAnsiTheme="majorHAnsi"/>
          <w:sz w:val="20"/>
          <w:szCs w:val="20"/>
          <w:lang w:val="es-VE"/>
        </w:rPr>
        <w:t>fensa</w:t>
      </w:r>
      <w:r w:rsidR="0044628A">
        <w:rPr>
          <w:rFonts w:asciiTheme="majorHAnsi" w:hAnsiTheme="majorHAnsi"/>
          <w:sz w:val="20"/>
          <w:szCs w:val="20"/>
          <w:lang w:val="es-VE"/>
        </w:rPr>
        <w:t>; que no se han</w:t>
      </w:r>
      <w:r w:rsidR="004E3158">
        <w:rPr>
          <w:rFonts w:asciiTheme="majorHAnsi" w:hAnsiTheme="majorHAnsi"/>
          <w:sz w:val="20"/>
          <w:szCs w:val="20"/>
          <w:lang w:val="es-VE"/>
        </w:rPr>
        <w:t xml:space="preserve"> valor</w:t>
      </w:r>
      <w:r w:rsidR="0044628A">
        <w:rPr>
          <w:rFonts w:asciiTheme="majorHAnsi" w:hAnsiTheme="majorHAnsi"/>
          <w:sz w:val="20"/>
          <w:szCs w:val="20"/>
          <w:lang w:val="es-VE"/>
        </w:rPr>
        <w:t>ado</w:t>
      </w:r>
      <w:r w:rsidR="004E3158">
        <w:rPr>
          <w:rFonts w:asciiTheme="majorHAnsi" w:hAnsiTheme="majorHAnsi"/>
          <w:sz w:val="20"/>
          <w:szCs w:val="20"/>
          <w:lang w:val="es-VE"/>
        </w:rPr>
        <w:t xml:space="preserve"> los atenuantes correspondientes</w:t>
      </w:r>
      <w:r w:rsidR="0044628A">
        <w:rPr>
          <w:rFonts w:asciiTheme="majorHAnsi" w:hAnsiTheme="majorHAnsi"/>
          <w:sz w:val="20"/>
          <w:szCs w:val="20"/>
          <w:lang w:val="es-VE"/>
        </w:rPr>
        <w:t>;</w:t>
      </w:r>
      <w:r w:rsidR="004E3158">
        <w:rPr>
          <w:rFonts w:asciiTheme="majorHAnsi" w:hAnsiTheme="majorHAnsi"/>
          <w:sz w:val="20"/>
          <w:szCs w:val="20"/>
          <w:lang w:val="es-VE"/>
        </w:rPr>
        <w:t xml:space="preserve"> que las autoridades penitenciarias le han negado arbitrariamente acceso a servicios de salud, oportunidades de tra</w:t>
      </w:r>
      <w:r w:rsidR="0069280E">
        <w:rPr>
          <w:rFonts w:asciiTheme="majorHAnsi" w:hAnsiTheme="majorHAnsi"/>
          <w:sz w:val="20"/>
          <w:szCs w:val="20"/>
          <w:lang w:val="es-VE"/>
        </w:rPr>
        <w:t>bajo y estudio</w:t>
      </w:r>
      <w:r w:rsidR="0044628A">
        <w:rPr>
          <w:rFonts w:asciiTheme="majorHAnsi" w:hAnsiTheme="majorHAnsi"/>
          <w:sz w:val="20"/>
          <w:szCs w:val="20"/>
          <w:lang w:val="es-VE"/>
        </w:rPr>
        <w:t>;</w:t>
      </w:r>
      <w:r w:rsidR="0069280E">
        <w:rPr>
          <w:rFonts w:asciiTheme="majorHAnsi" w:hAnsiTheme="majorHAnsi"/>
          <w:sz w:val="20"/>
          <w:szCs w:val="20"/>
          <w:lang w:val="es-VE"/>
        </w:rPr>
        <w:t xml:space="preserve"> y </w:t>
      </w:r>
      <w:r w:rsidR="0044628A">
        <w:rPr>
          <w:rFonts w:asciiTheme="majorHAnsi" w:hAnsiTheme="majorHAnsi"/>
          <w:sz w:val="20"/>
          <w:szCs w:val="20"/>
          <w:lang w:val="es-VE"/>
        </w:rPr>
        <w:t xml:space="preserve">que </w:t>
      </w:r>
      <w:r w:rsidR="0069280E">
        <w:rPr>
          <w:rFonts w:asciiTheme="majorHAnsi" w:hAnsiTheme="majorHAnsi"/>
          <w:sz w:val="20"/>
          <w:szCs w:val="20"/>
          <w:lang w:val="es-VE"/>
        </w:rPr>
        <w:t xml:space="preserve">le han aplicado sanciones y confiscaciones de bienes sin seguir el debido proceso. </w:t>
      </w:r>
      <w:r w:rsidR="0044628A">
        <w:rPr>
          <w:rFonts w:asciiTheme="majorHAnsi" w:hAnsiTheme="majorHAnsi"/>
          <w:sz w:val="20"/>
          <w:szCs w:val="20"/>
          <w:lang w:val="es-VE"/>
        </w:rPr>
        <w:t>R</w:t>
      </w:r>
      <w:r w:rsidR="002B1765">
        <w:rPr>
          <w:rFonts w:asciiTheme="majorHAnsi" w:hAnsiTheme="majorHAnsi"/>
          <w:sz w:val="20"/>
          <w:szCs w:val="20"/>
          <w:lang w:val="es-VE"/>
        </w:rPr>
        <w:t xml:space="preserve">eclama </w:t>
      </w:r>
      <w:r w:rsidR="0044628A">
        <w:rPr>
          <w:rFonts w:asciiTheme="majorHAnsi" w:hAnsiTheme="majorHAnsi"/>
          <w:sz w:val="20"/>
          <w:szCs w:val="20"/>
          <w:lang w:val="es-VE"/>
        </w:rPr>
        <w:t xml:space="preserve">además </w:t>
      </w:r>
      <w:r w:rsidR="002B1765">
        <w:rPr>
          <w:rFonts w:asciiTheme="majorHAnsi" w:hAnsiTheme="majorHAnsi"/>
          <w:sz w:val="20"/>
          <w:szCs w:val="20"/>
          <w:lang w:val="es-VE"/>
        </w:rPr>
        <w:t>que no se le ha permitido</w:t>
      </w:r>
      <w:r w:rsidR="0069280E">
        <w:rPr>
          <w:rFonts w:asciiTheme="majorHAnsi" w:hAnsiTheme="majorHAnsi"/>
          <w:sz w:val="20"/>
          <w:szCs w:val="20"/>
          <w:lang w:val="es-VE"/>
        </w:rPr>
        <w:t xml:space="preserve"> ejercer su propia defensa en el proceso penal en su contra</w:t>
      </w:r>
      <w:r w:rsidR="0044628A">
        <w:rPr>
          <w:rFonts w:asciiTheme="majorHAnsi" w:hAnsiTheme="majorHAnsi"/>
          <w:sz w:val="20"/>
          <w:szCs w:val="20"/>
          <w:lang w:val="es-VE"/>
        </w:rPr>
        <w:t>;</w:t>
      </w:r>
      <w:r w:rsidR="0069280E">
        <w:rPr>
          <w:rFonts w:asciiTheme="majorHAnsi" w:hAnsiTheme="majorHAnsi"/>
          <w:sz w:val="20"/>
          <w:szCs w:val="20"/>
          <w:lang w:val="es-VE"/>
        </w:rPr>
        <w:t xml:space="preserve"> que ha </w:t>
      </w:r>
      <w:r w:rsidR="0044628A">
        <w:rPr>
          <w:rFonts w:asciiTheme="majorHAnsi" w:hAnsiTheme="majorHAnsi"/>
          <w:sz w:val="20"/>
          <w:szCs w:val="20"/>
          <w:lang w:val="es-VE"/>
        </w:rPr>
        <w:t>sufrido</w:t>
      </w:r>
      <w:r w:rsidR="0069280E">
        <w:rPr>
          <w:rFonts w:asciiTheme="majorHAnsi" w:hAnsiTheme="majorHAnsi"/>
          <w:sz w:val="20"/>
          <w:szCs w:val="20"/>
          <w:lang w:val="es-VE"/>
        </w:rPr>
        <w:t xml:space="preserve"> represalia</w:t>
      </w:r>
      <w:r w:rsidR="0044628A">
        <w:rPr>
          <w:rFonts w:asciiTheme="majorHAnsi" w:hAnsiTheme="majorHAnsi"/>
          <w:sz w:val="20"/>
          <w:szCs w:val="20"/>
          <w:lang w:val="es-VE"/>
        </w:rPr>
        <w:t>s</w:t>
      </w:r>
      <w:r w:rsidR="0069280E">
        <w:rPr>
          <w:rFonts w:asciiTheme="majorHAnsi" w:hAnsiTheme="majorHAnsi"/>
          <w:sz w:val="20"/>
          <w:szCs w:val="20"/>
          <w:lang w:val="es-VE"/>
        </w:rPr>
        <w:t xml:space="preserve"> denunciar los abusos que ocurren en las cárceles uruguayas</w:t>
      </w:r>
      <w:r w:rsidR="0044628A">
        <w:rPr>
          <w:rFonts w:asciiTheme="majorHAnsi" w:hAnsiTheme="majorHAnsi"/>
          <w:sz w:val="20"/>
          <w:szCs w:val="20"/>
          <w:lang w:val="es-VE"/>
        </w:rPr>
        <w:t>;</w:t>
      </w:r>
      <w:r w:rsidR="0069280E">
        <w:rPr>
          <w:rFonts w:asciiTheme="majorHAnsi" w:hAnsiTheme="majorHAnsi"/>
          <w:sz w:val="20"/>
          <w:szCs w:val="20"/>
          <w:lang w:val="es-VE"/>
        </w:rPr>
        <w:t xml:space="preserve"> que ha recibido trato discriminatorio en diversos procesos en los que es parte</w:t>
      </w:r>
      <w:r w:rsidR="0044628A">
        <w:rPr>
          <w:rFonts w:asciiTheme="majorHAnsi" w:hAnsiTheme="majorHAnsi"/>
          <w:sz w:val="20"/>
          <w:szCs w:val="20"/>
          <w:lang w:val="es-VE"/>
        </w:rPr>
        <w:t>;</w:t>
      </w:r>
      <w:r w:rsidR="0069280E">
        <w:rPr>
          <w:rFonts w:asciiTheme="majorHAnsi" w:hAnsiTheme="majorHAnsi"/>
          <w:sz w:val="20"/>
          <w:szCs w:val="20"/>
          <w:lang w:val="es-VE"/>
        </w:rPr>
        <w:t xml:space="preserve"> y que se le ha privado del uso de sus bienes mediante una medida cautelar ilegal.</w:t>
      </w:r>
    </w:p>
    <w:p w14:paraId="1D0C5326" w14:textId="77777777" w:rsidR="004A16F7" w:rsidRDefault="004A16F7" w:rsidP="003A4150">
      <w:pPr>
        <w:pStyle w:val="ListParagraph"/>
        <w:ind w:left="0" w:firstLine="720"/>
        <w:jc w:val="both"/>
        <w:rPr>
          <w:rFonts w:asciiTheme="majorHAnsi" w:hAnsiTheme="majorHAnsi"/>
          <w:sz w:val="20"/>
          <w:szCs w:val="20"/>
          <w:lang w:val="es-VE"/>
        </w:rPr>
      </w:pPr>
    </w:p>
    <w:p w14:paraId="3DA655CD" w14:textId="6501B87E" w:rsidR="00F16578" w:rsidRDefault="00970131"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El peticionario relata que desde 1984 ejerció la profesión de abogado</w:t>
      </w:r>
      <w:r w:rsidR="003A4150">
        <w:rPr>
          <w:rFonts w:asciiTheme="majorHAnsi" w:hAnsiTheme="majorHAnsi"/>
          <w:sz w:val="20"/>
          <w:szCs w:val="20"/>
          <w:lang w:val="es-VE"/>
        </w:rPr>
        <w:t>,</w:t>
      </w:r>
      <w:r>
        <w:rPr>
          <w:rFonts w:asciiTheme="majorHAnsi" w:hAnsiTheme="majorHAnsi"/>
          <w:sz w:val="20"/>
          <w:szCs w:val="20"/>
          <w:lang w:val="es-VE"/>
        </w:rPr>
        <w:t xml:space="preserve"> </w:t>
      </w:r>
      <w:r w:rsidR="003A4150">
        <w:rPr>
          <w:rFonts w:asciiTheme="majorHAnsi" w:hAnsiTheme="majorHAnsi"/>
          <w:sz w:val="20"/>
          <w:szCs w:val="20"/>
          <w:lang w:val="es-VE"/>
        </w:rPr>
        <w:t>que actu</w:t>
      </w:r>
      <w:r w:rsidR="003A4150">
        <w:rPr>
          <w:rFonts w:asciiTheme="majorHAnsi" w:hAnsiTheme="majorHAnsi"/>
          <w:sz w:val="20"/>
          <w:szCs w:val="20"/>
          <w:lang w:val="es-ES"/>
        </w:rPr>
        <w:t xml:space="preserve">ó como </w:t>
      </w:r>
      <w:r w:rsidR="002D5195">
        <w:rPr>
          <w:rFonts w:asciiTheme="majorHAnsi" w:hAnsiTheme="majorHAnsi"/>
          <w:sz w:val="20"/>
          <w:szCs w:val="20"/>
          <w:lang w:val="es-VE"/>
        </w:rPr>
        <w:t xml:space="preserve">militante político y </w:t>
      </w:r>
      <w:r w:rsidR="003A4150">
        <w:rPr>
          <w:rFonts w:asciiTheme="majorHAnsi" w:hAnsiTheme="majorHAnsi"/>
          <w:sz w:val="20"/>
          <w:szCs w:val="20"/>
          <w:lang w:val="es-VE"/>
        </w:rPr>
        <w:t xml:space="preserve">que </w:t>
      </w:r>
      <w:r w:rsidR="002D5195">
        <w:rPr>
          <w:rFonts w:asciiTheme="majorHAnsi" w:hAnsiTheme="majorHAnsi"/>
          <w:sz w:val="20"/>
          <w:szCs w:val="20"/>
          <w:lang w:val="es-VE"/>
        </w:rPr>
        <w:t>ocup</w:t>
      </w:r>
      <w:r w:rsidR="003A4150">
        <w:rPr>
          <w:rFonts w:asciiTheme="majorHAnsi" w:hAnsiTheme="majorHAnsi"/>
          <w:sz w:val="20"/>
          <w:szCs w:val="20"/>
          <w:lang w:val="es-VE"/>
        </w:rPr>
        <w:t>ó</w:t>
      </w:r>
      <w:r w:rsidR="002D5195">
        <w:rPr>
          <w:rFonts w:asciiTheme="majorHAnsi" w:hAnsiTheme="majorHAnsi"/>
          <w:sz w:val="20"/>
          <w:szCs w:val="20"/>
          <w:lang w:val="es-VE"/>
        </w:rPr>
        <w:t xml:space="preserve"> varios cargos públicos y de dirigencia </w:t>
      </w:r>
      <w:r w:rsidR="003A4150">
        <w:rPr>
          <w:rFonts w:asciiTheme="majorHAnsi" w:hAnsiTheme="majorHAnsi"/>
          <w:sz w:val="20"/>
          <w:szCs w:val="20"/>
          <w:lang w:val="es-VE"/>
        </w:rPr>
        <w:t>partidaria</w:t>
      </w:r>
      <w:r w:rsidR="002D5195">
        <w:rPr>
          <w:rFonts w:asciiTheme="majorHAnsi" w:hAnsiTheme="majorHAnsi"/>
          <w:sz w:val="20"/>
          <w:szCs w:val="20"/>
          <w:lang w:val="es-VE"/>
        </w:rPr>
        <w:t xml:space="preserve">. Destaca </w:t>
      </w:r>
      <w:r w:rsidR="00CA71FF">
        <w:rPr>
          <w:rFonts w:asciiTheme="majorHAnsi" w:hAnsiTheme="majorHAnsi"/>
          <w:sz w:val="20"/>
          <w:szCs w:val="20"/>
          <w:lang w:val="es-VE"/>
        </w:rPr>
        <w:t>que por su labor como abogado y militante político tuvo conflictos con los medios de comunicaci</w:t>
      </w:r>
      <w:r w:rsidR="00265E13">
        <w:rPr>
          <w:rFonts w:asciiTheme="majorHAnsi" w:hAnsiTheme="majorHAnsi"/>
          <w:sz w:val="20"/>
          <w:szCs w:val="20"/>
          <w:lang w:val="es-VE"/>
        </w:rPr>
        <w:t xml:space="preserve">ón, </w:t>
      </w:r>
      <w:r w:rsidR="003A4150">
        <w:rPr>
          <w:rFonts w:asciiTheme="majorHAnsi" w:hAnsiTheme="majorHAnsi"/>
          <w:sz w:val="20"/>
          <w:szCs w:val="20"/>
          <w:lang w:val="es-VE"/>
        </w:rPr>
        <w:t xml:space="preserve">con </w:t>
      </w:r>
      <w:r w:rsidR="00CA71FF">
        <w:rPr>
          <w:rFonts w:asciiTheme="majorHAnsi" w:hAnsiTheme="majorHAnsi"/>
          <w:sz w:val="20"/>
          <w:szCs w:val="20"/>
          <w:lang w:val="es-VE"/>
        </w:rPr>
        <w:t xml:space="preserve">el </w:t>
      </w:r>
      <w:r w:rsidR="003A4150">
        <w:rPr>
          <w:rFonts w:asciiTheme="majorHAnsi" w:hAnsiTheme="majorHAnsi"/>
          <w:sz w:val="20"/>
          <w:szCs w:val="20"/>
          <w:lang w:val="es-VE"/>
        </w:rPr>
        <w:t>C</w:t>
      </w:r>
      <w:r w:rsidR="00CA71FF">
        <w:rPr>
          <w:rFonts w:asciiTheme="majorHAnsi" w:hAnsiTheme="majorHAnsi"/>
          <w:sz w:val="20"/>
          <w:szCs w:val="20"/>
          <w:lang w:val="es-VE"/>
        </w:rPr>
        <w:t xml:space="preserve">olegio de </w:t>
      </w:r>
      <w:r w:rsidR="003A4150">
        <w:rPr>
          <w:rFonts w:asciiTheme="majorHAnsi" w:hAnsiTheme="majorHAnsi"/>
          <w:sz w:val="20"/>
          <w:szCs w:val="20"/>
          <w:lang w:val="es-VE"/>
        </w:rPr>
        <w:t>A</w:t>
      </w:r>
      <w:r w:rsidR="00CA71FF">
        <w:rPr>
          <w:rFonts w:asciiTheme="majorHAnsi" w:hAnsiTheme="majorHAnsi"/>
          <w:sz w:val="20"/>
          <w:szCs w:val="20"/>
          <w:lang w:val="es-VE"/>
        </w:rPr>
        <w:t xml:space="preserve">bogados y </w:t>
      </w:r>
      <w:r w:rsidR="003A4150">
        <w:rPr>
          <w:rFonts w:asciiTheme="majorHAnsi" w:hAnsiTheme="majorHAnsi"/>
          <w:sz w:val="20"/>
          <w:szCs w:val="20"/>
          <w:lang w:val="es-VE"/>
        </w:rPr>
        <w:t xml:space="preserve">con las </w:t>
      </w:r>
      <w:r w:rsidR="00CA71FF">
        <w:rPr>
          <w:rFonts w:asciiTheme="majorHAnsi" w:hAnsiTheme="majorHAnsi"/>
          <w:sz w:val="20"/>
          <w:szCs w:val="20"/>
          <w:lang w:val="es-VE"/>
        </w:rPr>
        <w:t xml:space="preserve">autoridades judiciales y fiscales de Paysandú. </w:t>
      </w:r>
      <w:r w:rsidR="003A4150">
        <w:rPr>
          <w:rFonts w:asciiTheme="majorHAnsi" w:hAnsiTheme="majorHAnsi"/>
          <w:sz w:val="20"/>
          <w:szCs w:val="20"/>
          <w:lang w:val="es-VE"/>
        </w:rPr>
        <w:t xml:space="preserve">Refiere </w:t>
      </w:r>
      <w:r w:rsidR="00AC1371">
        <w:rPr>
          <w:rFonts w:asciiTheme="majorHAnsi" w:hAnsiTheme="majorHAnsi"/>
          <w:sz w:val="20"/>
          <w:szCs w:val="20"/>
          <w:lang w:val="es-VE"/>
        </w:rPr>
        <w:t xml:space="preserve">que en 1999 cedió al acoso de una colega 14 años menor que </w:t>
      </w:r>
      <w:r w:rsidR="003A4150">
        <w:rPr>
          <w:rFonts w:asciiTheme="majorHAnsi" w:hAnsiTheme="majorHAnsi"/>
          <w:sz w:val="20"/>
          <w:szCs w:val="20"/>
          <w:lang w:val="es-VE"/>
        </w:rPr>
        <w:t>é</w:t>
      </w:r>
      <w:r w:rsidR="00AC1371">
        <w:rPr>
          <w:rFonts w:asciiTheme="majorHAnsi" w:hAnsiTheme="majorHAnsi"/>
          <w:sz w:val="20"/>
          <w:szCs w:val="20"/>
          <w:lang w:val="es-VE"/>
        </w:rPr>
        <w:t>l</w:t>
      </w:r>
      <w:r w:rsidR="003A4150">
        <w:rPr>
          <w:rFonts w:asciiTheme="majorHAnsi" w:hAnsiTheme="majorHAnsi"/>
          <w:sz w:val="20"/>
          <w:szCs w:val="20"/>
          <w:lang w:val="es-VE"/>
        </w:rPr>
        <w:t xml:space="preserve">, y que </w:t>
      </w:r>
      <w:r w:rsidR="00AC1371">
        <w:rPr>
          <w:rFonts w:asciiTheme="majorHAnsi" w:hAnsiTheme="majorHAnsi"/>
          <w:sz w:val="20"/>
          <w:szCs w:val="20"/>
          <w:lang w:val="es-VE"/>
        </w:rPr>
        <w:t>acept</w:t>
      </w:r>
      <w:r w:rsidR="003A4150">
        <w:rPr>
          <w:rFonts w:asciiTheme="majorHAnsi" w:hAnsiTheme="majorHAnsi"/>
          <w:sz w:val="20"/>
          <w:szCs w:val="20"/>
          <w:lang w:val="es-VE"/>
        </w:rPr>
        <w:t>ó</w:t>
      </w:r>
      <w:r w:rsidR="00AC1371">
        <w:rPr>
          <w:rFonts w:asciiTheme="majorHAnsi" w:hAnsiTheme="majorHAnsi"/>
          <w:sz w:val="20"/>
          <w:szCs w:val="20"/>
          <w:lang w:val="es-VE"/>
        </w:rPr>
        <w:t xml:space="preserve"> formar pareja con ella y pon</w:t>
      </w:r>
      <w:r w:rsidR="003A4150">
        <w:rPr>
          <w:rFonts w:asciiTheme="majorHAnsi" w:hAnsiTheme="majorHAnsi"/>
          <w:sz w:val="20"/>
          <w:szCs w:val="20"/>
          <w:lang w:val="es-VE"/>
        </w:rPr>
        <w:t>er</w:t>
      </w:r>
      <w:r w:rsidR="00AC1371">
        <w:rPr>
          <w:rFonts w:asciiTheme="majorHAnsi" w:hAnsiTheme="majorHAnsi"/>
          <w:sz w:val="20"/>
          <w:szCs w:val="20"/>
          <w:lang w:val="es-VE"/>
        </w:rPr>
        <w:t xml:space="preserve"> fin a su matrimonio de 22 años con la madre de sus 3 hijos. </w:t>
      </w:r>
      <w:r w:rsidR="00562519">
        <w:rPr>
          <w:rFonts w:asciiTheme="majorHAnsi" w:hAnsiTheme="majorHAnsi"/>
          <w:sz w:val="20"/>
          <w:szCs w:val="20"/>
          <w:lang w:val="es-VE"/>
        </w:rPr>
        <w:t>Afirma</w:t>
      </w:r>
      <w:r w:rsidR="00AC1371">
        <w:rPr>
          <w:rFonts w:asciiTheme="majorHAnsi" w:hAnsiTheme="majorHAnsi"/>
          <w:sz w:val="20"/>
          <w:szCs w:val="20"/>
          <w:lang w:val="es-VE"/>
        </w:rPr>
        <w:t xml:space="preserve"> que dos meses luego de concretada su separación</w:t>
      </w:r>
      <w:r w:rsidR="008254E4">
        <w:rPr>
          <w:rFonts w:asciiTheme="majorHAnsi" w:hAnsiTheme="majorHAnsi"/>
          <w:sz w:val="20"/>
          <w:szCs w:val="20"/>
          <w:lang w:val="es-VE"/>
        </w:rPr>
        <w:t xml:space="preserve"> de su ex-esposa</w:t>
      </w:r>
      <w:r w:rsidR="00AC1371">
        <w:rPr>
          <w:rFonts w:asciiTheme="majorHAnsi" w:hAnsiTheme="majorHAnsi"/>
          <w:sz w:val="20"/>
          <w:szCs w:val="20"/>
          <w:lang w:val="es-VE"/>
        </w:rPr>
        <w:t xml:space="preserve"> la referida colega lo</w:t>
      </w:r>
      <w:r w:rsidR="008254E4">
        <w:rPr>
          <w:rFonts w:asciiTheme="majorHAnsi" w:hAnsiTheme="majorHAnsi"/>
          <w:sz w:val="20"/>
          <w:szCs w:val="20"/>
          <w:lang w:val="es-VE"/>
        </w:rPr>
        <w:t xml:space="preserve"> rechazó abruptamente sin motivo y empezó a denunciarlo sistemáticamente por ataques inexistentes; </w:t>
      </w:r>
      <w:r w:rsidR="003A4150">
        <w:rPr>
          <w:rFonts w:asciiTheme="majorHAnsi" w:hAnsiTheme="majorHAnsi"/>
          <w:sz w:val="20"/>
          <w:szCs w:val="20"/>
          <w:lang w:val="es-VE"/>
        </w:rPr>
        <w:t>luego de 5</w:t>
      </w:r>
      <w:r w:rsidR="008254E4">
        <w:rPr>
          <w:rFonts w:asciiTheme="majorHAnsi" w:hAnsiTheme="majorHAnsi"/>
          <w:sz w:val="20"/>
          <w:szCs w:val="20"/>
          <w:lang w:val="es-VE"/>
        </w:rPr>
        <w:t xml:space="preserve"> meses de deterioro</w:t>
      </w:r>
      <w:r w:rsidR="003A4150">
        <w:rPr>
          <w:rFonts w:asciiTheme="majorHAnsi" w:hAnsiTheme="majorHAnsi"/>
          <w:sz w:val="20"/>
          <w:szCs w:val="20"/>
          <w:lang w:val="es-VE"/>
        </w:rPr>
        <w:t xml:space="preserve">, y a continuación de </w:t>
      </w:r>
      <w:r w:rsidR="008254E4">
        <w:rPr>
          <w:rFonts w:asciiTheme="majorHAnsi" w:hAnsiTheme="majorHAnsi"/>
          <w:sz w:val="20"/>
          <w:szCs w:val="20"/>
          <w:lang w:val="es-VE"/>
        </w:rPr>
        <w:t xml:space="preserve">un intento fallido de </w:t>
      </w:r>
      <w:r w:rsidR="003A4150">
        <w:rPr>
          <w:rFonts w:asciiTheme="majorHAnsi" w:hAnsiTheme="majorHAnsi"/>
          <w:sz w:val="20"/>
          <w:szCs w:val="20"/>
          <w:lang w:val="es-VE"/>
        </w:rPr>
        <w:t>reconciliación,</w:t>
      </w:r>
      <w:r w:rsidR="008254E4">
        <w:rPr>
          <w:rFonts w:asciiTheme="majorHAnsi" w:hAnsiTheme="majorHAnsi"/>
          <w:sz w:val="20"/>
          <w:szCs w:val="20"/>
          <w:lang w:val="es-VE"/>
        </w:rPr>
        <w:t xml:space="preserve"> extrajo el revolver que siempre llevaba consigo y </w:t>
      </w:r>
      <w:r w:rsidR="003A4150">
        <w:rPr>
          <w:rFonts w:asciiTheme="majorHAnsi" w:hAnsiTheme="majorHAnsi"/>
          <w:sz w:val="20"/>
          <w:szCs w:val="20"/>
          <w:lang w:val="es-VE"/>
        </w:rPr>
        <w:t xml:space="preserve">mató a su pareja </w:t>
      </w:r>
      <w:r w:rsidR="008254E4">
        <w:rPr>
          <w:rFonts w:asciiTheme="majorHAnsi" w:hAnsiTheme="majorHAnsi"/>
          <w:sz w:val="20"/>
          <w:szCs w:val="20"/>
          <w:lang w:val="es-VE"/>
        </w:rPr>
        <w:t>con tres disparos.</w:t>
      </w:r>
    </w:p>
    <w:p w14:paraId="7B8A2414" w14:textId="77777777" w:rsidR="00735536" w:rsidRPr="003A4150" w:rsidRDefault="00735536" w:rsidP="003A4150">
      <w:pPr>
        <w:rPr>
          <w:rFonts w:asciiTheme="majorHAnsi" w:hAnsiTheme="majorHAnsi"/>
          <w:sz w:val="20"/>
          <w:szCs w:val="20"/>
          <w:lang w:val="es-VE"/>
        </w:rPr>
      </w:pPr>
    </w:p>
    <w:p w14:paraId="44F0AC71" w14:textId="19E8569B" w:rsidR="008254E4" w:rsidRDefault="00735536" w:rsidP="003A4150">
      <w:pPr>
        <w:pStyle w:val="ListParagraph"/>
        <w:numPr>
          <w:ilvl w:val="0"/>
          <w:numId w:val="103"/>
        </w:numPr>
        <w:tabs>
          <w:tab w:val="clear" w:pos="810"/>
        </w:tabs>
        <w:ind w:left="0"/>
        <w:jc w:val="both"/>
        <w:rPr>
          <w:rFonts w:asciiTheme="majorHAnsi" w:hAnsiTheme="majorHAnsi"/>
          <w:sz w:val="20"/>
          <w:szCs w:val="20"/>
          <w:lang w:val="es-VE"/>
        </w:rPr>
      </w:pPr>
      <w:r w:rsidRPr="00900E37">
        <w:rPr>
          <w:rFonts w:asciiTheme="majorHAnsi" w:hAnsiTheme="majorHAnsi"/>
          <w:sz w:val="20"/>
          <w:szCs w:val="20"/>
          <w:lang w:val="es-VE"/>
        </w:rPr>
        <w:t xml:space="preserve">Indica que </w:t>
      </w:r>
      <w:r w:rsidR="00DF7E9A" w:rsidRPr="00900E37">
        <w:rPr>
          <w:rFonts w:asciiTheme="majorHAnsi" w:hAnsiTheme="majorHAnsi"/>
          <w:sz w:val="20"/>
          <w:szCs w:val="20"/>
          <w:lang w:val="es-VE"/>
        </w:rPr>
        <w:t xml:space="preserve">se inició un proceso por homicidio agravado </w:t>
      </w:r>
      <w:r w:rsidR="00562519">
        <w:rPr>
          <w:rFonts w:asciiTheme="majorHAnsi" w:hAnsiTheme="majorHAnsi"/>
          <w:sz w:val="20"/>
          <w:szCs w:val="20"/>
          <w:lang w:val="es-VE"/>
        </w:rPr>
        <w:t xml:space="preserve">en su contra, en el que </w:t>
      </w:r>
      <w:r w:rsidR="00DF7E9A" w:rsidRPr="00900E37">
        <w:rPr>
          <w:rFonts w:asciiTheme="majorHAnsi" w:hAnsiTheme="majorHAnsi"/>
          <w:sz w:val="20"/>
          <w:szCs w:val="20"/>
          <w:lang w:val="es-VE"/>
        </w:rPr>
        <w:t>se ordenó su prisión preventiva el 20 de octubre de 2005</w:t>
      </w:r>
      <w:r w:rsidR="00DB4648" w:rsidRPr="00900E37">
        <w:rPr>
          <w:rFonts w:asciiTheme="majorHAnsi" w:hAnsiTheme="majorHAnsi"/>
          <w:sz w:val="20"/>
          <w:szCs w:val="20"/>
          <w:lang w:val="es-VE"/>
        </w:rPr>
        <w:t>. En su comunicación enviada a la Comisión el 1</w:t>
      </w:r>
      <w:r w:rsidR="00562519">
        <w:rPr>
          <w:rFonts w:asciiTheme="majorHAnsi" w:hAnsiTheme="majorHAnsi"/>
          <w:sz w:val="20"/>
          <w:szCs w:val="20"/>
          <w:lang w:val="es-VE"/>
        </w:rPr>
        <w:t xml:space="preserve">º </w:t>
      </w:r>
      <w:r w:rsidR="00DB4648" w:rsidRPr="00900E37">
        <w:rPr>
          <w:rFonts w:asciiTheme="majorHAnsi" w:hAnsiTheme="majorHAnsi"/>
          <w:sz w:val="20"/>
          <w:szCs w:val="20"/>
          <w:lang w:val="es-VE"/>
        </w:rPr>
        <w:t>de noviembre de 2019 indic</w:t>
      </w:r>
      <w:r w:rsidR="00903D34">
        <w:rPr>
          <w:rFonts w:asciiTheme="majorHAnsi" w:hAnsiTheme="majorHAnsi"/>
          <w:sz w:val="20"/>
          <w:szCs w:val="20"/>
          <w:lang w:val="es-VE"/>
        </w:rPr>
        <w:t>ó</w:t>
      </w:r>
      <w:r w:rsidR="00DB4648" w:rsidRPr="00900E37">
        <w:rPr>
          <w:rFonts w:asciiTheme="majorHAnsi" w:hAnsiTheme="majorHAnsi"/>
          <w:sz w:val="20"/>
          <w:szCs w:val="20"/>
          <w:lang w:val="es-VE"/>
        </w:rPr>
        <w:t xml:space="preserve"> que permanec</w:t>
      </w:r>
      <w:r w:rsidR="00903D34">
        <w:rPr>
          <w:rFonts w:asciiTheme="majorHAnsi" w:hAnsiTheme="majorHAnsi"/>
          <w:sz w:val="20"/>
          <w:szCs w:val="20"/>
          <w:lang w:val="es-VE"/>
        </w:rPr>
        <w:t>ía</w:t>
      </w:r>
      <w:r w:rsidR="00DB4648" w:rsidRPr="00900E37">
        <w:rPr>
          <w:rFonts w:asciiTheme="majorHAnsi" w:hAnsiTheme="majorHAnsi"/>
          <w:sz w:val="20"/>
          <w:szCs w:val="20"/>
          <w:lang w:val="es-VE"/>
        </w:rPr>
        <w:t xml:space="preserve"> bajo prisión preventiva</w:t>
      </w:r>
      <w:r w:rsidR="001811C0" w:rsidRPr="00900E37">
        <w:rPr>
          <w:rFonts w:asciiTheme="majorHAnsi" w:hAnsiTheme="majorHAnsi"/>
          <w:sz w:val="20"/>
          <w:szCs w:val="20"/>
          <w:lang w:val="es-VE"/>
        </w:rPr>
        <w:t xml:space="preserve"> sin sentencia</w:t>
      </w:r>
      <w:r w:rsidR="00562519">
        <w:rPr>
          <w:rFonts w:asciiTheme="majorHAnsi" w:hAnsiTheme="majorHAnsi"/>
          <w:sz w:val="20"/>
          <w:szCs w:val="20"/>
          <w:lang w:val="es-VE"/>
        </w:rPr>
        <w:t xml:space="preserve"> </w:t>
      </w:r>
      <w:r w:rsidR="00DB4648" w:rsidRPr="00900E37">
        <w:rPr>
          <w:rFonts w:asciiTheme="majorHAnsi" w:hAnsiTheme="majorHAnsi"/>
          <w:sz w:val="20"/>
          <w:szCs w:val="20"/>
          <w:lang w:val="es-VE"/>
        </w:rPr>
        <w:t xml:space="preserve">14 años </w:t>
      </w:r>
      <w:r w:rsidR="005C452A" w:rsidRPr="00900E37">
        <w:rPr>
          <w:rFonts w:asciiTheme="majorHAnsi" w:hAnsiTheme="majorHAnsi"/>
          <w:sz w:val="20"/>
          <w:szCs w:val="20"/>
          <w:lang w:val="es-VE"/>
        </w:rPr>
        <w:t>desde que se iniciara el proceso</w:t>
      </w:r>
      <w:r w:rsidR="00A43091">
        <w:rPr>
          <w:rStyle w:val="FootnoteReference"/>
          <w:rFonts w:asciiTheme="majorHAnsi" w:hAnsiTheme="majorHAnsi"/>
          <w:sz w:val="20"/>
          <w:szCs w:val="20"/>
          <w:lang w:val="es-VE"/>
        </w:rPr>
        <w:footnoteReference w:id="4"/>
      </w:r>
      <w:r w:rsidR="005C452A" w:rsidRPr="00900E37">
        <w:rPr>
          <w:rFonts w:asciiTheme="majorHAnsi" w:hAnsiTheme="majorHAnsi"/>
          <w:sz w:val="20"/>
          <w:szCs w:val="20"/>
          <w:lang w:val="es-VE"/>
        </w:rPr>
        <w:t xml:space="preserve">. </w:t>
      </w:r>
      <w:r w:rsidR="001811C0" w:rsidRPr="00900E37">
        <w:rPr>
          <w:rFonts w:asciiTheme="majorHAnsi" w:hAnsiTheme="majorHAnsi"/>
          <w:sz w:val="20"/>
          <w:szCs w:val="20"/>
          <w:lang w:val="es-VE"/>
        </w:rPr>
        <w:t>Sost</w:t>
      </w:r>
      <w:r w:rsidR="00D52B0D" w:rsidRPr="00900E37">
        <w:rPr>
          <w:rFonts w:asciiTheme="majorHAnsi" w:hAnsiTheme="majorHAnsi"/>
          <w:sz w:val="20"/>
          <w:szCs w:val="20"/>
          <w:lang w:val="es-VE"/>
        </w:rPr>
        <w:t>iene que su prolongada prisión preventiva ha constituido una pena anticipad</w:t>
      </w:r>
      <w:r w:rsidR="00E77FD1" w:rsidRPr="00900E37">
        <w:rPr>
          <w:rFonts w:asciiTheme="majorHAnsi" w:hAnsiTheme="majorHAnsi"/>
          <w:sz w:val="20"/>
          <w:szCs w:val="20"/>
          <w:lang w:val="es-VE"/>
        </w:rPr>
        <w:t>a e indeterminada</w:t>
      </w:r>
      <w:r w:rsidR="00562519">
        <w:rPr>
          <w:rFonts w:asciiTheme="majorHAnsi" w:hAnsiTheme="majorHAnsi"/>
          <w:sz w:val="20"/>
          <w:szCs w:val="20"/>
          <w:lang w:val="es-VE"/>
        </w:rPr>
        <w:t>,</w:t>
      </w:r>
      <w:r w:rsidR="00E77FD1" w:rsidRPr="00900E37">
        <w:rPr>
          <w:rFonts w:asciiTheme="majorHAnsi" w:hAnsiTheme="majorHAnsi"/>
          <w:sz w:val="20"/>
          <w:szCs w:val="20"/>
          <w:lang w:val="es-VE"/>
        </w:rPr>
        <w:t xml:space="preserve"> </w:t>
      </w:r>
      <w:r w:rsidR="00D52B0D" w:rsidRPr="00900E37">
        <w:rPr>
          <w:rFonts w:asciiTheme="majorHAnsi" w:hAnsiTheme="majorHAnsi"/>
          <w:sz w:val="20"/>
          <w:szCs w:val="20"/>
          <w:lang w:val="es-VE"/>
        </w:rPr>
        <w:t>contraria a los estándares del sistema interamericano por exceder los dos tercios de la pena mínima aplicable al delito que se le imputa.</w:t>
      </w:r>
      <w:r w:rsidR="0095461E">
        <w:rPr>
          <w:rFonts w:asciiTheme="majorHAnsi" w:hAnsiTheme="majorHAnsi"/>
          <w:sz w:val="20"/>
          <w:szCs w:val="20"/>
          <w:lang w:val="es-VE"/>
        </w:rPr>
        <w:t xml:space="preserve"> </w:t>
      </w:r>
      <w:r w:rsidR="00562519">
        <w:rPr>
          <w:rFonts w:asciiTheme="majorHAnsi" w:hAnsiTheme="majorHAnsi"/>
          <w:sz w:val="20"/>
          <w:szCs w:val="20"/>
          <w:lang w:val="es-VE"/>
        </w:rPr>
        <w:t>D</w:t>
      </w:r>
      <w:r w:rsidR="00D52B0D" w:rsidRPr="00900E37">
        <w:rPr>
          <w:rFonts w:asciiTheme="majorHAnsi" w:hAnsiTheme="majorHAnsi"/>
          <w:sz w:val="20"/>
          <w:szCs w:val="20"/>
          <w:lang w:val="es-VE"/>
        </w:rPr>
        <w:t xml:space="preserve">enuncia </w:t>
      </w:r>
      <w:r w:rsidR="00562519">
        <w:rPr>
          <w:rFonts w:asciiTheme="majorHAnsi" w:hAnsiTheme="majorHAnsi"/>
          <w:sz w:val="20"/>
          <w:szCs w:val="20"/>
          <w:lang w:val="es-VE"/>
        </w:rPr>
        <w:t xml:space="preserve">además </w:t>
      </w:r>
      <w:r w:rsidR="00E77FD1" w:rsidRPr="00900E37">
        <w:rPr>
          <w:rFonts w:asciiTheme="majorHAnsi" w:hAnsiTheme="majorHAnsi"/>
          <w:sz w:val="20"/>
          <w:szCs w:val="20"/>
          <w:lang w:val="es-VE"/>
        </w:rPr>
        <w:t xml:space="preserve">que no se ha respetado el principio de separación entre procesados y condenados y que sus condiciones de detención han sido idénticas a </w:t>
      </w:r>
      <w:r w:rsidR="00201903" w:rsidRPr="00900E37">
        <w:rPr>
          <w:rFonts w:asciiTheme="majorHAnsi" w:hAnsiTheme="majorHAnsi"/>
          <w:sz w:val="20"/>
          <w:szCs w:val="20"/>
          <w:lang w:val="es-VE"/>
        </w:rPr>
        <w:t>las de las personas condenadas. Señala que en 2009 solicit</w:t>
      </w:r>
      <w:r w:rsidR="00506FE1" w:rsidRPr="00900E37">
        <w:rPr>
          <w:rFonts w:asciiTheme="majorHAnsi" w:hAnsiTheme="majorHAnsi"/>
          <w:sz w:val="20"/>
          <w:szCs w:val="20"/>
          <w:lang w:val="es-VE"/>
        </w:rPr>
        <w:t>ó en dos ocasiones que se levantara la detención preventiva</w:t>
      </w:r>
      <w:r w:rsidR="00201903" w:rsidRPr="00900E37">
        <w:rPr>
          <w:rFonts w:asciiTheme="majorHAnsi" w:hAnsiTheme="majorHAnsi"/>
          <w:sz w:val="20"/>
          <w:szCs w:val="20"/>
          <w:lang w:val="es-VE"/>
        </w:rPr>
        <w:t xml:space="preserve">, </w:t>
      </w:r>
      <w:r w:rsidR="00562519">
        <w:rPr>
          <w:rFonts w:asciiTheme="majorHAnsi" w:hAnsiTheme="majorHAnsi"/>
          <w:sz w:val="20"/>
          <w:szCs w:val="20"/>
          <w:lang w:val="es-VE"/>
        </w:rPr>
        <w:t xml:space="preserve">pero que le fue </w:t>
      </w:r>
      <w:r w:rsidR="00201903" w:rsidRPr="00900E37">
        <w:rPr>
          <w:rFonts w:asciiTheme="majorHAnsi" w:hAnsiTheme="majorHAnsi"/>
          <w:sz w:val="20"/>
          <w:szCs w:val="20"/>
          <w:lang w:val="es-VE"/>
        </w:rPr>
        <w:t>negada</w:t>
      </w:r>
      <w:r w:rsidR="00B36213" w:rsidRPr="00900E37">
        <w:rPr>
          <w:rFonts w:asciiTheme="majorHAnsi" w:hAnsiTheme="majorHAnsi"/>
          <w:sz w:val="20"/>
          <w:szCs w:val="20"/>
          <w:lang w:val="es-VE"/>
        </w:rPr>
        <w:t>. También refiere sin especificar fechas</w:t>
      </w:r>
      <w:r w:rsidR="00562519">
        <w:rPr>
          <w:rFonts w:asciiTheme="majorHAnsi" w:hAnsiTheme="majorHAnsi"/>
          <w:sz w:val="20"/>
          <w:szCs w:val="20"/>
          <w:lang w:val="es-VE"/>
        </w:rPr>
        <w:t xml:space="preserve"> que </w:t>
      </w:r>
      <w:r w:rsidR="00B36213" w:rsidRPr="00900E37">
        <w:rPr>
          <w:rFonts w:asciiTheme="majorHAnsi" w:hAnsiTheme="majorHAnsi"/>
          <w:sz w:val="20"/>
          <w:szCs w:val="20"/>
          <w:lang w:val="es-VE"/>
        </w:rPr>
        <w:t>ha planteado sin éxito por lo menos dos recursos de habeas corpus y otros tantos pedidos de excarcelación</w:t>
      </w:r>
      <w:r w:rsidR="0095461E">
        <w:rPr>
          <w:rFonts w:asciiTheme="majorHAnsi" w:hAnsiTheme="majorHAnsi"/>
          <w:sz w:val="20"/>
          <w:szCs w:val="20"/>
          <w:lang w:val="es-VE"/>
        </w:rPr>
        <w:t>.</w:t>
      </w:r>
      <w:r w:rsidR="00A637C2">
        <w:rPr>
          <w:rFonts w:asciiTheme="majorHAnsi" w:hAnsiTheme="majorHAnsi"/>
          <w:sz w:val="20"/>
          <w:szCs w:val="20"/>
          <w:lang w:val="es-VE"/>
        </w:rPr>
        <w:t xml:space="preserve"> Sostiene que </w:t>
      </w:r>
      <w:r w:rsidR="00562519">
        <w:rPr>
          <w:rFonts w:asciiTheme="majorHAnsi" w:hAnsiTheme="majorHAnsi"/>
          <w:sz w:val="20"/>
          <w:szCs w:val="20"/>
          <w:lang w:val="es-VE"/>
        </w:rPr>
        <w:t xml:space="preserve">la interposición de </w:t>
      </w:r>
      <w:r w:rsidR="00A637C2">
        <w:rPr>
          <w:rFonts w:asciiTheme="majorHAnsi" w:hAnsiTheme="majorHAnsi"/>
          <w:sz w:val="20"/>
          <w:szCs w:val="20"/>
          <w:lang w:val="es-VE"/>
        </w:rPr>
        <w:t xml:space="preserve">recursos que le permite la ley en el proceso penal en su contra no puede ser utilizado como </w:t>
      </w:r>
      <w:r w:rsidR="00562519">
        <w:rPr>
          <w:rFonts w:asciiTheme="majorHAnsi" w:hAnsiTheme="majorHAnsi"/>
          <w:sz w:val="20"/>
          <w:szCs w:val="20"/>
          <w:lang w:val="es-VE"/>
        </w:rPr>
        <w:t xml:space="preserve">justificación </w:t>
      </w:r>
      <w:r w:rsidR="00A637C2">
        <w:rPr>
          <w:rFonts w:asciiTheme="majorHAnsi" w:hAnsiTheme="majorHAnsi"/>
          <w:sz w:val="20"/>
          <w:szCs w:val="20"/>
          <w:lang w:val="es-VE"/>
        </w:rPr>
        <w:t>para su prolongada detención preventiva</w:t>
      </w:r>
      <w:r w:rsidR="00F528BB">
        <w:rPr>
          <w:rFonts w:asciiTheme="majorHAnsi" w:hAnsiTheme="majorHAnsi"/>
          <w:sz w:val="20"/>
          <w:szCs w:val="20"/>
          <w:lang w:val="es-VE"/>
        </w:rPr>
        <w:t xml:space="preserve">. </w:t>
      </w:r>
    </w:p>
    <w:p w14:paraId="5B7DBFD2" w14:textId="77777777" w:rsidR="0095461E" w:rsidRPr="003A4150" w:rsidRDefault="0095461E" w:rsidP="003A4150">
      <w:pPr>
        <w:jc w:val="both"/>
        <w:rPr>
          <w:rFonts w:asciiTheme="majorHAnsi" w:hAnsiTheme="majorHAnsi"/>
          <w:sz w:val="20"/>
          <w:szCs w:val="20"/>
          <w:lang w:val="es-VE"/>
        </w:rPr>
      </w:pPr>
    </w:p>
    <w:p w14:paraId="455EA8C7" w14:textId="2705D1D6" w:rsidR="0095461E" w:rsidRDefault="009758CC"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Por otra parte</w:t>
      </w:r>
      <w:r w:rsidR="00562519">
        <w:rPr>
          <w:rFonts w:asciiTheme="majorHAnsi" w:hAnsiTheme="majorHAnsi"/>
          <w:sz w:val="20"/>
          <w:szCs w:val="20"/>
          <w:lang w:val="es-VE"/>
        </w:rPr>
        <w:t>,</w:t>
      </w:r>
      <w:r>
        <w:rPr>
          <w:rFonts w:asciiTheme="majorHAnsi" w:hAnsiTheme="majorHAnsi"/>
          <w:sz w:val="20"/>
          <w:szCs w:val="20"/>
          <w:lang w:val="es-VE"/>
        </w:rPr>
        <w:t xml:space="preserve"> </w:t>
      </w:r>
      <w:r w:rsidR="00562519">
        <w:rPr>
          <w:rFonts w:asciiTheme="majorHAnsi" w:hAnsiTheme="majorHAnsi"/>
          <w:sz w:val="20"/>
          <w:szCs w:val="20"/>
          <w:lang w:val="es-VE"/>
        </w:rPr>
        <w:t xml:space="preserve">el peticionario </w:t>
      </w:r>
      <w:r>
        <w:rPr>
          <w:rFonts w:asciiTheme="majorHAnsi" w:hAnsiTheme="majorHAnsi"/>
          <w:sz w:val="20"/>
          <w:szCs w:val="20"/>
          <w:lang w:val="es-VE"/>
        </w:rPr>
        <w:t>señala</w:t>
      </w:r>
      <w:r w:rsidR="008911F7">
        <w:rPr>
          <w:rFonts w:asciiTheme="majorHAnsi" w:hAnsiTheme="majorHAnsi"/>
          <w:sz w:val="20"/>
          <w:szCs w:val="20"/>
          <w:lang w:val="es-VE"/>
        </w:rPr>
        <w:t xml:space="preserve"> que</w:t>
      </w:r>
      <w:r w:rsidR="007242E1">
        <w:rPr>
          <w:rFonts w:asciiTheme="majorHAnsi" w:hAnsiTheme="majorHAnsi"/>
          <w:sz w:val="20"/>
          <w:szCs w:val="20"/>
          <w:lang w:val="es-VE"/>
        </w:rPr>
        <w:t xml:space="preserve"> tras su ingreso a prisión continuó trabajando </w:t>
      </w:r>
      <w:r w:rsidR="00562519">
        <w:rPr>
          <w:rFonts w:asciiTheme="majorHAnsi" w:hAnsiTheme="majorHAnsi"/>
          <w:sz w:val="20"/>
          <w:szCs w:val="20"/>
          <w:lang w:val="es-VE"/>
        </w:rPr>
        <w:t xml:space="preserve">como abogado </w:t>
      </w:r>
      <w:r w:rsidR="007242E1">
        <w:rPr>
          <w:rFonts w:asciiTheme="majorHAnsi" w:hAnsiTheme="majorHAnsi"/>
          <w:sz w:val="20"/>
          <w:szCs w:val="20"/>
          <w:lang w:val="es-VE"/>
        </w:rPr>
        <w:t>y aportando a la seguridad social hasta</w:t>
      </w:r>
      <w:r>
        <w:rPr>
          <w:rFonts w:asciiTheme="majorHAnsi" w:hAnsiTheme="majorHAnsi"/>
          <w:sz w:val="20"/>
          <w:szCs w:val="20"/>
          <w:lang w:val="es-VE"/>
        </w:rPr>
        <w:t xml:space="preserve"> </w:t>
      </w:r>
      <w:r w:rsidR="0095461E">
        <w:rPr>
          <w:rFonts w:asciiTheme="majorHAnsi" w:hAnsiTheme="majorHAnsi"/>
          <w:sz w:val="20"/>
          <w:szCs w:val="20"/>
          <w:lang w:val="es-VE"/>
        </w:rPr>
        <w:t xml:space="preserve">que </w:t>
      </w:r>
      <w:r>
        <w:rPr>
          <w:rFonts w:asciiTheme="majorHAnsi" w:hAnsiTheme="majorHAnsi"/>
          <w:sz w:val="20"/>
          <w:szCs w:val="20"/>
          <w:lang w:val="es-VE"/>
        </w:rPr>
        <w:t xml:space="preserve">el 15 de marzo de 2006 la </w:t>
      </w:r>
      <w:r w:rsidR="00DA3C2B">
        <w:rPr>
          <w:rFonts w:asciiTheme="majorHAnsi" w:hAnsiTheme="majorHAnsi"/>
          <w:sz w:val="20"/>
          <w:szCs w:val="20"/>
          <w:lang w:val="es-VE"/>
        </w:rPr>
        <w:t xml:space="preserve">Suprema Corte de Justicia </w:t>
      </w:r>
      <w:r w:rsidR="00562519">
        <w:rPr>
          <w:rFonts w:asciiTheme="majorHAnsi" w:hAnsiTheme="majorHAnsi"/>
          <w:sz w:val="20"/>
          <w:szCs w:val="20"/>
          <w:lang w:val="es-VE"/>
        </w:rPr>
        <w:t xml:space="preserve">dictó una </w:t>
      </w:r>
      <w:r w:rsidR="00DA3C2B">
        <w:rPr>
          <w:rFonts w:asciiTheme="majorHAnsi" w:hAnsiTheme="majorHAnsi"/>
          <w:sz w:val="20"/>
          <w:szCs w:val="20"/>
          <w:lang w:val="es-VE"/>
        </w:rPr>
        <w:t xml:space="preserve">resolución administrativa </w:t>
      </w:r>
      <w:r w:rsidR="00562519">
        <w:rPr>
          <w:rFonts w:asciiTheme="majorHAnsi" w:hAnsiTheme="majorHAnsi"/>
          <w:sz w:val="20"/>
          <w:szCs w:val="20"/>
          <w:lang w:val="es-VE"/>
        </w:rPr>
        <w:t xml:space="preserve">que </w:t>
      </w:r>
      <w:r w:rsidR="00DA3C2B">
        <w:rPr>
          <w:rFonts w:asciiTheme="majorHAnsi" w:hAnsiTheme="majorHAnsi"/>
          <w:sz w:val="20"/>
          <w:szCs w:val="20"/>
          <w:lang w:val="es-VE"/>
        </w:rPr>
        <w:t>le suspendió preventivamente del ejercicio de la profesión.</w:t>
      </w:r>
      <w:r w:rsidR="007242E1">
        <w:rPr>
          <w:rFonts w:asciiTheme="majorHAnsi" w:hAnsiTheme="majorHAnsi"/>
          <w:sz w:val="20"/>
          <w:szCs w:val="20"/>
          <w:lang w:val="es-VE"/>
        </w:rPr>
        <w:t xml:space="preserve"> </w:t>
      </w:r>
      <w:r w:rsidR="00347757">
        <w:rPr>
          <w:rFonts w:asciiTheme="majorHAnsi" w:hAnsiTheme="majorHAnsi"/>
          <w:sz w:val="20"/>
          <w:szCs w:val="20"/>
          <w:lang w:val="es-VE"/>
        </w:rPr>
        <w:t xml:space="preserve">Indica que </w:t>
      </w:r>
      <w:r w:rsidR="00562519">
        <w:rPr>
          <w:rFonts w:asciiTheme="majorHAnsi" w:hAnsiTheme="majorHAnsi"/>
          <w:sz w:val="20"/>
          <w:szCs w:val="20"/>
          <w:lang w:val="es-VE"/>
        </w:rPr>
        <w:t>tal</w:t>
      </w:r>
      <w:r w:rsidR="00347757">
        <w:rPr>
          <w:rFonts w:asciiTheme="majorHAnsi" w:hAnsiTheme="majorHAnsi"/>
          <w:sz w:val="20"/>
          <w:szCs w:val="20"/>
          <w:lang w:val="es-VE"/>
        </w:rPr>
        <w:t xml:space="preserve"> suspensión le impidió continuar actuando en </w:t>
      </w:r>
      <w:r w:rsidR="00562519">
        <w:rPr>
          <w:rFonts w:asciiTheme="majorHAnsi" w:hAnsiTheme="majorHAnsi"/>
          <w:sz w:val="20"/>
          <w:szCs w:val="20"/>
          <w:lang w:val="es-VE"/>
        </w:rPr>
        <w:t xml:space="preserve">unos </w:t>
      </w:r>
      <w:r w:rsidR="00347757">
        <w:rPr>
          <w:rFonts w:asciiTheme="majorHAnsi" w:hAnsiTheme="majorHAnsi"/>
          <w:sz w:val="20"/>
          <w:szCs w:val="20"/>
          <w:lang w:val="es-VE"/>
        </w:rPr>
        <w:t>500 procesos patrocina</w:t>
      </w:r>
      <w:r w:rsidR="00562519">
        <w:rPr>
          <w:rFonts w:asciiTheme="majorHAnsi" w:hAnsiTheme="majorHAnsi"/>
          <w:sz w:val="20"/>
          <w:szCs w:val="20"/>
          <w:lang w:val="es-VE"/>
        </w:rPr>
        <w:t>ba</w:t>
      </w:r>
      <w:r w:rsidR="00347757">
        <w:rPr>
          <w:rFonts w:asciiTheme="majorHAnsi" w:hAnsiTheme="majorHAnsi"/>
          <w:sz w:val="20"/>
          <w:szCs w:val="20"/>
          <w:lang w:val="es-VE"/>
        </w:rPr>
        <w:t xml:space="preserve">, </w:t>
      </w:r>
      <w:r w:rsidR="00562519">
        <w:rPr>
          <w:rFonts w:asciiTheme="majorHAnsi" w:hAnsiTheme="majorHAnsi"/>
          <w:sz w:val="20"/>
          <w:szCs w:val="20"/>
          <w:lang w:val="es-VE"/>
        </w:rPr>
        <w:t xml:space="preserve">en </w:t>
      </w:r>
      <w:r w:rsidR="00347757">
        <w:rPr>
          <w:rFonts w:asciiTheme="majorHAnsi" w:hAnsiTheme="majorHAnsi"/>
          <w:sz w:val="20"/>
          <w:szCs w:val="20"/>
          <w:lang w:val="es-VE"/>
        </w:rPr>
        <w:t xml:space="preserve">200 </w:t>
      </w:r>
      <w:r w:rsidR="00562519">
        <w:rPr>
          <w:rFonts w:asciiTheme="majorHAnsi" w:hAnsiTheme="majorHAnsi"/>
          <w:sz w:val="20"/>
          <w:szCs w:val="20"/>
          <w:lang w:val="es-VE"/>
        </w:rPr>
        <w:t>de los cuales</w:t>
      </w:r>
      <w:r w:rsidR="00347757">
        <w:rPr>
          <w:rFonts w:asciiTheme="majorHAnsi" w:hAnsiTheme="majorHAnsi"/>
          <w:sz w:val="20"/>
          <w:szCs w:val="20"/>
          <w:lang w:val="es-VE"/>
        </w:rPr>
        <w:t xml:space="preserve"> tenía calidad de parte. Alega que la suspensión le ha impedido </w:t>
      </w:r>
      <w:r w:rsidR="003F5952">
        <w:rPr>
          <w:rFonts w:asciiTheme="majorHAnsi" w:hAnsiTheme="majorHAnsi"/>
          <w:sz w:val="20"/>
          <w:szCs w:val="20"/>
          <w:lang w:val="es-VE"/>
        </w:rPr>
        <w:t>ejercer la propia representación en</w:t>
      </w:r>
      <w:r w:rsidR="00347757">
        <w:rPr>
          <w:rFonts w:asciiTheme="majorHAnsi" w:hAnsiTheme="majorHAnsi"/>
          <w:sz w:val="20"/>
          <w:szCs w:val="20"/>
          <w:lang w:val="es-VE"/>
        </w:rPr>
        <w:t xml:space="preserve"> los procesos en que es parte</w:t>
      </w:r>
      <w:r w:rsidR="00EB65BC">
        <w:rPr>
          <w:rStyle w:val="FootnoteReference"/>
          <w:rFonts w:asciiTheme="majorHAnsi" w:hAnsiTheme="majorHAnsi"/>
          <w:sz w:val="20"/>
          <w:szCs w:val="20"/>
          <w:lang w:val="es-VE"/>
        </w:rPr>
        <w:footnoteReference w:id="5"/>
      </w:r>
      <w:r w:rsidR="00347757">
        <w:rPr>
          <w:rFonts w:asciiTheme="majorHAnsi" w:hAnsiTheme="majorHAnsi"/>
          <w:sz w:val="20"/>
          <w:szCs w:val="20"/>
          <w:lang w:val="es-VE"/>
        </w:rPr>
        <w:t xml:space="preserve"> y forzado a invertir dinero para otorgar poderes y designar representantes</w:t>
      </w:r>
      <w:r w:rsidR="003F5952">
        <w:rPr>
          <w:rFonts w:asciiTheme="majorHAnsi" w:hAnsiTheme="majorHAnsi"/>
          <w:sz w:val="20"/>
          <w:szCs w:val="20"/>
          <w:lang w:val="es-VE"/>
        </w:rPr>
        <w:t>. De igual manera</w:t>
      </w:r>
      <w:r w:rsidR="00562519">
        <w:rPr>
          <w:rFonts w:asciiTheme="majorHAnsi" w:hAnsiTheme="majorHAnsi"/>
          <w:sz w:val="20"/>
          <w:szCs w:val="20"/>
          <w:lang w:val="es-VE"/>
        </w:rPr>
        <w:t>,</w:t>
      </w:r>
      <w:r w:rsidR="003F5952">
        <w:rPr>
          <w:rFonts w:asciiTheme="majorHAnsi" w:hAnsiTheme="majorHAnsi"/>
          <w:sz w:val="20"/>
          <w:szCs w:val="20"/>
          <w:lang w:val="es-VE"/>
        </w:rPr>
        <w:t xml:space="preserve"> denuncia que la suspensión la ha impedido realizar los aportes a la seguridad social que requería para acceder al beneficio de jubilación al cumplir 60 años. </w:t>
      </w:r>
      <w:r w:rsidR="00562519">
        <w:rPr>
          <w:rFonts w:asciiTheme="majorHAnsi" w:hAnsiTheme="majorHAnsi"/>
          <w:sz w:val="20"/>
          <w:szCs w:val="20"/>
          <w:lang w:val="es-VE"/>
        </w:rPr>
        <w:t>El</w:t>
      </w:r>
      <w:r w:rsidR="007A73B1">
        <w:rPr>
          <w:rFonts w:asciiTheme="majorHAnsi" w:hAnsiTheme="majorHAnsi"/>
          <w:sz w:val="20"/>
          <w:szCs w:val="20"/>
          <w:lang w:val="es-VE"/>
        </w:rPr>
        <w:t xml:space="preserve"> 17 de j</w:t>
      </w:r>
      <w:r w:rsidR="008911F7">
        <w:rPr>
          <w:rFonts w:asciiTheme="majorHAnsi" w:hAnsiTheme="majorHAnsi"/>
          <w:sz w:val="20"/>
          <w:szCs w:val="20"/>
          <w:lang w:val="es-VE"/>
        </w:rPr>
        <w:t xml:space="preserve">unio de 2014 </w:t>
      </w:r>
      <w:r w:rsidR="00843EB7">
        <w:rPr>
          <w:rFonts w:asciiTheme="majorHAnsi" w:hAnsiTheme="majorHAnsi"/>
          <w:sz w:val="20"/>
          <w:szCs w:val="20"/>
          <w:lang w:val="es-VE"/>
        </w:rPr>
        <w:t>solicitó el levantamiento de la suspensión, que le fue negado el 13 de octubre de 2014</w:t>
      </w:r>
      <w:r w:rsidR="00A0696A">
        <w:rPr>
          <w:rFonts w:asciiTheme="majorHAnsi" w:hAnsiTheme="majorHAnsi"/>
          <w:sz w:val="20"/>
          <w:szCs w:val="20"/>
          <w:lang w:val="es-VE"/>
        </w:rPr>
        <w:t xml:space="preserve">; </w:t>
      </w:r>
      <w:r w:rsidR="00710E70">
        <w:rPr>
          <w:rFonts w:asciiTheme="majorHAnsi" w:hAnsiTheme="majorHAnsi"/>
          <w:sz w:val="20"/>
          <w:szCs w:val="20"/>
          <w:lang w:val="es-VE"/>
        </w:rPr>
        <w:t xml:space="preserve">luego </w:t>
      </w:r>
      <w:r w:rsidR="00A0696A">
        <w:rPr>
          <w:rFonts w:asciiTheme="majorHAnsi" w:hAnsiTheme="majorHAnsi"/>
          <w:sz w:val="20"/>
          <w:szCs w:val="20"/>
          <w:lang w:val="es-VE"/>
        </w:rPr>
        <w:t xml:space="preserve">presentó en 2015 </w:t>
      </w:r>
      <w:r w:rsidR="00710E70">
        <w:rPr>
          <w:rFonts w:asciiTheme="majorHAnsi" w:hAnsiTheme="majorHAnsi"/>
          <w:sz w:val="20"/>
          <w:szCs w:val="20"/>
          <w:lang w:val="es-VE"/>
        </w:rPr>
        <w:t xml:space="preserve">una </w:t>
      </w:r>
      <w:r w:rsidR="00A0696A">
        <w:rPr>
          <w:rFonts w:asciiTheme="majorHAnsi" w:hAnsiTheme="majorHAnsi"/>
          <w:sz w:val="20"/>
          <w:szCs w:val="20"/>
          <w:lang w:val="es-VE"/>
        </w:rPr>
        <w:t xml:space="preserve">demanda de nulidad ante el Tribunal Contencioso Administrativo. El 15 de marzo de 2018 el </w:t>
      </w:r>
      <w:r w:rsidR="00710E70">
        <w:rPr>
          <w:rFonts w:asciiTheme="majorHAnsi" w:hAnsiTheme="majorHAnsi"/>
          <w:sz w:val="20"/>
          <w:szCs w:val="20"/>
          <w:lang w:val="es-VE"/>
        </w:rPr>
        <w:t>t</w:t>
      </w:r>
      <w:r w:rsidR="00A0696A">
        <w:rPr>
          <w:rFonts w:asciiTheme="majorHAnsi" w:hAnsiTheme="majorHAnsi"/>
          <w:sz w:val="20"/>
          <w:szCs w:val="20"/>
          <w:lang w:val="es-VE"/>
        </w:rPr>
        <w:t xml:space="preserve">ribunal desestimó la demanda de nulidad </w:t>
      </w:r>
      <w:r w:rsidR="00710E70">
        <w:rPr>
          <w:rFonts w:asciiTheme="majorHAnsi" w:hAnsiTheme="majorHAnsi"/>
          <w:sz w:val="20"/>
          <w:szCs w:val="20"/>
          <w:lang w:val="es-VE"/>
        </w:rPr>
        <w:t xml:space="preserve">por </w:t>
      </w:r>
      <w:r w:rsidR="00A0696A">
        <w:rPr>
          <w:rFonts w:asciiTheme="majorHAnsi" w:hAnsiTheme="majorHAnsi"/>
          <w:sz w:val="20"/>
          <w:szCs w:val="20"/>
          <w:lang w:val="es-VE"/>
        </w:rPr>
        <w:t>considera</w:t>
      </w:r>
      <w:r w:rsidR="00710E70">
        <w:rPr>
          <w:rFonts w:asciiTheme="majorHAnsi" w:hAnsiTheme="majorHAnsi"/>
          <w:sz w:val="20"/>
          <w:szCs w:val="20"/>
          <w:lang w:val="es-VE"/>
        </w:rPr>
        <w:t>r</w:t>
      </w:r>
      <w:r w:rsidR="00A0696A">
        <w:rPr>
          <w:rFonts w:asciiTheme="majorHAnsi" w:hAnsiTheme="majorHAnsi"/>
          <w:sz w:val="20"/>
          <w:szCs w:val="20"/>
          <w:lang w:val="es-VE"/>
        </w:rPr>
        <w:t xml:space="preserve"> que la </w:t>
      </w:r>
      <w:r w:rsidR="00710E70">
        <w:rPr>
          <w:rFonts w:asciiTheme="majorHAnsi" w:hAnsiTheme="majorHAnsi"/>
          <w:sz w:val="20"/>
          <w:szCs w:val="20"/>
          <w:lang w:val="es-VE"/>
        </w:rPr>
        <w:t>l</w:t>
      </w:r>
      <w:r w:rsidR="00A0696A">
        <w:rPr>
          <w:rFonts w:asciiTheme="majorHAnsi" w:hAnsiTheme="majorHAnsi"/>
          <w:sz w:val="20"/>
          <w:szCs w:val="20"/>
          <w:lang w:val="es-VE"/>
        </w:rPr>
        <w:t xml:space="preserve">ey concedía a la Suprema </w:t>
      </w:r>
      <w:r w:rsidR="004B4C99">
        <w:rPr>
          <w:rFonts w:asciiTheme="majorHAnsi" w:hAnsiTheme="majorHAnsi"/>
          <w:sz w:val="20"/>
          <w:szCs w:val="20"/>
          <w:lang w:val="es-VE"/>
        </w:rPr>
        <w:t>Corte la facultad de suspen</w:t>
      </w:r>
      <w:r w:rsidR="00710E70">
        <w:rPr>
          <w:rFonts w:asciiTheme="majorHAnsi" w:hAnsiTheme="majorHAnsi"/>
          <w:sz w:val="20"/>
          <w:szCs w:val="20"/>
          <w:lang w:val="es-VE"/>
        </w:rPr>
        <w:t>der</w:t>
      </w:r>
      <w:r w:rsidR="004B4C99">
        <w:rPr>
          <w:rFonts w:asciiTheme="majorHAnsi" w:hAnsiTheme="majorHAnsi"/>
          <w:sz w:val="20"/>
          <w:szCs w:val="20"/>
          <w:lang w:val="es-VE"/>
        </w:rPr>
        <w:t xml:space="preserve"> </w:t>
      </w:r>
      <w:r w:rsidR="00710E70">
        <w:rPr>
          <w:rFonts w:asciiTheme="majorHAnsi" w:hAnsiTheme="majorHAnsi"/>
          <w:sz w:val="20"/>
          <w:szCs w:val="20"/>
          <w:lang w:val="es-VE"/>
        </w:rPr>
        <w:t>a</w:t>
      </w:r>
      <w:r w:rsidR="004B4C99">
        <w:rPr>
          <w:rFonts w:asciiTheme="majorHAnsi" w:hAnsiTheme="majorHAnsi"/>
          <w:sz w:val="20"/>
          <w:szCs w:val="20"/>
          <w:lang w:val="es-VE"/>
        </w:rPr>
        <w:t xml:space="preserve"> profesionales del derecho que </w:t>
      </w:r>
      <w:r w:rsidR="00710E70">
        <w:rPr>
          <w:rFonts w:asciiTheme="majorHAnsi" w:hAnsiTheme="majorHAnsi"/>
          <w:sz w:val="20"/>
          <w:szCs w:val="20"/>
          <w:lang w:val="es-VE"/>
        </w:rPr>
        <w:lastRenderedPageBreak/>
        <w:t xml:space="preserve">fueran </w:t>
      </w:r>
      <w:r w:rsidR="004B4C99">
        <w:rPr>
          <w:rFonts w:asciiTheme="majorHAnsi" w:hAnsiTheme="majorHAnsi"/>
          <w:sz w:val="20"/>
          <w:szCs w:val="20"/>
          <w:lang w:val="es-VE"/>
        </w:rPr>
        <w:t xml:space="preserve">procesados </w:t>
      </w:r>
      <w:r w:rsidR="00710E70">
        <w:rPr>
          <w:rFonts w:asciiTheme="majorHAnsi" w:hAnsiTheme="majorHAnsi"/>
          <w:sz w:val="20"/>
          <w:szCs w:val="20"/>
          <w:lang w:val="es-VE"/>
        </w:rPr>
        <w:t>po</w:t>
      </w:r>
      <w:r w:rsidR="004B4C99">
        <w:rPr>
          <w:rFonts w:asciiTheme="majorHAnsi" w:hAnsiTheme="majorHAnsi"/>
          <w:sz w:val="20"/>
          <w:szCs w:val="20"/>
          <w:lang w:val="es-VE"/>
        </w:rPr>
        <w:t xml:space="preserve">r delitos dolosos que </w:t>
      </w:r>
      <w:r w:rsidR="00710E70">
        <w:rPr>
          <w:rFonts w:asciiTheme="majorHAnsi" w:hAnsiTheme="majorHAnsi"/>
          <w:sz w:val="20"/>
          <w:szCs w:val="20"/>
          <w:lang w:val="es-VE"/>
        </w:rPr>
        <w:t>fueran</w:t>
      </w:r>
      <w:r w:rsidR="004B4C99">
        <w:rPr>
          <w:rFonts w:asciiTheme="majorHAnsi" w:hAnsiTheme="majorHAnsi"/>
          <w:sz w:val="20"/>
          <w:szCs w:val="20"/>
          <w:lang w:val="es-VE"/>
        </w:rPr>
        <w:t xml:space="preserve"> incompatibles con la dignidad y decoro de la profesión;</w:t>
      </w:r>
      <w:r w:rsidR="005F7E27">
        <w:rPr>
          <w:rFonts w:asciiTheme="majorHAnsi" w:hAnsiTheme="majorHAnsi"/>
          <w:sz w:val="20"/>
          <w:szCs w:val="20"/>
          <w:lang w:val="es-VE"/>
        </w:rPr>
        <w:t xml:space="preserve"> y</w:t>
      </w:r>
      <w:r w:rsidR="004B4C99">
        <w:rPr>
          <w:rFonts w:asciiTheme="majorHAnsi" w:hAnsiTheme="majorHAnsi"/>
          <w:sz w:val="20"/>
          <w:szCs w:val="20"/>
          <w:lang w:val="es-VE"/>
        </w:rPr>
        <w:t xml:space="preserve"> que la </w:t>
      </w:r>
      <w:r w:rsidR="00710E70">
        <w:rPr>
          <w:rFonts w:asciiTheme="majorHAnsi" w:hAnsiTheme="majorHAnsi"/>
          <w:sz w:val="20"/>
          <w:szCs w:val="20"/>
          <w:lang w:val="es-VE"/>
        </w:rPr>
        <w:t>l</w:t>
      </w:r>
      <w:r w:rsidR="004B4C99">
        <w:rPr>
          <w:rFonts w:asciiTheme="majorHAnsi" w:hAnsiTheme="majorHAnsi"/>
          <w:sz w:val="20"/>
          <w:szCs w:val="20"/>
          <w:lang w:val="es-VE"/>
        </w:rPr>
        <w:t>ey no condicionaba la duración de la suspensión</w:t>
      </w:r>
      <w:r w:rsidR="00710E70">
        <w:rPr>
          <w:rFonts w:asciiTheme="majorHAnsi" w:hAnsiTheme="majorHAnsi"/>
          <w:sz w:val="20"/>
          <w:szCs w:val="20"/>
          <w:lang w:val="es-VE"/>
        </w:rPr>
        <w:t>,</w:t>
      </w:r>
      <w:r w:rsidR="008911F7">
        <w:rPr>
          <w:rFonts w:asciiTheme="majorHAnsi" w:hAnsiTheme="majorHAnsi"/>
          <w:sz w:val="20"/>
          <w:szCs w:val="20"/>
          <w:lang w:val="es-VE"/>
        </w:rPr>
        <w:t xml:space="preserve"> ni la hacía depend</w:t>
      </w:r>
      <w:r w:rsidR="00710E70">
        <w:rPr>
          <w:rFonts w:asciiTheme="majorHAnsi" w:hAnsiTheme="majorHAnsi"/>
          <w:sz w:val="20"/>
          <w:szCs w:val="20"/>
          <w:lang w:val="es-VE"/>
        </w:rPr>
        <w:t>er de</w:t>
      </w:r>
      <w:r w:rsidR="008911F7">
        <w:rPr>
          <w:rFonts w:asciiTheme="majorHAnsi" w:hAnsiTheme="majorHAnsi"/>
          <w:sz w:val="20"/>
          <w:szCs w:val="20"/>
          <w:lang w:val="es-VE"/>
        </w:rPr>
        <w:t xml:space="preserve"> las vicisitudes del proceso penal</w:t>
      </w:r>
      <w:r w:rsidR="00710E70">
        <w:rPr>
          <w:rFonts w:asciiTheme="majorHAnsi" w:hAnsiTheme="majorHAnsi"/>
          <w:sz w:val="20"/>
          <w:szCs w:val="20"/>
          <w:lang w:val="es-VE"/>
        </w:rPr>
        <w:t>,</w:t>
      </w:r>
      <w:r w:rsidR="004B4C99">
        <w:rPr>
          <w:rFonts w:asciiTheme="majorHAnsi" w:hAnsiTheme="majorHAnsi"/>
          <w:sz w:val="20"/>
          <w:szCs w:val="20"/>
          <w:lang w:val="es-VE"/>
        </w:rPr>
        <w:t xml:space="preserve"> sino que habilitaba a la Corte a levantarla cuando lo considere oportuno</w:t>
      </w:r>
      <w:r w:rsidR="00710E70">
        <w:rPr>
          <w:rFonts w:asciiTheme="majorHAnsi" w:hAnsiTheme="majorHAnsi"/>
          <w:sz w:val="20"/>
          <w:szCs w:val="20"/>
          <w:lang w:val="es-VE"/>
        </w:rPr>
        <w:t>.</w:t>
      </w:r>
      <w:r w:rsidR="004B4C99">
        <w:rPr>
          <w:rFonts w:asciiTheme="majorHAnsi" w:hAnsiTheme="majorHAnsi"/>
          <w:sz w:val="20"/>
          <w:szCs w:val="20"/>
          <w:lang w:val="es-VE"/>
        </w:rPr>
        <w:t xml:space="preserve"> </w:t>
      </w:r>
    </w:p>
    <w:p w14:paraId="35B08AE2" w14:textId="77777777" w:rsidR="008911F7" w:rsidRDefault="008911F7" w:rsidP="003A4150">
      <w:pPr>
        <w:pStyle w:val="ListParagraph"/>
        <w:ind w:left="0" w:firstLine="720"/>
        <w:jc w:val="both"/>
        <w:rPr>
          <w:rFonts w:asciiTheme="majorHAnsi" w:hAnsiTheme="majorHAnsi"/>
          <w:sz w:val="20"/>
          <w:szCs w:val="20"/>
          <w:lang w:val="es-VE"/>
        </w:rPr>
      </w:pPr>
    </w:p>
    <w:p w14:paraId="7A6FFFAD" w14:textId="2C185EBF" w:rsidR="008911F7" w:rsidRDefault="003E3F6E"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También </w:t>
      </w:r>
      <w:r w:rsidR="00797793">
        <w:rPr>
          <w:rFonts w:asciiTheme="majorHAnsi" w:hAnsiTheme="majorHAnsi"/>
          <w:sz w:val="20"/>
          <w:szCs w:val="20"/>
          <w:lang w:val="es-VE"/>
        </w:rPr>
        <w:t>indica</w:t>
      </w:r>
      <w:r>
        <w:rPr>
          <w:rFonts w:asciiTheme="majorHAnsi" w:hAnsiTheme="majorHAnsi"/>
          <w:sz w:val="20"/>
          <w:szCs w:val="20"/>
          <w:lang w:val="es-VE"/>
        </w:rPr>
        <w:t xml:space="preserve"> que </w:t>
      </w:r>
      <w:r w:rsidR="00797793">
        <w:rPr>
          <w:rFonts w:asciiTheme="majorHAnsi" w:hAnsiTheme="majorHAnsi"/>
          <w:sz w:val="20"/>
          <w:szCs w:val="20"/>
          <w:lang w:val="es-VE"/>
        </w:rPr>
        <w:t xml:space="preserve">en 2005 </w:t>
      </w:r>
      <w:r>
        <w:rPr>
          <w:rFonts w:asciiTheme="majorHAnsi" w:hAnsiTheme="majorHAnsi"/>
          <w:sz w:val="20"/>
          <w:szCs w:val="20"/>
          <w:lang w:val="es-VE"/>
        </w:rPr>
        <w:t xml:space="preserve">los familiares de su </w:t>
      </w:r>
      <w:r w:rsidR="00710E70">
        <w:rPr>
          <w:rFonts w:asciiTheme="majorHAnsi" w:hAnsiTheme="majorHAnsi"/>
          <w:sz w:val="20"/>
          <w:szCs w:val="20"/>
          <w:lang w:val="es-VE"/>
        </w:rPr>
        <w:t xml:space="preserve">difunta ex pareja </w:t>
      </w:r>
      <w:r w:rsidR="00797793">
        <w:rPr>
          <w:rFonts w:asciiTheme="majorHAnsi" w:hAnsiTheme="majorHAnsi"/>
          <w:sz w:val="20"/>
          <w:szCs w:val="20"/>
          <w:lang w:val="es-VE"/>
        </w:rPr>
        <w:t>interpusieron una demanda de daños y perjuicios en su contra</w:t>
      </w:r>
      <w:r w:rsidR="00710E70">
        <w:rPr>
          <w:rFonts w:asciiTheme="majorHAnsi" w:hAnsiTheme="majorHAnsi"/>
          <w:sz w:val="20"/>
          <w:szCs w:val="20"/>
          <w:lang w:val="es-VE"/>
        </w:rPr>
        <w:t>,</w:t>
      </w:r>
      <w:r w:rsidR="00797793">
        <w:rPr>
          <w:rFonts w:asciiTheme="majorHAnsi" w:hAnsiTheme="majorHAnsi"/>
          <w:sz w:val="20"/>
          <w:szCs w:val="20"/>
          <w:lang w:val="es-VE"/>
        </w:rPr>
        <w:t xml:space="preserve"> </w:t>
      </w:r>
      <w:r w:rsidR="00710E70">
        <w:rPr>
          <w:rFonts w:asciiTheme="majorHAnsi" w:hAnsiTheme="majorHAnsi"/>
          <w:sz w:val="20"/>
          <w:szCs w:val="20"/>
          <w:lang w:val="es-VE"/>
        </w:rPr>
        <w:t xml:space="preserve">por lo que </w:t>
      </w:r>
      <w:r w:rsidR="00797793">
        <w:rPr>
          <w:rFonts w:asciiTheme="majorHAnsi" w:hAnsiTheme="majorHAnsi"/>
          <w:sz w:val="20"/>
          <w:szCs w:val="20"/>
          <w:lang w:val="es-VE"/>
        </w:rPr>
        <w:t>se dict</w:t>
      </w:r>
      <w:r w:rsidR="00710E70">
        <w:rPr>
          <w:rFonts w:asciiTheme="majorHAnsi" w:hAnsiTheme="majorHAnsi"/>
          <w:sz w:val="20"/>
          <w:szCs w:val="20"/>
          <w:lang w:val="es-VE"/>
        </w:rPr>
        <w:t>ó</w:t>
      </w:r>
      <w:r w:rsidR="00797793">
        <w:rPr>
          <w:rFonts w:asciiTheme="majorHAnsi" w:hAnsiTheme="majorHAnsi"/>
          <w:sz w:val="20"/>
          <w:szCs w:val="20"/>
          <w:lang w:val="es-VE"/>
        </w:rPr>
        <w:t xml:space="preserve"> un embargo general de todos sus bienes presentes y futuros</w:t>
      </w:r>
      <w:r w:rsidR="007A73B1">
        <w:rPr>
          <w:rFonts w:asciiTheme="majorHAnsi" w:hAnsiTheme="majorHAnsi"/>
          <w:sz w:val="20"/>
          <w:szCs w:val="20"/>
          <w:lang w:val="es-VE"/>
        </w:rPr>
        <w:t>,</w:t>
      </w:r>
      <w:r w:rsidR="00CE30BC">
        <w:rPr>
          <w:rFonts w:asciiTheme="majorHAnsi" w:hAnsiTheme="majorHAnsi"/>
          <w:sz w:val="20"/>
          <w:szCs w:val="20"/>
          <w:lang w:val="es-VE"/>
        </w:rPr>
        <w:t xml:space="preserve"> </w:t>
      </w:r>
      <w:r w:rsidR="00710E70">
        <w:rPr>
          <w:rFonts w:asciiTheme="majorHAnsi" w:hAnsiTheme="majorHAnsi"/>
          <w:sz w:val="20"/>
          <w:szCs w:val="20"/>
          <w:lang w:val="es-VE"/>
        </w:rPr>
        <w:t xml:space="preserve">que </w:t>
      </w:r>
      <w:r w:rsidR="00CE30BC">
        <w:rPr>
          <w:rFonts w:asciiTheme="majorHAnsi" w:hAnsiTheme="majorHAnsi"/>
          <w:sz w:val="20"/>
          <w:szCs w:val="20"/>
          <w:lang w:val="es-VE"/>
        </w:rPr>
        <w:t xml:space="preserve">se mantuvo vigente por más de una década hasta </w:t>
      </w:r>
      <w:r w:rsidR="00D32062">
        <w:rPr>
          <w:rFonts w:asciiTheme="majorHAnsi" w:hAnsiTheme="majorHAnsi"/>
          <w:sz w:val="20"/>
          <w:szCs w:val="20"/>
          <w:lang w:val="es-VE"/>
        </w:rPr>
        <w:t xml:space="preserve">su caducidad </w:t>
      </w:r>
      <w:r w:rsidR="000C1018">
        <w:rPr>
          <w:rFonts w:asciiTheme="majorHAnsi" w:hAnsiTheme="majorHAnsi"/>
          <w:sz w:val="20"/>
          <w:szCs w:val="20"/>
          <w:lang w:val="es-VE"/>
        </w:rPr>
        <w:t xml:space="preserve">a fines de 2015. </w:t>
      </w:r>
      <w:r w:rsidR="00D32062">
        <w:rPr>
          <w:rFonts w:asciiTheme="majorHAnsi" w:hAnsiTheme="majorHAnsi"/>
          <w:sz w:val="20"/>
          <w:szCs w:val="20"/>
          <w:lang w:val="es-VE"/>
        </w:rPr>
        <w:t xml:space="preserve">Considera que este embargo fue ilícito porque no se cumplía el requisito </w:t>
      </w:r>
      <w:r w:rsidR="00710E70">
        <w:rPr>
          <w:rFonts w:asciiTheme="majorHAnsi" w:hAnsiTheme="majorHAnsi"/>
          <w:sz w:val="20"/>
          <w:szCs w:val="20"/>
          <w:lang w:val="es-VE"/>
        </w:rPr>
        <w:t xml:space="preserve">del </w:t>
      </w:r>
      <w:r w:rsidR="00D32062" w:rsidRPr="00710E70">
        <w:rPr>
          <w:rFonts w:asciiTheme="majorHAnsi" w:hAnsiTheme="majorHAnsi"/>
          <w:i/>
          <w:iCs/>
          <w:sz w:val="20"/>
          <w:szCs w:val="20"/>
          <w:lang w:val="es-VE"/>
        </w:rPr>
        <w:t>periculum in mora</w:t>
      </w:r>
      <w:r w:rsidR="00D32062">
        <w:rPr>
          <w:rFonts w:asciiTheme="majorHAnsi" w:hAnsiTheme="majorHAnsi"/>
          <w:sz w:val="20"/>
          <w:szCs w:val="20"/>
          <w:lang w:val="es-VE"/>
        </w:rPr>
        <w:t xml:space="preserve"> exigido por la ley. </w:t>
      </w:r>
      <w:r w:rsidR="00895D7C">
        <w:rPr>
          <w:rFonts w:asciiTheme="majorHAnsi" w:hAnsiTheme="majorHAnsi"/>
          <w:sz w:val="20"/>
          <w:szCs w:val="20"/>
          <w:lang w:val="es-VE"/>
        </w:rPr>
        <w:t>Aduce que el embargo le impidió cumplir con sus obligaciones como deudor, alimentante y contribuyente</w:t>
      </w:r>
      <w:r w:rsidR="00710E70">
        <w:rPr>
          <w:rFonts w:asciiTheme="majorHAnsi" w:hAnsiTheme="majorHAnsi"/>
          <w:sz w:val="20"/>
          <w:szCs w:val="20"/>
          <w:lang w:val="es-VE"/>
        </w:rPr>
        <w:t>;</w:t>
      </w:r>
      <w:r w:rsidR="00895D7C">
        <w:rPr>
          <w:rFonts w:asciiTheme="majorHAnsi" w:hAnsiTheme="majorHAnsi"/>
          <w:sz w:val="20"/>
          <w:szCs w:val="20"/>
          <w:lang w:val="es-VE"/>
        </w:rPr>
        <w:t xml:space="preserve"> y </w:t>
      </w:r>
      <w:r w:rsidR="00710E70">
        <w:rPr>
          <w:rFonts w:asciiTheme="majorHAnsi" w:hAnsiTheme="majorHAnsi"/>
          <w:sz w:val="20"/>
          <w:szCs w:val="20"/>
          <w:lang w:val="es-VE"/>
        </w:rPr>
        <w:t xml:space="preserve">que </w:t>
      </w:r>
      <w:r w:rsidR="00895D7C">
        <w:rPr>
          <w:rFonts w:asciiTheme="majorHAnsi" w:hAnsiTheme="majorHAnsi"/>
          <w:sz w:val="20"/>
          <w:szCs w:val="20"/>
          <w:lang w:val="es-VE"/>
        </w:rPr>
        <w:t xml:space="preserve">le hizo perder oportunidades de negocio. </w:t>
      </w:r>
    </w:p>
    <w:p w14:paraId="04CD29FD" w14:textId="77777777" w:rsidR="00895D7C" w:rsidRPr="00895D7C" w:rsidRDefault="00895D7C" w:rsidP="003A4150">
      <w:pPr>
        <w:pStyle w:val="ListParagraph"/>
        <w:ind w:left="0" w:firstLine="720"/>
        <w:rPr>
          <w:rFonts w:asciiTheme="majorHAnsi" w:hAnsiTheme="majorHAnsi"/>
          <w:sz w:val="20"/>
          <w:szCs w:val="20"/>
          <w:lang w:val="es-VE"/>
        </w:rPr>
      </w:pPr>
    </w:p>
    <w:p w14:paraId="64B1671A" w14:textId="19ADAF15" w:rsidR="00895D7C" w:rsidRDefault="00AD2B4B"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Aduce además que en el proceso penal que se le sigue por homicidio agravado no se ha respetado el debido proceso</w:t>
      </w:r>
      <w:r w:rsidR="00825A2F">
        <w:rPr>
          <w:rFonts w:asciiTheme="majorHAnsi" w:hAnsiTheme="majorHAnsi"/>
          <w:sz w:val="20"/>
          <w:szCs w:val="20"/>
          <w:lang w:val="es-VE"/>
        </w:rPr>
        <w:t xml:space="preserve"> ni el plazo razonable</w:t>
      </w:r>
      <w:r w:rsidR="000817A7">
        <w:rPr>
          <w:rFonts w:asciiTheme="majorHAnsi" w:hAnsiTheme="majorHAnsi"/>
          <w:sz w:val="20"/>
          <w:szCs w:val="20"/>
          <w:lang w:val="es-VE"/>
        </w:rPr>
        <w:t>. De</w:t>
      </w:r>
      <w:r w:rsidR="007B38BB">
        <w:rPr>
          <w:rFonts w:asciiTheme="majorHAnsi" w:hAnsiTheme="majorHAnsi"/>
          <w:sz w:val="20"/>
          <w:szCs w:val="20"/>
          <w:lang w:val="es-VE"/>
        </w:rPr>
        <w:t>nuncia que la jueza a cargo le negó la oportunidad de ser escuchado y que no se le permitió estar presente en los interrogatorios de todos los testigos para poder repreguntarlos y solicitar careos.</w:t>
      </w:r>
      <w:r w:rsidR="00D35132">
        <w:rPr>
          <w:rFonts w:asciiTheme="majorHAnsi" w:hAnsiTheme="majorHAnsi"/>
          <w:sz w:val="20"/>
          <w:szCs w:val="20"/>
          <w:lang w:val="es-VE"/>
        </w:rPr>
        <w:t xml:space="preserve"> </w:t>
      </w:r>
      <w:r w:rsidR="000D4A50">
        <w:rPr>
          <w:rFonts w:asciiTheme="majorHAnsi" w:hAnsiTheme="majorHAnsi"/>
          <w:sz w:val="20"/>
          <w:szCs w:val="20"/>
          <w:lang w:val="es-VE"/>
        </w:rPr>
        <w:t>Consid</w:t>
      </w:r>
      <w:r w:rsidR="00BF2659">
        <w:rPr>
          <w:rFonts w:asciiTheme="majorHAnsi" w:hAnsiTheme="majorHAnsi"/>
          <w:sz w:val="20"/>
          <w:szCs w:val="20"/>
          <w:lang w:val="es-VE"/>
        </w:rPr>
        <w:t>era que las autoridades a cargo</w:t>
      </w:r>
      <w:r w:rsidR="000D4A50">
        <w:rPr>
          <w:rFonts w:asciiTheme="majorHAnsi" w:hAnsiTheme="majorHAnsi"/>
          <w:sz w:val="20"/>
          <w:szCs w:val="20"/>
          <w:lang w:val="es-VE"/>
        </w:rPr>
        <w:t xml:space="preserve"> </w:t>
      </w:r>
      <w:r w:rsidR="00EF5C06">
        <w:rPr>
          <w:rFonts w:asciiTheme="majorHAnsi" w:hAnsiTheme="majorHAnsi"/>
          <w:sz w:val="20"/>
          <w:szCs w:val="20"/>
          <w:lang w:val="es-VE"/>
        </w:rPr>
        <w:t>del proceso han mostrado parcialidad en su contra</w:t>
      </w:r>
      <w:r w:rsidR="007A73B1">
        <w:rPr>
          <w:rFonts w:asciiTheme="majorHAnsi" w:hAnsiTheme="majorHAnsi"/>
          <w:sz w:val="20"/>
          <w:szCs w:val="20"/>
          <w:lang w:val="es-VE"/>
        </w:rPr>
        <w:t xml:space="preserve"> solicitando para é</w:t>
      </w:r>
      <w:r w:rsidR="000D4A50">
        <w:rPr>
          <w:rFonts w:asciiTheme="majorHAnsi" w:hAnsiTheme="majorHAnsi"/>
          <w:sz w:val="20"/>
          <w:szCs w:val="20"/>
          <w:lang w:val="es-VE"/>
        </w:rPr>
        <w:t>l una pena equiparable a la aplicada para los delitos más aberrantes cometidos durante la dictadura</w:t>
      </w:r>
      <w:r w:rsidR="000C3683">
        <w:rPr>
          <w:rFonts w:asciiTheme="majorHAnsi" w:hAnsiTheme="majorHAnsi"/>
          <w:sz w:val="20"/>
          <w:szCs w:val="20"/>
          <w:lang w:val="es-VE"/>
        </w:rPr>
        <w:t>,</w:t>
      </w:r>
      <w:r w:rsidR="000D4A50">
        <w:rPr>
          <w:rFonts w:asciiTheme="majorHAnsi" w:hAnsiTheme="majorHAnsi"/>
          <w:sz w:val="20"/>
          <w:szCs w:val="20"/>
          <w:lang w:val="es-VE"/>
        </w:rPr>
        <w:t xml:space="preserve"> en base a agravantes no probados y sin tomar en cuenta “las numerosas atenuantes de un típico homicidio pasional”. </w:t>
      </w:r>
      <w:r w:rsidR="00D10F2C">
        <w:rPr>
          <w:rFonts w:asciiTheme="majorHAnsi" w:hAnsiTheme="majorHAnsi"/>
          <w:sz w:val="20"/>
          <w:szCs w:val="20"/>
          <w:lang w:val="es-VE"/>
        </w:rPr>
        <w:t xml:space="preserve">Resalta que no niega su responsabilidad </w:t>
      </w:r>
      <w:r w:rsidR="00710E70">
        <w:rPr>
          <w:rFonts w:asciiTheme="majorHAnsi" w:hAnsiTheme="majorHAnsi"/>
          <w:sz w:val="20"/>
          <w:szCs w:val="20"/>
          <w:lang w:val="es-VE"/>
        </w:rPr>
        <w:t xml:space="preserve">en los hechos, </w:t>
      </w:r>
      <w:r w:rsidR="00D10F2C">
        <w:rPr>
          <w:rFonts w:asciiTheme="majorHAnsi" w:hAnsiTheme="majorHAnsi"/>
          <w:sz w:val="20"/>
          <w:szCs w:val="20"/>
          <w:lang w:val="es-VE"/>
        </w:rPr>
        <w:t xml:space="preserve">pero considera que </w:t>
      </w:r>
      <w:r w:rsidR="00710E70">
        <w:rPr>
          <w:rFonts w:asciiTheme="majorHAnsi" w:hAnsiTheme="majorHAnsi"/>
          <w:sz w:val="20"/>
          <w:szCs w:val="20"/>
          <w:lang w:val="es-VE"/>
        </w:rPr>
        <w:t xml:space="preserve">no </w:t>
      </w:r>
      <w:r w:rsidR="00D10F2C">
        <w:rPr>
          <w:rFonts w:asciiTheme="majorHAnsi" w:hAnsiTheme="majorHAnsi"/>
          <w:sz w:val="20"/>
          <w:szCs w:val="20"/>
          <w:lang w:val="es-VE"/>
        </w:rPr>
        <w:t>se respet</w:t>
      </w:r>
      <w:r w:rsidR="00710E70">
        <w:rPr>
          <w:rFonts w:asciiTheme="majorHAnsi" w:hAnsiTheme="majorHAnsi"/>
          <w:sz w:val="20"/>
          <w:szCs w:val="20"/>
          <w:lang w:val="es-VE"/>
        </w:rPr>
        <w:t>ó</w:t>
      </w:r>
      <w:r w:rsidR="00D10F2C">
        <w:rPr>
          <w:rFonts w:asciiTheme="majorHAnsi" w:hAnsiTheme="majorHAnsi"/>
          <w:sz w:val="20"/>
          <w:szCs w:val="20"/>
          <w:lang w:val="es-VE"/>
        </w:rPr>
        <w:t xml:space="preserve"> su derecho a </w:t>
      </w:r>
      <w:r w:rsidR="00710E70">
        <w:rPr>
          <w:rFonts w:asciiTheme="majorHAnsi" w:hAnsiTheme="majorHAnsi"/>
          <w:sz w:val="20"/>
          <w:szCs w:val="20"/>
          <w:lang w:val="es-VE"/>
        </w:rPr>
        <w:t xml:space="preserve">plantear y </w:t>
      </w:r>
      <w:r w:rsidR="00D10F2C">
        <w:rPr>
          <w:rFonts w:asciiTheme="majorHAnsi" w:hAnsiTheme="majorHAnsi"/>
          <w:sz w:val="20"/>
          <w:szCs w:val="20"/>
          <w:lang w:val="es-VE"/>
        </w:rPr>
        <w:t xml:space="preserve">probar </w:t>
      </w:r>
      <w:r w:rsidR="00710E70">
        <w:rPr>
          <w:rFonts w:asciiTheme="majorHAnsi" w:hAnsiTheme="majorHAnsi"/>
          <w:sz w:val="20"/>
          <w:szCs w:val="20"/>
          <w:lang w:val="es-VE"/>
        </w:rPr>
        <w:t>las</w:t>
      </w:r>
      <w:r w:rsidR="00D10F2C">
        <w:rPr>
          <w:rFonts w:asciiTheme="majorHAnsi" w:hAnsiTheme="majorHAnsi"/>
          <w:sz w:val="20"/>
          <w:szCs w:val="20"/>
          <w:lang w:val="es-VE"/>
        </w:rPr>
        <w:t xml:space="preserve"> circunstancias </w:t>
      </w:r>
      <w:r w:rsidR="00710E70">
        <w:rPr>
          <w:rFonts w:asciiTheme="majorHAnsi" w:hAnsiTheme="majorHAnsi"/>
          <w:sz w:val="20"/>
          <w:szCs w:val="20"/>
          <w:lang w:val="es-VE"/>
        </w:rPr>
        <w:t>atenuantes</w:t>
      </w:r>
      <w:r w:rsidR="00BF2659">
        <w:rPr>
          <w:rFonts w:asciiTheme="majorHAnsi" w:hAnsiTheme="majorHAnsi"/>
          <w:sz w:val="20"/>
          <w:szCs w:val="20"/>
          <w:lang w:val="es-VE"/>
        </w:rPr>
        <w:t xml:space="preserve">. Reclama además que se le ha negado el derecho a ejercer su propia defensa en contravención </w:t>
      </w:r>
      <w:r w:rsidR="00710E70">
        <w:rPr>
          <w:rFonts w:asciiTheme="majorHAnsi" w:hAnsiTheme="majorHAnsi"/>
          <w:sz w:val="20"/>
          <w:szCs w:val="20"/>
          <w:lang w:val="es-VE"/>
        </w:rPr>
        <w:t>de</w:t>
      </w:r>
      <w:r w:rsidR="00BF2659">
        <w:rPr>
          <w:rFonts w:asciiTheme="majorHAnsi" w:hAnsiTheme="majorHAnsi"/>
          <w:sz w:val="20"/>
          <w:szCs w:val="20"/>
          <w:lang w:val="es-VE"/>
        </w:rPr>
        <w:t>l artículo 8.2(d) y (e) de la Convención Americana</w:t>
      </w:r>
      <w:r w:rsidR="00EF5C06">
        <w:rPr>
          <w:rFonts w:asciiTheme="majorHAnsi" w:hAnsiTheme="majorHAnsi"/>
          <w:sz w:val="20"/>
          <w:szCs w:val="20"/>
          <w:lang w:val="es-VE"/>
        </w:rPr>
        <w:t xml:space="preserve">, imponiéndole una defensa de oficio </w:t>
      </w:r>
      <w:r w:rsidR="00AF18C8">
        <w:rPr>
          <w:rFonts w:asciiTheme="majorHAnsi" w:hAnsiTheme="majorHAnsi"/>
          <w:sz w:val="20"/>
          <w:szCs w:val="20"/>
          <w:lang w:val="es-VE"/>
        </w:rPr>
        <w:t xml:space="preserve">que no es conforme a su voluntad. </w:t>
      </w:r>
      <w:r w:rsidR="00AA5D41">
        <w:rPr>
          <w:rFonts w:asciiTheme="majorHAnsi" w:hAnsiTheme="majorHAnsi"/>
          <w:sz w:val="20"/>
          <w:szCs w:val="20"/>
          <w:lang w:val="es-VE"/>
        </w:rPr>
        <w:t xml:space="preserve">Señala que demandó sin éxito la nulidad del proceso penal </w:t>
      </w:r>
      <w:r w:rsidR="00710E70">
        <w:rPr>
          <w:rFonts w:asciiTheme="majorHAnsi" w:hAnsiTheme="majorHAnsi"/>
          <w:sz w:val="20"/>
          <w:szCs w:val="20"/>
          <w:lang w:val="es-VE"/>
        </w:rPr>
        <w:t xml:space="preserve">por estas irregularidades, </w:t>
      </w:r>
      <w:r w:rsidR="00AA5D41">
        <w:rPr>
          <w:rFonts w:asciiTheme="majorHAnsi" w:hAnsiTheme="majorHAnsi"/>
          <w:sz w:val="20"/>
          <w:szCs w:val="20"/>
          <w:lang w:val="es-VE"/>
        </w:rPr>
        <w:t xml:space="preserve">y que también </w:t>
      </w:r>
      <w:r w:rsidR="002902E3">
        <w:rPr>
          <w:rFonts w:asciiTheme="majorHAnsi" w:hAnsiTheme="majorHAnsi"/>
          <w:sz w:val="20"/>
          <w:szCs w:val="20"/>
          <w:lang w:val="es-VE"/>
        </w:rPr>
        <w:t xml:space="preserve">presentó denuncias y solicitudes de recusación contra la jueza a cargo. Denuncia que la </w:t>
      </w:r>
      <w:r w:rsidR="00710E70">
        <w:rPr>
          <w:rFonts w:asciiTheme="majorHAnsi" w:hAnsiTheme="majorHAnsi"/>
          <w:sz w:val="20"/>
          <w:szCs w:val="20"/>
          <w:lang w:val="es-VE"/>
        </w:rPr>
        <w:t>magistrada</w:t>
      </w:r>
      <w:r w:rsidR="002902E3">
        <w:rPr>
          <w:rFonts w:asciiTheme="majorHAnsi" w:hAnsiTheme="majorHAnsi"/>
          <w:sz w:val="20"/>
          <w:szCs w:val="20"/>
          <w:lang w:val="es-VE"/>
        </w:rPr>
        <w:t xml:space="preserve"> </w:t>
      </w:r>
      <w:r w:rsidR="00710E70">
        <w:rPr>
          <w:rFonts w:asciiTheme="majorHAnsi" w:hAnsiTheme="majorHAnsi"/>
          <w:sz w:val="20"/>
          <w:szCs w:val="20"/>
          <w:lang w:val="es-VE"/>
        </w:rPr>
        <w:t xml:space="preserve">continuó dirigiendo </w:t>
      </w:r>
      <w:r w:rsidR="002902E3">
        <w:rPr>
          <w:rFonts w:asciiTheme="majorHAnsi" w:hAnsiTheme="majorHAnsi"/>
          <w:sz w:val="20"/>
          <w:szCs w:val="20"/>
          <w:lang w:val="es-VE"/>
        </w:rPr>
        <w:t>el proceso</w:t>
      </w:r>
      <w:r w:rsidR="007A73B1">
        <w:rPr>
          <w:rFonts w:asciiTheme="majorHAnsi" w:hAnsiTheme="majorHAnsi"/>
          <w:sz w:val="20"/>
          <w:szCs w:val="20"/>
          <w:lang w:val="es-VE"/>
        </w:rPr>
        <w:t>,</w:t>
      </w:r>
      <w:r w:rsidR="002902E3">
        <w:rPr>
          <w:rFonts w:asciiTheme="majorHAnsi" w:hAnsiTheme="majorHAnsi"/>
          <w:sz w:val="20"/>
          <w:szCs w:val="20"/>
          <w:lang w:val="es-VE"/>
        </w:rPr>
        <w:t xml:space="preserve"> pes</w:t>
      </w:r>
      <w:r w:rsidR="001C012A">
        <w:rPr>
          <w:rFonts w:asciiTheme="majorHAnsi" w:hAnsiTheme="majorHAnsi"/>
          <w:sz w:val="20"/>
          <w:szCs w:val="20"/>
          <w:lang w:val="es-VE"/>
        </w:rPr>
        <w:t xml:space="preserve">e al conflicto entre </w:t>
      </w:r>
      <w:r w:rsidR="002902E3">
        <w:rPr>
          <w:rFonts w:asciiTheme="majorHAnsi" w:hAnsiTheme="majorHAnsi"/>
          <w:sz w:val="20"/>
          <w:szCs w:val="20"/>
          <w:lang w:val="es-VE"/>
        </w:rPr>
        <w:t>ell</w:t>
      </w:r>
      <w:r w:rsidR="00710E70">
        <w:rPr>
          <w:rFonts w:asciiTheme="majorHAnsi" w:hAnsiTheme="majorHAnsi"/>
          <w:sz w:val="20"/>
          <w:szCs w:val="20"/>
          <w:lang w:val="es-VE"/>
        </w:rPr>
        <w:t>os</w:t>
      </w:r>
      <w:r w:rsidR="002902E3">
        <w:rPr>
          <w:rFonts w:asciiTheme="majorHAnsi" w:hAnsiTheme="majorHAnsi"/>
          <w:sz w:val="20"/>
          <w:szCs w:val="20"/>
          <w:lang w:val="es-VE"/>
        </w:rPr>
        <w:t xml:space="preserve"> a raíz de las denuncias que </w:t>
      </w:r>
      <w:r w:rsidR="00710E70">
        <w:rPr>
          <w:rFonts w:asciiTheme="majorHAnsi" w:hAnsiTheme="majorHAnsi"/>
          <w:sz w:val="20"/>
          <w:szCs w:val="20"/>
          <w:lang w:val="es-VE"/>
        </w:rPr>
        <w:t xml:space="preserve">el peticionario </w:t>
      </w:r>
      <w:r w:rsidR="002902E3">
        <w:rPr>
          <w:rFonts w:asciiTheme="majorHAnsi" w:hAnsiTheme="majorHAnsi"/>
          <w:sz w:val="20"/>
          <w:szCs w:val="20"/>
          <w:lang w:val="es-VE"/>
        </w:rPr>
        <w:t>presentó en su contra. También indica que presentó una excepción de inconstitucionalidad contra la denegatoria de su solicitud para ejercer su autodefensa</w:t>
      </w:r>
      <w:r w:rsidR="00710E70">
        <w:rPr>
          <w:rFonts w:asciiTheme="majorHAnsi" w:hAnsiTheme="majorHAnsi"/>
          <w:sz w:val="20"/>
          <w:szCs w:val="20"/>
          <w:lang w:val="es-VE"/>
        </w:rPr>
        <w:t>,</w:t>
      </w:r>
      <w:r w:rsidR="002902E3">
        <w:rPr>
          <w:rFonts w:asciiTheme="majorHAnsi" w:hAnsiTheme="majorHAnsi"/>
          <w:sz w:val="20"/>
          <w:szCs w:val="20"/>
          <w:lang w:val="es-VE"/>
        </w:rPr>
        <w:t xml:space="preserve"> que fue resuelta en sentido contrario a sus pretensiones</w:t>
      </w:r>
      <w:r w:rsidR="001C012A">
        <w:rPr>
          <w:rFonts w:asciiTheme="majorHAnsi" w:hAnsiTheme="majorHAnsi"/>
          <w:sz w:val="20"/>
          <w:szCs w:val="20"/>
          <w:lang w:val="es-VE"/>
        </w:rPr>
        <w:t xml:space="preserve"> el 9 de noviembre de 2017</w:t>
      </w:r>
      <w:r w:rsidR="002902E3">
        <w:rPr>
          <w:rFonts w:asciiTheme="majorHAnsi" w:hAnsiTheme="majorHAnsi"/>
          <w:sz w:val="20"/>
          <w:szCs w:val="20"/>
          <w:lang w:val="es-VE"/>
        </w:rPr>
        <w:t xml:space="preserve"> por la Suprema Corte de Justicia</w:t>
      </w:r>
      <w:r w:rsidR="00710E70">
        <w:rPr>
          <w:rFonts w:asciiTheme="majorHAnsi" w:hAnsiTheme="majorHAnsi"/>
          <w:sz w:val="20"/>
          <w:szCs w:val="20"/>
          <w:lang w:val="es-VE"/>
        </w:rPr>
        <w:t>.</w:t>
      </w:r>
      <w:r w:rsidR="002902E3">
        <w:rPr>
          <w:rFonts w:asciiTheme="majorHAnsi" w:hAnsiTheme="majorHAnsi"/>
          <w:sz w:val="20"/>
          <w:szCs w:val="20"/>
          <w:lang w:val="es-VE"/>
        </w:rPr>
        <w:t xml:space="preserve"> </w:t>
      </w:r>
      <w:r w:rsidR="00710E70">
        <w:rPr>
          <w:rFonts w:asciiTheme="majorHAnsi" w:hAnsiTheme="majorHAnsi"/>
          <w:sz w:val="20"/>
          <w:szCs w:val="20"/>
          <w:lang w:val="es-VE"/>
        </w:rPr>
        <w:t xml:space="preserve">El máximo tribunal </w:t>
      </w:r>
      <w:r w:rsidR="000C3683">
        <w:rPr>
          <w:rFonts w:asciiTheme="majorHAnsi" w:hAnsiTheme="majorHAnsi"/>
          <w:sz w:val="20"/>
          <w:szCs w:val="20"/>
          <w:lang w:val="es-VE"/>
        </w:rPr>
        <w:t xml:space="preserve">consideró que la ley que </w:t>
      </w:r>
      <w:r w:rsidR="001C012A">
        <w:rPr>
          <w:rFonts w:asciiTheme="majorHAnsi" w:hAnsiTheme="majorHAnsi"/>
          <w:sz w:val="20"/>
          <w:szCs w:val="20"/>
          <w:lang w:val="es-VE"/>
        </w:rPr>
        <w:t>prohibía que una persona imputada en</w:t>
      </w:r>
      <w:r w:rsidR="004D3B04">
        <w:rPr>
          <w:rFonts w:asciiTheme="majorHAnsi" w:hAnsiTheme="majorHAnsi"/>
          <w:sz w:val="20"/>
          <w:szCs w:val="20"/>
          <w:lang w:val="es-VE"/>
        </w:rPr>
        <w:t xml:space="preserve"> un</w:t>
      </w:r>
      <w:r w:rsidR="001C012A">
        <w:rPr>
          <w:rFonts w:asciiTheme="majorHAnsi" w:hAnsiTheme="majorHAnsi"/>
          <w:sz w:val="20"/>
          <w:szCs w:val="20"/>
          <w:lang w:val="es-VE"/>
        </w:rPr>
        <w:t xml:space="preserve"> proceso penal ej</w:t>
      </w:r>
      <w:r w:rsidR="007A73B1">
        <w:rPr>
          <w:rFonts w:asciiTheme="majorHAnsi" w:hAnsiTheme="majorHAnsi"/>
          <w:sz w:val="20"/>
          <w:szCs w:val="20"/>
          <w:lang w:val="es-VE"/>
        </w:rPr>
        <w:t>erciera su propia defensa perseguía el fin legítimo de</w:t>
      </w:r>
      <w:r w:rsidR="001C012A">
        <w:rPr>
          <w:rFonts w:asciiTheme="majorHAnsi" w:hAnsiTheme="majorHAnsi"/>
          <w:sz w:val="20"/>
          <w:szCs w:val="20"/>
          <w:lang w:val="es-VE"/>
        </w:rPr>
        <w:t xml:space="preserve"> proteger el interés de ésta</w:t>
      </w:r>
      <w:r w:rsidR="004D3B04">
        <w:rPr>
          <w:rFonts w:asciiTheme="majorHAnsi" w:hAnsiTheme="majorHAnsi"/>
          <w:sz w:val="20"/>
          <w:szCs w:val="20"/>
          <w:lang w:val="es-VE"/>
        </w:rPr>
        <w:t>,</w:t>
      </w:r>
      <w:r w:rsidR="001C012A">
        <w:rPr>
          <w:rFonts w:asciiTheme="majorHAnsi" w:hAnsiTheme="majorHAnsi"/>
          <w:sz w:val="20"/>
          <w:szCs w:val="20"/>
          <w:lang w:val="es-VE"/>
        </w:rPr>
        <w:t xml:space="preserve"> al garantizarle </w:t>
      </w:r>
      <w:r w:rsidR="004D3B04">
        <w:rPr>
          <w:rFonts w:asciiTheme="majorHAnsi" w:hAnsiTheme="majorHAnsi"/>
          <w:sz w:val="20"/>
          <w:szCs w:val="20"/>
          <w:lang w:val="es-VE"/>
        </w:rPr>
        <w:t xml:space="preserve">la asesoría </w:t>
      </w:r>
      <w:r w:rsidR="001C012A">
        <w:rPr>
          <w:rFonts w:asciiTheme="majorHAnsi" w:hAnsiTheme="majorHAnsi"/>
          <w:sz w:val="20"/>
          <w:szCs w:val="20"/>
          <w:lang w:val="es-VE"/>
        </w:rPr>
        <w:t>de una persona que no tuviera vinculación con los hechos ventilados.</w:t>
      </w:r>
      <w:r w:rsidR="00825A2F">
        <w:rPr>
          <w:rFonts w:asciiTheme="majorHAnsi" w:hAnsiTheme="majorHAnsi"/>
          <w:sz w:val="20"/>
          <w:szCs w:val="20"/>
          <w:lang w:val="es-VE"/>
        </w:rPr>
        <w:t xml:space="preserve"> </w:t>
      </w:r>
      <w:r w:rsidR="00882F28">
        <w:rPr>
          <w:rFonts w:asciiTheme="majorHAnsi" w:hAnsiTheme="majorHAnsi"/>
          <w:sz w:val="20"/>
          <w:szCs w:val="20"/>
          <w:lang w:val="es-VE"/>
        </w:rPr>
        <w:t xml:space="preserve">Resalta que la prolongada duración del proceso penal en su contra </w:t>
      </w:r>
      <w:r w:rsidR="00DF69A8">
        <w:rPr>
          <w:rFonts w:asciiTheme="majorHAnsi" w:hAnsiTheme="majorHAnsi"/>
          <w:sz w:val="20"/>
          <w:szCs w:val="20"/>
          <w:lang w:val="es-VE"/>
        </w:rPr>
        <w:t>ha menoscabado sus derechos políticos</w:t>
      </w:r>
      <w:r w:rsidR="004D3B04">
        <w:rPr>
          <w:rFonts w:asciiTheme="majorHAnsi" w:hAnsiTheme="majorHAnsi"/>
          <w:sz w:val="20"/>
          <w:szCs w:val="20"/>
          <w:lang w:val="es-VE"/>
        </w:rPr>
        <w:t>,</w:t>
      </w:r>
      <w:r w:rsidR="00DF69A8">
        <w:rPr>
          <w:rFonts w:asciiTheme="majorHAnsi" w:hAnsiTheme="majorHAnsi"/>
          <w:sz w:val="20"/>
          <w:szCs w:val="20"/>
          <w:lang w:val="es-VE"/>
        </w:rPr>
        <w:t xml:space="preserve"> pues </w:t>
      </w:r>
      <w:r w:rsidR="00FE1774">
        <w:rPr>
          <w:rFonts w:asciiTheme="majorHAnsi" w:hAnsiTheme="majorHAnsi"/>
          <w:sz w:val="20"/>
          <w:szCs w:val="20"/>
          <w:lang w:val="es-VE"/>
        </w:rPr>
        <w:t>el artículo 80.2 de la Constitución</w:t>
      </w:r>
      <w:r w:rsidR="00DF69A8">
        <w:rPr>
          <w:rFonts w:asciiTheme="majorHAnsi" w:hAnsiTheme="majorHAnsi"/>
          <w:sz w:val="20"/>
          <w:szCs w:val="20"/>
          <w:lang w:val="es-VE"/>
        </w:rPr>
        <w:t xml:space="preserve"> uruguaya suspende el derecho al voto y a ser elegido por la</w:t>
      </w:r>
      <w:r w:rsidR="00FE1774">
        <w:rPr>
          <w:rFonts w:asciiTheme="majorHAnsi" w:hAnsiTheme="majorHAnsi"/>
          <w:sz w:val="20"/>
          <w:szCs w:val="20"/>
          <w:lang w:val="es-VE"/>
        </w:rPr>
        <w:t xml:space="preserve"> sola</w:t>
      </w:r>
      <w:r w:rsidR="00DF69A8">
        <w:rPr>
          <w:rFonts w:asciiTheme="majorHAnsi" w:hAnsiTheme="majorHAnsi"/>
          <w:sz w:val="20"/>
          <w:szCs w:val="20"/>
          <w:lang w:val="es-VE"/>
        </w:rPr>
        <w:t xml:space="preserve"> condición de ser “legalmente procesado” en </w:t>
      </w:r>
      <w:r w:rsidR="004D3B04">
        <w:rPr>
          <w:rFonts w:asciiTheme="majorHAnsi" w:hAnsiTheme="majorHAnsi"/>
          <w:sz w:val="20"/>
          <w:szCs w:val="20"/>
          <w:lang w:val="es-VE"/>
        </w:rPr>
        <w:t xml:space="preserve">una </w:t>
      </w:r>
      <w:r w:rsidR="00DF69A8">
        <w:rPr>
          <w:rFonts w:asciiTheme="majorHAnsi" w:hAnsiTheme="majorHAnsi"/>
          <w:sz w:val="20"/>
          <w:szCs w:val="20"/>
          <w:lang w:val="es-VE"/>
        </w:rPr>
        <w:t>causa criminal, lo que considera contra</w:t>
      </w:r>
      <w:r w:rsidR="004D3B04">
        <w:rPr>
          <w:rFonts w:asciiTheme="majorHAnsi" w:hAnsiTheme="majorHAnsi"/>
          <w:sz w:val="20"/>
          <w:szCs w:val="20"/>
          <w:lang w:val="es-VE"/>
        </w:rPr>
        <w:t xml:space="preserve">rio al derecho de </w:t>
      </w:r>
      <w:r w:rsidR="00DF69A8">
        <w:rPr>
          <w:rFonts w:asciiTheme="majorHAnsi" w:hAnsiTheme="majorHAnsi"/>
          <w:sz w:val="20"/>
          <w:szCs w:val="20"/>
          <w:lang w:val="es-VE"/>
        </w:rPr>
        <w:t>presunción de inocencia.</w:t>
      </w:r>
    </w:p>
    <w:p w14:paraId="02EB2DEC" w14:textId="77777777" w:rsidR="00825A2F" w:rsidRPr="00A50825" w:rsidRDefault="00825A2F" w:rsidP="00A50825">
      <w:pPr>
        <w:jc w:val="both"/>
        <w:rPr>
          <w:rFonts w:asciiTheme="majorHAnsi" w:hAnsiTheme="majorHAnsi"/>
          <w:sz w:val="20"/>
          <w:szCs w:val="20"/>
          <w:lang w:val="es-VE"/>
        </w:rPr>
      </w:pPr>
    </w:p>
    <w:p w14:paraId="098F4608" w14:textId="706F025E" w:rsidR="004A199E" w:rsidRDefault="00A50825"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El peticionario </w:t>
      </w:r>
      <w:r w:rsidR="00DF69A8">
        <w:rPr>
          <w:rFonts w:asciiTheme="majorHAnsi" w:hAnsiTheme="majorHAnsi"/>
          <w:sz w:val="20"/>
          <w:szCs w:val="20"/>
          <w:lang w:val="es-VE"/>
        </w:rPr>
        <w:t>relata</w:t>
      </w:r>
      <w:r w:rsidR="00A637C2">
        <w:rPr>
          <w:rFonts w:asciiTheme="majorHAnsi" w:hAnsiTheme="majorHAnsi"/>
          <w:sz w:val="20"/>
          <w:szCs w:val="20"/>
          <w:lang w:val="es-VE"/>
        </w:rPr>
        <w:t xml:space="preserve"> que </w:t>
      </w:r>
      <w:r w:rsidR="00E232DC">
        <w:rPr>
          <w:rFonts w:asciiTheme="majorHAnsi" w:hAnsiTheme="majorHAnsi"/>
          <w:sz w:val="20"/>
          <w:szCs w:val="20"/>
          <w:lang w:val="es-VE"/>
        </w:rPr>
        <w:t xml:space="preserve">el 6 de octubre de 2006 fue trasladado </w:t>
      </w:r>
      <w:r>
        <w:rPr>
          <w:rFonts w:asciiTheme="majorHAnsi" w:hAnsiTheme="majorHAnsi"/>
          <w:sz w:val="20"/>
          <w:szCs w:val="20"/>
          <w:lang w:val="es-VE"/>
        </w:rPr>
        <w:t xml:space="preserve">a un centro penal de máxima seguridad, </w:t>
      </w:r>
      <w:r w:rsidR="00E232DC">
        <w:rPr>
          <w:rFonts w:asciiTheme="majorHAnsi" w:hAnsiTheme="majorHAnsi"/>
          <w:sz w:val="20"/>
          <w:szCs w:val="20"/>
          <w:lang w:val="es-VE"/>
        </w:rPr>
        <w:t>sin aviso previo y sin una sanción que lo ameritara. Alega que este traslado le causó graves perjuicios</w:t>
      </w:r>
      <w:r>
        <w:rPr>
          <w:rFonts w:asciiTheme="majorHAnsi" w:hAnsiTheme="majorHAnsi"/>
          <w:sz w:val="20"/>
          <w:szCs w:val="20"/>
          <w:lang w:val="es-VE"/>
        </w:rPr>
        <w:t>,</w:t>
      </w:r>
      <w:r w:rsidR="00E232DC">
        <w:rPr>
          <w:rFonts w:asciiTheme="majorHAnsi" w:hAnsiTheme="majorHAnsi"/>
          <w:sz w:val="20"/>
          <w:szCs w:val="20"/>
          <w:lang w:val="es-VE"/>
        </w:rPr>
        <w:t xml:space="preserve"> pues le impidió </w:t>
      </w:r>
      <w:r>
        <w:rPr>
          <w:rFonts w:asciiTheme="majorHAnsi" w:hAnsiTheme="majorHAnsi"/>
          <w:sz w:val="20"/>
          <w:szCs w:val="20"/>
          <w:lang w:val="es-VE"/>
        </w:rPr>
        <w:t xml:space="preserve">el </w:t>
      </w:r>
      <w:r w:rsidR="00E232DC">
        <w:rPr>
          <w:rFonts w:asciiTheme="majorHAnsi" w:hAnsiTheme="majorHAnsi"/>
          <w:sz w:val="20"/>
          <w:szCs w:val="20"/>
          <w:lang w:val="es-VE"/>
        </w:rPr>
        <w:t xml:space="preserve">acceso a </w:t>
      </w:r>
      <w:r>
        <w:rPr>
          <w:rFonts w:asciiTheme="majorHAnsi" w:hAnsiTheme="majorHAnsi"/>
          <w:sz w:val="20"/>
          <w:szCs w:val="20"/>
          <w:lang w:val="es-VE"/>
        </w:rPr>
        <w:t xml:space="preserve">la </w:t>
      </w:r>
      <w:r w:rsidR="00E232DC">
        <w:rPr>
          <w:rFonts w:asciiTheme="majorHAnsi" w:hAnsiTheme="majorHAnsi"/>
          <w:sz w:val="20"/>
          <w:szCs w:val="20"/>
          <w:lang w:val="es-VE"/>
        </w:rPr>
        <w:t>atención odontológica que necesitaba</w:t>
      </w:r>
      <w:r>
        <w:rPr>
          <w:rFonts w:asciiTheme="majorHAnsi" w:hAnsiTheme="majorHAnsi"/>
          <w:sz w:val="20"/>
          <w:szCs w:val="20"/>
          <w:lang w:val="es-VE"/>
        </w:rPr>
        <w:t>;</w:t>
      </w:r>
      <w:r w:rsidR="00C24909">
        <w:rPr>
          <w:rFonts w:asciiTheme="majorHAnsi" w:hAnsiTheme="majorHAnsi"/>
          <w:sz w:val="20"/>
          <w:szCs w:val="20"/>
          <w:lang w:val="es-VE"/>
        </w:rPr>
        <w:t xml:space="preserve"> a oportunidades de estudio </w:t>
      </w:r>
      <w:r w:rsidR="007678E0">
        <w:rPr>
          <w:rFonts w:asciiTheme="majorHAnsi" w:hAnsiTheme="majorHAnsi"/>
          <w:sz w:val="20"/>
          <w:szCs w:val="20"/>
          <w:lang w:val="es-VE"/>
        </w:rPr>
        <w:t xml:space="preserve">y trabajo </w:t>
      </w:r>
      <w:r w:rsidR="00C24909">
        <w:rPr>
          <w:rFonts w:asciiTheme="majorHAnsi" w:hAnsiTheme="majorHAnsi"/>
          <w:sz w:val="20"/>
          <w:szCs w:val="20"/>
          <w:lang w:val="es-VE"/>
        </w:rPr>
        <w:t>a las que se había hecho acreedor</w:t>
      </w:r>
      <w:r w:rsidR="007678E0">
        <w:rPr>
          <w:rFonts w:asciiTheme="majorHAnsi" w:hAnsiTheme="majorHAnsi"/>
          <w:sz w:val="20"/>
          <w:szCs w:val="20"/>
          <w:lang w:val="es-VE"/>
        </w:rPr>
        <w:t xml:space="preserve"> y que le hubieran servido para reducir su pena</w:t>
      </w:r>
      <w:r>
        <w:rPr>
          <w:rFonts w:asciiTheme="majorHAnsi" w:hAnsiTheme="majorHAnsi"/>
          <w:sz w:val="20"/>
          <w:szCs w:val="20"/>
          <w:lang w:val="es-VE"/>
        </w:rPr>
        <w:t>;</w:t>
      </w:r>
      <w:r w:rsidR="001035DC">
        <w:rPr>
          <w:rFonts w:asciiTheme="majorHAnsi" w:hAnsiTheme="majorHAnsi"/>
          <w:sz w:val="20"/>
          <w:szCs w:val="20"/>
          <w:lang w:val="es-VE"/>
        </w:rPr>
        <w:t xml:space="preserve"> a oportunidades de contacto con su familia</w:t>
      </w:r>
      <w:r>
        <w:rPr>
          <w:rFonts w:asciiTheme="majorHAnsi" w:hAnsiTheme="majorHAnsi"/>
          <w:sz w:val="20"/>
          <w:szCs w:val="20"/>
          <w:lang w:val="es-VE"/>
        </w:rPr>
        <w:t>;</w:t>
      </w:r>
      <w:r w:rsidR="00C24909">
        <w:rPr>
          <w:rFonts w:asciiTheme="majorHAnsi" w:hAnsiTheme="majorHAnsi"/>
          <w:sz w:val="20"/>
          <w:szCs w:val="20"/>
          <w:lang w:val="es-VE"/>
        </w:rPr>
        <w:t xml:space="preserve"> y </w:t>
      </w:r>
      <w:r w:rsidR="00BC366C">
        <w:rPr>
          <w:rFonts w:asciiTheme="majorHAnsi" w:hAnsiTheme="majorHAnsi"/>
          <w:sz w:val="20"/>
          <w:szCs w:val="20"/>
          <w:lang w:val="es-VE"/>
        </w:rPr>
        <w:t xml:space="preserve">a </w:t>
      </w:r>
      <w:r w:rsidR="007678E0">
        <w:rPr>
          <w:rFonts w:asciiTheme="majorHAnsi" w:hAnsiTheme="majorHAnsi"/>
          <w:sz w:val="20"/>
          <w:szCs w:val="20"/>
          <w:lang w:val="es-VE"/>
        </w:rPr>
        <w:t xml:space="preserve">la participación </w:t>
      </w:r>
      <w:r w:rsidR="007A73B1">
        <w:rPr>
          <w:rFonts w:asciiTheme="majorHAnsi" w:hAnsiTheme="majorHAnsi"/>
          <w:sz w:val="20"/>
          <w:szCs w:val="20"/>
          <w:lang w:val="es-VE"/>
        </w:rPr>
        <w:t>en</w:t>
      </w:r>
      <w:r w:rsidR="00C24909">
        <w:rPr>
          <w:rFonts w:asciiTheme="majorHAnsi" w:hAnsiTheme="majorHAnsi"/>
          <w:sz w:val="20"/>
          <w:szCs w:val="20"/>
          <w:lang w:val="es-VE"/>
        </w:rPr>
        <w:t xml:space="preserve"> las audiencias del proceso por daños y perjuicios interpuesto por los familiares de </w:t>
      </w:r>
      <w:r>
        <w:rPr>
          <w:rFonts w:asciiTheme="majorHAnsi" w:hAnsiTheme="majorHAnsi"/>
          <w:sz w:val="20"/>
          <w:szCs w:val="20"/>
          <w:lang w:val="es-VE"/>
        </w:rPr>
        <w:t>su ex pareja</w:t>
      </w:r>
      <w:r w:rsidR="007678E0">
        <w:rPr>
          <w:rFonts w:asciiTheme="majorHAnsi" w:hAnsiTheme="majorHAnsi"/>
          <w:sz w:val="20"/>
          <w:szCs w:val="20"/>
          <w:lang w:val="es-VE"/>
        </w:rPr>
        <w:t>.</w:t>
      </w:r>
      <w:r w:rsidR="001035DC">
        <w:rPr>
          <w:rFonts w:asciiTheme="majorHAnsi" w:hAnsiTheme="majorHAnsi"/>
          <w:sz w:val="20"/>
          <w:szCs w:val="20"/>
          <w:lang w:val="es-VE"/>
        </w:rPr>
        <w:t xml:space="preserve"> </w:t>
      </w:r>
      <w:r w:rsidR="007678E0">
        <w:rPr>
          <w:rFonts w:asciiTheme="majorHAnsi" w:hAnsiTheme="majorHAnsi"/>
          <w:sz w:val="20"/>
          <w:szCs w:val="20"/>
          <w:lang w:val="es-VE"/>
        </w:rPr>
        <w:t xml:space="preserve">Alega que posteriormente las autoridades intentaron justificar el traslado </w:t>
      </w:r>
      <w:r>
        <w:rPr>
          <w:rFonts w:asciiTheme="majorHAnsi" w:hAnsiTheme="majorHAnsi"/>
          <w:sz w:val="20"/>
          <w:szCs w:val="20"/>
          <w:lang w:val="es-VE"/>
        </w:rPr>
        <w:t xml:space="preserve">en supuestas </w:t>
      </w:r>
      <w:r w:rsidR="007678E0">
        <w:rPr>
          <w:rFonts w:asciiTheme="majorHAnsi" w:hAnsiTheme="majorHAnsi"/>
          <w:sz w:val="20"/>
          <w:szCs w:val="20"/>
          <w:lang w:val="es-VE"/>
        </w:rPr>
        <w:t xml:space="preserve">razones de seguridad y </w:t>
      </w:r>
      <w:r>
        <w:rPr>
          <w:rFonts w:asciiTheme="majorHAnsi" w:hAnsiTheme="majorHAnsi"/>
          <w:sz w:val="20"/>
          <w:szCs w:val="20"/>
          <w:lang w:val="es-VE"/>
        </w:rPr>
        <w:t xml:space="preserve">con </w:t>
      </w:r>
      <w:r w:rsidR="007678E0">
        <w:rPr>
          <w:rFonts w:asciiTheme="majorHAnsi" w:hAnsiTheme="majorHAnsi"/>
          <w:sz w:val="20"/>
          <w:szCs w:val="20"/>
          <w:lang w:val="es-VE"/>
        </w:rPr>
        <w:t>referencia al hecho de que había brindado consejos legales a otros reclusos.</w:t>
      </w:r>
      <w:r w:rsidR="001035DC">
        <w:rPr>
          <w:rFonts w:asciiTheme="majorHAnsi" w:hAnsiTheme="majorHAnsi"/>
          <w:sz w:val="20"/>
          <w:szCs w:val="20"/>
          <w:lang w:val="es-VE"/>
        </w:rPr>
        <w:t xml:space="preserve"> Sostiene que el traslado</w:t>
      </w:r>
      <w:r>
        <w:rPr>
          <w:rFonts w:asciiTheme="majorHAnsi" w:hAnsiTheme="majorHAnsi"/>
          <w:sz w:val="20"/>
          <w:szCs w:val="20"/>
          <w:lang w:val="es-VE"/>
        </w:rPr>
        <w:t xml:space="preserve"> fue una</w:t>
      </w:r>
      <w:r w:rsidR="001035DC">
        <w:rPr>
          <w:rFonts w:asciiTheme="majorHAnsi" w:hAnsiTheme="majorHAnsi"/>
          <w:sz w:val="20"/>
          <w:szCs w:val="20"/>
          <w:lang w:val="es-VE"/>
        </w:rPr>
        <w:t xml:space="preserve"> maniobra para desestimular su presencia en el proceso por daños y perjuicios</w:t>
      </w:r>
      <w:r>
        <w:rPr>
          <w:rFonts w:asciiTheme="majorHAnsi" w:hAnsiTheme="majorHAnsi"/>
          <w:sz w:val="20"/>
          <w:szCs w:val="20"/>
          <w:lang w:val="es-VE"/>
        </w:rPr>
        <w:t xml:space="preserve">, por lo que </w:t>
      </w:r>
      <w:r w:rsidR="00BC366C">
        <w:rPr>
          <w:rFonts w:asciiTheme="majorHAnsi" w:hAnsiTheme="majorHAnsi"/>
          <w:sz w:val="20"/>
          <w:szCs w:val="20"/>
          <w:lang w:val="es-VE"/>
        </w:rPr>
        <w:t xml:space="preserve">interpuso diversos recursos administrativos y </w:t>
      </w:r>
      <w:r>
        <w:rPr>
          <w:rFonts w:asciiTheme="majorHAnsi" w:hAnsiTheme="majorHAnsi"/>
          <w:sz w:val="20"/>
          <w:szCs w:val="20"/>
          <w:lang w:val="es-VE"/>
        </w:rPr>
        <w:t xml:space="preserve">de </w:t>
      </w:r>
      <w:r w:rsidR="000C1018">
        <w:rPr>
          <w:rFonts w:asciiTheme="majorHAnsi" w:hAnsiTheme="majorHAnsi"/>
          <w:sz w:val="20"/>
          <w:szCs w:val="20"/>
          <w:lang w:val="es-VE"/>
        </w:rPr>
        <w:t>amparo</w:t>
      </w:r>
      <w:r w:rsidR="00BC366C">
        <w:rPr>
          <w:rFonts w:asciiTheme="majorHAnsi" w:hAnsiTheme="majorHAnsi"/>
          <w:sz w:val="20"/>
          <w:szCs w:val="20"/>
          <w:lang w:val="es-VE"/>
        </w:rPr>
        <w:t xml:space="preserve"> que no fueron exitosos.</w:t>
      </w:r>
      <w:r w:rsidR="000C1018">
        <w:rPr>
          <w:rFonts w:asciiTheme="majorHAnsi" w:hAnsiTheme="majorHAnsi"/>
          <w:sz w:val="20"/>
          <w:szCs w:val="20"/>
          <w:lang w:val="es-VE"/>
        </w:rPr>
        <w:t xml:space="preserve"> </w:t>
      </w:r>
      <w:r>
        <w:rPr>
          <w:rFonts w:asciiTheme="majorHAnsi" w:hAnsiTheme="majorHAnsi"/>
          <w:sz w:val="20"/>
          <w:szCs w:val="20"/>
          <w:lang w:val="es-VE"/>
        </w:rPr>
        <w:t>A</w:t>
      </w:r>
      <w:r w:rsidR="000C1018">
        <w:rPr>
          <w:rFonts w:asciiTheme="majorHAnsi" w:hAnsiTheme="majorHAnsi"/>
          <w:sz w:val="20"/>
          <w:szCs w:val="20"/>
          <w:lang w:val="es-VE"/>
        </w:rPr>
        <w:t>gotada</w:t>
      </w:r>
      <w:r w:rsidR="00BC366C">
        <w:rPr>
          <w:rFonts w:asciiTheme="majorHAnsi" w:hAnsiTheme="majorHAnsi"/>
          <w:sz w:val="20"/>
          <w:szCs w:val="20"/>
          <w:lang w:val="es-VE"/>
        </w:rPr>
        <w:t xml:space="preserve"> </w:t>
      </w:r>
      <w:r w:rsidR="000C1018">
        <w:rPr>
          <w:rFonts w:asciiTheme="majorHAnsi" w:hAnsiTheme="majorHAnsi"/>
          <w:sz w:val="20"/>
          <w:szCs w:val="20"/>
          <w:lang w:val="es-VE"/>
        </w:rPr>
        <w:t xml:space="preserve">la vía administrativa, </w:t>
      </w:r>
      <w:r>
        <w:rPr>
          <w:rFonts w:asciiTheme="majorHAnsi" w:hAnsiTheme="majorHAnsi"/>
          <w:sz w:val="20"/>
          <w:szCs w:val="20"/>
          <w:lang w:val="es-VE"/>
        </w:rPr>
        <w:t xml:space="preserve">en 2007 </w:t>
      </w:r>
      <w:r w:rsidR="000C1018">
        <w:rPr>
          <w:rFonts w:asciiTheme="majorHAnsi" w:hAnsiTheme="majorHAnsi"/>
          <w:sz w:val="20"/>
          <w:szCs w:val="20"/>
          <w:lang w:val="es-VE"/>
        </w:rPr>
        <w:t xml:space="preserve">planteó </w:t>
      </w:r>
      <w:r>
        <w:rPr>
          <w:rFonts w:asciiTheme="majorHAnsi" w:hAnsiTheme="majorHAnsi"/>
          <w:sz w:val="20"/>
          <w:szCs w:val="20"/>
          <w:lang w:val="es-VE"/>
        </w:rPr>
        <w:t xml:space="preserve">una </w:t>
      </w:r>
      <w:r w:rsidR="000C1018">
        <w:rPr>
          <w:rFonts w:asciiTheme="majorHAnsi" w:hAnsiTheme="majorHAnsi"/>
          <w:sz w:val="20"/>
          <w:szCs w:val="20"/>
          <w:lang w:val="es-VE"/>
        </w:rPr>
        <w:t>acción de nulidad ante el Tribunal Contencioso Administrativo</w:t>
      </w:r>
      <w:r>
        <w:rPr>
          <w:rFonts w:asciiTheme="majorHAnsi" w:hAnsiTheme="majorHAnsi"/>
          <w:sz w:val="20"/>
          <w:szCs w:val="20"/>
          <w:lang w:val="es-VE"/>
        </w:rPr>
        <w:t>;</w:t>
      </w:r>
      <w:r w:rsidR="007F2555">
        <w:rPr>
          <w:rFonts w:asciiTheme="majorHAnsi" w:hAnsiTheme="majorHAnsi"/>
          <w:sz w:val="20"/>
          <w:szCs w:val="20"/>
          <w:lang w:val="es-VE"/>
        </w:rPr>
        <w:t xml:space="preserve"> dicho tribunal decret</w:t>
      </w:r>
      <w:r>
        <w:rPr>
          <w:rFonts w:asciiTheme="majorHAnsi" w:hAnsiTheme="majorHAnsi"/>
          <w:sz w:val="20"/>
          <w:szCs w:val="20"/>
          <w:lang w:val="es-VE"/>
        </w:rPr>
        <w:t>ó</w:t>
      </w:r>
      <w:r w:rsidR="007F2555">
        <w:rPr>
          <w:rFonts w:asciiTheme="majorHAnsi" w:hAnsiTheme="majorHAnsi"/>
          <w:sz w:val="20"/>
          <w:szCs w:val="20"/>
          <w:lang w:val="es-VE"/>
        </w:rPr>
        <w:t xml:space="preserve"> la nulidad</w:t>
      </w:r>
      <w:r w:rsidR="00525ADC">
        <w:rPr>
          <w:rFonts w:asciiTheme="majorHAnsi" w:hAnsiTheme="majorHAnsi"/>
          <w:sz w:val="20"/>
          <w:szCs w:val="20"/>
          <w:lang w:val="es-VE"/>
        </w:rPr>
        <w:t xml:space="preserve"> del traslado</w:t>
      </w:r>
      <w:r w:rsidR="007F2555">
        <w:rPr>
          <w:rFonts w:asciiTheme="majorHAnsi" w:hAnsiTheme="majorHAnsi"/>
          <w:sz w:val="20"/>
          <w:szCs w:val="20"/>
          <w:lang w:val="es-VE"/>
        </w:rPr>
        <w:t xml:space="preserve"> el 4 de octubre de 2011</w:t>
      </w:r>
      <w:r w:rsidR="00525ADC">
        <w:rPr>
          <w:rFonts w:asciiTheme="majorHAnsi" w:hAnsiTheme="majorHAnsi"/>
          <w:sz w:val="20"/>
          <w:szCs w:val="20"/>
          <w:lang w:val="es-VE"/>
        </w:rPr>
        <w:t xml:space="preserve"> </w:t>
      </w:r>
      <w:r>
        <w:rPr>
          <w:rFonts w:asciiTheme="majorHAnsi" w:hAnsiTheme="majorHAnsi"/>
          <w:sz w:val="20"/>
          <w:szCs w:val="20"/>
          <w:lang w:val="es-VE"/>
        </w:rPr>
        <w:t xml:space="preserve">por </w:t>
      </w:r>
      <w:r w:rsidR="00525ADC">
        <w:rPr>
          <w:rFonts w:asciiTheme="majorHAnsi" w:hAnsiTheme="majorHAnsi"/>
          <w:sz w:val="20"/>
          <w:szCs w:val="20"/>
          <w:lang w:val="es-VE"/>
        </w:rPr>
        <w:t>considera</w:t>
      </w:r>
      <w:r>
        <w:rPr>
          <w:rFonts w:asciiTheme="majorHAnsi" w:hAnsiTheme="majorHAnsi"/>
          <w:sz w:val="20"/>
          <w:szCs w:val="20"/>
          <w:lang w:val="es-VE"/>
        </w:rPr>
        <w:t>r</w:t>
      </w:r>
      <w:r w:rsidR="00525ADC">
        <w:rPr>
          <w:rFonts w:asciiTheme="majorHAnsi" w:hAnsiTheme="majorHAnsi"/>
          <w:sz w:val="20"/>
          <w:szCs w:val="20"/>
          <w:lang w:val="es-VE"/>
        </w:rPr>
        <w:t xml:space="preserve"> que careció de motivación</w:t>
      </w:r>
      <w:r w:rsidR="00DF69A8">
        <w:rPr>
          <w:rFonts w:asciiTheme="majorHAnsi" w:hAnsiTheme="majorHAnsi"/>
          <w:sz w:val="20"/>
          <w:szCs w:val="20"/>
          <w:lang w:val="es-VE"/>
        </w:rPr>
        <w:t>.</w:t>
      </w:r>
    </w:p>
    <w:p w14:paraId="76D8C3C9" w14:textId="77777777" w:rsidR="00DF69A8" w:rsidRDefault="00DF69A8" w:rsidP="003A4150">
      <w:pPr>
        <w:pStyle w:val="ListParagraph"/>
        <w:ind w:left="0" w:firstLine="720"/>
        <w:jc w:val="both"/>
        <w:rPr>
          <w:rFonts w:asciiTheme="majorHAnsi" w:hAnsiTheme="majorHAnsi"/>
          <w:sz w:val="20"/>
          <w:szCs w:val="20"/>
          <w:lang w:val="es-VE"/>
        </w:rPr>
      </w:pPr>
    </w:p>
    <w:p w14:paraId="351A4667" w14:textId="5A383EC1" w:rsidR="00DF69A8" w:rsidRDefault="00D934D0"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Indica que ha denunciado </w:t>
      </w:r>
      <w:r w:rsidR="00A50825">
        <w:rPr>
          <w:rFonts w:asciiTheme="majorHAnsi" w:hAnsiTheme="majorHAnsi"/>
          <w:sz w:val="20"/>
          <w:szCs w:val="20"/>
          <w:lang w:val="es-VE"/>
        </w:rPr>
        <w:t xml:space="preserve">varios </w:t>
      </w:r>
      <w:r>
        <w:rPr>
          <w:rFonts w:asciiTheme="majorHAnsi" w:hAnsiTheme="majorHAnsi"/>
          <w:sz w:val="20"/>
          <w:szCs w:val="20"/>
          <w:lang w:val="es-VE"/>
        </w:rPr>
        <w:t>actos de corru</w:t>
      </w:r>
      <w:r w:rsidR="00DA1E2F">
        <w:rPr>
          <w:rFonts w:asciiTheme="majorHAnsi" w:hAnsiTheme="majorHAnsi"/>
          <w:sz w:val="20"/>
          <w:szCs w:val="20"/>
          <w:lang w:val="es-VE"/>
        </w:rPr>
        <w:t>pción y abusos de las autoridades penitenciarias ante autoridades judiciales y medios de comunicación</w:t>
      </w:r>
      <w:r w:rsidR="00A50825">
        <w:rPr>
          <w:rFonts w:asciiTheme="majorHAnsi" w:hAnsiTheme="majorHAnsi"/>
          <w:sz w:val="20"/>
          <w:szCs w:val="20"/>
          <w:lang w:val="es-VE"/>
        </w:rPr>
        <w:t>;</w:t>
      </w:r>
      <w:r w:rsidR="00DA1E2F">
        <w:rPr>
          <w:rFonts w:asciiTheme="majorHAnsi" w:hAnsiTheme="majorHAnsi"/>
          <w:sz w:val="20"/>
          <w:szCs w:val="20"/>
          <w:lang w:val="es-VE"/>
        </w:rPr>
        <w:t xml:space="preserve"> y alega que ha sido ilegalmente reprimido por </w:t>
      </w:r>
      <w:r w:rsidR="00A50825">
        <w:rPr>
          <w:rFonts w:asciiTheme="majorHAnsi" w:hAnsiTheme="majorHAnsi"/>
          <w:sz w:val="20"/>
          <w:szCs w:val="20"/>
          <w:lang w:val="es-VE"/>
        </w:rPr>
        <w:t>el</w:t>
      </w:r>
      <w:r w:rsidR="00DA1E2F">
        <w:rPr>
          <w:rFonts w:asciiTheme="majorHAnsi" w:hAnsiTheme="majorHAnsi"/>
          <w:sz w:val="20"/>
          <w:szCs w:val="20"/>
          <w:lang w:val="es-VE"/>
        </w:rPr>
        <w:t xml:space="preserve">lo.  </w:t>
      </w:r>
      <w:r w:rsidR="00A50825">
        <w:rPr>
          <w:rFonts w:asciiTheme="majorHAnsi" w:hAnsiTheme="majorHAnsi"/>
          <w:sz w:val="20"/>
          <w:szCs w:val="20"/>
          <w:lang w:val="es-VE"/>
        </w:rPr>
        <w:t>Sostiene</w:t>
      </w:r>
      <w:r w:rsidR="0091654D">
        <w:rPr>
          <w:rFonts w:asciiTheme="majorHAnsi" w:hAnsiTheme="majorHAnsi"/>
          <w:sz w:val="20"/>
          <w:szCs w:val="20"/>
          <w:lang w:val="es-VE"/>
        </w:rPr>
        <w:t xml:space="preserve"> </w:t>
      </w:r>
      <w:r w:rsidR="00A50825">
        <w:rPr>
          <w:rFonts w:asciiTheme="majorHAnsi" w:hAnsiTheme="majorHAnsi"/>
          <w:sz w:val="20"/>
          <w:szCs w:val="20"/>
          <w:lang w:val="es-VE"/>
        </w:rPr>
        <w:t xml:space="preserve">que por </w:t>
      </w:r>
      <w:r w:rsidR="0091654D">
        <w:rPr>
          <w:rFonts w:asciiTheme="majorHAnsi" w:hAnsiTheme="majorHAnsi"/>
          <w:sz w:val="20"/>
          <w:szCs w:val="20"/>
          <w:lang w:val="es-VE"/>
        </w:rPr>
        <w:t>haber formulado denuncias y protestas, fue sancionado ilegalmente con un mes de ingreso intramur</w:t>
      </w:r>
      <w:r w:rsidR="00026F52">
        <w:rPr>
          <w:rFonts w:asciiTheme="majorHAnsi" w:hAnsiTheme="majorHAnsi"/>
          <w:sz w:val="20"/>
          <w:szCs w:val="20"/>
          <w:lang w:val="es-VE"/>
        </w:rPr>
        <w:t>os</w:t>
      </w:r>
      <w:r w:rsidR="00A50825">
        <w:rPr>
          <w:rFonts w:asciiTheme="majorHAnsi" w:hAnsiTheme="majorHAnsi"/>
          <w:sz w:val="20"/>
          <w:szCs w:val="20"/>
          <w:lang w:val="es-VE"/>
        </w:rPr>
        <w:t xml:space="preserve">; que le </w:t>
      </w:r>
      <w:r w:rsidR="0091654D">
        <w:rPr>
          <w:rFonts w:asciiTheme="majorHAnsi" w:hAnsiTheme="majorHAnsi"/>
          <w:sz w:val="20"/>
          <w:szCs w:val="20"/>
          <w:lang w:val="es-VE"/>
        </w:rPr>
        <w:t>priva</w:t>
      </w:r>
      <w:r w:rsidR="00A50825">
        <w:rPr>
          <w:rFonts w:asciiTheme="majorHAnsi" w:hAnsiTheme="majorHAnsi"/>
          <w:sz w:val="20"/>
          <w:szCs w:val="20"/>
          <w:lang w:val="es-VE"/>
        </w:rPr>
        <w:t>ron</w:t>
      </w:r>
      <w:r w:rsidR="0091654D">
        <w:rPr>
          <w:rFonts w:asciiTheme="majorHAnsi" w:hAnsiTheme="majorHAnsi"/>
          <w:sz w:val="20"/>
          <w:szCs w:val="20"/>
          <w:lang w:val="es-VE"/>
        </w:rPr>
        <w:t xml:space="preserve"> de un módem cuyo uso tenía autorizado y que utilizaba para trabajar y comunicarse con su familia</w:t>
      </w:r>
      <w:r w:rsidR="00A50825">
        <w:rPr>
          <w:rFonts w:asciiTheme="majorHAnsi" w:hAnsiTheme="majorHAnsi"/>
          <w:sz w:val="20"/>
          <w:szCs w:val="20"/>
          <w:lang w:val="es-VE"/>
        </w:rPr>
        <w:t>;</w:t>
      </w:r>
      <w:r w:rsidR="00026F52">
        <w:rPr>
          <w:rFonts w:asciiTheme="majorHAnsi" w:hAnsiTheme="majorHAnsi"/>
          <w:sz w:val="20"/>
          <w:szCs w:val="20"/>
          <w:lang w:val="es-VE"/>
        </w:rPr>
        <w:t xml:space="preserve"> y </w:t>
      </w:r>
      <w:r w:rsidR="00A50825">
        <w:rPr>
          <w:rFonts w:asciiTheme="majorHAnsi" w:hAnsiTheme="majorHAnsi"/>
          <w:sz w:val="20"/>
          <w:szCs w:val="20"/>
          <w:lang w:val="es-VE"/>
        </w:rPr>
        <w:t xml:space="preserve">que le retiraron </w:t>
      </w:r>
      <w:r w:rsidR="00026F52">
        <w:rPr>
          <w:rFonts w:asciiTheme="majorHAnsi" w:hAnsiTheme="majorHAnsi"/>
          <w:sz w:val="20"/>
          <w:szCs w:val="20"/>
          <w:lang w:val="es-VE"/>
        </w:rPr>
        <w:t>su calidad de delegado de los internos</w:t>
      </w:r>
      <w:r w:rsidR="0091654D">
        <w:rPr>
          <w:rFonts w:asciiTheme="majorHAnsi" w:hAnsiTheme="majorHAnsi"/>
          <w:sz w:val="20"/>
          <w:szCs w:val="20"/>
          <w:lang w:val="es-VE"/>
        </w:rPr>
        <w:t xml:space="preserve">. También relata que en 2016 </w:t>
      </w:r>
      <w:r w:rsidR="00A97DD2">
        <w:rPr>
          <w:rFonts w:asciiTheme="majorHAnsi" w:hAnsiTheme="majorHAnsi"/>
          <w:sz w:val="20"/>
          <w:szCs w:val="20"/>
          <w:lang w:val="es-VE"/>
        </w:rPr>
        <w:t xml:space="preserve">comenzó a gozar de salidas transitorias y a ejercer un periodismo crítico del sistema judicial y carcelario a través de la </w:t>
      </w:r>
      <w:r w:rsidR="00A50825">
        <w:rPr>
          <w:rFonts w:asciiTheme="majorHAnsi" w:hAnsiTheme="majorHAnsi"/>
          <w:sz w:val="20"/>
          <w:szCs w:val="20"/>
          <w:lang w:val="es-VE"/>
        </w:rPr>
        <w:t>prensa</w:t>
      </w:r>
      <w:r w:rsidR="00A97DD2">
        <w:rPr>
          <w:rFonts w:asciiTheme="majorHAnsi" w:hAnsiTheme="majorHAnsi"/>
          <w:sz w:val="20"/>
          <w:szCs w:val="20"/>
          <w:lang w:val="es-VE"/>
        </w:rPr>
        <w:t xml:space="preserve">, </w:t>
      </w:r>
      <w:r w:rsidR="00D260FC">
        <w:rPr>
          <w:rFonts w:asciiTheme="majorHAnsi" w:hAnsiTheme="majorHAnsi"/>
          <w:sz w:val="20"/>
          <w:szCs w:val="20"/>
          <w:lang w:val="es-VE"/>
        </w:rPr>
        <w:t>además de ser</w:t>
      </w:r>
      <w:r w:rsidR="00A97DD2">
        <w:rPr>
          <w:rFonts w:asciiTheme="majorHAnsi" w:hAnsiTheme="majorHAnsi"/>
          <w:sz w:val="20"/>
          <w:szCs w:val="20"/>
          <w:lang w:val="es-VE"/>
        </w:rPr>
        <w:t xml:space="preserve"> entrevistado en programas de radio. A</w:t>
      </w:r>
      <w:r w:rsidR="005F56A5">
        <w:rPr>
          <w:rFonts w:asciiTheme="majorHAnsi" w:hAnsiTheme="majorHAnsi"/>
          <w:sz w:val="20"/>
          <w:szCs w:val="20"/>
          <w:lang w:val="es-VE"/>
        </w:rPr>
        <w:t>duce que en represalia</w:t>
      </w:r>
      <w:r w:rsidR="00D260FC">
        <w:rPr>
          <w:rFonts w:asciiTheme="majorHAnsi" w:hAnsiTheme="majorHAnsi"/>
          <w:sz w:val="20"/>
          <w:szCs w:val="20"/>
          <w:lang w:val="es-VE"/>
        </w:rPr>
        <w:t xml:space="preserve"> por</w:t>
      </w:r>
      <w:r w:rsidR="005F56A5">
        <w:rPr>
          <w:rFonts w:asciiTheme="majorHAnsi" w:hAnsiTheme="majorHAnsi"/>
          <w:sz w:val="20"/>
          <w:szCs w:val="20"/>
          <w:lang w:val="es-VE"/>
        </w:rPr>
        <w:t xml:space="preserve"> </w:t>
      </w:r>
      <w:r w:rsidR="00D260FC">
        <w:rPr>
          <w:rFonts w:asciiTheme="majorHAnsi" w:hAnsiTheme="majorHAnsi"/>
          <w:sz w:val="20"/>
          <w:szCs w:val="20"/>
          <w:lang w:val="es-VE"/>
        </w:rPr>
        <w:t>lo anterior</w:t>
      </w:r>
      <w:r w:rsidR="005F56A5">
        <w:rPr>
          <w:rFonts w:asciiTheme="majorHAnsi" w:hAnsiTheme="majorHAnsi"/>
          <w:sz w:val="20"/>
          <w:szCs w:val="20"/>
          <w:lang w:val="es-VE"/>
        </w:rPr>
        <w:t>, las autoridades carcelarias del Ministerio del Interior</w:t>
      </w:r>
      <w:r w:rsidR="00650AE7">
        <w:rPr>
          <w:rFonts w:asciiTheme="majorHAnsi" w:hAnsiTheme="majorHAnsi"/>
          <w:sz w:val="20"/>
          <w:szCs w:val="20"/>
          <w:lang w:val="es-VE"/>
        </w:rPr>
        <w:t xml:space="preserve"> dispusieron sin justificación </w:t>
      </w:r>
      <w:r w:rsidR="005F56A5">
        <w:rPr>
          <w:rFonts w:asciiTheme="majorHAnsi" w:hAnsiTheme="majorHAnsi"/>
          <w:sz w:val="20"/>
          <w:szCs w:val="20"/>
          <w:lang w:val="es-VE"/>
        </w:rPr>
        <w:t>su traslado de centro penitenciario</w:t>
      </w:r>
      <w:r w:rsidR="00D260FC">
        <w:rPr>
          <w:rFonts w:asciiTheme="majorHAnsi" w:hAnsiTheme="majorHAnsi"/>
          <w:sz w:val="20"/>
          <w:szCs w:val="20"/>
          <w:lang w:val="es-VE"/>
        </w:rPr>
        <w:t xml:space="preserve"> </w:t>
      </w:r>
      <w:r w:rsidR="005F56A5">
        <w:rPr>
          <w:rFonts w:asciiTheme="majorHAnsi" w:hAnsiTheme="majorHAnsi"/>
          <w:sz w:val="20"/>
          <w:szCs w:val="20"/>
          <w:lang w:val="es-VE"/>
        </w:rPr>
        <w:t>con destino de</w:t>
      </w:r>
      <w:r w:rsidR="00C26F4F">
        <w:rPr>
          <w:rFonts w:asciiTheme="majorHAnsi" w:hAnsiTheme="majorHAnsi"/>
          <w:sz w:val="20"/>
          <w:szCs w:val="20"/>
          <w:lang w:val="es-VE"/>
        </w:rPr>
        <w:t>s</w:t>
      </w:r>
      <w:r w:rsidR="000A7EB0">
        <w:rPr>
          <w:rFonts w:asciiTheme="majorHAnsi" w:hAnsiTheme="majorHAnsi"/>
          <w:sz w:val="20"/>
          <w:szCs w:val="20"/>
          <w:lang w:val="es-VE"/>
        </w:rPr>
        <w:t xml:space="preserve">conocido. </w:t>
      </w:r>
      <w:r w:rsidR="005F56A5">
        <w:rPr>
          <w:rFonts w:asciiTheme="majorHAnsi" w:hAnsiTheme="majorHAnsi"/>
          <w:sz w:val="20"/>
          <w:szCs w:val="20"/>
          <w:lang w:val="es-VE"/>
        </w:rPr>
        <w:t xml:space="preserve">Sostiene que, aunque el traslado se encuentra suspendido en </w:t>
      </w:r>
      <w:r w:rsidR="005F56A5">
        <w:rPr>
          <w:rFonts w:asciiTheme="majorHAnsi" w:hAnsiTheme="majorHAnsi"/>
          <w:sz w:val="20"/>
          <w:szCs w:val="20"/>
          <w:lang w:val="es-VE"/>
        </w:rPr>
        <w:lastRenderedPageBreak/>
        <w:t xml:space="preserve">virtud de una acción de amparo </w:t>
      </w:r>
      <w:r w:rsidR="00D260FC">
        <w:rPr>
          <w:rFonts w:asciiTheme="majorHAnsi" w:hAnsiTheme="majorHAnsi"/>
          <w:sz w:val="20"/>
          <w:szCs w:val="20"/>
          <w:lang w:val="es-VE"/>
        </w:rPr>
        <w:t xml:space="preserve">que </w:t>
      </w:r>
      <w:r w:rsidR="005F56A5">
        <w:rPr>
          <w:rFonts w:asciiTheme="majorHAnsi" w:hAnsiTheme="majorHAnsi"/>
          <w:sz w:val="20"/>
          <w:szCs w:val="20"/>
          <w:lang w:val="es-VE"/>
        </w:rPr>
        <w:t>interpu</w:t>
      </w:r>
      <w:r w:rsidR="00D260FC">
        <w:rPr>
          <w:rFonts w:asciiTheme="majorHAnsi" w:hAnsiTheme="majorHAnsi"/>
          <w:sz w:val="20"/>
          <w:szCs w:val="20"/>
          <w:lang w:val="es-VE"/>
        </w:rPr>
        <w:t>so</w:t>
      </w:r>
      <w:r w:rsidR="005F56A5">
        <w:rPr>
          <w:rFonts w:asciiTheme="majorHAnsi" w:hAnsiTheme="majorHAnsi"/>
          <w:sz w:val="20"/>
          <w:szCs w:val="20"/>
          <w:lang w:val="es-VE"/>
        </w:rPr>
        <w:t xml:space="preserve">, la amenaza </w:t>
      </w:r>
      <w:r w:rsidR="00D32D73">
        <w:rPr>
          <w:rFonts w:asciiTheme="majorHAnsi" w:hAnsiTheme="majorHAnsi"/>
          <w:sz w:val="20"/>
          <w:szCs w:val="20"/>
          <w:lang w:val="es-VE"/>
        </w:rPr>
        <w:t xml:space="preserve">de un traslado </w:t>
      </w:r>
      <w:r w:rsidR="00D260FC">
        <w:rPr>
          <w:rFonts w:asciiTheme="majorHAnsi" w:hAnsiTheme="majorHAnsi"/>
          <w:sz w:val="20"/>
          <w:szCs w:val="20"/>
          <w:lang w:val="es-VE"/>
        </w:rPr>
        <w:t xml:space="preserve">inminente </w:t>
      </w:r>
      <w:r w:rsidR="00D32D73">
        <w:rPr>
          <w:rFonts w:asciiTheme="majorHAnsi" w:hAnsiTheme="majorHAnsi"/>
          <w:sz w:val="20"/>
          <w:szCs w:val="20"/>
          <w:lang w:val="es-VE"/>
        </w:rPr>
        <w:t xml:space="preserve">con destino desconocido es un mecanismo para silenciarlo. </w:t>
      </w:r>
    </w:p>
    <w:p w14:paraId="015B4692" w14:textId="77777777" w:rsidR="004A199E" w:rsidRDefault="004A199E" w:rsidP="003A4150">
      <w:pPr>
        <w:pStyle w:val="ListParagraph"/>
        <w:ind w:left="0" w:firstLine="720"/>
        <w:jc w:val="both"/>
        <w:rPr>
          <w:rFonts w:asciiTheme="majorHAnsi" w:hAnsiTheme="majorHAnsi"/>
          <w:sz w:val="20"/>
          <w:szCs w:val="20"/>
          <w:lang w:val="es-VE"/>
        </w:rPr>
      </w:pPr>
    </w:p>
    <w:p w14:paraId="1807B3B8" w14:textId="45BDC74A" w:rsidR="00215FA8" w:rsidRDefault="00D260FC"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El peticionario s</w:t>
      </w:r>
      <w:r w:rsidR="009F19BB">
        <w:rPr>
          <w:rFonts w:asciiTheme="majorHAnsi" w:hAnsiTheme="majorHAnsi"/>
          <w:sz w:val="20"/>
          <w:szCs w:val="20"/>
          <w:lang w:val="es-VE"/>
        </w:rPr>
        <w:t xml:space="preserve">ostiene además que, luego de </w:t>
      </w:r>
      <w:r>
        <w:rPr>
          <w:rFonts w:asciiTheme="majorHAnsi" w:hAnsiTheme="majorHAnsi"/>
          <w:sz w:val="20"/>
          <w:szCs w:val="20"/>
          <w:lang w:val="es-VE"/>
        </w:rPr>
        <w:t xml:space="preserve">privar de vida a </w:t>
      </w:r>
      <w:r w:rsidR="009F19BB">
        <w:rPr>
          <w:rFonts w:asciiTheme="majorHAnsi" w:hAnsiTheme="majorHAnsi"/>
          <w:sz w:val="20"/>
          <w:szCs w:val="20"/>
          <w:lang w:val="es-VE"/>
        </w:rPr>
        <w:t xml:space="preserve">su </w:t>
      </w:r>
      <w:r>
        <w:rPr>
          <w:rFonts w:asciiTheme="majorHAnsi" w:hAnsiTheme="majorHAnsi"/>
          <w:sz w:val="20"/>
          <w:szCs w:val="20"/>
          <w:lang w:val="es-VE"/>
        </w:rPr>
        <w:t>ex pareja</w:t>
      </w:r>
      <w:r w:rsidR="00A01704" w:rsidRPr="009F19BB">
        <w:rPr>
          <w:rFonts w:asciiTheme="majorHAnsi" w:hAnsiTheme="majorHAnsi"/>
          <w:sz w:val="20"/>
          <w:szCs w:val="20"/>
          <w:lang w:val="es-VE"/>
        </w:rPr>
        <w:t>, la prensa, las autoridades judiciales y sus colegas abogados</w:t>
      </w:r>
      <w:r w:rsidR="009F19BB">
        <w:rPr>
          <w:rFonts w:asciiTheme="majorHAnsi" w:hAnsiTheme="majorHAnsi"/>
          <w:sz w:val="20"/>
          <w:szCs w:val="20"/>
          <w:lang w:val="es-VE"/>
        </w:rPr>
        <w:t xml:space="preserve"> </w:t>
      </w:r>
      <w:r>
        <w:rPr>
          <w:rFonts w:asciiTheme="majorHAnsi" w:hAnsiTheme="majorHAnsi"/>
          <w:sz w:val="20"/>
          <w:szCs w:val="20"/>
          <w:lang w:val="es-VE"/>
        </w:rPr>
        <w:t>--</w:t>
      </w:r>
      <w:r w:rsidR="009F19BB">
        <w:rPr>
          <w:rFonts w:asciiTheme="majorHAnsi" w:hAnsiTheme="majorHAnsi"/>
          <w:sz w:val="20"/>
          <w:szCs w:val="20"/>
          <w:lang w:val="es-VE"/>
        </w:rPr>
        <w:t>qu</w:t>
      </w:r>
      <w:r>
        <w:rPr>
          <w:rFonts w:asciiTheme="majorHAnsi" w:hAnsiTheme="majorHAnsi"/>
          <w:sz w:val="20"/>
          <w:szCs w:val="20"/>
          <w:lang w:val="es-VE"/>
        </w:rPr>
        <w:t>e</w:t>
      </w:r>
      <w:r w:rsidR="009F19BB">
        <w:rPr>
          <w:rFonts w:asciiTheme="majorHAnsi" w:hAnsiTheme="majorHAnsi"/>
          <w:sz w:val="20"/>
          <w:szCs w:val="20"/>
          <w:lang w:val="es-VE"/>
        </w:rPr>
        <w:t xml:space="preserve"> guardaban rencor hacia </w:t>
      </w:r>
      <w:r>
        <w:rPr>
          <w:rFonts w:asciiTheme="majorHAnsi" w:hAnsiTheme="majorHAnsi"/>
          <w:sz w:val="20"/>
          <w:szCs w:val="20"/>
          <w:lang w:val="es-VE"/>
        </w:rPr>
        <w:t>é</w:t>
      </w:r>
      <w:r w:rsidR="009F19BB">
        <w:rPr>
          <w:rFonts w:asciiTheme="majorHAnsi" w:hAnsiTheme="majorHAnsi"/>
          <w:sz w:val="20"/>
          <w:szCs w:val="20"/>
          <w:lang w:val="es-VE"/>
        </w:rPr>
        <w:t>l por su historia combativa</w:t>
      </w:r>
      <w:r>
        <w:rPr>
          <w:rFonts w:asciiTheme="majorHAnsi" w:hAnsiTheme="majorHAnsi"/>
          <w:sz w:val="20"/>
          <w:szCs w:val="20"/>
          <w:lang w:val="es-VE"/>
        </w:rPr>
        <w:t>--</w:t>
      </w:r>
      <w:r w:rsidR="00A01704" w:rsidRPr="009F19BB">
        <w:rPr>
          <w:rFonts w:asciiTheme="majorHAnsi" w:hAnsiTheme="majorHAnsi"/>
          <w:sz w:val="20"/>
          <w:szCs w:val="20"/>
          <w:lang w:val="es-VE"/>
        </w:rPr>
        <w:t xml:space="preserve"> han colaborado con la familia de su </w:t>
      </w:r>
      <w:r>
        <w:rPr>
          <w:rFonts w:asciiTheme="majorHAnsi" w:hAnsiTheme="majorHAnsi"/>
          <w:sz w:val="20"/>
          <w:szCs w:val="20"/>
          <w:lang w:val="es-VE"/>
        </w:rPr>
        <w:t>aquella</w:t>
      </w:r>
      <w:r w:rsidR="00A01704" w:rsidRPr="009F19BB">
        <w:rPr>
          <w:rFonts w:asciiTheme="majorHAnsi" w:hAnsiTheme="majorHAnsi"/>
          <w:sz w:val="20"/>
          <w:szCs w:val="20"/>
          <w:lang w:val="es-VE"/>
        </w:rPr>
        <w:t xml:space="preserve"> para </w:t>
      </w:r>
      <w:r>
        <w:rPr>
          <w:rFonts w:asciiTheme="majorHAnsi" w:hAnsiTheme="majorHAnsi"/>
          <w:sz w:val="20"/>
          <w:szCs w:val="20"/>
          <w:lang w:val="es-VE"/>
        </w:rPr>
        <w:t xml:space="preserve">estigmatizarlo </w:t>
      </w:r>
      <w:r w:rsidR="00E75DBC" w:rsidRPr="009F19BB">
        <w:rPr>
          <w:rFonts w:asciiTheme="majorHAnsi" w:hAnsiTheme="majorHAnsi"/>
          <w:sz w:val="20"/>
          <w:szCs w:val="20"/>
          <w:lang w:val="es-VE"/>
        </w:rPr>
        <w:t>socialmente y presentarlo</w:t>
      </w:r>
      <w:r w:rsidR="009F19BB">
        <w:rPr>
          <w:rFonts w:asciiTheme="majorHAnsi" w:hAnsiTheme="majorHAnsi"/>
          <w:sz w:val="20"/>
          <w:szCs w:val="20"/>
          <w:lang w:val="es-VE"/>
        </w:rPr>
        <w:t xml:space="preserve"> ante la opinión pública</w:t>
      </w:r>
      <w:r w:rsidR="00E75DBC" w:rsidRPr="009F19BB">
        <w:rPr>
          <w:rFonts w:asciiTheme="majorHAnsi" w:hAnsiTheme="majorHAnsi"/>
          <w:sz w:val="20"/>
          <w:szCs w:val="20"/>
          <w:lang w:val="es-VE"/>
        </w:rPr>
        <w:t xml:space="preserve"> como </w:t>
      </w:r>
      <w:r>
        <w:rPr>
          <w:rFonts w:asciiTheme="majorHAnsi" w:hAnsiTheme="majorHAnsi"/>
          <w:sz w:val="20"/>
          <w:szCs w:val="20"/>
          <w:lang w:val="es-VE"/>
        </w:rPr>
        <w:t xml:space="preserve">un </w:t>
      </w:r>
      <w:r w:rsidR="00E75DBC" w:rsidRPr="009F19BB">
        <w:rPr>
          <w:rFonts w:asciiTheme="majorHAnsi" w:hAnsiTheme="majorHAnsi"/>
          <w:sz w:val="20"/>
          <w:szCs w:val="20"/>
          <w:lang w:val="es-VE"/>
        </w:rPr>
        <w:t>paradigma de agresor en materia de violencia doméstica</w:t>
      </w:r>
      <w:r w:rsidR="009F19BB">
        <w:rPr>
          <w:rFonts w:asciiTheme="majorHAnsi" w:hAnsiTheme="majorHAnsi"/>
          <w:sz w:val="20"/>
          <w:szCs w:val="20"/>
          <w:lang w:val="es-VE"/>
        </w:rPr>
        <w:t>.</w:t>
      </w:r>
      <w:r w:rsidR="00215FA8">
        <w:rPr>
          <w:rFonts w:asciiTheme="majorHAnsi" w:hAnsiTheme="majorHAnsi"/>
          <w:sz w:val="20"/>
          <w:szCs w:val="20"/>
          <w:lang w:val="es-VE"/>
        </w:rPr>
        <w:t xml:space="preserve"> Considera que los medios de comunicación se han aprovechado de su imposibilidad de e</w:t>
      </w:r>
      <w:r w:rsidR="00281AE4">
        <w:rPr>
          <w:rFonts w:asciiTheme="majorHAnsi" w:hAnsiTheme="majorHAnsi"/>
          <w:sz w:val="20"/>
          <w:szCs w:val="20"/>
          <w:lang w:val="es-VE"/>
        </w:rPr>
        <w:t xml:space="preserve">jercer </w:t>
      </w:r>
      <w:r>
        <w:rPr>
          <w:rFonts w:asciiTheme="majorHAnsi" w:hAnsiTheme="majorHAnsi"/>
          <w:sz w:val="20"/>
          <w:szCs w:val="20"/>
          <w:lang w:val="es-VE"/>
        </w:rPr>
        <w:t>el</w:t>
      </w:r>
      <w:r w:rsidR="00281AE4">
        <w:rPr>
          <w:rFonts w:asciiTheme="majorHAnsi" w:hAnsiTheme="majorHAnsi"/>
          <w:sz w:val="20"/>
          <w:szCs w:val="20"/>
          <w:lang w:val="es-VE"/>
        </w:rPr>
        <w:t xml:space="preserve"> derecho a ré</w:t>
      </w:r>
      <w:r w:rsidR="00215FA8">
        <w:rPr>
          <w:rFonts w:asciiTheme="majorHAnsi" w:hAnsiTheme="majorHAnsi"/>
          <w:sz w:val="20"/>
          <w:szCs w:val="20"/>
          <w:lang w:val="es-VE"/>
        </w:rPr>
        <w:t xml:space="preserve">plica para publicar notas inexactas y agraviantes contra su honra y dignidad, </w:t>
      </w:r>
      <w:r>
        <w:rPr>
          <w:rFonts w:asciiTheme="majorHAnsi" w:hAnsiTheme="majorHAnsi"/>
          <w:sz w:val="20"/>
          <w:szCs w:val="20"/>
          <w:lang w:val="es-VE"/>
        </w:rPr>
        <w:t xml:space="preserve">y para </w:t>
      </w:r>
      <w:r w:rsidR="00215FA8">
        <w:rPr>
          <w:rFonts w:asciiTheme="majorHAnsi" w:hAnsiTheme="majorHAnsi"/>
          <w:sz w:val="20"/>
          <w:szCs w:val="20"/>
          <w:lang w:val="es-VE"/>
        </w:rPr>
        <w:t xml:space="preserve">habilitar espacios gratuitos para que </w:t>
      </w:r>
      <w:r w:rsidR="00281AE4">
        <w:rPr>
          <w:rFonts w:asciiTheme="majorHAnsi" w:hAnsiTheme="majorHAnsi"/>
          <w:sz w:val="20"/>
          <w:szCs w:val="20"/>
          <w:lang w:val="es-VE"/>
        </w:rPr>
        <w:t>cualquiera l</w:t>
      </w:r>
      <w:r>
        <w:rPr>
          <w:rFonts w:asciiTheme="majorHAnsi" w:hAnsiTheme="majorHAnsi"/>
          <w:sz w:val="20"/>
          <w:szCs w:val="20"/>
          <w:lang w:val="es-VE"/>
        </w:rPr>
        <w:t>o</w:t>
      </w:r>
      <w:r w:rsidR="00281AE4">
        <w:rPr>
          <w:rFonts w:asciiTheme="majorHAnsi" w:hAnsiTheme="majorHAnsi"/>
          <w:sz w:val="20"/>
          <w:szCs w:val="20"/>
          <w:lang w:val="es-VE"/>
        </w:rPr>
        <w:t xml:space="preserve"> insultase</w:t>
      </w:r>
      <w:r>
        <w:rPr>
          <w:rFonts w:asciiTheme="majorHAnsi" w:hAnsiTheme="majorHAnsi"/>
          <w:sz w:val="20"/>
          <w:szCs w:val="20"/>
          <w:lang w:val="es-VE"/>
        </w:rPr>
        <w:t>;</w:t>
      </w:r>
      <w:r w:rsidR="00215FA8">
        <w:rPr>
          <w:rFonts w:asciiTheme="majorHAnsi" w:hAnsiTheme="majorHAnsi"/>
          <w:sz w:val="20"/>
          <w:szCs w:val="20"/>
          <w:lang w:val="es-VE"/>
        </w:rPr>
        <w:t xml:space="preserve"> y </w:t>
      </w:r>
      <w:r>
        <w:rPr>
          <w:rFonts w:asciiTheme="majorHAnsi" w:hAnsiTheme="majorHAnsi"/>
          <w:sz w:val="20"/>
          <w:szCs w:val="20"/>
          <w:lang w:val="es-VE"/>
        </w:rPr>
        <w:t xml:space="preserve">para </w:t>
      </w:r>
      <w:r w:rsidR="00215FA8">
        <w:rPr>
          <w:rFonts w:asciiTheme="majorHAnsi" w:hAnsiTheme="majorHAnsi"/>
          <w:sz w:val="20"/>
          <w:szCs w:val="20"/>
          <w:lang w:val="es-VE"/>
        </w:rPr>
        <w:t xml:space="preserve">presentar lo </w:t>
      </w:r>
      <w:r w:rsidR="00B334AD">
        <w:rPr>
          <w:rFonts w:asciiTheme="majorHAnsi" w:hAnsiTheme="majorHAnsi"/>
          <w:sz w:val="20"/>
          <w:szCs w:val="20"/>
          <w:lang w:val="es-VE"/>
        </w:rPr>
        <w:t xml:space="preserve">que </w:t>
      </w:r>
      <w:r>
        <w:rPr>
          <w:rFonts w:asciiTheme="majorHAnsi" w:hAnsiTheme="majorHAnsi"/>
          <w:sz w:val="20"/>
          <w:szCs w:val="20"/>
          <w:lang w:val="es-VE"/>
        </w:rPr>
        <w:t xml:space="preserve">describe como un </w:t>
      </w:r>
      <w:r w:rsidR="00215FA8">
        <w:rPr>
          <w:rFonts w:asciiTheme="majorHAnsi" w:hAnsiTheme="majorHAnsi"/>
          <w:sz w:val="20"/>
          <w:szCs w:val="20"/>
          <w:lang w:val="es-VE"/>
        </w:rPr>
        <w:t xml:space="preserve">caso de naturaleza pasional como un abominable crimen de género. </w:t>
      </w:r>
      <w:r w:rsidR="009F19BB">
        <w:rPr>
          <w:rFonts w:asciiTheme="majorHAnsi" w:hAnsiTheme="majorHAnsi"/>
          <w:sz w:val="20"/>
          <w:szCs w:val="20"/>
          <w:lang w:val="es-VE"/>
        </w:rPr>
        <w:t xml:space="preserve"> </w:t>
      </w:r>
    </w:p>
    <w:p w14:paraId="0CD12A38" w14:textId="77777777" w:rsidR="00215FA8" w:rsidRPr="00215FA8" w:rsidRDefault="00215FA8" w:rsidP="003A4150">
      <w:pPr>
        <w:pStyle w:val="ListParagraph"/>
        <w:ind w:left="0" w:firstLine="720"/>
        <w:rPr>
          <w:rFonts w:asciiTheme="majorHAnsi" w:hAnsiTheme="majorHAnsi"/>
          <w:sz w:val="20"/>
          <w:szCs w:val="20"/>
          <w:lang w:val="es-VE"/>
        </w:rPr>
      </w:pPr>
    </w:p>
    <w:p w14:paraId="01F3D3C8" w14:textId="4DF2DA23" w:rsidR="008254E4" w:rsidRPr="009F19BB" w:rsidRDefault="009F19BB"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Aduce que </w:t>
      </w:r>
      <w:r w:rsidR="00215FA8">
        <w:rPr>
          <w:rFonts w:asciiTheme="majorHAnsi" w:hAnsiTheme="majorHAnsi"/>
          <w:sz w:val="20"/>
          <w:szCs w:val="20"/>
          <w:lang w:val="es-VE"/>
        </w:rPr>
        <w:t>lo anterior</w:t>
      </w:r>
      <w:r>
        <w:rPr>
          <w:rFonts w:asciiTheme="majorHAnsi" w:hAnsiTheme="majorHAnsi"/>
          <w:sz w:val="20"/>
          <w:szCs w:val="20"/>
          <w:lang w:val="es-VE"/>
        </w:rPr>
        <w:t xml:space="preserve"> ha llevado </w:t>
      </w:r>
      <w:r w:rsidR="00E75DBC" w:rsidRPr="009F19BB">
        <w:rPr>
          <w:rFonts w:asciiTheme="majorHAnsi" w:hAnsiTheme="majorHAnsi"/>
          <w:sz w:val="20"/>
          <w:szCs w:val="20"/>
          <w:lang w:val="es-VE"/>
        </w:rPr>
        <w:t xml:space="preserve">a </w:t>
      </w:r>
      <w:r w:rsidR="00D260FC">
        <w:rPr>
          <w:rFonts w:asciiTheme="majorHAnsi" w:hAnsiTheme="majorHAnsi"/>
          <w:sz w:val="20"/>
          <w:szCs w:val="20"/>
          <w:lang w:val="es-VE"/>
        </w:rPr>
        <w:t xml:space="preserve">su </w:t>
      </w:r>
      <w:r w:rsidR="00E75DBC" w:rsidRPr="009F19BB">
        <w:rPr>
          <w:rFonts w:asciiTheme="majorHAnsi" w:hAnsiTheme="majorHAnsi"/>
          <w:sz w:val="20"/>
          <w:szCs w:val="20"/>
          <w:lang w:val="es-VE"/>
        </w:rPr>
        <w:t xml:space="preserve">castigo por las autoridades </w:t>
      </w:r>
      <w:r w:rsidR="00AD2FC0">
        <w:rPr>
          <w:rFonts w:asciiTheme="majorHAnsi" w:hAnsiTheme="majorHAnsi"/>
          <w:sz w:val="20"/>
          <w:szCs w:val="20"/>
          <w:lang w:val="es-VE"/>
        </w:rPr>
        <w:t>penitenciarias</w:t>
      </w:r>
      <w:r w:rsidR="00D260FC">
        <w:rPr>
          <w:rFonts w:asciiTheme="majorHAnsi" w:hAnsiTheme="majorHAnsi"/>
          <w:sz w:val="20"/>
          <w:szCs w:val="20"/>
          <w:lang w:val="es-VE"/>
        </w:rPr>
        <w:t xml:space="preserve">, además de </w:t>
      </w:r>
      <w:r w:rsidR="00AD2FC0">
        <w:rPr>
          <w:rFonts w:asciiTheme="majorHAnsi" w:hAnsiTheme="majorHAnsi"/>
          <w:sz w:val="20"/>
          <w:szCs w:val="20"/>
          <w:lang w:val="es-VE"/>
        </w:rPr>
        <w:t xml:space="preserve">varias conductas que considera violatorias de sus derechos, como </w:t>
      </w:r>
      <w:r w:rsidR="00D260FC">
        <w:rPr>
          <w:rFonts w:asciiTheme="majorHAnsi" w:hAnsiTheme="majorHAnsi"/>
          <w:sz w:val="20"/>
          <w:szCs w:val="20"/>
          <w:lang w:val="es-VE"/>
        </w:rPr>
        <w:t xml:space="preserve">el hecho de </w:t>
      </w:r>
      <w:r w:rsidR="00DA01AE">
        <w:rPr>
          <w:rFonts w:asciiTheme="majorHAnsi" w:hAnsiTheme="majorHAnsi"/>
          <w:sz w:val="20"/>
          <w:szCs w:val="20"/>
          <w:lang w:val="es-VE"/>
        </w:rPr>
        <w:t>que no se le concedió permiso para visitar a su madre en su lecho de muerte</w:t>
      </w:r>
      <w:r w:rsidR="00D260FC">
        <w:rPr>
          <w:rFonts w:asciiTheme="majorHAnsi" w:hAnsiTheme="majorHAnsi"/>
          <w:sz w:val="20"/>
          <w:szCs w:val="20"/>
          <w:lang w:val="es-VE"/>
        </w:rPr>
        <w:t>;</w:t>
      </w:r>
      <w:r w:rsidR="00DA01AE">
        <w:rPr>
          <w:rFonts w:asciiTheme="majorHAnsi" w:hAnsiTheme="majorHAnsi"/>
          <w:sz w:val="20"/>
          <w:szCs w:val="20"/>
          <w:lang w:val="es-VE"/>
        </w:rPr>
        <w:t xml:space="preserve"> se le denegó arbitrariamente el acceso a oportunidades de estudio y de trabajo que le hubieran beneficiado para la reducción de su pena</w:t>
      </w:r>
      <w:r w:rsidR="00D260FC">
        <w:rPr>
          <w:rFonts w:asciiTheme="majorHAnsi" w:hAnsiTheme="majorHAnsi"/>
          <w:sz w:val="20"/>
          <w:szCs w:val="20"/>
          <w:lang w:val="es-VE"/>
        </w:rPr>
        <w:t>;</w:t>
      </w:r>
      <w:r w:rsidR="00DA01AE">
        <w:rPr>
          <w:rFonts w:asciiTheme="majorHAnsi" w:hAnsiTheme="majorHAnsi"/>
          <w:sz w:val="20"/>
          <w:szCs w:val="20"/>
          <w:lang w:val="es-VE"/>
        </w:rPr>
        <w:t xml:space="preserve"> tras una operación por cáncer de colón se le negó la internación domiciliaria recomendada por su médico</w:t>
      </w:r>
      <w:r w:rsidR="00D260FC">
        <w:rPr>
          <w:rFonts w:asciiTheme="majorHAnsi" w:hAnsiTheme="majorHAnsi"/>
          <w:sz w:val="20"/>
          <w:szCs w:val="20"/>
          <w:lang w:val="es-VE"/>
        </w:rPr>
        <w:t>;</w:t>
      </w:r>
      <w:r w:rsidR="00DA01AE">
        <w:rPr>
          <w:rFonts w:asciiTheme="majorHAnsi" w:hAnsiTheme="majorHAnsi"/>
          <w:sz w:val="20"/>
          <w:szCs w:val="20"/>
          <w:lang w:val="es-VE"/>
        </w:rPr>
        <w:t xml:space="preserve"> </w:t>
      </w:r>
      <w:r w:rsidR="00781E9D">
        <w:rPr>
          <w:rFonts w:asciiTheme="majorHAnsi" w:hAnsiTheme="majorHAnsi"/>
          <w:sz w:val="20"/>
          <w:szCs w:val="20"/>
          <w:lang w:val="es-VE"/>
        </w:rPr>
        <w:t>fue sujeto a sanciones</w:t>
      </w:r>
      <w:r w:rsidR="000945B4">
        <w:rPr>
          <w:rFonts w:asciiTheme="majorHAnsi" w:hAnsiTheme="majorHAnsi"/>
          <w:sz w:val="20"/>
          <w:szCs w:val="20"/>
          <w:lang w:val="es-VE"/>
        </w:rPr>
        <w:t>, trabajo forzado</w:t>
      </w:r>
      <w:r w:rsidR="00781E9D">
        <w:rPr>
          <w:rFonts w:asciiTheme="majorHAnsi" w:hAnsiTheme="majorHAnsi"/>
          <w:sz w:val="20"/>
          <w:szCs w:val="20"/>
          <w:lang w:val="es-VE"/>
        </w:rPr>
        <w:t xml:space="preserve"> y traslados arbitrarios en violación </w:t>
      </w:r>
      <w:r w:rsidR="00D260FC">
        <w:rPr>
          <w:rFonts w:asciiTheme="majorHAnsi" w:hAnsiTheme="majorHAnsi"/>
          <w:sz w:val="20"/>
          <w:szCs w:val="20"/>
          <w:lang w:val="es-VE"/>
        </w:rPr>
        <w:t>de</w:t>
      </w:r>
      <w:r w:rsidR="00781E9D">
        <w:rPr>
          <w:rFonts w:asciiTheme="majorHAnsi" w:hAnsiTheme="majorHAnsi"/>
          <w:sz w:val="20"/>
          <w:szCs w:val="20"/>
          <w:lang w:val="es-VE"/>
        </w:rPr>
        <w:t>l reglamento aplicable</w:t>
      </w:r>
      <w:r w:rsidR="00D260FC">
        <w:rPr>
          <w:rFonts w:asciiTheme="majorHAnsi" w:hAnsiTheme="majorHAnsi"/>
          <w:sz w:val="20"/>
          <w:szCs w:val="20"/>
          <w:lang w:val="es-VE"/>
        </w:rPr>
        <w:t>;</w:t>
      </w:r>
      <w:r w:rsidR="00781E9D">
        <w:rPr>
          <w:rFonts w:asciiTheme="majorHAnsi" w:hAnsiTheme="majorHAnsi"/>
          <w:sz w:val="20"/>
          <w:szCs w:val="20"/>
          <w:lang w:val="es-VE"/>
        </w:rPr>
        <w:t xml:space="preserve"> </w:t>
      </w:r>
      <w:r w:rsidR="009F7830">
        <w:rPr>
          <w:rFonts w:asciiTheme="majorHAnsi" w:hAnsiTheme="majorHAnsi"/>
          <w:sz w:val="20"/>
          <w:szCs w:val="20"/>
          <w:lang w:val="es-VE"/>
        </w:rPr>
        <w:t xml:space="preserve">fue víctima de una ilegal pesquisa secreta y de la sustracción arbitraria de bienes cuyo uso tenía autorizado tales como </w:t>
      </w:r>
      <w:r w:rsidR="00D260FC">
        <w:rPr>
          <w:rFonts w:asciiTheme="majorHAnsi" w:hAnsiTheme="majorHAnsi"/>
          <w:sz w:val="20"/>
          <w:szCs w:val="20"/>
          <w:lang w:val="es-VE"/>
        </w:rPr>
        <w:t xml:space="preserve">su </w:t>
      </w:r>
      <w:r w:rsidR="009F7830">
        <w:rPr>
          <w:rFonts w:asciiTheme="majorHAnsi" w:hAnsiTheme="majorHAnsi"/>
          <w:sz w:val="20"/>
          <w:szCs w:val="20"/>
          <w:lang w:val="es-VE"/>
        </w:rPr>
        <w:t>ordenador, teléfonos celulares y aire acondicionado</w:t>
      </w:r>
      <w:r w:rsidR="00D260FC">
        <w:rPr>
          <w:rFonts w:asciiTheme="majorHAnsi" w:hAnsiTheme="majorHAnsi"/>
          <w:sz w:val="20"/>
          <w:szCs w:val="20"/>
          <w:lang w:val="es-VE"/>
        </w:rPr>
        <w:t>.</w:t>
      </w:r>
      <w:r w:rsidR="009F7830">
        <w:rPr>
          <w:rFonts w:asciiTheme="majorHAnsi" w:hAnsiTheme="majorHAnsi"/>
          <w:sz w:val="20"/>
          <w:szCs w:val="20"/>
          <w:lang w:val="es-VE"/>
        </w:rPr>
        <w:t xml:space="preserve"> </w:t>
      </w:r>
      <w:r w:rsidR="00D260FC">
        <w:rPr>
          <w:rFonts w:asciiTheme="majorHAnsi" w:hAnsiTheme="majorHAnsi"/>
          <w:sz w:val="20"/>
          <w:szCs w:val="20"/>
          <w:lang w:val="es-VE"/>
        </w:rPr>
        <w:t xml:space="preserve">Agrega que </w:t>
      </w:r>
      <w:r w:rsidR="009F7830">
        <w:rPr>
          <w:rFonts w:asciiTheme="majorHAnsi" w:hAnsiTheme="majorHAnsi"/>
          <w:sz w:val="20"/>
          <w:szCs w:val="20"/>
          <w:lang w:val="es-VE"/>
        </w:rPr>
        <w:t>se le trasladaba siempre con esposas pese a su buena conducta,</w:t>
      </w:r>
      <w:r w:rsidR="000945B4">
        <w:rPr>
          <w:rFonts w:asciiTheme="majorHAnsi" w:hAnsiTheme="majorHAnsi"/>
          <w:sz w:val="20"/>
          <w:szCs w:val="20"/>
          <w:lang w:val="es-VE"/>
        </w:rPr>
        <w:t xml:space="preserve"> y que</w:t>
      </w:r>
      <w:r w:rsidR="009F7830">
        <w:rPr>
          <w:rFonts w:asciiTheme="majorHAnsi" w:hAnsiTheme="majorHAnsi"/>
          <w:sz w:val="20"/>
          <w:szCs w:val="20"/>
          <w:lang w:val="es-VE"/>
        </w:rPr>
        <w:t xml:space="preserve"> </w:t>
      </w:r>
      <w:r w:rsidR="002D5405">
        <w:rPr>
          <w:rFonts w:asciiTheme="majorHAnsi" w:hAnsiTheme="majorHAnsi"/>
          <w:sz w:val="20"/>
          <w:szCs w:val="20"/>
          <w:lang w:val="es-VE"/>
        </w:rPr>
        <w:t xml:space="preserve">no se le </w:t>
      </w:r>
      <w:r w:rsidR="00D260FC">
        <w:rPr>
          <w:rFonts w:asciiTheme="majorHAnsi" w:hAnsiTheme="majorHAnsi"/>
          <w:sz w:val="20"/>
          <w:szCs w:val="20"/>
          <w:lang w:val="es-VE"/>
        </w:rPr>
        <w:t xml:space="preserve">conducía </w:t>
      </w:r>
      <w:r w:rsidR="002D5405">
        <w:rPr>
          <w:rFonts w:asciiTheme="majorHAnsi" w:hAnsiTheme="majorHAnsi"/>
          <w:sz w:val="20"/>
          <w:szCs w:val="20"/>
          <w:lang w:val="es-VE"/>
        </w:rPr>
        <w:t>a las audiencias de los procesos en que e</w:t>
      </w:r>
      <w:r w:rsidR="00D260FC">
        <w:rPr>
          <w:rFonts w:asciiTheme="majorHAnsi" w:hAnsiTheme="majorHAnsi"/>
          <w:sz w:val="20"/>
          <w:szCs w:val="20"/>
          <w:lang w:val="es-VE"/>
        </w:rPr>
        <w:t>ra</w:t>
      </w:r>
      <w:r w:rsidR="002D5405">
        <w:rPr>
          <w:rFonts w:asciiTheme="majorHAnsi" w:hAnsiTheme="majorHAnsi"/>
          <w:sz w:val="20"/>
          <w:szCs w:val="20"/>
          <w:lang w:val="es-VE"/>
        </w:rPr>
        <w:t xml:space="preserve"> parte</w:t>
      </w:r>
      <w:r w:rsidR="00D260FC">
        <w:rPr>
          <w:rFonts w:asciiTheme="majorHAnsi" w:hAnsiTheme="majorHAnsi"/>
          <w:sz w:val="20"/>
          <w:szCs w:val="20"/>
          <w:lang w:val="es-VE"/>
        </w:rPr>
        <w:t>,</w:t>
      </w:r>
      <w:r w:rsidR="00BD70DF">
        <w:rPr>
          <w:rFonts w:asciiTheme="majorHAnsi" w:hAnsiTheme="majorHAnsi"/>
          <w:sz w:val="20"/>
          <w:szCs w:val="20"/>
          <w:lang w:val="es-VE"/>
        </w:rPr>
        <w:t xml:space="preserve"> </w:t>
      </w:r>
      <w:r w:rsidR="00D260FC">
        <w:rPr>
          <w:rFonts w:asciiTheme="majorHAnsi" w:hAnsiTheme="majorHAnsi"/>
          <w:sz w:val="20"/>
          <w:szCs w:val="20"/>
          <w:lang w:val="es-VE"/>
        </w:rPr>
        <w:t>lo que afectaba</w:t>
      </w:r>
      <w:r w:rsidR="00BD70DF">
        <w:rPr>
          <w:rFonts w:asciiTheme="majorHAnsi" w:hAnsiTheme="majorHAnsi"/>
          <w:sz w:val="20"/>
          <w:szCs w:val="20"/>
          <w:lang w:val="es-VE"/>
        </w:rPr>
        <w:t xml:space="preserve"> su derecho al debido proceso</w:t>
      </w:r>
      <w:r w:rsidR="002D5405">
        <w:rPr>
          <w:rFonts w:asciiTheme="majorHAnsi" w:hAnsiTheme="majorHAnsi"/>
          <w:sz w:val="20"/>
          <w:szCs w:val="20"/>
          <w:lang w:val="es-VE"/>
        </w:rPr>
        <w:t>. También sostiene que las autoridades fiscales y judiciales han actuado con p</w:t>
      </w:r>
      <w:r w:rsidR="003A7C2C">
        <w:rPr>
          <w:rFonts w:asciiTheme="majorHAnsi" w:hAnsiTheme="majorHAnsi"/>
          <w:sz w:val="20"/>
          <w:szCs w:val="20"/>
          <w:lang w:val="es-VE"/>
        </w:rPr>
        <w:t>rejuicio y discriminación</w:t>
      </w:r>
      <w:r w:rsidR="002D5405">
        <w:rPr>
          <w:rFonts w:asciiTheme="majorHAnsi" w:hAnsiTheme="majorHAnsi"/>
          <w:sz w:val="20"/>
          <w:szCs w:val="20"/>
          <w:lang w:val="es-VE"/>
        </w:rPr>
        <w:t xml:space="preserve"> en su contra</w:t>
      </w:r>
      <w:r w:rsidR="00D260FC">
        <w:rPr>
          <w:rFonts w:asciiTheme="majorHAnsi" w:hAnsiTheme="majorHAnsi"/>
          <w:sz w:val="20"/>
          <w:szCs w:val="20"/>
          <w:lang w:val="es-VE"/>
        </w:rPr>
        <w:t xml:space="preserve"> al</w:t>
      </w:r>
      <w:r w:rsidR="002D5405">
        <w:rPr>
          <w:rFonts w:asciiTheme="majorHAnsi" w:hAnsiTheme="majorHAnsi"/>
          <w:sz w:val="20"/>
          <w:szCs w:val="20"/>
          <w:lang w:val="es-VE"/>
        </w:rPr>
        <w:t xml:space="preserve"> desestima</w:t>
      </w:r>
      <w:r w:rsidR="00D260FC">
        <w:rPr>
          <w:rFonts w:asciiTheme="majorHAnsi" w:hAnsiTheme="majorHAnsi"/>
          <w:sz w:val="20"/>
          <w:szCs w:val="20"/>
          <w:lang w:val="es-VE"/>
        </w:rPr>
        <w:t>r</w:t>
      </w:r>
      <w:r w:rsidR="002D5405">
        <w:rPr>
          <w:rFonts w:asciiTheme="majorHAnsi" w:hAnsiTheme="majorHAnsi"/>
          <w:sz w:val="20"/>
          <w:szCs w:val="20"/>
          <w:lang w:val="es-VE"/>
        </w:rPr>
        <w:t xml:space="preserve"> injustificadamente </w:t>
      </w:r>
      <w:r w:rsidR="00D260FC">
        <w:rPr>
          <w:rFonts w:asciiTheme="majorHAnsi" w:hAnsiTheme="majorHAnsi"/>
          <w:sz w:val="20"/>
          <w:szCs w:val="20"/>
          <w:lang w:val="es-VE"/>
        </w:rPr>
        <w:t>las</w:t>
      </w:r>
      <w:r w:rsidR="002D5405">
        <w:rPr>
          <w:rFonts w:asciiTheme="majorHAnsi" w:hAnsiTheme="majorHAnsi"/>
          <w:sz w:val="20"/>
          <w:szCs w:val="20"/>
          <w:lang w:val="es-VE"/>
        </w:rPr>
        <w:t xml:space="preserve"> múltiples denuncias presentadas contra funcionarios públicos por abusos de poder o actos de corrupción</w:t>
      </w:r>
      <w:r w:rsidR="000656AB">
        <w:rPr>
          <w:rFonts w:asciiTheme="majorHAnsi" w:hAnsiTheme="majorHAnsi"/>
          <w:sz w:val="20"/>
          <w:szCs w:val="20"/>
          <w:lang w:val="es-VE"/>
        </w:rPr>
        <w:t>.</w:t>
      </w:r>
      <w:r w:rsidR="002D5405">
        <w:rPr>
          <w:rFonts w:asciiTheme="majorHAnsi" w:hAnsiTheme="majorHAnsi"/>
          <w:sz w:val="20"/>
          <w:szCs w:val="20"/>
          <w:lang w:val="es-VE"/>
        </w:rPr>
        <w:t xml:space="preserve"> </w:t>
      </w:r>
      <w:r w:rsidR="000656AB">
        <w:rPr>
          <w:rFonts w:asciiTheme="majorHAnsi" w:hAnsiTheme="majorHAnsi"/>
          <w:sz w:val="20"/>
          <w:szCs w:val="20"/>
          <w:lang w:val="es-VE"/>
        </w:rPr>
        <w:t xml:space="preserve">El peticionario sostiene que tampoco prosperaron las </w:t>
      </w:r>
      <w:r w:rsidR="002D5405">
        <w:rPr>
          <w:rFonts w:asciiTheme="majorHAnsi" w:hAnsiTheme="majorHAnsi"/>
          <w:sz w:val="20"/>
          <w:szCs w:val="20"/>
          <w:lang w:val="es-VE"/>
        </w:rPr>
        <w:t>denuncia</w:t>
      </w:r>
      <w:r w:rsidR="00806058">
        <w:rPr>
          <w:rFonts w:asciiTheme="majorHAnsi" w:hAnsiTheme="majorHAnsi"/>
          <w:sz w:val="20"/>
          <w:szCs w:val="20"/>
          <w:lang w:val="es-VE"/>
        </w:rPr>
        <w:t>s</w:t>
      </w:r>
      <w:r w:rsidR="002D5405">
        <w:rPr>
          <w:rFonts w:asciiTheme="majorHAnsi" w:hAnsiTheme="majorHAnsi"/>
          <w:sz w:val="20"/>
          <w:szCs w:val="20"/>
          <w:lang w:val="es-VE"/>
        </w:rPr>
        <w:t xml:space="preserve"> contra el padre de su </w:t>
      </w:r>
      <w:r w:rsidR="00D260FC">
        <w:rPr>
          <w:rFonts w:asciiTheme="majorHAnsi" w:hAnsiTheme="majorHAnsi"/>
          <w:sz w:val="20"/>
          <w:szCs w:val="20"/>
          <w:lang w:val="es-VE"/>
        </w:rPr>
        <w:t>ex pareja</w:t>
      </w:r>
      <w:r w:rsidR="002D5405">
        <w:rPr>
          <w:rFonts w:asciiTheme="majorHAnsi" w:hAnsiTheme="majorHAnsi"/>
          <w:sz w:val="20"/>
          <w:szCs w:val="20"/>
          <w:lang w:val="es-VE"/>
        </w:rPr>
        <w:t xml:space="preserve"> por hab</w:t>
      </w:r>
      <w:r w:rsidR="000656AB">
        <w:rPr>
          <w:rFonts w:asciiTheme="majorHAnsi" w:hAnsiTheme="majorHAnsi"/>
          <w:sz w:val="20"/>
          <w:szCs w:val="20"/>
          <w:lang w:val="es-VE"/>
        </w:rPr>
        <w:t>erlo</w:t>
      </w:r>
      <w:r w:rsidR="002D5405">
        <w:rPr>
          <w:rFonts w:asciiTheme="majorHAnsi" w:hAnsiTheme="majorHAnsi"/>
          <w:sz w:val="20"/>
          <w:szCs w:val="20"/>
          <w:lang w:val="es-VE"/>
        </w:rPr>
        <w:t xml:space="preserve"> amenazado de muerte</w:t>
      </w:r>
      <w:r w:rsidR="00806058">
        <w:rPr>
          <w:rFonts w:asciiTheme="majorHAnsi" w:hAnsiTheme="majorHAnsi"/>
          <w:sz w:val="20"/>
          <w:szCs w:val="20"/>
          <w:lang w:val="es-VE"/>
        </w:rPr>
        <w:t xml:space="preserve"> y por</w:t>
      </w:r>
      <w:r w:rsidR="000656AB" w:rsidRPr="000656AB">
        <w:rPr>
          <w:rFonts w:asciiTheme="majorHAnsi" w:hAnsiTheme="majorHAnsi"/>
          <w:sz w:val="20"/>
          <w:szCs w:val="20"/>
          <w:lang w:val="es-VE"/>
        </w:rPr>
        <w:t xml:space="preserve"> </w:t>
      </w:r>
      <w:r w:rsidR="000656AB">
        <w:rPr>
          <w:rFonts w:asciiTheme="majorHAnsi" w:hAnsiTheme="majorHAnsi"/>
          <w:sz w:val="20"/>
          <w:szCs w:val="20"/>
          <w:lang w:val="es-VE"/>
        </w:rPr>
        <w:t>retener ilícitamente documentos y dinero que le pertenecen</w:t>
      </w:r>
      <w:r w:rsidR="00806058">
        <w:rPr>
          <w:rFonts w:asciiTheme="majorHAnsi" w:hAnsiTheme="majorHAnsi"/>
          <w:sz w:val="20"/>
          <w:szCs w:val="20"/>
          <w:lang w:val="es-VE"/>
        </w:rPr>
        <w:t xml:space="preserve">, </w:t>
      </w:r>
      <w:r w:rsidR="000656AB">
        <w:rPr>
          <w:rFonts w:asciiTheme="majorHAnsi" w:hAnsiTheme="majorHAnsi"/>
          <w:sz w:val="20"/>
          <w:szCs w:val="20"/>
          <w:lang w:val="es-VE"/>
        </w:rPr>
        <w:t xml:space="preserve">al </w:t>
      </w:r>
      <w:r w:rsidR="00806058">
        <w:rPr>
          <w:rFonts w:asciiTheme="majorHAnsi" w:hAnsiTheme="majorHAnsi"/>
          <w:sz w:val="20"/>
          <w:szCs w:val="20"/>
          <w:lang w:val="es-VE"/>
        </w:rPr>
        <w:t>aprovech</w:t>
      </w:r>
      <w:r w:rsidR="000656AB">
        <w:rPr>
          <w:rFonts w:asciiTheme="majorHAnsi" w:hAnsiTheme="majorHAnsi"/>
          <w:sz w:val="20"/>
          <w:szCs w:val="20"/>
          <w:lang w:val="es-VE"/>
        </w:rPr>
        <w:t>arse</w:t>
      </w:r>
      <w:r w:rsidR="00806058">
        <w:rPr>
          <w:rFonts w:asciiTheme="majorHAnsi" w:hAnsiTheme="majorHAnsi"/>
          <w:sz w:val="20"/>
          <w:szCs w:val="20"/>
          <w:lang w:val="es-VE"/>
        </w:rPr>
        <w:t xml:space="preserve"> que era su escribano de confianza</w:t>
      </w:r>
      <w:r w:rsidR="002D5405">
        <w:rPr>
          <w:rFonts w:asciiTheme="majorHAnsi" w:hAnsiTheme="majorHAnsi"/>
          <w:sz w:val="20"/>
          <w:szCs w:val="20"/>
          <w:lang w:val="es-VE"/>
        </w:rPr>
        <w:t xml:space="preserve">. </w:t>
      </w:r>
      <w:r w:rsidR="003A7C2C">
        <w:rPr>
          <w:rFonts w:asciiTheme="majorHAnsi" w:hAnsiTheme="majorHAnsi"/>
          <w:sz w:val="20"/>
          <w:szCs w:val="20"/>
          <w:lang w:val="es-VE"/>
        </w:rPr>
        <w:t xml:space="preserve">De igual manera, reclama que </w:t>
      </w:r>
      <w:r w:rsidR="000656AB">
        <w:rPr>
          <w:rFonts w:asciiTheme="majorHAnsi" w:hAnsiTheme="majorHAnsi"/>
          <w:sz w:val="20"/>
          <w:szCs w:val="20"/>
          <w:lang w:val="es-VE"/>
        </w:rPr>
        <w:t>por</w:t>
      </w:r>
      <w:r w:rsidR="003A7C2C">
        <w:rPr>
          <w:rFonts w:asciiTheme="majorHAnsi" w:hAnsiTheme="majorHAnsi"/>
          <w:sz w:val="20"/>
          <w:szCs w:val="20"/>
          <w:lang w:val="es-VE"/>
        </w:rPr>
        <w:t xml:space="preserve"> temor </w:t>
      </w:r>
      <w:r w:rsidR="000656AB">
        <w:rPr>
          <w:rFonts w:asciiTheme="majorHAnsi" w:hAnsiTheme="majorHAnsi"/>
          <w:sz w:val="20"/>
          <w:szCs w:val="20"/>
          <w:lang w:val="es-VE"/>
        </w:rPr>
        <w:t>a los comentarios,</w:t>
      </w:r>
      <w:r w:rsidR="003A7C2C">
        <w:rPr>
          <w:rFonts w:asciiTheme="majorHAnsi" w:hAnsiTheme="majorHAnsi"/>
          <w:sz w:val="20"/>
          <w:szCs w:val="20"/>
          <w:lang w:val="es-VE"/>
        </w:rPr>
        <w:t xml:space="preserve"> los jueces </w:t>
      </w:r>
      <w:r w:rsidR="000656AB">
        <w:rPr>
          <w:rFonts w:asciiTheme="majorHAnsi" w:hAnsiTheme="majorHAnsi"/>
          <w:sz w:val="20"/>
          <w:szCs w:val="20"/>
          <w:lang w:val="es-VE"/>
        </w:rPr>
        <w:t xml:space="preserve">han actuado con </w:t>
      </w:r>
      <w:r w:rsidR="003A7C2C">
        <w:rPr>
          <w:rFonts w:asciiTheme="majorHAnsi" w:hAnsiTheme="majorHAnsi"/>
          <w:sz w:val="20"/>
          <w:szCs w:val="20"/>
          <w:lang w:val="es-VE"/>
        </w:rPr>
        <w:t>parcialidad en su contra en los diversos procesos en que es parte</w:t>
      </w:r>
      <w:r w:rsidR="000656AB">
        <w:rPr>
          <w:rFonts w:asciiTheme="majorHAnsi" w:hAnsiTheme="majorHAnsi"/>
          <w:sz w:val="20"/>
          <w:szCs w:val="20"/>
          <w:lang w:val="es-VE"/>
        </w:rPr>
        <w:t>,</w:t>
      </w:r>
      <w:r w:rsidR="003A7C2C">
        <w:rPr>
          <w:rFonts w:asciiTheme="majorHAnsi" w:hAnsiTheme="majorHAnsi"/>
          <w:sz w:val="20"/>
          <w:szCs w:val="20"/>
          <w:lang w:val="es-VE"/>
        </w:rPr>
        <w:t xml:space="preserve"> tales como </w:t>
      </w:r>
      <w:r w:rsidR="000656AB">
        <w:rPr>
          <w:rFonts w:asciiTheme="majorHAnsi" w:hAnsiTheme="majorHAnsi"/>
          <w:sz w:val="20"/>
          <w:szCs w:val="20"/>
          <w:lang w:val="es-VE"/>
        </w:rPr>
        <w:t xml:space="preserve">los de </w:t>
      </w:r>
      <w:r w:rsidR="003A7C2C">
        <w:rPr>
          <w:rFonts w:asciiTheme="majorHAnsi" w:hAnsiTheme="majorHAnsi"/>
          <w:sz w:val="20"/>
          <w:szCs w:val="20"/>
          <w:lang w:val="es-VE"/>
        </w:rPr>
        <w:t>cobr</w:t>
      </w:r>
      <w:r w:rsidR="000656AB">
        <w:rPr>
          <w:rFonts w:asciiTheme="majorHAnsi" w:hAnsiTheme="majorHAnsi"/>
          <w:sz w:val="20"/>
          <w:szCs w:val="20"/>
          <w:lang w:val="es-VE"/>
        </w:rPr>
        <w:t>o</w:t>
      </w:r>
      <w:r w:rsidR="003A7C2C">
        <w:rPr>
          <w:rFonts w:asciiTheme="majorHAnsi" w:hAnsiTheme="majorHAnsi"/>
          <w:sz w:val="20"/>
          <w:szCs w:val="20"/>
          <w:lang w:val="es-VE"/>
        </w:rPr>
        <w:t xml:space="preserve"> de honorarios</w:t>
      </w:r>
      <w:r w:rsidR="00806058">
        <w:rPr>
          <w:rFonts w:asciiTheme="majorHAnsi" w:hAnsiTheme="majorHAnsi"/>
          <w:sz w:val="20"/>
          <w:szCs w:val="20"/>
          <w:lang w:val="es-VE"/>
        </w:rPr>
        <w:t xml:space="preserve"> que se le adeudaban </w:t>
      </w:r>
      <w:r w:rsidR="000656AB">
        <w:rPr>
          <w:rFonts w:asciiTheme="majorHAnsi" w:hAnsiTheme="majorHAnsi"/>
          <w:sz w:val="20"/>
          <w:szCs w:val="20"/>
          <w:lang w:val="es-VE"/>
        </w:rPr>
        <w:t xml:space="preserve">en el </w:t>
      </w:r>
      <w:r w:rsidR="00806058">
        <w:rPr>
          <w:rFonts w:asciiTheme="majorHAnsi" w:hAnsiTheme="majorHAnsi"/>
          <w:sz w:val="20"/>
          <w:szCs w:val="20"/>
          <w:lang w:val="es-VE"/>
        </w:rPr>
        <w:t>momento de su detención</w:t>
      </w:r>
      <w:r w:rsidR="000656AB">
        <w:rPr>
          <w:rFonts w:asciiTheme="majorHAnsi" w:hAnsiTheme="majorHAnsi"/>
          <w:sz w:val="20"/>
          <w:szCs w:val="20"/>
          <w:lang w:val="es-VE"/>
        </w:rPr>
        <w:t>,</w:t>
      </w:r>
      <w:r w:rsidR="00A61158">
        <w:rPr>
          <w:rFonts w:asciiTheme="majorHAnsi" w:hAnsiTheme="majorHAnsi"/>
          <w:sz w:val="20"/>
          <w:szCs w:val="20"/>
          <w:lang w:val="es-VE"/>
        </w:rPr>
        <w:t xml:space="preserve"> y </w:t>
      </w:r>
      <w:r w:rsidR="000656AB">
        <w:rPr>
          <w:rFonts w:asciiTheme="majorHAnsi" w:hAnsiTheme="majorHAnsi"/>
          <w:sz w:val="20"/>
          <w:szCs w:val="20"/>
          <w:lang w:val="es-VE"/>
        </w:rPr>
        <w:t xml:space="preserve">los de </w:t>
      </w:r>
      <w:r w:rsidR="00BD70DF">
        <w:rPr>
          <w:rFonts w:asciiTheme="majorHAnsi" w:hAnsiTheme="majorHAnsi"/>
          <w:sz w:val="20"/>
          <w:szCs w:val="20"/>
          <w:lang w:val="es-VE"/>
        </w:rPr>
        <w:t>apropiación indebida</w:t>
      </w:r>
      <w:r w:rsidR="003A7C2C">
        <w:rPr>
          <w:rFonts w:asciiTheme="majorHAnsi" w:hAnsiTheme="majorHAnsi"/>
          <w:sz w:val="20"/>
          <w:szCs w:val="20"/>
          <w:lang w:val="es-VE"/>
        </w:rPr>
        <w:t xml:space="preserve"> </w:t>
      </w:r>
      <w:r w:rsidR="00BD70DF">
        <w:rPr>
          <w:rFonts w:asciiTheme="majorHAnsi" w:hAnsiTheme="majorHAnsi"/>
          <w:sz w:val="20"/>
          <w:szCs w:val="20"/>
          <w:lang w:val="es-VE"/>
        </w:rPr>
        <w:t>de los recursos de su estudio jur</w:t>
      </w:r>
      <w:r w:rsidR="00A61158">
        <w:rPr>
          <w:rFonts w:asciiTheme="majorHAnsi" w:hAnsiTheme="majorHAnsi"/>
          <w:sz w:val="20"/>
          <w:szCs w:val="20"/>
          <w:lang w:val="es-VE"/>
        </w:rPr>
        <w:t>ídico.</w:t>
      </w:r>
      <w:r w:rsidR="00F528BB">
        <w:rPr>
          <w:rFonts w:asciiTheme="majorHAnsi" w:hAnsiTheme="majorHAnsi"/>
          <w:sz w:val="20"/>
          <w:szCs w:val="20"/>
          <w:lang w:val="es-VE"/>
        </w:rPr>
        <w:t xml:space="preserve"> </w:t>
      </w:r>
      <w:r w:rsidR="00A61158">
        <w:rPr>
          <w:rFonts w:asciiTheme="majorHAnsi" w:hAnsiTheme="majorHAnsi"/>
          <w:sz w:val="20"/>
          <w:szCs w:val="20"/>
          <w:lang w:val="es-VE"/>
        </w:rPr>
        <w:t xml:space="preserve"> </w:t>
      </w:r>
    </w:p>
    <w:p w14:paraId="5A4E25F2" w14:textId="77777777" w:rsidR="00C15B4B" w:rsidRPr="00C15B4B" w:rsidRDefault="00C15B4B" w:rsidP="003A4150">
      <w:pPr>
        <w:pStyle w:val="ListParagraph"/>
        <w:ind w:left="0" w:firstLine="720"/>
        <w:rPr>
          <w:rFonts w:asciiTheme="majorHAnsi" w:hAnsiTheme="majorHAnsi"/>
          <w:sz w:val="20"/>
          <w:szCs w:val="20"/>
          <w:lang w:val="es-VE"/>
        </w:rPr>
      </w:pPr>
    </w:p>
    <w:p w14:paraId="232840E4" w14:textId="37226F67" w:rsidR="00C15B4B" w:rsidRDefault="000656AB"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El peticionario </w:t>
      </w:r>
      <w:r w:rsidR="00A61158">
        <w:rPr>
          <w:rFonts w:asciiTheme="majorHAnsi" w:hAnsiTheme="majorHAnsi"/>
          <w:sz w:val="20"/>
          <w:szCs w:val="20"/>
          <w:lang w:val="es-VE"/>
        </w:rPr>
        <w:t xml:space="preserve">presentó una </w:t>
      </w:r>
      <w:r w:rsidR="00281AE4">
        <w:rPr>
          <w:rFonts w:asciiTheme="majorHAnsi" w:hAnsiTheme="majorHAnsi"/>
          <w:sz w:val="20"/>
          <w:szCs w:val="20"/>
          <w:lang w:val="es-VE"/>
        </w:rPr>
        <w:t xml:space="preserve">demanda por daños y perjuicios contra el Estado por su traslado </w:t>
      </w:r>
      <w:r>
        <w:rPr>
          <w:rFonts w:asciiTheme="majorHAnsi" w:hAnsiTheme="majorHAnsi"/>
          <w:sz w:val="20"/>
          <w:szCs w:val="20"/>
          <w:lang w:val="es-VE"/>
        </w:rPr>
        <w:t xml:space="preserve">ilegal </w:t>
      </w:r>
      <w:r w:rsidR="00281AE4">
        <w:rPr>
          <w:rFonts w:asciiTheme="majorHAnsi" w:hAnsiTheme="majorHAnsi"/>
          <w:sz w:val="20"/>
          <w:szCs w:val="20"/>
          <w:lang w:val="es-VE"/>
        </w:rPr>
        <w:t xml:space="preserve">a un centro de máxima seguridad y las consecuencias que le acarreó, </w:t>
      </w:r>
      <w:r>
        <w:rPr>
          <w:rFonts w:asciiTheme="majorHAnsi" w:hAnsiTheme="majorHAnsi"/>
          <w:sz w:val="20"/>
          <w:szCs w:val="20"/>
          <w:lang w:val="es-VE"/>
        </w:rPr>
        <w:t xml:space="preserve">por </w:t>
      </w:r>
      <w:r w:rsidR="00281AE4">
        <w:rPr>
          <w:rFonts w:asciiTheme="majorHAnsi" w:hAnsiTheme="majorHAnsi"/>
          <w:sz w:val="20"/>
          <w:szCs w:val="20"/>
          <w:lang w:val="es-VE"/>
        </w:rPr>
        <w:t>su prolongada prisión preventiva</w:t>
      </w:r>
      <w:r w:rsidR="00C43F55">
        <w:rPr>
          <w:rFonts w:asciiTheme="majorHAnsi" w:hAnsiTheme="majorHAnsi"/>
          <w:sz w:val="20"/>
          <w:szCs w:val="20"/>
          <w:lang w:val="es-VE"/>
        </w:rPr>
        <w:t xml:space="preserve"> y </w:t>
      </w:r>
      <w:r>
        <w:rPr>
          <w:rFonts w:asciiTheme="majorHAnsi" w:hAnsiTheme="majorHAnsi"/>
          <w:sz w:val="20"/>
          <w:szCs w:val="20"/>
          <w:lang w:val="es-VE"/>
        </w:rPr>
        <w:t xml:space="preserve">por </w:t>
      </w:r>
      <w:r w:rsidR="00C43F55">
        <w:rPr>
          <w:rFonts w:asciiTheme="majorHAnsi" w:hAnsiTheme="majorHAnsi"/>
          <w:sz w:val="20"/>
          <w:szCs w:val="20"/>
          <w:lang w:val="es-VE"/>
        </w:rPr>
        <w:t xml:space="preserve">el trato degradante, persecutorio y vindicativo recibido de las autoridades penitenciarias. El 18 de octubre de 2019 el </w:t>
      </w:r>
      <w:r>
        <w:rPr>
          <w:rFonts w:asciiTheme="majorHAnsi" w:hAnsiTheme="majorHAnsi"/>
          <w:sz w:val="20"/>
          <w:szCs w:val="20"/>
          <w:lang w:val="es-VE"/>
        </w:rPr>
        <w:t>J</w:t>
      </w:r>
      <w:r w:rsidR="00C43F55">
        <w:rPr>
          <w:rFonts w:asciiTheme="majorHAnsi" w:hAnsiTheme="majorHAnsi"/>
          <w:sz w:val="20"/>
          <w:szCs w:val="20"/>
          <w:lang w:val="es-VE"/>
        </w:rPr>
        <w:t xml:space="preserve">uez </w:t>
      </w:r>
      <w:r>
        <w:rPr>
          <w:rFonts w:asciiTheme="majorHAnsi" w:hAnsiTheme="majorHAnsi"/>
          <w:sz w:val="20"/>
          <w:szCs w:val="20"/>
          <w:lang w:val="es-VE"/>
        </w:rPr>
        <w:t>L</w:t>
      </w:r>
      <w:r w:rsidR="00C43F55">
        <w:rPr>
          <w:rFonts w:asciiTheme="majorHAnsi" w:hAnsiTheme="majorHAnsi"/>
          <w:sz w:val="20"/>
          <w:szCs w:val="20"/>
          <w:lang w:val="es-VE"/>
        </w:rPr>
        <w:t xml:space="preserve">etrado de </w:t>
      </w:r>
      <w:r>
        <w:rPr>
          <w:rFonts w:asciiTheme="majorHAnsi" w:hAnsiTheme="majorHAnsi"/>
          <w:sz w:val="20"/>
          <w:szCs w:val="20"/>
          <w:lang w:val="es-VE"/>
        </w:rPr>
        <w:t>P</w:t>
      </w:r>
      <w:r w:rsidR="00C43F55">
        <w:rPr>
          <w:rFonts w:asciiTheme="majorHAnsi" w:hAnsiTheme="majorHAnsi"/>
          <w:sz w:val="20"/>
          <w:szCs w:val="20"/>
          <w:lang w:val="es-VE"/>
        </w:rPr>
        <w:t xml:space="preserve">rimera </w:t>
      </w:r>
      <w:r>
        <w:rPr>
          <w:rFonts w:asciiTheme="majorHAnsi" w:hAnsiTheme="majorHAnsi"/>
          <w:sz w:val="20"/>
          <w:szCs w:val="20"/>
          <w:lang w:val="es-VE"/>
        </w:rPr>
        <w:t>I</w:t>
      </w:r>
      <w:r w:rsidR="00C43F55">
        <w:rPr>
          <w:rFonts w:asciiTheme="majorHAnsi" w:hAnsiTheme="majorHAnsi"/>
          <w:sz w:val="20"/>
          <w:szCs w:val="20"/>
          <w:lang w:val="es-VE"/>
        </w:rPr>
        <w:t xml:space="preserve">nstancia de lo </w:t>
      </w:r>
      <w:r>
        <w:rPr>
          <w:rFonts w:asciiTheme="majorHAnsi" w:hAnsiTheme="majorHAnsi"/>
          <w:sz w:val="20"/>
          <w:szCs w:val="20"/>
          <w:lang w:val="es-VE"/>
        </w:rPr>
        <w:t>C</w:t>
      </w:r>
      <w:r w:rsidR="00C43F55">
        <w:rPr>
          <w:rFonts w:asciiTheme="majorHAnsi" w:hAnsiTheme="majorHAnsi"/>
          <w:sz w:val="20"/>
          <w:szCs w:val="20"/>
          <w:lang w:val="es-VE"/>
        </w:rPr>
        <w:t xml:space="preserve">ontencioso </w:t>
      </w:r>
      <w:r>
        <w:rPr>
          <w:rFonts w:asciiTheme="majorHAnsi" w:hAnsiTheme="majorHAnsi"/>
          <w:sz w:val="20"/>
          <w:szCs w:val="20"/>
          <w:lang w:val="es-VE"/>
        </w:rPr>
        <w:t>A</w:t>
      </w:r>
      <w:r w:rsidR="00C43F55">
        <w:rPr>
          <w:rFonts w:asciiTheme="majorHAnsi" w:hAnsiTheme="majorHAnsi"/>
          <w:sz w:val="20"/>
          <w:szCs w:val="20"/>
          <w:lang w:val="es-VE"/>
        </w:rPr>
        <w:t xml:space="preserve">dministrativo concedió la demanda parcialmente </w:t>
      </w:r>
      <w:r>
        <w:rPr>
          <w:rFonts w:asciiTheme="majorHAnsi" w:hAnsiTheme="majorHAnsi"/>
          <w:sz w:val="20"/>
          <w:szCs w:val="20"/>
          <w:lang w:val="es-VE"/>
        </w:rPr>
        <w:t xml:space="preserve">y </w:t>
      </w:r>
      <w:r w:rsidR="00C43F55">
        <w:rPr>
          <w:rFonts w:asciiTheme="majorHAnsi" w:hAnsiTheme="majorHAnsi"/>
          <w:sz w:val="20"/>
          <w:szCs w:val="20"/>
          <w:lang w:val="es-VE"/>
        </w:rPr>
        <w:t>reconoci</w:t>
      </w:r>
      <w:r>
        <w:rPr>
          <w:rFonts w:asciiTheme="majorHAnsi" w:hAnsiTheme="majorHAnsi"/>
          <w:sz w:val="20"/>
          <w:szCs w:val="20"/>
          <w:lang w:val="es-VE"/>
        </w:rPr>
        <w:t>ó</w:t>
      </w:r>
      <w:r w:rsidR="00C43F55">
        <w:rPr>
          <w:rFonts w:asciiTheme="majorHAnsi" w:hAnsiTheme="majorHAnsi"/>
          <w:sz w:val="20"/>
          <w:szCs w:val="20"/>
          <w:lang w:val="es-VE"/>
        </w:rPr>
        <w:t xml:space="preserve"> a favor del peticionario </w:t>
      </w:r>
      <w:r w:rsidR="00DA2637">
        <w:rPr>
          <w:rFonts w:asciiTheme="majorHAnsi" w:hAnsiTheme="majorHAnsi"/>
          <w:sz w:val="20"/>
          <w:szCs w:val="20"/>
          <w:lang w:val="es-VE"/>
        </w:rPr>
        <w:t>U</w:t>
      </w:r>
      <w:r>
        <w:rPr>
          <w:rFonts w:asciiTheme="majorHAnsi" w:hAnsiTheme="majorHAnsi"/>
          <w:sz w:val="20"/>
          <w:szCs w:val="20"/>
          <w:lang w:val="es-VE"/>
        </w:rPr>
        <w:t>.</w:t>
      </w:r>
      <w:r w:rsidR="00DA2637">
        <w:rPr>
          <w:rFonts w:asciiTheme="majorHAnsi" w:hAnsiTheme="majorHAnsi"/>
          <w:sz w:val="20"/>
          <w:szCs w:val="20"/>
          <w:lang w:val="es-VE"/>
        </w:rPr>
        <w:t>S</w:t>
      </w:r>
      <w:r>
        <w:rPr>
          <w:rFonts w:asciiTheme="majorHAnsi" w:hAnsiTheme="majorHAnsi"/>
          <w:sz w:val="20"/>
          <w:szCs w:val="20"/>
          <w:lang w:val="es-VE"/>
        </w:rPr>
        <w:t>.</w:t>
      </w:r>
      <w:r w:rsidR="00DA2637">
        <w:rPr>
          <w:rFonts w:asciiTheme="majorHAnsi" w:hAnsiTheme="majorHAnsi"/>
          <w:sz w:val="20"/>
          <w:szCs w:val="20"/>
          <w:lang w:val="es-VE"/>
        </w:rPr>
        <w:t>$ 7</w:t>
      </w:r>
      <w:r>
        <w:rPr>
          <w:rFonts w:asciiTheme="majorHAnsi" w:hAnsiTheme="majorHAnsi"/>
          <w:sz w:val="20"/>
          <w:szCs w:val="20"/>
          <w:lang w:val="es-VE"/>
        </w:rPr>
        <w:t>.</w:t>
      </w:r>
      <w:r w:rsidR="00DA2637">
        <w:rPr>
          <w:rFonts w:asciiTheme="majorHAnsi" w:hAnsiTheme="majorHAnsi"/>
          <w:sz w:val="20"/>
          <w:szCs w:val="20"/>
          <w:lang w:val="es-VE"/>
        </w:rPr>
        <w:t>000 (siete mil dólares de los Estados Unidos de América) en concepto de daño moral por traslado ilegal. Sin embargo</w:t>
      </w:r>
      <w:r>
        <w:rPr>
          <w:rFonts w:asciiTheme="majorHAnsi" w:hAnsiTheme="majorHAnsi"/>
          <w:sz w:val="20"/>
          <w:szCs w:val="20"/>
          <w:lang w:val="es-VE"/>
        </w:rPr>
        <w:t>,</w:t>
      </w:r>
      <w:r w:rsidR="00DA2637">
        <w:rPr>
          <w:rFonts w:asciiTheme="majorHAnsi" w:hAnsiTheme="majorHAnsi"/>
          <w:sz w:val="20"/>
          <w:szCs w:val="20"/>
          <w:lang w:val="es-VE"/>
        </w:rPr>
        <w:t xml:space="preserve"> no reconoció daños materiales por considerar que no habían sido especificados en la demanda. En cuanto a los otros aspectos de la demanda</w:t>
      </w:r>
      <w:r>
        <w:rPr>
          <w:rFonts w:asciiTheme="majorHAnsi" w:hAnsiTheme="majorHAnsi"/>
          <w:sz w:val="20"/>
          <w:szCs w:val="20"/>
          <w:lang w:val="es-VE"/>
        </w:rPr>
        <w:t>,</w:t>
      </w:r>
      <w:r w:rsidR="00DA2637">
        <w:rPr>
          <w:rFonts w:asciiTheme="majorHAnsi" w:hAnsiTheme="majorHAnsi"/>
          <w:sz w:val="20"/>
          <w:szCs w:val="20"/>
          <w:lang w:val="es-VE"/>
        </w:rPr>
        <w:t xml:space="preserve"> rechazó la pretensión indemnizatoria </w:t>
      </w:r>
      <w:r>
        <w:rPr>
          <w:rFonts w:asciiTheme="majorHAnsi" w:hAnsiTheme="majorHAnsi"/>
          <w:sz w:val="20"/>
          <w:szCs w:val="20"/>
          <w:lang w:val="es-VE"/>
        </w:rPr>
        <w:t xml:space="preserve">por </w:t>
      </w:r>
      <w:r w:rsidR="00DA2637">
        <w:rPr>
          <w:rFonts w:asciiTheme="majorHAnsi" w:hAnsiTheme="majorHAnsi"/>
          <w:sz w:val="20"/>
          <w:szCs w:val="20"/>
          <w:lang w:val="es-VE"/>
        </w:rPr>
        <w:t>considera</w:t>
      </w:r>
      <w:r>
        <w:rPr>
          <w:rFonts w:asciiTheme="majorHAnsi" w:hAnsiTheme="majorHAnsi"/>
          <w:sz w:val="20"/>
          <w:szCs w:val="20"/>
          <w:lang w:val="es-VE"/>
        </w:rPr>
        <w:t>r</w:t>
      </w:r>
      <w:r w:rsidR="00DA2637">
        <w:rPr>
          <w:rFonts w:asciiTheme="majorHAnsi" w:hAnsiTheme="majorHAnsi"/>
          <w:sz w:val="20"/>
          <w:szCs w:val="20"/>
          <w:lang w:val="es-VE"/>
        </w:rPr>
        <w:t xml:space="preserve"> que los actos denunciados no estaban comprobados.</w:t>
      </w:r>
      <w:r w:rsidR="00C43F55">
        <w:rPr>
          <w:rFonts w:asciiTheme="majorHAnsi" w:hAnsiTheme="majorHAnsi"/>
          <w:sz w:val="20"/>
          <w:szCs w:val="20"/>
          <w:lang w:val="es-VE"/>
        </w:rPr>
        <w:t xml:space="preserve">  </w:t>
      </w:r>
    </w:p>
    <w:p w14:paraId="2CEA9044" w14:textId="77777777" w:rsidR="00FE1774" w:rsidRPr="00FE1774" w:rsidRDefault="00FE1774" w:rsidP="00FE1774">
      <w:pPr>
        <w:pStyle w:val="ListParagraph"/>
        <w:rPr>
          <w:rFonts w:asciiTheme="majorHAnsi" w:hAnsiTheme="majorHAnsi"/>
          <w:sz w:val="20"/>
          <w:szCs w:val="20"/>
          <w:lang w:val="es-VE"/>
        </w:rPr>
      </w:pPr>
    </w:p>
    <w:p w14:paraId="3F1893CA" w14:textId="293F0A4B" w:rsidR="00FE1774" w:rsidRPr="00ED6775" w:rsidRDefault="00FE1774" w:rsidP="003A4150">
      <w:pPr>
        <w:pStyle w:val="ListParagraph"/>
        <w:numPr>
          <w:ilvl w:val="0"/>
          <w:numId w:val="103"/>
        </w:numPr>
        <w:tabs>
          <w:tab w:val="clear" w:pos="810"/>
        </w:tabs>
        <w:ind w:left="0"/>
        <w:jc w:val="both"/>
        <w:rPr>
          <w:rFonts w:asciiTheme="majorHAnsi" w:hAnsiTheme="majorHAnsi"/>
          <w:color w:val="auto"/>
          <w:sz w:val="20"/>
          <w:szCs w:val="20"/>
          <w:lang w:val="es-VE"/>
        </w:rPr>
      </w:pPr>
      <w:r w:rsidRPr="00ED6775">
        <w:rPr>
          <w:rFonts w:asciiTheme="majorHAnsi" w:hAnsiTheme="majorHAnsi"/>
          <w:color w:val="auto"/>
          <w:sz w:val="20"/>
          <w:szCs w:val="20"/>
          <w:lang w:val="es-VE"/>
        </w:rPr>
        <w:t xml:space="preserve">El 12 de julio de 2021 el peticionario envió a la Comisión copia de la sentencia de primera instancia del 15 de marzo de 2021 en la fue encontrando responsable de homicidio especialmente agravado por la premeditación y el uso de arma de fuego imponiéndosele una pena 21 años y 4 meses de penitenciaría. El peticionario identificó a esta sentencia como “apelada”. </w:t>
      </w:r>
    </w:p>
    <w:p w14:paraId="27A37FE8" w14:textId="77777777" w:rsidR="00077DD7" w:rsidRPr="00077DD7" w:rsidRDefault="00077DD7" w:rsidP="003A4150">
      <w:pPr>
        <w:pStyle w:val="ListParagraph"/>
        <w:ind w:left="0" w:firstLine="720"/>
        <w:rPr>
          <w:rFonts w:asciiTheme="majorHAnsi" w:hAnsiTheme="majorHAnsi"/>
          <w:sz w:val="20"/>
          <w:szCs w:val="20"/>
          <w:lang w:val="es-VE"/>
        </w:rPr>
      </w:pPr>
    </w:p>
    <w:p w14:paraId="58D98EB2" w14:textId="63C7627B" w:rsidR="000945B4" w:rsidRDefault="00077DD7"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El Estado, por su parte, considera que la petición </w:t>
      </w:r>
      <w:r w:rsidR="000656AB">
        <w:rPr>
          <w:rFonts w:asciiTheme="majorHAnsi" w:hAnsiTheme="majorHAnsi"/>
          <w:sz w:val="20"/>
          <w:szCs w:val="20"/>
          <w:lang w:val="es-VE"/>
        </w:rPr>
        <w:t xml:space="preserve">debe ser declarada inadmisible porque </w:t>
      </w:r>
      <w:r w:rsidR="00723684">
        <w:rPr>
          <w:rFonts w:asciiTheme="majorHAnsi" w:hAnsiTheme="majorHAnsi"/>
          <w:sz w:val="20"/>
          <w:szCs w:val="20"/>
          <w:lang w:val="es-VE"/>
        </w:rPr>
        <w:t>n</w:t>
      </w:r>
      <w:r>
        <w:rPr>
          <w:rFonts w:asciiTheme="majorHAnsi" w:hAnsiTheme="majorHAnsi"/>
          <w:sz w:val="20"/>
          <w:szCs w:val="20"/>
          <w:lang w:val="es-VE"/>
        </w:rPr>
        <w:t xml:space="preserve">o revela actos, hechos u omisiones que representen violación </w:t>
      </w:r>
      <w:r w:rsidR="000656AB">
        <w:rPr>
          <w:rFonts w:asciiTheme="majorHAnsi" w:hAnsiTheme="majorHAnsi"/>
          <w:sz w:val="20"/>
          <w:szCs w:val="20"/>
          <w:lang w:val="es-VE"/>
        </w:rPr>
        <w:t>de</w:t>
      </w:r>
      <w:r>
        <w:rPr>
          <w:rFonts w:asciiTheme="majorHAnsi" w:hAnsiTheme="majorHAnsi"/>
          <w:sz w:val="20"/>
          <w:szCs w:val="20"/>
          <w:lang w:val="es-VE"/>
        </w:rPr>
        <w:t xml:space="preserve"> la Convención Americana</w:t>
      </w:r>
      <w:r w:rsidR="000656AB">
        <w:rPr>
          <w:rFonts w:asciiTheme="majorHAnsi" w:hAnsiTheme="majorHAnsi"/>
          <w:sz w:val="20"/>
          <w:szCs w:val="20"/>
          <w:lang w:val="es-VE"/>
        </w:rPr>
        <w:t>;</w:t>
      </w:r>
      <w:r w:rsidR="00FD6129">
        <w:rPr>
          <w:rFonts w:asciiTheme="majorHAnsi" w:hAnsiTheme="majorHAnsi"/>
          <w:sz w:val="20"/>
          <w:szCs w:val="20"/>
          <w:lang w:val="es-VE"/>
        </w:rPr>
        <w:t xml:space="preserve"> </w:t>
      </w:r>
      <w:r w:rsidR="000656AB">
        <w:rPr>
          <w:rFonts w:asciiTheme="majorHAnsi" w:hAnsiTheme="majorHAnsi"/>
          <w:sz w:val="20"/>
          <w:szCs w:val="20"/>
          <w:lang w:val="es-VE"/>
        </w:rPr>
        <w:t xml:space="preserve">y </w:t>
      </w:r>
      <w:r w:rsidR="00FD6129">
        <w:rPr>
          <w:rFonts w:asciiTheme="majorHAnsi" w:hAnsiTheme="majorHAnsi"/>
          <w:sz w:val="20"/>
          <w:szCs w:val="20"/>
          <w:lang w:val="es-VE"/>
        </w:rPr>
        <w:t>por falta de agotamiento de recursos internos</w:t>
      </w:r>
      <w:r w:rsidR="000656AB">
        <w:rPr>
          <w:rFonts w:asciiTheme="majorHAnsi" w:hAnsiTheme="majorHAnsi"/>
          <w:sz w:val="20"/>
          <w:szCs w:val="20"/>
          <w:lang w:val="es-VE"/>
        </w:rPr>
        <w:t>, ya</w:t>
      </w:r>
      <w:r w:rsidR="00FD6129">
        <w:rPr>
          <w:rFonts w:asciiTheme="majorHAnsi" w:hAnsiTheme="majorHAnsi"/>
          <w:sz w:val="20"/>
          <w:szCs w:val="20"/>
          <w:lang w:val="es-VE"/>
        </w:rPr>
        <w:t xml:space="preserve"> que el proceso penal contra el peticionario </w:t>
      </w:r>
      <w:r w:rsidR="000656AB">
        <w:rPr>
          <w:rFonts w:asciiTheme="majorHAnsi" w:hAnsiTheme="majorHAnsi"/>
          <w:sz w:val="20"/>
          <w:szCs w:val="20"/>
          <w:lang w:val="es-VE"/>
        </w:rPr>
        <w:t>sigue</w:t>
      </w:r>
      <w:r w:rsidR="00FD6129">
        <w:rPr>
          <w:rFonts w:asciiTheme="majorHAnsi" w:hAnsiTheme="majorHAnsi"/>
          <w:sz w:val="20"/>
          <w:szCs w:val="20"/>
          <w:lang w:val="es-VE"/>
        </w:rPr>
        <w:t xml:space="preserve"> en curso.</w:t>
      </w:r>
      <w:r>
        <w:rPr>
          <w:rFonts w:asciiTheme="majorHAnsi" w:hAnsiTheme="majorHAnsi"/>
          <w:sz w:val="20"/>
          <w:szCs w:val="20"/>
          <w:lang w:val="es-VE"/>
        </w:rPr>
        <w:t xml:space="preserve"> </w:t>
      </w:r>
      <w:r w:rsidR="00FD6129">
        <w:rPr>
          <w:rFonts w:asciiTheme="majorHAnsi" w:hAnsiTheme="majorHAnsi"/>
          <w:sz w:val="20"/>
          <w:szCs w:val="20"/>
          <w:lang w:val="es-VE"/>
        </w:rPr>
        <w:t xml:space="preserve">Señala que </w:t>
      </w:r>
      <w:r w:rsidR="000656AB">
        <w:rPr>
          <w:rFonts w:asciiTheme="majorHAnsi" w:hAnsiTheme="majorHAnsi"/>
          <w:sz w:val="20"/>
          <w:szCs w:val="20"/>
          <w:lang w:val="es-VE"/>
        </w:rPr>
        <w:t>dicho</w:t>
      </w:r>
      <w:r w:rsidR="00FD6129">
        <w:rPr>
          <w:rFonts w:asciiTheme="majorHAnsi" w:hAnsiTheme="majorHAnsi"/>
          <w:sz w:val="20"/>
          <w:szCs w:val="20"/>
          <w:lang w:val="es-VE"/>
        </w:rPr>
        <w:t xml:space="preserve"> proceso </w:t>
      </w:r>
      <w:r>
        <w:rPr>
          <w:rFonts w:asciiTheme="majorHAnsi" w:hAnsiTheme="majorHAnsi"/>
          <w:sz w:val="20"/>
          <w:szCs w:val="20"/>
          <w:lang w:val="es-VE"/>
        </w:rPr>
        <w:t>ha seguido su curso norma</w:t>
      </w:r>
      <w:r w:rsidR="00FD6129">
        <w:rPr>
          <w:rFonts w:asciiTheme="majorHAnsi" w:hAnsiTheme="majorHAnsi"/>
          <w:sz w:val="20"/>
          <w:szCs w:val="20"/>
          <w:lang w:val="es-VE"/>
        </w:rPr>
        <w:t>l y que su larga duración es atribuible a las</w:t>
      </w:r>
      <w:r w:rsidR="009C6323">
        <w:rPr>
          <w:rFonts w:asciiTheme="majorHAnsi" w:hAnsiTheme="majorHAnsi"/>
          <w:sz w:val="20"/>
          <w:szCs w:val="20"/>
          <w:lang w:val="es-VE"/>
        </w:rPr>
        <w:t xml:space="preserve"> numerosas actuaciones</w:t>
      </w:r>
      <w:r w:rsidR="00FD6129">
        <w:rPr>
          <w:rFonts w:asciiTheme="majorHAnsi" w:hAnsiTheme="majorHAnsi"/>
          <w:sz w:val="20"/>
          <w:szCs w:val="20"/>
          <w:lang w:val="es-VE"/>
        </w:rPr>
        <w:t xml:space="preserve"> del propio peticionario</w:t>
      </w:r>
      <w:r w:rsidR="009C6323">
        <w:rPr>
          <w:rFonts w:asciiTheme="majorHAnsi" w:hAnsiTheme="majorHAnsi"/>
          <w:sz w:val="20"/>
          <w:szCs w:val="20"/>
          <w:lang w:val="es-VE"/>
        </w:rPr>
        <w:t xml:space="preserve"> </w:t>
      </w:r>
      <w:r w:rsidR="00FD6129">
        <w:rPr>
          <w:rFonts w:asciiTheme="majorHAnsi" w:hAnsiTheme="majorHAnsi"/>
          <w:sz w:val="20"/>
          <w:szCs w:val="20"/>
          <w:lang w:val="es-VE"/>
        </w:rPr>
        <w:t xml:space="preserve">que </w:t>
      </w:r>
      <w:r w:rsidR="000656AB">
        <w:rPr>
          <w:rFonts w:asciiTheme="majorHAnsi" w:hAnsiTheme="majorHAnsi"/>
          <w:sz w:val="20"/>
          <w:szCs w:val="20"/>
          <w:lang w:val="es-VE"/>
        </w:rPr>
        <w:t xml:space="preserve">lo </w:t>
      </w:r>
      <w:r w:rsidR="00FD6129">
        <w:rPr>
          <w:rFonts w:asciiTheme="majorHAnsi" w:hAnsiTheme="majorHAnsi"/>
          <w:sz w:val="20"/>
          <w:szCs w:val="20"/>
          <w:lang w:val="es-VE"/>
        </w:rPr>
        <w:t xml:space="preserve">han </w:t>
      </w:r>
      <w:r w:rsidR="000656AB">
        <w:rPr>
          <w:rFonts w:asciiTheme="majorHAnsi" w:hAnsiTheme="majorHAnsi"/>
          <w:sz w:val="20"/>
          <w:szCs w:val="20"/>
          <w:lang w:val="es-VE"/>
        </w:rPr>
        <w:t>demorado</w:t>
      </w:r>
      <w:r w:rsidR="00FD6129">
        <w:rPr>
          <w:rFonts w:asciiTheme="majorHAnsi" w:hAnsiTheme="majorHAnsi"/>
          <w:sz w:val="20"/>
          <w:szCs w:val="20"/>
          <w:lang w:val="es-VE"/>
        </w:rPr>
        <w:t>, tales como múlt</w:t>
      </w:r>
      <w:r w:rsidR="003E667E">
        <w:rPr>
          <w:rFonts w:asciiTheme="majorHAnsi" w:hAnsiTheme="majorHAnsi"/>
          <w:sz w:val="20"/>
          <w:szCs w:val="20"/>
          <w:lang w:val="es-VE"/>
        </w:rPr>
        <w:t>iples remociones</w:t>
      </w:r>
      <w:r w:rsidR="00D660EB">
        <w:rPr>
          <w:rFonts w:asciiTheme="majorHAnsi" w:hAnsiTheme="majorHAnsi"/>
          <w:sz w:val="20"/>
          <w:szCs w:val="20"/>
          <w:lang w:val="es-VE"/>
        </w:rPr>
        <w:t xml:space="preserve"> y designaciones</w:t>
      </w:r>
      <w:r w:rsidR="003E667E">
        <w:rPr>
          <w:rFonts w:asciiTheme="majorHAnsi" w:hAnsiTheme="majorHAnsi"/>
          <w:sz w:val="20"/>
          <w:szCs w:val="20"/>
          <w:lang w:val="es-VE"/>
        </w:rPr>
        <w:t xml:space="preserve"> de su defensa</w:t>
      </w:r>
      <w:r w:rsidR="00D660EB">
        <w:rPr>
          <w:rFonts w:asciiTheme="majorHAnsi" w:hAnsiTheme="majorHAnsi"/>
          <w:sz w:val="20"/>
          <w:szCs w:val="20"/>
          <w:lang w:val="es-VE"/>
        </w:rPr>
        <w:t>,</w:t>
      </w:r>
      <w:r w:rsidR="003E667E">
        <w:rPr>
          <w:rFonts w:asciiTheme="majorHAnsi" w:hAnsiTheme="majorHAnsi"/>
          <w:sz w:val="20"/>
          <w:szCs w:val="20"/>
          <w:lang w:val="es-VE"/>
        </w:rPr>
        <w:t xml:space="preserve"> </w:t>
      </w:r>
      <w:r w:rsidR="00D660EB">
        <w:rPr>
          <w:rFonts w:asciiTheme="majorHAnsi" w:hAnsiTheme="majorHAnsi"/>
          <w:sz w:val="20"/>
          <w:szCs w:val="20"/>
          <w:lang w:val="es-VE"/>
        </w:rPr>
        <w:t>constante interposición de recursos contra las</w:t>
      </w:r>
      <w:r w:rsidR="003E667E">
        <w:rPr>
          <w:rFonts w:asciiTheme="majorHAnsi" w:hAnsiTheme="majorHAnsi"/>
          <w:sz w:val="20"/>
          <w:szCs w:val="20"/>
          <w:lang w:val="es-VE"/>
        </w:rPr>
        <w:t xml:space="preserve"> decisiones del juzgado</w:t>
      </w:r>
      <w:r w:rsidR="00D660EB">
        <w:rPr>
          <w:rFonts w:asciiTheme="majorHAnsi" w:hAnsiTheme="majorHAnsi"/>
          <w:sz w:val="20"/>
          <w:szCs w:val="20"/>
          <w:lang w:val="es-VE"/>
        </w:rPr>
        <w:t xml:space="preserve"> en materia probatoria</w:t>
      </w:r>
      <w:r w:rsidR="003E667E">
        <w:rPr>
          <w:rFonts w:asciiTheme="majorHAnsi" w:hAnsiTheme="majorHAnsi"/>
          <w:sz w:val="20"/>
          <w:szCs w:val="20"/>
          <w:lang w:val="es-VE"/>
        </w:rPr>
        <w:t>, recusación, incidente de inconstitucionalidad por la denegatoria de su</w:t>
      </w:r>
      <w:r w:rsidR="00D660EB">
        <w:rPr>
          <w:rFonts w:asciiTheme="majorHAnsi" w:hAnsiTheme="majorHAnsi"/>
          <w:sz w:val="20"/>
          <w:szCs w:val="20"/>
          <w:lang w:val="es-VE"/>
        </w:rPr>
        <w:t xml:space="preserve"> solicitud de ejercer su propia</w:t>
      </w:r>
      <w:r w:rsidR="000945B4">
        <w:rPr>
          <w:rFonts w:asciiTheme="majorHAnsi" w:hAnsiTheme="majorHAnsi"/>
          <w:sz w:val="20"/>
          <w:szCs w:val="20"/>
          <w:lang w:val="es-VE"/>
        </w:rPr>
        <w:t xml:space="preserve"> defensa</w:t>
      </w:r>
      <w:r w:rsidR="000656AB">
        <w:rPr>
          <w:rFonts w:asciiTheme="majorHAnsi" w:hAnsiTheme="majorHAnsi"/>
          <w:sz w:val="20"/>
          <w:szCs w:val="20"/>
          <w:lang w:val="es-VE"/>
        </w:rPr>
        <w:t>,</w:t>
      </w:r>
      <w:r w:rsidR="005F7E27">
        <w:rPr>
          <w:rFonts w:asciiTheme="majorHAnsi" w:hAnsiTheme="majorHAnsi"/>
          <w:sz w:val="20"/>
          <w:szCs w:val="20"/>
          <w:lang w:val="es-VE"/>
        </w:rPr>
        <w:t xml:space="preserve"> e</w:t>
      </w:r>
      <w:r w:rsidR="000945B4">
        <w:rPr>
          <w:rFonts w:asciiTheme="majorHAnsi" w:hAnsiTheme="majorHAnsi"/>
          <w:sz w:val="20"/>
          <w:szCs w:val="20"/>
          <w:lang w:val="es-VE"/>
        </w:rPr>
        <w:t xml:space="preserve"> incidentes de tachas</w:t>
      </w:r>
      <w:r w:rsidR="005F7E27">
        <w:rPr>
          <w:rFonts w:asciiTheme="majorHAnsi" w:hAnsiTheme="majorHAnsi"/>
          <w:sz w:val="20"/>
          <w:szCs w:val="20"/>
          <w:lang w:val="es-VE"/>
        </w:rPr>
        <w:t xml:space="preserve"> y de indefensión</w:t>
      </w:r>
      <w:r w:rsidR="000945B4">
        <w:rPr>
          <w:rFonts w:asciiTheme="majorHAnsi" w:hAnsiTheme="majorHAnsi"/>
          <w:sz w:val="20"/>
          <w:szCs w:val="20"/>
          <w:lang w:val="es-VE"/>
        </w:rPr>
        <w:t xml:space="preserve">. Considera que la excepción al agotamiento de los recursos internos </w:t>
      </w:r>
      <w:r w:rsidR="000656AB">
        <w:rPr>
          <w:rFonts w:asciiTheme="majorHAnsi" w:hAnsiTheme="majorHAnsi"/>
          <w:sz w:val="20"/>
          <w:szCs w:val="20"/>
          <w:lang w:val="es-VE"/>
        </w:rPr>
        <w:t>d</w:t>
      </w:r>
      <w:r w:rsidR="000945B4">
        <w:rPr>
          <w:rFonts w:asciiTheme="majorHAnsi" w:hAnsiTheme="majorHAnsi"/>
          <w:sz w:val="20"/>
          <w:szCs w:val="20"/>
          <w:lang w:val="es-VE"/>
        </w:rPr>
        <w:t xml:space="preserve">el artículo 46.2(c) de la Convención </w:t>
      </w:r>
      <w:r w:rsidR="000656AB">
        <w:rPr>
          <w:rFonts w:asciiTheme="majorHAnsi" w:hAnsiTheme="majorHAnsi"/>
          <w:sz w:val="20"/>
          <w:szCs w:val="20"/>
          <w:lang w:val="es-VE"/>
        </w:rPr>
        <w:t xml:space="preserve">Americana </w:t>
      </w:r>
      <w:r w:rsidR="000945B4">
        <w:rPr>
          <w:rFonts w:asciiTheme="majorHAnsi" w:hAnsiTheme="majorHAnsi"/>
          <w:sz w:val="20"/>
          <w:szCs w:val="20"/>
          <w:lang w:val="es-VE"/>
        </w:rPr>
        <w:t xml:space="preserve">no puede </w:t>
      </w:r>
      <w:r w:rsidR="00553D15">
        <w:rPr>
          <w:rFonts w:asciiTheme="majorHAnsi" w:hAnsiTheme="majorHAnsi"/>
          <w:sz w:val="20"/>
          <w:szCs w:val="20"/>
          <w:lang w:val="es-VE"/>
        </w:rPr>
        <w:t>ser invocada por el peticionario</w:t>
      </w:r>
      <w:r w:rsidR="000656AB">
        <w:rPr>
          <w:rFonts w:asciiTheme="majorHAnsi" w:hAnsiTheme="majorHAnsi"/>
          <w:sz w:val="20"/>
          <w:szCs w:val="20"/>
          <w:lang w:val="es-VE"/>
        </w:rPr>
        <w:t>, ya que</w:t>
      </w:r>
      <w:r w:rsidR="000945B4">
        <w:rPr>
          <w:rFonts w:asciiTheme="majorHAnsi" w:hAnsiTheme="majorHAnsi"/>
          <w:sz w:val="20"/>
          <w:szCs w:val="20"/>
          <w:lang w:val="es-VE"/>
        </w:rPr>
        <w:t xml:space="preserve"> la demora es atribuible a su propia conducta.</w:t>
      </w:r>
      <w:r w:rsidR="008B1A35">
        <w:rPr>
          <w:rFonts w:asciiTheme="majorHAnsi" w:hAnsiTheme="majorHAnsi"/>
          <w:sz w:val="20"/>
          <w:szCs w:val="20"/>
          <w:lang w:val="es-VE"/>
        </w:rPr>
        <w:t xml:space="preserve"> Destaca que el proceso sigue avanzando</w:t>
      </w:r>
      <w:r w:rsidR="000656AB">
        <w:rPr>
          <w:rFonts w:asciiTheme="majorHAnsi" w:hAnsiTheme="majorHAnsi"/>
          <w:sz w:val="20"/>
          <w:szCs w:val="20"/>
          <w:lang w:val="es-VE"/>
        </w:rPr>
        <w:t>, y</w:t>
      </w:r>
      <w:r w:rsidR="008B1A35">
        <w:rPr>
          <w:rFonts w:asciiTheme="majorHAnsi" w:hAnsiTheme="majorHAnsi"/>
          <w:sz w:val="20"/>
          <w:szCs w:val="20"/>
          <w:lang w:val="es-VE"/>
        </w:rPr>
        <w:t xml:space="preserve"> cita como ejemplo que </w:t>
      </w:r>
      <w:r w:rsidR="000656AB">
        <w:rPr>
          <w:rFonts w:asciiTheme="majorHAnsi" w:hAnsiTheme="majorHAnsi"/>
          <w:sz w:val="20"/>
          <w:szCs w:val="20"/>
          <w:lang w:val="es-VE"/>
        </w:rPr>
        <w:t xml:space="preserve">el </w:t>
      </w:r>
      <w:r w:rsidR="008B1A35">
        <w:rPr>
          <w:rFonts w:asciiTheme="majorHAnsi" w:hAnsiTheme="majorHAnsi"/>
          <w:sz w:val="20"/>
          <w:szCs w:val="20"/>
          <w:lang w:val="es-VE"/>
        </w:rPr>
        <w:t xml:space="preserve">23 de julio de 2018 y </w:t>
      </w:r>
      <w:r w:rsidR="000656AB">
        <w:rPr>
          <w:rFonts w:asciiTheme="majorHAnsi" w:hAnsiTheme="majorHAnsi"/>
          <w:sz w:val="20"/>
          <w:szCs w:val="20"/>
          <w:lang w:val="es-VE"/>
        </w:rPr>
        <w:t xml:space="preserve">el </w:t>
      </w:r>
      <w:r w:rsidR="008B1A35">
        <w:rPr>
          <w:rFonts w:asciiTheme="majorHAnsi" w:hAnsiTheme="majorHAnsi"/>
          <w:sz w:val="20"/>
          <w:szCs w:val="20"/>
          <w:lang w:val="es-VE"/>
        </w:rPr>
        <w:t>1</w:t>
      </w:r>
      <w:r w:rsidR="000656AB">
        <w:rPr>
          <w:rFonts w:asciiTheme="majorHAnsi" w:hAnsiTheme="majorHAnsi"/>
          <w:sz w:val="20"/>
          <w:szCs w:val="20"/>
          <w:lang w:val="es-VE"/>
        </w:rPr>
        <w:t xml:space="preserve">º </w:t>
      </w:r>
      <w:r w:rsidR="008B1A35">
        <w:rPr>
          <w:rFonts w:asciiTheme="majorHAnsi" w:hAnsiTheme="majorHAnsi"/>
          <w:sz w:val="20"/>
          <w:szCs w:val="20"/>
          <w:lang w:val="es-VE"/>
        </w:rPr>
        <w:t xml:space="preserve">de agosto de 2019 se celebraron audiencias </w:t>
      </w:r>
      <w:r w:rsidR="000656AB">
        <w:rPr>
          <w:rFonts w:asciiTheme="majorHAnsi" w:hAnsiTheme="majorHAnsi"/>
          <w:sz w:val="20"/>
          <w:szCs w:val="20"/>
          <w:lang w:val="es-VE"/>
        </w:rPr>
        <w:t xml:space="preserve">en que </w:t>
      </w:r>
      <w:r w:rsidR="008B1A35">
        <w:rPr>
          <w:rFonts w:asciiTheme="majorHAnsi" w:hAnsiTheme="majorHAnsi"/>
          <w:sz w:val="20"/>
          <w:szCs w:val="20"/>
          <w:lang w:val="es-VE"/>
        </w:rPr>
        <w:t xml:space="preserve">se tomaron declaraciones a testigos. </w:t>
      </w:r>
    </w:p>
    <w:p w14:paraId="287F389D" w14:textId="77777777" w:rsidR="000945B4" w:rsidRPr="000656AB" w:rsidRDefault="000945B4" w:rsidP="000656AB">
      <w:pPr>
        <w:rPr>
          <w:rFonts w:asciiTheme="majorHAnsi" w:hAnsiTheme="majorHAnsi"/>
          <w:sz w:val="20"/>
          <w:szCs w:val="20"/>
          <w:lang w:val="es-VE"/>
        </w:rPr>
      </w:pPr>
    </w:p>
    <w:p w14:paraId="6E96BB7C" w14:textId="78C9C3DC" w:rsidR="00077DD7" w:rsidRDefault="008B1A35"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lastRenderedPageBreak/>
        <w:t xml:space="preserve">Señala que el peticionario interpuso </w:t>
      </w:r>
      <w:r w:rsidR="000656AB">
        <w:rPr>
          <w:rFonts w:asciiTheme="majorHAnsi" w:hAnsiTheme="majorHAnsi"/>
          <w:sz w:val="20"/>
          <w:szCs w:val="20"/>
          <w:lang w:val="es-VE"/>
        </w:rPr>
        <w:t xml:space="preserve">un </w:t>
      </w:r>
      <w:r>
        <w:rPr>
          <w:rFonts w:asciiTheme="majorHAnsi" w:hAnsiTheme="majorHAnsi"/>
          <w:sz w:val="20"/>
          <w:szCs w:val="20"/>
          <w:lang w:val="es-VE"/>
        </w:rPr>
        <w:t xml:space="preserve">recurso de revocación contra la decisión de la Suprema Corte de Justicia que desestimó la excepción de inconstitucionalidad contra la denegatoria de </w:t>
      </w:r>
      <w:r w:rsidR="000656AB">
        <w:rPr>
          <w:rFonts w:asciiTheme="majorHAnsi" w:hAnsiTheme="majorHAnsi"/>
          <w:sz w:val="20"/>
          <w:szCs w:val="20"/>
          <w:lang w:val="es-VE"/>
        </w:rPr>
        <w:t>la</w:t>
      </w:r>
      <w:r>
        <w:rPr>
          <w:rFonts w:asciiTheme="majorHAnsi" w:hAnsiTheme="majorHAnsi"/>
          <w:sz w:val="20"/>
          <w:szCs w:val="20"/>
          <w:lang w:val="es-VE"/>
        </w:rPr>
        <w:t xml:space="preserve"> solicitud de ejercer su propia defensa.</w:t>
      </w:r>
      <w:r w:rsidR="00FB69E4">
        <w:rPr>
          <w:rFonts w:asciiTheme="majorHAnsi" w:hAnsiTheme="majorHAnsi"/>
          <w:sz w:val="20"/>
          <w:szCs w:val="20"/>
          <w:lang w:val="es-VE"/>
        </w:rPr>
        <w:t xml:space="preserve"> </w:t>
      </w:r>
      <w:r w:rsidR="00C77B9A">
        <w:rPr>
          <w:rFonts w:asciiTheme="majorHAnsi" w:hAnsiTheme="majorHAnsi"/>
          <w:sz w:val="20"/>
          <w:szCs w:val="20"/>
          <w:lang w:val="es-VE"/>
        </w:rPr>
        <w:t xml:space="preserve">Explica que este recurso fue </w:t>
      </w:r>
      <w:r w:rsidR="0024226A">
        <w:rPr>
          <w:rFonts w:asciiTheme="majorHAnsi" w:hAnsiTheme="majorHAnsi"/>
          <w:sz w:val="20"/>
          <w:szCs w:val="20"/>
          <w:lang w:val="es-VE"/>
        </w:rPr>
        <w:t xml:space="preserve">declarado </w:t>
      </w:r>
      <w:r w:rsidR="00C77B9A">
        <w:rPr>
          <w:rFonts w:asciiTheme="majorHAnsi" w:hAnsiTheme="majorHAnsi"/>
          <w:sz w:val="20"/>
          <w:szCs w:val="20"/>
          <w:lang w:val="es-VE"/>
        </w:rPr>
        <w:t xml:space="preserve">improcedente </w:t>
      </w:r>
      <w:r w:rsidR="0024226A">
        <w:rPr>
          <w:rFonts w:asciiTheme="majorHAnsi" w:hAnsiTheme="majorHAnsi"/>
          <w:sz w:val="20"/>
          <w:szCs w:val="20"/>
          <w:lang w:val="es-VE"/>
        </w:rPr>
        <w:t xml:space="preserve">por </w:t>
      </w:r>
      <w:r w:rsidR="000656AB">
        <w:rPr>
          <w:rFonts w:asciiTheme="majorHAnsi" w:hAnsiTheme="majorHAnsi"/>
          <w:sz w:val="20"/>
          <w:szCs w:val="20"/>
          <w:lang w:val="es-VE"/>
        </w:rPr>
        <w:t>la Suprema Corte el 20 de diciembre de 2017</w:t>
      </w:r>
      <w:r w:rsidR="0024226A">
        <w:rPr>
          <w:rFonts w:asciiTheme="majorHAnsi" w:hAnsiTheme="majorHAnsi"/>
          <w:sz w:val="20"/>
          <w:szCs w:val="20"/>
          <w:lang w:val="es-VE"/>
        </w:rPr>
        <w:t xml:space="preserve"> </w:t>
      </w:r>
      <w:r w:rsidR="00C77B9A">
        <w:rPr>
          <w:rFonts w:asciiTheme="majorHAnsi" w:hAnsiTheme="majorHAnsi"/>
          <w:sz w:val="20"/>
          <w:szCs w:val="20"/>
          <w:lang w:val="es-VE"/>
        </w:rPr>
        <w:t>por no</w:t>
      </w:r>
      <w:r>
        <w:rPr>
          <w:rFonts w:asciiTheme="majorHAnsi" w:hAnsiTheme="majorHAnsi"/>
          <w:sz w:val="20"/>
          <w:szCs w:val="20"/>
          <w:lang w:val="es-VE"/>
        </w:rPr>
        <w:t xml:space="preserve"> </w:t>
      </w:r>
      <w:r w:rsidR="0024226A">
        <w:rPr>
          <w:rFonts w:asciiTheme="majorHAnsi" w:hAnsiTheme="majorHAnsi"/>
          <w:sz w:val="20"/>
          <w:szCs w:val="20"/>
          <w:lang w:val="es-VE"/>
        </w:rPr>
        <w:t xml:space="preserve">estar contemplado </w:t>
      </w:r>
      <w:r w:rsidR="00C77B9A">
        <w:rPr>
          <w:rFonts w:asciiTheme="majorHAnsi" w:hAnsiTheme="majorHAnsi"/>
          <w:sz w:val="20"/>
          <w:szCs w:val="20"/>
          <w:lang w:val="es-VE"/>
        </w:rPr>
        <w:t xml:space="preserve">en la legislación </w:t>
      </w:r>
      <w:r w:rsidR="0024226A">
        <w:rPr>
          <w:rFonts w:asciiTheme="majorHAnsi" w:hAnsiTheme="majorHAnsi"/>
          <w:sz w:val="20"/>
          <w:szCs w:val="20"/>
          <w:lang w:val="es-VE"/>
        </w:rPr>
        <w:t>interna</w:t>
      </w:r>
      <w:r>
        <w:rPr>
          <w:rFonts w:asciiTheme="majorHAnsi" w:hAnsiTheme="majorHAnsi"/>
          <w:sz w:val="20"/>
          <w:szCs w:val="20"/>
          <w:lang w:val="es-VE"/>
        </w:rPr>
        <w:t xml:space="preserve">. </w:t>
      </w:r>
      <w:r w:rsidR="005F7E27">
        <w:rPr>
          <w:rFonts w:asciiTheme="majorHAnsi" w:hAnsiTheme="majorHAnsi"/>
          <w:sz w:val="20"/>
          <w:szCs w:val="20"/>
          <w:lang w:val="es-VE"/>
        </w:rPr>
        <w:t>También indica que el 21 de febrero de 2018 el peticionario solicitó su excarcelación provisional por gracia</w:t>
      </w:r>
      <w:r w:rsidR="00C77B9A">
        <w:rPr>
          <w:rFonts w:asciiTheme="majorHAnsi" w:hAnsiTheme="majorHAnsi"/>
          <w:sz w:val="20"/>
          <w:szCs w:val="20"/>
          <w:lang w:val="es-VE"/>
        </w:rPr>
        <w:t>,</w:t>
      </w:r>
      <w:r w:rsidR="005F7E27">
        <w:rPr>
          <w:rFonts w:asciiTheme="majorHAnsi" w:hAnsiTheme="majorHAnsi"/>
          <w:sz w:val="20"/>
          <w:szCs w:val="20"/>
          <w:lang w:val="es-VE"/>
        </w:rPr>
        <w:t xml:space="preserve"> </w:t>
      </w:r>
      <w:r w:rsidR="0024226A">
        <w:rPr>
          <w:rFonts w:asciiTheme="majorHAnsi" w:hAnsiTheme="majorHAnsi"/>
          <w:sz w:val="20"/>
          <w:szCs w:val="20"/>
          <w:lang w:val="es-VE"/>
        </w:rPr>
        <w:t>que le fue</w:t>
      </w:r>
      <w:r w:rsidR="00C77B9A">
        <w:rPr>
          <w:rFonts w:asciiTheme="majorHAnsi" w:hAnsiTheme="majorHAnsi"/>
          <w:sz w:val="20"/>
          <w:szCs w:val="20"/>
          <w:lang w:val="es-VE"/>
        </w:rPr>
        <w:t xml:space="preserve"> </w:t>
      </w:r>
      <w:r w:rsidR="005F7E27">
        <w:rPr>
          <w:rFonts w:asciiTheme="majorHAnsi" w:hAnsiTheme="majorHAnsi"/>
          <w:sz w:val="20"/>
          <w:szCs w:val="20"/>
          <w:lang w:val="es-VE"/>
        </w:rPr>
        <w:t>negada por la Suprema Corte de Justicia el 28 de febrero de</w:t>
      </w:r>
      <w:r w:rsidR="0024226A">
        <w:rPr>
          <w:rFonts w:asciiTheme="majorHAnsi" w:hAnsiTheme="majorHAnsi"/>
          <w:sz w:val="20"/>
          <w:szCs w:val="20"/>
          <w:lang w:val="es-VE"/>
        </w:rPr>
        <w:t>l mismo año</w:t>
      </w:r>
      <w:r w:rsidR="005F7E27">
        <w:rPr>
          <w:rFonts w:asciiTheme="majorHAnsi" w:hAnsiTheme="majorHAnsi"/>
          <w:sz w:val="20"/>
          <w:szCs w:val="20"/>
          <w:lang w:val="es-VE"/>
        </w:rPr>
        <w:t xml:space="preserve">. </w:t>
      </w:r>
      <w:r w:rsidR="0024226A">
        <w:rPr>
          <w:rFonts w:asciiTheme="majorHAnsi" w:hAnsiTheme="majorHAnsi"/>
          <w:sz w:val="20"/>
          <w:szCs w:val="20"/>
          <w:lang w:val="es-VE"/>
        </w:rPr>
        <w:t xml:space="preserve">Refiere </w:t>
      </w:r>
      <w:r w:rsidR="008F236F">
        <w:rPr>
          <w:rFonts w:asciiTheme="majorHAnsi" w:hAnsiTheme="majorHAnsi"/>
          <w:sz w:val="20"/>
          <w:szCs w:val="20"/>
          <w:lang w:val="es-VE"/>
        </w:rPr>
        <w:t>igual</w:t>
      </w:r>
      <w:r w:rsidR="0024226A">
        <w:rPr>
          <w:rFonts w:asciiTheme="majorHAnsi" w:hAnsiTheme="majorHAnsi"/>
          <w:sz w:val="20"/>
          <w:szCs w:val="20"/>
          <w:lang w:val="es-VE"/>
        </w:rPr>
        <w:t>mente que</w:t>
      </w:r>
      <w:r w:rsidR="008F236F">
        <w:rPr>
          <w:rFonts w:asciiTheme="majorHAnsi" w:hAnsiTheme="majorHAnsi"/>
          <w:sz w:val="20"/>
          <w:szCs w:val="20"/>
          <w:lang w:val="es-VE"/>
        </w:rPr>
        <w:t xml:space="preserve"> el peticionario presentó una acción de amparo contra una sanción</w:t>
      </w:r>
      <w:r w:rsidR="00B620DC">
        <w:rPr>
          <w:rFonts w:asciiTheme="majorHAnsi" w:hAnsiTheme="majorHAnsi"/>
          <w:sz w:val="20"/>
          <w:szCs w:val="20"/>
          <w:lang w:val="es-VE"/>
        </w:rPr>
        <w:t xml:space="preserve"> de 90 días de suspensión de salidas al patio</w:t>
      </w:r>
      <w:r w:rsidR="008F236F">
        <w:rPr>
          <w:rFonts w:asciiTheme="majorHAnsi" w:hAnsiTheme="majorHAnsi"/>
          <w:sz w:val="20"/>
          <w:szCs w:val="20"/>
          <w:lang w:val="es-VE"/>
        </w:rPr>
        <w:t xml:space="preserve"> impuesta por las autoridades carcelarias</w:t>
      </w:r>
      <w:r w:rsidR="0024226A">
        <w:rPr>
          <w:rFonts w:asciiTheme="majorHAnsi" w:hAnsiTheme="majorHAnsi"/>
          <w:sz w:val="20"/>
          <w:szCs w:val="20"/>
          <w:lang w:val="es-VE"/>
        </w:rPr>
        <w:t>,</w:t>
      </w:r>
      <w:r w:rsidR="008F236F">
        <w:rPr>
          <w:rFonts w:asciiTheme="majorHAnsi" w:hAnsiTheme="majorHAnsi"/>
          <w:sz w:val="20"/>
          <w:szCs w:val="20"/>
          <w:lang w:val="es-VE"/>
        </w:rPr>
        <w:t xml:space="preserve"> que fue negada el 4 de enero de 2016 por sentencia definitiva de segunda instancia</w:t>
      </w:r>
      <w:r w:rsidR="0024226A">
        <w:rPr>
          <w:rFonts w:asciiTheme="majorHAnsi" w:hAnsiTheme="majorHAnsi"/>
          <w:sz w:val="20"/>
          <w:szCs w:val="20"/>
          <w:lang w:val="es-VE"/>
        </w:rPr>
        <w:t>, ya</w:t>
      </w:r>
      <w:r w:rsidR="008F236F">
        <w:rPr>
          <w:rFonts w:asciiTheme="majorHAnsi" w:hAnsiTheme="majorHAnsi"/>
          <w:sz w:val="20"/>
          <w:szCs w:val="20"/>
          <w:lang w:val="es-VE"/>
        </w:rPr>
        <w:t xml:space="preserve"> que </w:t>
      </w:r>
      <w:r w:rsidR="0024226A">
        <w:rPr>
          <w:rFonts w:asciiTheme="majorHAnsi" w:hAnsiTheme="majorHAnsi"/>
          <w:sz w:val="20"/>
          <w:szCs w:val="20"/>
          <w:lang w:val="es-VE"/>
        </w:rPr>
        <w:t>aqu</w:t>
      </w:r>
      <w:r w:rsidR="008F236F">
        <w:rPr>
          <w:rFonts w:asciiTheme="majorHAnsi" w:hAnsiTheme="majorHAnsi"/>
          <w:sz w:val="20"/>
          <w:szCs w:val="20"/>
          <w:lang w:val="es-VE"/>
        </w:rPr>
        <w:t xml:space="preserve">el no presentó los recursos administrativos pertinentes ante de interponer </w:t>
      </w:r>
      <w:r w:rsidR="0024226A">
        <w:rPr>
          <w:rFonts w:asciiTheme="majorHAnsi" w:hAnsiTheme="majorHAnsi"/>
          <w:sz w:val="20"/>
          <w:szCs w:val="20"/>
          <w:lang w:val="es-VE"/>
        </w:rPr>
        <w:t>tal acción</w:t>
      </w:r>
      <w:r w:rsidR="008F236F">
        <w:rPr>
          <w:rFonts w:asciiTheme="majorHAnsi" w:hAnsiTheme="majorHAnsi"/>
          <w:sz w:val="20"/>
          <w:szCs w:val="20"/>
          <w:lang w:val="es-VE"/>
        </w:rPr>
        <w:t xml:space="preserve">. </w:t>
      </w:r>
      <w:r w:rsidR="0024226A">
        <w:rPr>
          <w:rFonts w:asciiTheme="majorHAnsi" w:hAnsiTheme="majorHAnsi"/>
          <w:sz w:val="20"/>
          <w:szCs w:val="20"/>
          <w:lang w:val="es-VE"/>
        </w:rPr>
        <w:t>El</w:t>
      </w:r>
      <w:r w:rsidR="00B620DC">
        <w:rPr>
          <w:rFonts w:asciiTheme="majorHAnsi" w:hAnsiTheme="majorHAnsi"/>
          <w:sz w:val="20"/>
          <w:szCs w:val="20"/>
          <w:lang w:val="es-VE"/>
        </w:rPr>
        <w:t xml:space="preserve"> peticionario presentó una acción de nulidad contra la misma sanción de 90 días sin salida al patio y </w:t>
      </w:r>
      <w:r w:rsidR="0024226A">
        <w:rPr>
          <w:rFonts w:asciiTheme="majorHAnsi" w:hAnsiTheme="majorHAnsi"/>
          <w:sz w:val="20"/>
          <w:szCs w:val="20"/>
          <w:lang w:val="es-VE"/>
        </w:rPr>
        <w:t xml:space="preserve">el </w:t>
      </w:r>
      <w:r w:rsidR="00B620DC">
        <w:rPr>
          <w:rFonts w:asciiTheme="majorHAnsi" w:hAnsiTheme="majorHAnsi"/>
          <w:sz w:val="20"/>
          <w:szCs w:val="20"/>
          <w:lang w:val="es-VE"/>
        </w:rPr>
        <w:t>retir</w:t>
      </w:r>
      <w:r w:rsidR="0024226A">
        <w:rPr>
          <w:rFonts w:asciiTheme="majorHAnsi" w:hAnsiTheme="majorHAnsi"/>
          <w:sz w:val="20"/>
          <w:szCs w:val="20"/>
          <w:lang w:val="es-VE"/>
        </w:rPr>
        <w:t>o</w:t>
      </w:r>
      <w:r w:rsidR="00B620DC">
        <w:rPr>
          <w:rFonts w:asciiTheme="majorHAnsi" w:hAnsiTheme="majorHAnsi"/>
          <w:sz w:val="20"/>
          <w:szCs w:val="20"/>
          <w:lang w:val="es-VE"/>
        </w:rPr>
        <w:t xml:space="preserve"> </w:t>
      </w:r>
      <w:r w:rsidR="0024226A">
        <w:rPr>
          <w:rFonts w:asciiTheme="majorHAnsi" w:hAnsiTheme="majorHAnsi"/>
          <w:sz w:val="20"/>
          <w:szCs w:val="20"/>
          <w:lang w:val="es-VE"/>
        </w:rPr>
        <w:t xml:space="preserve">de </w:t>
      </w:r>
      <w:r w:rsidR="00B620DC">
        <w:rPr>
          <w:rFonts w:asciiTheme="majorHAnsi" w:hAnsiTheme="majorHAnsi"/>
          <w:sz w:val="20"/>
          <w:szCs w:val="20"/>
          <w:lang w:val="es-VE"/>
        </w:rPr>
        <w:t xml:space="preserve">su ordenador y teléfonos celulares la que le fue rechazada el 29 de junio de 2017 por el Tribunal de lo Contencioso Administrativo </w:t>
      </w:r>
      <w:r w:rsidR="0024226A">
        <w:rPr>
          <w:rFonts w:asciiTheme="majorHAnsi" w:hAnsiTheme="majorHAnsi"/>
          <w:sz w:val="20"/>
          <w:szCs w:val="20"/>
          <w:lang w:val="es-VE"/>
        </w:rPr>
        <w:t xml:space="preserve">por </w:t>
      </w:r>
      <w:r w:rsidR="00B620DC">
        <w:rPr>
          <w:rFonts w:asciiTheme="majorHAnsi" w:hAnsiTheme="majorHAnsi"/>
          <w:sz w:val="20"/>
          <w:szCs w:val="20"/>
          <w:lang w:val="es-VE"/>
        </w:rPr>
        <w:t>consider</w:t>
      </w:r>
      <w:r w:rsidR="0024226A">
        <w:rPr>
          <w:rFonts w:asciiTheme="majorHAnsi" w:hAnsiTheme="majorHAnsi"/>
          <w:sz w:val="20"/>
          <w:szCs w:val="20"/>
          <w:lang w:val="es-VE"/>
        </w:rPr>
        <w:t>ar</w:t>
      </w:r>
      <w:r w:rsidR="00B620DC">
        <w:rPr>
          <w:rFonts w:asciiTheme="majorHAnsi" w:hAnsiTheme="majorHAnsi"/>
          <w:sz w:val="20"/>
          <w:szCs w:val="20"/>
          <w:lang w:val="es-VE"/>
        </w:rPr>
        <w:t xml:space="preserve"> que la acci</w:t>
      </w:r>
      <w:r w:rsidR="00420A41">
        <w:rPr>
          <w:rFonts w:asciiTheme="majorHAnsi" w:hAnsiTheme="majorHAnsi"/>
          <w:sz w:val="20"/>
          <w:szCs w:val="20"/>
          <w:lang w:val="es-VE"/>
        </w:rPr>
        <w:t>ón no era vá</w:t>
      </w:r>
      <w:r w:rsidR="00B620DC">
        <w:rPr>
          <w:rFonts w:asciiTheme="majorHAnsi" w:hAnsiTheme="majorHAnsi"/>
          <w:sz w:val="20"/>
          <w:szCs w:val="20"/>
          <w:lang w:val="es-VE"/>
        </w:rPr>
        <w:t>lid</w:t>
      </w:r>
      <w:r w:rsidR="00420A41">
        <w:rPr>
          <w:rFonts w:asciiTheme="majorHAnsi" w:hAnsiTheme="majorHAnsi"/>
          <w:sz w:val="20"/>
          <w:szCs w:val="20"/>
          <w:lang w:val="es-VE"/>
        </w:rPr>
        <w:t>a</w:t>
      </w:r>
      <w:r w:rsidR="00B620DC">
        <w:rPr>
          <w:rFonts w:asciiTheme="majorHAnsi" w:hAnsiTheme="majorHAnsi"/>
          <w:sz w:val="20"/>
          <w:szCs w:val="20"/>
          <w:lang w:val="es-VE"/>
        </w:rPr>
        <w:t xml:space="preserve"> contra los actos administrativos referidos</w:t>
      </w:r>
      <w:r w:rsidR="00420A41">
        <w:rPr>
          <w:rFonts w:asciiTheme="majorHAnsi" w:hAnsiTheme="majorHAnsi"/>
          <w:sz w:val="20"/>
          <w:szCs w:val="20"/>
          <w:lang w:val="es-VE"/>
        </w:rPr>
        <w:t xml:space="preserve">. </w:t>
      </w:r>
      <w:r w:rsidR="0024226A">
        <w:rPr>
          <w:rFonts w:asciiTheme="majorHAnsi" w:hAnsiTheme="majorHAnsi"/>
          <w:sz w:val="20"/>
          <w:szCs w:val="20"/>
          <w:lang w:val="es-VE"/>
        </w:rPr>
        <w:t>El Estado i</w:t>
      </w:r>
      <w:r w:rsidR="00420A41">
        <w:rPr>
          <w:rFonts w:asciiTheme="majorHAnsi" w:hAnsiTheme="majorHAnsi"/>
          <w:sz w:val="20"/>
          <w:szCs w:val="20"/>
          <w:lang w:val="es-VE"/>
        </w:rPr>
        <w:t xml:space="preserve">ndica que presentó </w:t>
      </w:r>
      <w:r w:rsidR="0024226A">
        <w:rPr>
          <w:rFonts w:asciiTheme="majorHAnsi" w:hAnsiTheme="majorHAnsi"/>
          <w:sz w:val="20"/>
          <w:szCs w:val="20"/>
          <w:lang w:val="es-VE"/>
        </w:rPr>
        <w:t xml:space="preserve">un </w:t>
      </w:r>
      <w:r w:rsidR="00420A41">
        <w:rPr>
          <w:rFonts w:asciiTheme="majorHAnsi" w:hAnsiTheme="majorHAnsi"/>
          <w:sz w:val="20"/>
          <w:szCs w:val="20"/>
          <w:lang w:val="es-VE"/>
        </w:rPr>
        <w:t xml:space="preserve">recurso de revisión </w:t>
      </w:r>
      <w:r w:rsidR="0024226A">
        <w:rPr>
          <w:rFonts w:asciiTheme="majorHAnsi" w:hAnsiTheme="majorHAnsi"/>
          <w:sz w:val="20"/>
          <w:szCs w:val="20"/>
          <w:lang w:val="es-VE"/>
        </w:rPr>
        <w:t xml:space="preserve">contra esa decisión, </w:t>
      </w:r>
      <w:r w:rsidR="00420A41">
        <w:rPr>
          <w:rFonts w:asciiTheme="majorHAnsi" w:hAnsiTheme="majorHAnsi"/>
          <w:sz w:val="20"/>
          <w:szCs w:val="20"/>
          <w:lang w:val="es-VE"/>
        </w:rPr>
        <w:t>que pasó a estudio del Tribunal de lo Contencioso Administrativo el 5 de diciembre de 2017.</w:t>
      </w:r>
    </w:p>
    <w:p w14:paraId="0D1E69B6" w14:textId="45CA4D29" w:rsidR="00420A41" w:rsidRDefault="00420A41" w:rsidP="003A4150">
      <w:pPr>
        <w:pStyle w:val="ListParagraph"/>
        <w:ind w:left="0" w:firstLine="720"/>
        <w:jc w:val="both"/>
        <w:rPr>
          <w:rFonts w:asciiTheme="majorHAnsi" w:hAnsiTheme="majorHAnsi"/>
          <w:sz w:val="20"/>
          <w:szCs w:val="20"/>
          <w:lang w:val="es-VE"/>
        </w:rPr>
      </w:pPr>
    </w:p>
    <w:p w14:paraId="3B9F2CF8" w14:textId="5DB6F29F" w:rsidR="00420A41" w:rsidRPr="004A16F7" w:rsidRDefault="00420A41" w:rsidP="003A4150">
      <w:pPr>
        <w:pStyle w:val="ListParagraph"/>
        <w:numPr>
          <w:ilvl w:val="0"/>
          <w:numId w:val="103"/>
        </w:numPr>
        <w:tabs>
          <w:tab w:val="clear" w:pos="810"/>
        </w:tabs>
        <w:ind w:left="0"/>
        <w:jc w:val="both"/>
        <w:rPr>
          <w:rFonts w:asciiTheme="majorHAnsi" w:hAnsiTheme="majorHAnsi"/>
          <w:sz w:val="20"/>
          <w:szCs w:val="20"/>
          <w:lang w:val="es-VE"/>
        </w:rPr>
      </w:pPr>
      <w:r>
        <w:rPr>
          <w:rFonts w:asciiTheme="majorHAnsi" w:hAnsiTheme="majorHAnsi"/>
          <w:sz w:val="20"/>
          <w:szCs w:val="20"/>
          <w:lang w:val="es-VE"/>
        </w:rPr>
        <w:t xml:space="preserve">En cuanto a la denegatoria </w:t>
      </w:r>
      <w:r w:rsidR="000C3683">
        <w:rPr>
          <w:rFonts w:asciiTheme="majorHAnsi" w:hAnsiTheme="majorHAnsi"/>
          <w:sz w:val="20"/>
          <w:szCs w:val="20"/>
          <w:lang w:val="es-VE"/>
        </w:rPr>
        <w:t>del permiso solicitado por el peticionario para visitar a su madre antes de su fallecimiento</w:t>
      </w:r>
      <w:r w:rsidR="0024226A">
        <w:rPr>
          <w:rFonts w:asciiTheme="majorHAnsi" w:hAnsiTheme="majorHAnsi"/>
          <w:sz w:val="20"/>
          <w:szCs w:val="20"/>
          <w:lang w:val="es-VE"/>
        </w:rPr>
        <w:t>, el Estado</w:t>
      </w:r>
      <w:r w:rsidR="000C3683">
        <w:rPr>
          <w:rFonts w:asciiTheme="majorHAnsi" w:hAnsiTheme="majorHAnsi"/>
          <w:sz w:val="20"/>
          <w:szCs w:val="20"/>
          <w:lang w:val="es-VE"/>
        </w:rPr>
        <w:t xml:space="preserve"> indica que</w:t>
      </w:r>
      <w:r w:rsidR="0024226A">
        <w:rPr>
          <w:rFonts w:asciiTheme="majorHAnsi" w:hAnsiTheme="majorHAnsi"/>
          <w:sz w:val="20"/>
          <w:szCs w:val="20"/>
          <w:lang w:val="es-VE"/>
        </w:rPr>
        <w:t xml:space="preserve"> deben</w:t>
      </w:r>
      <w:r w:rsidR="006A4149">
        <w:rPr>
          <w:rFonts w:asciiTheme="majorHAnsi" w:hAnsiTheme="majorHAnsi"/>
          <w:sz w:val="20"/>
          <w:szCs w:val="20"/>
          <w:lang w:val="es-VE"/>
        </w:rPr>
        <w:t xml:space="preserve"> ser autorizados por el juez de la causa y no son un derecho prescriptivo</w:t>
      </w:r>
      <w:r w:rsidR="0024226A">
        <w:rPr>
          <w:rFonts w:asciiTheme="majorHAnsi" w:hAnsiTheme="majorHAnsi"/>
          <w:sz w:val="20"/>
          <w:szCs w:val="20"/>
          <w:lang w:val="es-VE"/>
        </w:rPr>
        <w:t>,</w:t>
      </w:r>
      <w:r w:rsidR="006A4149">
        <w:rPr>
          <w:rFonts w:asciiTheme="majorHAnsi" w:hAnsiTheme="majorHAnsi"/>
          <w:sz w:val="20"/>
          <w:szCs w:val="20"/>
          <w:lang w:val="es-VE"/>
        </w:rPr>
        <w:t xml:space="preserve"> sino que su autorización debe ponderarse con las cuestiones vinculadas a la seguridad. </w:t>
      </w:r>
      <w:r w:rsidR="0024226A">
        <w:rPr>
          <w:rFonts w:asciiTheme="majorHAnsi" w:hAnsiTheme="majorHAnsi"/>
          <w:sz w:val="20"/>
          <w:szCs w:val="20"/>
          <w:lang w:val="es-VE"/>
        </w:rPr>
        <w:t>R</w:t>
      </w:r>
      <w:r w:rsidR="006A4149">
        <w:rPr>
          <w:rFonts w:asciiTheme="majorHAnsi" w:hAnsiTheme="majorHAnsi"/>
          <w:sz w:val="20"/>
          <w:szCs w:val="20"/>
          <w:lang w:val="es-VE"/>
        </w:rPr>
        <w:t>esalta que los trabajos que el peticionario alega como “forzados” en su petición son los mismos a los que en otros escritos se refirió como trabajos voluntarios</w:t>
      </w:r>
      <w:r w:rsidR="0024226A">
        <w:rPr>
          <w:rFonts w:asciiTheme="majorHAnsi" w:hAnsiTheme="majorHAnsi"/>
          <w:sz w:val="20"/>
          <w:szCs w:val="20"/>
          <w:lang w:val="es-VE"/>
        </w:rPr>
        <w:t>,</w:t>
      </w:r>
      <w:r w:rsidR="006A4149">
        <w:rPr>
          <w:rFonts w:asciiTheme="majorHAnsi" w:hAnsiTheme="majorHAnsi"/>
          <w:sz w:val="20"/>
          <w:szCs w:val="20"/>
          <w:lang w:val="es-VE"/>
        </w:rPr>
        <w:t xml:space="preserve"> </w:t>
      </w:r>
      <w:r w:rsidR="0024226A">
        <w:rPr>
          <w:rFonts w:asciiTheme="majorHAnsi" w:hAnsiTheme="majorHAnsi"/>
          <w:sz w:val="20"/>
          <w:szCs w:val="20"/>
          <w:lang w:val="es-VE"/>
        </w:rPr>
        <w:t xml:space="preserve">lo </w:t>
      </w:r>
      <w:r w:rsidR="006A4149">
        <w:rPr>
          <w:rFonts w:asciiTheme="majorHAnsi" w:hAnsiTheme="majorHAnsi"/>
          <w:sz w:val="20"/>
          <w:szCs w:val="20"/>
          <w:lang w:val="es-VE"/>
        </w:rPr>
        <w:t xml:space="preserve">que evidencia </w:t>
      </w:r>
      <w:r w:rsidR="0024226A">
        <w:rPr>
          <w:rFonts w:asciiTheme="majorHAnsi" w:hAnsiTheme="majorHAnsi"/>
          <w:sz w:val="20"/>
          <w:szCs w:val="20"/>
          <w:lang w:val="es-VE"/>
        </w:rPr>
        <w:t>la</w:t>
      </w:r>
      <w:r w:rsidR="006A4149">
        <w:rPr>
          <w:rFonts w:asciiTheme="majorHAnsi" w:hAnsiTheme="majorHAnsi"/>
          <w:sz w:val="20"/>
          <w:szCs w:val="20"/>
          <w:lang w:val="es-VE"/>
        </w:rPr>
        <w:t xml:space="preserve"> notoria y expresa contradicción </w:t>
      </w:r>
      <w:r w:rsidR="0024226A">
        <w:rPr>
          <w:rFonts w:asciiTheme="majorHAnsi" w:hAnsiTheme="majorHAnsi"/>
          <w:sz w:val="20"/>
          <w:szCs w:val="20"/>
          <w:lang w:val="es-VE"/>
        </w:rPr>
        <w:t>d</w:t>
      </w:r>
      <w:r w:rsidR="006A4149">
        <w:rPr>
          <w:rFonts w:asciiTheme="majorHAnsi" w:hAnsiTheme="majorHAnsi"/>
          <w:sz w:val="20"/>
          <w:szCs w:val="20"/>
          <w:lang w:val="es-VE"/>
        </w:rPr>
        <w:t>e sus dichos. También alega</w:t>
      </w:r>
      <w:r w:rsidR="0024226A">
        <w:rPr>
          <w:rFonts w:asciiTheme="majorHAnsi" w:hAnsiTheme="majorHAnsi"/>
          <w:sz w:val="20"/>
          <w:szCs w:val="20"/>
          <w:lang w:val="es-VE"/>
        </w:rPr>
        <w:t xml:space="preserve"> el Estado</w:t>
      </w:r>
      <w:r w:rsidR="006A4149">
        <w:rPr>
          <w:rFonts w:asciiTheme="majorHAnsi" w:hAnsiTheme="majorHAnsi"/>
          <w:sz w:val="20"/>
          <w:szCs w:val="20"/>
          <w:lang w:val="es-VE"/>
        </w:rPr>
        <w:t xml:space="preserve"> que fue una enfermedad lo que impidió al peticionario continuar con su trabajo de delegado dentro de su unidad carcelaria</w:t>
      </w:r>
      <w:r w:rsidR="0024226A">
        <w:rPr>
          <w:rFonts w:asciiTheme="majorHAnsi" w:hAnsiTheme="majorHAnsi"/>
          <w:sz w:val="20"/>
          <w:szCs w:val="20"/>
          <w:lang w:val="es-VE"/>
        </w:rPr>
        <w:t>, y</w:t>
      </w:r>
      <w:r w:rsidR="00C40E7B">
        <w:rPr>
          <w:rFonts w:asciiTheme="majorHAnsi" w:hAnsiTheme="majorHAnsi"/>
          <w:sz w:val="20"/>
          <w:szCs w:val="20"/>
          <w:lang w:val="es-VE"/>
        </w:rPr>
        <w:t xml:space="preserve"> que la denegatoria de oportunidades de estudio y trabajo no se debió a móviles represivos ni discriminatorios</w:t>
      </w:r>
      <w:r w:rsidR="0024226A">
        <w:rPr>
          <w:rFonts w:asciiTheme="majorHAnsi" w:hAnsiTheme="majorHAnsi"/>
          <w:sz w:val="20"/>
          <w:szCs w:val="20"/>
          <w:lang w:val="es-VE"/>
        </w:rPr>
        <w:t>,</w:t>
      </w:r>
      <w:r w:rsidR="00C40E7B">
        <w:rPr>
          <w:rFonts w:asciiTheme="majorHAnsi" w:hAnsiTheme="majorHAnsi"/>
          <w:sz w:val="20"/>
          <w:szCs w:val="20"/>
          <w:lang w:val="es-VE"/>
        </w:rPr>
        <w:t xml:space="preserve"> sino a la realidad que las plazas son limitadas por motivos presupuesta</w:t>
      </w:r>
      <w:r w:rsidR="0024226A">
        <w:rPr>
          <w:rFonts w:asciiTheme="majorHAnsi" w:hAnsiTheme="majorHAnsi"/>
          <w:sz w:val="20"/>
          <w:szCs w:val="20"/>
          <w:lang w:val="es-VE"/>
        </w:rPr>
        <w:t>rios</w:t>
      </w:r>
      <w:r w:rsidR="00C40E7B">
        <w:rPr>
          <w:rFonts w:asciiTheme="majorHAnsi" w:hAnsiTheme="majorHAnsi"/>
          <w:sz w:val="20"/>
          <w:szCs w:val="20"/>
          <w:lang w:val="es-VE"/>
        </w:rPr>
        <w:t xml:space="preserve"> </w:t>
      </w:r>
      <w:r w:rsidR="0024226A">
        <w:rPr>
          <w:rFonts w:asciiTheme="majorHAnsi" w:hAnsiTheme="majorHAnsi"/>
          <w:sz w:val="20"/>
          <w:szCs w:val="20"/>
          <w:lang w:val="es-VE"/>
        </w:rPr>
        <w:t xml:space="preserve">y </w:t>
      </w:r>
      <w:r w:rsidR="00C40E7B">
        <w:rPr>
          <w:rFonts w:asciiTheme="majorHAnsi" w:hAnsiTheme="majorHAnsi"/>
          <w:sz w:val="20"/>
          <w:szCs w:val="20"/>
          <w:lang w:val="es-VE"/>
        </w:rPr>
        <w:t xml:space="preserve">por lo </w:t>
      </w:r>
      <w:r w:rsidR="0024226A">
        <w:rPr>
          <w:rFonts w:asciiTheme="majorHAnsi" w:hAnsiTheme="majorHAnsi"/>
          <w:sz w:val="20"/>
          <w:szCs w:val="20"/>
          <w:lang w:val="es-VE"/>
        </w:rPr>
        <w:t xml:space="preserve">tanto las </w:t>
      </w:r>
      <w:r w:rsidR="00C40E7B">
        <w:rPr>
          <w:rFonts w:asciiTheme="majorHAnsi" w:hAnsiTheme="majorHAnsi"/>
          <w:sz w:val="20"/>
          <w:szCs w:val="20"/>
          <w:lang w:val="es-VE"/>
        </w:rPr>
        <w:t>autoridades deben rotarlas para garantizar igualdad de oportunidades a todas las personas privadas de libertad. Respecto a las denegatorias de servicios médicos y odontológicos</w:t>
      </w:r>
      <w:r w:rsidR="0024226A">
        <w:rPr>
          <w:rFonts w:asciiTheme="majorHAnsi" w:hAnsiTheme="majorHAnsi"/>
          <w:sz w:val="20"/>
          <w:szCs w:val="20"/>
          <w:lang w:val="es-VE"/>
        </w:rPr>
        <w:t>,</w:t>
      </w:r>
      <w:r w:rsidR="00C40E7B">
        <w:rPr>
          <w:rFonts w:asciiTheme="majorHAnsi" w:hAnsiTheme="majorHAnsi"/>
          <w:sz w:val="20"/>
          <w:szCs w:val="20"/>
          <w:lang w:val="es-VE"/>
        </w:rPr>
        <w:t xml:space="preserve"> </w:t>
      </w:r>
      <w:r w:rsidR="00DD125E">
        <w:rPr>
          <w:rFonts w:asciiTheme="majorHAnsi" w:hAnsiTheme="majorHAnsi"/>
          <w:sz w:val="20"/>
          <w:szCs w:val="20"/>
          <w:lang w:val="es-VE"/>
        </w:rPr>
        <w:t>indica que el centro de detención contaba con servicios médicos y la capacidad de coordinar atención especializada</w:t>
      </w:r>
      <w:r w:rsidR="0024226A">
        <w:rPr>
          <w:rFonts w:asciiTheme="majorHAnsi" w:hAnsiTheme="majorHAnsi"/>
          <w:sz w:val="20"/>
          <w:szCs w:val="20"/>
          <w:lang w:val="es-VE"/>
        </w:rPr>
        <w:t>;</w:t>
      </w:r>
      <w:r w:rsidR="00DD125E">
        <w:rPr>
          <w:rFonts w:asciiTheme="majorHAnsi" w:hAnsiTheme="majorHAnsi"/>
          <w:sz w:val="20"/>
          <w:szCs w:val="20"/>
          <w:lang w:val="es-VE"/>
        </w:rPr>
        <w:t xml:space="preserve"> y que el personal del centro no pudo acceder a lo solicitado debido a la inconducta del peticionario </w:t>
      </w:r>
      <w:r w:rsidR="0024226A">
        <w:rPr>
          <w:rFonts w:asciiTheme="majorHAnsi" w:hAnsiTheme="majorHAnsi"/>
          <w:sz w:val="20"/>
          <w:szCs w:val="20"/>
          <w:lang w:val="es-VE"/>
        </w:rPr>
        <w:t xml:space="preserve">cuando </w:t>
      </w:r>
      <w:r w:rsidR="00DD125E">
        <w:rPr>
          <w:rFonts w:asciiTheme="majorHAnsi" w:hAnsiTheme="majorHAnsi"/>
          <w:sz w:val="20"/>
          <w:szCs w:val="20"/>
          <w:lang w:val="es-VE"/>
        </w:rPr>
        <w:t>se pretendía brindarl</w:t>
      </w:r>
      <w:r w:rsidR="0024226A">
        <w:rPr>
          <w:rFonts w:asciiTheme="majorHAnsi" w:hAnsiTheme="majorHAnsi"/>
          <w:sz w:val="20"/>
          <w:szCs w:val="20"/>
          <w:lang w:val="es-VE"/>
        </w:rPr>
        <w:t>e</w:t>
      </w:r>
      <w:r w:rsidR="00DD125E">
        <w:rPr>
          <w:rFonts w:asciiTheme="majorHAnsi" w:hAnsiTheme="majorHAnsi"/>
          <w:sz w:val="20"/>
          <w:szCs w:val="20"/>
          <w:lang w:val="es-VE"/>
        </w:rPr>
        <w:t xml:space="preserve"> </w:t>
      </w:r>
      <w:r w:rsidR="0024226A">
        <w:rPr>
          <w:rFonts w:asciiTheme="majorHAnsi" w:hAnsiTheme="majorHAnsi"/>
          <w:sz w:val="20"/>
          <w:szCs w:val="20"/>
          <w:lang w:val="es-VE"/>
        </w:rPr>
        <w:t>la</w:t>
      </w:r>
      <w:r w:rsidR="00DD125E">
        <w:rPr>
          <w:rFonts w:asciiTheme="majorHAnsi" w:hAnsiTheme="majorHAnsi"/>
          <w:sz w:val="20"/>
          <w:szCs w:val="20"/>
          <w:lang w:val="es-VE"/>
        </w:rPr>
        <w:t xml:space="preserve"> asistencia. </w:t>
      </w:r>
      <w:r w:rsidR="008A08BA">
        <w:rPr>
          <w:rFonts w:asciiTheme="majorHAnsi" w:hAnsiTheme="majorHAnsi"/>
          <w:sz w:val="20"/>
          <w:szCs w:val="20"/>
          <w:lang w:val="es-VE"/>
        </w:rPr>
        <w:t xml:space="preserve">Resalta además que </w:t>
      </w:r>
      <w:r w:rsidR="0024226A">
        <w:rPr>
          <w:rFonts w:asciiTheme="majorHAnsi" w:hAnsiTheme="majorHAnsi"/>
          <w:sz w:val="20"/>
          <w:szCs w:val="20"/>
          <w:lang w:val="es-VE"/>
        </w:rPr>
        <w:t>e</w:t>
      </w:r>
      <w:r w:rsidR="00DB5D05">
        <w:rPr>
          <w:rFonts w:asciiTheme="majorHAnsi" w:hAnsiTheme="majorHAnsi"/>
          <w:sz w:val="20"/>
          <w:szCs w:val="20"/>
          <w:lang w:val="es-VE"/>
        </w:rPr>
        <w:t>l Comisionado Parlamentario ha indicado que el peticionario ha recibido un trato adecuado a la normativa vigente</w:t>
      </w:r>
      <w:r w:rsidR="0024226A">
        <w:rPr>
          <w:rFonts w:asciiTheme="majorHAnsi" w:hAnsiTheme="majorHAnsi"/>
          <w:sz w:val="20"/>
          <w:szCs w:val="20"/>
          <w:lang w:val="es-VE"/>
        </w:rPr>
        <w:t>,</w:t>
      </w:r>
      <w:r w:rsidR="00DB5D05">
        <w:rPr>
          <w:rFonts w:asciiTheme="majorHAnsi" w:hAnsiTheme="majorHAnsi"/>
          <w:sz w:val="20"/>
          <w:szCs w:val="20"/>
          <w:lang w:val="es-VE"/>
        </w:rPr>
        <w:t xml:space="preserve"> y </w:t>
      </w:r>
      <w:r w:rsidR="0024226A">
        <w:rPr>
          <w:rFonts w:asciiTheme="majorHAnsi" w:hAnsiTheme="majorHAnsi"/>
          <w:sz w:val="20"/>
          <w:szCs w:val="20"/>
          <w:lang w:val="es-VE"/>
        </w:rPr>
        <w:t xml:space="preserve">que </w:t>
      </w:r>
      <w:r w:rsidR="00DB5D05">
        <w:rPr>
          <w:rFonts w:asciiTheme="majorHAnsi" w:hAnsiTheme="majorHAnsi"/>
          <w:sz w:val="20"/>
          <w:szCs w:val="20"/>
          <w:lang w:val="es-VE"/>
        </w:rPr>
        <w:t xml:space="preserve">la Suprema Corte ha determinado que no se han trasgredido en </w:t>
      </w:r>
      <w:r w:rsidR="0024226A">
        <w:rPr>
          <w:rFonts w:asciiTheme="majorHAnsi" w:hAnsiTheme="majorHAnsi"/>
          <w:sz w:val="20"/>
          <w:szCs w:val="20"/>
          <w:lang w:val="es-VE"/>
        </w:rPr>
        <w:t xml:space="preserve">su </w:t>
      </w:r>
      <w:r w:rsidR="00DB5D05">
        <w:rPr>
          <w:rFonts w:asciiTheme="majorHAnsi" w:hAnsiTheme="majorHAnsi"/>
          <w:sz w:val="20"/>
          <w:szCs w:val="20"/>
          <w:lang w:val="es-VE"/>
        </w:rPr>
        <w:t>perjuicio las leyes, la Constitución o la Convención Americana.</w:t>
      </w:r>
      <w:r w:rsidR="006A4149">
        <w:rPr>
          <w:rFonts w:asciiTheme="majorHAnsi" w:hAnsiTheme="majorHAnsi"/>
          <w:sz w:val="20"/>
          <w:szCs w:val="20"/>
          <w:lang w:val="es-VE"/>
        </w:rPr>
        <w:t xml:space="preserve"> </w:t>
      </w:r>
    </w:p>
    <w:p w14:paraId="33C9F862" w14:textId="77777777" w:rsidR="003A4150" w:rsidRPr="0024226A" w:rsidRDefault="003A4150" w:rsidP="003A4150">
      <w:pPr>
        <w:jc w:val="both"/>
        <w:rPr>
          <w:rFonts w:asciiTheme="majorHAnsi" w:eastAsia="Cambria" w:hAnsiTheme="majorHAnsi" w:cs="Cambria"/>
          <w:b/>
          <w:bCs/>
          <w:color w:val="000000"/>
          <w:sz w:val="20"/>
          <w:szCs w:val="20"/>
          <w:u w:color="000000"/>
          <w:lang w:val="es-VE" w:eastAsia="es-ES"/>
        </w:rPr>
      </w:pPr>
    </w:p>
    <w:p w14:paraId="33B0C340" w14:textId="1B840BEB" w:rsidR="006051FA" w:rsidRDefault="006051FA" w:rsidP="003A4150">
      <w:pPr>
        <w:ind w:firstLine="720"/>
        <w:jc w:val="both"/>
        <w:rPr>
          <w:rFonts w:asciiTheme="majorHAnsi" w:eastAsia="Cambria" w:hAnsiTheme="majorHAnsi" w:cs="Cambria"/>
          <w:b/>
          <w:bCs/>
          <w:color w:val="000000"/>
          <w:sz w:val="20"/>
          <w:szCs w:val="20"/>
          <w:u w:color="000000"/>
          <w:lang w:val="es-ES" w:eastAsia="es-ES"/>
        </w:rPr>
      </w:pPr>
      <w:r w:rsidRPr="00671AA7">
        <w:rPr>
          <w:rFonts w:asciiTheme="majorHAnsi" w:eastAsia="Cambria" w:hAnsiTheme="majorHAnsi" w:cs="Cambria"/>
          <w:b/>
          <w:bCs/>
          <w:color w:val="000000"/>
          <w:sz w:val="20"/>
          <w:szCs w:val="20"/>
          <w:u w:color="000000"/>
          <w:lang w:val="es-ES" w:eastAsia="es-ES"/>
        </w:rPr>
        <w:t>VI.</w:t>
      </w:r>
      <w:r w:rsidRPr="00671AA7">
        <w:rPr>
          <w:rFonts w:asciiTheme="majorHAnsi" w:eastAsia="Cambria" w:hAnsiTheme="majorHAnsi" w:cs="Cambria"/>
          <w:b/>
          <w:bCs/>
          <w:color w:val="000000"/>
          <w:sz w:val="20"/>
          <w:szCs w:val="20"/>
          <w:u w:color="000000"/>
          <w:lang w:val="es-ES" w:eastAsia="es-ES"/>
        </w:rPr>
        <w:tab/>
      </w:r>
      <w:r w:rsidRPr="00671AA7">
        <w:rPr>
          <w:rFonts w:asciiTheme="majorHAnsi" w:hAnsiTheme="majorHAnsi"/>
          <w:b/>
          <w:bCs/>
          <w:sz w:val="20"/>
          <w:szCs w:val="20"/>
          <w:lang w:val="es-ES"/>
        </w:rPr>
        <w:t xml:space="preserve">ANÁLISIS DE </w:t>
      </w:r>
      <w:r w:rsidRPr="00671AA7">
        <w:rPr>
          <w:rFonts w:asciiTheme="majorHAnsi" w:hAnsiTheme="majorHAnsi"/>
          <w:b/>
          <w:sz w:val="20"/>
          <w:szCs w:val="20"/>
          <w:lang w:val="es-ES"/>
        </w:rPr>
        <w:t>AGOTAMIENTO DE LOS RECURSOS INTERNOS Y PLAZO DE PRESENTACIÓN</w:t>
      </w:r>
      <w:r w:rsidRPr="00671AA7">
        <w:rPr>
          <w:rFonts w:asciiTheme="majorHAnsi" w:eastAsia="Cambria" w:hAnsiTheme="majorHAnsi" w:cs="Cambria"/>
          <w:b/>
          <w:bCs/>
          <w:color w:val="000000"/>
          <w:sz w:val="20"/>
          <w:szCs w:val="20"/>
          <w:u w:color="000000"/>
          <w:lang w:val="es-ES" w:eastAsia="es-ES"/>
        </w:rPr>
        <w:t xml:space="preserve"> </w:t>
      </w:r>
    </w:p>
    <w:p w14:paraId="7F7A8D1A" w14:textId="77777777" w:rsidR="003A4150" w:rsidRPr="00671AA7" w:rsidRDefault="003A4150" w:rsidP="003A4150">
      <w:pPr>
        <w:jc w:val="both"/>
        <w:rPr>
          <w:rFonts w:ascii="Cambria" w:hAnsi="Cambria"/>
          <w:sz w:val="20"/>
          <w:szCs w:val="20"/>
          <w:lang w:val="es-ES"/>
        </w:rPr>
      </w:pPr>
    </w:p>
    <w:p w14:paraId="77A1E783" w14:textId="3CF3EDF8" w:rsidR="00383CD2" w:rsidRPr="00485617" w:rsidRDefault="00174EAD"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sz w:val="20"/>
          <w:szCs w:val="20"/>
          <w:lang w:val="es-ES"/>
        </w:rPr>
      </w:pPr>
      <w:r w:rsidRPr="00383CD2">
        <w:rPr>
          <w:rFonts w:asciiTheme="majorHAnsi" w:hAnsiTheme="majorHAnsi"/>
          <w:sz w:val="20"/>
          <w:szCs w:val="20"/>
          <w:lang w:val="es-VE"/>
        </w:rPr>
        <w:t>Respecto a la detención preventiva del peticionario</w:t>
      </w:r>
      <w:r w:rsidR="00CC236B">
        <w:rPr>
          <w:rFonts w:asciiTheme="majorHAnsi" w:hAnsiTheme="majorHAnsi"/>
          <w:sz w:val="20"/>
          <w:szCs w:val="20"/>
          <w:lang w:val="es-VE"/>
        </w:rPr>
        <w:t xml:space="preserve"> </w:t>
      </w:r>
      <w:r w:rsidR="00CC236B" w:rsidRPr="0047596C">
        <w:rPr>
          <w:rFonts w:asciiTheme="majorHAnsi" w:hAnsiTheme="majorHAnsi"/>
          <w:color w:val="auto"/>
          <w:sz w:val="20"/>
          <w:szCs w:val="20"/>
          <w:lang w:val="es-VE"/>
        </w:rPr>
        <w:t>junto con personas condenadas</w:t>
      </w:r>
      <w:r w:rsidRPr="0047596C">
        <w:rPr>
          <w:rFonts w:asciiTheme="majorHAnsi" w:hAnsiTheme="majorHAnsi"/>
          <w:color w:val="auto"/>
          <w:sz w:val="20"/>
          <w:szCs w:val="20"/>
          <w:lang w:val="es-VE"/>
        </w:rPr>
        <w:t xml:space="preserve"> </w:t>
      </w:r>
      <w:r w:rsidRPr="00383CD2">
        <w:rPr>
          <w:rFonts w:asciiTheme="majorHAnsi" w:hAnsiTheme="majorHAnsi"/>
          <w:sz w:val="20"/>
          <w:szCs w:val="20"/>
          <w:lang w:val="es-VE"/>
        </w:rPr>
        <w:t xml:space="preserve">y las </w:t>
      </w:r>
      <w:r w:rsidR="005B4586">
        <w:rPr>
          <w:rFonts w:asciiTheme="majorHAnsi" w:hAnsiTheme="majorHAnsi"/>
          <w:sz w:val="20"/>
          <w:szCs w:val="20"/>
          <w:lang w:val="es-VE"/>
        </w:rPr>
        <w:t xml:space="preserve">supuestas </w:t>
      </w:r>
      <w:r w:rsidR="00383CD2">
        <w:rPr>
          <w:rFonts w:asciiTheme="majorHAnsi" w:hAnsiTheme="majorHAnsi"/>
          <w:sz w:val="20"/>
          <w:szCs w:val="20"/>
          <w:lang w:val="es-VE"/>
        </w:rPr>
        <w:t>afectaciones que</w:t>
      </w:r>
      <w:r w:rsidR="00CC236B">
        <w:rPr>
          <w:rFonts w:asciiTheme="majorHAnsi" w:hAnsiTheme="majorHAnsi"/>
          <w:sz w:val="20"/>
          <w:szCs w:val="20"/>
          <w:lang w:val="es-VE"/>
        </w:rPr>
        <w:t xml:space="preserve"> esta</w:t>
      </w:r>
      <w:r w:rsidR="00383CD2">
        <w:rPr>
          <w:rFonts w:asciiTheme="majorHAnsi" w:hAnsiTheme="majorHAnsi"/>
          <w:sz w:val="20"/>
          <w:szCs w:val="20"/>
          <w:lang w:val="es-VE"/>
        </w:rPr>
        <w:t xml:space="preserve"> </w:t>
      </w:r>
      <w:r w:rsidR="005B4586">
        <w:rPr>
          <w:rFonts w:asciiTheme="majorHAnsi" w:hAnsiTheme="majorHAnsi"/>
          <w:sz w:val="20"/>
          <w:szCs w:val="20"/>
          <w:lang w:val="es-VE"/>
        </w:rPr>
        <w:t xml:space="preserve">le </w:t>
      </w:r>
      <w:r w:rsidR="00383CD2">
        <w:rPr>
          <w:rFonts w:asciiTheme="majorHAnsi" w:hAnsiTheme="majorHAnsi"/>
          <w:sz w:val="20"/>
          <w:szCs w:val="20"/>
          <w:lang w:val="es-VE"/>
        </w:rPr>
        <w:t>ha causado, la C</w:t>
      </w:r>
      <w:r w:rsidR="005B4586">
        <w:rPr>
          <w:rFonts w:asciiTheme="majorHAnsi" w:hAnsiTheme="majorHAnsi"/>
          <w:sz w:val="20"/>
          <w:szCs w:val="20"/>
          <w:lang w:val="es-VE"/>
        </w:rPr>
        <w:t>IDH</w:t>
      </w:r>
      <w:r w:rsidR="00E4273D" w:rsidRPr="00A5061D">
        <w:rPr>
          <w:rFonts w:asciiTheme="majorHAnsi" w:hAnsiTheme="majorHAnsi"/>
          <w:sz w:val="20"/>
          <w:szCs w:val="20"/>
          <w:lang w:val="es-ES"/>
        </w:rPr>
        <w:t xml:space="preserve"> ha determinado </w:t>
      </w:r>
      <w:r w:rsidR="005B4586">
        <w:rPr>
          <w:rFonts w:asciiTheme="majorHAnsi" w:hAnsiTheme="majorHAnsi"/>
          <w:sz w:val="20"/>
          <w:szCs w:val="20"/>
          <w:lang w:val="es-ES"/>
        </w:rPr>
        <w:t xml:space="preserve">anteriormente </w:t>
      </w:r>
      <w:r w:rsidR="00E4273D" w:rsidRPr="00A5061D">
        <w:rPr>
          <w:rFonts w:asciiTheme="majorHAnsi" w:hAnsiTheme="majorHAnsi"/>
          <w:sz w:val="20"/>
          <w:szCs w:val="20"/>
          <w:lang w:val="es-ES"/>
        </w:rPr>
        <w:t>que “l</w:t>
      </w:r>
      <w:r w:rsidR="00E4273D" w:rsidRPr="00A5061D">
        <w:rPr>
          <w:rFonts w:asciiTheme="majorHAnsi" w:hAnsiTheme="majorHAnsi"/>
          <w:sz w:val="20"/>
          <w:szCs w:val="20"/>
          <w:lang w:val="es-PA"/>
        </w:rPr>
        <w:t>os reclamos relativos a posibles violaciones a los derechos humanos derivadas de la aplicación de la prisión preventiva tienen, en relación con el artículo 46(1)(a) de la Convención, su propia dinámica de agotamiento de los recursos internos, independiente de aquella propia del proceso penal como un todo”</w:t>
      </w:r>
      <w:r w:rsidR="009F0A6F" w:rsidRPr="009F0A6F">
        <w:rPr>
          <w:rStyle w:val="FootnoteReference"/>
          <w:rFonts w:asciiTheme="majorHAnsi" w:hAnsiTheme="majorHAnsi"/>
          <w:sz w:val="20"/>
          <w:szCs w:val="20"/>
          <w:lang w:val="es-PA"/>
        </w:rPr>
        <w:t xml:space="preserve"> </w:t>
      </w:r>
      <w:r w:rsidR="009F0A6F" w:rsidRPr="00A5061D">
        <w:rPr>
          <w:rStyle w:val="FootnoteReference"/>
          <w:rFonts w:asciiTheme="majorHAnsi" w:hAnsiTheme="majorHAnsi"/>
          <w:sz w:val="20"/>
          <w:szCs w:val="20"/>
          <w:lang w:val="es-PA"/>
        </w:rPr>
        <w:footnoteReference w:id="6"/>
      </w:r>
      <w:r w:rsidR="005B4586">
        <w:rPr>
          <w:rFonts w:asciiTheme="majorHAnsi" w:hAnsiTheme="majorHAnsi"/>
          <w:sz w:val="20"/>
          <w:szCs w:val="20"/>
          <w:lang w:val="es-PA"/>
        </w:rPr>
        <w:t>;</w:t>
      </w:r>
      <w:r w:rsidR="00E4273D" w:rsidRPr="00A5061D">
        <w:rPr>
          <w:rFonts w:asciiTheme="majorHAnsi" w:hAnsiTheme="majorHAnsi"/>
          <w:sz w:val="20"/>
          <w:szCs w:val="20"/>
          <w:lang w:val="es-PA"/>
        </w:rPr>
        <w:t xml:space="preserve"> </w:t>
      </w:r>
      <w:r w:rsidR="005B4586">
        <w:rPr>
          <w:rFonts w:asciiTheme="majorHAnsi" w:hAnsiTheme="majorHAnsi"/>
          <w:sz w:val="20"/>
          <w:szCs w:val="20"/>
          <w:lang w:val="es-PA"/>
        </w:rPr>
        <w:t xml:space="preserve">y </w:t>
      </w:r>
      <w:r w:rsidR="00E4273D" w:rsidRPr="00A5061D">
        <w:rPr>
          <w:rFonts w:asciiTheme="majorHAnsi" w:hAnsiTheme="majorHAnsi"/>
          <w:sz w:val="20"/>
          <w:szCs w:val="20"/>
          <w:lang w:val="es-PA"/>
        </w:rPr>
        <w:t>que “[e]n el contexto de la prisión preventiva, para el agotamiento de recursos es suficiente la solicitud de excarcelación y su denegatoria”</w:t>
      </w:r>
      <w:r w:rsidR="00E4273D" w:rsidRPr="00A5061D">
        <w:rPr>
          <w:rStyle w:val="FootnoteReference"/>
          <w:rFonts w:asciiTheme="majorHAnsi" w:hAnsiTheme="majorHAnsi"/>
          <w:sz w:val="20"/>
          <w:szCs w:val="20"/>
          <w:lang w:val="es-PA"/>
        </w:rPr>
        <w:footnoteReference w:id="7"/>
      </w:r>
      <w:r w:rsidR="00E4273D" w:rsidRPr="00A5061D">
        <w:rPr>
          <w:rFonts w:asciiTheme="majorHAnsi" w:hAnsiTheme="majorHAnsi"/>
          <w:sz w:val="20"/>
          <w:szCs w:val="20"/>
          <w:lang w:val="es-PA"/>
        </w:rPr>
        <w:t>.</w:t>
      </w:r>
      <w:r w:rsidR="00E4273D">
        <w:rPr>
          <w:rFonts w:asciiTheme="majorHAnsi" w:hAnsiTheme="majorHAnsi"/>
          <w:sz w:val="20"/>
          <w:szCs w:val="20"/>
          <w:lang w:val="es-PA"/>
        </w:rPr>
        <w:t xml:space="preserve"> El peticionario indica que solicitó su excarcelación en diversas oportunidades</w:t>
      </w:r>
      <w:r w:rsidR="005213F7">
        <w:rPr>
          <w:rFonts w:asciiTheme="majorHAnsi" w:hAnsiTheme="majorHAnsi"/>
          <w:sz w:val="20"/>
          <w:szCs w:val="20"/>
          <w:lang w:val="es-PA"/>
        </w:rPr>
        <w:t>,</w:t>
      </w:r>
      <w:r w:rsidR="00E4273D">
        <w:rPr>
          <w:rFonts w:asciiTheme="majorHAnsi" w:hAnsiTheme="majorHAnsi"/>
          <w:sz w:val="20"/>
          <w:szCs w:val="20"/>
          <w:lang w:val="es-PA"/>
        </w:rPr>
        <w:t xml:space="preserve"> lo que ha no ha sido controvertido por el Estado. </w:t>
      </w:r>
      <w:r w:rsidR="005B4586">
        <w:rPr>
          <w:rFonts w:asciiTheme="majorHAnsi" w:hAnsiTheme="majorHAnsi"/>
          <w:sz w:val="20"/>
          <w:szCs w:val="20"/>
          <w:lang w:val="es-PA"/>
        </w:rPr>
        <w:t>La</w:t>
      </w:r>
      <w:r w:rsidR="00851F7F" w:rsidRPr="00A5061D">
        <w:rPr>
          <w:rFonts w:asciiTheme="majorHAnsi" w:hAnsiTheme="majorHAnsi"/>
          <w:sz w:val="20"/>
          <w:szCs w:val="20"/>
          <w:lang w:val="es-PA"/>
        </w:rPr>
        <w:t xml:space="preserve"> Comisión nota </w:t>
      </w:r>
      <w:r w:rsidR="005B4586">
        <w:rPr>
          <w:rFonts w:asciiTheme="majorHAnsi" w:hAnsiTheme="majorHAnsi"/>
          <w:sz w:val="20"/>
          <w:szCs w:val="20"/>
          <w:lang w:val="es-PA"/>
        </w:rPr>
        <w:t xml:space="preserve">además </w:t>
      </w:r>
      <w:r w:rsidR="00851F7F" w:rsidRPr="00A5061D">
        <w:rPr>
          <w:rFonts w:asciiTheme="majorHAnsi" w:hAnsiTheme="majorHAnsi"/>
          <w:sz w:val="20"/>
          <w:szCs w:val="20"/>
          <w:lang w:val="es-PA"/>
        </w:rPr>
        <w:t xml:space="preserve">que el Estado no ha hecho referencia a recursos internos no agotados que </w:t>
      </w:r>
      <w:r w:rsidR="00462241">
        <w:rPr>
          <w:rFonts w:asciiTheme="majorHAnsi" w:hAnsiTheme="majorHAnsi"/>
          <w:sz w:val="20"/>
          <w:szCs w:val="20"/>
          <w:lang w:val="es-PA"/>
        </w:rPr>
        <w:t xml:space="preserve">podrían </w:t>
      </w:r>
      <w:r w:rsidR="00851F7F" w:rsidRPr="00A5061D">
        <w:rPr>
          <w:rFonts w:asciiTheme="majorHAnsi" w:hAnsiTheme="majorHAnsi"/>
          <w:sz w:val="20"/>
          <w:szCs w:val="20"/>
          <w:lang w:val="es-PA"/>
        </w:rPr>
        <w:t xml:space="preserve">ser idóneos para que los reclamos respecto a </w:t>
      </w:r>
      <w:r w:rsidR="00462241">
        <w:rPr>
          <w:rFonts w:asciiTheme="majorHAnsi" w:hAnsiTheme="majorHAnsi"/>
          <w:sz w:val="20"/>
          <w:szCs w:val="20"/>
          <w:lang w:val="es-PA"/>
        </w:rPr>
        <w:t>la</w:t>
      </w:r>
      <w:r w:rsidR="00851F7F" w:rsidRPr="00A5061D">
        <w:rPr>
          <w:rFonts w:asciiTheme="majorHAnsi" w:hAnsiTheme="majorHAnsi"/>
          <w:sz w:val="20"/>
          <w:szCs w:val="20"/>
          <w:lang w:val="es-PA"/>
        </w:rPr>
        <w:t xml:space="preserve"> detención preventiva sean atendidos </w:t>
      </w:r>
      <w:r w:rsidR="00462241">
        <w:rPr>
          <w:rFonts w:asciiTheme="majorHAnsi" w:hAnsiTheme="majorHAnsi"/>
          <w:sz w:val="20"/>
          <w:szCs w:val="20"/>
          <w:lang w:val="es-PA"/>
        </w:rPr>
        <w:t>en el ámbito interno</w:t>
      </w:r>
      <w:r w:rsidR="00851F7F" w:rsidRPr="00A5061D">
        <w:rPr>
          <w:rFonts w:asciiTheme="majorHAnsi" w:hAnsiTheme="majorHAnsi"/>
          <w:sz w:val="20"/>
          <w:szCs w:val="20"/>
          <w:lang w:val="es-PA"/>
        </w:rPr>
        <w:t xml:space="preserve">. Por </w:t>
      </w:r>
      <w:r w:rsidR="00462241">
        <w:rPr>
          <w:rFonts w:asciiTheme="majorHAnsi" w:hAnsiTheme="majorHAnsi"/>
          <w:sz w:val="20"/>
          <w:szCs w:val="20"/>
          <w:lang w:val="es-PA"/>
        </w:rPr>
        <w:t>lo tanto</w:t>
      </w:r>
      <w:r w:rsidR="00851F7F" w:rsidRPr="00A5061D">
        <w:rPr>
          <w:rFonts w:asciiTheme="majorHAnsi" w:hAnsiTheme="majorHAnsi"/>
          <w:sz w:val="20"/>
          <w:szCs w:val="20"/>
          <w:lang w:val="es-PA"/>
        </w:rPr>
        <w:t>, la C</w:t>
      </w:r>
      <w:r w:rsidR="00462241">
        <w:rPr>
          <w:rFonts w:asciiTheme="majorHAnsi" w:hAnsiTheme="majorHAnsi"/>
          <w:sz w:val="20"/>
          <w:szCs w:val="20"/>
          <w:lang w:val="es-PA"/>
        </w:rPr>
        <w:t>IDH</w:t>
      </w:r>
      <w:r w:rsidR="00851F7F" w:rsidRPr="00A5061D">
        <w:rPr>
          <w:rFonts w:asciiTheme="majorHAnsi" w:hAnsiTheme="majorHAnsi"/>
          <w:sz w:val="20"/>
          <w:szCs w:val="20"/>
          <w:lang w:val="es-PA"/>
        </w:rPr>
        <w:t xml:space="preserve"> concluye que la petición cumple con los requisitos del artículo 46.1(a) de la Convención Americana</w:t>
      </w:r>
      <w:r w:rsidR="00462241">
        <w:rPr>
          <w:rFonts w:asciiTheme="majorHAnsi" w:hAnsiTheme="majorHAnsi"/>
          <w:sz w:val="20"/>
          <w:szCs w:val="20"/>
          <w:lang w:val="es-PA"/>
        </w:rPr>
        <w:t xml:space="preserve"> respecto a la prisión preventiva</w:t>
      </w:r>
      <w:r w:rsidR="00A76C2A">
        <w:rPr>
          <w:rFonts w:asciiTheme="majorHAnsi" w:hAnsiTheme="majorHAnsi"/>
          <w:sz w:val="20"/>
          <w:szCs w:val="20"/>
          <w:lang w:val="es-PA"/>
        </w:rPr>
        <w:t>. Dado que la</w:t>
      </w:r>
      <w:r w:rsidR="005213F7">
        <w:rPr>
          <w:rFonts w:asciiTheme="majorHAnsi" w:hAnsiTheme="majorHAnsi"/>
          <w:sz w:val="20"/>
          <w:szCs w:val="20"/>
          <w:lang w:val="es-PA"/>
        </w:rPr>
        <w:t xml:space="preserve"> petición se presentó el 23 de febrero de 2010 y la</w:t>
      </w:r>
      <w:r w:rsidR="00A76C2A">
        <w:rPr>
          <w:rFonts w:asciiTheme="majorHAnsi" w:hAnsiTheme="majorHAnsi"/>
          <w:sz w:val="20"/>
          <w:szCs w:val="20"/>
          <w:lang w:val="es-PA"/>
        </w:rPr>
        <w:t xml:space="preserve"> información aportada por el Estado indica que una solicitud de excarcelación se decidió </w:t>
      </w:r>
      <w:r w:rsidR="005213F7">
        <w:rPr>
          <w:rFonts w:asciiTheme="majorHAnsi" w:hAnsiTheme="majorHAnsi"/>
          <w:sz w:val="20"/>
          <w:szCs w:val="20"/>
          <w:lang w:val="es-PA"/>
        </w:rPr>
        <w:t>el 28 de febrero de 2018, la petición también cumple con los requisitos del artículo 46.1(b) de la Convención Americana.</w:t>
      </w:r>
    </w:p>
    <w:p w14:paraId="1270298B" w14:textId="77777777" w:rsidR="00485617" w:rsidRPr="00485617" w:rsidRDefault="00485617" w:rsidP="0048561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6E30160D" w14:textId="65C867A7" w:rsidR="00485617" w:rsidRPr="0047596C" w:rsidRDefault="00485617"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color w:val="auto"/>
          <w:sz w:val="20"/>
          <w:szCs w:val="20"/>
          <w:lang w:val="es-ES"/>
        </w:rPr>
      </w:pPr>
      <w:r w:rsidRPr="0047596C">
        <w:rPr>
          <w:rFonts w:asciiTheme="majorHAnsi" w:hAnsiTheme="majorHAnsi"/>
          <w:bCs/>
          <w:color w:val="auto"/>
          <w:sz w:val="20"/>
          <w:szCs w:val="20"/>
          <w:lang w:val="es-ES"/>
        </w:rPr>
        <w:t>En cuanto a la suspensión de los derechos políticos de la presunta víctima por su condición de procesado penal, la Comisión observa que la disposición que ordena esa suspensión es de orden constitucional y que el Estado no h</w:t>
      </w:r>
      <w:r w:rsidR="00CC236B" w:rsidRPr="0047596C">
        <w:rPr>
          <w:rFonts w:asciiTheme="majorHAnsi" w:hAnsiTheme="majorHAnsi"/>
          <w:bCs/>
          <w:color w:val="auto"/>
          <w:sz w:val="20"/>
          <w:szCs w:val="20"/>
          <w:lang w:val="es-ES"/>
        </w:rPr>
        <w:t xml:space="preserve">a hecho referencia ni surge del expediente la existencia de recursos que pudieran ser idóneos para que la presunta víctima impugne esa norma a nivel doméstico. Por lo tanto, la Comisión estima </w:t>
      </w:r>
      <w:r w:rsidR="00CC236B" w:rsidRPr="0047596C">
        <w:rPr>
          <w:rFonts w:asciiTheme="majorHAnsi" w:hAnsiTheme="majorHAnsi"/>
          <w:bCs/>
          <w:color w:val="auto"/>
          <w:sz w:val="20"/>
          <w:szCs w:val="20"/>
          <w:lang w:val="es-ES"/>
        </w:rPr>
        <w:lastRenderedPageBreak/>
        <w:t>que la excepción al requisito de agotamiento de los recursos internos prevista en el artículo 46.2(a) de la Convención Americana resulta aplicable a este extremo de la petición.</w:t>
      </w:r>
      <w:r w:rsidR="0047596C">
        <w:rPr>
          <w:rFonts w:asciiTheme="majorHAnsi" w:hAnsiTheme="majorHAnsi"/>
          <w:bCs/>
          <w:color w:val="auto"/>
          <w:sz w:val="20"/>
          <w:szCs w:val="20"/>
          <w:lang w:val="es-ES"/>
        </w:rPr>
        <w:t xml:space="preserve"> Dado que la petición se presentó estando vigente este agravio, la Comisión concluye que este reclamo fue presentado dentro de plazo razonable en los términos del artículo 32.2 de su reglamento. </w:t>
      </w:r>
    </w:p>
    <w:p w14:paraId="45ACDEAA" w14:textId="77777777" w:rsidR="00485617" w:rsidRPr="0047596C" w:rsidRDefault="00485617" w:rsidP="0048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5DA608ED" w14:textId="7FF92F94" w:rsidR="007B432F" w:rsidRPr="00485617" w:rsidRDefault="00462241"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sz w:val="20"/>
          <w:szCs w:val="20"/>
          <w:lang w:val="es-ES"/>
        </w:rPr>
      </w:pPr>
      <w:r>
        <w:rPr>
          <w:rFonts w:cs="Calibri"/>
          <w:sz w:val="20"/>
          <w:szCs w:val="20"/>
          <w:lang w:val="es-ES"/>
        </w:rPr>
        <w:t xml:space="preserve">En lo que hace </w:t>
      </w:r>
      <w:r w:rsidR="00650AE7">
        <w:rPr>
          <w:rFonts w:cs="Calibri"/>
          <w:sz w:val="20"/>
          <w:szCs w:val="20"/>
          <w:lang w:val="es-ES"/>
        </w:rPr>
        <w:t>a la suspensión impuesta al peticionario para el ejercicio de la profesión de abogado y las afectaciones a su derecho a la seguridad social</w:t>
      </w:r>
      <w:r w:rsidR="00C77B9A">
        <w:rPr>
          <w:rFonts w:cs="Calibri"/>
          <w:sz w:val="20"/>
          <w:szCs w:val="20"/>
          <w:lang w:val="es-ES"/>
        </w:rPr>
        <w:t>,</w:t>
      </w:r>
      <w:r w:rsidR="00587759">
        <w:rPr>
          <w:rFonts w:cs="Calibri"/>
          <w:sz w:val="20"/>
          <w:szCs w:val="20"/>
          <w:lang w:val="es-ES"/>
        </w:rPr>
        <w:t xml:space="preserve"> la C</w:t>
      </w:r>
      <w:r>
        <w:rPr>
          <w:rFonts w:cs="Calibri"/>
          <w:sz w:val="20"/>
          <w:szCs w:val="20"/>
          <w:lang w:val="es-ES"/>
        </w:rPr>
        <w:t>IDH</w:t>
      </w:r>
      <w:r w:rsidR="00587759">
        <w:rPr>
          <w:rFonts w:cs="Calibri"/>
          <w:sz w:val="20"/>
          <w:szCs w:val="20"/>
          <w:lang w:val="es-ES"/>
        </w:rPr>
        <w:t xml:space="preserve"> observa que el Tribunal Contencioso Administrativo rechazó la demanda de nulidad interpuesta por </w:t>
      </w:r>
      <w:r>
        <w:rPr>
          <w:rFonts w:cs="Calibri"/>
          <w:sz w:val="20"/>
          <w:szCs w:val="20"/>
          <w:lang w:val="es-ES"/>
        </w:rPr>
        <w:t>aqué</w:t>
      </w:r>
      <w:r w:rsidR="00587759">
        <w:rPr>
          <w:rFonts w:cs="Calibri"/>
          <w:sz w:val="20"/>
          <w:szCs w:val="20"/>
          <w:lang w:val="es-ES"/>
        </w:rPr>
        <w:t xml:space="preserve">l. El Estado no ha hecho referencia a otros recursos </w:t>
      </w:r>
      <w:r>
        <w:rPr>
          <w:rFonts w:cs="Calibri"/>
          <w:sz w:val="20"/>
          <w:szCs w:val="20"/>
          <w:lang w:val="es-ES"/>
        </w:rPr>
        <w:t xml:space="preserve">internos </w:t>
      </w:r>
      <w:r w:rsidR="00587759">
        <w:rPr>
          <w:rFonts w:cs="Calibri"/>
          <w:sz w:val="20"/>
          <w:szCs w:val="20"/>
          <w:lang w:val="es-ES"/>
        </w:rPr>
        <w:t xml:space="preserve">no agotados que </w:t>
      </w:r>
      <w:r>
        <w:rPr>
          <w:rFonts w:cs="Calibri"/>
          <w:sz w:val="20"/>
          <w:szCs w:val="20"/>
          <w:lang w:val="es-ES"/>
        </w:rPr>
        <w:t xml:space="preserve">podrían </w:t>
      </w:r>
      <w:r w:rsidR="00587759">
        <w:rPr>
          <w:rFonts w:cs="Calibri"/>
          <w:sz w:val="20"/>
          <w:szCs w:val="20"/>
          <w:lang w:val="es-ES"/>
        </w:rPr>
        <w:t xml:space="preserve">ser idóneos para </w:t>
      </w:r>
      <w:r>
        <w:rPr>
          <w:rFonts w:cs="Calibri"/>
          <w:sz w:val="20"/>
          <w:szCs w:val="20"/>
          <w:lang w:val="es-ES"/>
        </w:rPr>
        <w:t xml:space="preserve">atender </w:t>
      </w:r>
      <w:r w:rsidR="00587759">
        <w:rPr>
          <w:rFonts w:cs="Calibri"/>
          <w:sz w:val="20"/>
          <w:szCs w:val="20"/>
          <w:lang w:val="es-ES"/>
        </w:rPr>
        <w:t xml:space="preserve">estos aspectos de la petición </w:t>
      </w:r>
      <w:r>
        <w:rPr>
          <w:rFonts w:cs="Calibri"/>
          <w:sz w:val="20"/>
          <w:szCs w:val="20"/>
          <w:lang w:val="es-ES"/>
        </w:rPr>
        <w:t>en el ámbito interno</w:t>
      </w:r>
      <w:r w:rsidR="00587759">
        <w:rPr>
          <w:rFonts w:cs="Calibri"/>
          <w:sz w:val="20"/>
          <w:szCs w:val="20"/>
          <w:lang w:val="es-ES"/>
        </w:rPr>
        <w:t xml:space="preserve">.  Por </w:t>
      </w:r>
      <w:r>
        <w:rPr>
          <w:rFonts w:cs="Calibri"/>
          <w:sz w:val="20"/>
          <w:szCs w:val="20"/>
          <w:lang w:val="es-ES"/>
        </w:rPr>
        <w:t xml:space="preserve">lo tanto, </w:t>
      </w:r>
      <w:r w:rsidR="00587759">
        <w:rPr>
          <w:rFonts w:cs="Calibri"/>
          <w:sz w:val="20"/>
          <w:szCs w:val="20"/>
          <w:lang w:val="es-ES"/>
        </w:rPr>
        <w:t xml:space="preserve">la Comisión </w:t>
      </w:r>
      <w:r>
        <w:rPr>
          <w:rFonts w:cs="Calibri"/>
          <w:sz w:val="20"/>
          <w:szCs w:val="20"/>
          <w:lang w:val="es-ES"/>
        </w:rPr>
        <w:t xml:space="preserve">Interamericana </w:t>
      </w:r>
      <w:r w:rsidR="00587759">
        <w:rPr>
          <w:rFonts w:cs="Calibri"/>
          <w:sz w:val="20"/>
          <w:szCs w:val="20"/>
          <w:lang w:val="es-ES"/>
        </w:rPr>
        <w:t>concluye que estos aspectos de la petición cumplen con los requisitos del artículo 46.1(a) de la Convención Americana. Dado que la decisión del Tribunal Contencioso Administrativo se emitió el 15 de marzo de 2018</w:t>
      </w:r>
      <w:r>
        <w:rPr>
          <w:rFonts w:cs="Calibri"/>
          <w:sz w:val="20"/>
          <w:szCs w:val="20"/>
          <w:lang w:val="es-ES"/>
        </w:rPr>
        <w:t>,</w:t>
      </w:r>
      <w:r w:rsidR="00587759">
        <w:rPr>
          <w:rFonts w:cs="Calibri"/>
          <w:sz w:val="20"/>
          <w:szCs w:val="20"/>
          <w:lang w:val="es-ES"/>
        </w:rPr>
        <w:t xml:space="preserve"> </w:t>
      </w:r>
      <w:r w:rsidR="00C26F4F">
        <w:rPr>
          <w:rFonts w:cs="Calibri"/>
          <w:sz w:val="20"/>
          <w:szCs w:val="20"/>
          <w:lang w:val="es-ES"/>
        </w:rPr>
        <w:t>estos aspectos de la petición también cumple</w:t>
      </w:r>
      <w:r w:rsidR="00553D15">
        <w:rPr>
          <w:rFonts w:cs="Calibri"/>
          <w:sz w:val="20"/>
          <w:szCs w:val="20"/>
          <w:lang w:val="es-ES"/>
        </w:rPr>
        <w:t>n</w:t>
      </w:r>
      <w:r w:rsidR="00C26F4F">
        <w:rPr>
          <w:rFonts w:cs="Calibri"/>
          <w:sz w:val="20"/>
          <w:szCs w:val="20"/>
          <w:lang w:val="es-ES"/>
        </w:rPr>
        <w:t xml:space="preserve"> con los requisitos del artículo 46.1(b) de la Convención Americana. </w:t>
      </w:r>
    </w:p>
    <w:p w14:paraId="338D156E" w14:textId="77777777" w:rsidR="00485617" w:rsidRPr="00485617" w:rsidRDefault="00485617" w:rsidP="00485617">
      <w:pPr>
        <w:pStyle w:val="ListParagraph"/>
        <w:rPr>
          <w:rFonts w:asciiTheme="majorHAnsi" w:hAnsiTheme="majorHAnsi"/>
          <w:b/>
          <w:sz w:val="20"/>
          <w:szCs w:val="20"/>
          <w:lang w:val="es-ES"/>
        </w:rPr>
      </w:pPr>
    </w:p>
    <w:p w14:paraId="136122FC" w14:textId="3FEE194C" w:rsidR="00485617" w:rsidRPr="0047596C" w:rsidRDefault="00485617" w:rsidP="0048561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color w:val="auto"/>
          <w:sz w:val="20"/>
          <w:szCs w:val="20"/>
          <w:lang w:val="es-ES"/>
        </w:rPr>
      </w:pPr>
      <w:r w:rsidRPr="0047596C">
        <w:rPr>
          <w:rFonts w:asciiTheme="majorHAnsi" w:hAnsiTheme="majorHAnsi"/>
          <w:color w:val="auto"/>
          <w:sz w:val="20"/>
          <w:szCs w:val="20"/>
          <w:lang w:val="es-ES"/>
        </w:rPr>
        <w:t xml:space="preserve">En cuanto a las supuestas violaciones del debido proceso y del plazo razonable en el marco del proceso penal contra el peticionario, la Comisión Interamericana observa que dicho proceso inició en 2005 y, según la documentación aportada por el peticionario, la sentencia de primera instancia se habría emitido el 15 de marzo de 2021. El peticionario ha indicado sin brindar más información que la sentencia de primera instancia fue apelada. Dado que el proceso que da lugar a las reclamaciones no estaría definitivamente concluido y la duración que este ha tenido, la Comisión debe determinar si la excepción al requisito de los agotamientos internos prevista en el artículo 46.2(c) resulta aplicable a </w:t>
      </w:r>
      <w:r w:rsidR="0047596C">
        <w:rPr>
          <w:rFonts w:asciiTheme="majorHAnsi" w:hAnsiTheme="majorHAnsi"/>
          <w:color w:val="auto"/>
          <w:sz w:val="20"/>
          <w:szCs w:val="20"/>
          <w:lang w:val="es-ES"/>
        </w:rPr>
        <w:t>este extremo de la petición</w:t>
      </w:r>
      <w:r w:rsidRPr="0047596C">
        <w:rPr>
          <w:rFonts w:asciiTheme="majorHAnsi" w:hAnsiTheme="majorHAnsi"/>
          <w:color w:val="auto"/>
          <w:sz w:val="20"/>
          <w:szCs w:val="20"/>
          <w:lang w:val="es-ES"/>
        </w:rPr>
        <w:t xml:space="preserve">. En este sentido, la Comisión Interamericana recuerda que </w:t>
      </w:r>
      <w:r w:rsidRPr="0047596C">
        <w:rPr>
          <w:rFonts w:cs="Calibri"/>
          <w:color w:val="auto"/>
          <w:sz w:val="20"/>
          <w:szCs w:val="20"/>
          <w:lang w:val="es-ES_tradnl"/>
        </w:rPr>
        <w:t>la determinación sobre la aplicabilidad de las excepciones al agotamiento de los recursos internos al asunto en cuestión debe llevarse a cabo de manera previa y separada del análisis del fondo del asunto, ya que depende de un estándar de apreciación distinto del utilizado para determinar la violación de los artículos 8 y 25 de la Convención Americana. En el presente caso, la Comisión estima que el Estado ha sustentado adecuadamente que la dilación en la resolución del proceso es atribuible a la conducta de la presunta víctima. Por lo tanto, la Comisión estima que la excepción prevista en el artículo 46.2(c) de la Convención Americana no resulta aplicable y que estos extremos de la petición resultan inadmisibles por no cumplir con los requisitos del artículo 46.1(a) de la Convención Americana.</w:t>
      </w:r>
    </w:p>
    <w:p w14:paraId="2C7BA053" w14:textId="77777777" w:rsidR="003A4150" w:rsidRPr="003A4150"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48E73B0B" w14:textId="2D7D1C14" w:rsidR="00C26F4F" w:rsidRPr="003A4150" w:rsidRDefault="00C26F4F"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sz w:val="20"/>
          <w:szCs w:val="20"/>
          <w:lang w:val="es-ES"/>
        </w:rPr>
      </w:pPr>
      <w:r>
        <w:rPr>
          <w:rFonts w:asciiTheme="majorHAnsi" w:hAnsiTheme="majorHAnsi"/>
          <w:sz w:val="20"/>
          <w:szCs w:val="20"/>
          <w:lang w:val="es-ES"/>
        </w:rPr>
        <w:t xml:space="preserve">Respecto al embargo aplicado a los bienes del peticionario en el contexto del proceso por daños y perjuicios </w:t>
      </w:r>
      <w:r w:rsidR="00B21849">
        <w:rPr>
          <w:rFonts w:asciiTheme="majorHAnsi" w:hAnsiTheme="majorHAnsi"/>
          <w:sz w:val="20"/>
          <w:szCs w:val="20"/>
          <w:lang w:val="es-ES"/>
        </w:rPr>
        <w:t>en su contra, la C</w:t>
      </w:r>
      <w:r w:rsidR="0078520A">
        <w:rPr>
          <w:rFonts w:asciiTheme="majorHAnsi" w:hAnsiTheme="majorHAnsi"/>
          <w:sz w:val="20"/>
          <w:szCs w:val="20"/>
          <w:lang w:val="es-ES"/>
        </w:rPr>
        <w:t>IDH</w:t>
      </w:r>
      <w:r w:rsidR="00B50027">
        <w:rPr>
          <w:rFonts w:asciiTheme="majorHAnsi" w:hAnsiTheme="majorHAnsi"/>
          <w:sz w:val="20"/>
          <w:szCs w:val="20"/>
          <w:lang w:val="es-ES"/>
        </w:rPr>
        <w:t xml:space="preserve"> observa que </w:t>
      </w:r>
      <w:r w:rsidR="0078520A">
        <w:rPr>
          <w:rFonts w:asciiTheme="majorHAnsi" w:hAnsiTheme="majorHAnsi"/>
          <w:sz w:val="20"/>
          <w:szCs w:val="20"/>
          <w:lang w:val="es-ES"/>
        </w:rPr>
        <w:t>aqu</w:t>
      </w:r>
      <w:r w:rsidR="00B50027">
        <w:rPr>
          <w:rFonts w:asciiTheme="majorHAnsi" w:hAnsiTheme="majorHAnsi"/>
          <w:sz w:val="20"/>
          <w:szCs w:val="20"/>
          <w:lang w:val="es-ES"/>
        </w:rPr>
        <w:t xml:space="preserve">el ha indicado que la caducidad </w:t>
      </w:r>
      <w:r w:rsidR="00DB5BE2">
        <w:rPr>
          <w:rFonts w:asciiTheme="majorHAnsi" w:hAnsiTheme="majorHAnsi"/>
          <w:sz w:val="20"/>
          <w:szCs w:val="20"/>
          <w:lang w:val="es-ES"/>
        </w:rPr>
        <w:t xml:space="preserve">de dicho embargo fue comprobada a finales de 2015. Si bien reclama que la vigencia del </w:t>
      </w:r>
      <w:r w:rsidR="0078520A">
        <w:rPr>
          <w:rFonts w:asciiTheme="majorHAnsi" w:hAnsiTheme="majorHAnsi"/>
          <w:sz w:val="20"/>
          <w:szCs w:val="20"/>
          <w:lang w:val="es-ES"/>
        </w:rPr>
        <w:t>embargo</w:t>
      </w:r>
      <w:r w:rsidR="00DB5BE2">
        <w:rPr>
          <w:rFonts w:asciiTheme="majorHAnsi" w:hAnsiTheme="majorHAnsi"/>
          <w:sz w:val="20"/>
          <w:szCs w:val="20"/>
          <w:lang w:val="es-ES"/>
        </w:rPr>
        <w:t xml:space="preserve"> por más de 10 años le causó perjuicios</w:t>
      </w:r>
      <w:r w:rsidR="00C77B9A">
        <w:rPr>
          <w:rFonts w:asciiTheme="majorHAnsi" w:hAnsiTheme="majorHAnsi"/>
          <w:sz w:val="20"/>
          <w:szCs w:val="20"/>
          <w:lang w:val="es-ES"/>
        </w:rPr>
        <w:t>,</w:t>
      </w:r>
      <w:r w:rsidR="0078520A">
        <w:rPr>
          <w:rFonts w:asciiTheme="majorHAnsi" w:hAnsiTheme="majorHAnsi"/>
          <w:sz w:val="20"/>
          <w:szCs w:val="20"/>
          <w:lang w:val="es-ES"/>
        </w:rPr>
        <w:t xml:space="preserve"> el peticionario no informa sobre el agotamiento de </w:t>
      </w:r>
      <w:r w:rsidR="00DB5BE2">
        <w:rPr>
          <w:rFonts w:asciiTheme="majorHAnsi" w:hAnsiTheme="majorHAnsi"/>
          <w:sz w:val="20"/>
          <w:szCs w:val="20"/>
          <w:lang w:val="es-ES"/>
        </w:rPr>
        <w:t xml:space="preserve">recursos para </w:t>
      </w:r>
      <w:r w:rsidR="00A878D8">
        <w:rPr>
          <w:rFonts w:asciiTheme="majorHAnsi" w:hAnsiTheme="majorHAnsi"/>
          <w:sz w:val="20"/>
          <w:szCs w:val="20"/>
          <w:lang w:val="es-ES"/>
        </w:rPr>
        <w:t xml:space="preserve">reclamar dichos perjuicios. Por </w:t>
      </w:r>
      <w:r w:rsidR="0078520A">
        <w:rPr>
          <w:rFonts w:asciiTheme="majorHAnsi" w:hAnsiTheme="majorHAnsi"/>
          <w:sz w:val="20"/>
          <w:szCs w:val="20"/>
          <w:lang w:val="es-ES"/>
        </w:rPr>
        <w:t>lo tanto</w:t>
      </w:r>
      <w:r w:rsidR="00A878D8">
        <w:rPr>
          <w:rFonts w:asciiTheme="majorHAnsi" w:hAnsiTheme="majorHAnsi"/>
          <w:sz w:val="20"/>
          <w:szCs w:val="20"/>
          <w:lang w:val="es-ES"/>
        </w:rPr>
        <w:t xml:space="preserve">, la Comisión </w:t>
      </w:r>
      <w:r w:rsidR="0078520A">
        <w:rPr>
          <w:rFonts w:asciiTheme="majorHAnsi" w:hAnsiTheme="majorHAnsi"/>
          <w:sz w:val="20"/>
          <w:szCs w:val="20"/>
          <w:lang w:val="es-ES"/>
        </w:rPr>
        <w:t xml:space="preserve">Interamericana </w:t>
      </w:r>
      <w:r w:rsidR="00A878D8">
        <w:rPr>
          <w:rFonts w:asciiTheme="majorHAnsi" w:hAnsiTheme="majorHAnsi"/>
          <w:sz w:val="20"/>
          <w:szCs w:val="20"/>
          <w:lang w:val="es-ES"/>
        </w:rPr>
        <w:t xml:space="preserve">estima que este aspecto de la petición resulta inadmisible por no cumplir con </w:t>
      </w:r>
      <w:r w:rsidR="0078520A">
        <w:rPr>
          <w:rFonts w:asciiTheme="majorHAnsi" w:hAnsiTheme="majorHAnsi"/>
          <w:sz w:val="20"/>
          <w:szCs w:val="20"/>
          <w:lang w:val="es-ES"/>
        </w:rPr>
        <w:t>e</w:t>
      </w:r>
      <w:r w:rsidR="00A878D8">
        <w:rPr>
          <w:rFonts w:asciiTheme="majorHAnsi" w:hAnsiTheme="majorHAnsi"/>
          <w:sz w:val="20"/>
          <w:szCs w:val="20"/>
          <w:lang w:val="es-ES"/>
        </w:rPr>
        <w:t>l requisito del artículo 46.1(a) de la Convención Americana.</w:t>
      </w:r>
    </w:p>
    <w:p w14:paraId="14D59FE2" w14:textId="77777777" w:rsidR="003A4150" w:rsidRPr="003A4150"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5E92D7DE" w14:textId="0056EE52" w:rsidR="00020D2E" w:rsidRPr="00D32573" w:rsidRDefault="00A878D8"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sz w:val="20"/>
          <w:szCs w:val="20"/>
          <w:lang w:val="es-ES"/>
        </w:rPr>
      </w:pPr>
      <w:r>
        <w:rPr>
          <w:rFonts w:asciiTheme="majorHAnsi" w:hAnsiTheme="majorHAnsi"/>
          <w:sz w:val="20"/>
          <w:szCs w:val="20"/>
          <w:lang w:val="es-ES"/>
        </w:rPr>
        <w:t xml:space="preserve">En cuanto </w:t>
      </w:r>
      <w:r w:rsidR="00C547CF">
        <w:rPr>
          <w:rFonts w:asciiTheme="majorHAnsi" w:hAnsiTheme="majorHAnsi"/>
          <w:sz w:val="20"/>
          <w:szCs w:val="20"/>
          <w:lang w:val="es-ES"/>
        </w:rPr>
        <w:t xml:space="preserve">al traslado del peticionario a un centro penal de máxima seguridad y los perjuicios que le </w:t>
      </w:r>
      <w:r w:rsidR="0078520A">
        <w:rPr>
          <w:rFonts w:asciiTheme="majorHAnsi" w:hAnsiTheme="majorHAnsi"/>
          <w:sz w:val="20"/>
          <w:szCs w:val="20"/>
          <w:lang w:val="es-ES"/>
        </w:rPr>
        <w:t xml:space="preserve">habría </w:t>
      </w:r>
      <w:r w:rsidR="00C547CF">
        <w:rPr>
          <w:rFonts w:asciiTheme="majorHAnsi" w:hAnsiTheme="majorHAnsi"/>
          <w:sz w:val="20"/>
          <w:szCs w:val="20"/>
          <w:lang w:val="es-ES"/>
        </w:rPr>
        <w:t>ocasion</w:t>
      </w:r>
      <w:r w:rsidR="0078520A">
        <w:rPr>
          <w:rFonts w:asciiTheme="majorHAnsi" w:hAnsiTheme="majorHAnsi"/>
          <w:sz w:val="20"/>
          <w:szCs w:val="20"/>
          <w:lang w:val="es-ES"/>
        </w:rPr>
        <w:t>ado</w:t>
      </w:r>
      <w:r w:rsidR="000A7EB0">
        <w:rPr>
          <w:rFonts w:asciiTheme="majorHAnsi" w:hAnsiTheme="majorHAnsi"/>
          <w:sz w:val="20"/>
          <w:szCs w:val="20"/>
          <w:lang w:val="es-ES"/>
        </w:rPr>
        <w:t>,</w:t>
      </w:r>
      <w:r w:rsidR="00C547CF">
        <w:rPr>
          <w:rFonts w:asciiTheme="majorHAnsi" w:hAnsiTheme="majorHAnsi"/>
          <w:sz w:val="20"/>
          <w:szCs w:val="20"/>
          <w:lang w:val="es-ES"/>
        </w:rPr>
        <w:t xml:space="preserve"> la Comisión </w:t>
      </w:r>
      <w:r w:rsidR="0078520A">
        <w:rPr>
          <w:rFonts w:asciiTheme="majorHAnsi" w:hAnsiTheme="majorHAnsi"/>
          <w:sz w:val="20"/>
          <w:szCs w:val="20"/>
          <w:lang w:val="es-ES"/>
        </w:rPr>
        <w:t xml:space="preserve">Interamericana </w:t>
      </w:r>
      <w:r w:rsidR="00C547CF">
        <w:rPr>
          <w:rFonts w:asciiTheme="majorHAnsi" w:hAnsiTheme="majorHAnsi"/>
          <w:sz w:val="20"/>
          <w:szCs w:val="20"/>
          <w:lang w:val="es-ES"/>
        </w:rPr>
        <w:t xml:space="preserve">observa que el Tribunal Contencioso Administrativo decretó la nulidad de dicho traslado el </w:t>
      </w:r>
      <w:r w:rsidR="00C547CF">
        <w:rPr>
          <w:rFonts w:asciiTheme="majorHAnsi" w:hAnsiTheme="majorHAnsi"/>
          <w:sz w:val="20"/>
          <w:szCs w:val="20"/>
          <w:lang w:val="es-VE"/>
        </w:rPr>
        <w:t>4 de octubre de 2011</w:t>
      </w:r>
      <w:r w:rsidR="0078520A">
        <w:rPr>
          <w:rFonts w:asciiTheme="majorHAnsi" w:hAnsiTheme="majorHAnsi"/>
          <w:sz w:val="20"/>
          <w:szCs w:val="20"/>
          <w:lang w:val="es-VE"/>
        </w:rPr>
        <w:t>;</w:t>
      </w:r>
      <w:r w:rsidR="00C547CF">
        <w:rPr>
          <w:rFonts w:asciiTheme="majorHAnsi" w:hAnsiTheme="majorHAnsi"/>
          <w:sz w:val="20"/>
          <w:szCs w:val="20"/>
          <w:lang w:val="es-VE"/>
        </w:rPr>
        <w:t xml:space="preserve"> y </w:t>
      </w:r>
      <w:r w:rsidR="0078520A">
        <w:rPr>
          <w:rFonts w:asciiTheme="majorHAnsi" w:hAnsiTheme="majorHAnsi"/>
          <w:sz w:val="20"/>
          <w:szCs w:val="20"/>
          <w:lang w:val="es-VE"/>
        </w:rPr>
        <w:t xml:space="preserve">que </w:t>
      </w:r>
      <w:r w:rsidR="00C547CF">
        <w:rPr>
          <w:rFonts w:asciiTheme="majorHAnsi" w:hAnsiTheme="majorHAnsi"/>
          <w:sz w:val="20"/>
          <w:szCs w:val="20"/>
          <w:lang w:val="es-VE"/>
        </w:rPr>
        <w:t>el peticionario interpuso una demanda de daños y perjuicios</w:t>
      </w:r>
      <w:r w:rsidR="0078520A">
        <w:rPr>
          <w:rFonts w:asciiTheme="majorHAnsi" w:hAnsiTheme="majorHAnsi"/>
          <w:sz w:val="20"/>
          <w:szCs w:val="20"/>
          <w:lang w:val="es-VE"/>
        </w:rPr>
        <w:t>,</w:t>
      </w:r>
      <w:r w:rsidR="00020D2E">
        <w:rPr>
          <w:rFonts w:asciiTheme="majorHAnsi" w:hAnsiTheme="majorHAnsi"/>
          <w:sz w:val="20"/>
          <w:szCs w:val="20"/>
          <w:lang w:val="es-VE"/>
        </w:rPr>
        <w:t xml:space="preserve"> decidida en primera instancia el 18 de octubre de 2019. El peticionario no ha indicado que h</w:t>
      </w:r>
      <w:r w:rsidR="0078520A">
        <w:rPr>
          <w:rFonts w:asciiTheme="majorHAnsi" w:hAnsiTheme="majorHAnsi"/>
          <w:sz w:val="20"/>
          <w:szCs w:val="20"/>
          <w:lang w:val="es-VE"/>
        </w:rPr>
        <w:t>ubiera</w:t>
      </w:r>
      <w:r w:rsidR="00020D2E">
        <w:rPr>
          <w:rFonts w:asciiTheme="majorHAnsi" w:hAnsiTheme="majorHAnsi"/>
          <w:sz w:val="20"/>
          <w:szCs w:val="20"/>
          <w:lang w:val="es-VE"/>
        </w:rPr>
        <w:t xml:space="preserve"> interpuesto recursos contra dicha decisión de primera instancia</w:t>
      </w:r>
      <w:r w:rsidR="0078520A">
        <w:rPr>
          <w:rFonts w:asciiTheme="majorHAnsi" w:hAnsiTheme="majorHAnsi"/>
          <w:sz w:val="20"/>
          <w:szCs w:val="20"/>
          <w:lang w:val="es-VE"/>
        </w:rPr>
        <w:t>,</w:t>
      </w:r>
      <w:r w:rsidR="00020D2E">
        <w:rPr>
          <w:rFonts w:asciiTheme="majorHAnsi" w:hAnsiTheme="majorHAnsi"/>
          <w:sz w:val="20"/>
          <w:szCs w:val="20"/>
          <w:lang w:val="es-VE"/>
        </w:rPr>
        <w:t xml:space="preserve"> ni </w:t>
      </w:r>
      <w:r w:rsidR="0078520A">
        <w:rPr>
          <w:rFonts w:asciiTheme="majorHAnsi" w:hAnsiTheme="majorHAnsi"/>
          <w:sz w:val="20"/>
          <w:szCs w:val="20"/>
          <w:lang w:val="es-VE"/>
        </w:rPr>
        <w:t>planteado alguna excepción para dicho requisito</w:t>
      </w:r>
      <w:r w:rsidR="00020D2E">
        <w:rPr>
          <w:rFonts w:asciiTheme="majorHAnsi" w:hAnsiTheme="majorHAnsi"/>
          <w:sz w:val="20"/>
          <w:szCs w:val="20"/>
          <w:lang w:val="es-VE"/>
        </w:rPr>
        <w:t xml:space="preserve">. </w:t>
      </w:r>
      <w:r w:rsidR="0078520A">
        <w:rPr>
          <w:rFonts w:asciiTheme="majorHAnsi" w:hAnsiTheme="majorHAnsi"/>
          <w:sz w:val="20"/>
          <w:szCs w:val="20"/>
          <w:lang w:val="es-VE"/>
        </w:rPr>
        <w:t xml:space="preserve">En consecuencia, </w:t>
      </w:r>
      <w:r w:rsidR="00020D2E">
        <w:rPr>
          <w:rFonts w:asciiTheme="majorHAnsi" w:hAnsiTheme="majorHAnsi"/>
          <w:sz w:val="20"/>
          <w:szCs w:val="20"/>
          <w:lang w:val="es-VE"/>
        </w:rPr>
        <w:t>la C</w:t>
      </w:r>
      <w:r w:rsidR="0078520A">
        <w:rPr>
          <w:rFonts w:asciiTheme="majorHAnsi" w:hAnsiTheme="majorHAnsi"/>
          <w:sz w:val="20"/>
          <w:szCs w:val="20"/>
          <w:lang w:val="es-VE"/>
        </w:rPr>
        <w:t>IDH</w:t>
      </w:r>
      <w:r w:rsidR="00020D2E">
        <w:rPr>
          <w:rFonts w:asciiTheme="majorHAnsi" w:hAnsiTheme="majorHAnsi"/>
          <w:sz w:val="20"/>
          <w:szCs w:val="20"/>
          <w:lang w:val="es-VE"/>
        </w:rPr>
        <w:t xml:space="preserve"> </w:t>
      </w:r>
      <w:r w:rsidR="00D32573">
        <w:rPr>
          <w:rFonts w:asciiTheme="majorHAnsi" w:hAnsiTheme="majorHAnsi"/>
          <w:sz w:val="20"/>
          <w:szCs w:val="20"/>
          <w:lang w:val="es-VE"/>
        </w:rPr>
        <w:t xml:space="preserve">estima que este extremo de la petición resulta inadmisible por no cumplir con </w:t>
      </w:r>
      <w:r w:rsidR="0078520A">
        <w:rPr>
          <w:rFonts w:asciiTheme="majorHAnsi" w:hAnsiTheme="majorHAnsi"/>
          <w:sz w:val="20"/>
          <w:szCs w:val="20"/>
          <w:lang w:val="es-VE"/>
        </w:rPr>
        <w:t>e</w:t>
      </w:r>
      <w:r w:rsidR="00D32573">
        <w:rPr>
          <w:rFonts w:asciiTheme="majorHAnsi" w:hAnsiTheme="majorHAnsi"/>
          <w:sz w:val="20"/>
          <w:szCs w:val="20"/>
          <w:lang w:val="es-VE"/>
        </w:rPr>
        <w:t>l requisito del art</w:t>
      </w:r>
      <w:r w:rsidR="009D2BC7">
        <w:rPr>
          <w:rFonts w:asciiTheme="majorHAnsi" w:hAnsiTheme="majorHAnsi"/>
          <w:sz w:val="20"/>
          <w:szCs w:val="20"/>
          <w:lang w:val="es-VE"/>
        </w:rPr>
        <w:t>ículo</w:t>
      </w:r>
      <w:r w:rsidR="00D32573">
        <w:rPr>
          <w:rFonts w:asciiTheme="majorHAnsi" w:hAnsiTheme="majorHAnsi"/>
          <w:sz w:val="20"/>
          <w:szCs w:val="20"/>
          <w:lang w:val="es-VE"/>
        </w:rPr>
        <w:t xml:space="preserve"> 46.1(a) de la Convención Americana.</w:t>
      </w:r>
    </w:p>
    <w:p w14:paraId="01595F0F" w14:textId="77777777" w:rsidR="003A4150" w:rsidRPr="003A4150" w:rsidRDefault="003A4150" w:rsidP="003A415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2D354B70" w14:textId="545EB662" w:rsidR="00D32573" w:rsidRPr="003A4150" w:rsidRDefault="00501E31"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sz w:val="20"/>
          <w:szCs w:val="20"/>
          <w:lang w:val="es-ES"/>
        </w:rPr>
      </w:pPr>
      <w:r>
        <w:rPr>
          <w:rFonts w:asciiTheme="majorHAnsi" w:hAnsiTheme="majorHAnsi"/>
          <w:sz w:val="20"/>
          <w:szCs w:val="20"/>
          <w:lang w:val="es-ES"/>
        </w:rPr>
        <w:t xml:space="preserve">En lo </w:t>
      </w:r>
      <w:r w:rsidR="0078520A">
        <w:rPr>
          <w:rFonts w:asciiTheme="majorHAnsi" w:hAnsiTheme="majorHAnsi"/>
          <w:sz w:val="20"/>
          <w:szCs w:val="20"/>
          <w:lang w:val="es-ES"/>
        </w:rPr>
        <w:t xml:space="preserve">referente a las presuntas </w:t>
      </w:r>
      <w:r w:rsidR="009D2BC7">
        <w:rPr>
          <w:rFonts w:asciiTheme="majorHAnsi" w:hAnsiTheme="majorHAnsi"/>
          <w:sz w:val="20"/>
          <w:szCs w:val="20"/>
          <w:lang w:val="es-ES"/>
        </w:rPr>
        <w:t xml:space="preserve">afectaciones ilegitimas a </w:t>
      </w:r>
      <w:r w:rsidR="0078520A">
        <w:rPr>
          <w:rFonts w:asciiTheme="majorHAnsi" w:hAnsiTheme="majorHAnsi"/>
          <w:sz w:val="20"/>
          <w:szCs w:val="20"/>
          <w:lang w:val="es-ES"/>
        </w:rPr>
        <w:t xml:space="preserve">la </w:t>
      </w:r>
      <w:r w:rsidR="009D2BC7">
        <w:rPr>
          <w:rFonts w:asciiTheme="majorHAnsi" w:hAnsiTheme="majorHAnsi"/>
          <w:sz w:val="20"/>
          <w:szCs w:val="20"/>
          <w:lang w:val="es-ES"/>
        </w:rPr>
        <w:t xml:space="preserve">honra y dignidad </w:t>
      </w:r>
      <w:r w:rsidR="0078520A">
        <w:rPr>
          <w:rFonts w:asciiTheme="majorHAnsi" w:hAnsiTheme="majorHAnsi"/>
          <w:sz w:val="20"/>
          <w:szCs w:val="20"/>
          <w:lang w:val="es-ES"/>
        </w:rPr>
        <w:t xml:space="preserve">del peticionario </w:t>
      </w:r>
      <w:r w:rsidR="009D2BC7">
        <w:rPr>
          <w:rFonts w:asciiTheme="majorHAnsi" w:hAnsiTheme="majorHAnsi"/>
          <w:sz w:val="20"/>
          <w:szCs w:val="20"/>
          <w:lang w:val="es-ES"/>
        </w:rPr>
        <w:t xml:space="preserve">por parte de los medios de comunicación, la Comisión observa que </w:t>
      </w:r>
      <w:r w:rsidR="0078520A">
        <w:rPr>
          <w:rFonts w:asciiTheme="majorHAnsi" w:hAnsiTheme="majorHAnsi"/>
          <w:sz w:val="20"/>
          <w:szCs w:val="20"/>
          <w:lang w:val="es-ES"/>
        </w:rPr>
        <w:t xml:space="preserve">aquel </w:t>
      </w:r>
      <w:r w:rsidR="009D2BC7">
        <w:rPr>
          <w:rFonts w:asciiTheme="majorHAnsi" w:hAnsiTheme="majorHAnsi"/>
          <w:sz w:val="20"/>
          <w:szCs w:val="20"/>
          <w:lang w:val="es-ES"/>
        </w:rPr>
        <w:t>alega</w:t>
      </w:r>
      <w:r w:rsidR="0078520A">
        <w:rPr>
          <w:rFonts w:asciiTheme="majorHAnsi" w:hAnsiTheme="majorHAnsi"/>
          <w:sz w:val="20"/>
          <w:szCs w:val="20"/>
          <w:lang w:val="es-ES"/>
        </w:rPr>
        <w:t xml:space="preserve"> </w:t>
      </w:r>
      <w:r>
        <w:rPr>
          <w:rFonts w:asciiTheme="majorHAnsi" w:hAnsiTheme="majorHAnsi"/>
          <w:sz w:val="20"/>
          <w:szCs w:val="20"/>
          <w:lang w:val="es-ES"/>
        </w:rPr>
        <w:t xml:space="preserve">que se ha visto imposibilitado de ejercer su derecho a réplica. Sin embargo, no indica </w:t>
      </w:r>
      <w:r w:rsidR="0078520A">
        <w:rPr>
          <w:rFonts w:asciiTheme="majorHAnsi" w:hAnsiTheme="majorHAnsi"/>
          <w:sz w:val="20"/>
          <w:szCs w:val="20"/>
          <w:lang w:val="es-ES"/>
        </w:rPr>
        <w:t xml:space="preserve">las </w:t>
      </w:r>
      <w:r>
        <w:rPr>
          <w:rFonts w:asciiTheme="majorHAnsi" w:hAnsiTheme="majorHAnsi"/>
          <w:sz w:val="20"/>
          <w:szCs w:val="20"/>
          <w:lang w:val="es-ES"/>
        </w:rPr>
        <w:t xml:space="preserve">razones </w:t>
      </w:r>
      <w:r w:rsidR="0078520A">
        <w:rPr>
          <w:rFonts w:asciiTheme="majorHAnsi" w:hAnsiTheme="majorHAnsi"/>
          <w:sz w:val="20"/>
          <w:szCs w:val="20"/>
          <w:lang w:val="es-ES"/>
        </w:rPr>
        <w:t xml:space="preserve">que </w:t>
      </w:r>
      <w:r>
        <w:rPr>
          <w:rFonts w:asciiTheme="majorHAnsi" w:hAnsiTheme="majorHAnsi"/>
          <w:sz w:val="20"/>
          <w:szCs w:val="20"/>
          <w:lang w:val="es-ES"/>
        </w:rPr>
        <w:t>le hubieran impedido interponer acciones para reclamar su derecho a r</w:t>
      </w:r>
      <w:r w:rsidR="00501103">
        <w:rPr>
          <w:rFonts w:asciiTheme="majorHAnsi" w:hAnsiTheme="majorHAnsi"/>
          <w:sz w:val="20"/>
          <w:szCs w:val="20"/>
          <w:lang w:val="es-ES"/>
        </w:rPr>
        <w:t>éplica o las responsabilidades que pudieran derivarse de las comunicaciones que considera violatoria de sus derechos</w:t>
      </w:r>
      <w:r w:rsidR="0078520A">
        <w:rPr>
          <w:rFonts w:asciiTheme="majorHAnsi" w:hAnsiTheme="majorHAnsi"/>
          <w:sz w:val="20"/>
          <w:szCs w:val="20"/>
          <w:lang w:val="es-ES"/>
        </w:rPr>
        <w:t>.</w:t>
      </w:r>
      <w:r w:rsidR="00501103">
        <w:rPr>
          <w:rFonts w:asciiTheme="majorHAnsi" w:hAnsiTheme="majorHAnsi"/>
          <w:sz w:val="20"/>
          <w:szCs w:val="20"/>
          <w:lang w:val="es-ES"/>
        </w:rPr>
        <w:t xml:space="preserve"> </w:t>
      </w:r>
      <w:r w:rsidR="0078520A">
        <w:rPr>
          <w:rFonts w:asciiTheme="majorHAnsi" w:hAnsiTheme="majorHAnsi"/>
          <w:sz w:val="20"/>
          <w:szCs w:val="20"/>
          <w:lang w:val="es-ES"/>
        </w:rPr>
        <w:t xml:space="preserve">El expediente revela </w:t>
      </w:r>
      <w:r w:rsidR="00501103">
        <w:rPr>
          <w:rFonts w:asciiTheme="majorHAnsi" w:hAnsiTheme="majorHAnsi"/>
          <w:sz w:val="20"/>
          <w:szCs w:val="20"/>
          <w:lang w:val="es-ES"/>
        </w:rPr>
        <w:t>que</w:t>
      </w:r>
      <w:r w:rsidR="0078520A">
        <w:rPr>
          <w:rFonts w:asciiTheme="majorHAnsi" w:hAnsiTheme="majorHAnsi"/>
          <w:sz w:val="20"/>
          <w:szCs w:val="20"/>
          <w:lang w:val="es-ES"/>
        </w:rPr>
        <w:t>,</w:t>
      </w:r>
      <w:r w:rsidR="00501103">
        <w:rPr>
          <w:rFonts w:asciiTheme="majorHAnsi" w:hAnsiTheme="majorHAnsi"/>
          <w:sz w:val="20"/>
          <w:szCs w:val="20"/>
          <w:lang w:val="es-ES"/>
        </w:rPr>
        <w:t xml:space="preserve"> pese a estar privado de libertad</w:t>
      </w:r>
      <w:r w:rsidR="0078520A">
        <w:rPr>
          <w:rFonts w:asciiTheme="majorHAnsi" w:hAnsiTheme="majorHAnsi"/>
          <w:sz w:val="20"/>
          <w:szCs w:val="20"/>
          <w:lang w:val="es-ES"/>
        </w:rPr>
        <w:t>,</w:t>
      </w:r>
      <w:r w:rsidR="00501103">
        <w:rPr>
          <w:rFonts w:asciiTheme="majorHAnsi" w:hAnsiTheme="majorHAnsi"/>
          <w:sz w:val="20"/>
          <w:szCs w:val="20"/>
          <w:lang w:val="es-ES"/>
        </w:rPr>
        <w:t xml:space="preserve"> el peticionario ha podido ejercer acciones judiciales de diverso tipo. Por </w:t>
      </w:r>
      <w:r w:rsidR="0078520A">
        <w:rPr>
          <w:rFonts w:asciiTheme="majorHAnsi" w:hAnsiTheme="majorHAnsi"/>
          <w:sz w:val="20"/>
          <w:szCs w:val="20"/>
          <w:lang w:val="es-ES"/>
        </w:rPr>
        <w:t>lo tanto</w:t>
      </w:r>
      <w:r w:rsidR="00501103">
        <w:rPr>
          <w:rFonts w:asciiTheme="majorHAnsi" w:hAnsiTheme="majorHAnsi"/>
          <w:sz w:val="20"/>
          <w:szCs w:val="20"/>
          <w:lang w:val="es-ES"/>
        </w:rPr>
        <w:t xml:space="preserve">, la Comisión estima que este extremo de la petición resulta inadmisible por no cumplir con </w:t>
      </w:r>
      <w:r w:rsidR="0078520A">
        <w:rPr>
          <w:rFonts w:asciiTheme="majorHAnsi" w:hAnsiTheme="majorHAnsi"/>
          <w:sz w:val="20"/>
          <w:szCs w:val="20"/>
          <w:lang w:val="es-ES"/>
        </w:rPr>
        <w:t>e</w:t>
      </w:r>
      <w:r w:rsidR="00501103">
        <w:rPr>
          <w:rFonts w:asciiTheme="majorHAnsi" w:hAnsiTheme="majorHAnsi"/>
          <w:sz w:val="20"/>
          <w:szCs w:val="20"/>
          <w:lang w:val="es-ES"/>
        </w:rPr>
        <w:t>l requisito del artículo 46.1(a) de la Convención Americana.</w:t>
      </w:r>
    </w:p>
    <w:p w14:paraId="0C80CB8E" w14:textId="77777777" w:rsidR="003A4150" w:rsidRPr="003A4150"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sz w:val="20"/>
          <w:szCs w:val="20"/>
          <w:lang w:val="es-ES"/>
        </w:rPr>
      </w:pPr>
    </w:p>
    <w:p w14:paraId="5FB7A2A6" w14:textId="59E5EF8D" w:rsidR="00F40EED" w:rsidRPr="00224B57" w:rsidRDefault="00E43B59" w:rsidP="003A41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autoSpaceDE w:val="0"/>
        <w:autoSpaceDN w:val="0"/>
        <w:adjustRightInd w:val="0"/>
        <w:ind w:left="0"/>
        <w:jc w:val="both"/>
        <w:rPr>
          <w:rFonts w:asciiTheme="majorHAnsi" w:hAnsiTheme="majorHAnsi"/>
          <w:b/>
          <w:color w:val="FF0000"/>
          <w:sz w:val="20"/>
          <w:szCs w:val="20"/>
          <w:lang w:val="es-ES"/>
        </w:rPr>
      </w:pPr>
      <w:r>
        <w:rPr>
          <w:rFonts w:asciiTheme="majorHAnsi" w:hAnsiTheme="majorHAnsi"/>
          <w:sz w:val="20"/>
          <w:szCs w:val="20"/>
          <w:lang w:val="es-ES"/>
        </w:rPr>
        <w:lastRenderedPageBreak/>
        <w:t xml:space="preserve">Respecto a otros alegatos </w:t>
      </w:r>
      <w:r w:rsidR="0078520A">
        <w:rPr>
          <w:rFonts w:asciiTheme="majorHAnsi" w:hAnsiTheme="majorHAnsi"/>
          <w:sz w:val="20"/>
          <w:szCs w:val="20"/>
          <w:lang w:val="es-ES"/>
        </w:rPr>
        <w:t>d</w:t>
      </w:r>
      <w:r>
        <w:rPr>
          <w:rFonts w:asciiTheme="majorHAnsi" w:hAnsiTheme="majorHAnsi"/>
          <w:sz w:val="20"/>
          <w:szCs w:val="20"/>
          <w:lang w:val="es-ES"/>
        </w:rPr>
        <w:t>e la petición</w:t>
      </w:r>
      <w:r w:rsidR="0078520A">
        <w:rPr>
          <w:rFonts w:asciiTheme="majorHAnsi" w:hAnsiTheme="majorHAnsi"/>
          <w:sz w:val="20"/>
          <w:szCs w:val="20"/>
          <w:lang w:val="es-ES"/>
        </w:rPr>
        <w:t>,</w:t>
      </w:r>
      <w:r>
        <w:rPr>
          <w:rFonts w:asciiTheme="majorHAnsi" w:hAnsiTheme="majorHAnsi"/>
          <w:sz w:val="20"/>
          <w:szCs w:val="20"/>
          <w:lang w:val="es-ES"/>
        </w:rPr>
        <w:t xml:space="preserve"> como el intento de una medida de traslado en represalia </w:t>
      </w:r>
      <w:r w:rsidR="00E460E1">
        <w:rPr>
          <w:rFonts w:asciiTheme="majorHAnsi" w:hAnsiTheme="majorHAnsi"/>
          <w:sz w:val="20"/>
          <w:szCs w:val="20"/>
          <w:lang w:val="es-ES"/>
        </w:rPr>
        <w:t>a las denuncias realizadas por el peticionario ante los medios de comunicación</w:t>
      </w:r>
      <w:r>
        <w:rPr>
          <w:rFonts w:asciiTheme="majorHAnsi" w:hAnsiTheme="majorHAnsi"/>
          <w:sz w:val="20"/>
          <w:szCs w:val="20"/>
          <w:lang w:val="es-ES"/>
        </w:rPr>
        <w:t>,</w:t>
      </w:r>
      <w:r w:rsidR="00F478F4">
        <w:rPr>
          <w:rFonts w:asciiTheme="majorHAnsi" w:hAnsiTheme="majorHAnsi"/>
          <w:sz w:val="20"/>
          <w:szCs w:val="20"/>
          <w:lang w:val="es-ES"/>
        </w:rPr>
        <w:t xml:space="preserve"> </w:t>
      </w:r>
      <w:r w:rsidR="0078520A">
        <w:rPr>
          <w:rFonts w:asciiTheme="majorHAnsi" w:hAnsiTheme="majorHAnsi"/>
          <w:sz w:val="20"/>
          <w:szCs w:val="20"/>
          <w:lang w:val="es-ES"/>
        </w:rPr>
        <w:t>su</w:t>
      </w:r>
      <w:r w:rsidR="00F478F4">
        <w:rPr>
          <w:rFonts w:asciiTheme="majorHAnsi" w:hAnsiTheme="majorHAnsi"/>
          <w:sz w:val="20"/>
          <w:szCs w:val="20"/>
          <w:lang w:val="es-ES"/>
        </w:rPr>
        <w:t xml:space="preserve"> remoción del cargo </w:t>
      </w:r>
      <w:r w:rsidR="0078520A">
        <w:rPr>
          <w:rFonts w:asciiTheme="majorHAnsi" w:hAnsiTheme="majorHAnsi"/>
          <w:sz w:val="20"/>
          <w:szCs w:val="20"/>
          <w:lang w:val="es-ES"/>
        </w:rPr>
        <w:t>de</w:t>
      </w:r>
      <w:r w:rsidR="00F478F4">
        <w:rPr>
          <w:rFonts w:asciiTheme="majorHAnsi" w:hAnsiTheme="majorHAnsi"/>
          <w:sz w:val="20"/>
          <w:szCs w:val="20"/>
          <w:lang w:val="es-ES"/>
        </w:rPr>
        <w:t xml:space="preserve"> delegado de la unidad carcelaria a la que pertenecía,</w:t>
      </w:r>
      <w:r>
        <w:rPr>
          <w:rFonts w:asciiTheme="majorHAnsi" w:hAnsiTheme="majorHAnsi"/>
          <w:sz w:val="20"/>
          <w:szCs w:val="20"/>
          <w:lang w:val="es-ES"/>
        </w:rPr>
        <w:t xml:space="preserve"> </w:t>
      </w:r>
      <w:r w:rsidR="00E460E1">
        <w:rPr>
          <w:rFonts w:asciiTheme="majorHAnsi" w:hAnsiTheme="majorHAnsi"/>
          <w:sz w:val="20"/>
          <w:szCs w:val="20"/>
          <w:lang w:val="es-ES"/>
        </w:rPr>
        <w:t xml:space="preserve">la aplicación de una pesquisa ilegal, la aplicación de sanciones arbitrarias </w:t>
      </w:r>
      <w:r w:rsidR="0078520A">
        <w:rPr>
          <w:rFonts w:asciiTheme="majorHAnsi" w:hAnsiTheme="majorHAnsi"/>
          <w:sz w:val="20"/>
          <w:szCs w:val="20"/>
          <w:lang w:val="es-ES"/>
        </w:rPr>
        <w:t xml:space="preserve">por </w:t>
      </w:r>
      <w:r w:rsidR="00E460E1">
        <w:rPr>
          <w:rFonts w:asciiTheme="majorHAnsi" w:hAnsiTheme="majorHAnsi"/>
          <w:sz w:val="20"/>
          <w:szCs w:val="20"/>
          <w:lang w:val="es-ES"/>
        </w:rPr>
        <w:t>las autoridades penitenciarias, la falta de debido procesamiento de sus diversas denuncias penales y administrati</w:t>
      </w:r>
      <w:r w:rsidR="00F478F4">
        <w:rPr>
          <w:rFonts w:asciiTheme="majorHAnsi" w:hAnsiTheme="majorHAnsi"/>
          <w:sz w:val="20"/>
          <w:szCs w:val="20"/>
          <w:lang w:val="es-ES"/>
        </w:rPr>
        <w:t xml:space="preserve">vas, y la supuesta falta de </w:t>
      </w:r>
      <w:r w:rsidR="00F478F4" w:rsidRPr="002274FD">
        <w:rPr>
          <w:rFonts w:asciiTheme="majorHAnsi" w:hAnsiTheme="majorHAnsi"/>
          <w:color w:val="auto"/>
          <w:sz w:val="20"/>
          <w:szCs w:val="20"/>
          <w:lang w:val="es-ES"/>
        </w:rPr>
        <w:t xml:space="preserve">imparcialidad por parte de los jueces que conocen </w:t>
      </w:r>
      <w:r w:rsidRPr="002274FD">
        <w:rPr>
          <w:rFonts w:asciiTheme="majorHAnsi" w:hAnsiTheme="majorHAnsi"/>
          <w:color w:val="auto"/>
          <w:sz w:val="20"/>
          <w:szCs w:val="20"/>
          <w:lang w:val="es-ES"/>
        </w:rPr>
        <w:t xml:space="preserve"> </w:t>
      </w:r>
      <w:r w:rsidR="00F478F4" w:rsidRPr="002274FD">
        <w:rPr>
          <w:rFonts w:asciiTheme="majorHAnsi" w:hAnsiTheme="majorHAnsi"/>
          <w:color w:val="auto"/>
          <w:sz w:val="20"/>
          <w:szCs w:val="20"/>
          <w:lang w:val="es-ES"/>
        </w:rPr>
        <w:t xml:space="preserve">los procesos por cobra de honorarios y apropiación indebida de sus bienes, la Comisión </w:t>
      </w:r>
      <w:r w:rsidR="0078520A" w:rsidRPr="002274FD">
        <w:rPr>
          <w:rFonts w:asciiTheme="majorHAnsi" w:hAnsiTheme="majorHAnsi"/>
          <w:color w:val="auto"/>
          <w:sz w:val="20"/>
          <w:szCs w:val="20"/>
          <w:lang w:val="es-ES"/>
        </w:rPr>
        <w:t xml:space="preserve">Interamericana </w:t>
      </w:r>
      <w:r w:rsidR="00F478F4" w:rsidRPr="002274FD">
        <w:rPr>
          <w:rFonts w:asciiTheme="majorHAnsi" w:hAnsiTheme="majorHAnsi"/>
          <w:color w:val="auto"/>
          <w:sz w:val="20"/>
          <w:szCs w:val="20"/>
          <w:lang w:val="es-ES"/>
        </w:rPr>
        <w:t xml:space="preserve">estima que el peticionario no ha aportado información suficiente que le permita evaluar si ha agotado los recursos </w:t>
      </w:r>
      <w:r w:rsidR="0078520A" w:rsidRPr="002274FD">
        <w:rPr>
          <w:rFonts w:asciiTheme="majorHAnsi" w:hAnsiTheme="majorHAnsi"/>
          <w:color w:val="auto"/>
          <w:sz w:val="20"/>
          <w:szCs w:val="20"/>
          <w:lang w:val="es-ES"/>
        </w:rPr>
        <w:t>internos</w:t>
      </w:r>
      <w:r w:rsidR="00C77B9A" w:rsidRPr="002274FD">
        <w:rPr>
          <w:rStyle w:val="FootnoteReference"/>
          <w:rFonts w:asciiTheme="majorHAnsi" w:hAnsiTheme="majorHAnsi"/>
          <w:color w:val="auto"/>
          <w:sz w:val="20"/>
          <w:szCs w:val="20"/>
          <w:lang w:val="es-ES"/>
        </w:rPr>
        <w:footnoteReference w:id="8"/>
      </w:r>
      <w:r w:rsidR="00F478F4" w:rsidRPr="002274FD">
        <w:rPr>
          <w:rFonts w:asciiTheme="majorHAnsi" w:hAnsiTheme="majorHAnsi"/>
          <w:color w:val="auto"/>
          <w:sz w:val="20"/>
          <w:szCs w:val="20"/>
          <w:lang w:val="es-ES"/>
        </w:rPr>
        <w:t xml:space="preserve">. </w:t>
      </w:r>
      <w:r w:rsidR="00224B57" w:rsidRPr="002274FD">
        <w:rPr>
          <w:rFonts w:asciiTheme="majorHAnsi" w:hAnsiTheme="majorHAnsi"/>
          <w:color w:val="auto"/>
          <w:sz w:val="20"/>
          <w:szCs w:val="20"/>
          <w:lang w:val="es-ES"/>
        </w:rPr>
        <w:t xml:space="preserve">En este sentido, la Comisión recuerda que el artículo 28 de su </w:t>
      </w:r>
      <w:r w:rsidR="002274FD" w:rsidRPr="002274FD">
        <w:rPr>
          <w:rFonts w:asciiTheme="majorHAnsi" w:hAnsiTheme="majorHAnsi"/>
          <w:color w:val="auto"/>
          <w:sz w:val="20"/>
          <w:szCs w:val="20"/>
          <w:lang w:val="es-ES"/>
        </w:rPr>
        <w:t>R</w:t>
      </w:r>
      <w:r w:rsidR="00224B57" w:rsidRPr="002274FD">
        <w:rPr>
          <w:rFonts w:asciiTheme="majorHAnsi" w:hAnsiTheme="majorHAnsi"/>
          <w:color w:val="auto"/>
          <w:sz w:val="20"/>
          <w:szCs w:val="20"/>
          <w:lang w:val="es-ES"/>
        </w:rPr>
        <w:t xml:space="preserve">eglamento establece como requisito para la evaluación de peticiones que la parte peticionaria informe sobre </w:t>
      </w:r>
      <w:r w:rsidR="002274FD" w:rsidRPr="002274FD">
        <w:rPr>
          <w:rFonts w:asciiTheme="majorHAnsi" w:hAnsiTheme="majorHAnsi"/>
          <w:color w:val="auto"/>
          <w:sz w:val="20"/>
          <w:szCs w:val="20"/>
          <w:lang w:val="es-ES"/>
        </w:rPr>
        <w:t xml:space="preserve">las </w:t>
      </w:r>
      <w:r w:rsidR="00224B57" w:rsidRPr="002274FD">
        <w:rPr>
          <w:rFonts w:asciiTheme="majorHAnsi" w:hAnsiTheme="majorHAnsi" w:cs="Tahoma"/>
          <w:color w:val="auto"/>
          <w:sz w:val="20"/>
          <w:szCs w:val="20"/>
          <w:shd w:val="clear" w:color="auto" w:fill="FFFFFF"/>
          <w:lang w:val="es-PA"/>
        </w:rPr>
        <w:t>gestiones emprendidas para agotar los recursos de la jurisdicción interna o la imposibilidad de hacerlo. Por lo tanto,</w:t>
      </w:r>
      <w:r w:rsidR="00224B57" w:rsidRPr="002274FD">
        <w:rPr>
          <w:rFonts w:ascii="Tahoma" w:hAnsi="Tahoma" w:cs="Tahoma"/>
          <w:color w:val="auto"/>
          <w:sz w:val="20"/>
          <w:szCs w:val="20"/>
          <w:shd w:val="clear" w:color="auto" w:fill="FFFFFF"/>
          <w:lang w:val="es-PA"/>
        </w:rPr>
        <w:t xml:space="preserve"> </w:t>
      </w:r>
      <w:r w:rsidR="00F478F4" w:rsidRPr="002274FD">
        <w:rPr>
          <w:rFonts w:asciiTheme="majorHAnsi" w:hAnsiTheme="majorHAnsi"/>
          <w:color w:val="auto"/>
          <w:sz w:val="20"/>
          <w:szCs w:val="20"/>
          <w:lang w:val="es-ES"/>
        </w:rPr>
        <w:t>la C</w:t>
      </w:r>
      <w:r w:rsidR="002274FD" w:rsidRPr="002274FD">
        <w:rPr>
          <w:rFonts w:asciiTheme="majorHAnsi" w:hAnsiTheme="majorHAnsi"/>
          <w:color w:val="auto"/>
          <w:sz w:val="20"/>
          <w:szCs w:val="20"/>
          <w:lang w:val="es-ES"/>
        </w:rPr>
        <w:t>IDH</w:t>
      </w:r>
      <w:r w:rsidR="00F478F4" w:rsidRPr="002274FD">
        <w:rPr>
          <w:rFonts w:asciiTheme="majorHAnsi" w:hAnsiTheme="majorHAnsi"/>
          <w:color w:val="auto"/>
          <w:sz w:val="20"/>
          <w:szCs w:val="20"/>
          <w:lang w:val="es-ES"/>
        </w:rPr>
        <w:t xml:space="preserve"> considera que </w:t>
      </w:r>
      <w:r w:rsidR="00224B57" w:rsidRPr="002274FD">
        <w:rPr>
          <w:rFonts w:asciiTheme="majorHAnsi" w:hAnsiTheme="majorHAnsi"/>
          <w:color w:val="auto"/>
          <w:sz w:val="20"/>
          <w:szCs w:val="20"/>
          <w:lang w:val="es-ES"/>
        </w:rPr>
        <w:t>est</w:t>
      </w:r>
      <w:r w:rsidR="002274FD" w:rsidRPr="002274FD">
        <w:rPr>
          <w:rFonts w:asciiTheme="majorHAnsi" w:hAnsiTheme="majorHAnsi"/>
          <w:color w:val="auto"/>
          <w:sz w:val="20"/>
          <w:szCs w:val="20"/>
          <w:lang w:val="es-ES"/>
        </w:rPr>
        <w:t>os</w:t>
      </w:r>
      <w:r w:rsidR="00224B57" w:rsidRPr="002274FD">
        <w:rPr>
          <w:rFonts w:asciiTheme="majorHAnsi" w:hAnsiTheme="majorHAnsi"/>
          <w:color w:val="auto"/>
          <w:sz w:val="20"/>
          <w:szCs w:val="20"/>
          <w:lang w:val="es-ES"/>
        </w:rPr>
        <w:t xml:space="preserve"> reclamos</w:t>
      </w:r>
      <w:r w:rsidR="00F478F4" w:rsidRPr="002274FD">
        <w:rPr>
          <w:rFonts w:asciiTheme="majorHAnsi" w:hAnsiTheme="majorHAnsi"/>
          <w:color w:val="auto"/>
          <w:sz w:val="20"/>
          <w:szCs w:val="20"/>
          <w:lang w:val="es-ES"/>
        </w:rPr>
        <w:t xml:space="preserve"> resultan inadmisibles por no cumplir con </w:t>
      </w:r>
      <w:r w:rsidR="002274FD" w:rsidRPr="002274FD">
        <w:rPr>
          <w:rFonts w:asciiTheme="majorHAnsi" w:hAnsiTheme="majorHAnsi"/>
          <w:color w:val="auto"/>
          <w:sz w:val="20"/>
          <w:szCs w:val="20"/>
          <w:lang w:val="es-ES"/>
        </w:rPr>
        <w:t>e</w:t>
      </w:r>
      <w:r w:rsidR="00F478F4" w:rsidRPr="002274FD">
        <w:rPr>
          <w:rFonts w:asciiTheme="majorHAnsi" w:hAnsiTheme="majorHAnsi"/>
          <w:color w:val="auto"/>
          <w:sz w:val="20"/>
          <w:szCs w:val="20"/>
          <w:lang w:val="es-ES"/>
        </w:rPr>
        <w:t xml:space="preserve">l requisito del artículo 46.1(a) de la Convención Americana. </w:t>
      </w:r>
    </w:p>
    <w:p w14:paraId="1EBAB4F3" w14:textId="77777777" w:rsidR="003A4150" w:rsidRPr="002274FD" w:rsidRDefault="003A4150" w:rsidP="002274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
          <w:bCs/>
          <w:sz w:val="20"/>
          <w:szCs w:val="20"/>
          <w:lang w:val="es-ES"/>
        </w:rPr>
      </w:pPr>
    </w:p>
    <w:p w14:paraId="7DB094EA" w14:textId="14305F0A" w:rsidR="006051FA" w:rsidRPr="00383CD2" w:rsidRDefault="006051FA" w:rsidP="003A415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b/>
          <w:sz w:val="20"/>
          <w:szCs w:val="20"/>
          <w:lang w:val="es-ES"/>
        </w:rPr>
      </w:pPr>
      <w:r w:rsidRPr="00383CD2">
        <w:rPr>
          <w:rFonts w:asciiTheme="majorHAnsi" w:hAnsiTheme="majorHAnsi"/>
          <w:b/>
          <w:bCs/>
          <w:sz w:val="20"/>
          <w:szCs w:val="20"/>
          <w:lang w:val="es-ES"/>
        </w:rPr>
        <w:t>VII.</w:t>
      </w:r>
      <w:r w:rsidRPr="00383CD2">
        <w:rPr>
          <w:rFonts w:asciiTheme="majorHAnsi" w:hAnsiTheme="majorHAnsi"/>
          <w:b/>
          <w:bCs/>
          <w:sz w:val="20"/>
          <w:szCs w:val="20"/>
          <w:lang w:val="es-ES"/>
        </w:rPr>
        <w:tab/>
        <w:t>ANÁLISIS DE CARACTERIZACIÓN DE LOS HECHOS ALEGADOS</w:t>
      </w:r>
    </w:p>
    <w:p w14:paraId="22182AD8" w14:textId="77777777" w:rsidR="003A4150"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9A4A7D4" w14:textId="499308CD" w:rsidR="00851B41" w:rsidRPr="00946779" w:rsidRDefault="002274FD" w:rsidP="003A41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suppressAutoHyphens/>
        <w:ind w:left="0"/>
        <w:jc w:val="both"/>
        <w:rPr>
          <w:rFonts w:ascii="Cambria" w:hAnsi="Cambria"/>
          <w:sz w:val="20"/>
          <w:szCs w:val="20"/>
          <w:lang w:val="es-ES"/>
        </w:rPr>
      </w:pPr>
      <w:r w:rsidRPr="00946779">
        <w:rPr>
          <w:rFonts w:ascii="Cambria" w:hAnsi="Cambria"/>
          <w:sz w:val="20"/>
          <w:szCs w:val="20"/>
          <w:lang w:val="es-ES"/>
        </w:rPr>
        <w:t xml:space="preserve">El peticionario </w:t>
      </w:r>
      <w:r w:rsidR="00DF284C" w:rsidRPr="00946779">
        <w:rPr>
          <w:rFonts w:ascii="Cambria" w:hAnsi="Cambria"/>
          <w:sz w:val="20"/>
          <w:szCs w:val="20"/>
          <w:lang w:val="es-ES"/>
        </w:rPr>
        <w:t xml:space="preserve">alega </w:t>
      </w:r>
      <w:r w:rsidRPr="00946779">
        <w:rPr>
          <w:rFonts w:ascii="Cambria" w:hAnsi="Cambria"/>
          <w:sz w:val="20"/>
          <w:szCs w:val="20"/>
          <w:lang w:val="es-ES"/>
        </w:rPr>
        <w:t>la</w:t>
      </w:r>
      <w:r w:rsidR="00DF284C" w:rsidRPr="00946779">
        <w:rPr>
          <w:rFonts w:ascii="Cambria" w:hAnsi="Cambria"/>
          <w:sz w:val="20"/>
          <w:szCs w:val="20"/>
          <w:lang w:val="es-ES"/>
        </w:rPr>
        <w:t xml:space="preserve"> excesiva </w:t>
      </w:r>
      <w:r w:rsidRPr="00946779">
        <w:rPr>
          <w:rFonts w:ascii="Cambria" w:hAnsi="Cambria"/>
          <w:sz w:val="20"/>
          <w:szCs w:val="20"/>
          <w:lang w:val="es-ES"/>
        </w:rPr>
        <w:t>prolongación</w:t>
      </w:r>
      <w:r w:rsidR="00DF284C" w:rsidRPr="00946779">
        <w:rPr>
          <w:rFonts w:ascii="Cambria" w:hAnsi="Cambria"/>
          <w:sz w:val="20"/>
          <w:szCs w:val="20"/>
          <w:lang w:val="es-ES"/>
        </w:rPr>
        <w:t xml:space="preserve"> de la prisión preventiva</w:t>
      </w:r>
      <w:r w:rsidR="005019FA" w:rsidRPr="00946779">
        <w:rPr>
          <w:rFonts w:ascii="Cambria" w:hAnsi="Cambria"/>
          <w:sz w:val="20"/>
          <w:szCs w:val="20"/>
          <w:lang w:val="es-ES"/>
        </w:rPr>
        <w:t xml:space="preserve"> por más de 14 años</w:t>
      </w:r>
      <w:r w:rsidRPr="00946779">
        <w:rPr>
          <w:rFonts w:ascii="Cambria" w:hAnsi="Cambria"/>
          <w:sz w:val="20"/>
          <w:szCs w:val="20"/>
          <w:lang w:val="es-ES"/>
        </w:rPr>
        <w:t>,</w:t>
      </w:r>
      <w:r w:rsidR="00E515BF" w:rsidRPr="00946779">
        <w:rPr>
          <w:rFonts w:ascii="Cambria" w:hAnsi="Cambria"/>
          <w:sz w:val="20"/>
          <w:szCs w:val="20"/>
          <w:lang w:val="es-ES"/>
        </w:rPr>
        <w:t xml:space="preserve"> con afectaciones para </w:t>
      </w:r>
      <w:r w:rsidRPr="00946779">
        <w:rPr>
          <w:rFonts w:ascii="Cambria" w:hAnsi="Cambria"/>
          <w:sz w:val="20"/>
          <w:szCs w:val="20"/>
          <w:lang w:val="es-ES"/>
        </w:rPr>
        <w:t>su</w:t>
      </w:r>
      <w:r w:rsidR="00E515BF" w:rsidRPr="00946779">
        <w:rPr>
          <w:rFonts w:ascii="Cambria" w:hAnsi="Cambria"/>
          <w:sz w:val="20"/>
          <w:szCs w:val="20"/>
          <w:lang w:val="es-ES"/>
        </w:rPr>
        <w:t xml:space="preserve"> salud y vida familiar</w:t>
      </w:r>
      <w:r w:rsidRPr="00946779">
        <w:rPr>
          <w:rFonts w:ascii="Cambria" w:hAnsi="Cambria"/>
          <w:sz w:val="20"/>
          <w:szCs w:val="20"/>
          <w:lang w:val="es-ES"/>
        </w:rPr>
        <w:t>,</w:t>
      </w:r>
      <w:r w:rsidR="00E515BF" w:rsidRPr="00946779">
        <w:rPr>
          <w:rFonts w:ascii="Cambria" w:hAnsi="Cambria"/>
          <w:sz w:val="20"/>
          <w:szCs w:val="20"/>
          <w:lang w:val="es-ES"/>
        </w:rPr>
        <w:t xml:space="preserve"> así como su capacidad de defender sus intereses en distintos procesos;</w:t>
      </w:r>
      <w:r w:rsidR="009C337F" w:rsidRPr="00946779">
        <w:rPr>
          <w:rFonts w:ascii="Cambria" w:hAnsi="Cambria"/>
          <w:sz w:val="20"/>
          <w:szCs w:val="20"/>
          <w:lang w:val="es-ES"/>
        </w:rPr>
        <w:t xml:space="preserve"> </w:t>
      </w:r>
      <w:r w:rsidRPr="00946779">
        <w:rPr>
          <w:rFonts w:ascii="Cambria" w:hAnsi="Cambria"/>
          <w:sz w:val="20"/>
          <w:szCs w:val="20"/>
          <w:lang w:val="es-ES"/>
        </w:rPr>
        <w:t xml:space="preserve">su </w:t>
      </w:r>
      <w:r w:rsidR="009C337F" w:rsidRPr="00946779">
        <w:rPr>
          <w:rFonts w:ascii="Cambria" w:hAnsi="Cambria"/>
          <w:sz w:val="20"/>
          <w:szCs w:val="20"/>
          <w:lang w:val="es-ES"/>
        </w:rPr>
        <w:t>reclusión junto a personas condenadas</w:t>
      </w:r>
      <w:r w:rsidR="00CC236B" w:rsidRPr="00946779">
        <w:rPr>
          <w:rFonts w:ascii="Cambria" w:hAnsi="Cambria"/>
          <w:sz w:val="20"/>
          <w:szCs w:val="20"/>
          <w:lang w:val="es-ES"/>
        </w:rPr>
        <w:t xml:space="preserve"> previo a su condena</w:t>
      </w:r>
      <w:r w:rsidR="009C337F" w:rsidRPr="00946779">
        <w:rPr>
          <w:rFonts w:ascii="Cambria" w:hAnsi="Cambria"/>
          <w:sz w:val="20"/>
          <w:szCs w:val="20"/>
          <w:lang w:val="es-ES"/>
        </w:rPr>
        <w:t>;</w:t>
      </w:r>
      <w:r w:rsidR="00DF284C" w:rsidRPr="00946779">
        <w:rPr>
          <w:rFonts w:ascii="Cambria" w:hAnsi="Cambria"/>
          <w:sz w:val="20"/>
          <w:szCs w:val="20"/>
          <w:lang w:val="es-ES"/>
        </w:rPr>
        <w:t xml:space="preserve"> </w:t>
      </w:r>
      <w:r w:rsidR="00E515BF" w:rsidRPr="00946779">
        <w:rPr>
          <w:rFonts w:ascii="Cambria" w:hAnsi="Cambria"/>
          <w:sz w:val="20"/>
          <w:szCs w:val="20"/>
          <w:lang w:val="es-ES"/>
        </w:rPr>
        <w:t xml:space="preserve">y </w:t>
      </w:r>
      <w:r w:rsidR="00DF284C" w:rsidRPr="00946779">
        <w:rPr>
          <w:rFonts w:ascii="Cambria" w:hAnsi="Cambria"/>
          <w:sz w:val="20"/>
          <w:szCs w:val="20"/>
          <w:lang w:val="es-ES"/>
        </w:rPr>
        <w:t xml:space="preserve">la sujeción a suspensiones indefinidas de sus derechos políticos y el ejercicio de la profesión de abogado por </w:t>
      </w:r>
      <w:r w:rsidR="00CC236B" w:rsidRPr="00946779">
        <w:rPr>
          <w:rFonts w:ascii="Cambria" w:hAnsi="Cambria"/>
          <w:sz w:val="20"/>
          <w:szCs w:val="20"/>
          <w:lang w:val="es-ES"/>
        </w:rPr>
        <w:t>con base solo en su</w:t>
      </w:r>
      <w:r w:rsidR="00DF284C" w:rsidRPr="00946779">
        <w:rPr>
          <w:rFonts w:ascii="Cambria" w:hAnsi="Cambria"/>
          <w:sz w:val="20"/>
          <w:szCs w:val="20"/>
          <w:lang w:val="es-ES"/>
        </w:rPr>
        <w:t xml:space="preserve"> condición de procesado penal</w:t>
      </w:r>
      <w:r w:rsidR="00E515BF" w:rsidRPr="00946779">
        <w:rPr>
          <w:rFonts w:ascii="Cambria" w:hAnsi="Cambria"/>
          <w:sz w:val="20"/>
          <w:szCs w:val="20"/>
          <w:lang w:val="es-ES"/>
        </w:rPr>
        <w:t>.</w:t>
      </w:r>
    </w:p>
    <w:p w14:paraId="4B7FCCB0" w14:textId="77777777" w:rsidR="003A4150"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D385285" w14:textId="6AA1BC02" w:rsidR="004D7042" w:rsidRPr="003A4150" w:rsidRDefault="00953A14" w:rsidP="003A41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suppressAutoHyphens/>
        <w:ind w:left="0"/>
        <w:jc w:val="both"/>
        <w:rPr>
          <w:rFonts w:asciiTheme="majorHAnsi" w:hAnsiTheme="majorHAnsi"/>
          <w:sz w:val="20"/>
          <w:szCs w:val="20"/>
          <w:lang w:val="es-ES"/>
        </w:rPr>
      </w:pPr>
      <w:r w:rsidRPr="004D7042">
        <w:rPr>
          <w:rFonts w:asciiTheme="majorHAnsi" w:hAnsiTheme="majorHAnsi"/>
          <w:sz w:val="20"/>
          <w:szCs w:val="20"/>
          <w:lang w:val="es-ES"/>
        </w:rPr>
        <w:t xml:space="preserve">La Comisión </w:t>
      </w:r>
      <w:r w:rsidR="002274FD">
        <w:rPr>
          <w:rFonts w:asciiTheme="majorHAnsi" w:hAnsiTheme="majorHAnsi"/>
          <w:sz w:val="20"/>
          <w:szCs w:val="20"/>
          <w:lang w:val="es-ES"/>
        </w:rPr>
        <w:t xml:space="preserve">Interamericana </w:t>
      </w:r>
      <w:r w:rsidRPr="004D7042">
        <w:rPr>
          <w:rFonts w:asciiTheme="majorHAnsi" w:hAnsiTheme="majorHAnsi"/>
          <w:sz w:val="20"/>
          <w:szCs w:val="20"/>
          <w:lang w:val="es-ES"/>
        </w:rPr>
        <w:t xml:space="preserve">ha determinado </w:t>
      </w:r>
      <w:r w:rsidR="002274FD">
        <w:rPr>
          <w:rFonts w:asciiTheme="majorHAnsi" w:hAnsiTheme="majorHAnsi"/>
          <w:sz w:val="20"/>
          <w:szCs w:val="20"/>
          <w:lang w:val="es-ES"/>
        </w:rPr>
        <w:t xml:space="preserve">anteriormente </w:t>
      </w:r>
      <w:r w:rsidR="00593FBA" w:rsidRPr="004D7042">
        <w:rPr>
          <w:rFonts w:asciiTheme="majorHAnsi" w:hAnsiTheme="majorHAnsi"/>
          <w:sz w:val="20"/>
          <w:szCs w:val="20"/>
          <w:lang w:val="es-ES"/>
        </w:rPr>
        <w:t>que “</w:t>
      </w:r>
      <w:r w:rsidR="00593FBA" w:rsidRPr="004D7042">
        <w:rPr>
          <w:rFonts w:asciiTheme="majorHAnsi" w:hAnsiTheme="majorHAnsi"/>
          <w:sz w:val="20"/>
          <w:szCs w:val="20"/>
          <w:lang w:val="es-PA"/>
        </w:rPr>
        <w:t>el derecho a la presunción de inocencia es el punto de partida de cualquier análisis de los derechos y el tratamiento otorgado a las personas que se encuentran en prisión preventiva”</w:t>
      </w:r>
      <w:r w:rsidR="00326CA0" w:rsidRPr="004D7042">
        <w:rPr>
          <w:rStyle w:val="FootnoteReference"/>
          <w:rFonts w:asciiTheme="majorHAnsi" w:hAnsiTheme="majorHAnsi"/>
          <w:sz w:val="20"/>
          <w:szCs w:val="20"/>
          <w:lang w:val="es-PA"/>
        </w:rPr>
        <w:footnoteReference w:id="9"/>
      </w:r>
      <w:r w:rsidR="00593FBA" w:rsidRPr="004D7042">
        <w:rPr>
          <w:rFonts w:asciiTheme="majorHAnsi" w:hAnsiTheme="majorHAnsi"/>
          <w:sz w:val="20"/>
          <w:szCs w:val="20"/>
          <w:lang w:val="es-PA"/>
        </w:rPr>
        <w:t xml:space="preserve"> </w:t>
      </w:r>
      <w:r w:rsidR="002274FD">
        <w:rPr>
          <w:rFonts w:asciiTheme="majorHAnsi" w:hAnsiTheme="majorHAnsi"/>
          <w:sz w:val="20"/>
          <w:szCs w:val="20"/>
          <w:lang w:val="es-PA"/>
        </w:rPr>
        <w:t>y</w:t>
      </w:r>
      <w:r w:rsidR="00593FBA" w:rsidRPr="004D7042">
        <w:rPr>
          <w:rFonts w:asciiTheme="majorHAnsi" w:hAnsiTheme="majorHAnsi"/>
          <w:sz w:val="20"/>
          <w:szCs w:val="20"/>
          <w:lang w:val="es-PA"/>
        </w:rPr>
        <w:t xml:space="preserve"> que “la prisión preventiva no puede constituir una pena anticipada o una manera de prevenir que se cometan otros crímenes”</w:t>
      </w:r>
      <w:r w:rsidR="00326CA0" w:rsidRPr="004D7042">
        <w:rPr>
          <w:rStyle w:val="FootnoteReference"/>
          <w:rFonts w:asciiTheme="majorHAnsi" w:hAnsiTheme="majorHAnsi"/>
          <w:sz w:val="20"/>
          <w:szCs w:val="20"/>
          <w:lang w:val="es-PA"/>
        </w:rPr>
        <w:footnoteReference w:id="10"/>
      </w:r>
      <w:r w:rsidR="00593FBA" w:rsidRPr="004D7042">
        <w:rPr>
          <w:rFonts w:asciiTheme="majorHAnsi" w:hAnsiTheme="majorHAnsi"/>
          <w:sz w:val="20"/>
          <w:szCs w:val="20"/>
          <w:lang w:val="es-PA"/>
        </w:rPr>
        <w:t>.</w:t>
      </w:r>
      <w:r w:rsidR="00326CA0" w:rsidRPr="004D7042">
        <w:rPr>
          <w:rFonts w:asciiTheme="majorHAnsi" w:hAnsiTheme="majorHAnsi"/>
          <w:sz w:val="20"/>
          <w:szCs w:val="20"/>
          <w:lang w:val="es-PA"/>
        </w:rPr>
        <w:t xml:space="preserve"> De igual manera </w:t>
      </w:r>
      <w:r w:rsidR="002274FD">
        <w:rPr>
          <w:rFonts w:asciiTheme="majorHAnsi" w:hAnsiTheme="majorHAnsi"/>
          <w:sz w:val="20"/>
          <w:szCs w:val="20"/>
          <w:lang w:val="es-PA"/>
        </w:rPr>
        <w:t xml:space="preserve">la CIDH </w:t>
      </w:r>
      <w:r w:rsidR="00326CA0" w:rsidRPr="004D7042">
        <w:rPr>
          <w:rFonts w:asciiTheme="majorHAnsi" w:hAnsiTheme="majorHAnsi"/>
          <w:sz w:val="20"/>
          <w:szCs w:val="20"/>
          <w:lang w:val="es-PA"/>
        </w:rPr>
        <w:t>“ha considerado fundamental el que se garantice la separación entre personas condenadas y procesadas”</w:t>
      </w:r>
      <w:r w:rsidR="00024EB6">
        <w:rPr>
          <w:rStyle w:val="FootnoteReference"/>
          <w:rFonts w:asciiTheme="majorHAnsi" w:hAnsiTheme="majorHAnsi"/>
          <w:sz w:val="20"/>
          <w:szCs w:val="20"/>
          <w:lang w:val="es-PA"/>
        </w:rPr>
        <w:footnoteReference w:id="11"/>
      </w:r>
      <w:r w:rsidR="00326CA0" w:rsidRPr="004D7042">
        <w:rPr>
          <w:rFonts w:asciiTheme="majorHAnsi" w:hAnsiTheme="majorHAnsi"/>
          <w:sz w:val="20"/>
          <w:szCs w:val="20"/>
          <w:lang w:val="es-PA"/>
        </w:rPr>
        <w:t xml:space="preserve"> y concluido que “</w:t>
      </w:r>
      <w:r w:rsidR="00326CA0" w:rsidRPr="004D7042">
        <w:rPr>
          <w:rFonts w:asciiTheme="majorHAnsi" w:hAnsiTheme="majorHAnsi"/>
          <w:color w:val="000000"/>
          <w:sz w:val="20"/>
          <w:szCs w:val="20"/>
          <w:lang w:val="es-PA"/>
        </w:rPr>
        <w:t>las actividades procesales del imputado y su defensa no pueden ser consideradas a los fines de justificar el plazo razonable de detención”</w:t>
      </w:r>
      <w:r w:rsidR="000F5700">
        <w:rPr>
          <w:rStyle w:val="FootnoteReference"/>
          <w:rFonts w:asciiTheme="majorHAnsi" w:hAnsiTheme="majorHAnsi"/>
          <w:color w:val="000000"/>
          <w:sz w:val="20"/>
          <w:szCs w:val="20"/>
          <w:lang w:val="es-PA"/>
        </w:rPr>
        <w:footnoteReference w:id="12"/>
      </w:r>
      <w:r w:rsidR="00326CA0" w:rsidRPr="004D7042">
        <w:rPr>
          <w:rFonts w:asciiTheme="majorHAnsi" w:hAnsiTheme="majorHAnsi"/>
          <w:sz w:val="20"/>
          <w:szCs w:val="20"/>
          <w:lang w:val="es-PA"/>
        </w:rPr>
        <w:t>. También ha citado a la Corte Europea en el sentido de que el derecho a la presunción de inocencia “se vería vulnerado si, antes de ser hallado culpable conforme a derecho, alguna resolución judicial concerniente al acusado refleja la idea de que es culpable”</w:t>
      </w:r>
      <w:r w:rsidR="00024EB6">
        <w:rPr>
          <w:rStyle w:val="FootnoteReference"/>
          <w:rFonts w:asciiTheme="majorHAnsi" w:hAnsiTheme="majorHAnsi"/>
          <w:sz w:val="20"/>
          <w:szCs w:val="20"/>
          <w:lang w:val="es-PA"/>
        </w:rPr>
        <w:footnoteReference w:id="13"/>
      </w:r>
      <w:r w:rsidR="00326CA0" w:rsidRPr="004D7042">
        <w:rPr>
          <w:rFonts w:asciiTheme="majorHAnsi" w:hAnsiTheme="majorHAnsi"/>
          <w:sz w:val="20"/>
          <w:szCs w:val="20"/>
          <w:lang w:val="es-PA"/>
        </w:rPr>
        <w:t>.</w:t>
      </w:r>
      <w:r w:rsidR="004D7042" w:rsidRPr="004D7042">
        <w:rPr>
          <w:rFonts w:asciiTheme="majorHAnsi" w:hAnsiTheme="majorHAnsi"/>
          <w:sz w:val="20"/>
          <w:szCs w:val="20"/>
          <w:lang w:val="es-PA"/>
        </w:rPr>
        <w:t xml:space="preserve"> </w:t>
      </w:r>
      <w:r w:rsidR="002274FD">
        <w:rPr>
          <w:rFonts w:asciiTheme="majorHAnsi" w:hAnsiTheme="majorHAnsi"/>
          <w:sz w:val="20"/>
          <w:szCs w:val="20"/>
          <w:lang w:val="es-PA"/>
        </w:rPr>
        <w:t xml:space="preserve">La Comisión Interamericana </w:t>
      </w:r>
      <w:r w:rsidR="004D7042" w:rsidRPr="004D7042">
        <w:rPr>
          <w:rFonts w:asciiTheme="majorHAnsi" w:hAnsiTheme="majorHAnsi"/>
          <w:sz w:val="20"/>
          <w:szCs w:val="20"/>
          <w:lang w:val="es-PA"/>
        </w:rPr>
        <w:t xml:space="preserve">ha expresado </w:t>
      </w:r>
      <w:r w:rsidR="002274FD">
        <w:rPr>
          <w:rFonts w:asciiTheme="majorHAnsi" w:hAnsiTheme="majorHAnsi"/>
          <w:sz w:val="20"/>
          <w:szCs w:val="20"/>
          <w:lang w:val="es-PA"/>
        </w:rPr>
        <w:t xml:space="preserve">asimismo </w:t>
      </w:r>
      <w:r w:rsidR="004D7042" w:rsidRPr="004D7042">
        <w:rPr>
          <w:rFonts w:asciiTheme="majorHAnsi" w:hAnsiTheme="majorHAnsi"/>
          <w:sz w:val="20"/>
          <w:szCs w:val="20"/>
          <w:lang w:val="es-PA"/>
        </w:rPr>
        <w:t>que “en el caso de las personas privadas de libertad bajo prisión preventiva el ejercicio de este derecho al voto está efectivamente garantizado por los artículos 23 y 8.2 de la Convención Americana”</w:t>
      </w:r>
      <w:r w:rsidR="000F5700">
        <w:rPr>
          <w:rStyle w:val="FootnoteReference"/>
          <w:rFonts w:asciiTheme="majorHAnsi" w:hAnsiTheme="majorHAnsi"/>
          <w:sz w:val="20"/>
          <w:szCs w:val="20"/>
          <w:lang w:val="es-PA"/>
        </w:rPr>
        <w:footnoteReference w:id="14"/>
      </w:r>
      <w:r w:rsidR="004D7042" w:rsidRPr="004D7042">
        <w:rPr>
          <w:rFonts w:asciiTheme="majorHAnsi" w:hAnsiTheme="majorHAnsi"/>
          <w:sz w:val="20"/>
          <w:szCs w:val="20"/>
          <w:lang w:val="es-PA"/>
        </w:rPr>
        <w:t xml:space="preserve"> y que “no existe fundamento jurídico válido alguno, congruente con el régimen establecido por la Convención Americana, que sustente una restricción a este derecho a aquellas personas en custodia del Estado como medida cautelar”</w:t>
      </w:r>
      <w:r w:rsidR="00A1615F">
        <w:rPr>
          <w:rStyle w:val="FootnoteReference"/>
          <w:rFonts w:asciiTheme="majorHAnsi" w:hAnsiTheme="majorHAnsi"/>
          <w:sz w:val="20"/>
          <w:szCs w:val="20"/>
          <w:lang w:val="es-PA"/>
        </w:rPr>
        <w:footnoteReference w:id="15"/>
      </w:r>
      <w:r w:rsidR="000F5700">
        <w:rPr>
          <w:rFonts w:asciiTheme="majorHAnsi" w:hAnsiTheme="majorHAnsi"/>
          <w:sz w:val="20"/>
          <w:szCs w:val="20"/>
          <w:lang w:val="es-PA"/>
        </w:rPr>
        <w:t>.</w:t>
      </w:r>
    </w:p>
    <w:p w14:paraId="6F2BB0CC" w14:textId="77777777" w:rsidR="003A4150" w:rsidRPr="004D7042"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761F703" w14:textId="1067CC3A" w:rsidR="00E515BF" w:rsidRPr="00A1615F" w:rsidRDefault="002274FD" w:rsidP="003A41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suppressAutoHyphens/>
        <w:ind w:left="0"/>
        <w:jc w:val="both"/>
        <w:rPr>
          <w:rFonts w:asciiTheme="majorHAnsi" w:hAnsiTheme="majorHAnsi"/>
          <w:sz w:val="20"/>
          <w:szCs w:val="20"/>
          <w:lang w:val="es-ES"/>
        </w:rPr>
      </w:pPr>
      <w:r>
        <w:rPr>
          <w:rFonts w:asciiTheme="majorHAnsi" w:hAnsiTheme="majorHAnsi"/>
          <w:sz w:val="20"/>
          <w:szCs w:val="20"/>
          <w:lang w:val="es-ES"/>
        </w:rPr>
        <w:t xml:space="preserve">Tras </w:t>
      </w:r>
      <w:r w:rsidR="00A1615F">
        <w:rPr>
          <w:rFonts w:asciiTheme="majorHAnsi" w:hAnsiTheme="majorHAnsi"/>
          <w:sz w:val="20"/>
          <w:szCs w:val="20"/>
          <w:lang w:val="es-ES"/>
        </w:rPr>
        <w:t>examinar los elementos de hecho y de derecho expuestos por las partes</w:t>
      </w:r>
      <w:r>
        <w:rPr>
          <w:rFonts w:asciiTheme="majorHAnsi" w:hAnsiTheme="majorHAnsi"/>
          <w:sz w:val="20"/>
          <w:szCs w:val="20"/>
          <w:lang w:val="es-ES"/>
        </w:rPr>
        <w:t>,</w:t>
      </w:r>
      <w:r w:rsidR="00A1615F">
        <w:rPr>
          <w:rFonts w:asciiTheme="majorHAnsi" w:hAnsiTheme="majorHAnsi"/>
          <w:sz w:val="20"/>
          <w:szCs w:val="20"/>
          <w:lang w:val="es-ES"/>
        </w:rPr>
        <w:t xml:space="preserve"> la C</w:t>
      </w:r>
      <w:r>
        <w:rPr>
          <w:rFonts w:asciiTheme="majorHAnsi" w:hAnsiTheme="majorHAnsi"/>
          <w:sz w:val="20"/>
          <w:szCs w:val="20"/>
          <w:lang w:val="es-ES"/>
        </w:rPr>
        <w:t>IDH</w:t>
      </w:r>
      <w:r w:rsidR="00A1615F">
        <w:rPr>
          <w:rFonts w:asciiTheme="majorHAnsi" w:hAnsiTheme="majorHAnsi"/>
          <w:sz w:val="20"/>
          <w:szCs w:val="20"/>
          <w:lang w:val="es-ES"/>
        </w:rPr>
        <w:t xml:space="preserve"> estima </w:t>
      </w:r>
      <w:r w:rsidR="00A1615F">
        <w:rPr>
          <w:rFonts w:ascii="Cambria" w:hAnsi="Cambria"/>
          <w:sz w:val="20"/>
          <w:szCs w:val="20"/>
          <w:lang w:val="es-ES"/>
        </w:rPr>
        <w:t xml:space="preserve">que </w:t>
      </w:r>
      <w:r>
        <w:rPr>
          <w:rFonts w:ascii="Cambria" w:hAnsi="Cambria"/>
          <w:sz w:val="20"/>
          <w:szCs w:val="20"/>
          <w:lang w:val="es-ES"/>
        </w:rPr>
        <w:t xml:space="preserve">los alegatos del </w:t>
      </w:r>
      <w:r w:rsidR="00A1615F">
        <w:rPr>
          <w:rFonts w:ascii="Cambria" w:hAnsi="Cambria"/>
          <w:sz w:val="20"/>
          <w:szCs w:val="20"/>
          <w:lang w:val="es-ES"/>
        </w:rPr>
        <w:t>peticionari</w:t>
      </w:r>
      <w:r>
        <w:rPr>
          <w:rFonts w:ascii="Cambria" w:hAnsi="Cambria"/>
          <w:sz w:val="20"/>
          <w:szCs w:val="20"/>
          <w:lang w:val="es-ES"/>
        </w:rPr>
        <w:t>o</w:t>
      </w:r>
      <w:r w:rsidR="00A1615F">
        <w:rPr>
          <w:rFonts w:ascii="Cambria" w:hAnsi="Cambria"/>
          <w:sz w:val="20"/>
          <w:szCs w:val="20"/>
          <w:lang w:val="es-ES"/>
        </w:rPr>
        <w:t xml:space="preserve"> no resultan manifiestamente infundad</w:t>
      </w:r>
      <w:r>
        <w:rPr>
          <w:rFonts w:ascii="Cambria" w:hAnsi="Cambria"/>
          <w:sz w:val="20"/>
          <w:szCs w:val="20"/>
          <w:lang w:val="es-ES"/>
        </w:rPr>
        <w:t>o</w:t>
      </w:r>
      <w:r w:rsidR="00A1615F">
        <w:rPr>
          <w:rFonts w:ascii="Cambria" w:hAnsi="Cambria"/>
          <w:sz w:val="20"/>
          <w:szCs w:val="20"/>
          <w:lang w:val="es-ES"/>
        </w:rPr>
        <w:t xml:space="preserve">s y requieren </w:t>
      </w:r>
      <w:r>
        <w:rPr>
          <w:rFonts w:ascii="Cambria" w:hAnsi="Cambria"/>
          <w:sz w:val="20"/>
          <w:szCs w:val="20"/>
          <w:lang w:val="es-ES"/>
        </w:rPr>
        <w:t xml:space="preserve">de </w:t>
      </w:r>
      <w:r w:rsidR="00A1615F">
        <w:rPr>
          <w:rFonts w:ascii="Cambria" w:hAnsi="Cambria"/>
          <w:sz w:val="20"/>
          <w:szCs w:val="20"/>
          <w:lang w:val="es-ES"/>
        </w:rPr>
        <w:t>un estudio de fondo pues los</w:t>
      </w:r>
      <w:r w:rsidR="00A1615F" w:rsidRPr="001C1455">
        <w:rPr>
          <w:rFonts w:ascii="Cambria" w:hAnsi="Cambria"/>
          <w:sz w:val="20"/>
          <w:szCs w:val="20"/>
          <w:lang w:val="es-ES"/>
        </w:rPr>
        <w:t xml:space="preserve"> hechos alegados</w:t>
      </w:r>
      <w:r w:rsidR="00A1615F">
        <w:rPr>
          <w:rFonts w:ascii="Cambria" w:hAnsi="Cambria"/>
          <w:sz w:val="20"/>
          <w:szCs w:val="20"/>
          <w:lang w:val="es-ES"/>
        </w:rPr>
        <w:t>, de corroborarse como ciertos</w:t>
      </w:r>
      <w:r>
        <w:rPr>
          <w:rFonts w:ascii="Cambria" w:hAnsi="Cambria"/>
          <w:sz w:val="20"/>
          <w:szCs w:val="20"/>
          <w:lang w:val="es-ES"/>
        </w:rPr>
        <w:t>,</w:t>
      </w:r>
      <w:r w:rsidR="00A1615F" w:rsidRPr="001C1455">
        <w:rPr>
          <w:rFonts w:ascii="Cambria" w:hAnsi="Cambria"/>
          <w:sz w:val="20"/>
          <w:szCs w:val="20"/>
          <w:lang w:val="es-ES"/>
        </w:rPr>
        <w:t xml:space="preserve"> </w:t>
      </w:r>
      <w:r w:rsidR="00A1615F">
        <w:rPr>
          <w:rFonts w:ascii="Cambria" w:hAnsi="Cambria"/>
          <w:sz w:val="20"/>
          <w:szCs w:val="20"/>
          <w:lang w:val="es-ES"/>
        </w:rPr>
        <w:t xml:space="preserve">podrían </w:t>
      </w:r>
      <w:r>
        <w:rPr>
          <w:rFonts w:ascii="Cambria" w:hAnsi="Cambria"/>
          <w:sz w:val="20"/>
          <w:szCs w:val="20"/>
          <w:lang w:val="es-ES"/>
        </w:rPr>
        <w:t xml:space="preserve">constituir </w:t>
      </w:r>
      <w:r w:rsidR="00A1615F">
        <w:rPr>
          <w:rFonts w:ascii="Cambria" w:hAnsi="Cambria"/>
          <w:sz w:val="20"/>
          <w:szCs w:val="20"/>
          <w:lang w:val="es-ES"/>
        </w:rPr>
        <w:t xml:space="preserve">violaciones </w:t>
      </w:r>
      <w:r>
        <w:rPr>
          <w:rFonts w:ascii="Cambria" w:hAnsi="Cambria"/>
          <w:sz w:val="20"/>
          <w:szCs w:val="20"/>
          <w:lang w:val="es-ES"/>
        </w:rPr>
        <w:t>de</w:t>
      </w:r>
      <w:r w:rsidR="00A1615F">
        <w:rPr>
          <w:rFonts w:ascii="Cambria" w:hAnsi="Cambria"/>
          <w:sz w:val="20"/>
          <w:szCs w:val="20"/>
          <w:lang w:val="es-ES"/>
        </w:rPr>
        <w:t xml:space="preserve"> </w:t>
      </w:r>
      <w:r>
        <w:rPr>
          <w:rFonts w:ascii="Cambria" w:hAnsi="Cambria"/>
          <w:sz w:val="20"/>
          <w:szCs w:val="20"/>
          <w:lang w:val="es-ES"/>
        </w:rPr>
        <w:t xml:space="preserve">los derechos reconocidos en </w:t>
      </w:r>
      <w:r w:rsidR="00A1615F">
        <w:rPr>
          <w:rFonts w:ascii="Cambria" w:hAnsi="Cambria"/>
          <w:sz w:val="20"/>
          <w:szCs w:val="20"/>
          <w:lang w:val="es-ES"/>
        </w:rPr>
        <w:t xml:space="preserve">los artículos </w:t>
      </w:r>
      <w:r w:rsidR="00A1615F" w:rsidRPr="006D4A18">
        <w:rPr>
          <w:rFonts w:ascii="Cambria" w:hAnsi="Cambria"/>
          <w:bCs/>
          <w:sz w:val="20"/>
          <w:szCs w:val="20"/>
          <w:lang w:val="es-ES"/>
        </w:rPr>
        <w:t>5 (integridad personal), 7 (libertad personal),</w:t>
      </w:r>
      <w:r w:rsidR="00A1615F">
        <w:rPr>
          <w:rFonts w:ascii="Cambria" w:hAnsi="Cambria"/>
          <w:bCs/>
          <w:sz w:val="20"/>
          <w:szCs w:val="20"/>
          <w:lang w:val="es-ES"/>
        </w:rPr>
        <w:t xml:space="preserve"> 8 (garantías judiciales), 17 (protección de la familia),</w:t>
      </w:r>
      <w:r w:rsidR="00224B57">
        <w:rPr>
          <w:rFonts w:ascii="Cambria" w:hAnsi="Cambria"/>
          <w:bCs/>
          <w:sz w:val="20"/>
          <w:szCs w:val="20"/>
          <w:lang w:val="es-ES"/>
        </w:rPr>
        <w:t xml:space="preserve"> 23 (derechos políticos),</w:t>
      </w:r>
      <w:r w:rsidR="00A1615F">
        <w:rPr>
          <w:rFonts w:ascii="Cambria" w:hAnsi="Cambria"/>
          <w:bCs/>
          <w:sz w:val="20"/>
          <w:szCs w:val="20"/>
          <w:lang w:val="es-ES"/>
        </w:rPr>
        <w:t xml:space="preserve"> 24 (igualdad ante la ley), </w:t>
      </w:r>
      <w:r w:rsidR="00A1615F" w:rsidRPr="006D4A18">
        <w:rPr>
          <w:rFonts w:ascii="Cambria" w:hAnsi="Cambria"/>
          <w:bCs/>
          <w:sz w:val="20"/>
          <w:szCs w:val="20"/>
          <w:lang w:val="es-ES"/>
        </w:rPr>
        <w:t xml:space="preserve">25 (protección judicial) </w:t>
      </w:r>
      <w:r w:rsidR="00A1615F">
        <w:rPr>
          <w:rFonts w:ascii="Cambria" w:hAnsi="Cambria"/>
          <w:bCs/>
          <w:sz w:val="20"/>
          <w:szCs w:val="20"/>
          <w:lang w:val="es-ES"/>
        </w:rPr>
        <w:t>y 26 (derechos económicos sociales y culturales) de la Convención Americana en relación con sus artículos 1.1. (obligación de respetar los derechos) y 2 (deber de adoptar disposiciones de derecho interno).</w:t>
      </w:r>
    </w:p>
    <w:p w14:paraId="18FC89C1" w14:textId="77777777" w:rsidR="003A4150" w:rsidRPr="003A4150" w:rsidRDefault="003A4150" w:rsidP="002274F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513C06C" w14:textId="6BC97E8C" w:rsidR="00A1615F" w:rsidRPr="00224B57" w:rsidRDefault="00A1615F" w:rsidP="003A41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suppressAutoHyphens/>
        <w:ind w:left="0"/>
        <w:jc w:val="both"/>
        <w:rPr>
          <w:rFonts w:asciiTheme="majorHAnsi" w:hAnsiTheme="majorHAnsi"/>
          <w:sz w:val="20"/>
          <w:szCs w:val="20"/>
          <w:lang w:val="es-ES"/>
        </w:rPr>
      </w:pPr>
      <w:r>
        <w:rPr>
          <w:rFonts w:ascii="Cambria" w:hAnsi="Cambria"/>
          <w:bCs/>
          <w:sz w:val="20"/>
          <w:szCs w:val="20"/>
          <w:lang w:val="es-ES"/>
        </w:rPr>
        <w:lastRenderedPageBreak/>
        <w:t xml:space="preserve">En cuanto las </w:t>
      </w:r>
      <w:r w:rsidR="002274FD">
        <w:rPr>
          <w:rFonts w:ascii="Cambria" w:hAnsi="Cambria"/>
          <w:bCs/>
          <w:sz w:val="20"/>
          <w:szCs w:val="20"/>
          <w:lang w:val="es-ES"/>
        </w:rPr>
        <w:t xml:space="preserve">supuestas </w:t>
      </w:r>
      <w:r>
        <w:rPr>
          <w:rFonts w:ascii="Cambria" w:hAnsi="Cambria"/>
          <w:bCs/>
          <w:sz w:val="20"/>
          <w:szCs w:val="20"/>
          <w:lang w:val="es-ES"/>
        </w:rPr>
        <w:t xml:space="preserve">violaciones </w:t>
      </w:r>
      <w:r w:rsidR="002274FD">
        <w:rPr>
          <w:rFonts w:ascii="Cambria" w:hAnsi="Cambria"/>
          <w:bCs/>
          <w:sz w:val="20"/>
          <w:szCs w:val="20"/>
          <w:lang w:val="es-ES"/>
        </w:rPr>
        <w:t>de</w:t>
      </w:r>
      <w:r>
        <w:rPr>
          <w:rFonts w:ascii="Cambria" w:hAnsi="Cambria"/>
          <w:bCs/>
          <w:sz w:val="20"/>
          <w:szCs w:val="20"/>
          <w:lang w:val="es-ES"/>
        </w:rPr>
        <w:t xml:space="preserve"> los artículos 11 (honra y dignidad), 13 (libertad de expresi</w:t>
      </w:r>
      <w:r w:rsidR="005F4BA7">
        <w:rPr>
          <w:rFonts w:ascii="Cambria" w:hAnsi="Cambria"/>
          <w:bCs/>
          <w:sz w:val="20"/>
          <w:szCs w:val="20"/>
          <w:lang w:val="es-ES"/>
        </w:rPr>
        <w:t>ón),</w:t>
      </w:r>
      <w:r>
        <w:rPr>
          <w:rFonts w:ascii="Cambria" w:hAnsi="Cambria"/>
          <w:bCs/>
          <w:sz w:val="20"/>
          <w:szCs w:val="20"/>
          <w:lang w:val="es-ES"/>
        </w:rPr>
        <w:t xml:space="preserve"> 14 (honra y dignidad)</w:t>
      </w:r>
      <w:r w:rsidR="005F4BA7">
        <w:rPr>
          <w:rFonts w:ascii="Cambria" w:hAnsi="Cambria"/>
          <w:bCs/>
          <w:sz w:val="20"/>
          <w:szCs w:val="20"/>
          <w:lang w:val="es-ES"/>
        </w:rPr>
        <w:t xml:space="preserve"> y 21 (propiedad privada)</w:t>
      </w:r>
      <w:r>
        <w:rPr>
          <w:rFonts w:ascii="Cambria" w:hAnsi="Cambria"/>
          <w:bCs/>
          <w:sz w:val="20"/>
          <w:szCs w:val="20"/>
          <w:lang w:val="es-ES"/>
        </w:rPr>
        <w:t xml:space="preserve"> de la Convención Americana</w:t>
      </w:r>
      <w:r w:rsidR="005F4BA7">
        <w:rPr>
          <w:rFonts w:ascii="Cambria" w:hAnsi="Cambria"/>
          <w:bCs/>
          <w:sz w:val="20"/>
          <w:szCs w:val="20"/>
          <w:lang w:val="es-ES"/>
        </w:rPr>
        <w:t xml:space="preserve"> la Comisión estima que</w:t>
      </w:r>
      <w:r w:rsidR="0072315C">
        <w:rPr>
          <w:rFonts w:ascii="Cambria" w:hAnsi="Cambria"/>
          <w:bCs/>
          <w:sz w:val="20"/>
          <w:szCs w:val="20"/>
          <w:lang w:val="es-ES"/>
        </w:rPr>
        <w:t>, en lo concerniente a las partes de la petición que no han sido declaradas inadmisibles en la Sección VI del presente informe,</w:t>
      </w:r>
      <w:r w:rsidR="005F4BA7">
        <w:rPr>
          <w:rFonts w:ascii="Cambria" w:hAnsi="Cambria"/>
          <w:bCs/>
          <w:sz w:val="20"/>
          <w:szCs w:val="20"/>
          <w:lang w:val="es-ES"/>
        </w:rPr>
        <w:t xml:space="preserve"> el peticionario no ha aportado elementos de hecho o de derecho que permitan a la Comisión identificar </w:t>
      </w:r>
      <w:r w:rsidR="002274FD" w:rsidRPr="002274FD">
        <w:rPr>
          <w:rFonts w:ascii="Cambria" w:hAnsi="Cambria"/>
          <w:bCs/>
          <w:i/>
          <w:iCs/>
          <w:sz w:val="20"/>
          <w:szCs w:val="20"/>
          <w:lang w:val="es-ES"/>
        </w:rPr>
        <w:t>prima facie</w:t>
      </w:r>
      <w:r w:rsidR="002274FD">
        <w:rPr>
          <w:rFonts w:ascii="Cambria" w:hAnsi="Cambria"/>
          <w:bCs/>
          <w:sz w:val="20"/>
          <w:szCs w:val="20"/>
          <w:lang w:val="es-ES"/>
        </w:rPr>
        <w:t xml:space="preserve"> la</w:t>
      </w:r>
      <w:r w:rsidR="005F4BA7">
        <w:rPr>
          <w:rFonts w:ascii="Cambria" w:hAnsi="Cambria"/>
          <w:bCs/>
          <w:sz w:val="20"/>
          <w:szCs w:val="20"/>
          <w:lang w:val="es-ES"/>
        </w:rPr>
        <w:t xml:space="preserve"> posible violación de estos artículos</w:t>
      </w:r>
      <w:r w:rsidR="00224B57">
        <w:rPr>
          <w:rFonts w:ascii="Cambria" w:hAnsi="Cambria"/>
          <w:bCs/>
          <w:sz w:val="20"/>
          <w:szCs w:val="20"/>
          <w:lang w:val="es-ES"/>
        </w:rPr>
        <w:t>.</w:t>
      </w:r>
    </w:p>
    <w:p w14:paraId="2F60820E" w14:textId="77777777" w:rsidR="003A4150" w:rsidRPr="0072315C" w:rsidRDefault="003A4150" w:rsidP="0072315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87BB0AA" w14:textId="4C14A82C" w:rsidR="00224B57" w:rsidRPr="0072315C" w:rsidRDefault="00224B57" w:rsidP="00A24F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s>
        <w:suppressAutoHyphens/>
        <w:ind w:left="0"/>
        <w:jc w:val="both"/>
        <w:rPr>
          <w:rFonts w:asciiTheme="majorHAnsi" w:hAnsiTheme="majorHAnsi"/>
          <w:sz w:val="20"/>
          <w:szCs w:val="20"/>
          <w:lang w:val="es-ES"/>
        </w:rPr>
      </w:pPr>
      <w:r w:rsidRPr="0072315C">
        <w:rPr>
          <w:rFonts w:ascii="Cambria" w:hAnsi="Cambria"/>
          <w:bCs/>
          <w:sz w:val="20"/>
          <w:szCs w:val="20"/>
          <w:lang w:val="es-ES"/>
        </w:rPr>
        <w:t xml:space="preserve">La Comisión no </w:t>
      </w:r>
      <w:r w:rsidR="0072315C" w:rsidRPr="0072315C">
        <w:rPr>
          <w:rFonts w:ascii="Cambria" w:hAnsi="Cambria"/>
          <w:bCs/>
          <w:sz w:val="20"/>
          <w:szCs w:val="20"/>
          <w:lang w:val="es-ES"/>
        </w:rPr>
        <w:t xml:space="preserve">realizará </w:t>
      </w:r>
      <w:r w:rsidRPr="0072315C">
        <w:rPr>
          <w:rFonts w:ascii="Cambria" w:hAnsi="Cambria"/>
          <w:bCs/>
          <w:sz w:val="20"/>
          <w:szCs w:val="20"/>
          <w:lang w:val="es-ES"/>
        </w:rPr>
        <w:t>un análisis de caracterización con respecto a los extremos de la petición que resultan inadmisibles conforme a lo dispuesto en la Sección VI del presente informe.</w:t>
      </w:r>
    </w:p>
    <w:p w14:paraId="08A35944" w14:textId="77777777" w:rsidR="00A24FD3" w:rsidRDefault="00A24FD3" w:rsidP="00A24FD3">
      <w:pPr>
        <w:rPr>
          <w:rFonts w:asciiTheme="majorHAnsi" w:hAnsiTheme="majorHAnsi"/>
          <w:sz w:val="20"/>
          <w:szCs w:val="20"/>
          <w:lang w:val="es-ES"/>
        </w:rPr>
      </w:pPr>
    </w:p>
    <w:p w14:paraId="1912D242" w14:textId="1D0BD5DF" w:rsidR="006051FA" w:rsidRPr="00671AA7" w:rsidRDefault="006051FA" w:rsidP="00A24FD3">
      <w:pPr>
        <w:tabs>
          <w:tab w:val="left" w:pos="1770"/>
        </w:tabs>
        <w:ind w:firstLine="720"/>
        <w:rPr>
          <w:rFonts w:asciiTheme="majorHAnsi" w:hAnsiTheme="majorHAnsi"/>
          <w:b/>
          <w:bCs/>
          <w:sz w:val="20"/>
          <w:szCs w:val="20"/>
          <w:lang w:val="es-ES"/>
        </w:rPr>
      </w:pPr>
      <w:r w:rsidRPr="00671AA7">
        <w:rPr>
          <w:rFonts w:asciiTheme="majorHAnsi" w:hAnsiTheme="majorHAnsi"/>
          <w:b/>
          <w:bCs/>
          <w:sz w:val="20"/>
          <w:szCs w:val="20"/>
          <w:lang w:val="es-ES"/>
        </w:rPr>
        <w:t xml:space="preserve">VIII. </w:t>
      </w:r>
      <w:r w:rsidRPr="00671AA7">
        <w:rPr>
          <w:rFonts w:asciiTheme="majorHAnsi" w:hAnsiTheme="majorHAnsi"/>
          <w:b/>
          <w:bCs/>
          <w:sz w:val="20"/>
          <w:szCs w:val="20"/>
          <w:lang w:val="es-ES"/>
        </w:rPr>
        <w:tab/>
        <w:t>DECISIÓN</w:t>
      </w:r>
    </w:p>
    <w:p w14:paraId="495079CB" w14:textId="77777777" w:rsidR="002274FD" w:rsidRPr="002274FD" w:rsidRDefault="002274FD" w:rsidP="002274F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28DBDE8" w14:textId="3C750817" w:rsidR="005F4BA7" w:rsidRPr="003A4150" w:rsidRDefault="006051FA" w:rsidP="003A41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671AA7">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w:t>
      </w:r>
      <w:r w:rsidR="00147F0C">
        <w:rPr>
          <w:rFonts w:asciiTheme="majorHAnsi" w:hAnsiTheme="majorHAnsi"/>
          <w:sz w:val="20"/>
          <w:szCs w:val="20"/>
          <w:lang w:val="es-ES"/>
        </w:rPr>
        <w:t>culos 5, 7, 8,</w:t>
      </w:r>
      <w:r w:rsidR="005F4BA7">
        <w:rPr>
          <w:rFonts w:asciiTheme="majorHAnsi" w:hAnsiTheme="majorHAnsi"/>
          <w:sz w:val="20"/>
          <w:szCs w:val="20"/>
          <w:lang w:val="es-ES"/>
        </w:rPr>
        <w:t xml:space="preserve"> 17,</w:t>
      </w:r>
      <w:r w:rsidR="00560224">
        <w:rPr>
          <w:rFonts w:asciiTheme="majorHAnsi" w:hAnsiTheme="majorHAnsi"/>
          <w:sz w:val="20"/>
          <w:szCs w:val="20"/>
          <w:lang w:val="es-ES"/>
        </w:rPr>
        <w:t xml:space="preserve"> 23,</w:t>
      </w:r>
      <w:r w:rsidR="005F4BA7">
        <w:rPr>
          <w:rFonts w:asciiTheme="majorHAnsi" w:hAnsiTheme="majorHAnsi"/>
          <w:sz w:val="20"/>
          <w:szCs w:val="20"/>
          <w:lang w:val="es-ES"/>
        </w:rPr>
        <w:t xml:space="preserve"> 24,</w:t>
      </w:r>
      <w:r w:rsidR="002266E9">
        <w:rPr>
          <w:rFonts w:asciiTheme="majorHAnsi" w:hAnsiTheme="majorHAnsi"/>
          <w:sz w:val="20"/>
          <w:szCs w:val="20"/>
          <w:lang w:val="es-ES"/>
        </w:rPr>
        <w:t xml:space="preserve"> 25</w:t>
      </w:r>
      <w:r w:rsidR="005F4BA7">
        <w:rPr>
          <w:rFonts w:asciiTheme="majorHAnsi" w:hAnsiTheme="majorHAnsi"/>
          <w:sz w:val="20"/>
          <w:szCs w:val="20"/>
          <w:lang w:val="es-ES"/>
        </w:rPr>
        <w:t xml:space="preserve"> y 26</w:t>
      </w:r>
      <w:r w:rsidR="002266E9">
        <w:rPr>
          <w:rFonts w:asciiTheme="majorHAnsi" w:hAnsiTheme="majorHAnsi"/>
          <w:sz w:val="20"/>
          <w:szCs w:val="20"/>
          <w:lang w:val="es-ES"/>
        </w:rPr>
        <w:t xml:space="preserve"> </w:t>
      </w:r>
      <w:r>
        <w:rPr>
          <w:rFonts w:asciiTheme="majorHAnsi" w:hAnsiTheme="majorHAnsi"/>
          <w:sz w:val="20"/>
          <w:szCs w:val="20"/>
          <w:lang w:val="es-ES"/>
        </w:rPr>
        <w:t>de la Convención Americana</w:t>
      </w:r>
      <w:r w:rsidR="005F4BA7">
        <w:rPr>
          <w:rFonts w:asciiTheme="majorHAnsi" w:hAnsiTheme="majorHAnsi"/>
          <w:sz w:val="20"/>
          <w:szCs w:val="20"/>
          <w:lang w:val="es-ES"/>
        </w:rPr>
        <w:t xml:space="preserve"> en </w:t>
      </w:r>
      <w:r w:rsidR="00127A49">
        <w:rPr>
          <w:rFonts w:asciiTheme="majorHAnsi" w:hAnsiTheme="majorHAnsi"/>
          <w:sz w:val="20"/>
          <w:szCs w:val="20"/>
          <w:lang w:val="es-ES"/>
        </w:rPr>
        <w:t>concordancia</w:t>
      </w:r>
      <w:r w:rsidR="005F4BA7">
        <w:rPr>
          <w:rFonts w:asciiTheme="majorHAnsi" w:hAnsiTheme="majorHAnsi"/>
          <w:sz w:val="20"/>
          <w:szCs w:val="20"/>
          <w:lang w:val="es-ES"/>
        </w:rPr>
        <w:t xml:space="preserve"> con sus artículos 1.1 y 2</w:t>
      </w:r>
      <w:r w:rsidR="003A4150">
        <w:rPr>
          <w:rFonts w:asciiTheme="majorHAnsi" w:hAnsiTheme="majorHAnsi"/>
          <w:sz w:val="20"/>
          <w:szCs w:val="20"/>
          <w:lang w:val="es-ES"/>
        </w:rPr>
        <w:t>.</w:t>
      </w:r>
    </w:p>
    <w:p w14:paraId="31DC9E2A" w14:textId="77777777" w:rsidR="003A4150" w:rsidRPr="005F4BA7"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8C47615" w14:textId="46CA6469" w:rsidR="006051FA" w:rsidRPr="003A4150" w:rsidRDefault="005F4BA7" w:rsidP="003A41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Theme="majorHAnsi" w:hAnsiTheme="majorHAnsi"/>
          <w:sz w:val="20"/>
          <w:szCs w:val="20"/>
          <w:lang w:val="es-ES"/>
        </w:rPr>
        <w:t>Declarar inadmisible la presente petición en relación con los artículos 11, 13, 14 y 21 de la Convención Americana</w:t>
      </w:r>
      <w:r w:rsidR="006051FA">
        <w:rPr>
          <w:rFonts w:asciiTheme="majorHAnsi" w:hAnsiTheme="majorHAnsi"/>
          <w:sz w:val="20"/>
          <w:szCs w:val="20"/>
          <w:lang w:val="es-ES"/>
        </w:rPr>
        <w:t xml:space="preserve"> </w:t>
      </w:r>
      <w:r>
        <w:rPr>
          <w:rFonts w:asciiTheme="majorHAnsi" w:hAnsiTheme="majorHAnsi"/>
          <w:sz w:val="20"/>
          <w:szCs w:val="20"/>
          <w:lang w:val="es-ES"/>
        </w:rPr>
        <w:t xml:space="preserve">y </w:t>
      </w:r>
      <w:r w:rsidR="000F4F1D">
        <w:rPr>
          <w:rFonts w:asciiTheme="majorHAnsi" w:hAnsiTheme="majorHAnsi"/>
          <w:sz w:val="20"/>
          <w:szCs w:val="20"/>
          <w:lang w:val="es-ES"/>
        </w:rPr>
        <w:t xml:space="preserve">con </w:t>
      </w:r>
      <w:r>
        <w:rPr>
          <w:rFonts w:asciiTheme="majorHAnsi" w:hAnsiTheme="majorHAnsi"/>
          <w:sz w:val="20"/>
          <w:szCs w:val="20"/>
          <w:lang w:val="es-ES"/>
        </w:rPr>
        <w:t xml:space="preserve">los extremos que no cumplen con los requisitos del artículo 46.1(a) de la Convención Americana según se detalla en la sección VI de este informe. </w:t>
      </w:r>
    </w:p>
    <w:p w14:paraId="1DF0BF37" w14:textId="77777777" w:rsidR="003A4150" w:rsidRPr="00147F0C" w:rsidRDefault="003A4150" w:rsidP="003A415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3F2F572" w14:textId="14AE9325" w:rsidR="00722C9F" w:rsidRDefault="006051FA" w:rsidP="003A4150">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cs="Calibri"/>
          <w:sz w:val="20"/>
          <w:szCs w:val="20"/>
          <w:lang w:val="es-ES"/>
        </w:rPr>
      </w:pPr>
      <w:r w:rsidRPr="00DF284C">
        <w:rPr>
          <w:rFonts w:asciiTheme="majorHAnsi" w:hAnsiTheme="majorHAnsi"/>
          <w:sz w:val="20"/>
          <w:szCs w:val="20"/>
          <w:lang w:val="es-ES"/>
        </w:rPr>
        <w:t xml:space="preserve">Notificar a las partes la presente decisión; </w:t>
      </w:r>
      <w:r w:rsidR="0072315C">
        <w:rPr>
          <w:rFonts w:asciiTheme="majorHAnsi" w:hAnsiTheme="majorHAnsi"/>
          <w:sz w:val="20"/>
          <w:szCs w:val="20"/>
          <w:lang w:val="es-ES"/>
        </w:rPr>
        <w:t>proceder</w:t>
      </w:r>
      <w:r w:rsidRPr="00DF284C">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r w:rsidRPr="00DF284C">
        <w:rPr>
          <w:rFonts w:cs="Calibri"/>
          <w:sz w:val="20"/>
          <w:szCs w:val="20"/>
          <w:lang w:val="es-ES"/>
        </w:rPr>
        <w:t xml:space="preserve"> </w:t>
      </w:r>
    </w:p>
    <w:p w14:paraId="750F9DD9" w14:textId="77777777" w:rsidR="002434FD" w:rsidRPr="002434FD" w:rsidRDefault="002434FD" w:rsidP="002434FD">
      <w:pPr>
        <w:pStyle w:val="ListParagraph"/>
        <w:rPr>
          <w:rFonts w:cs="Calibri"/>
          <w:sz w:val="20"/>
          <w:szCs w:val="20"/>
          <w:lang w:val="es-ES"/>
        </w:rPr>
      </w:pPr>
    </w:p>
    <w:p w14:paraId="3846D953" w14:textId="0ED1EF60" w:rsidR="002434FD" w:rsidRPr="00A37B82" w:rsidRDefault="002434FD" w:rsidP="002434F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10C1973" w14:textId="77777777" w:rsidR="002434FD" w:rsidRPr="00A37B82" w:rsidRDefault="002434FD" w:rsidP="002434FD">
      <w:pPr>
        <w:suppressAutoHyphens/>
        <w:ind w:firstLine="720"/>
        <w:jc w:val="both"/>
        <w:rPr>
          <w:rFonts w:asciiTheme="majorHAnsi" w:hAnsiTheme="majorHAnsi" w:cs="Arial"/>
          <w:noProof/>
          <w:spacing w:val="-2"/>
          <w:sz w:val="20"/>
          <w:szCs w:val="20"/>
          <w:lang w:val="es-CL"/>
        </w:rPr>
      </w:pPr>
    </w:p>
    <w:sectPr w:rsidR="002434F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D569" w14:textId="77777777" w:rsidR="000430E9" w:rsidRDefault="000430E9">
      <w:r>
        <w:separator/>
      </w:r>
    </w:p>
  </w:endnote>
  <w:endnote w:type="continuationSeparator" w:id="0">
    <w:p w14:paraId="41814416" w14:textId="77777777" w:rsidR="000430E9" w:rsidRDefault="0004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3010CA7" w14:textId="4F0DD9FE" w:rsidR="007B432F" w:rsidRPr="00934A2C" w:rsidRDefault="007B432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0224">
          <w:rPr>
            <w:noProof/>
            <w:sz w:val="16"/>
            <w:szCs w:val="22"/>
          </w:rPr>
          <w:t>8</w:t>
        </w:r>
        <w:r w:rsidRPr="00934A2C">
          <w:rPr>
            <w:noProof/>
            <w:sz w:val="16"/>
            <w:szCs w:val="22"/>
          </w:rPr>
          <w:fldChar w:fldCharType="end"/>
        </w:r>
      </w:p>
    </w:sdtContent>
  </w:sdt>
  <w:p w14:paraId="1A4F39D0" w14:textId="77777777" w:rsidR="007B432F" w:rsidRDefault="007B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4E2" w14:textId="77777777" w:rsidR="007B432F" w:rsidRPr="00934A2C" w:rsidRDefault="007B432F">
    <w:pPr>
      <w:pStyle w:val="Footer"/>
      <w:jc w:val="center"/>
      <w:rPr>
        <w:sz w:val="16"/>
        <w:szCs w:val="22"/>
      </w:rPr>
    </w:pPr>
  </w:p>
  <w:p w14:paraId="4169B2EA" w14:textId="77777777" w:rsidR="007B432F" w:rsidRDefault="007B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BD9F" w14:textId="77777777" w:rsidR="000430E9" w:rsidRPr="000F35ED" w:rsidRDefault="000430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0B2EF0" w14:textId="77777777" w:rsidR="000430E9" w:rsidRPr="000F35ED" w:rsidRDefault="000430E9" w:rsidP="000F35ED">
      <w:pPr>
        <w:rPr>
          <w:rFonts w:asciiTheme="majorHAnsi" w:hAnsiTheme="majorHAnsi"/>
          <w:sz w:val="16"/>
          <w:szCs w:val="16"/>
        </w:rPr>
      </w:pPr>
      <w:r w:rsidRPr="000F35ED">
        <w:rPr>
          <w:rFonts w:asciiTheme="majorHAnsi" w:hAnsiTheme="majorHAnsi"/>
          <w:sz w:val="16"/>
          <w:szCs w:val="16"/>
        </w:rPr>
        <w:separator/>
      </w:r>
    </w:p>
    <w:p w14:paraId="3114AC6B" w14:textId="77777777" w:rsidR="000430E9" w:rsidRPr="000F35ED" w:rsidRDefault="000430E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B21E38D" w14:textId="77777777" w:rsidR="000430E9" w:rsidRPr="000F35ED" w:rsidRDefault="000430E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FE0F31" w14:textId="52ADDBF0" w:rsidR="007B432F" w:rsidRPr="00F46E7D" w:rsidRDefault="007B432F" w:rsidP="002434F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E</w:t>
      </w:r>
      <w:r w:rsidR="0072315C">
        <w:rPr>
          <w:rFonts w:asciiTheme="majorHAnsi" w:hAnsiTheme="majorHAnsi"/>
          <w:sz w:val="16"/>
          <w:szCs w:val="16"/>
          <w:lang w:val="es-ES"/>
        </w:rPr>
        <w:t>n</w:t>
      </w:r>
      <w:r w:rsidRPr="00F46E7D">
        <w:rPr>
          <w:rFonts w:asciiTheme="majorHAnsi" w:hAnsiTheme="majorHAnsi"/>
          <w:sz w:val="16"/>
          <w:szCs w:val="16"/>
          <w:lang w:val="es-ES"/>
        </w:rPr>
        <w:t xml:space="preserve"> adelante “la Convención Americana” o “la Convención”.</w:t>
      </w:r>
    </w:p>
  </w:footnote>
  <w:footnote w:id="3">
    <w:p w14:paraId="0099B67A" w14:textId="77777777" w:rsidR="007B432F" w:rsidRPr="00F46E7D" w:rsidRDefault="007B432F" w:rsidP="002434F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Las observaciones de cada parte fueron debidamente trasladadas a la parte contraria.</w:t>
      </w:r>
    </w:p>
  </w:footnote>
  <w:footnote w:id="4">
    <w:p w14:paraId="422AD0EC" w14:textId="1EB0A98D" w:rsidR="007B432F" w:rsidRPr="0072315C" w:rsidRDefault="007B432F" w:rsidP="002434FD">
      <w:pPr>
        <w:pStyle w:val="FootnoteText"/>
        <w:ind w:firstLine="720"/>
        <w:jc w:val="both"/>
        <w:rPr>
          <w:rFonts w:asciiTheme="majorHAnsi" w:hAnsiTheme="majorHAnsi"/>
          <w:sz w:val="16"/>
          <w:szCs w:val="16"/>
          <w:lang w:val="es-PA"/>
        </w:rPr>
      </w:pPr>
      <w:r w:rsidRPr="0072315C">
        <w:rPr>
          <w:rStyle w:val="FootnoteReference"/>
          <w:rFonts w:asciiTheme="majorHAnsi" w:hAnsiTheme="majorHAnsi"/>
          <w:sz w:val="16"/>
          <w:szCs w:val="16"/>
        </w:rPr>
        <w:footnoteRef/>
      </w:r>
      <w:r w:rsidRPr="0072315C">
        <w:rPr>
          <w:rFonts w:asciiTheme="majorHAnsi" w:hAnsiTheme="majorHAnsi"/>
          <w:sz w:val="16"/>
          <w:szCs w:val="16"/>
          <w:lang w:val="es-PA"/>
        </w:rPr>
        <w:t xml:space="preserve"> También aporta copia de una nota dirigida a la Directora de los Servicios de Abogacía de la Suprema Corte de Justicia fechada 20 de octubre de 2019 donde indica que el 8 de mayo de 2019 se le concedió el beneficio de arresto domiciliario pero que el Juzgado y la Fiscalía lograron convencer a la Suprema Corte de justicia de “recortar” dicho beneficio.</w:t>
      </w:r>
    </w:p>
  </w:footnote>
  <w:footnote w:id="5">
    <w:p w14:paraId="40222E9D" w14:textId="53606E2E" w:rsidR="007B432F" w:rsidRPr="00EB65BC" w:rsidRDefault="007B432F" w:rsidP="002434FD">
      <w:pPr>
        <w:pStyle w:val="FootnoteText"/>
        <w:ind w:firstLine="720"/>
        <w:jc w:val="both"/>
        <w:rPr>
          <w:rFonts w:asciiTheme="majorHAnsi" w:hAnsiTheme="majorHAnsi"/>
          <w:sz w:val="16"/>
          <w:szCs w:val="16"/>
          <w:lang w:val="es-PA"/>
        </w:rPr>
      </w:pPr>
      <w:r w:rsidRPr="0072315C">
        <w:rPr>
          <w:rStyle w:val="FootnoteReference"/>
          <w:rFonts w:asciiTheme="majorHAnsi" w:hAnsiTheme="majorHAnsi"/>
          <w:sz w:val="16"/>
          <w:szCs w:val="16"/>
        </w:rPr>
        <w:footnoteRef/>
      </w:r>
      <w:r w:rsidRPr="0072315C">
        <w:rPr>
          <w:rFonts w:asciiTheme="majorHAnsi" w:hAnsiTheme="majorHAnsi"/>
          <w:sz w:val="16"/>
          <w:szCs w:val="16"/>
          <w:lang w:val="es-PA"/>
        </w:rPr>
        <w:t xml:space="preserve"> Destaca que llegó incluso a ser multado por ejercicio ilícito de la profesión por haber enviado por cuenta propia un escrito tratando de defender sus intereses en un proceso del cual era parte.</w:t>
      </w:r>
    </w:p>
  </w:footnote>
  <w:footnote w:id="6">
    <w:p w14:paraId="76A62ECB" w14:textId="77777777" w:rsidR="009F0A6F" w:rsidRPr="00E515BF" w:rsidRDefault="009F0A6F" w:rsidP="002434FD">
      <w:pPr>
        <w:pStyle w:val="FootnoteText"/>
        <w:ind w:firstLine="720"/>
        <w:jc w:val="both"/>
        <w:rPr>
          <w:rFonts w:asciiTheme="majorHAnsi" w:hAnsiTheme="majorHAnsi"/>
          <w:sz w:val="16"/>
          <w:szCs w:val="16"/>
          <w:lang w:val="es-PA"/>
        </w:rPr>
      </w:pPr>
      <w:r w:rsidRPr="00E515BF">
        <w:rPr>
          <w:rStyle w:val="FootnoteReference"/>
          <w:rFonts w:asciiTheme="majorHAnsi" w:hAnsiTheme="majorHAnsi"/>
          <w:sz w:val="16"/>
          <w:szCs w:val="16"/>
        </w:rPr>
        <w:footnoteRef/>
      </w:r>
      <w:r w:rsidRPr="00E515BF">
        <w:rPr>
          <w:rFonts w:asciiTheme="majorHAnsi" w:hAnsiTheme="majorHAnsi"/>
          <w:sz w:val="16"/>
          <w:szCs w:val="16"/>
          <w:lang w:val="es-PA"/>
        </w:rPr>
        <w:t xml:space="preserve"> </w:t>
      </w:r>
      <w:r w:rsidRPr="00367D17">
        <w:rPr>
          <w:rFonts w:asciiTheme="majorHAnsi" w:hAnsiTheme="majorHAnsi"/>
          <w:sz w:val="16"/>
          <w:szCs w:val="16"/>
          <w:lang w:val="es-PA"/>
        </w:rPr>
        <w:t xml:space="preserve">CIDH, </w:t>
      </w:r>
      <w:hyperlink r:id="rId1" w:history="1">
        <w:r w:rsidRPr="00367D17">
          <w:rPr>
            <w:rStyle w:val="Hyperlink"/>
            <w:rFonts w:asciiTheme="majorHAnsi" w:eastAsia="Times New Roman" w:hAnsiTheme="majorHAnsi" w:cs="Times New Roman"/>
            <w:color w:val="auto"/>
            <w:sz w:val="16"/>
            <w:szCs w:val="16"/>
            <w:u w:val="none"/>
            <w:lang w:val="es-PA"/>
          </w:rPr>
          <w:t>Informe</w:t>
        </w:r>
      </w:hyperlink>
      <w:r w:rsidRPr="00367D17">
        <w:rPr>
          <w:rStyle w:val="Hyperlink"/>
          <w:rFonts w:asciiTheme="majorHAnsi" w:eastAsia="Times New Roman" w:hAnsiTheme="majorHAnsi" w:cs="Times New Roman"/>
          <w:color w:val="auto"/>
          <w:sz w:val="16"/>
          <w:szCs w:val="16"/>
          <w:u w:val="none"/>
          <w:lang w:val="es-PA"/>
        </w:rPr>
        <w:t xml:space="preserve"> </w:t>
      </w:r>
      <w:r>
        <w:rPr>
          <w:rStyle w:val="Hyperlink"/>
          <w:rFonts w:asciiTheme="majorHAnsi" w:eastAsia="Times New Roman" w:hAnsiTheme="majorHAnsi" w:cs="Times New Roman"/>
          <w:color w:val="auto"/>
          <w:sz w:val="16"/>
          <w:szCs w:val="16"/>
          <w:u w:val="none"/>
          <w:lang w:val="es-PA"/>
        </w:rPr>
        <w:t>sobre el uso de la prisión preventiva en las América</w:t>
      </w:r>
      <w:r>
        <w:rPr>
          <w:rFonts w:asciiTheme="majorHAnsi" w:eastAsia="Times New Roman" w:hAnsiTheme="majorHAnsi" w:cs="Times New Roman"/>
          <w:sz w:val="16"/>
          <w:szCs w:val="16"/>
          <w:lang w:val="es-PA"/>
        </w:rPr>
        <w:t xml:space="preserve">, OEA/Ser.L/V/II.1Doc.46, 2013, </w:t>
      </w:r>
      <w:r w:rsidRPr="00E515BF">
        <w:rPr>
          <w:rFonts w:asciiTheme="majorHAnsi" w:hAnsiTheme="majorHAnsi"/>
          <w:sz w:val="16"/>
          <w:szCs w:val="16"/>
          <w:lang w:val="es-PA"/>
        </w:rPr>
        <w:t>párr. 201</w:t>
      </w:r>
    </w:p>
  </w:footnote>
  <w:footnote w:id="7">
    <w:p w14:paraId="573C0BA0" w14:textId="77777777" w:rsidR="007B432F" w:rsidRPr="00484994" w:rsidRDefault="007B432F" w:rsidP="002434FD">
      <w:pPr>
        <w:pStyle w:val="FootnoteText"/>
        <w:ind w:firstLine="720"/>
        <w:jc w:val="both"/>
        <w:rPr>
          <w:rFonts w:asciiTheme="majorHAnsi" w:hAnsiTheme="majorHAnsi"/>
          <w:sz w:val="16"/>
          <w:szCs w:val="16"/>
          <w:lang w:val="es-PA"/>
        </w:rPr>
      </w:pPr>
      <w:r w:rsidRPr="00E515BF">
        <w:rPr>
          <w:rStyle w:val="FootnoteReference"/>
          <w:rFonts w:asciiTheme="majorHAnsi" w:hAnsiTheme="majorHAnsi"/>
          <w:sz w:val="16"/>
          <w:szCs w:val="16"/>
        </w:rPr>
        <w:footnoteRef/>
      </w:r>
      <w:r w:rsidRPr="00E515BF">
        <w:rPr>
          <w:rFonts w:asciiTheme="majorHAnsi" w:hAnsiTheme="majorHAnsi"/>
          <w:sz w:val="16"/>
          <w:szCs w:val="16"/>
          <w:lang w:val="es-PA"/>
        </w:rPr>
        <w:t xml:space="preserve"> CIDH. Informe No. 12/96, caso 11.245, Fondo, Jorge A. Giménez, Argentina, 1 de marzo de 1996, párr. 57.</w:t>
      </w:r>
    </w:p>
  </w:footnote>
  <w:footnote w:id="8">
    <w:p w14:paraId="28386E70" w14:textId="4B62069A" w:rsidR="00C77B9A" w:rsidRPr="00E80514" w:rsidRDefault="00C77B9A" w:rsidP="002434FD">
      <w:pPr>
        <w:pStyle w:val="FootnoteText"/>
        <w:ind w:firstLine="720"/>
        <w:jc w:val="both"/>
        <w:rPr>
          <w:rFonts w:asciiTheme="majorHAnsi" w:hAnsiTheme="majorHAnsi"/>
          <w:color w:val="FF0000"/>
          <w:sz w:val="16"/>
          <w:szCs w:val="16"/>
          <w:lang w:val="es-PA"/>
        </w:rPr>
      </w:pPr>
      <w:r w:rsidRPr="002274FD">
        <w:rPr>
          <w:rStyle w:val="FootnoteReference"/>
          <w:color w:val="auto"/>
        </w:rPr>
        <w:footnoteRef/>
      </w:r>
      <w:r w:rsidRPr="002274FD">
        <w:rPr>
          <w:color w:val="auto"/>
          <w:lang w:val="es-PA"/>
        </w:rPr>
        <w:t xml:space="preserve"> </w:t>
      </w:r>
      <w:r w:rsidRPr="002274FD">
        <w:rPr>
          <w:rFonts w:asciiTheme="majorHAnsi" w:hAnsiTheme="majorHAnsi"/>
          <w:color w:val="auto"/>
          <w:sz w:val="16"/>
          <w:szCs w:val="16"/>
          <w:lang w:val="es-PA"/>
        </w:rPr>
        <w:t xml:space="preserve">El 12 de noviembre de 2020 la Comisión envió </w:t>
      </w:r>
      <w:r w:rsidR="002274FD" w:rsidRPr="002274FD">
        <w:rPr>
          <w:rFonts w:asciiTheme="majorHAnsi" w:hAnsiTheme="majorHAnsi"/>
          <w:color w:val="auto"/>
          <w:sz w:val="16"/>
          <w:szCs w:val="16"/>
          <w:lang w:val="es-PA"/>
        </w:rPr>
        <w:t xml:space="preserve">una </w:t>
      </w:r>
      <w:r w:rsidRPr="002274FD">
        <w:rPr>
          <w:rFonts w:asciiTheme="majorHAnsi" w:hAnsiTheme="majorHAnsi"/>
          <w:color w:val="auto"/>
          <w:sz w:val="16"/>
          <w:szCs w:val="16"/>
          <w:lang w:val="es-PA"/>
        </w:rPr>
        <w:t xml:space="preserve">comunicación al peticionario </w:t>
      </w:r>
      <w:r w:rsidR="002274FD" w:rsidRPr="002274FD">
        <w:rPr>
          <w:rFonts w:asciiTheme="majorHAnsi" w:hAnsiTheme="majorHAnsi"/>
          <w:color w:val="auto"/>
          <w:sz w:val="16"/>
          <w:szCs w:val="16"/>
          <w:lang w:val="es-PA"/>
        </w:rPr>
        <w:t xml:space="preserve">en la que le </w:t>
      </w:r>
      <w:r w:rsidRPr="002274FD">
        <w:rPr>
          <w:rFonts w:asciiTheme="majorHAnsi" w:hAnsiTheme="majorHAnsi"/>
          <w:color w:val="auto"/>
          <w:sz w:val="16"/>
          <w:szCs w:val="16"/>
          <w:lang w:val="es-PA"/>
        </w:rPr>
        <w:t>solicit</w:t>
      </w:r>
      <w:r w:rsidR="002274FD" w:rsidRPr="002274FD">
        <w:rPr>
          <w:rFonts w:asciiTheme="majorHAnsi" w:hAnsiTheme="majorHAnsi"/>
          <w:color w:val="auto"/>
          <w:sz w:val="16"/>
          <w:szCs w:val="16"/>
          <w:lang w:val="es-PA"/>
        </w:rPr>
        <w:t xml:space="preserve">ó que </w:t>
      </w:r>
      <w:r w:rsidR="00E80514" w:rsidRPr="002274FD">
        <w:rPr>
          <w:rFonts w:asciiTheme="majorHAnsi" w:hAnsiTheme="majorHAnsi"/>
          <w:color w:val="auto"/>
          <w:sz w:val="16"/>
          <w:szCs w:val="16"/>
          <w:lang w:val="es-PA"/>
        </w:rPr>
        <w:t xml:space="preserve">informara sobre los recursos </w:t>
      </w:r>
      <w:r w:rsidR="002274FD" w:rsidRPr="002274FD">
        <w:rPr>
          <w:rFonts w:asciiTheme="majorHAnsi" w:hAnsiTheme="majorHAnsi"/>
          <w:color w:val="auto"/>
          <w:sz w:val="16"/>
          <w:szCs w:val="16"/>
          <w:lang w:val="es-PA"/>
        </w:rPr>
        <w:t xml:space="preserve">internos </w:t>
      </w:r>
      <w:r w:rsidR="00E80514" w:rsidRPr="002274FD">
        <w:rPr>
          <w:rFonts w:asciiTheme="majorHAnsi" w:hAnsiTheme="majorHAnsi"/>
          <w:color w:val="auto"/>
          <w:sz w:val="16"/>
          <w:szCs w:val="16"/>
          <w:lang w:val="es-PA"/>
        </w:rPr>
        <w:t>agotado</w:t>
      </w:r>
      <w:r w:rsidR="002274FD" w:rsidRPr="002274FD">
        <w:rPr>
          <w:rFonts w:asciiTheme="majorHAnsi" w:hAnsiTheme="majorHAnsi"/>
          <w:color w:val="auto"/>
          <w:sz w:val="16"/>
          <w:szCs w:val="16"/>
          <w:lang w:val="es-PA"/>
        </w:rPr>
        <w:t>s</w:t>
      </w:r>
      <w:r w:rsidR="00E80514" w:rsidRPr="002274FD">
        <w:rPr>
          <w:rFonts w:asciiTheme="majorHAnsi" w:hAnsiTheme="majorHAnsi"/>
          <w:color w:val="auto"/>
          <w:sz w:val="16"/>
          <w:szCs w:val="16"/>
          <w:lang w:val="es-PA"/>
        </w:rPr>
        <w:t xml:space="preserve"> para reclamar por la supuesta remoción del cargo de delegado de la unidad carcelaria a la que pertenecía y por el supuesto intento de traslado en represalia a sus declaraciones públicas; hasta la fecha del presente informe no ha</w:t>
      </w:r>
      <w:r w:rsidR="002274FD" w:rsidRPr="002274FD">
        <w:rPr>
          <w:rFonts w:asciiTheme="majorHAnsi" w:hAnsiTheme="majorHAnsi"/>
          <w:color w:val="auto"/>
          <w:sz w:val="16"/>
          <w:szCs w:val="16"/>
          <w:lang w:val="es-PA"/>
        </w:rPr>
        <w:t>y</w:t>
      </w:r>
      <w:r w:rsidR="00E80514" w:rsidRPr="002274FD">
        <w:rPr>
          <w:rFonts w:asciiTheme="majorHAnsi" w:hAnsiTheme="majorHAnsi"/>
          <w:color w:val="auto"/>
          <w:sz w:val="16"/>
          <w:szCs w:val="16"/>
          <w:lang w:val="es-PA"/>
        </w:rPr>
        <w:t xml:space="preserve"> </w:t>
      </w:r>
      <w:r w:rsidR="002274FD" w:rsidRPr="002274FD">
        <w:rPr>
          <w:rFonts w:asciiTheme="majorHAnsi" w:hAnsiTheme="majorHAnsi"/>
          <w:color w:val="auto"/>
          <w:sz w:val="16"/>
          <w:szCs w:val="16"/>
          <w:lang w:val="es-PA"/>
        </w:rPr>
        <w:t>respuesta</w:t>
      </w:r>
      <w:r w:rsidR="00E80514" w:rsidRPr="002274FD">
        <w:rPr>
          <w:rFonts w:asciiTheme="majorHAnsi" w:hAnsiTheme="majorHAnsi"/>
          <w:color w:val="auto"/>
          <w:sz w:val="16"/>
          <w:szCs w:val="16"/>
          <w:lang w:val="es-PA"/>
        </w:rPr>
        <w:t xml:space="preserve">. </w:t>
      </w:r>
    </w:p>
  </w:footnote>
  <w:footnote w:id="9">
    <w:p w14:paraId="3BC228E7" w14:textId="286B614D" w:rsidR="00326CA0" w:rsidRPr="00024EB6" w:rsidRDefault="00326CA0" w:rsidP="002434FD">
      <w:pPr>
        <w:pStyle w:val="FootnoteText"/>
        <w:ind w:firstLine="720"/>
        <w:jc w:val="both"/>
        <w:rPr>
          <w:rFonts w:asciiTheme="majorHAnsi" w:hAnsiTheme="majorHAnsi"/>
          <w:sz w:val="16"/>
          <w:szCs w:val="16"/>
          <w:lang w:val="es-PA"/>
        </w:rPr>
      </w:pPr>
      <w:r w:rsidRPr="00024EB6">
        <w:rPr>
          <w:rStyle w:val="FootnoteReference"/>
          <w:rFonts w:asciiTheme="majorHAnsi" w:hAnsiTheme="majorHAnsi"/>
          <w:sz w:val="16"/>
          <w:szCs w:val="16"/>
        </w:rPr>
        <w:footnoteRef/>
      </w:r>
      <w:r w:rsidRPr="00024EB6">
        <w:rPr>
          <w:rFonts w:asciiTheme="majorHAnsi" w:hAnsiTheme="majorHAnsi"/>
          <w:sz w:val="16"/>
          <w:szCs w:val="16"/>
          <w:lang w:val="es-PA"/>
        </w:rPr>
        <w:t xml:space="preserve"> </w:t>
      </w:r>
      <w:r w:rsidR="004D7042" w:rsidRPr="00024EB6">
        <w:rPr>
          <w:rFonts w:asciiTheme="majorHAnsi" w:hAnsiTheme="majorHAnsi"/>
          <w:sz w:val="16"/>
          <w:szCs w:val="16"/>
          <w:lang w:val="es-PA"/>
        </w:rPr>
        <w:t xml:space="preserve">CIDH, </w:t>
      </w:r>
      <w:hyperlink r:id="rId2" w:history="1">
        <w:r w:rsidR="004D7042" w:rsidRPr="00024EB6">
          <w:rPr>
            <w:rStyle w:val="Hyperlink"/>
            <w:rFonts w:asciiTheme="majorHAnsi" w:eastAsia="Times New Roman" w:hAnsiTheme="majorHAnsi" w:cs="Times New Roman"/>
            <w:color w:val="auto"/>
            <w:sz w:val="16"/>
            <w:szCs w:val="16"/>
            <w:u w:val="none"/>
            <w:lang w:val="es-PA"/>
          </w:rPr>
          <w:t>Informe</w:t>
        </w:r>
      </w:hyperlink>
      <w:r w:rsidR="004D7042" w:rsidRPr="00024EB6">
        <w:rPr>
          <w:rStyle w:val="Hyperlink"/>
          <w:rFonts w:asciiTheme="majorHAnsi" w:eastAsia="Times New Roman" w:hAnsiTheme="majorHAnsi" w:cs="Times New Roman"/>
          <w:color w:val="auto"/>
          <w:sz w:val="16"/>
          <w:szCs w:val="16"/>
          <w:u w:val="none"/>
          <w:lang w:val="es-PA"/>
        </w:rPr>
        <w:t xml:space="preserve"> sobre el uso de la prisión preventiva en las América</w:t>
      </w:r>
      <w:r w:rsidR="004D7042" w:rsidRPr="00024EB6">
        <w:rPr>
          <w:rFonts w:asciiTheme="majorHAnsi" w:eastAsia="Times New Roman" w:hAnsiTheme="majorHAnsi" w:cs="Times New Roman"/>
          <w:sz w:val="16"/>
          <w:szCs w:val="16"/>
          <w:lang w:val="es-PA"/>
        </w:rPr>
        <w:t>, OEA/Ser.L/V/II.1Doc.46, 2013, Párr. 132.</w:t>
      </w:r>
    </w:p>
  </w:footnote>
  <w:footnote w:id="10">
    <w:p w14:paraId="2A0B721D" w14:textId="29C7B835" w:rsidR="00326CA0" w:rsidRPr="00024EB6" w:rsidRDefault="00326CA0" w:rsidP="002434FD">
      <w:pPr>
        <w:pStyle w:val="FootnoteText"/>
        <w:ind w:firstLine="720"/>
        <w:jc w:val="both"/>
        <w:rPr>
          <w:rFonts w:asciiTheme="majorHAnsi" w:hAnsiTheme="majorHAnsi"/>
          <w:sz w:val="16"/>
          <w:szCs w:val="16"/>
          <w:lang w:val="es-PA"/>
        </w:rPr>
      </w:pPr>
      <w:r w:rsidRPr="00024EB6">
        <w:rPr>
          <w:rStyle w:val="FootnoteReference"/>
          <w:rFonts w:asciiTheme="majorHAnsi" w:hAnsiTheme="majorHAnsi"/>
          <w:sz w:val="16"/>
          <w:szCs w:val="16"/>
        </w:rPr>
        <w:footnoteRef/>
      </w:r>
      <w:r w:rsidRPr="00024EB6">
        <w:rPr>
          <w:rFonts w:asciiTheme="majorHAnsi" w:hAnsiTheme="majorHAnsi"/>
          <w:sz w:val="16"/>
          <w:szCs w:val="16"/>
          <w:lang w:val="es-PA"/>
        </w:rPr>
        <w:t xml:space="preserve"> </w:t>
      </w:r>
      <w:r w:rsidR="00024EB6" w:rsidRPr="00024EB6">
        <w:rPr>
          <w:rFonts w:asciiTheme="majorHAnsi" w:hAnsiTheme="majorHAnsi"/>
          <w:sz w:val="16"/>
          <w:szCs w:val="16"/>
          <w:lang w:val="es-PA"/>
        </w:rPr>
        <w:t xml:space="preserve">CIDH, Medidas para </w:t>
      </w:r>
      <w:r w:rsidR="00A24FD3" w:rsidRPr="00024EB6">
        <w:rPr>
          <w:rFonts w:asciiTheme="majorHAnsi" w:hAnsiTheme="majorHAnsi"/>
          <w:sz w:val="16"/>
          <w:szCs w:val="16"/>
          <w:lang w:val="es-PA"/>
        </w:rPr>
        <w:t>reducir</w:t>
      </w:r>
      <w:r w:rsidR="00024EB6" w:rsidRPr="00024EB6">
        <w:rPr>
          <w:rFonts w:asciiTheme="majorHAnsi" w:hAnsiTheme="majorHAnsi"/>
          <w:sz w:val="16"/>
          <w:szCs w:val="16"/>
          <w:lang w:val="es-PA"/>
        </w:rPr>
        <w:t xml:space="preserve"> la prisión preventiva</w:t>
      </w:r>
      <w:r w:rsidR="00024EB6" w:rsidRPr="00024EB6">
        <w:rPr>
          <w:rFonts w:asciiTheme="majorHAnsi" w:eastAsia="Times New Roman" w:hAnsiTheme="majorHAnsi" w:cs="Times New Roman"/>
          <w:sz w:val="16"/>
          <w:szCs w:val="16"/>
          <w:lang w:val="es-PA"/>
        </w:rPr>
        <w:t>, OEA/Ser.L/V/II.163 Doc.105, 2017, Párr. 87.</w:t>
      </w:r>
    </w:p>
  </w:footnote>
  <w:footnote w:id="11">
    <w:p w14:paraId="7602FFB2" w14:textId="1D3799F7" w:rsidR="00024EB6" w:rsidRPr="00024EB6" w:rsidRDefault="00024EB6" w:rsidP="002434FD">
      <w:pPr>
        <w:pStyle w:val="FootnoteText"/>
        <w:ind w:firstLine="720"/>
        <w:jc w:val="both"/>
        <w:rPr>
          <w:lang w:val="es-PA"/>
        </w:rPr>
      </w:pPr>
      <w:r w:rsidRPr="00024EB6">
        <w:rPr>
          <w:rStyle w:val="FootnoteReference"/>
          <w:rFonts w:asciiTheme="majorHAnsi" w:hAnsiTheme="majorHAnsi"/>
          <w:sz w:val="16"/>
          <w:szCs w:val="16"/>
        </w:rPr>
        <w:footnoteRef/>
      </w:r>
      <w:r w:rsidRPr="00024EB6">
        <w:rPr>
          <w:rFonts w:asciiTheme="majorHAnsi" w:hAnsiTheme="majorHAnsi"/>
          <w:sz w:val="16"/>
          <w:szCs w:val="16"/>
          <w:lang w:val="es-PA"/>
        </w:rPr>
        <w:t xml:space="preserve"> CIDH, </w:t>
      </w:r>
      <w:hyperlink r:id="rId3" w:history="1">
        <w:r w:rsidRPr="00024EB6">
          <w:rPr>
            <w:rStyle w:val="Hyperlink"/>
            <w:rFonts w:asciiTheme="majorHAnsi" w:eastAsia="Times New Roman" w:hAnsiTheme="majorHAnsi" w:cs="Times New Roman"/>
            <w:color w:val="auto"/>
            <w:sz w:val="16"/>
            <w:szCs w:val="16"/>
            <w:u w:val="none"/>
            <w:lang w:val="es-PA"/>
          </w:rPr>
          <w:t>Informe</w:t>
        </w:r>
      </w:hyperlink>
      <w:r w:rsidRPr="00024EB6">
        <w:rPr>
          <w:rStyle w:val="Hyperlink"/>
          <w:rFonts w:asciiTheme="majorHAnsi" w:eastAsia="Times New Roman" w:hAnsiTheme="majorHAnsi" w:cs="Times New Roman"/>
          <w:color w:val="auto"/>
          <w:sz w:val="16"/>
          <w:szCs w:val="16"/>
          <w:u w:val="none"/>
          <w:lang w:val="es-PA"/>
        </w:rPr>
        <w:t xml:space="preserve"> sobre el uso de la prisión preventiva en las América</w:t>
      </w:r>
      <w:r w:rsidRPr="00024EB6">
        <w:rPr>
          <w:rFonts w:asciiTheme="majorHAnsi" w:eastAsia="Times New Roman" w:hAnsiTheme="majorHAnsi" w:cs="Times New Roman"/>
          <w:sz w:val="16"/>
          <w:szCs w:val="16"/>
          <w:lang w:val="es-PA"/>
        </w:rPr>
        <w:t>, OEA/Ser.L/V/II.1Doc.46, 2013, Párr. 45.</w:t>
      </w:r>
    </w:p>
  </w:footnote>
  <w:footnote w:id="12">
    <w:p w14:paraId="6A56A938" w14:textId="18FB2EF8" w:rsidR="000F5700" w:rsidRPr="000F5700" w:rsidRDefault="000F5700" w:rsidP="002434FD">
      <w:pPr>
        <w:pStyle w:val="FootnoteText"/>
        <w:ind w:firstLine="720"/>
        <w:jc w:val="both"/>
        <w:rPr>
          <w:rFonts w:asciiTheme="majorHAnsi" w:hAnsiTheme="majorHAnsi"/>
          <w:sz w:val="16"/>
          <w:szCs w:val="16"/>
          <w:lang w:val="es-PA"/>
        </w:rPr>
      </w:pPr>
      <w:r w:rsidRPr="000F5700">
        <w:rPr>
          <w:rStyle w:val="FootnoteReference"/>
          <w:rFonts w:asciiTheme="majorHAnsi" w:hAnsiTheme="majorHAnsi"/>
          <w:sz w:val="16"/>
          <w:szCs w:val="16"/>
        </w:rPr>
        <w:footnoteRef/>
      </w:r>
      <w:r w:rsidRPr="002434FD">
        <w:rPr>
          <w:rFonts w:asciiTheme="majorHAnsi" w:hAnsiTheme="majorHAnsi"/>
          <w:sz w:val="16"/>
          <w:szCs w:val="16"/>
          <w:lang w:val="pt-BR"/>
        </w:rPr>
        <w:t xml:space="preserve"> CIDH. </w:t>
      </w:r>
      <w:r w:rsidRPr="000F5700">
        <w:rPr>
          <w:rFonts w:asciiTheme="majorHAnsi" w:hAnsiTheme="majorHAnsi"/>
          <w:sz w:val="16"/>
          <w:szCs w:val="16"/>
          <w:lang w:val="pt-BR"/>
        </w:rPr>
        <w:t xml:space="preserve">Informe No. 86/09, caso 12.553, Fondo, Jorge José y Dante Peirano Basso, Uruguay, 6 de agosto de 2009, párr. </w:t>
      </w:r>
      <w:r w:rsidRPr="00244ED0">
        <w:rPr>
          <w:rFonts w:asciiTheme="majorHAnsi" w:hAnsiTheme="majorHAnsi"/>
          <w:sz w:val="16"/>
          <w:szCs w:val="16"/>
          <w:lang w:val="es-PA"/>
        </w:rPr>
        <w:t>130</w:t>
      </w:r>
      <w:r w:rsidRPr="000F5700">
        <w:rPr>
          <w:rFonts w:asciiTheme="majorHAnsi" w:hAnsiTheme="majorHAnsi"/>
          <w:sz w:val="16"/>
          <w:szCs w:val="16"/>
          <w:lang w:val="es-PA"/>
        </w:rPr>
        <w:t>.</w:t>
      </w:r>
    </w:p>
  </w:footnote>
  <w:footnote w:id="13">
    <w:p w14:paraId="03D5BD4E" w14:textId="4CBC80D4" w:rsidR="00024EB6" w:rsidRPr="00024EB6" w:rsidRDefault="00024EB6" w:rsidP="002434FD">
      <w:pPr>
        <w:pStyle w:val="FootnoteText"/>
        <w:ind w:firstLine="720"/>
        <w:jc w:val="both"/>
        <w:rPr>
          <w:rFonts w:asciiTheme="majorHAnsi" w:hAnsiTheme="majorHAnsi"/>
          <w:sz w:val="16"/>
          <w:szCs w:val="16"/>
          <w:lang w:val="es-PA"/>
        </w:rPr>
      </w:pPr>
      <w:r w:rsidRPr="00024EB6">
        <w:rPr>
          <w:rStyle w:val="FootnoteReference"/>
          <w:rFonts w:asciiTheme="majorHAnsi" w:hAnsiTheme="majorHAnsi"/>
          <w:sz w:val="16"/>
          <w:szCs w:val="16"/>
        </w:rPr>
        <w:footnoteRef/>
      </w:r>
      <w:r w:rsidRPr="00024EB6">
        <w:rPr>
          <w:rFonts w:asciiTheme="majorHAnsi" w:hAnsiTheme="majorHAnsi"/>
          <w:sz w:val="16"/>
          <w:szCs w:val="16"/>
          <w:lang w:val="es-PA"/>
        </w:rPr>
        <w:t xml:space="preserve"> CIDH, </w:t>
      </w:r>
      <w:hyperlink r:id="rId4" w:history="1">
        <w:r w:rsidRPr="00024EB6">
          <w:rPr>
            <w:rStyle w:val="Hyperlink"/>
            <w:rFonts w:asciiTheme="majorHAnsi" w:eastAsia="Times New Roman" w:hAnsiTheme="majorHAnsi" w:cs="Times New Roman"/>
            <w:color w:val="auto"/>
            <w:sz w:val="16"/>
            <w:szCs w:val="16"/>
            <w:u w:val="none"/>
            <w:lang w:val="es-PA"/>
          </w:rPr>
          <w:t>Informe</w:t>
        </w:r>
      </w:hyperlink>
      <w:r w:rsidRPr="00024EB6">
        <w:rPr>
          <w:rStyle w:val="Hyperlink"/>
          <w:rFonts w:asciiTheme="majorHAnsi" w:eastAsia="Times New Roman" w:hAnsiTheme="majorHAnsi" w:cs="Times New Roman"/>
          <w:color w:val="auto"/>
          <w:sz w:val="16"/>
          <w:szCs w:val="16"/>
          <w:u w:val="none"/>
          <w:lang w:val="es-PA"/>
        </w:rPr>
        <w:t xml:space="preserve"> sobre el uso de la prisión preventiva en las América</w:t>
      </w:r>
      <w:r w:rsidRPr="00024EB6">
        <w:rPr>
          <w:rFonts w:asciiTheme="majorHAnsi" w:eastAsia="Times New Roman" w:hAnsiTheme="majorHAnsi" w:cs="Times New Roman"/>
          <w:sz w:val="16"/>
          <w:szCs w:val="16"/>
          <w:lang w:val="es-PA"/>
        </w:rPr>
        <w:t>, OEA/Ser.L/V/II.1Doc.46, 2013, Párr. 139</w:t>
      </w:r>
      <w:r w:rsidR="00244ED0">
        <w:rPr>
          <w:rFonts w:asciiTheme="majorHAnsi" w:eastAsia="Times New Roman" w:hAnsiTheme="majorHAnsi" w:cs="Times New Roman"/>
          <w:sz w:val="16"/>
          <w:szCs w:val="16"/>
          <w:lang w:val="es-PA"/>
        </w:rPr>
        <w:t>c</w:t>
      </w:r>
      <w:r w:rsidRPr="00024EB6">
        <w:rPr>
          <w:rFonts w:asciiTheme="majorHAnsi" w:eastAsia="Times New Roman" w:hAnsiTheme="majorHAnsi" w:cs="Times New Roman"/>
          <w:sz w:val="16"/>
          <w:szCs w:val="16"/>
          <w:lang w:val="es-PA"/>
        </w:rPr>
        <w:t xml:space="preserve">itando </w:t>
      </w:r>
      <w:proofErr w:type="spellStart"/>
      <w:r w:rsidRPr="00024EB6">
        <w:rPr>
          <w:rFonts w:asciiTheme="majorHAnsi" w:hAnsiTheme="majorHAnsi"/>
          <w:sz w:val="16"/>
          <w:szCs w:val="16"/>
          <w:lang w:val="es-PA"/>
        </w:rPr>
        <w:t>CrEDH</w:t>
      </w:r>
      <w:proofErr w:type="spellEnd"/>
      <w:r w:rsidRPr="00024EB6">
        <w:rPr>
          <w:rFonts w:asciiTheme="majorHAnsi" w:hAnsiTheme="majorHAnsi"/>
          <w:sz w:val="16"/>
          <w:szCs w:val="16"/>
          <w:lang w:val="es-PA"/>
        </w:rPr>
        <w:t xml:space="preserve">, Case of </w:t>
      </w:r>
      <w:proofErr w:type="spellStart"/>
      <w:r w:rsidRPr="00024EB6">
        <w:rPr>
          <w:rFonts w:asciiTheme="majorHAnsi" w:hAnsiTheme="majorHAnsi"/>
          <w:sz w:val="16"/>
          <w:szCs w:val="16"/>
          <w:lang w:val="es-PA"/>
        </w:rPr>
        <w:t>Allenet</w:t>
      </w:r>
      <w:proofErr w:type="spellEnd"/>
      <w:r w:rsidRPr="00024EB6">
        <w:rPr>
          <w:rFonts w:asciiTheme="majorHAnsi" w:hAnsiTheme="majorHAnsi"/>
          <w:sz w:val="16"/>
          <w:szCs w:val="16"/>
          <w:lang w:val="es-PA"/>
        </w:rPr>
        <w:t xml:space="preserve"> de </w:t>
      </w:r>
      <w:proofErr w:type="spellStart"/>
      <w:r w:rsidRPr="00024EB6">
        <w:rPr>
          <w:rFonts w:asciiTheme="majorHAnsi" w:hAnsiTheme="majorHAnsi"/>
          <w:sz w:val="16"/>
          <w:szCs w:val="16"/>
          <w:lang w:val="es-PA"/>
        </w:rPr>
        <w:t>Ribemont</w:t>
      </w:r>
      <w:proofErr w:type="spellEnd"/>
      <w:r w:rsidRPr="00024EB6">
        <w:rPr>
          <w:rFonts w:asciiTheme="majorHAnsi" w:hAnsiTheme="majorHAnsi"/>
          <w:sz w:val="16"/>
          <w:szCs w:val="16"/>
          <w:lang w:val="es-PA"/>
        </w:rPr>
        <w:t xml:space="preserve"> v. France (</w:t>
      </w:r>
      <w:proofErr w:type="spellStart"/>
      <w:r w:rsidRPr="00024EB6">
        <w:rPr>
          <w:rFonts w:asciiTheme="majorHAnsi" w:hAnsiTheme="majorHAnsi"/>
          <w:sz w:val="16"/>
          <w:szCs w:val="16"/>
          <w:lang w:val="es-PA"/>
        </w:rPr>
        <w:t>Application</w:t>
      </w:r>
      <w:proofErr w:type="spellEnd"/>
      <w:r w:rsidRPr="00024EB6">
        <w:rPr>
          <w:rFonts w:asciiTheme="majorHAnsi" w:hAnsiTheme="majorHAnsi"/>
          <w:sz w:val="16"/>
          <w:szCs w:val="16"/>
          <w:lang w:val="es-PA"/>
        </w:rPr>
        <w:t xml:space="preserve"> No. 15175/89), Sentencia del 10 de febrero de 1995 (Sección Segunda de la Corte), párr. 33; </w:t>
      </w:r>
      <w:proofErr w:type="spellStart"/>
      <w:r w:rsidRPr="00024EB6">
        <w:rPr>
          <w:rFonts w:asciiTheme="majorHAnsi" w:hAnsiTheme="majorHAnsi"/>
          <w:sz w:val="16"/>
          <w:szCs w:val="16"/>
          <w:lang w:val="es-PA"/>
        </w:rPr>
        <w:t>CrEDH</w:t>
      </w:r>
      <w:proofErr w:type="spellEnd"/>
      <w:r w:rsidRPr="00024EB6">
        <w:rPr>
          <w:rFonts w:asciiTheme="majorHAnsi" w:hAnsiTheme="majorHAnsi"/>
          <w:sz w:val="16"/>
          <w:szCs w:val="16"/>
          <w:lang w:val="es-PA"/>
        </w:rPr>
        <w:t xml:space="preserve">, Case of Barberá, </w:t>
      </w:r>
      <w:proofErr w:type="spellStart"/>
      <w:r w:rsidRPr="00024EB6">
        <w:rPr>
          <w:rFonts w:asciiTheme="majorHAnsi" w:hAnsiTheme="majorHAnsi"/>
          <w:sz w:val="16"/>
          <w:szCs w:val="16"/>
          <w:lang w:val="es-PA"/>
        </w:rPr>
        <w:t>Messegué</w:t>
      </w:r>
      <w:proofErr w:type="spellEnd"/>
      <w:r w:rsidRPr="00024EB6">
        <w:rPr>
          <w:rFonts w:asciiTheme="majorHAnsi" w:hAnsiTheme="majorHAnsi"/>
          <w:sz w:val="16"/>
          <w:szCs w:val="16"/>
          <w:lang w:val="es-PA"/>
        </w:rPr>
        <w:t xml:space="preserve"> and Jabardo v. </w:t>
      </w:r>
      <w:proofErr w:type="spellStart"/>
      <w:r w:rsidRPr="00024EB6">
        <w:rPr>
          <w:rFonts w:asciiTheme="majorHAnsi" w:hAnsiTheme="majorHAnsi"/>
          <w:sz w:val="16"/>
          <w:szCs w:val="16"/>
          <w:lang w:val="es-PA"/>
        </w:rPr>
        <w:t>Spain</w:t>
      </w:r>
      <w:proofErr w:type="spellEnd"/>
      <w:r w:rsidRPr="00024EB6">
        <w:rPr>
          <w:rFonts w:asciiTheme="majorHAnsi" w:hAnsiTheme="majorHAnsi"/>
          <w:sz w:val="16"/>
          <w:szCs w:val="16"/>
          <w:lang w:val="es-PA"/>
        </w:rPr>
        <w:t xml:space="preserve"> (</w:t>
      </w:r>
      <w:proofErr w:type="spellStart"/>
      <w:r w:rsidRPr="00024EB6">
        <w:rPr>
          <w:rFonts w:asciiTheme="majorHAnsi" w:hAnsiTheme="majorHAnsi"/>
          <w:sz w:val="16"/>
          <w:szCs w:val="16"/>
          <w:lang w:val="es-PA"/>
        </w:rPr>
        <w:t>Application</w:t>
      </w:r>
      <w:proofErr w:type="spellEnd"/>
      <w:r w:rsidRPr="00024EB6">
        <w:rPr>
          <w:rFonts w:asciiTheme="majorHAnsi" w:hAnsiTheme="majorHAnsi"/>
          <w:sz w:val="16"/>
          <w:szCs w:val="16"/>
          <w:lang w:val="es-PA"/>
        </w:rPr>
        <w:t xml:space="preserve"> No. 10590/83), Sentencia del 6 de diciembre de 1988 (Pleno de la Corte), párr. </w:t>
      </w:r>
      <w:r w:rsidRPr="00553D15">
        <w:rPr>
          <w:rFonts w:asciiTheme="majorHAnsi" w:hAnsiTheme="majorHAnsi"/>
          <w:sz w:val="16"/>
          <w:szCs w:val="16"/>
          <w:lang w:val="es-PA"/>
        </w:rPr>
        <w:t>91.</w:t>
      </w:r>
    </w:p>
  </w:footnote>
  <w:footnote w:id="14">
    <w:p w14:paraId="65C814F1" w14:textId="2F5101E2" w:rsidR="000F5700" w:rsidRPr="000F5700" w:rsidRDefault="000F5700" w:rsidP="002434FD">
      <w:pPr>
        <w:pStyle w:val="FootnoteText"/>
        <w:ind w:firstLine="720"/>
        <w:jc w:val="both"/>
        <w:rPr>
          <w:rFonts w:asciiTheme="majorHAnsi" w:hAnsiTheme="majorHAnsi"/>
          <w:sz w:val="16"/>
          <w:szCs w:val="16"/>
          <w:lang w:val="es-PA"/>
        </w:rPr>
      </w:pPr>
      <w:r w:rsidRPr="000F5700">
        <w:rPr>
          <w:rStyle w:val="FootnoteReference"/>
          <w:rFonts w:asciiTheme="majorHAnsi" w:hAnsiTheme="majorHAnsi"/>
          <w:sz w:val="16"/>
          <w:szCs w:val="16"/>
        </w:rPr>
        <w:footnoteRef/>
      </w:r>
      <w:r w:rsidRPr="000F5700">
        <w:rPr>
          <w:rFonts w:asciiTheme="majorHAnsi" w:hAnsiTheme="majorHAnsi"/>
          <w:sz w:val="16"/>
          <w:szCs w:val="16"/>
          <w:lang w:val="es-PA"/>
        </w:rPr>
        <w:t xml:space="preserve"> CIDH, </w:t>
      </w:r>
      <w:hyperlink r:id="rId5" w:history="1">
        <w:r w:rsidRPr="000F5700">
          <w:rPr>
            <w:rStyle w:val="Hyperlink"/>
            <w:rFonts w:asciiTheme="majorHAnsi" w:eastAsia="Times New Roman" w:hAnsiTheme="majorHAnsi" w:cs="Times New Roman"/>
            <w:color w:val="auto"/>
            <w:sz w:val="16"/>
            <w:szCs w:val="16"/>
            <w:u w:val="none"/>
            <w:lang w:val="es-PA"/>
          </w:rPr>
          <w:t>Informe</w:t>
        </w:r>
      </w:hyperlink>
      <w:r w:rsidRPr="000F5700">
        <w:rPr>
          <w:rStyle w:val="Hyperlink"/>
          <w:rFonts w:asciiTheme="majorHAnsi" w:eastAsia="Times New Roman" w:hAnsiTheme="majorHAnsi" w:cs="Times New Roman"/>
          <w:color w:val="auto"/>
          <w:sz w:val="16"/>
          <w:szCs w:val="16"/>
          <w:u w:val="none"/>
          <w:lang w:val="es-PA"/>
        </w:rPr>
        <w:t xml:space="preserve"> sobre el uso de la prisión preventiva en las América</w:t>
      </w:r>
      <w:r w:rsidRPr="000F5700">
        <w:rPr>
          <w:rFonts w:asciiTheme="majorHAnsi" w:eastAsia="Times New Roman" w:hAnsiTheme="majorHAnsi" w:cs="Times New Roman"/>
          <w:sz w:val="16"/>
          <w:szCs w:val="16"/>
          <w:lang w:val="es-PA"/>
        </w:rPr>
        <w:t>, OEA/Ser.L/V/II.1Doc.46, 2013, Párr. 273.</w:t>
      </w:r>
    </w:p>
  </w:footnote>
  <w:footnote w:id="15">
    <w:p w14:paraId="0E147F76" w14:textId="37FFF565" w:rsidR="00A1615F" w:rsidRPr="00A1615F" w:rsidRDefault="00A1615F" w:rsidP="002434FD">
      <w:pPr>
        <w:pStyle w:val="FootnoteText"/>
        <w:ind w:firstLine="720"/>
        <w:jc w:val="both"/>
        <w:rPr>
          <w:rFonts w:asciiTheme="majorHAnsi" w:hAnsiTheme="majorHAnsi"/>
          <w:sz w:val="16"/>
          <w:szCs w:val="16"/>
          <w:lang w:val="es-PA"/>
        </w:rPr>
      </w:pPr>
      <w:r>
        <w:rPr>
          <w:rStyle w:val="FootnoteReference"/>
        </w:rPr>
        <w:footnoteRef/>
      </w:r>
      <w:r w:rsidRPr="00A1615F">
        <w:rPr>
          <w:lang w:val="es-PA"/>
        </w:rPr>
        <w:t xml:space="preserve"> </w:t>
      </w:r>
      <w:r w:rsidRPr="000F5700">
        <w:rPr>
          <w:rFonts w:asciiTheme="majorHAnsi" w:hAnsiTheme="majorHAnsi"/>
          <w:sz w:val="16"/>
          <w:szCs w:val="16"/>
          <w:lang w:val="es-PA"/>
        </w:rPr>
        <w:t xml:space="preserve">CIDH, </w:t>
      </w:r>
      <w:hyperlink r:id="rId6" w:history="1">
        <w:r w:rsidRPr="000F5700">
          <w:rPr>
            <w:rStyle w:val="Hyperlink"/>
            <w:rFonts w:asciiTheme="majorHAnsi" w:eastAsia="Times New Roman" w:hAnsiTheme="majorHAnsi" w:cs="Times New Roman"/>
            <w:color w:val="auto"/>
            <w:sz w:val="16"/>
            <w:szCs w:val="16"/>
            <w:u w:val="none"/>
            <w:lang w:val="es-PA"/>
          </w:rPr>
          <w:t>Informe</w:t>
        </w:r>
      </w:hyperlink>
      <w:r w:rsidRPr="000F5700">
        <w:rPr>
          <w:rStyle w:val="Hyperlink"/>
          <w:rFonts w:asciiTheme="majorHAnsi" w:eastAsia="Times New Roman" w:hAnsiTheme="majorHAnsi" w:cs="Times New Roman"/>
          <w:color w:val="auto"/>
          <w:sz w:val="16"/>
          <w:szCs w:val="16"/>
          <w:u w:val="none"/>
          <w:lang w:val="es-PA"/>
        </w:rPr>
        <w:t xml:space="preserve"> sobre el uso de la prisión preventiva en las América</w:t>
      </w:r>
      <w:r w:rsidRPr="000F5700">
        <w:rPr>
          <w:rFonts w:asciiTheme="majorHAnsi" w:eastAsia="Times New Roman" w:hAnsiTheme="majorHAnsi" w:cs="Times New Roman"/>
          <w:sz w:val="16"/>
          <w:szCs w:val="16"/>
          <w:lang w:val="es-PA"/>
        </w:rPr>
        <w:t>, OEA/Ser.L/V/II.1Doc.46, 2013, Párr. 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F43D" w14:textId="77777777" w:rsidR="007B432F" w:rsidRDefault="007B432F" w:rsidP="007B43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8A29244" w14:textId="77777777" w:rsidR="007B432F" w:rsidRDefault="007B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E1D5" w14:textId="77777777" w:rsidR="007B432F" w:rsidRDefault="007B432F" w:rsidP="00A50FCF">
    <w:pPr>
      <w:pStyle w:val="Header"/>
      <w:tabs>
        <w:tab w:val="clear" w:pos="4320"/>
        <w:tab w:val="clear" w:pos="8640"/>
      </w:tabs>
      <w:jc w:val="center"/>
      <w:rPr>
        <w:sz w:val="22"/>
        <w:szCs w:val="22"/>
      </w:rPr>
    </w:pPr>
    <w:r>
      <w:rPr>
        <w:noProof/>
        <w:sz w:val="22"/>
        <w:szCs w:val="22"/>
      </w:rPr>
      <w:drawing>
        <wp:inline distT="0" distB="0" distL="0" distR="0" wp14:anchorId="5AA4DB95" wp14:editId="0188C83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509B05" w14:textId="77777777" w:rsidR="007B432F" w:rsidRPr="00EC7D62" w:rsidRDefault="000430E9" w:rsidP="00A50FCF">
    <w:pPr>
      <w:pStyle w:val="Header"/>
      <w:tabs>
        <w:tab w:val="clear" w:pos="4320"/>
        <w:tab w:val="clear" w:pos="8640"/>
      </w:tabs>
      <w:jc w:val="center"/>
      <w:rPr>
        <w:sz w:val="22"/>
        <w:szCs w:val="22"/>
      </w:rPr>
    </w:pPr>
    <w:r>
      <w:rPr>
        <w:sz w:val="22"/>
        <w:szCs w:val="22"/>
      </w:rPr>
      <w:pict w14:anchorId="7775745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09886BC"/>
    <w:lvl w:ilvl="0" w:tplc="70FE5858">
      <w:start w:val="1"/>
      <w:numFmt w:val="decimal"/>
      <w:lvlText w:val="%1."/>
      <w:lvlJc w:val="left"/>
      <w:pPr>
        <w:tabs>
          <w:tab w:val="num" w:pos="810"/>
        </w:tabs>
        <w:ind w:left="9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F97F6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0547BE"/>
    <w:multiLevelType w:val="hybridMultilevel"/>
    <w:tmpl w:val="8EBC632C"/>
    <w:lvl w:ilvl="0" w:tplc="F0EE61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6"/>
  </w:num>
  <w:num w:numId="96">
    <w:abstractNumId w:val="58"/>
  </w:num>
  <w:num w:numId="97">
    <w:abstractNumId w:val="55"/>
  </w:num>
  <w:num w:numId="98">
    <w:abstractNumId w:val="50"/>
  </w:num>
  <w:num w:numId="99">
    <w:abstractNumId w:val="40"/>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8"/>
  </w:num>
  <w:num w:numId="110">
    <w:abstractNumId w:val="37"/>
  </w:num>
  <w:num w:numId="111">
    <w:abstractNumId w:val="4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2MrW0sDA2MDUxtDRU0lEKTi0uzszPAykwqgUAnA9ZqCwAAAA="/>
  </w:docVars>
  <w:rsids>
    <w:rsidRoot w:val="006B2D5C"/>
    <w:rsid w:val="0000036F"/>
    <w:rsid w:val="00000CDA"/>
    <w:rsid w:val="00006E1F"/>
    <w:rsid w:val="000070D7"/>
    <w:rsid w:val="00010CBA"/>
    <w:rsid w:val="0001788C"/>
    <w:rsid w:val="00020D2E"/>
    <w:rsid w:val="000242EB"/>
    <w:rsid w:val="00024EB6"/>
    <w:rsid w:val="000252A6"/>
    <w:rsid w:val="00025880"/>
    <w:rsid w:val="0002692C"/>
    <w:rsid w:val="00026F52"/>
    <w:rsid w:val="000337EF"/>
    <w:rsid w:val="00037601"/>
    <w:rsid w:val="00040C3A"/>
    <w:rsid w:val="000419AD"/>
    <w:rsid w:val="000430E9"/>
    <w:rsid w:val="000433C9"/>
    <w:rsid w:val="000507A5"/>
    <w:rsid w:val="00062DC3"/>
    <w:rsid w:val="000656AB"/>
    <w:rsid w:val="000668A3"/>
    <w:rsid w:val="00067D40"/>
    <w:rsid w:val="000702B8"/>
    <w:rsid w:val="000716C5"/>
    <w:rsid w:val="00072B18"/>
    <w:rsid w:val="00075E23"/>
    <w:rsid w:val="00077DD7"/>
    <w:rsid w:val="00080029"/>
    <w:rsid w:val="000817A7"/>
    <w:rsid w:val="000822BC"/>
    <w:rsid w:val="0009344A"/>
    <w:rsid w:val="000945B4"/>
    <w:rsid w:val="00094F2C"/>
    <w:rsid w:val="00096C18"/>
    <w:rsid w:val="000A392E"/>
    <w:rsid w:val="000A575F"/>
    <w:rsid w:val="000A7EB0"/>
    <w:rsid w:val="000B3B14"/>
    <w:rsid w:val="000C1018"/>
    <w:rsid w:val="000C3683"/>
    <w:rsid w:val="000C3823"/>
    <w:rsid w:val="000C3B4B"/>
    <w:rsid w:val="000D10DB"/>
    <w:rsid w:val="000D4A50"/>
    <w:rsid w:val="000D5FC8"/>
    <w:rsid w:val="000D7384"/>
    <w:rsid w:val="000E41D0"/>
    <w:rsid w:val="000E5EB5"/>
    <w:rsid w:val="000E6070"/>
    <w:rsid w:val="000F35ED"/>
    <w:rsid w:val="000F4F1D"/>
    <w:rsid w:val="000F5700"/>
    <w:rsid w:val="001035DC"/>
    <w:rsid w:val="00104EE5"/>
    <w:rsid w:val="00107131"/>
    <w:rsid w:val="0010736F"/>
    <w:rsid w:val="0011089C"/>
    <w:rsid w:val="00113F73"/>
    <w:rsid w:val="00115429"/>
    <w:rsid w:val="00121CC2"/>
    <w:rsid w:val="00127A49"/>
    <w:rsid w:val="00133EE5"/>
    <w:rsid w:val="001353D0"/>
    <w:rsid w:val="0014307E"/>
    <w:rsid w:val="00143A9E"/>
    <w:rsid w:val="00147F0C"/>
    <w:rsid w:val="00152D17"/>
    <w:rsid w:val="0015374A"/>
    <w:rsid w:val="00165AA7"/>
    <w:rsid w:val="00167A34"/>
    <w:rsid w:val="00174EAD"/>
    <w:rsid w:val="001811C0"/>
    <w:rsid w:val="001813BD"/>
    <w:rsid w:val="00183321"/>
    <w:rsid w:val="00186CC5"/>
    <w:rsid w:val="001874F6"/>
    <w:rsid w:val="001A4F9D"/>
    <w:rsid w:val="001A7870"/>
    <w:rsid w:val="001B3A00"/>
    <w:rsid w:val="001B6187"/>
    <w:rsid w:val="001C012A"/>
    <w:rsid w:val="001C1B41"/>
    <w:rsid w:val="001D14C6"/>
    <w:rsid w:val="001D5096"/>
    <w:rsid w:val="001D65EF"/>
    <w:rsid w:val="001D7D40"/>
    <w:rsid w:val="001E49E7"/>
    <w:rsid w:val="001E716F"/>
    <w:rsid w:val="001F3F5E"/>
    <w:rsid w:val="001F7201"/>
    <w:rsid w:val="00201903"/>
    <w:rsid w:val="00205BBD"/>
    <w:rsid w:val="00205E91"/>
    <w:rsid w:val="002069E9"/>
    <w:rsid w:val="00210596"/>
    <w:rsid w:val="00213BA1"/>
    <w:rsid w:val="00215FA8"/>
    <w:rsid w:val="00217F25"/>
    <w:rsid w:val="00222DDF"/>
    <w:rsid w:val="00223A29"/>
    <w:rsid w:val="00224B57"/>
    <w:rsid w:val="002250A3"/>
    <w:rsid w:val="002266E9"/>
    <w:rsid w:val="002274FD"/>
    <w:rsid w:val="002318F3"/>
    <w:rsid w:val="002347D1"/>
    <w:rsid w:val="00235217"/>
    <w:rsid w:val="0024226A"/>
    <w:rsid w:val="002434FD"/>
    <w:rsid w:val="00244ED0"/>
    <w:rsid w:val="00246D1F"/>
    <w:rsid w:val="00247403"/>
    <w:rsid w:val="00247542"/>
    <w:rsid w:val="00265E13"/>
    <w:rsid w:val="00266B61"/>
    <w:rsid w:val="0026712A"/>
    <w:rsid w:val="002704DB"/>
    <w:rsid w:val="00274908"/>
    <w:rsid w:val="0028172E"/>
    <w:rsid w:val="00281AE4"/>
    <w:rsid w:val="00284FD9"/>
    <w:rsid w:val="002902E3"/>
    <w:rsid w:val="00290F24"/>
    <w:rsid w:val="002A0AAE"/>
    <w:rsid w:val="002A5820"/>
    <w:rsid w:val="002A70CC"/>
    <w:rsid w:val="002B1765"/>
    <w:rsid w:val="002C124E"/>
    <w:rsid w:val="002D2B26"/>
    <w:rsid w:val="002D5195"/>
    <w:rsid w:val="002D5405"/>
    <w:rsid w:val="002D7EA2"/>
    <w:rsid w:val="002E187C"/>
    <w:rsid w:val="002E2434"/>
    <w:rsid w:val="002E659C"/>
    <w:rsid w:val="002E7570"/>
    <w:rsid w:val="002F1A39"/>
    <w:rsid w:val="002F2185"/>
    <w:rsid w:val="002F3B80"/>
    <w:rsid w:val="00302733"/>
    <w:rsid w:val="00302C95"/>
    <w:rsid w:val="00304AE9"/>
    <w:rsid w:val="00310CED"/>
    <w:rsid w:val="00314078"/>
    <w:rsid w:val="0031535D"/>
    <w:rsid w:val="00317150"/>
    <w:rsid w:val="003239B8"/>
    <w:rsid w:val="00323B00"/>
    <w:rsid w:val="00326A1A"/>
    <w:rsid w:val="00326CA0"/>
    <w:rsid w:val="0033169F"/>
    <w:rsid w:val="00332FA9"/>
    <w:rsid w:val="00344977"/>
    <w:rsid w:val="00346C95"/>
    <w:rsid w:val="00347757"/>
    <w:rsid w:val="003511CC"/>
    <w:rsid w:val="00356185"/>
    <w:rsid w:val="00360380"/>
    <w:rsid w:val="0037519E"/>
    <w:rsid w:val="00383CD2"/>
    <w:rsid w:val="003845DE"/>
    <w:rsid w:val="00386CF0"/>
    <w:rsid w:val="00387B9F"/>
    <w:rsid w:val="003919D8"/>
    <w:rsid w:val="00397262"/>
    <w:rsid w:val="003A35EB"/>
    <w:rsid w:val="003A4150"/>
    <w:rsid w:val="003A6905"/>
    <w:rsid w:val="003A7C2C"/>
    <w:rsid w:val="003B70FB"/>
    <w:rsid w:val="003C2998"/>
    <w:rsid w:val="003C49FC"/>
    <w:rsid w:val="003C676B"/>
    <w:rsid w:val="003D3BC2"/>
    <w:rsid w:val="003D3D37"/>
    <w:rsid w:val="003D606F"/>
    <w:rsid w:val="003E3F6E"/>
    <w:rsid w:val="003E667E"/>
    <w:rsid w:val="003E6CA1"/>
    <w:rsid w:val="003F44D4"/>
    <w:rsid w:val="003F5952"/>
    <w:rsid w:val="0040077C"/>
    <w:rsid w:val="004065A8"/>
    <w:rsid w:val="00413B6B"/>
    <w:rsid w:val="0041460E"/>
    <w:rsid w:val="004165C2"/>
    <w:rsid w:val="00420A41"/>
    <w:rsid w:val="00441ECB"/>
    <w:rsid w:val="00445193"/>
    <w:rsid w:val="0044628A"/>
    <w:rsid w:val="004577AB"/>
    <w:rsid w:val="00461B24"/>
    <w:rsid w:val="00462241"/>
    <w:rsid w:val="00462981"/>
    <w:rsid w:val="00462C1B"/>
    <w:rsid w:val="004632CD"/>
    <w:rsid w:val="00467B7E"/>
    <w:rsid w:val="00473BB4"/>
    <w:rsid w:val="00475223"/>
    <w:rsid w:val="0047596C"/>
    <w:rsid w:val="00477592"/>
    <w:rsid w:val="00485617"/>
    <w:rsid w:val="00486F1C"/>
    <w:rsid w:val="0049419D"/>
    <w:rsid w:val="004A00B6"/>
    <w:rsid w:val="004A16F7"/>
    <w:rsid w:val="004A199E"/>
    <w:rsid w:val="004A6A54"/>
    <w:rsid w:val="004B4C99"/>
    <w:rsid w:val="004C0967"/>
    <w:rsid w:val="004C123C"/>
    <w:rsid w:val="004C20D2"/>
    <w:rsid w:val="004C2312"/>
    <w:rsid w:val="004C4B62"/>
    <w:rsid w:val="004C54C9"/>
    <w:rsid w:val="004D3B04"/>
    <w:rsid w:val="004D4ABA"/>
    <w:rsid w:val="004D58A1"/>
    <w:rsid w:val="004D6025"/>
    <w:rsid w:val="004D7042"/>
    <w:rsid w:val="004E1931"/>
    <w:rsid w:val="004E2649"/>
    <w:rsid w:val="004E3158"/>
    <w:rsid w:val="004E3780"/>
    <w:rsid w:val="00501103"/>
    <w:rsid w:val="00501399"/>
    <w:rsid w:val="005019FA"/>
    <w:rsid w:val="00501E31"/>
    <w:rsid w:val="0050633D"/>
    <w:rsid w:val="00506FE1"/>
    <w:rsid w:val="00507BC4"/>
    <w:rsid w:val="005128E4"/>
    <w:rsid w:val="005133DB"/>
    <w:rsid w:val="005213F7"/>
    <w:rsid w:val="00521D90"/>
    <w:rsid w:val="00525560"/>
    <w:rsid w:val="00525ADC"/>
    <w:rsid w:val="00525C7E"/>
    <w:rsid w:val="005261FD"/>
    <w:rsid w:val="00533F4E"/>
    <w:rsid w:val="00536BE5"/>
    <w:rsid w:val="00542777"/>
    <w:rsid w:val="00544C49"/>
    <w:rsid w:val="005516A1"/>
    <w:rsid w:val="00553D15"/>
    <w:rsid w:val="0055668D"/>
    <w:rsid w:val="00560224"/>
    <w:rsid w:val="00560D72"/>
    <w:rsid w:val="00562519"/>
    <w:rsid w:val="00563207"/>
    <w:rsid w:val="00563557"/>
    <w:rsid w:val="00566277"/>
    <w:rsid w:val="00572011"/>
    <w:rsid w:val="0057402A"/>
    <w:rsid w:val="005771D0"/>
    <w:rsid w:val="00587759"/>
    <w:rsid w:val="0059191A"/>
    <w:rsid w:val="005921FF"/>
    <w:rsid w:val="00593FBA"/>
    <w:rsid w:val="005A1426"/>
    <w:rsid w:val="005A24ED"/>
    <w:rsid w:val="005A6D0E"/>
    <w:rsid w:val="005B4586"/>
    <w:rsid w:val="005B474D"/>
    <w:rsid w:val="005B52B0"/>
    <w:rsid w:val="005B6806"/>
    <w:rsid w:val="005C17F7"/>
    <w:rsid w:val="005C2B5C"/>
    <w:rsid w:val="005C4225"/>
    <w:rsid w:val="005C452A"/>
    <w:rsid w:val="005C6CE1"/>
    <w:rsid w:val="005D1B91"/>
    <w:rsid w:val="005E5A30"/>
    <w:rsid w:val="005F0DAD"/>
    <w:rsid w:val="005F0F33"/>
    <w:rsid w:val="005F17BD"/>
    <w:rsid w:val="005F4BA7"/>
    <w:rsid w:val="005F56A5"/>
    <w:rsid w:val="005F7E27"/>
    <w:rsid w:val="00600DEB"/>
    <w:rsid w:val="00601E66"/>
    <w:rsid w:val="006051FA"/>
    <w:rsid w:val="00607C65"/>
    <w:rsid w:val="00607FBC"/>
    <w:rsid w:val="00627C9F"/>
    <w:rsid w:val="006311E9"/>
    <w:rsid w:val="00632354"/>
    <w:rsid w:val="00636973"/>
    <w:rsid w:val="00642810"/>
    <w:rsid w:val="00650AE7"/>
    <w:rsid w:val="00651F93"/>
    <w:rsid w:val="00652333"/>
    <w:rsid w:val="006529B1"/>
    <w:rsid w:val="00660A6F"/>
    <w:rsid w:val="00671AA7"/>
    <w:rsid w:val="006776B3"/>
    <w:rsid w:val="0068009E"/>
    <w:rsid w:val="0068341E"/>
    <w:rsid w:val="00692219"/>
    <w:rsid w:val="0069280E"/>
    <w:rsid w:val="00693B2F"/>
    <w:rsid w:val="00695A73"/>
    <w:rsid w:val="006A17D2"/>
    <w:rsid w:val="006A4149"/>
    <w:rsid w:val="006A73E6"/>
    <w:rsid w:val="006A78A1"/>
    <w:rsid w:val="006B2D5C"/>
    <w:rsid w:val="006C4EB1"/>
    <w:rsid w:val="006C718C"/>
    <w:rsid w:val="006D0E64"/>
    <w:rsid w:val="006D4A18"/>
    <w:rsid w:val="006E0166"/>
    <w:rsid w:val="006E6CB2"/>
    <w:rsid w:val="006E716E"/>
    <w:rsid w:val="006E7B34"/>
    <w:rsid w:val="006F1BA9"/>
    <w:rsid w:val="006F289D"/>
    <w:rsid w:val="006F45AF"/>
    <w:rsid w:val="006F52FE"/>
    <w:rsid w:val="007027FA"/>
    <w:rsid w:val="007043D2"/>
    <w:rsid w:val="0070697F"/>
    <w:rsid w:val="00710E70"/>
    <w:rsid w:val="0072199C"/>
    <w:rsid w:val="00722C9F"/>
    <w:rsid w:val="0072315C"/>
    <w:rsid w:val="00723684"/>
    <w:rsid w:val="00723691"/>
    <w:rsid w:val="007242E1"/>
    <w:rsid w:val="007253B8"/>
    <w:rsid w:val="00730D1F"/>
    <w:rsid w:val="00735536"/>
    <w:rsid w:val="0073741F"/>
    <w:rsid w:val="00743CB3"/>
    <w:rsid w:val="00744C50"/>
    <w:rsid w:val="00746AF6"/>
    <w:rsid w:val="00746B6A"/>
    <w:rsid w:val="00755EC3"/>
    <w:rsid w:val="00761BDF"/>
    <w:rsid w:val="0076643F"/>
    <w:rsid w:val="007678E0"/>
    <w:rsid w:val="0077632B"/>
    <w:rsid w:val="00777F63"/>
    <w:rsid w:val="00781E9D"/>
    <w:rsid w:val="0078520A"/>
    <w:rsid w:val="00797793"/>
    <w:rsid w:val="007A5817"/>
    <w:rsid w:val="007A73B1"/>
    <w:rsid w:val="007A7B1F"/>
    <w:rsid w:val="007B05C4"/>
    <w:rsid w:val="007B38BB"/>
    <w:rsid w:val="007B432F"/>
    <w:rsid w:val="007B60E9"/>
    <w:rsid w:val="007B6CC3"/>
    <w:rsid w:val="007B76D3"/>
    <w:rsid w:val="007C3334"/>
    <w:rsid w:val="007D163A"/>
    <w:rsid w:val="007D2B98"/>
    <w:rsid w:val="007D6F77"/>
    <w:rsid w:val="007D7671"/>
    <w:rsid w:val="007E092A"/>
    <w:rsid w:val="007E21BC"/>
    <w:rsid w:val="007E5F92"/>
    <w:rsid w:val="007E7C82"/>
    <w:rsid w:val="007F0BBB"/>
    <w:rsid w:val="007F2555"/>
    <w:rsid w:val="007F588D"/>
    <w:rsid w:val="0080124B"/>
    <w:rsid w:val="00803F1C"/>
    <w:rsid w:val="00805CE3"/>
    <w:rsid w:val="0080600E"/>
    <w:rsid w:val="00806058"/>
    <w:rsid w:val="00806321"/>
    <w:rsid w:val="00813ADC"/>
    <w:rsid w:val="00813EC3"/>
    <w:rsid w:val="00814A2D"/>
    <w:rsid w:val="0081723E"/>
    <w:rsid w:val="00817612"/>
    <w:rsid w:val="008254E4"/>
    <w:rsid w:val="00825A2F"/>
    <w:rsid w:val="008338A4"/>
    <w:rsid w:val="00834D49"/>
    <w:rsid w:val="00837C45"/>
    <w:rsid w:val="00841063"/>
    <w:rsid w:val="00843EB7"/>
    <w:rsid w:val="008441BD"/>
    <w:rsid w:val="00844730"/>
    <w:rsid w:val="008457C2"/>
    <w:rsid w:val="0084703A"/>
    <w:rsid w:val="00851B41"/>
    <w:rsid w:val="00851F7F"/>
    <w:rsid w:val="008567BE"/>
    <w:rsid w:val="00857A82"/>
    <w:rsid w:val="008613C7"/>
    <w:rsid w:val="00873836"/>
    <w:rsid w:val="00882F28"/>
    <w:rsid w:val="008831C8"/>
    <w:rsid w:val="0088481B"/>
    <w:rsid w:val="00885737"/>
    <w:rsid w:val="00890650"/>
    <w:rsid w:val="008911F7"/>
    <w:rsid w:val="00892758"/>
    <w:rsid w:val="00893D97"/>
    <w:rsid w:val="00895D7C"/>
    <w:rsid w:val="00897E12"/>
    <w:rsid w:val="008A08BA"/>
    <w:rsid w:val="008A3F7C"/>
    <w:rsid w:val="008A5316"/>
    <w:rsid w:val="008A7E0F"/>
    <w:rsid w:val="008B12F5"/>
    <w:rsid w:val="008B1A35"/>
    <w:rsid w:val="008C63AD"/>
    <w:rsid w:val="008D18FA"/>
    <w:rsid w:val="008D68A4"/>
    <w:rsid w:val="008D768D"/>
    <w:rsid w:val="008E250D"/>
    <w:rsid w:val="008E3759"/>
    <w:rsid w:val="008E3BFE"/>
    <w:rsid w:val="008F1912"/>
    <w:rsid w:val="008F236F"/>
    <w:rsid w:val="00900E37"/>
    <w:rsid w:val="0090270B"/>
    <w:rsid w:val="00903D34"/>
    <w:rsid w:val="009041DC"/>
    <w:rsid w:val="0090558F"/>
    <w:rsid w:val="00911CBF"/>
    <w:rsid w:val="0091654D"/>
    <w:rsid w:val="00917B5A"/>
    <w:rsid w:val="00920A58"/>
    <w:rsid w:val="00920A8C"/>
    <w:rsid w:val="00931A73"/>
    <w:rsid w:val="0093268A"/>
    <w:rsid w:val="00934A2C"/>
    <w:rsid w:val="00935881"/>
    <w:rsid w:val="00935DC2"/>
    <w:rsid w:val="009428CE"/>
    <w:rsid w:val="00943AF0"/>
    <w:rsid w:val="00946779"/>
    <w:rsid w:val="00952BB1"/>
    <w:rsid w:val="00953A14"/>
    <w:rsid w:val="0095461E"/>
    <w:rsid w:val="009562EA"/>
    <w:rsid w:val="0096580D"/>
    <w:rsid w:val="0096706E"/>
    <w:rsid w:val="00970131"/>
    <w:rsid w:val="00974491"/>
    <w:rsid w:val="009758CC"/>
    <w:rsid w:val="00975C4E"/>
    <w:rsid w:val="00977219"/>
    <w:rsid w:val="00981FBA"/>
    <w:rsid w:val="00985691"/>
    <w:rsid w:val="00992A16"/>
    <w:rsid w:val="00997BC5"/>
    <w:rsid w:val="009A4F41"/>
    <w:rsid w:val="009A570C"/>
    <w:rsid w:val="009B381B"/>
    <w:rsid w:val="009B3CA2"/>
    <w:rsid w:val="009B726B"/>
    <w:rsid w:val="009C02AA"/>
    <w:rsid w:val="009C0936"/>
    <w:rsid w:val="009C337F"/>
    <w:rsid w:val="009C6323"/>
    <w:rsid w:val="009D1753"/>
    <w:rsid w:val="009D2BC7"/>
    <w:rsid w:val="009D3E72"/>
    <w:rsid w:val="009D4942"/>
    <w:rsid w:val="009D6E48"/>
    <w:rsid w:val="009D7611"/>
    <w:rsid w:val="009E0B61"/>
    <w:rsid w:val="009E53DE"/>
    <w:rsid w:val="009F0A6F"/>
    <w:rsid w:val="009F19BB"/>
    <w:rsid w:val="009F221C"/>
    <w:rsid w:val="009F7830"/>
    <w:rsid w:val="00A00523"/>
    <w:rsid w:val="00A00ED0"/>
    <w:rsid w:val="00A01704"/>
    <w:rsid w:val="00A0696A"/>
    <w:rsid w:val="00A11212"/>
    <w:rsid w:val="00A11E44"/>
    <w:rsid w:val="00A1615F"/>
    <w:rsid w:val="00A16552"/>
    <w:rsid w:val="00A24FD3"/>
    <w:rsid w:val="00A30762"/>
    <w:rsid w:val="00A328B3"/>
    <w:rsid w:val="00A4095B"/>
    <w:rsid w:val="00A43091"/>
    <w:rsid w:val="00A506DA"/>
    <w:rsid w:val="00A50825"/>
    <w:rsid w:val="00A50FCF"/>
    <w:rsid w:val="00A528D1"/>
    <w:rsid w:val="00A54205"/>
    <w:rsid w:val="00A603E4"/>
    <w:rsid w:val="00A610CD"/>
    <w:rsid w:val="00A61158"/>
    <w:rsid w:val="00A637C2"/>
    <w:rsid w:val="00A65A69"/>
    <w:rsid w:val="00A758AA"/>
    <w:rsid w:val="00A76C2A"/>
    <w:rsid w:val="00A86F50"/>
    <w:rsid w:val="00A878D8"/>
    <w:rsid w:val="00A97DD2"/>
    <w:rsid w:val="00AA09A2"/>
    <w:rsid w:val="00AA5D41"/>
    <w:rsid w:val="00AA710A"/>
    <w:rsid w:val="00AA7996"/>
    <w:rsid w:val="00AB4358"/>
    <w:rsid w:val="00AB46D2"/>
    <w:rsid w:val="00AC1371"/>
    <w:rsid w:val="00AC19CB"/>
    <w:rsid w:val="00AC2206"/>
    <w:rsid w:val="00AC3D59"/>
    <w:rsid w:val="00AC48E6"/>
    <w:rsid w:val="00AD2B4B"/>
    <w:rsid w:val="00AD2FC0"/>
    <w:rsid w:val="00AD3A1B"/>
    <w:rsid w:val="00AE19AB"/>
    <w:rsid w:val="00AE5488"/>
    <w:rsid w:val="00AE6F91"/>
    <w:rsid w:val="00AF18C8"/>
    <w:rsid w:val="00AF5571"/>
    <w:rsid w:val="00B0079C"/>
    <w:rsid w:val="00B01817"/>
    <w:rsid w:val="00B026FA"/>
    <w:rsid w:val="00B07341"/>
    <w:rsid w:val="00B16E84"/>
    <w:rsid w:val="00B21849"/>
    <w:rsid w:val="00B25E8F"/>
    <w:rsid w:val="00B30539"/>
    <w:rsid w:val="00B312E4"/>
    <w:rsid w:val="00B314DB"/>
    <w:rsid w:val="00B334AD"/>
    <w:rsid w:val="00B361F2"/>
    <w:rsid w:val="00B36213"/>
    <w:rsid w:val="00B3718B"/>
    <w:rsid w:val="00B40BC6"/>
    <w:rsid w:val="00B4632A"/>
    <w:rsid w:val="00B466F3"/>
    <w:rsid w:val="00B4757B"/>
    <w:rsid w:val="00B50027"/>
    <w:rsid w:val="00B530F1"/>
    <w:rsid w:val="00B55F2D"/>
    <w:rsid w:val="00B57599"/>
    <w:rsid w:val="00B620DC"/>
    <w:rsid w:val="00B6300E"/>
    <w:rsid w:val="00B7224D"/>
    <w:rsid w:val="00B97870"/>
    <w:rsid w:val="00BA15D7"/>
    <w:rsid w:val="00BA276C"/>
    <w:rsid w:val="00BB0041"/>
    <w:rsid w:val="00BB306F"/>
    <w:rsid w:val="00BB61D0"/>
    <w:rsid w:val="00BC353D"/>
    <w:rsid w:val="00BC366C"/>
    <w:rsid w:val="00BC7D91"/>
    <w:rsid w:val="00BD4B89"/>
    <w:rsid w:val="00BD5922"/>
    <w:rsid w:val="00BD5C5C"/>
    <w:rsid w:val="00BD70DF"/>
    <w:rsid w:val="00BE4E90"/>
    <w:rsid w:val="00BF02CB"/>
    <w:rsid w:val="00BF2659"/>
    <w:rsid w:val="00BF31E1"/>
    <w:rsid w:val="00BF5406"/>
    <w:rsid w:val="00BF6FD8"/>
    <w:rsid w:val="00C03680"/>
    <w:rsid w:val="00C054DF"/>
    <w:rsid w:val="00C05E0E"/>
    <w:rsid w:val="00C15B4B"/>
    <w:rsid w:val="00C213A9"/>
    <w:rsid w:val="00C21762"/>
    <w:rsid w:val="00C21FEF"/>
    <w:rsid w:val="00C2394C"/>
    <w:rsid w:val="00C2407B"/>
    <w:rsid w:val="00C242B4"/>
    <w:rsid w:val="00C24543"/>
    <w:rsid w:val="00C24909"/>
    <w:rsid w:val="00C256A2"/>
    <w:rsid w:val="00C26F4F"/>
    <w:rsid w:val="00C334F3"/>
    <w:rsid w:val="00C40E7B"/>
    <w:rsid w:val="00C43F55"/>
    <w:rsid w:val="00C44893"/>
    <w:rsid w:val="00C51515"/>
    <w:rsid w:val="00C51F4F"/>
    <w:rsid w:val="00C524AB"/>
    <w:rsid w:val="00C547CF"/>
    <w:rsid w:val="00C5660B"/>
    <w:rsid w:val="00C57114"/>
    <w:rsid w:val="00C66B72"/>
    <w:rsid w:val="00C67FCC"/>
    <w:rsid w:val="00C726D8"/>
    <w:rsid w:val="00C77B9A"/>
    <w:rsid w:val="00C87281"/>
    <w:rsid w:val="00C87AC4"/>
    <w:rsid w:val="00C92E0A"/>
    <w:rsid w:val="00C948DE"/>
    <w:rsid w:val="00C9567A"/>
    <w:rsid w:val="00CA3704"/>
    <w:rsid w:val="00CA5A71"/>
    <w:rsid w:val="00CA71FF"/>
    <w:rsid w:val="00CB212D"/>
    <w:rsid w:val="00CB2660"/>
    <w:rsid w:val="00CB3E8D"/>
    <w:rsid w:val="00CC236B"/>
    <w:rsid w:val="00CC49C5"/>
    <w:rsid w:val="00CC5E90"/>
    <w:rsid w:val="00CC65BC"/>
    <w:rsid w:val="00CD046C"/>
    <w:rsid w:val="00CD5784"/>
    <w:rsid w:val="00CE01E2"/>
    <w:rsid w:val="00CE076C"/>
    <w:rsid w:val="00CE13F6"/>
    <w:rsid w:val="00CE23B5"/>
    <w:rsid w:val="00CE286D"/>
    <w:rsid w:val="00CE30BC"/>
    <w:rsid w:val="00CE5199"/>
    <w:rsid w:val="00CE66D5"/>
    <w:rsid w:val="00CF09DF"/>
    <w:rsid w:val="00CF231B"/>
    <w:rsid w:val="00CF58C8"/>
    <w:rsid w:val="00CF637A"/>
    <w:rsid w:val="00CF71C5"/>
    <w:rsid w:val="00D011F2"/>
    <w:rsid w:val="00D02B04"/>
    <w:rsid w:val="00D059DE"/>
    <w:rsid w:val="00D05ABD"/>
    <w:rsid w:val="00D10F2C"/>
    <w:rsid w:val="00D13FCE"/>
    <w:rsid w:val="00D141E1"/>
    <w:rsid w:val="00D21358"/>
    <w:rsid w:val="00D25609"/>
    <w:rsid w:val="00D260FC"/>
    <w:rsid w:val="00D306D1"/>
    <w:rsid w:val="00D30800"/>
    <w:rsid w:val="00D32062"/>
    <w:rsid w:val="00D32573"/>
    <w:rsid w:val="00D32D73"/>
    <w:rsid w:val="00D34786"/>
    <w:rsid w:val="00D35132"/>
    <w:rsid w:val="00D37BFC"/>
    <w:rsid w:val="00D47A8E"/>
    <w:rsid w:val="00D52B0D"/>
    <w:rsid w:val="00D52D14"/>
    <w:rsid w:val="00D55731"/>
    <w:rsid w:val="00D60E92"/>
    <w:rsid w:val="00D660EB"/>
    <w:rsid w:val="00D66D60"/>
    <w:rsid w:val="00D67170"/>
    <w:rsid w:val="00D712D3"/>
    <w:rsid w:val="00D71422"/>
    <w:rsid w:val="00D72DC6"/>
    <w:rsid w:val="00D751D8"/>
    <w:rsid w:val="00D7558D"/>
    <w:rsid w:val="00D75C98"/>
    <w:rsid w:val="00D81D92"/>
    <w:rsid w:val="00D876F9"/>
    <w:rsid w:val="00D911E6"/>
    <w:rsid w:val="00D934D0"/>
    <w:rsid w:val="00D94F69"/>
    <w:rsid w:val="00DA01AE"/>
    <w:rsid w:val="00DA1E2F"/>
    <w:rsid w:val="00DA2637"/>
    <w:rsid w:val="00DA3687"/>
    <w:rsid w:val="00DA3C2B"/>
    <w:rsid w:val="00DA7B5F"/>
    <w:rsid w:val="00DB3A4F"/>
    <w:rsid w:val="00DB4648"/>
    <w:rsid w:val="00DB5A51"/>
    <w:rsid w:val="00DB5BE2"/>
    <w:rsid w:val="00DB5D05"/>
    <w:rsid w:val="00DB77B6"/>
    <w:rsid w:val="00DC11E7"/>
    <w:rsid w:val="00DC3D6C"/>
    <w:rsid w:val="00DC7023"/>
    <w:rsid w:val="00DC769A"/>
    <w:rsid w:val="00DD125E"/>
    <w:rsid w:val="00DD3D86"/>
    <w:rsid w:val="00DD4AD2"/>
    <w:rsid w:val="00DE2EB6"/>
    <w:rsid w:val="00DE6CF6"/>
    <w:rsid w:val="00DF1EC4"/>
    <w:rsid w:val="00DF284C"/>
    <w:rsid w:val="00DF69A8"/>
    <w:rsid w:val="00DF7E9A"/>
    <w:rsid w:val="00E02C9E"/>
    <w:rsid w:val="00E0340B"/>
    <w:rsid w:val="00E04A90"/>
    <w:rsid w:val="00E04B55"/>
    <w:rsid w:val="00E052B6"/>
    <w:rsid w:val="00E0551F"/>
    <w:rsid w:val="00E137E6"/>
    <w:rsid w:val="00E13A53"/>
    <w:rsid w:val="00E219C7"/>
    <w:rsid w:val="00E232DC"/>
    <w:rsid w:val="00E236F2"/>
    <w:rsid w:val="00E243F9"/>
    <w:rsid w:val="00E24F76"/>
    <w:rsid w:val="00E2543C"/>
    <w:rsid w:val="00E36074"/>
    <w:rsid w:val="00E4118C"/>
    <w:rsid w:val="00E4273D"/>
    <w:rsid w:val="00E43157"/>
    <w:rsid w:val="00E43B59"/>
    <w:rsid w:val="00E46094"/>
    <w:rsid w:val="00E460E1"/>
    <w:rsid w:val="00E461CE"/>
    <w:rsid w:val="00E506BF"/>
    <w:rsid w:val="00E50E92"/>
    <w:rsid w:val="00E515BF"/>
    <w:rsid w:val="00E66F82"/>
    <w:rsid w:val="00E71186"/>
    <w:rsid w:val="00E720CA"/>
    <w:rsid w:val="00E75DBC"/>
    <w:rsid w:val="00E77FD1"/>
    <w:rsid w:val="00E80343"/>
    <w:rsid w:val="00E80514"/>
    <w:rsid w:val="00E84EB5"/>
    <w:rsid w:val="00E85662"/>
    <w:rsid w:val="00E8789F"/>
    <w:rsid w:val="00E97B71"/>
    <w:rsid w:val="00EA3D34"/>
    <w:rsid w:val="00EB454D"/>
    <w:rsid w:val="00EB65BC"/>
    <w:rsid w:val="00EB7C85"/>
    <w:rsid w:val="00EC05AA"/>
    <w:rsid w:val="00EC5E14"/>
    <w:rsid w:val="00EC77BB"/>
    <w:rsid w:val="00ED549D"/>
    <w:rsid w:val="00ED6775"/>
    <w:rsid w:val="00ED6807"/>
    <w:rsid w:val="00ED76BE"/>
    <w:rsid w:val="00EE00E9"/>
    <w:rsid w:val="00EE04DC"/>
    <w:rsid w:val="00EE14A1"/>
    <w:rsid w:val="00EE5390"/>
    <w:rsid w:val="00EF5C06"/>
    <w:rsid w:val="00EF6159"/>
    <w:rsid w:val="00EF619B"/>
    <w:rsid w:val="00F00B55"/>
    <w:rsid w:val="00F01A44"/>
    <w:rsid w:val="00F026FB"/>
    <w:rsid w:val="00F02AD1"/>
    <w:rsid w:val="00F02D3D"/>
    <w:rsid w:val="00F05490"/>
    <w:rsid w:val="00F1003A"/>
    <w:rsid w:val="00F142CC"/>
    <w:rsid w:val="00F16578"/>
    <w:rsid w:val="00F21A33"/>
    <w:rsid w:val="00F253CC"/>
    <w:rsid w:val="00F330FC"/>
    <w:rsid w:val="00F37106"/>
    <w:rsid w:val="00F40DB9"/>
    <w:rsid w:val="00F40EED"/>
    <w:rsid w:val="00F46E7D"/>
    <w:rsid w:val="00F478F4"/>
    <w:rsid w:val="00F519CF"/>
    <w:rsid w:val="00F528BB"/>
    <w:rsid w:val="00F56BA5"/>
    <w:rsid w:val="00F60E22"/>
    <w:rsid w:val="00F662B7"/>
    <w:rsid w:val="00F711D8"/>
    <w:rsid w:val="00F81395"/>
    <w:rsid w:val="00F81BB8"/>
    <w:rsid w:val="00F868D1"/>
    <w:rsid w:val="00F87647"/>
    <w:rsid w:val="00F917D1"/>
    <w:rsid w:val="00F925A5"/>
    <w:rsid w:val="00F9653B"/>
    <w:rsid w:val="00FA10BE"/>
    <w:rsid w:val="00FA41D4"/>
    <w:rsid w:val="00FB62CF"/>
    <w:rsid w:val="00FB69E4"/>
    <w:rsid w:val="00FC18B2"/>
    <w:rsid w:val="00FC2852"/>
    <w:rsid w:val="00FD3C3B"/>
    <w:rsid w:val="00FD6129"/>
    <w:rsid w:val="00FE07DD"/>
    <w:rsid w:val="00FE1774"/>
    <w:rsid w:val="00FE35E2"/>
    <w:rsid w:val="00FE3BAD"/>
    <w:rsid w:val="00FE6B45"/>
    <w:rsid w:val="00FF0197"/>
    <w:rsid w:val="00FF2A16"/>
    <w:rsid w:val="00FF55F3"/>
    <w:rsid w:val="00FF5851"/>
    <w:rsid w:val="00FF666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A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4D4"/>
    <w:rPr>
      <w:sz w:val="16"/>
      <w:szCs w:val="16"/>
    </w:rPr>
  </w:style>
  <w:style w:type="paragraph" w:styleId="CommentText">
    <w:name w:val="annotation text"/>
    <w:basedOn w:val="Normal"/>
    <w:link w:val="CommentTextChar"/>
    <w:uiPriority w:val="99"/>
    <w:semiHidden/>
    <w:unhideWhenUsed/>
    <w:rsid w:val="003F44D4"/>
    <w:rPr>
      <w:sz w:val="20"/>
      <w:szCs w:val="20"/>
    </w:rPr>
  </w:style>
  <w:style w:type="character" w:customStyle="1" w:styleId="CommentTextChar">
    <w:name w:val="Comment Text Char"/>
    <w:basedOn w:val="DefaultParagraphFont"/>
    <w:link w:val="CommentText"/>
    <w:uiPriority w:val="99"/>
    <w:semiHidden/>
    <w:rsid w:val="003F44D4"/>
    <w:rPr>
      <w:lang w:val="en-US" w:eastAsia="en-US"/>
    </w:rPr>
  </w:style>
  <w:style w:type="paragraph" w:styleId="CommentSubject">
    <w:name w:val="annotation subject"/>
    <w:basedOn w:val="CommentText"/>
    <w:next w:val="CommentText"/>
    <w:link w:val="CommentSubjectChar"/>
    <w:uiPriority w:val="99"/>
    <w:semiHidden/>
    <w:unhideWhenUsed/>
    <w:rsid w:val="003F44D4"/>
    <w:rPr>
      <w:b/>
      <w:bCs/>
    </w:rPr>
  </w:style>
  <w:style w:type="character" w:customStyle="1" w:styleId="CommentSubjectChar">
    <w:name w:val="Comment Subject Char"/>
    <w:basedOn w:val="CommentTextChar"/>
    <w:link w:val="CommentSubject"/>
    <w:uiPriority w:val="99"/>
    <w:semiHidden/>
    <w:rsid w:val="003F44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18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idh.oas.org/pdf%20files/MESOAMERICA%202011%20ESP%20FINAL.pdf" TargetMode="External"/><Relationship Id="rId2" Type="http://schemas.openxmlformats.org/officeDocument/2006/relationships/hyperlink" Target="https://www.cidh.oas.org/pdf%20files/MESOAMERICA%202011%20ESP%20FINAL.pdf" TargetMode="External"/><Relationship Id="rId1" Type="http://schemas.openxmlformats.org/officeDocument/2006/relationships/hyperlink" Target="https://www.cidh.oas.org/pdf%20files/MESOAMERICA%202011%20ESP%20FINAL.pdf" TargetMode="External"/><Relationship Id="rId6" Type="http://schemas.openxmlformats.org/officeDocument/2006/relationships/hyperlink" Target="https://www.cidh.oas.org/pdf%20files/MESOAMERICA%202011%20ESP%20FINAL.pdf" TargetMode="External"/><Relationship Id="rId5" Type="http://schemas.openxmlformats.org/officeDocument/2006/relationships/hyperlink" Target="https://www.cidh.oas.org/pdf%20files/MESOAMERICA%202011%20ESP%20FINAL.pdf" TargetMode="External"/><Relationship Id="rId4" Type="http://schemas.openxmlformats.org/officeDocument/2006/relationships/hyperlink" Target="https://www.cidh.oas.org/pdf%20files/MESOAMERICA%202011%20ESP%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23A9"/>
    <w:rsid w:val="000C1F9D"/>
    <w:rsid w:val="001104B7"/>
    <w:rsid w:val="00156D13"/>
    <w:rsid w:val="001C3A36"/>
    <w:rsid w:val="00200821"/>
    <w:rsid w:val="00246796"/>
    <w:rsid w:val="00296B1F"/>
    <w:rsid w:val="00394049"/>
    <w:rsid w:val="003A140B"/>
    <w:rsid w:val="004615B7"/>
    <w:rsid w:val="004D1079"/>
    <w:rsid w:val="004D38E1"/>
    <w:rsid w:val="004D7B6B"/>
    <w:rsid w:val="004F2DF8"/>
    <w:rsid w:val="005B152A"/>
    <w:rsid w:val="005B601B"/>
    <w:rsid w:val="006C5513"/>
    <w:rsid w:val="00863178"/>
    <w:rsid w:val="008927E4"/>
    <w:rsid w:val="009172CC"/>
    <w:rsid w:val="009A261B"/>
    <w:rsid w:val="009E036A"/>
    <w:rsid w:val="009F5EF7"/>
    <w:rsid w:val="00AC15A4"/>
    <w:rsid w:val="00B0336C"/>
    <w:rsid w:val="00B52830"/>
    <w:rsid w:val="00E63DBA"/>
    <w:rsid w:val="00F00D2F"/>
    <w:rsid w:val="00F128DF"/>
    <w:rsid w:val="00F554D0"/>
    <w:rsid w:val="00F7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F861-DC23-4607-AC14-037A8754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5007</Words>
  <Characters>27392</Characters>
  <Application>Microsoft Office Word</Application>
  <DocSecurity>0</DocSecurity>
  <Lines>702</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231/21</dc:title>
  <dc:creator/>
  <cp:lastModifiedBy/>
  <cp:revision>1</cp:revision>
  <dcterms:created xsi:type="dcterms:W3CDTF">2021-10-06T14:04:00Z</dcterms:created>
  <dcterms:modified xsi:type="dcterms:W3CDTF">2021-10-06T14:05:00Z</dcterms:modified>
</cp:coreProperties>
</file>